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1 - Introductory" w:id="1"/>
      <w:bookmarkEnd w:id="1"/>
      <w:r>
        <w:rPr>
          <w:b w:val="0"/>
        </w:rPr>
      </w: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1. - Sources of English Contract </w:t>
      </w:r>
      <w:r>
        <w:rPr>
          <w:rFonts w:ascii="Arial"/>
          <w:b/>
          <w:spacing w:val="-5"/>
          <w:sz w:val="24"/>
        </w:rPr>
        <w:t>Law</w:t>
      </w:r>
    </w:p>
    <w:p>
      <w:pPr>
        <w:pStyle w:val="BodyText"/>
        <w:rPr>
          <w:rFonts w:ascii="Arial"/>
          <w:b/>
          <w:sz w:val="18"/>
        </w:rPr>
      </w:pPr>
    </w:p>
    <w:p>
      <w:pPr>
        <w:pStyle w:val="BodyText"/>
        <w:rPr>
          <w:rFonts w:ascii="Arial"/>
          <w:b/>
          <w:sz w:val="18"/>
        </w:rPr>
      </w:pPr>
    </w:p>
    <w:p>
      <w:pPr>
        <w:pStyle w:val="BodyText"/>
        <w:spacing w:before="20"/>
        <w:rPr>
          <w:rFonts w:ascii="Arial"/>
          <w:b/>
          <w:sz w:val="18"/>
        </w:rPr>
      </w:pPr>
    </w:p>
    <w:p>
      <w:pPr>
        <w:spacing w:before="0"/>
        <w:ind w:left="164" w:right="0" w:firstLine="0"/>
        <w:jc w:val="left"/>
        <w:rPr>
          <w:rFonts w:ascii="Arial"/>
          <w:b/>
          <w:sz w:val="18"/>
        </w:rPr>
      </w:pPr>
      <w:r>
        <w:rPr>
          <w:rFonts w:ascii="Arial"/>
          <w:b/>
          <w:sz w:val="18"/>
        </w:rPr>
        <w:t>Contract </w:t>
      </w:r>
      <w:r>
        <w:rPr>
          <w:rFonts w:ascii="Arial"/>
          <w:b/>
          <w:spacing w:val="-5"/>
          <w:sz w:val="18"/>
        </w:rPr>
        <w:t>law</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1-</w:t>
      </w:r>
      <w:r>
        <w:rPr>
          <w:rFonts w:ascii="Arial"/>
          <w:b/>
          <w:spacing w:val="-5"/>
          <w:sz w:val="24"/>
        </w:rPr>
        <w:t>001</w:t>
      </w:r>
    </w:p>
    <w:p>
      <w:pPr>
        <w:pStyle w:val="BodyText"/>
        <w:spacing w:before="92"/>
        <w:rPr>
          <w:rFonts w:ascii="Arial"/>
          <w:b/>
        </w:rPr>
      </w:pPr>
    </w:p>
    <w:p>
      <w:pPr>
        <w:pStyle w:val="BodyText"/>
        <w:spacing w:line="235" w:lineRule="auto"/>
        <w:ind w:left="165" w:right="167"/>
        <w:jc w:val="both"/>
      </w:pPr>
      <w:r>
        <w:rPr/>
        <mc:AlternateContent>
          <mc:Choice Requires="wps">
            <w:drawing>
              <wp:anchor distT="0" distB="0" distL="0" distR="0" allowOverlap="1" layoutInCell="1" locked="0" behindDoc="1" simplePos="0" relativeHeight="480424960">
                <wp:simplePos x="0" y="0"/>
                <wp:positionH relativeFrom="page">
                  <wp:posOffset>4167378</wp:posOffset>
                </wp:positionH>
                <wp:positionV relativeFrom="paragraph">
                  <wp:posOffset>635427</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91520" from="328.140015pt,50.033691pt" to="331.476015pt,50.033691pt" stroked="true" strokeweight=".428pt" strokecolor="#005da1">
                <v:stroke dashstyle="solid"/>
                <w10:wrap type="none"/>
              </v:line>
            </w:pict>
          </mc:Fallback>
        </mc:AlternateContent>
      </w:r>
      <w:r>
        <w:rPr>
          <w:position w:val="-2"/>
        </w:rPr>
        <w:drawing>
          <wp:inline distT="0" distB="0" distL="0" distR="0">
            <wp:extent cx="107988" cy="107988"/>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As Sir Joseph Chitty observed, the law affecting commerce can be seen both in “the law of nations [and] those municipal institutions of our own country, which are of a public and general nature, </w:t>
      </w:r>
      <w:r>
        <w:rPr/>
        <w:t>and which</w:t>
      </w:r>
      <w:r>
        <w:rPr>
          <w:spacing w:val="-2"/>
        </w:rPr>
        <w:t> </w:t>
      </w:r>
      <w:r>
        <w:rPr/>
        <w:t>form</w:t>
      </w:r>
      <w:r>
        <w:rPr>
          <w:spacing w:val="-2"/>
        </w:rPr>
        <w:t> </w:t>
      </w:r>
      <w:r>
        <w:rPr/>
        <w:t>the</w:t>
      </w:r>
      <w:r>
        <w:rPr>
          <w:spacing w:val="-2"/>
        </w:rPr>
        <w:t> </w:t>
      </w:r>
      <w:r>
        <w:rPr/>
        <w:t>basis</w:t>
      </w:r>
      <w:r>
        <w:rPr>
          <w:spacing w:val="-2"/>
        </w:rPr>
        <w:t> </w:t>
      </w:r>
      <w:r>
        <w:rPr/>
        <w:t>of</w:t>
      </w:r>
      <w:r>
        <w:rPr>
          <w:spacing w:val="-2"/>
        </w:rPr>
        <w:t> </w:t>
      </w:r>
      <w:r>
        <w:rPr/>
        <w:t>that</w:t>
      </w:r>
      <w:r>
        <w:rPr>
          <w:spacing w:val="-2"/>
        </w:rPr>
        <w:t> </w:t>
      </w:r>
      <w:r>
        <w:rPr/>
        <w:t>commercial</w:t>
      </w:r>
      <w:r>
        <w:rPr>
          <w:spacing w:val="-2"/>
        </w:rPr>
        <w:t> </w:t>
      </w:r>
      <w:r>
        <w:rPr/>
        <w:t>intercourse</w:t>
      </w:r>
      <w:r>
        <w:rPr>
          <w:spacing w:val="-2"/>
        </w:rPr>
        <w:t> </w:t>
      </w:r>
      <w:r>
        <w:rPr/>
        <w:t>which</w:t>
      </w:r>
      <w:r>
        <w:rPr>
          <w:spacing w:val="-2"/>
        </w:rPr>
        <w:t> </w:t>
      </w:r>
      <w:r>
        <w:rPr/>
        <w:t>takes</w:t>
      </w:r>
      <w:r>
        <w:rPr>
          <w:spacing w:val="-2"/>
        </w:rPr>
        <w:t> </w:t>
      </w:r>
      <w:r>
        <w:rPr/>
        <w:t>place</w:t>
      </w:r>
      <w:r>
        <w:rPr>
          <w:spacing w:val="-2"/>
        </w:rPr>
        <w:t> </w:t>
      </w:r>
      <w:r>
        <w:rPr/>
        <w:t>between</w:t>
      </w:r>
      <w:r>
        <w:rPr>
          <w:spacing w:val="-2"/>
        </w:rPr>
        <w:t> </w:t>
      </w:r>
      <w:r>
        <w:rPr/>
        <w:t>individuals”</w:t>
      </w:r>
      <w:r>
        <w:rPr>
          <w:spacing w:val="-2"/>
        </w:rPr>
        <w:t> </w:t>
      </w:r>
      <w:r>
        <w:rPr/>
        <w:t>and</w:t>
      </w:r>
      <w:r>
        <w:rPr>
          <w:spacing w:val="-2"/>
        </w:rPr>
        <w:t> </w:t>
      </w:r>
      <w:r>
        <w:rPr/>
        <w:t>in</w:t>
      </w:r>
      <w:r>
        <w:rPr>
          <w:spacing w:val="-2"/>
        </w:rPr>
        <w:t> </w:t>
      </w:r>
      <w:r>
        <w:rPr/>
        <w:t>the </w:t>
      </w:r>
      <w:bookmarkStart w:name="_bookmark0" w:id="2"/>
      <w:bookmarkEnd w:id="2"/>
      <w:r>
        <w:rPr/>
        <w:t>law</w:t>
      </w:r>
      <w:r>
        <w:rPr/>
        <w:t> “which relates to commerce itself, strictly so called, as contradistinguished from those measures</w:t>
      </w:r>
      <w:r>
        <w:rPr>
          <w:spacing w:val="40"/>
        </w:rPr>
        <w:t> </w:t>
      </w:r>
      <w:r>
        <w:rPr/>
        <w:t>of state policy by which it is secured and protected”. </w:t>
      </w:r>
      <w:r>
        <w:rPr>
          <w:color w:val="005DA1"/>
          <w:vertAlign w:val="superscript"/>
        </w:rPr>
        <w:t>1</w:t>
      </w:r>
      <w:r>
        <w:rPr>
          <w:color w:val="005DA1"/>
          <w:vertAlign w:val="baseline"/>
        </w:rPr>
        <w:t> </w:t>
      </w:r>
      <w:r>
        <w:rPr>
          <w:vertAlign w:val="baseline"/>
        </w:rPr>
        <w:t>In the modern law, it remains useful to distinguish between laws which create the legal environment within which parties conclude their contract (which may broadly be termed market regulation) and laws which relate specifically to the conclusion of contracts, their terms, the relative rights and obligations which they create and the remedies which arise on breach (contract law in the narrow and usual sense). The present work is </w:t>
      </w:r>
      <w:bookmarkStart w:name="_bookmark1" w:id="3"/>
      <w:bookmarkEnd w:id="3"/>
      <w:r>
        <w:rPr>
          <w:vertAlign w:val="baseline"/>
        </w:rPr>
        <w:t>principally</w:t>
      </w:r>
      <w:r>
        <w:rPr>
          <w:spacing w:val="40"/>
          <w:vertAlign w:val="baseline"/>
        </w:rPr>
        <w:t> </w:t>
      </w:r>
      <w:r>
        <w:rPr>
          <w:vertAlign w:val="baseline"/>
        </w:rPr>
        <w:t>concerned</w:t>
      </w:r>
      <w:r>
        <w:rPr>
          <w:spacing w:val="40"/>
          <w:vertAlign w:val="baseline"/>
        </w:rPr>
        <w:t> </w:t>
      </w:r>
      <w:r>
        <w:rPr>
          <w:vertAlign w:val="baseline"/>
        </w:rPr>
        <w:t>with</w:t>
      </w:r>
      <w:r>
        <w:rPr>
          <w:spacing w:val="40"/>
          <w:vertAlign w:val="baseline"/>
        </w:rPr>
        <w:t> </w:t>
      </w:r>
      <w:r>
        <w:rPr>
          <w:vertAlign w:val="baseline"/>
        </w:rPr>
        <w:t>contract</w:t>
      </w:r>
      <w:r>
        <w:rPr>
          <w:spacing w:val="40"/>
          <w:vertAlign w:val="baseline"/>
        </w:rPr>
        <w:t> </w:t>
      </w:r>
      <w:r>
        <w:rPr>
          <w:vertAlign w:val="baseline"/>
        </w:rPr>
        <w:t>law</w:t>
      </w:r>
      <w:r>
        <w:rPr>
          <w:spacing w:val="40"/>
          <w:vertAlign w:val="baseline"/>
        </w:rPr>
        <w:t> </w:t>
      </w:r>
      <w:r>
        <w:rPr>
          <w:vertAlign w:val="baseline"/>
        </w:rPr>
        <w:t>in</w:t>
      </w:r>
      <w:r>
        <w:rPr>
          <w:spacing w:val="40"/>
          <w:vertAlign w:val="baseline"/>
        </w:rPr>
        <w:t> </w:t>
      </w:r>
      <w:r>
        <w:rPr>
          <w:vertAlign w:val="baseline"/>
        </w:rPr>
        <w:t>this</w:t>
      </w:r>
      <w:r>
        <w:rPr>
          <w:spacing w:val="40"/>
          <w:vertAlign w:val="baseline"/>
        </w:rPr>
        <w:t> </w:t>
      </w:r>
      <w:r>
        <w:rPr>
          <w:vertAlign w:val="baseline"/>
        </w:rPr>
        <w:t>usual</w:t>
      </w:r>
      <w:r>
        <w:rPr>
          <w:spacing w:val="40"/>
          <w:vertAlign w:val="baseline"/>
        </w:rPr>
        <w:t> </w:t>
      </w:r>
      <w:r>
        <w:rPr>
          <w:vertAlign w:val="baseline"/>
        </w:rPr>
        <w:t>sense,</w:t>
      </w:r>
      <w:r>
        <w:rPr>
          <w:spacing w:val="40"/>
          <w:vertAlign w:val="baseline"/>
        </w:rPr>
        <w:t> </w:t>
      </w:r>
      <w:r>
        <w:rPr>
          <w:vertAlign w:val="baseline"/>
        </w:rPr>
        <w:t>but</w:t>
      </w:r>
      <w:r>
        <w:rPr>
          <w:spacing w:val="40"/>
          <w:vertAlign w:val="baseline"/>
        </w:rPr>
        <w:t> </w:t>
      </w:r>
      <w:r>
        <w:rPr>
          <w:vertAlign w:val="baseline"/>
        </w:rPr>
        <w:t>on</w:t>
      </w:r>
      <w:r>
        <w:rPr>
          <w:spacing w:val="40"/>
          <w:vertAlign w:val="baseline"/>
        </w:rPr>
        <w:t> </w:t>
      </w:r>
      <w:r>
        <w:rPr>
          <w:vertAlign w:val="baseline"/>
        </w:rPr>
        <w:t>occasion</w:t>
      </w:r>
      <w:r>
        <w:rPr>
          <w:spacing w:val="40"/>
          <w:vertAlign w:val="baseline"/>
        </w:rPr>
        <w:t> </w:t>
      </w:r>
      <w:r>
        <w:rPr>
          <w:vertAlign w:val="baseline"/>
        </w:rPr>
        <w:t>the</w:t>
      </w:r>
      <w:r>
        <w:rPr>
          <w:spacing w:val="40"/>
          <w:vertAlign w:val="baseline"/>
        </w:rPr>
        <w:t> </w:t>
      </w:r>
      <w:r>
        <w:rPr>
          <w:vertAlign w:val="baseline"/>
        </w:rPr>
        <w:t>wider</w:t>
      </w:r>
      <w:r>
        <w:rPr>
          <w:spacing w:val="40"/>
          <w:vertAlign w:val="baseline"/>
        </w:rPr>
        <w:t> </w:t>
      </w:r>
      <w:r>
        <w:rPr>
          <w:spacing w:val="-2"/>
          <w:vertAlign w:val="baseline"/>
        </w:rPr>
        <w:t>regulatory</w:t>
      </w:r>
    </w:p>
    <w:p>
      <w:pPr>
        <w:pStyle w:val="BodyText"/>
        <w:spacing w:before="113"/>
        <w:ind w:left="165"/>
        <w:jc w:val="both"/>
        <w:rPr>
          <w:position w:val="-2"/>
        </w:rPr>
      </w:pPr>
      <w:r>
        <w:rPr>
          <w:position w:val="-2"/>
        </w:rPr>
        <mc:AlternateContent>
          <mc:Choice Requires="wps">
            <w:drawing>
              <wp:anchor distT="0" distB="0" distL="0" distR="0" allowOverlap="1" layoutInCell="1" locked="0" behindDoc="1" simplePos="0" relativeHeight="480425472">
                <wp:simplePos x="0" y="0"/>
                <wp:positionH relativeFrom="page">
                  <wp:posOffset>5939790</wp:posOffset>
                </wp:positionH>
                <wp:positionV relativeFrom="paragraph">
                  <wp:posOffset>137709</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91008" from="467.700012pt,10.843262pt" to="471.036012pt,10.843262pt" stroked="true" strokeweight=".428pt" strokecolor="#005da1">
                <v:stroke dashstyle="solid"/>
                <w10:wrap type="none"/>
              </v:line>
            </w:pict>
          </mc:Fallback>
        </mc:AlternateContent>
      </w:r>
      <w:r>
        <w:rPr/>
        <w:t>framework is considered, particularly where the two sets of regulation are closely related. </w:t>
      </w:r>
      <w:r>
        <w:rPr>
          <w:color w:val="005DA1"/>
          <w:vertAlign w:val="superscript"/>
        </w:rPr>
        <w:t>2</w:t>
      </w:r>
      <w:r>
        <w:rPr>
          <w:color w:val="005DA1"/>
          <w:spacing w:val="80"/>
          <w:w w:val="150"/>
          <w:vertAlign w:val="baseline"/>
        </w:rPr>
        <w:t> </w:t>
      </w:r>
      <w:r>
        <w:rPr>
          <w:color w:val="005DA1"/>
          <w:position w:val="-2"/>
          <w:vertAlign w:val="baseline"/>
        </w:rPr>
        <w:drawing>
          <wp:inline distT="0" distB="0" distL="0" distR="0">
            <wp:extent cx="107988" cy="107988"/>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The different sources of contract </w:t>
      </w:r>
      <w:r>
        <w:rPr>
          <w:rFonts w:ascii="Arial"/>
          <w:b/>
          <w:spacing w:val="-5"/>
          <w:sz w:val="18"/>
        </w:rPr>
        <w:t>law</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002</w:t>
      </w:r>
    </w:p>
    <w:p>
      <w:pPr>
        <w:pStyle w:val="BodyText"/>
        <w:spacing w:line="235" w:lineRule="auto" w:before="203"/>
        <w:ind w:left="165"/>
      </w:pPr>
      <w:r>
        <w:rPr/>
        <mc:AlternateContent>
          <mc:Choice Requires="wps">
            <w:drawing>
              <wp:anchor distT="0" distB="0" distL="0" distR="0" allowOverlap="1" layoutInCell="1" locked="0" behindDoc="1" simplePos="0" relativeHeight="480425984">
                <wp:simplePos x="0" y="0"/>
                <wp:positionH relativeFrom="page">
                  <wp:posOffset>3010916</wp:posOffset>
                </wp:positionH>
                <wp:positionV relativeFrom="paragraph">
                  <wp:posOffset>335583</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90496" from="237.080002pt,26.423925pt" to="240.416002pt,26.423925pt" stroked="true" strokeweight=".428pt" strokecolor="#005da1">
                <v:stroke dashstyle="solid"/>
                <w10:wrap type="none"/>
              </v:line>
            </w:pict>
          </mc:Fallback>
        </mc:AlternateContent>
      </w:r>
      <w:bookmarkStart w:name="_bookmark2" w:id="4"/>
      <w:bookmarkEnd w:id="4"/>
      <w:r>
        <w:rPr/>
      </w:r>
      <w:r>
        <w:rPr/>
        <w:t>English</w:t>
      </w:r>
      <w:r>
        <w:rPr>
          <w:spacing w:val="66"/>
        </w:rPr>
        <w:t> </w:t>
      </w:r>
      <w:r>
        <w:rPr/>
        <w:t>contract</w:t>
      </w:r>
      <w:r>
        <w:rPr>
          <w:spacing w:val="66"/>
        </w:rPr>
        <w:t> </w:t>
      </w:r>
      <w:r>
        <w:rPr/>
        <w:t>law</w:t>
      </w:r>
      <w:r>
        <w:rPr>
          <w:spacing w:val="66"/>
        </w:rPr>
        <w:t> </w:t>
      </w:r>
      <w:r>
        <w:rPr/>
        <w:t>in</w:t>
      </w:r>
      <w:r>
        <w:rPr>
          <w:spacing w:val="66"/>
        </w:rPr>
        <w:t> </w:t>
      </w:r>
      <w:r>
        <w:rPr/>
        <w:t>this</w:t>
      </w:r>
      <w:r>
        <w:rPr>
          <w:spacing w:val="66"/>
        </w:rPr>
        <w:t> </w:t>
      </w:r>
      <w:r>
        <w:rPr/>
        <w:t>usual</w:t>
      </w:r>
      <w:r>
        <w:rPr>
          <w:spacing w:val="66"/>
        </w:rPr>
        <w:t> </w:t>
      </w:r>
      <w:r>
        <w:rPr/>
        <w:t>sense</w:t>
      </w:r>
      <w:r>
        <w:rPr>
          <w:spacing w:val="66"/>
        </w:rPr>
        <w:t> </w:t>
      </w:r>
      <w:r>
        <w:rPr/>
        <w:t>possesses</w:t>
      </w:r>
      <w:r>
        <w:rPr>
          <w:spacing w:val="66"/>
        </w:rPr>
        <w:t> </w:t>
      </w:r>
      <w:r>
        <w:rPr/>
        <w:t>four</w:t>
      </w:r>
      <w:r>
        <w:rPr>
          <w:spacing w:val="66"/>
        </w:rPr>
        <w:t> </w:t>
      </w:r>
      <w:r>
        <w:rPr/>
        <w:t>legal</w:t>
      </w:r>
      <w:r>
        <w:rPr>
          <w:spacing w:val="66"/>
        </w:rPr>
        <w:t> </w:t>
      </w:r>
      <w:r>
        <w:rPr/>
        <w:t>sources:</w:t>
      </w:r>
      <w:r>
        <w:rPr>
          <w:spacing w:val="66"/>
        </w:rPr>
        <w:t> </w:t>
      </w:r>
      <w:r>
        <w:rPr/>
        <w:t>common</w:t>
      </w:r>
      <w:r>
        <w:rPr>
          <w:spacing w:val="66"/>
        </w:rPr>
        <w:t> </w:t>
      </w:r>
      <w:r>
        <w:rPr/>
        <w:t>law,</w:t>
      </w:r>
      <w:r>
        <w:rPr>
          <w:spacing w:val="66"/>
        </w:rPr>
        <w:t> </w:t>
      </w:r>
      <w:r>
        <w:rPr/>
        <w:t>statute, international convention and EU law. </w:t>
      </w:r>
      <w:r>
        <w:rPr>
          <w:color w:val="005DA1"/>
          <w:vertAlign w:val="superscript"/>
        </w:rPr>
        <w:t>3</w:t>
      </w:r>
    </w:p>
    <w:p>
      <w:pPr>
        <w:pStyle w:val="BodyText"/>
      </w:pPr>
    </w:p>
    <w:p>
      <w:pPr>
        <w:pStyle w:val="BodyText"/>
        <w:spacing w:before="39"/>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186357</wp:posOffset>
                </wp:positionV>
                <wp:extent cx="572452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3817pt;width:450.75pt;height:.1pt;mso-position-horizontal-relative:page;mso-position-vertical-relative:paragraph;z-index:-15728640;mso-wrap-distance-left:0;mso-wrap-distance-right:0" id="docshape2"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0426496">
                <wp:simplePos x="0" y="0"/>
                <wp:positionH relativeFrom="page">
                  <wp:posOffset>914400</wp:posOffset>
                </wp:positionH>
                <wp:positionV relativeFrom="paragraph">
                  <wp:posOffset>94576</wp:posOffset>
                </wp:positionV>
                <wp:extent cx="4953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89984" from="72pt,7.446977pt" to="75.892pt,7.446977pt" stroked="true" strokeweight=".5pt" strokecolor="#005da1">
                <v:stroke dashstyle="solid"/>
                <w10:wrap type="none"/>
              </v:line>
            </w:pict>
          </mc:Fallback>
        </mc:AlternateContent>
      </w:r>
      <w:bookmarkStart w:name="_bookmark3" w:id="5"/>
      <w:bookmarkEnd w:id="5"/>
      <w:r>
        <w:rPr/>
      </w:r>
      <w:hyperlink w:history="true" w:anchor="_bookmark0">
        <w:r>
          <w:rPr>
            <w:color w:val="005DA1"/>
            <w:spacing w:val="-6"/>
            <w:position w:val="5"/>
            <w:sz w:val="14"/>
          </w:rPr>
          <w:t>1</w:t>
        </w:r>
      </w:hyperlink>
      <w:r>
        <w:rPr>
          <w:spacing w:val="-6"/>
          <w:position w:val="5"/>
          <w:sz w:val="14"/>
        </w:rPr>
        <w:t>.</w:t>
      </w:r>
      <w:r>
        <w:rPr>
          <w:position w:val="5"/>
          <w:sz w:val="14"/>
        </w:rPr>
        <w:tab/>
      </w:r>
      <w:r>
        <w:rPr>
          <w:sz w:val="20"/>
        </w:rPr>
        <w:t>Sir J. Chitty, </w:t>
      </w:r>
      <w:r>
        <w:rPr>
          <w:rFonts w:ascii="Arial"/>
          <w:i/>
          <w:sz w:val="20"/>
        </w:rPr>
        <w:t>A Treatise on the Laws of Commerce and Manufactures and the Contracts relating thereto </w:t>
      </w:r>
      <w:r>
        <w:rPr>
          <w:sz w:val="20"/>
        </w:rPr>
        <w:t>Strahan, London, 1st edn (1824), Vol.III, p.5. This work preceded the first edition of </w:t>
      </w:r>
      <w:r>
        <w:rPr>
          <w:sz w:val="20"/>
        </w:rPr>
        <w:t>the present work by Sir Joseph Chitty (the younger, died 1838) which was published in 1826.</w:t>
      </w:r>
    </w:p>
    <w:p>
      <w:pPr>
        <w:pStyle w:val="BodyText"/>
        <w:spacing w:before="81"/>
        <w:rPr>
          <w:sz w:val="14"/>
        </w:rPr>
      </w:pPr>
    </w:p>
    <w:p>
      <w:pPr>
        <w:spacing w:line="137" w:lineRule="exact" w:before="0"/>
        <w:ind w:left="165" w:right="0" w:firstLine="0"/>
        <w:jc w:val="left"/>
        <w:rPr>
          <w:sz w:val="14"/>
        </w:rPr>
      </w:pPr>
      <w:r>
        <w:rPr>
          <w:sz w:val="14"/>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92589</wp:posOffset>
                </wp:positionV>
                <wp:extent cx="4953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290531pt;width:3.9pt;height:.1pt;mso-position-horizontal-relative:page;mso-position-vertical-relative:paragraph;z-index:-15728128;mso-wrap-distance-left:0;mso-wrap-distance-right:0" id="docshape3" coordorigin="1440,146" coordsize="78,0" path="m1440,146l1518,146e" filled="false" stroked="true" strokeweight=".5pt" strokecolor="#005da1">
                <v:path arrowok="t"/>
                <v:stroke dashstyle="solid"/>
                <w10:wrap type="topAndBottom"/>
              </v:shape>
            </w:pict>
          </mc:Fallback>
        </mc:AlternateContent>
      </w:r>
      <w:r>
        <w:rPr>
          <w:sz w:val="14"/>
        </w:rPr>
        <w:drawing>
          <wp:anchor distT="0" distB="0" distL="0" distR="0" allowOverlap="1" layoutInCell="1" locked="0" behindDoc="0" simplePos="0" relativeHeight="15731712">
            <wp:simplePos x="0" y="0"/>
            <wp:positionH relativeFrom="page">
              <wp:posOffset>1257846</wp:posOffset>
            </wp:positionH>
            <wp:positionV relativeFrom="paragraph">
              <wp:posOffset>99879</wp:posOffset>
            </wp:positionV>
            <wp:extent cx="107988" cy="107988"/>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 w:id="6"/>
      <w:bookmarkEnd w:id="6"/>
      <w:r>
        <w:rPr/>
      </w:r>
      <w:hyperlink w:history="true" w:anchor="_bookmark1">
        <w:r>
          <w:rPr>
            <w:color w:val="005DA1"/>
            <w:spacing w:val="-5"/>
            <w:sz w:val="14"/>
          </w:rPr>
          <w:t>2</w:t>
        </w:r>
      </w:hyperlink>
      <w:r>
        <w:rPr>
          <w:spacing w:val="-5"/>
          <w:sz w:val="14"/>
        </w:rPr>
        <w:t>.</w:t>
      </w:r>
    </w:p>
    <w:p>
      <w:pPr>
        <w:pStyle w:val="BodyText"/>
        <w:spacing w:line="189" w:lineRule="exact"/>
        <w:ind w:left="875"/>
        <w:jc w:val="both"/>
      </w:pPr>
      <w:r>
        <w:rPr/>
        <w:t>See</w:t>
      </w:r>
      <w:r>
        <w:rPr>
          <w:spacing w:val="42"/>
        </w:rPr>
        <w:t> </w:t>
      </w:r>
      <w:r>
        <w:rPr/>
        <w:t>especially</w:t>
      </w:r>
      <w:r>
        <w:rPr>
          <w:spacing w:val="42"/>
        </w:rPr>
        <w:t> </w:t>
      </w:r>
      <w:r>
        <w:rPr/>
        <w:t>as</w:t>
      </w:r>
      <w:r>
        <w:rPr>
          <w:spacing w:val="42"/>
        </w:rPr>
        <w:t> </w:t>
      </w:r>
      <w:r>
        <w:rPr/>
        <w:t>regards</w:t>
      </w:r>
      <w:r>
        <w:rPr>
          <w:spacing w:val="42"/>
        </w:rPr>
        <w:t> </w:t>
      </w:r>
      <w:r>
        <w:rPr/>
        <w:t>consumer</w:t>
      </w:r>
      <w:r>
        <w:rPr>
          <w:spacing w:val="42"/>
        </w:rPr>
        <w:t> </w:t>
      </w:r>
      <w:r>
        <w:rPr/>
        <w:t>contracts</w:t>
      </w:r>
      <w:r>
        <w:rPr>
          <w:spacing w:val="42"/>
        </w:rPr>
        <w:t> </w:t>
      </w:r>
      <w:r>
        <w:rPr/>
        <w:t>on</w:t>
      </w:r>
      <w:r>
        <w:rPr>
          <w:spacing w:val="42"/>
        </w:rPr>
        <w:t> </w:t>
      </w:r>
      <w:r>
        <w:rPr/>
        <w:t>which</w:t>
      </w:r>
      <w:r>
        <w:rPr>
          <w:spacing w:val="42"/>
        </w:rPr>
        <w:t> </w:t>
      </w:r>
      <w:r>
        <w:rPr/>
        <w:t>see</w:t>
      </w:r>
      <w:r>
        <w:rPr>
          <w:spacing w:val="42"/>
        </w:rPr>
        <w:t> </w:t>
      </w:r>
      <w:r>
        <w:rPr/>
        <w:t>Vol.II,</w:t>
      </w:r>
      <w:r>
        <w:rPr>
          <w:spacing w:val="42"/>
        </w:rPr>
        <w:t> </w:t>
      </w:r>
      <w:r>
        <w:rPr/>
        <w:t>Ch.38</w:t>
      </w:r>
      <w:r>
        <w:rPr>
          <w:spacing w:val="42"/>
        </w:rPr>
        <w:t> </w:t>
      </w:r>
      <w:r>
        <w:rPr/>
        <w:t>and</w:t>
      </w:r>
      <w:r>
        <w:rPr>
          <w:spacing w:val="42"/>
        </w:rPr>
        <w:t> </w:t>
      </w:r>
      <w:r>
        <w:rPr>
          <w:spacing w:val="-2"/>
        </w:rPr>
        <w:t>especially</w:t>
      </w:r>
    </w:p>
    <w:p>
      <w:pPr>
        <w:pStyle w:val="BodyText"/>
        <w:spacing w:line="235" w:lineRule="auto" w:before="1"/>
        <w:ind w:left="705" w:right="167"/>
        <w:jc w:val="both"/>
      </w:pPr>
      <w:r>
        <w:rPr/>
        <w:t>paras 38-127—38-129 (enforcement of consumer information requirements); 38-145—38-</w:t>
      </w:r>
      <w:r>
        <w:rPr/>
        <w:t>191 (unfair</w:t>
      </w:r>
      <w:r>
        <w:rPr>
          <w:spacing w:val="80"/>
          <w:w w:val="150"/>
        </w:rPr>
        <w:t> </w:t>
      </w:r>
      <w:r>
        <w:rPr/>
        <w:t>commercial</w:t>
      </w:r>
      <w:r>
        <w:rPr>
          <w:spacing w:val="80"/>
          <w:w w:val="150"/>
        </w:rPr>
        <w:t> </w:t>
      </w:r>
      <w:r>
        <w:rPr/>
        <w:t>practices</w:t>
      </w:r>
      <w:r>
        <w:rPr>
          <w:spacing w:val="80"/>
          <w:w w:val="150"/>
        </w:rPr>
        <w:t> </w:t>
      </w:r>
      <w:r>
        <w:rPr/>
        <w:t>and</w:t>
      </w:r>
      <w:r>
        <w:rPr>
          <w:spacing w:val="80"/>
          <w:w w:val="150"/>
        </w:rPr>
        <w:t> </w:t>
      </w:r>
      <w:r>
        <w:rPr/>
        <w:t>consumer</w:t>
      </w:r>
      <w:r>
        <w:rPr>
          <w:spacing w:val="80"/>
          <w:w w:val="150"/>
        </w:rPr>
        <w:t> </w:t>
      </w:r>
      <w:r>
        <w:rPr/>
        <w:t>rights</w:t>
      </w:r>
      <w:r>
        <w:rPr>
          <w:spacing w:val="80"/>
          <w:w w:val="150"/>
        </w:rPr>
        <w:t> </w:t>
      </w:r>
      <w:r>
        <w:rPr/>
        <w:t>to</w:t>
      </w:r>
      <w:r>
        <w:rPr>
          <w:spacing w:val="80"/>
          <w:w w:val="150"/>
        </w:rPr>
        <w:t> </w:t>
      </w:r>
      <w:r>
        <w:rPr/>
        <w:t>redress);</w:t>
      </w:r>
      <w:r>
        <w:rPr>
          <w:spacing w:val="80"/>
          <w:w w:val="150"/>
        </w:rPr>
        <w:t> </w:t>
      </w:r>
      <w:r>
        <w:rPr/>
        <w:t>38-323—38-333</w:t>
      </w:r>
      <w:r>
        <w:rPr>
          <w:spacing w:val="80"/>
          <w:w w:val="150"/>
        </w:rPr>
        <w:t> </w:t>
      </w:r>
      <w:r>
        <w:rPr/>
        <w:t>and 38-387—38-394</w:t>
      </w:r>
      <w:r>
        <w:rPr>
          <w:spacing w:val="25"/>
        </w:rPr>
        <w:t> </w:t>
      </w:r>
      <w:r>
        <w:rPr/>
        <w:t>(enforcement</w:t>
      </w:r>
      <w:r>
        <w:rPr>
          <w:spacing w:val="25"/>
        </w:rPr>
        <w:t> </w:t>
      </w:r>
      <w:r>
        <w:rPr/>
        <w:t>of</w:t>
      </w:r>
      <w:r>
        <w:rPr>
          <w:spacing w:val="25"/>
        </w:rPr>
        <w:t> </w:t>
      </w:r>
      <w:r>
        <w:rPr/>
        <w:t>law</w:t>
      </w:r>
      <w:r>
        <w:rPr>
          <w:spacing w:val="25"/>
        </w:rPr>
        <w:t> </w:t>
      </w:r>
      <w:r>
        <w:rPr/>
        <w:t>on</w:t>
      </w:r>
      <w:r>
        <w:rPr>
          <w:spacing w:val="25"/>
        </w:rPr>
        <w:t> </w:t>
      </w:r>
      <w:r>
        <w:rPr/>
        <w:t>unfair</w:t>
      </w:r>
      <w:r>
        <w:rPr>
          <w:spacing w:val="25"/>
        </w:rPr>
        <w:t> </w:t>
      </w:r>
      <w:r>
        <w:rPr/>
        <w:t>contract</w:t>
      </w:r>
      <w:r>
        <w:rPr>
          <w:spacing w:val="25"/>
        </w:rPr>
        <w:t> </w:t>
      </w:r>
      <w:r>
        <w:rPr/>
        <w:t>terms)</w:t>
      </w:r>
      <w:r>
        <w:rPr>
          <w:spacing w:val="25"/>
        </w:rPr>
        <w:t> </w:t>
      </w:r>
      <w:r>
        <w:rPr/>
        <w:t>and</w:t>
      </w:r>
      <w:r>
        <w:rPr>
          <w:spacing w:val="25"/>
        </w:rPr>
        <w:t> </w:t>
      </w:r>
      <w:r>
        <w:rPr/>
        <w:t>see</w:t>
      </w:r>
      <w:r>
        <w:rPr>
          <w:spacing w:val="25"/>
        </w:rPr>
        <w:t> </w:t>
      </w:r>
      <w:r>
        <w:rPr/>
        <w:t>Whittaker</w:t>
      </w:r>
      <w:r>
        <w:rPr>
          <w:spacing w:val="25"/>
        </w:rPr>
        <w:t> </w:t>
      </w:r>
      <w:r>
        <w:rPr/>
        <w:t>(2017)</w:t>
      </w:r>
      <w:r>
        <w:rPr>
          <w:spacing w:val="25"/>
        </w:rPr>
        <w:t> </w:t>
      </w:r>
      <w:r>
        <w:rPr>
          <w:spacing w:val="-5"/>
        </w:rPr>
        <w:t>133</w:t>
      </w:r>
    </w:p>
    <w:p>
      <w:pPr>
        <w:pStyle w:val="BodyText"/>
        <w:spacing w:line="235" w:lineRule="auto"/>
        <w:ind w:left="705" w:right="167"/>
        <w:jc w:val="both"/>
      </w:pPr>
      <w:r>
        <w:rPr/>
        <w:t>L.Q.R. 47 esp. at 66–72. See also Vol.II, paras 38-002 et seq. (consumer credit (para.39-005)) and paras 34-215 et seq. (banking).</w:t>
      </w:r>
    </w:p>
    <w:p>
      <w:pPr>
        <w:pStyle w:val="BodyText"/>
        <w:spacing w:before="8"/>
      </w:pPr>
    </w:p>
    <w:p>
      <w:pPr>
        <w:pStyle w:val="BodyText"/>
        <w:tabs>
          <w:tab w:pos="705" w:val="left" w:leader="none"/>
        </w:tabs>
        <w:spacing w:line="235" w:lineRule="auto"/>
        <w:ind w:left="705" w:right="168" w:hanging="541"/>
      </w:pPr>
      <w:r>
        <w:rPr/>
        <mc:AlternateContent>
          <mc:Choice Requires="wps">
            <w:drawing>
              <wp:anchor distT="0" distB="0" distL="0" distR="0" allowOverlap="1" layoutInCell="1" locked="0" behindDoc="1" simplePos="0" relativeHeight="480427520">
                <wp:simplePos x="0" y="0"/>
                <wp:positionH relativeFrom="page">
                  <wp:posOffset>914400</wp:posOffset>
                </wp:positionH>
                <wp:positionV relativeFrom="paragraph">
                  <wp:posOffset>94705</wp:posOffset>
                </wp:positionV>
                <wp:extent cx="4953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88960" from="72pt,7.457133pt" to="75.892pt,7.457133pt" stroked="true" strokeweight=".5pt" strokecolor="#005da1">
                <v:stroke dashstyle="solid"/>
                <w10:wrap type="none"/>
              </v:line>
            </w:pict>
          </mc:Fallback>
        </mc:AlternateContent>
      </w:r>
      <w:bookmarkStart w:name="_bookmark5" w:id="7"/>
      <w:bookmarkEnd w:id="7"/>
      <w:r>
        <w:rPr/>
      </w:r>
      <w:hyperlink w:history="true" w:anchor="_bookmark2">
        <w:r>
          <w:rPr>
            <w:color w:val="005DA1"/>
            <w:spacing w:val="-6"/>
            <w:position w:val="5"/>
            <w:sz w:val="14"/>
          </w:rPr>
          <w:t>3</w:t>
        </w:r>
      </w:hyperlink>
      <w:r>
        <w:rPr>
          <w:spacing w:val="-6"/>
          <w:position w:val="5"/>
          <w:sz w:val="14"/>
        </w:rPr>
        <w:t>.</w:t>
      </w:r>
      <w:r>
        <w:rPr>
          <w:position w:val="5"/>
          <w:sz w:val="14"/>
        </w:rPr>
        <w:tab/>
      </w:r>
      <w:r>
        <w:rPr/>
        <w:t>On the sources of English law more generally see J. Bell, “The Sources of Law” in A. </w:t>
      </w:r>
      <w:r>
        <w:rPr/>
        <w:t>Burrows (ed.) English Private Law, 2nd edn (2007) Ch.1.</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5"/>
          <w:type w:val="continuous"/>
          <w:pgSz w:w="11900" w:h="16840"/>
          <w:pgMar w:header="971" w:footer="0" w:top="1300" w:bottom="280" w:left="1275" w:right="1275"/>
          <w:pgNumType w:start="1"/>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1. - Sources of English Contract </w:t>
      </w:r>
      <w:r>
        <w:rPr>
          <w:rFonts w:ascii="Arial"/>
          <w:b/>
          <w:spacing w:val="-5"/>
          <w:sz w:val="24"/>
        </w:rPr>
        <w:t>Law</w:t>
      </w:r>
    </w:p>
    <w:p>
      <w:pPr>
        <w:spacing w:before="194"/>
        <w:ind w:left="2712" w:right="0" w:firstLine="0"/>
        <w:jc w:val="left"/>
        <w:rPr>
          <w:rFonts w:ascii="Arial"/>
          <w:b/>
          <w:sz w:val="24"/>
        </w:rPr>
      </w:pPr>
      <w:r>
        <w:rPr>
          <w:rFonts w:ascii="Arial"/>
          <w:b/>
          <w:sz w:val="24"/>
        </w:rPr>
        <w:t>(a) - The Common Law of </w:t>
      </w:r>
      <w:r>
        <w:rPr>
          <w:rFonts w:ascii="Arial"/>
          <w:b/>
          <w:spacing w:val="-2"/>
          <w:sz w:val="24"/>
        </w:rPr>
        <w:t>Contract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hAnsi="Arial"/>
          <w:b/>
          <w:sz w:val="18"/>
        </w:rPr>
      </w:pPr>
      <w:r>
        <w:rPr>
          <w:rFonts w:ascii="Arial" w:hAnsi="Arial"/>
          <w:b/>
          <w:sz w:val="18"/>
        </w:rPr>
        <w:t>The common law’s dominance of the general </w:t>
      </w:r>
      <w:r>
        <w:rPr>
          <w:rFonts w:ascii="Arial" w:hAnsi="Arial"/>
          <w:b/>
          <w:spacing w:val="-5"/>
          <w:sz w:val="18"/>
        </w:rPr>
        <w:t>law</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003</w:t>
      </w:r>
    </w:p>
    <w:p>
      <w:pPr>
        <w:pStyle w:val="BodyText"/>
        <w:spacing w:before="88"/>
        <w:rPr>
          <w:rFonts w:ascii="Arial"/>
          <w:b/>
        </w:rPr>
      </w:pPr>
    </w:p>
    <w:p>
      <w:pPr>
        <w:pStyle w:val="BodyText"/>
        <w:spacing w:before="1"/>
        <w:ind w:left="165"/>
      </w:pPr>
      <w:r>
        <w:rPr>
          <w:position w:val="-2"/>
        </w:rPr>
        <w:drawing>
          <wp:inline distT="0" distB="0" distL="0" distR="0">
            <wp:extent cx="107988" cy="10798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7"/>
        </w:rPr>
        <w:t> </w:t>
      </w:r>
      <w:r>
        <w:rPr/>
        <w:t>Writing in 1879 Sir William Anson observed:</w:t>
      </w:r>
    </w:p>
    <w:p>
      <w:pPr>
        <w:pStyle w:val="BodyText"/>
      </w:pPr>
    </w:p>
    <w:p>
      <w:pPr>
        <w:pStyle w:val="BodyText"/>
        <w:spacing w:before="125"/>
      </w:pPr>
    </w:p>
    <w:p>
      <w:pPr>
        <w:pStyle w:val="BodyText"/>
        <w:spacing w:line="235" w:lineRule="auto"/>
        <w:ind w:left="1245" w:right="167"/>
        <w:jc w:val="both"/>
      </w:pPr>
      <w:r>
        <w:rPr/>
        <mc:AlternateContent>
          <mc:Choice Requires="wps">
            <w:drawing>
              <wp:anchor distT="0" distB="0" distL="0" distR="0" allowOverlap="1" layoutInCell="1" locked="0" behindDoc="1" simplePos="0" relativeHeight="480428032">
                <wp:simplePos x="0" y="0"/>
                <wp:positionH relativeFrom="page">
                  <wp:posOffset>2087245</wp:posOffset>
                </wp:positionH>
                <wp:positionV relativeFrom="paragraph">
                  <wp:posOffset>349573</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88448" from="164.350006pt,27.525499pt" to="167.686006pt,27.525499pt" stroked="true" strokeweight=".428pt" strokecolor="#005da1">
                <v:stroke dashstyle="solid"/>
                <w10:wrap type="none"/>
              </v:line>
            </w:pict>
          </mc:Fallback>
        </mc:AlternateContent>
      </w:r>
      <w:r>
        <w:rPr/>
        <w:t>“The law of contract so far as its general principles are concerned has been happily free </w:t>
      </w:r>
      <w:bookmarkStart w:name="_bookmark6" w:id="8"/>
      <w:bookmarkEnd w:id="8"/>
      <w:r>
        <w:rPr/>
        <w:t>from</w:t>
      </w:r>
      <w:r>
        <w:rPr/>
        <w:t> legislative interference: it is the product of the vigorous common sense of English judges.” </w:t>
      </w:r>
      <w:r>
        <w:rPr>
          <w:color w:val="005DA1"/>
          <w:vertAlign w:val="superscript"/>
        </w:rPr>
        <w:t>4</w:t>
      </w:r>
    </w:p>
    <w:p>
      <w:pPr>
        <w:pStyle w:val="BodyText"/>
        <w:spacing w:before="116"/>
      </w:pPr>
    </w:p>
    <w:p>
      <w:pPr>
        <w:pStyle w:val="BodyText"/>
        <w:spacing w:line="235" w:lineRule="auto"/>
        <w:ind w:left="165" w:right="167"/>
        <w:jc w:val="both"/>
      </w:pPr>
      <w:r>
        <w:rPr/>
        <w:t>The common law (including equity for this purpose) still provides the fundamental rules governing all </w:t>
      </w:r>
      <w:bookmarkStart w:name="_bookmark7" w:id="9"/>
      <w:bookmarkEnd w:id="9"/>
      <w:r>
        <w:rPr/>
        <w:t>aspects</w:t>
      </w:r>
      <w:r>
        <w:rPr>
          <w:spacing w:val="6"/>
        </w:rPr>
        <w:t> </w:t>
      </w:r>
      <w:r>
        <w:rPr/>
        <w:t>of</w:t>
      </w:r>
      <w:r>
        <w:rPr>
          <w:spacing w:val="6"/>
        </w:rPr>
        <w:t> </w:t>
      </w:r>
      <w:r>
        <w:rPr/>
        <w:t>the</w:t>
      </w:r>
      <w:r>
        <w:rPr>
          <w:spacing w:val="6"/>
        </w:rPr>
        <w:t> </w:t>
      </w:r>
      <w:r>
        <w:rPr/>
        <w:t>law</w:t>
      </w:r>
      <w:r>
        <w:rPr>
          <w:spacing w:val="6"/>
        </w:rPr>
        <w:t> </w:t>
      </w:r>
      <w:r>
        <w:rPr/>
        <w:t>applicable</w:t>
      </w:r>
      <w:r>
        <w:rPr>
          <w:spacing w:val="6"/>
        </w:rPr>
        <w:t> </w:t>
      </w:r>
      <w:r>
        <w:rPr/>
        <w:t>to</w:t>
      </w:r>
      <w:r>
        <w:rPr>
          <w:spacing w:val="6"/>
        </w:rPr>
        <w:t> </w:t>
      </w:r>
      <w:r>
        <w:rPr/>
        <w:t>contracts</w:t>
      </w:r>
      <w:r>
        <w:rPr>
          <w:spacing w:val="6"/>
        </w:rPr>
        <w:t> </w:t>
      </w:r>
      <w:r>
        <w:rPr/>
        <w:t>generally:</w:t>
      </w:r>
      <w:r>
        <w:rPr>
          <w:spacing w:val="6"/>
        </w:rPr>
        <w:t> </w:t>
      </w:r>
      <w:r>
        <w:rPr/>
        <w:t>English</w:t>
      </w:r>
      <w:r>
        <w:rPr>
          <w:spacing w:val="6"/>
        </w:rPr>
        <w:t> </w:t>
      </w:r>
      <w:r>
        <w:rPr/>
        <w:t>law</w:t>
      </w:r>
      <w:r>
        <w:rPr>
          <w:spacing w:val="6"/>
        </w:rPr>
        <w:t> </w:t>
      </w:r>
      <w:r>
        <w:rPr/>
        <w:t>has</w:t>
      </w:r>
      <w:r>
        <w:rPr>
          <w:spacing w:val="6"/>
        </w:rPr>
        <w:t> </w:t>
      </w:r>
      <w:r>
        <w:rPr/>
        <w:t>not</w:t>
      </w:r>
      <w:r>
        <w:rPr>
          <w:spacing w:val="6"/>
        </w:rPr>
        <w:t> </w:t>
      </w:r>
      <w:r>
        <w:rPr/>
        <w:t>adopted</w:t>
      </w:r>
      <w:r>
        <w:rPr>
          <w:spacing w:val="6"/>
        </w:rPr>
        <w:t> </w:t>
      </w:r>
      <w:r>
        <w:rPr/>
        <w:t>a</w:t>
      </w:r>
      <w:r>
        <w:rPr>
          <w:spacing w:val="6"/>
        </w:rPr>
        <w:t> </w:t>
      </w:r>
      <w:r>
        <w:rPr/>
        <w:t>contract</w:t>
      </w:r>
      <w:r>
        <w:rPr>
          <w:spacing w:val="6"/>
        </w:rPr>
        <w:t> </w:t>
      </w:r>
      <w:r>
        <w:rPr/>
        <w:t>law</w:t>
      </w:r>
      <w:r>
        <w:rPr>
          <w:spacing w:val="6"/>
        </w:rPr>
        <w:t> </w:t>
      </w:r>
      <w:r>
        <w:rPr>
          <w:spacing w:val="-4"/>
        </w:rPr>
        <w:t>code</w:t>
      </w:r>
    </w:p>
    <w:p>
      <w:pPr>
        <w:pStyle w:val="BodyText"/>
        <w:spacing w:line="235" w:lineRule="auto" w:before="119"/>
        <w:ind w:left="164" w:right="167"/>
        <w:jc w:val="both"/>
      </w:pPr>
      <w:r>
        <w:rPr/>
        <mc:AlternateContent>
          <mc:Choice Requires="wps">
            <w:drawing>
              <wp:anchor distT="0" distB="0" distL="0" distR="0" allowOverlap="1" layoutInCell="1" locked="0" behindDoc="0" simplePos="0" relativeHeight="15733248">
                <wp:simplePos x="0" y="0"/>
                <wp:positionH relativeFrom="page">
                  <wp:posOffset>2100605</wp:posOffset>
                </wp:positionH>
                <wp:positionV relativeFrom="paragraph">
                  <wp:posOffset>139309</wp:posOffset>
                </wp:positionV>
                <wp:extent cx="425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65.401993pt,10.969262pt" to="168.737993pt,10.969262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0429056">
                <wp:simplePos x="0" y="0"/>
                <wp:positionH relativeFrom="page">
                  <wp:posOffset>3605339</wp:posOffset>
                </wp:positionH>
                <wp:positionV relativeFrom="paragraph">
                  <wp:posOffset>282184</wp:posOffset>
                </wp:positionV>
                <wp:extent cx="425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87424" from="283.885010pt,22.219261pt" to="287.221010pt,22.21926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0429568">
                <wp:simplePos x="0" y="0"/>
                <wp:positionH relativeFrom="page">
                  <wp:posOffset>3689413</wp:posOffset>
                </wp:positionH>
                <wp:positionV relativeFrom="paragraph">
                  <wp:posOffset>425059</wp:posOffset>
                </wp:positionV>
                <wp:extent cx="425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86912" from="290.505005pt,33.469261pt" to="293.841005pt,33.46926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0430080">
                <wp:simplePos x="0" y="0"/>
                <wp:positionH relativeFrom="page">
                  <wp:posOffset>4702428</wp:posOffset>
                </wp:positionH>
                <wp:positionV relativeFrom="paragraph">
                  <wp:posOffset>567934</wp:posOffset>
                </wp:positionV>
                <wp:extent cx="425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86400" from="370.269989pt,44.719261pt" to="373.605989pt,44.71926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0430592">
                <wp:simplePos x="0" y="0"/>
                <wp:positionH relativeFrom="page">
                  <wp:posOffset>3979227</wp:posOffset>
                </wp:positionH>
                <wp:positionV relativeFrom="paragraph">
                  <wp:posOffset>710809</wp:posOffset>
                </wp:positionV>
                <wp:extent cx="425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85888" from="313.325012pt,55.969261pt" to="316.661012pt,55.969261pt" stroked="true" strokeweight=".428pt" strokecolor="#005da1">
                <v:stroke dashstyle="solid"/>
                <w10:wrap type="none"/>
              </v:line>
            </w:pict>
          </mc:Fallback>
        </mc:AlternateContent>
      </w:r>
      <w:bookmarkStart w:name="_bookmark8" w:id="10"/>
      <w:bookmarkEnd w:id="10"/>
      <w:r>
        <w:rPr/>
      </w:r>
      <w:r>
        <w:rPr/>
        <w:t>nor a “Contract Act”. </w:t>
      </w:r>
      <w:r>
        <w:rPr>
          <w:color w:val="005DA1"/>
          <w:vertAlign w:val="superscript"/>
        </w:rPr>
        <w:t>5</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2"/>
          <w:vertAlign w:val="baseline"/>
        </w:rPr>
        <w:t> </w:t>
      </w:r>
      <w:r>
        <w:rPr>
          <w:vertAlign w:val="baseline"/>
        </w:rPr>
        <w:t>As a result, the common law governs the nature and definition of a contract </w:t>
      </w:r>
      <w:bookmarkStart w:name="_bookmark9" w:id="11"/>
      <w:bookmarkEnd w:id="11"/>
      <w:r>
        <w:rPr>
          <w:vertAlign w:val="baseline"/>
        </w:rPr>
        <w:t>(including</w:t>
      </w:r>
      <w:r>
        <w:rPr>
          <w:vertAlign w:val="baseline"/>
        </w:rPr>
        <w:t> the requirement of consideration </w:t>
      </w:r>
      <w:r>
        <w:rPr>
          <w:color w:val="005DA1"/>
          <w:vertAlign w:val="superscript"/>
        </w:rPr>
        <w:t>6</w:t>
      </w:r>
      <w:r>
        <w:rPr>
          <w:vertAlign w:val="baseline"/>
        </w:rPr>
        <w:t>); the grounds of vitiation of contracts </w:t>
      </w:r>
      <w:r>
        <w:rPr>
          <w:vertAlign w:val="baseline"/>
        </w:rPr>
        <w:t>(mistake, </w:t>
      </w:r>
      <w:bookmarkStart w:name="_bookmark10" w:id="12"/>
      <w:bookmarkEnd w:id="12"/>
      <w:r>
        <w:rPr>
          <w:vertAlign w:val="baseline"/>
        </w:rPr>
        <w:t>misrepresentation,</w:t>
      </w:r>
      <w:r>
        <w:rPr>
          <w:vertAlign w:val="baseline"/>
        </w:rPr>
        <w:t> duress and undue influence </w:t>
      </w:r>
      <w:r>
        <w:rPr>
          <w:color w:val="005DA1"/>
          <w:vertAlign w:val="superscript"/>
        </w:rPr>
        <w:t>7</w:t>
      </w:r>
      <w:r>
        <w:rPr>
          <w:vertAlign w:val="baseline"/>
        </w:rPr>
        <w:t>); the contents of contracts (the incorporation and </w:t>
      </w:r>
      <w:bookmarkStart w:name="_bookmark11" w:id="13"/>
      <w:bookmarkEnd w:id="13"/>
      <w:r>
        <w:rPr>
          <w:vertAlign w:val="baseline"/>
        </w:rPr>
        <w:t>construction</w:t>
      </w:r>
      <w:r>
        <w:rPr>
          <w:vertAlign w:val="baseline"/>
        </w:rPr>
        <w:t> of express terms and the finding of implied terms) </w:t>
      </w:r>
      <w:r>
        <w:rPr>
          <w:color w:val="005DA1"/>
          <w:vertAlign w:val="superscript"/>
        </w:rPr>
        <w:t>8</w:t>
      </w:r>
      <w:r>
        <w:rPr>
          <w:vertAlign w:val="baseline"/>
        </w:rPr>
        <w:t>; the general framework treating</w:t>
      </w:r>
      <w:r>
        <w:rPr>
          <w:spacing w:val="40"/>
          <w:vertAlign w:val="baseline"/>
        </w:rPr>
        <w:t> </w:t>
      </w:r>
      <w:bookmarkStart w:name="_bookmark12" w:id="14"/>
      <w:bookmarkEnd w:id="14"/>
      <w:r>
        <w:rPr>
          <w:vertAlign w:val="baseline"/>
        </w:rPr>
        <w:t>illegal</w:t>
      </w:r>
      <w:r>
        <w:rPr>
          <w:vertAlign w:val="baseline"/>
        </w:rPr>
        <w:t> contracts and a good number of their examples</w:t>
      </w:r>
      <w:r>
        <w:rPr>
          <w:spacing w:val="-1"/>
          <w:vertAlign w:val="baseline"/>
        </w:rPr>
        <w:t> </w:t>
      </w:r>
      <w:r>
        <w:rPr>
          <w:color w:val="005DA1"/>
          <w:vertAlign w:val="superscript"/>
        </w:rPr>
        <w:t>9</w:t>
      </w:r>
      <w:r>
        <w:rPr>
          <w:vertAlign w:val="baseline"/>
        </w:rPr>
        <w:t>; performance and the grounds of discharge of </w:t>
      </w:r>
      <w:bookmarkStart w:name="_bookmark13" w:id="15"/>
      <w:bookmarkEnd w:id="15"/>
      <w:r>
        <w:rPr>
          <w:vertAlign w:val="baseline"/>
        </w:rPr>
        <w:t>contractual</w:t>
      </w:r>
      <w:r>
        <w:rPr>
          <w:vertAlign w:val="baseline"/>
        </w:rPr>
        <w:t> obligations </w:t>
      </w:r>
      <w:r>
        <w:rPr>
          <w:color w:val="005DA1"/>
          <w:u w:val="single" w:color="005DA1"/>
          <w:vertAlign w:val="superscript"/>
        </w:rPr>
        <w:t>10</w:t>
      </w:r>
      <w:r>
        <w:rPr>
          <w:vertAlign w:val="baseline"/>
        </w:rPr>
        <w:t>; the effects of contracts on third parties (privity of contract) </w:t>
      </w:r>
      <w:r>
        <w:rPr>
          <w:color w:val="005DA1"/>
          <w:u w:val="single" w:color="005DA1"/>
          <w:vertAlign w:val="superscript"/>
        </w:rPr>
        <w:t>11</w:t>
      </w:r>
      <w:r>
        <w:rPr>
          <w:color w:val="005DA1"/>
          <w:vertAlign w:val="baseline"/>
        </w:rPr>
        <w:t> </w:t>
      </w:r>
      <w:r>
        <w:rPr>
          <w:vertAlign w:val="baseline"/>
        </w:rPr>
        <w:t>and the </w:t>
      </w:r>
      <w:bookmarkStart w:name="_bookmark14" w:id="16"/>
      <w:bookmarkEnd w:id="16"/>
      <w:r>
        <w:rPr>
          <w:vertAlign w:val="baseline"/>
        </w:rPr>
        <w:t>remedies</w:t>
      </w:r>
      <w:r>
        <w:rPr>
          <w:vertAlign w:val="baseline"/>
        </w:rPr>
        <w:t> available for breach of contract. </w:t>
      </w:r>
      <w:r>
        <w:rPr>
          <w:color w:val="005DA1"/>
          <w:u w:val="single" w:color="005DA1"/>
          <w:vertAlign w:val="superscript"/>
        </w:rPr>
        <w:t>12</w:t>
      </w:r>
      <w:r>
        <w:rPr>
          <w:color w:val="005DA1"/>
          <w:vertAlign w:val="baseline"/>
        </w:rPr>
        <w:t> </w:t>
      </w:r>
      <w:r>
        <w:rPr>
          <w:vertAlign w:val="baseline"/>
        </w:rPr>
        <w:t>Within this wider common law picture, equity has had a </w:t>
      </w:r>
      <w:bookmarkStart w:name="_bookmark15" w:id="17"/>
      <w:bookmarkEnd w:id="17"/>
      <w:r>
        <w:rPr>
          <w:vertAlign w:val="baseline"/>
        </w:rPr>
        <w:t>fairly</w:t>
      </w:r>
      <w:r>
        <w:rPr>
          <w:vertAlign w:val="baseline"/>
        </w:rPr>
        <w:t> restrained impact, though it may be seen in the doctrine of undue influence </w:t>
      </w:r>
      <w:r>
        <w:rPr>
          <w:color w:val="005DA1"/>
          <w:u w:val="single" w:color="005DA1"/>
          <w:vertAlign w:val="superscript"/>
        </w:rPr>
        <w:t>13</w:t>
      </w:r>
      <w:r>
        <w:rPr>
          <w:color w:val="005DA1"/>
          <w:vertAlign w:val="baseline"/>
        </w:rPr>
        <w:t> </w:t>
      </w:r>
      <w:r>
        <w:rPr>
          <w:vertAlign w:val="baseline"/>
        </w:rPr>
        <w:t>and in examples</w:t>
      </w:r>
      <w:r>
        <w:rPr>
          <w:spacing w:val="40"/>
          <w:vertAlign w:val="baseline"/>
        </w:rPr>
        <w:t> </w:t>
      </w:r>
      <w:bookmarkStart w:name="_bookmark16" w:id="18"/>
      <w:bookmarkEnd w:id="18"/>
      <w:r>
        <w:rPr>
          <w:vertAlign w:val="baseline"/>
        </w:rPr>
        <w:t>of</w:t>
      </w:r>
      <w:r>
        <w:rPr>
          <w:vertAlign w:val="baseline"/>
        </w:rPr>
        <w:t> wider relief on the ground of unconscionability, </w:t>
      </w:r>
      <w:r>
        <w:rPr>
          <w:color w:val="005DA1"/>
          <w:u w:val="single" w:color="005DA1"/>
          <w:vertAlign w:val="superscript"/>
        </w:rPr>
        <w:t>14</w:t>
      </w:r>
      <w:r>
        <w:rPr>
          <w:color w:val="005DA1"/>
          <w:vertAlign w:val="baseline"/>
        </w:rPr>
        <w:t> </w:t>
      </w:r>
      <w:r>
        <w:rPr>
          <w:vertAlign w:val="baseline"/>
        </w:rPr>
        <w:t>has supplied the important (if fairly restricted) </w:t>
      </w:r>
      <w:bookmarkStart w:name="_bookmark17" w:id="19"/>
      <w:bookmarkEnd w:id="19"/>
      <w:r>
        <w:rPr>
          <w:vertAlign w:val="baseline"/>
        </w:rPr>
        <w:t>remedies</w:t>
      </w:r>
      <w:r>
        <w:rPr>
          <w:vertAlign w:val="baseline"/>
        </w:rPr>
        <w:t> of specific performance and injunction, </w:t>
      </w:r>
      <w:r>
        <w:rPr>
          <w:color w:val="005DA1"/>
          <w:u w:val="single" w:color="005DA1"/>
          <w:vertAlign w:val="superscript"/>
        </w:rPr>
        <w:t>15</w:t>
      </w:r>
      <w:r>
        <w:rPr>
          <w:color w:val="005DA1"/>
          <w:vertAlign w:val="baseline"/>
        </w:rPr>
        <w:t> </w:t>
      </w:r>
      <w:r>
        <w:rPr>
          <w:vertAlign w:val="baseline"/>
        </w:rPr>
        <w:t>and has allowed promissory and proprietary estoppel</w:t>
      </w:r>
      <w:r>
        <w:rPr>
          <w:spacing w:val="3"/>
          <w:vertAlign w:val="baseline"/>
        </w:rPr>
        <w:t> </w:t>
      </w:r>
      <w:r>
        <w:rPr>
          <w:vertAlign w:val="baseline"/>
        </w:rPr>
        <w:t>to</w:t>
      </w:r>
      <w:r>
        <w:rPr>
          <w:spacing w:val="3"/>
          <w:vertAlign w:val="baseline"/>
        </w:rPr>
        <w:t> </w:t>
      </w:r>
      <w:r>
        <w:rPr>
          <w:vertAlign w:val="baseline"/>
        </w:rPr>
        <w:t>qualify</w:t>
      </w:r>
      <w:r>
        <w:rPr>
          <w:spacing w:val="3"/>
          <w:vertAlign w:val="baseline"/>
        </w:rPr>
        <w:t> </w:t>
      </w:r>
      <w:r>
        <w:rPr>
          <w:vertAlign w:val="baseline"/>
        </w:rPr>
        <w:t>the</w:t>
      </w:r>
      <w:r>
        <w:rPr>
          <w:spacing w:val="3"/>
          <w:vertAlign w:val="baseline"/>
        </w:rPr>
        <w:t> </w:t>
      </w:r>
      <w:r>
        <w:rPr>
          <w:vertAlign w:val="baseline"/>
        </w:rPr>
        <w:t>doctrine</w:t>
      </w:r>
      <w:r>
        <w:rPr>
          <w:spacing w:val="3"/>
          <w:vertAlign w:val="baseline"/>
        </w:rPr>
        <w:t> </w:t>
      </w:r>
      <w:r>
        <w:rPr>
          <w:vertAlign w:val="baseline"/>
        </w:rPr>
        <w:t>of</w:t>
      </w:r>
      <w:r>
        <w:rPr>
          <w:spacing w:val="3"/>
          <w:vertAlign w:val="baseline"/>
        </w:rPr>
        <w:t> </w:t>
      </w:r>
      <w:r>
        <w:rPr>
          <w:vertAlign w:val="baseline"/>
        </w:rPr>
        <w:t>consideration</w:t>
      </w:r>
      <w:r>
        <w:rPr>
          <w:spacing w:val="3"/>
          <w:vertAlign w:val="baseline"/>
        </w:rPr>
        <w:t> </w:t>
      </w:r>
      <w:r>
        <w:rPr>
          <w:vertAlign w:val="baseline"/>
        </w:rPr>
        <w:t>and</w:t>
      </w:r>
      <w:r>
        <w:rPr>
          <w:spacing w:val="3"/>
          <w:vertAlign w:val="baseline"/>
        </w:rPr>
        <w:t> </w:t>
      </w:r>
      <w:r>
        <w:rPr>
          <w:vertAlign w:val="baseline"/>
        </w:rPr>
        <w:t>(sometimes)</w:t>
      </w:r>
      <w:r>
        <w:rPr>
          <w:spacing w:val="3"/>
          <w:vertAlign w:val="baseline"/>
        </w:rPr>
        <w:t> </w:t>
      </w:r>
      <w:r>
        <w:rPr>
          <w:vertAlign w:val="baseline"/>
        </w:rPr>
        <w:t>legislative</w:t>
      </w:r>
      <w:r>
        <w:rPr>
          <w:spacing w:val="3"/>
          <w:vertAlign w:val="baseline"/>
        </w:rPr>
        <w:t> </w:t>
      </w:r>
      <w:r>
        <w:rPr>
          <w:vertAlign w:val="baseline"/>
        </w:rPr>
        <w:t>requirements</w:t>
      </w:r>
      <w:r>
        <w:rPr>
          <w:spacing w:val="3"/>
          <w:vertAlign w:val="baseline"/>
        </w:rPr>
        <w:t> </w:t>
      </w:r>
      <w:r>
        <w:rPr>
          <w:vertAlign w:val="baseline"/>
        </w:rPr>
        <w:t>of</w:t>
      </w:r>
      <w:r>
        <w:rPr>
          <w:spacing w:val="3"/>
          <w:vertAlign w:val="baseline"/>
        </w:rPr>
        <w:t> </w:t>
      </w:r>
      <w:r>
        <w:rPr>
          <w:spacing w:val="-2"/>
          <w:vertAlign w:val="baseline"/>
        </w:rPr>
        <w:t>formality.</w:t>
      </w:r>
    </w:p>
    <w:p>
      <w:pPr>
        <w:spacing w:line="109" w:lineRule="exact" w:before="0"/>
        <w:ind w:left="165" w:right="0" w:firstLine="0"/>
        <w:jc w:val="left"/>
        <w:rPr>
          <w:sz w:val="12"/>
        </w:rPr>
      </w:pPr>
      <w:r>
        <w:rPr>
          <w:color w:val="005DA1"/>
          <w:spacing w:val="-5"/>
          <w:sz w:val="12"/>
          <w:u w:val="single" w:color="005DA1"/>
        </w:rPr>
        <w:t>16</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Rules governing specific </w:t>
      </w:r>
      <w:r>
        <w:rPr>
          <w:rFonts w:ascii="Arial"/>
          <w:b/>
          <w:spacing w:val="-2"/>
          <w:sz w:val="18"/>
        </w:rPr>
        <w:t>contracts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004</w:t>
      </w:r>
    </w:p>
    <w:p>
      <w:pPr>
        <w:pStyle w:val="BodyText"/>
        <w:spacing w:line="235" w:lineRule="auto" w:before="203"/>
        <w:ind w:left="165" w:right="166"/>
        <w:jc w:val="both"/>
      </w:pPr>
      <w:r>
        <w:rPr/>
        <w:t>There is a much greater diversity in relation to the modern significance of the common law as </w:t>
      </w:r>
      <w:r>
        <w:rPr/>
        <w:t>regards the rules governing specific contracts as contrasted with the law governing contracts in general. In </w:t>
      </w:r>
      <w:bookmarkStart w:name="_bookmark18" w:id="20"/>
      <w:bookmarkEnd w:id="20"/>
      <w:r>
        <w:rPr/>
        <w:t>some</w:t>
      </w:r>
      <w:r>
        <w:rPr/>
        <w:t> contexts, the common law (sometimes supported or corrected by equity) still dominates the law </w:t>
      </w:r>
      <w:bookmarkStart w:name="_bookmark19" w:id="21"/>
      <w:bookmarkEnd w:id="21"/>
      <w:r>
        <w:rPr/>
        <w:t>governing</w:t>
      </w:r>
      <w:r>
        <w:rPr/>
        <w:t> the relationships between the contracting parties </w:t>
      </w:r>
      <w:r>
        <w:rPr>
          <w:color w:val="005DA1"/>
          <w:u w:val="single" w:color="005DA1"/>
          <w:vertAlign w:val="superscript"/>
        </w:rPr>
        <w:t>17</w:t>
      </w:r>
      <w:r>
        <w:rPr>
          <w:vertAlign w:val="baseline"/>
        </w:rPr>
        <w:t>: this is true, inter alia, of contracts of agency, </w:t>
      </w:r>
      <w:r>
        <w:rPr>
          <w:color w:val="005DA1"/>
          <w:u w:val="single" w:color="005DA1"/>
          <w:vertAlign w:val="superscript"/>
        </w:rPr>
        <w:t>18</w:t>
      </w:r>
      <w:r>
        <w:rPr>
          <w:color w:val="005DA1"/>
          <w:vertAlign w:val="baseline"/>
        </w:rPr>
        <w:t> </w:t>
      </w:r>
      <w:r>
        <w:rPr>
          <w:vertAlign w:val="baseline"/>
        </w:rPr>
        <w:t>contracts of insurance </w:t>
      </w:r>
      <w:r>
        <w:rPr>
          <w:color w:val="005DA1"/>
          <w:u w:val="single" w:color="005DA1"/>
          <w:vertAlign w:val="superscript"/>
        </w:rPr>
        <w:t>19</w:t>
      </w:r>
      <w:r>
        <w:rPr>
          <w:color w:val="005DA1"/>
          <w:vertAlign w:val="baseline"/>
        </w:rPr>
        <w:t> </w:t>
      </w:r>
      <w:r>
        <w:rPr>
          <w:vertAlign w:val="baseline"/>
        </w:rPr>
        <w:t>and contracts of suretyship, </w:t>
      </w:r>
      <w:r>
        <w:rPr>
          <w:color w:val="005DA1"/>
          <w:u w:val="single" w:color="005DA1"/>
          <w:vertAlign w:val="superscript"/>
        </w:rPr>
        <w:t>20</w:t>
      </w:r>
      <w:r>
        <w:rPr>
          <w:color w:val="005DA1"/>
          <w:vertAlign w:val="baseline"/>
        </w:rPr>
        <w:t> </w:t>
      </w:r>
      <w:r>
        <w:rPr>
          <w:vertAlign w:val="baseline"/>
        </w:rPr>
        <w:t>even though even in these examples the law is sometimes supplemented or corrected by legislation. As will be seen, in other types of contract, the role of the common law has become much diminished, with legislation (whether national or European in origin) becoming increasingly significant, especially as regards the regulation of the consequences of concluding a contract. Finally, in some types of contract, the regulation of the parties’</w:t>
      </w:r>
      <w:r>
        <w:rPr>
          <w:spacing w:val="15"/>
          <w:vertAlign w:val="baseline"/>
        </w:rPr>
        <w:t> </w:t>
      </w:r>
      <w:r>
        <w:rPr>
          <w:vertAlign w:val="baseline"/>
        </w:rPr>
        <w:t>relationship</w:t>
      </w:r>
      <w:r>
        <w:rPr>
          <w:spacing w:val="15"/>
          <w:vertAlign w:val="baseline"/>
        </w:rPr>
        <w:t> </w:t>
      </w:r>
      <w:r>
        <w:rPr>
          <w:vertAlign w:val="baseline"/>
        </w:rPr>
        <w:t>remains</w:t>
      </w:r>
      <w:r>
        <w:rPr>
          <w:spacing w:val="15"/>
          <w:vertAlign w:val="baseline"/>
        </w:rPr>
        <w:t> </w:t>
      </w:r>
      <w:r>
        <w:rPr>
          <w:vertAlign w:val="baseline"/>
        </w:rPr>
        <w:t>all</w:t>
      </w:r>
      <w:r>
        <w:rPr>
          <w:spacing w:val="15"/>
          <w:vertAlign w:val="baseline"/>
        </w:rPr>
        <w:t> </w:t>
      </w:r>
      <w:r>
        <w:rPr>
          <w:vertAlign w:val="baseline"/>
        </w:rPr>
        <w:t>but</w:t>
      </w:r>
      <w:r>
        <w:rPr>
          <w:spacing w:val="15"/>
          <w:vertAlign w:val="baseline"/>
        </w:rPr>
        <w:t> </w:t>
      </w:r>
      <w:r>
        <w:rPr>
          <w:vertAlign w:val="baseline"/>
        </w:rPr>
        <w:t>entirely</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hands</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parties</w:t>
      </w:r>
      <w:r>
        <w:rPr>
          <w:spacing w:val="15"/>
          <w:vertAlign w:val="baseline"/>
        </w:rPr>
        <w:t> </w:t>
      </w:r>
      <w:r>
        <w:rPr>
          <w:vertAlign w:val="baseline"/>
        </w:rPr>
        <w:t>themselves,</w:t>
      </w:r>
      <w:r>
        <w:rPr>
          <w:spacing w:val="15"/>
          <w:vertAlign w:val="baseline"/>
        </w:rPr>
        <w:t> </w:t>
      </w:r>
      <w:r>
        <w:rPr>
          <w:vertAlign w:val="baseline"/>
        </w:rPr>
        <w:t>who</w:t>
      </w:r>
      <w:r>
        <w:rPr>
          <w:spacing w:val="15"/>
          <w:vertAlign w:val="baseline"/>
        </w:rPr>
        <w:t> </w:t>
      </w:r>
      <w:r>
        <w:rPr>
          <w:vertAlign w:val="baseline"/>
        </w:rPr>
        <w:t>may</w:t>
      </w:r>
      <w:r>
        <w:rPr>
          <w:spacing w:val="15"/>
          <w:vertAlign w:val="baseline"/>
        </w:rPr>
        <w:t> </w:t>
      </w:r>
      <w:r>
        <w:rPr>
          <w:vertAlign w:val="baseline"/>
        </w:rPr>
        <w:t>for</w:t>
      </w:r>
      <w:r>
        <w:rPr>
          <w:spacing w:val="15"/>
          <w:vertAlign w:val="baseline"/>
        </w:rPr>
        <w:t> </w:t>
      </w:r>
      <w:r>
        <w:rPr>
          <w:spacing w:val="-4"/>
          <w:vertAlign w:val="baseline"/>
        </w:rPr>
        <w:t>this</w:t>
      </w:r>
    </w:p>
    <w:p>
      <w:pPr>
        <w:pStyle w:val="BodyText"/>
        <w:spacing w:after="0" w:line="235" w:lineRule="auto"/>
        <w:jc w:val="both"/>
        <w:sectPr>
          <w:pgSz w:w="11900" w:h="16840"/>
          <w:pgMar w:header="971" w:footer="0" w:top="1300" w:bottom="280" w:left="1275" w:right="1275"/>
        </w:sectPr>
      </w:pPr>
    </w:p>
    <w:p>
      <w:pPr>
        <w:pStyle w:val="BodyText"/>
        <w:spacing w:before="106"/>
        <w:ind w:left="165"/>
      </w:pPr>
      <w:bookmarkStart w:name="_bookmark20" w:id="22"/>
      <w:bookmarkEnd w:id="22"/>
      <w:r>
        <w:rPr/>
      </w:r>
      <w:r>
        <w:rPr/>
        <w:t>purpose use standard contract terms, whether their own or ones drawn from industry practice.</w:t>
      </w:r>
      <w:r>
        <w:rPr>
          <w:spacing w:val="-1"/>
        </w:rPr>
        <w:t> </w:t>
      </w:r>
      <w:r>
        <w:rPr>
          <w:color w:val="005DA1"/>
          <w:spacing w:val="-5"/>
          <w:u w:val="single" w:color="005DA1"/>
          <w:vertAlign w:val="superscript"/>
        </w:rPr>
        <w:t>21</w:t>
      </w:r>
    </w:p>
    <w:p>
      <w:pPr>
        <w:pStyle w:val="BodyText"/>
      </w:pPr>
    </w:p>
    <w:p>
      <w:pPr>
        <w:pStyle w:val="BodyText"/>
        <w:spacing w:before="39"/>
      </w:pPr>
      <w:r>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186316</wp:posOffset>
                </wp:positionV>
                <wp:extent cx="572452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0594pt;width:450.75pt;height:.1pt;mso-position-horizontal-relative:page;mso-position-vertical-relative:paragraph;z-index:-15721472;mso-wrap-distance-left:0;mso-wrap-distance-right:0" id="docshape5"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tabs>
          <w:tab w:pos="705" w:val="left" w:leader="none"/>
        </w:tabs>
        <w:spacing w:line="235" w:lineRule="auto"/>
        <w:ind w:left="705" w:right="168" w:hanging="541"/>
      </w:pPr>
      <w:r>
        <w:rPr/>
        <mc:AlternateContent>
          <mc:Choice Requires="wps">
            <w:drawing>
              <wp:anchor distT="0" distB="0" distL="0" distR="0" allowOverlap="1" layoutInCell="1" locked="0" behindDoc="1" simplePos="0" relativeHeight="480431616">
                <wp:simplePos x="0" y="0"/>
                <wp:positionH relativeFrom="page">
                  <wp:posOffset>914400</wp:posOffset>
                </wp:positionH>
                <wp:positionV relativeFrom="paragraph">
                  <wp:posOffset>94576</wp:posOffset>
                </wp:positionV>
                <wp:extent cx="4953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84864" from="72pt,7.446977pt" to="75.892pt,7.446977pt" stroked="true" strokeweight=".5pt" strokecolor="#005da1">
                <v:stroke dashstyle="solid"/>
                <w10:wrap type="none"/>
              </v:line>
            </w:pict>
          </mc:Fallback>
        </mc:AlternateContent>
      </w:r>
      <w:bookmarkStart w:name="_bookmark21" w:id="23"/>
      <w:bookmarkEnd w:id="23"/>
      <w:r>
        <w:rPr/>
      </w:r>
      <w:hyperlink w:history="true" w:anchor="_bookmark6">
        <w:r>
          <w:rPr>
            <w:color w:val="005DA1"/>
            <w:spacing w:val="-6"/>
            <w:position w:val="5"/>
            <w:sz w:val="14"/>
          </w:rPr>
          <w:t>4</w:t>
        </w:r>
      </w:hyperlink>
      <w:r>
        <w:rPr>
          <w:spacing w:val="-6"/>
          <w:position w:val="5"/>
          <w:sz w:val="14"/>
        </w:rPr>
        <w:t>.</w:t>
      </w:r>
      <w:r>
        <w:rPr>
          <w:position w:val="5"/>
          <w:sz w:val="14"/>
        </w:rPr>
        <w:tab/>
      </w:r>
      <w:r>
        <w:rPr/>
        <w:t>Principles of the English Law of Contract and of Agency in relation to Contract, 1st edn (1879), </w:t>
      </w:r>
      <w:r>
        <w:rPr>
          <w:spacing w:val="-2"/>
        </w:rPr>
        <w:t>Preface.</w:t>
      </w:r>
    </w:p>
    <w:p>
      <w:pPr>
        <w:pStyle w:val="BodyText"/>
        <w:spacing w:before="81"/>
        <w:rPr>
          <w:sz w:val="14"/>
        </w:rPr>
      </w:pPr>
    </w:p>
    <w:p>
      <w:pPr>
        <w:spacing w:line="137" w:lineRule="exact" w:before="1"/>
        <w:ind w:left="165" w:right="0" w:firstLine="0"/>
        <w:jc w:val="left"/>
        <w:rPr>
          <w:sz w:val="14"/>
        </w:rPr>
      </w:pPr>
      <w:bookmarkStart w:name="_bookmark22" w:id="24"/>
      <w:bookmarkEnd w:id="24"/>
      <w:r>
        <w:rPr/>
      </w:r>
      <w:hyperlink w:history="true" w:anchor="_bookmark7">
        <w:r>
          <w:rPr>
            <w:color w:val="005DA1"/>
            <w:spacing w:val="-5"/>
            <w:sz w:val="14"/>
          </w:rPr>
          <w:t>5</w:t>
        </w:r>
      </w:hyperlink>
      <w:r>
        <w:rPr>
          <w:spacing w:val="-5"/>
          <w:sz w:val="14"/>
        </w:rPr>
        <w:t>.</w:t>
      </w:r>
    </w:p>
    <w:p>
      <w:pPr>
        <w:pStyle w:val="BodyText"/>
        <w:spacing w:line="203" w:lineRule="exact"/>
        <w:ind w:left="875"/>
        <w:jc w:val="both"/>
      </w:pPr>
      <w:r>
        <w:rPr/>
        <mc:AlternateContent>
          <mc:Choice Requires="wps">
            <w:drawing>
              <wp:anchor distT="0" distB="0" distL="0" distR="0" allowOverlap="1" layoutInCell="1" locked="0" behindDoc="0" simplePos="0" relativeHeight="15736832">
                <wp:simplePos x="0" y="0"/>
                <wp:positionH relativeFrom="page">
                  <wp:posOffset>914400</wp:posOffset>
                </wp:positionH>
                <wp:positionV relativeFrom="paragraph">
                  <wp:posOffset>5269</wp:posOffset>
                </wp:positionV>
                <wp:extent cx="4953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72pt,.414909pt" to="75.892pt,.414909pt" stroked="true" strokeweight=".5pt" strokecolor="#005da1">
                <v:stroke dashstyle="solid"/>
                <w10:wrap type="none"/>
              </v:line>
            </w:pict>
          </mc:Fallback>
        </mc:AlternateContent>
      </w:r>
      <w:r>
        <w:rPr/>
        <w:drawing>
          <wp:anchor distT="0" distB="0" distL="0" distR="0" allowOverlap="1" layoutInCell="1" locked="0" behindDoc="0" simplePos="0" relativeHeight="15737344">
            <wp:simplePos x="0" y="0"/>
            <wp:positionH relativeFrom="page">
              <wp:posOffset>1257846</wp:posOffset>
            </wp:positionH>
            <wp:positionV relativeFrom="paragraph">
              <wp:posOffset>12559</wp:posOffset>
            </wp:positionV>
            <wp:extent cx="107988" cy="107988"/>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6" cstate="print"/>
                    <a:stretch>
                      <a:fillRect/>
                    </a:stretch>
                  </pic:blipFill>
                  <pic:spPr>
                    <a:xfrm>
                      <a:off x="0" y="0"/>
                      <a:ext cx="107988" cy="107988"/>
                    </a:xfrm>
                    <a:prstGeom prst="rect">
                      <a:avLst/>
                    </a:prstGeom>
                  </pic:spPr>
                </pic:pic>
              </a:graphicData>
            </a:graphic>
          </wp:anchor>
        </w:drawing>
      </w:r>
      <w:r>
        <w:rPr/>
        <w:t>Other</w:t>
      </w:r>
      <w:r>
        <w:rPr>
          <w:spacing w:val="4"/>
        </w:rPr>
        <w:t> </w:t>
      </w:r>
      <w:r>
        <w:rPr/>
        <w:t>common</w:t>
      </w:r>
      <w:r>
        <w:rPr>
          <w:spacing w:val="4"/>
        </w:rPr>
        <w:t> </w:t>
      </w:r>
      <w:r>
        <w:rPr/>
        <w:t>law</w:t>
      </w:r>
      <w:r>
        <w:rPr>
          <w:spacing w:val="4"/>
        </w:rPr>
        <w:t> </w:t>
      </w:r>
      <w:r>
        <w:rPr/>
        <w:t>systems</w:t>
      </w:r>
      <w:r>
        <w:rPr>
          <w:spacing w:val="4"/>
        </w:rPr>
        <w:t> </w:t>
      </w:r>
      <w:r>
        <w:rPr/>
        <w:t>have</w:t>
      </w:r>
      <w:r>
        <w:rPr>
          <w:spacing w:val="4"/>
        </w:rPr>
        <w:t> </w:t>
      </w:r>
      <w:r>
        <w:rPr/>
        <w:t>chosen</w:t>
      </w:r>
      <w:r>
        <w:rPr>
          <w:spacing w:val="4"/>
        </w:rPr>
        <w:t> </w:t>
      </w:r>
      <w:r>
        <w:rPr/>
        <w:t>different</w:t>
      </w:r>
      <w:r>
        <w:rPr>
          <w:spacing w:val="4"/>
        </w:rPr>
        <w:t> </w:t>
      </w:r>
      <w:r>
        <w:rPr/>
        <w:t>paths,</w:t>
      </w:r>
      <w:r>
        <w:rPr>
          <w:spacing w:val="4"/>
        </w:rPr>
        <w:t> </w:t>
      </w:r>
      <w:r>
        <w:rPr/>
        <w:t>e.g.</w:t>
      </w:r>
      <w:r>
        <w:rPr>
          <w:spacing w:val="4"/>
        </w:rPr>
        <w:t> </w:t>
      </w:r>
      <w:r>
        <w:rPr/>
        <w:t>the</w:t>
      </w:r>
      <w:r>
        <w:rPr>
          <w:spacing w:val="4"/>
        </w:rPr>
        <w:t> </w:t>
      </w:r>
      <w:r>
        <w:rPr/>
        <w:t>Indian</w:t>
      </w:r>
      <w:r>
        <w:rPr>
          <w:spacing w:val="4"/>
        </w:rPr>
        <w:t> </w:t>
      </w:r>
      <w:r>
        <w:rPr/>
        <w:t>Contract</w:t>
      </w:r>
      <w:r>
        <w:rPr>
          <w:spacing w:val="4"/>
        </w:rPr>
        <w:t> </w:t>
      </w:r>
      <w:r>
        <w:rPr/>
        <w:t>Act</w:t>
      </w:r>
      <w:r>
        <w:rPr>
          <w:spacing w:val="4"/>
        </w:rPr>
        <w:t> </w:t>
      </w:r>
      <w:r>
        <w:rPr/>
        <w:t>of</w:t>
      </w:r>
      <w:r>
        <w:rPr>
          <w:spacing w:val="4"/>
        </w:rPr>
        <w:t> </w:t>
      </w:r>
      <w:r>
        <w:rPr>
          <w:spacing w:val="-4"/>
        </w:rPr>
        <w:t>1873</w:t>
      </w:r>
    </w:p>
    <w:p>
      <w:pPr>
        <w:pStyle w:val="BodyText"/>
        <w:spacing w:line="235" w:lineRule="auto" w:before="1"/>
        <w:ind w:left="705" w:right="167"/>
        <w:jc w:val="both"/>
      </w:pPr>
      <w:r>
        <w:rPr/>
        <w:t>whose first draft was written by Sir Frederick Pollock. In the 1960s and early 1970s work </w:t>
      </w:r>
      <w:r>
        <w:rPr/>
        <w:t>on drafting an English contract code was undertaken by the English and Scottish Law Commissions, but was later abandoned: see Law Com. No.1 (1965) 6; Law Com. No.4 (1966)</w:t>
      </w:r>
      <w:r>
        <w:rPr>
          <w:spacing w:val="40"/>
        </w:rPr>
        <w:t> </w:t>
      </w:r>
      <w:r>
        <w:rPr/>
        <w:t>7; Law Com. No.50 (1972) 3. A draft was published by McGregor, </w:t>
      </w:r>
      <w:r>
        <w:rPr>
          <w:rFonts w:ascii="Arial" w:hAnsi="Arial"/>
          <w:i/>
        </w:rPr>
        <w:t>A Contract Code Drawn up on Behalf of the English Law Commission </w:t>
      </w:r>
      <w:r>
        <w:rPr/>
        <w:t>(1993). See Cartwright (2009) 17 Eur. Rev. Private law 155, 168–169. The modern position of consumer contract law is more arguable as recent legislation has reframed a good deal of the law: see below, para.1-008 and Vol.II, Ch.38. See, however, Burrows, </w:t>
      </w:r>
      <w:r>
        <w:rPr>
          <w:rFonts w:ascii="Arial" w:hAnsi="Arial"/>
          <w:i/>
        </w:rPr>
        <w:t>A Restatement of the English Law of Contract </w:t>
      </w:r>
      <w:r>
        <w:rPr/>
        <w:t>(2016), whose aim (p.x) is “to provide the best interpretation of the present English law of contract”.</w:t>
      </w:r>
    </w:p>
    <w:p>
      <w:pPr>
        <w:pStyle w:val="BodyText"/>
        <w:spacing w:before="2"/>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0433152">
                <wp:simplePos x="0" y="0"/>
                <wp:positionH relativeFrom="page">
                  <wp:posOffset>914400</wp:posOffset>
                </wp:positionH>
                <wp:positionV relativeFrom="paragraph">
                  <wp:posOffset>97467</wp:posOffset>
                </wp:positionV>
                <wp:extent cx="495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83328" from="72pt,7.674638pt" to="75.892pt,7.674638pt" stroked="true" strokeweight=".5pt" strokecolor="#005da1">
                <v:stroke dashstyle="solid"/>
                <w10:wrap type="none"/>
              </v:line>
            </w:pict>
          </mc:Fallback>
        </mc:AlternateContent>
      </w:r>
      <w:bookmarkStart w:name="_bookmark23" w:id="25"/>
      <w:bookmarkEnd w:id="25"/>
      <w:r>
        <w:rPr/>
      </w:r>
      <w:hyperlink w:history="true" w:anchor="_bookmark8">
        <w:r>
          <w:rPr>
            <w:color w:val="005DA1"/>
            <w:spacing w:val="-5"/>
            <w:position w:val="5"/>
            <w:sz w:val="14"/>
          </w:rPr>
          <w:t>6</w:t>
        </w:r>
      </w:hyperlink>
      <w:r>
        <w:rPr>
          <w:spacing w:val="-5"/>
          <w:position w:val="5"/>
          <w:sz w:val="14"/>
        </w:rPr>
        <w:t>.</w:t>
      </w:r>
      <w:r>
        <w:rPr>
          <w:position w:val="5"/>
          <w:sz w:val="14"/>
        </w:rPr>
        <w:tab/>
      </w:r>
      <w:r>
        <w:rPr/>
        <w:t>Below, para.1-014, and see Chs 2 and </w:t>
      </w:r>
      <w:r>
        <w:rPr>
          <w:spacing w:val="-5"/>
        </w:rPr>
        <w:t>4.</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0433664">
                <wp:simplePos x="0" y="0"/>
                <wp:positionH relativeFrom="page">
                  <wp:posOffset>914400</wp:posOffset>
                </wp:positionH>
                <wp:positionV relativeFrom="paragraph">
                  <wp:posOffset>96857</wp:posOffset>
                </wp:positionV>
                <wp:extent cx="4953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82816" from="72pt,7.626591pt" to="75.892pt,7.626591pt" stroked="true" strokeweight=".5pt" strokecolor="#005da1">
                <v:stroke dashstyle="solid"/>
                <w10:wrap type="none"/>
              </v:line>
            </w:pict>
          </mc:Fallback>
        </mc:AlternateContent>
      </w:r>
      <w:bookmarkStart w:name="_bookmark24" w:id="26"/>
      <w:bookmarkEnd w:id="26"/>
      <w:r>
        <w:rPr/>
      </w:r>
      <w:hyperlink w:history="true" w:anchor="_bookmark9">
        <w:r>
          <w:rPr>
            <w:color w:val="005DA1"/>
            <w:spacing w:val="-5"/>
            <w:position w:val="5"/>
            <w:sz w:val="14"/>
          </w:rPr>
          <w:t>7</w:t>
        </w:r>
      </w:hyperlink>
      <w:r>
        <w:rPr>
          <w:spacing w:val="-5"/>
          <w:position w:val="5"/>
          <w:sz w:val="14"/>
        </w:rPr>
        <w:t>.</w:t>
      </w:r>
      <w:r>
        <w:rPr>
          <w:position w:val="5"/>
          <w:sz w:val="14"/>
        </w:rPr>
        <w:tab/>
      </w:r>
      <w:r>
        <w:rPr/>
        <w:t>Below, Chs 3, 6, 7 and 8 </w:t>
      </w:r>
      <w:r>
        <w:rPr>
          <w:spacing w:val="-2"/>
        </w:rPr>
        <w:t>respectively.</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0434176">
                <wp:simplePos x="0" y="0"/>
                <wp:positionH relativeFrom="page">
                  <wp:posOffset>914400</wp:posOffset>
                </wp:positionH>
                <wp:positionV relativeFrom="paragraph">
                  <wp:posOffset>96882</wp:posOffset>
                </wp:positionV>
                <wp:extent cx="4953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82304" from="72pt,7.628544pt" to="75.892pt,7.628544pt" stroked="true" strokeweight=".5pt" strokecolor="#005da1">
                <v:stroke dashstyle="solid"/>
                <w10:wrap type="none"/>
              </v:line>
            </w:pict>
          </mc:Fallback>
        </mc:AlternateContent>
      </w:r>
      <w:bookmarkStart w:name="_bookmark25" w:id="27"/>
      <w:bookmarkEnd w:id="27"/>
      <w:r>
        <w:rPr/>
      </w:r>
      <w:hyperlink w:history="true" w:anchor="_bookmark10">
        <w:r>
          <w:rPr>
            <w:color w:val="005DA1"/>
            <w:spacing w:val="-5"/>
            <w:position w:val="5"/>
            <w:sz w:val="14"/>
          </w:rPr>
          <w:t>8</w:t>
        </w:r>
      </w:hyperlink>
      <w:r>
        <w:rPr>
          <w:spacing w:val="-5"/>
          <w:position w:val="5"/>
          <w:sz w:val="14"/>
        </w:rPr>
        <w:t>.</w:t>
      </w:r>
      <w:r>
        <w:rPr>
          <w:position w:val="5"/>
          <w:sz w:val="14"/>
        </w:rPr>
        <w:tab/>
      </w:r>
      <w:r>
        <w:rPr/>
        <w:t>Below, Chs 13 and 14 </w:t>
      </w:r>
      <w:r>
        <w:rPr>
          <w:spacing w:val="-2"/>
        </w:rPr>
        <w:t>respectively.</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0434688">
                <wp:simplePos x="0" y="0"/>
                <wp:positionH relativeFrom="page">
                  <wp:posOffset>914400</wp:posOffset>
                </wp:positionH>
                <wp:positionV relativeFrom="paragraph">
                  <wp:posOffset>96907</wp:posOffset>
                </wp:positionV>
                <wp:extent cx="4953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881792" from="72pt,7.630497pt" to="75.892pt,7.630497pt" stroked="true" strokeweight=".5pt" strokecolor="#005da1">
                <v:stroke dashstyle="solid"/>
                <w10:wrap type="none"/>
              </v:line>
            </w:pict>
          </mc:Fallback>
        </mc:AlternateContent>
      </w:r>
      <w:bookmarkStart w:name="_bookmark26" w:id="28"/>
      <w:bookmarkEnd w:id="28"/>
      <w:r>
        <w:rPr/>
      </w:r>
      <w:hyperlink w:history="true" w:anchor="_bookmark11">
        <w:r>
          <w:rPr>
            <w:color w:val="005DA1"/>
            <w:spacing w:val="-5"/>
            <w:position w:val="5"/>
            <w:sz w:val="14"/>
          </w:rPr>
          <w:t>9</w:t>
        </w:r>
      </w:hyperlink>
      <w:r>
        <w:rPr>
          <w:spacing w:val="-5"/>
          <w:position w:val="5"/>
          <w:sz w:val="14"/>
        </w:rPr>
        <w:t>.</w:t>
      </w:r>
      <w:r>
        <w:rPr>
          <w:position w:val="5"/>
          <w:sz w:val="14"/>
        </w:rPr>
        <w:tab/>
      </w:r>
      <w:r>
        <w:rPr/>
        <w:t>Below, </w:t>
      </w:r>
      <w:r>
        <w:rPr>
          <w:spacing w:val="-2"/>
        </w:rPr>
        <w:t>Ch.16.</w:t>
      </w:r>
    </w:p>
    <w:p>
      <w:pPr>
        <w:pStyle w:val="BodyText"/>
        <w:spacing w:before="8"/>
      </w:pPr>
    </w:p>
    <w:p>
      <w:pPr>
        <w:pStyle w:val="BodyText"/>
        <w:tabs>
          <w:tab w:pos="705" w:val="left" w:leader="none"/>
        </w:tabs>
        <w:spacing w:line="235" w:lineRule="auto" w:before="1"/>
        <w:ind w:left="705" w:right="168" w:hanging="541"/>
      </w:pPr>
      <w:bookmarkStart w:name="_bookmark27" w:id="29"/>
      <w:bookmarkEnd w:id="29"/>
      <w:r>
        <w:rPr/>
      </w:r>
      <w:hyperlink w:history="true" w:anchor="_bookmark12">
        <w:r>
          <w:rPr>
            <w:color w:val="005DA1"/>
            <w:spacing w:val="-4"/>
            <w:position w:val="5"/>
            <w:sz w:val="14"/>
            <w:u w:val="single" w:color="005DA1"/>
          </w:rPr>
          <w:t>10</w:t>
        </w:r>
      </w:hyperlink>
      <w:r>
        <w:rPr>
          <w:spacing w:val="-4"/>
          <w:position w:val="5"/>
          <w:sz w:val="14"/>
        </w:rPr>
        <w:t>.</w:t>
      </w:r>
      <w:r>
        <w:rPr>
          <w:position w:val="5"/>
          <w:sz w:val="14"/>
        </w:rPr>
        <w:tab/>
      </w:r>
      <w:r>
        <w:rPr/>
        <w:t>Below, Chs 21 (Performance); 22 (Discharge by agreement); 23 (Discharge by frustration); </w:t>
      </w:r>
      <w:r>
        <w:rPr/>
        <w:t>24 (Discharge by breach) and 25 (Other modes of discharge).</w:t>
      </w:r>
    </w:p>
    <w:p>
      <w:pPr>
        <w:pStyle w:val="BodyText"/>
        <w:spacing w:before="5"/>
      </w:pPr>
    </w:p>
    <w:p>
      <w:pPr>
        <w:tabs>
          <w:tab w:pos="705" w:val="left" w:leader="none"/>
        </w:tabs>
        <w:spacing w:before="0"/>
        <w:ind w:left="165" w:right="0" w:firstLine="0"/>
        <w:jc w:val="left"/>
        <w:rPr>
          <w:sz w:val="20"/>
        </w:rPr>
      </w:pPr>
      <w:bookmarkStart w:name="_bookmark28" w:id="30"/>
      <w:bookmarkEnd w:id="30"/>
      <w:r>
        <w:rPr/>
      </w:r>
      <w:hyperlink w:history="true" w:anchor="_bookmark12">
        <w:r>
          <w:rPr>
            <w:color w:val="005DA1"/>
            <w:spacing w:val="-5"/>
            <w:position w:val="5"/>
            <w:sz w:val="14"/>
            <w:u w:val="single" w:color="005DA1"/>
          </w:rPr>
          <w:t>11</w:t>
        </w:r>
      </w:hyperlink>
      <w:r>
        <w:rPr>
          <w:spacing w:val="-5"/>
          <w:position w:val="5"/>
          <w:sz w:val="14"/>
        </w:rPr>
        <w:t>.</w:t>
      </w:r>
      <w:r>
        <w:rPr>
          <w:position w:val="5"/>
          <w:sz w:val="14"/>
        </w:rPr>
        <w:tab/>
      </w:r>
      <w:r>
        <w:rPr>
          <w:sz w:val="20"/>
        </w:rPr>
        <w:t>Below, </w:t>
      </w:r>
      <w:r>
        <w:rPr>
          <w:spacing w:val="-2"/>
          <w:sz w:val="20"/>
        </w:rPr>
        <w:t>Ch.18.</w:t>
      </w:r>
    </w:p>
    <w:p>
      <w:pPr>
        <w:pStyle w:val="BodyText"/>
        <w:spacing w:before="5"/>
      </w:pPr>
    </w:p>
    <w:p>
      <w:pPr>
        <w:pStyle w:val="BodyText"/>
        <w:tabs>
          <w:tab w:pos="705" w:val="left" w:leader="none"/>
        </w:tabs>
        <w:ind w:left="165"/>
      </w:pPr>
      <w:bookmarkStart w:name="_bookmark29" w:id="31"/>
      <w:bookmarkEnd w:id="31"/>
      <w:r>
        <w:rPr/>
      </w:r>
      <w:hyperlink w:history="true" w:anchor="_bookmark13">
        <w:r>
          <w:rPr>
            <w:color w:val="005DA1"/>
            <w:spacing w:val="-5"/>
            <w:position w:val="5"/>
            <w:sz w:val="14"/>
            <w:u w:val="single" w:color="005DA1"/>
          </w:rPr>
          <w:t>12</w:t>
        </w:r>
      </w:hyperlink>
      <w:r>
        <w:rPr>
          <w:spacing w:val="-5"/>
          <w:position w:val="5"/>
          <w:sz w:val="14"/>
        </w:rPr>
        <w:t>.</w:t>
      </w:r>
      <w:r>
        <w:rPr>
          <w:position w:val="5"/>
          <w:sz w:val="14"/>
        </w:rPr>
        <w:tab/>
      </w:r>
      <w:r>
        <w:rPr/>
        <w:t>Below, Chs 26 (Damages) and 27 (Specific performance and </w:t>
      </w:r>
      <w:r>
        <w:rPr>
          <w:spacing w:val="-2"/>
        </w:rPr>
        <w:t>injunction).</w:t>
      </w:r>
    </w:p>
    <w:p>
      <w:pPr>
        <w:pStyle w:val="BodyText"/>
        <w:spacing w:before="5"/>
      </w:pPr>
    </w:p>
    <w:p>
      <w:pPr>
        <w:pStyle w:val="BodyText"/>
        <w:tabs>
          <w:tab w:pos="705" w:val="left" w:leader="none"/>
        </w:tabs>
        <w:ind w:left="165"/>
      </w:pPr>
      <w:bookmarkStart w:name="_bookmark30" w:id="32"/>
      <w:bookmarkEnd w:id="32"/>
      <w:r>
        <w:rPr/>
      </w:r>
      <w:hyperlink w:history="true" w:anchor="_bookmark14">
        <w:r>
          <w:rPr>
            <w:color w:val="005DA1"/>
            <w:spacing w:val="-5"/>
            <w:position w:val="5"/>
            <w:sz w:val="14"/>
            <w:u w:val="single" w:color="005DA1"/>
          </w:rPr>
          <w:t>13</w:t>
        </w:r>
      </w:hyperlink>
      <w:r>
        <w:rPr>
          <w:spacing w:val="-5"/>
          <w:position w:val="5"/>
          <w:sz w:val="14"/>
        </w:rPr>
        <w:t>.</w:t>
      </w:r>
      <w:r>
        <w:rPr>
          <w:position w:val="5"/>
          <w:sz w:val="14"/>
        </w:rPr>
        <w:tab/>
      </w:r>
      <w:r>
        <w:rPr/>
        <w:t>Below, para.8-</w:t>
      </w:r>
      <w:r>
        <w:rPr>
          <w:spacing w:val="-4"/>
        </w:rPr>
        <w:t>057.</w:t>
      </w:r>
    </w:p>
    <w:p>
      <w:pPr>
        <w:pStyle w:val="BodyText"/>
        <w:spacing w:before="5"/>
      </w:pPr>
    </w:p>
    <w:p>
      <w:pPr>
        <w:pStyle w:val="BodyText"/>
        <w:tabs>
          <w:tab w:pos="705" w:val="left" w:leader="none"/>
        </w:tabs>
        <w:ind w:left="165"/>
      </w:pPr>
      <w:bookmarkStart w:name="_bookmark31" w:id="33"/>
      <w:bookmarkEnd w:id="33"/>
      <w:r>
        <w:rPr/>
      </w:r>
      <w:hyperlink w:history="true" w:anchor="_bookmark15">
        <w:r>
          <w:rPr>
            <w:color w:val="005DA1"/>
            <w:spacing w:val="-5"/>
            <w:position w:val="5"/>
            <w:sz w:val="14"/>
            <w:u w:val="single" w:color="005DA1"/>
          </w:rPr>
          <w:t>14</w:t>
        </w:r>
      </w:hyperlink>
      <w:r>
        <w:rPr>
          <w:spacing w:val="-5"/>
          <w:position w:val="5"/>
          <w:sz w:val="14"/>
        </w:rPr>
        <w:t>.</w:t>
      </w:r>
      <w:r>
        <w:rPr>
          <w:position w:val="5"/>
          <w:sz w:val="14"/>
        </w:rPr>
        <w:tab/>
      </w:r>
      <w:r>
        <w:rPr/>
        <w:t>Below, para.8-</w:t>
      </w:r>
      <w:r>
        <w:rPr>
          <w:spacing w:val="-4"/>
        </w:rPr>
        <w:t>130.</w:t>
      </w:r>
    </w:p>
    <w:p>
      <w:pPr>
        <w:pStyle w:val="BodyText"/>
        <w:spacing w:before="5"/>
      </w:pPr>
    </w:p>
    <w:p>
      <w:pPr>
        <w:tabs>
          <w:tab w:pos="705" w:val="left" w:leader="none"/>
        </w:tabs>
        <w:spacing w:before="0"/>
        <w:ind w:left="165" w:right="0" w:firstLine="0"/>
        <w:jc w:val="left"/>
        <w:rPr>
          <w:sz w:val="20"/>
        </w:rPr>
      </w:pPr>
      <w:bookmarkStart w:name="_bookmark32" w:id="34"/>
      <w:bookmarkEnd w:id="34"/>
      <w:r>
        <w:rPr/>
      </w:r>
      <w:hyperlink w:history="true" w:anchor="_bookmark16">
        <w:r>
          <w:rPr>
            <w:color w:val="005DA1"/>
            <w:spacing w:val="-5"/>
            <w:position w:val="5"/>
            <w:sz w:val="14"/>
            <w:u w:val="single" w:color="005DA1"/>
          </w:rPr>
          <w:t>15</w:t>
        </w:r>
      </w:hyperlink>
      <w:r>
        <w:rPr>
          <w:spacing w:val="-5"/>
          <w:position w:val="5"/>
          <w:sz w:val="14"/>
        </w:rPr>
        <w:t>.</w:t>
      </w:r>
      <w:r>
        <w:rPr>
          <w:position w:val="5"/>
          <w:sz w:val="14"/>
        </w:rPr>
        <w:tab/>
      </w:r>
      <w:r>
        <w:rPr>
          <w:sz w:val="20"/>
        </w:rPr>
        <w:t>Below, </w:t>
      </w:r>
      <w:r>
        <w:rPr>
          <w:spacing w:val="-2"/>
          <w:sz w:val="20"/>
        </w:rPr>
        <w:t>Ch.27.</w:t>
      </w:r>
    </w:p>
    <w:p>
      <w:pPr>
        <w:pStyle w:val="BodyText"/>
        <w:spacing w:before="5"/>
      </w:pPr>
    </w:p>
    <w:p>
      <w:pPr>
        <w:pStyle w:val="BodyText"/>
        <w:tabs>
          <w:tab w:pos="705" w:val="left" w:leader="none"/>
        </w:tabs>
        <w:ind w:left="165"/>
      </w:pPr>
      <w:bookmarkStart w:name="_bookmark33" w:id="35"/>
      <w:bookmarkEnd w:id="35"/>
      <w:r>
        <w:rPr/>
      </w:r>
      <w:hyperlink w:history="true" w:anchor="_bookmark17">
        <w:r>
          <w:rPr>
            <w:color w:val="005DA1"/>
            <w:spacing w:val="-5"/>
            <w:position w:val="5"/>
            <w:sz w:val="14"/>
            <w:u w:val="single" w:color="005DA1"/>
          </w:rPr>
          <w:t>16</w:t>
        </w:r>
      </w:hyperlink>
      <w:r>
        <w:rPr>
          <w:spacing w:val="-5"/>
          <w:position w:val="5"/>
          <w:sz w:val="14"/>
        </w:rPr>
        <w:t>.</w:t>
      </w:r>
      <w:r>
        <w:rPr>
          <w:position w:val="5"/>
          <w:sz w:val="14"/>
        </w:rPr>
        <w:tab/>
      </w:r>
      <w:r>
        <w:rPr/>
        <w:t>Below, paras 4-086 et seq., 5-041 et </w:t>
      </w:r>
      <w:r>
        <w:rPr>
          <w:spacing w:val="-4"/>
        </w:rPr>
        <w:t>seq.</w:t>
      </w:r>
    </w:p>
    <w:p>
      <w:pPr>
        <w:pStyle w:val="BodyText"/>
        <w:spacing w:before="9"/>
      </w:pPr>
    </w:p>
    <w:p>
      <w:pPr>
        <w:pStyle w:val="BodyText"/>
        <w:spacing w:line="235" w:lineRule="auto"/>
        <w:ind w:left="705" w:right="167" w:hanging="541"/>
        <w:jc w:val="both"/>
      </w:pPr>
      <w:bookmarkStart w:name="_bookmark34" w:id="36"/>
      <w:bookmarkEnd w:id="36"/>
      <w:r>
        <w:rPr/>
      </w:r>
      <w:hyperlink w:history="true" w:anchor="_bookmark18">
        <w:r>
          <w:rPr>
            <w:color w:val="005DA1"/>
            <w:position w:val="5"/>
            <w:sz w:val="14"/>
            <w:u w:val="single" w:color="005DA1"/>
          </w:rPr>
          <w:t>17</w:t>
        </w:r>
      </w:hyperlink>
      <w:r>
        <w:rPr>
          <w:position w:val="5"/>
          <w:sz w:val="14"/>
        </w:rPr>
        <w:t>.</w:t>
      </w:r>
      <w:r>
        <w:rPr>
          <w:spacing w:val="40"/>
          <w:position w:val="5"/>
          <w:sz w:val="14"/>
        </w:rPr>
        <w:t>  </w:t>
      </w:r>
      <w:r>
        <w:rPr/>
        <w:t>Here, there is an implicit distinction between the law governing the contract itself and the </w:t>
      </w:r>
      <w:r>
        <w:rPr/>
        <w:t>law governing the market context in which the contract is made: see above, para.1-001. For example, the </w:t>
      </w:r>
      <w:r>
        <w:rPr>
          <w:rFonts w:ascii="Arial"/>
          <w:i/>
        </w:rPr>
        <w:t>business </w:t>
      </w:r>
      <w:r>
        <w:rPr/>
        <w:t>of insurance is highly regulated by legislation, even though the law governing the parties to contracts of insurance remains dominated by the common law.</w:t>
      </w:r>
    </w:p>
    <w:p>
      <w:pPr>
        <w:pStyle w:val="BodyText"/>
        <w:spacing w:before="5"/>
      </w:pPr>
    </w:p>
    <w:p>
      <w:pPr>
        <w:pStyle w:val="BodyText"/>
        <w:tabs>
          <w:tab w:pos="705" w:val="left" w:leader="none"/>
        </w:tabs>
        <w:ind w:left="165"/>
      </w:pPr>
      <w:bookmarkStart w:name="_bookmark35" w:id="37"/>
      <w:bookmarkEnd w:id="37"/>
      <w:r>
        <w:rPr/>
      </w:r>
      <w:hyperlink w:history="true" w:anchor="_bookmark19">
        <w:r>
          <w:rPr>
            <w:color w:val="005DA1"/>
            <w:spacing w:val="-5"/>
            <w:position w:val="5"/>
            <w:sz w:val="14"/>
            <w:u w:val="single" w:color="005DA1"/>
          </w:rPr>
          <w:t>18</w:t>
        </w:r>
      </w:hyperlink>
      <w:r>
        <w:rPr>
          <w:spacing w:val="-5"/>
          <w:position w:val="5"/>
          <w:sz w:val="14"/>
        </w:rPr>
        <w:t>.</w:t>
      </w:r>
      <w:r>
        <w:rPr>
          <w:position w:val="5"/>
          <w:sz w:val="14"/>
        </w:rPr>
        <w:tab/>
      </w:r>
      <w:r>
        <w:rPr/>
        <w:t>See Vol.II, </w:t>
      </w:r>
      <w:r>
        <w:rPr>
          <w:spacing w:val="-2"/>
        </w:rPr>
        <w:t>Ch.31.</w:t>
      </w:r>
    </w:p>
    <w:p>
      <w:pPr>
        <w:pStyle w:val="BodyText"/>
        <w:spacing w:before="8"/>
      </w:pPr>
    </w:p>
    <w:p>
      <w:pPr>
        <w:pStyle w:val="BodyText"/>
        <w:spacing w:line="235" w:lineRule="auto" w:before="1"/>
        <w:ind w:left="705" w:right="167" w:hanging="541"/>
        <w:jc w:val="both"/>
      </w:pPr>
      <w:bookmarkStart w:name="_bookmark36" w:id="38"/>
      <w:bookmarkEnd w:id="38"/>
      <w:r>
        <w:rPr/>
      </w:r>
      <w:hyperlink w:history="true" w:anchor="_bookmark19">
        <w:r>
          <w:rPr>
            <w:color w:val="005DA1"/>
            <w:position w:val="5"/>
            <w:sz w:val="14"/>
            <w:u w:val="single" w:color="005DA1"/>
          </w:rPr>
          <w:t>19</w:t>
        </w:r>
      </w:hyperlink>
      <w:r>
        <w:rPr>
          <w:position w:val="5"/>
          <w:sz w:val="14"/>
        </w:rPr>
        <w:t>.</w:t>
      </w:r>
      <w:r>
        <w:rPr>
          <w:spacing w:val="80"/>
          <w:position w:val="5"/>
          <w:sz w:val="14"/>
        </w:rPr>
        <w:t>  </w:t>
      </w:r>
      <w:r>
        <w:rPr/>
        <w:t>See</w:t>
      </w:r>
      <w:r>
        <w:rPr>
          <w:spacing w:val="-2"/>
        </w:rPr>
        <w:t> </w:t>
      </w:r>
      <w:r>
        <w:rPr/>
        <w:t>Vol.II,</w:t>
      </w:r>
      <w:r>
        <w:rPr>
          <w:spacing w:val="-2"/>
        </w:rPr>
        <w:t> </w:t>
      </w:r>
      <w:r>
        <w:rPr/>
        <w:t>Ch.42.</w:t>
      </w:r>
      <w:r>
        <w:rPr>
          <w:spacing w:val="-2"/>
        </w:rPr>
        <w:t> </w:t>
      </w:r>
      <w:r>
        <w:rPr/>
        <w:t>In</w:t>
      </w:r>
      <w:r>
        <w:rPr>
          <w:spacing w:val="-2"/>
        </w:rPr>
        <w:t> </w:t>
      </w:r>
      <w:r>
        <w:rPr/>
        <w:t>the</w:t>
      </w:r>
      <w:r>
        <w:rPr>
          <w:spacing w:val="-2"/>
        </w:rPr>
        <w:t> </w:t>
      </w:r>
      <w:r>
        <w:rPr/>
        <w:t>case</w:t>
      </w:r>
      <w:r>
        <w:rPr>
          <w:spacing w:val="-2"/>
        </w:rPr>
        <w:t> </w:t>
      </w:r>
      <w:r>
        <w:rPr/>
        <w:t>of</w:t>
      </w:r>
      <w:r>
        <w:rPr>
          <w:spacing w:val="-2"/>
        </w:rPr>
        <w:t> </w:t>
      </w:r>
      <w:r>
        <w:rPr/>
        <w:t>insurance,</w:t>
      </w:r>
      <w:r>
        <w:rPr>
          <w:spacing w:val="-2"/>
        </w:rPr>
        <w:t> </w:t>
      </w:r>
      <w:r>
        <w:rPr/>
        <w:t>this</w:t>
      </w:r>
      <w:r>
        <w:rPr>
          <w:spacing w:val="-2"/>
        </w:rPr>
        <w:t> </w:t>
      </w:r>
      <w:r>
        <w:rPr/>
        <w:t>position</w:t>
      </w:r>
      <w:r>
        <w:rPr>
          <w:spacing w:val="-2"/>
        </w:rPr>
        <w:t> </w:t>
      </w:r>
      <w:r>
        <w:rPr/>
        <w:t>has</w:t>
      </w:r>
      <w:r>
        <w:rPr>
          <w:spacing w:val="-2"/>
        </w:rPr>
        <w:t> </w:t>
      </w:r>
      <w:r>
        <w:rPr/>
        <w:t>been</w:t>
      </w:r>
      <w:r>
        <w:rPr>
          <w:spacing w:val="-2"/>
        </w:rPr>
        <w:t> </w:t>
      </w:r>
      <w:r>
        <w:rPr/>
        <w:t>qualified</w:t>
      </w:r>
      <w:r>
        <w:rPr>
          <w:spacing w:val="-2"/>
        </w:rPr>
        <w:t> </w:t>
      </w:r>
      <w:r>
        <w:rPr/>
        <w:t>by</w:t>
      </w:r>
      <w:r>
        <w:rPr>
          <w:spacing w:val="-2"/>
        </w:rPr>
        <w:t> </w:t>
      </w:r>
      <w:r>
        <w:rPr/>
        <w:t>recent</w:t>
      </w:r>
      <w:r>
        <w:rPr>
          <w:spacing w:val="-2"/>
        </w:rPr>
        <w:t> </w:t>
      </w:r>
      <w:r>
        <w:rPr/>
        <w:t>legislation: Consumer Insurance (Disclosure and Representations) Act 2012 and Insurance Act 2015, on which see Vol.II, paras 42-031—42-032, 42-046 et seq.</w:t>
      </w:r>
    </w:p>
    <w:p>
      <w:pPr>
        <w:pStyle w:val="BodyText"/>
        <w:spacing w:before="5"/>
      </w:pPr>
    </w:p>
    <w:p>
      <w:pPr>
        <w:pStyle w:val="BodyText"/>
        <w:tabs>
          <w:tab w:pos="705" w:val="left" w:leader="none"/>
        </w:tabs>
        <w:ind w:left="165"/>
      </w:pPr>
      <w:bookmarkStart w:name="_bookmark37" w:id="39"/>
      <w:bookmarkEnd w:id="39"/>
      <w:r>
        <w:rPr/>
      </w:r>
      <w:hyperlink w:history="true" w:anchor="_bookmark19">
        <w:r>
          <w:rPr>
            <w:color w:val="005DA1"/>
            <w:spacing w:val="-5"/>
            <w:position w:val="5"/>
            <w:sz w:val="14"/>
            <w:u w:val="single" w:color="005DA1"/>
          </w:rPr>
          <w:t>20</w:t>
        </w:r>
      </w:hyperlink>
      <w:r>
        <w:rPr>
          <w:spacing w:val="-5"/>
          <w:position w:val="5"/>
          <w:sz w:val="14"/>
        </w:rPr>
        <w:t>.</w:t>
      </w:r>
      <w:r>
        <w:rPr>
          <w:position w:val="5"/>
          <w:sz w:val="14"/>
        </w:rPr>
        <w:tab/>
      </w:r>
      <w:r>
        <w:rPr/>
        <w:t>See Vol.II, </w:t>
      </w:r>
      <w:r>
        <w:rPr>
          <w:spacing w:val="-2"/>
        </w:rPr>
        <w:t>Ch.45.</w:t>
      </w:r>
    </w:p>
    <w:p>
      <w:pPr>
        <w:pStyle w:val="BodyText"/>
        <w:spacing w:before="5"/>
      </w:pPr>
    </w:p>
    <w:p>
      <w:pPr>
        <w:pStyle w:val="BodyText"/>
        <w:tabs>
          <w:tab w:pos="705" w:val="left" w:leader="none"/>
        </w:tabs>
        <w:ind w:left="165"/>
      </w:pPr>
      <w:bookmarkStart w:name="_bookmark38" w:id="40"/>
      <w:bookmarkEnd w:id="40"/>
      <w:r>
        <w:rPr/>
      </w:r>
      <w:hyperlink w:history="true" w:anchor="_bookmark20">
        <w:r>
          <w:rPr>
            <w:color w:val="005DA1"/>
            <w:spacing w:val="-5"/>
            <w:position w:val="5"/>
            <w:sz w:val="14"/>
            <w:u w:val="single" w:color="005DA1"/>
          </w:rPr>
          <w:t>21</w:t>
        </w:r>
      </w:hyperlink>
      <w:r>
        <w:rPr>
          <w:spacing w:val="-5"/>
          <w:position w:val="5"/>
          <w:sz w:val="14"/>
        </w:rPr>
        <w:t>.</w:t>
      </w:r>
      <w:r>
        <w:rPr>
          <w:position w:val="5"/>
          <w:sz w:val="14"/>
        </w:rPr>
        <w:tab/>
      </w:r>
      <w:r>
        <w:rPr/>
        <w:t>See, in particular, as regards construction contracts: Vol.II, paras 37-019—37-</w:t>
      </w:r>
      <w:r>
        <w:rPr>
          <w:spacing w:val="-4"/>
        </w:rPr>
        <w:t>023.</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7"/>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1. - Sources of English Contract </w:t>
      </w:r>
      <w:r>
        <w:rPr>
          <w:rFonts w:ascii="Arial"/>
          <w:b/>
          <w:spacing w:val="-5"/>
          <w:sz w:val="24"/>
        </w:rPr>
        <w:t>Law</w:t>
      </w:r>
    </w:p>
    <w:p>
      <w:pPr>
        <w:pStyle w:val="ListParagraph"/>
        <w:numPr>
          <w:ilvl w:val="0"/>
          <w:numId w:val="1"/>
        </w:numPr>
        <w:tabs>
          <w:tab w:pos="4378" w:val="left" w:leader="none"/>
        </w:tabs>
        <w:spacing w:line="240" w:lineRule="auto" w:before="194" w:after="0"/>
        <w:ind w:left="4378" w:right="0" w:hanging="373"/>
        <w:jc w:val="left"/>
        <w:rPr>
          <w:b/>
          <w:sz w:val="24"/>
        </w:rPr>
      </w:pPr>
      <w:r>
        <w:rPr>
          <w:b/>
          <w:sz w:val="24"/>
        </w:rPr>
        <w:t>- </w:t>
      </w:r>
      <w:r>
        <w:rPr>
          <w:b/>
          <w:spacing w:val="-2"/>
          <w:sz w:val="24"/>
        </w:rPr>
        <w:t>Statute</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Increasing importance of </w:t>
      </w:r>
      <w:r>
        <w:rPr>
          <w:rFonts w:ascii="Arial"/>
          <w:b/>
          <w:spacing w:val="-2"/>
          <w:sz w:val="18"/>
        </w:rPr>
        <w:t>statute</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005</w:t>
      </w:r>
    </w:p>
    <w:p>
      <w:pPr>
        <w:pStyle w:val="BodyText"/>
        <w:spacing w:line="235" w:lineRule="auto" w:before="202"/>
        <w:ind w:left="164" w:right="167"/>
        <w:jc w:val="both"/>
      </w:pPr>
      <w:r>
        <w:rPr/>
        <w:t>Statute has become increasingly important in setting the law governing contracts, both in its </w:t>
      </w:r>
      <w:r>
        <w:rPr/>
        <w:t>broad </w:t>
      </w:r>
      <w:bookmarkStart w:name="_bookmark39" w:id="41"/>
      <w:bookmarkEnd w:id="41"/>
      <w:r>
        <w:rPr/>
        <w:t>sense</w:t>
      </w:r>
      <w:r>
        <w:rPr/>
        <w:t> of the regulation of markets and in the narrower sense of the law governing the relative rights and obligations of the parties and of third parties. </w:t>
      </w:r>
      <w:r>
        <w:rPr>
          <w:color w:val="005DA1"/>
          <w:u w:val="single" w:color="005DA1"/>
          <w:vertAlign w:val="superscript"/>
        </w:rPr>
        <w:t>22</w:t>
      </w:r>
      <w:r>
        <w:rPr>
          <w:color w:val="005DA1"/>
          <w:vertAlign w:val="baseline"/>
        </w:rPr>
        <w:t> </w:t>
      </w:r>
      <w:r>
        <w:rPr>
          <w:vertAlign w:val="baseline"/>
        </w:rPr>
        <w:t>This has manifested itself in two principal ways.</w:t>
      </w:r>
    </w:p>
    <w:p>
      <w:pPr>
        <w:pStyle w:val="BodyText"/>
      </w:pPr>
    </w:p>
    <w:p>
      <w:pPr>
        <w:pStyle w:val="BodyText"/>
        <w:spacing w:before="38"/>
      </w:pPr>
    </w:p>
    <w:p>
      <w:pPr>
        <w:spacing w:before="0"/>
        <w:ind w:left="165" w:right="0" w:firstLine="0"/>
        <w:jc w:val="left"/>
        <w:rPr>
          <w:rFonts w:ascii="Arial"/>
          <w:b/>
          <w:sz w:val="18"/>
        </w:rPr>
      </w:pPr>
      <w:r>
        <w:rPr>
          <w:rFonts w:ascii="Arial"/>
          <w:b/>
          <w:sz w:val="18"/>
        </w:rPr>
        <w:t>General </w:t>
      </w:r>
      <w:r>
        <w:rPr>
          <w:rFonts w:ascii="Arial"/>
          <w:b/>
          <w:spacing w:val="-5"/>
          <w:sz w:val="18"/>
        </w:rPr>
        <w:t>law</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006</w:t>
      </w:r>
    </w:p>
    <w:p>
      <w:pPr>
        <w:pStyle w:val="BodyText"/>
        <w:spacing w:line="235" w:lineRule="auto" w:before="203"/>
        <w:ind w:left="164" w:right="167"/>
        <w:jc w:val="both"/>
      </w:pPr>
      <w:r>
        <w:rPr/>
        <w:t>Some important aspects of the general law of contract have been subject to change by statute, </w:t>
      </w:r>
      <w:r>
        <w:rPr/>
        <w:t>the legislation typically qualifying or supplementing the existing common law position rather than </w:t>
      </w:r>
      <w:bookmarkStart w:name="_bookmark40" w:id="42"/>
      <w:bookmarkEnd w:id="42"/>
      <w:r>
        <w:rPr/>
        <w:t>reforming</w:t>
      </w:r>
      <w:r>
        <w:rPr/>
        <w:t> or recasting a particular aspect of contract law systematically. This can be seen as regards </w:t>
      </w:r>
      <w:bookmarkStart w:name="_bookmark41" w:id="43"/>
      <w:bookmarkEnd w:id="43"/>
      <w:r>
        <w:rPr/>
        <w:t>the</w:t>
      </w:r>
      <w:r>
        <w:rPr/>
        <w:t> control of exemption clauses and certain related classes of unfair terms, </w:t>
      </w:r>
      <w:r>
        <w:rPr>
          <w:color w:val="005DA1"/>
          <w:u w:val="single" w:color="005DA1"/>
          <w:vertAlign w:val="superscript"/>
        </w:rPr>
        <w:t>23</w:t>
      </w:r>
      <w:r>
        <w:rPr>
          <w:color w:val="005DA1"/>
          <w:vertAlign w:val="baseline"/>
        </w:rPr>
        <w:t> </w:t>
      </w:r>
      <w:r>
        <w:rPr>
          <w:vertAlign w:val="baseline"/>
        </w:rPr>
        <w:t>the law of </w:t>
      </w:r>
      <w:bookmarkStart w:name="_bookmark42" w:id="44"/>
      <w:bookmarkEnd w:id="44"/>
      <w:r>
        <w:rPr>
          <w:vertAlign w:val="baseline"/>
        </w:rPr>
        <w:t>misrepresentation,</w:t>
      </w:r>
      <w:r>
        <w:rPr>
          <w:vertAlign w:val="baseline"/>
        </w:rPr>
        <w:t> </w:t>
      </w:r>
      <w:r>
        <w:rPr>
          <w:color w:val="005DA1"/>
          <w:u w:val="single" w:color="005DA1"/>
          <w:vertAlign w:val="superscript"/>
        </w:rPr>
        <w:t>24</w:t>
      </w:r>
      <w:r>
        <w:rPr>
          <w:color w:val="005DA1"/>
          <w:vertAlign w:val="baseline"/>
        </w:rPr>
        <w:t> </w:t>
      </w:r>
      <w:r>
        <w:rPr>
          <w:vertAlign w:val="baseline"/>
        </w:rPr>
        <w:t>the law governing the capacity of minors </w:t>
      </w:r>
      <w:r>
        <w:rPr>
          <w:color w:val="005DA1"/>
          <w:u w:val="single" w:color="005DA1"/>
          <w:vertAlign w:val="superscript"/>
        </w:rPr>
        <w:t>25</w:t>
      </w:r>
      <w:r>
        <w:rPr>
          <w:color w:val="005DA1"/>
          <w:vertAlign w:val="baseline"/>
        </w:rPr>
        <w:t> </w:t>
      </w:r>
      <w:r>
        <w:rPr>
          <w:vertAlign w:val="baseline"/>
        </w:rPr>
        <w:t>and persons lacking the mental capacity to contract </w:t>
      </w:r>
      <w:r>
        <w:rPr>
          <w:color w:val="005DA1"/>
          <w:u w:val="single" w:color="005DA1"/>
          <w:vertAlign w:val="superscript"/>
        </w:rPr>
        <w:t>26</w:t>
      </w:r>
      <w:r>
        <w:rPr>
          <w:vertAlign w:val="baseline"/>
        </w:rPr>
        <w:t>, and the consequences of frustration. </w:t>
      </w:r>
      <w:r>
        <w:rPr>
          <w:color w:val="005DA1"/>
          <w:u w:val="single" w:color="005DA1"/>
          <w:vertAlign w:val="superscript"/>
        </w:rPr>
        <w:t>27</w:t>
      </w:r>
      <w:r>
        <w:rPr>
          <w:color w:val="005DA1"/>
          <w:vertAlign w:val="baseline"/>
        </w:rPr>
        <w:t> </w:t>
      </w:r>
      <w:r>
        <w:rPr>
          <w:vertAlign w:val="baseline"/>
        </w:rPr>
        <w:t>Even the Contracts (Rights for Third </w:t>
      </w:r>
      <w:bookmarkStart w:name="_bookmark43" w:id="45"/>
      <w:bookmarkEnd w:id="45"/>
      <w:r>
        <w:rPr>
          <w:vertAlign w:val="baseline"/>
        </w:rPr>
        <w:t>Parties)</w:t>
      </w:r>
      <w:r>
        <w:rPr>
          <w:vertAlign w:val="baseline"/>
        </w:rPr>
        <w:t> Act 1999 merely creates a new (if broad and important) exception to the common law</w:t>
      </w:r>
      <w:r>
        <w:rPr>
          <w:spacing w:val="40"/>
          <w:vertAlign w:val="baseline"/>
        </w:rPr>
        <w:t> </w:t>
      </w:r>
      <w:r>
        <w:rPr>
          <w:vertAlign w:val="baseline"/>
        </w:rPr>
        <w:t>doctrine of privity of contract. </w:t>
      </w:r>
      <w:r>
        <w:rPr>
          <w:color w:val="005DA1"/>
          <w:u w:val="single" w:color="005DA1"/>
          <w:vertAlign w:val="superscript"/>
        </w:rPr>
        <w:t>28</w:t>
      </w:r>
    </w:p>
    <w:p>
      <w:pPr>
        <w:pStyle w:val="BodyText"/>
      </w:pPr>
    </w:p>
    <w:p>
      <w:pPr>
        <w:pStyle w:val="BodyText"/>
        <w:spacing w:before="35"/>
      </w:pPr>
    </w:p>
    <w:p>
      <w:pPr>
        <w:spacing w:before="0"/>
        <w:ind w:left="165" w:right="0" w:firstLine="0"/>
        <w:jc w:val="left"/>
        <w:rPr>
          <w:rFonts w:ascii="Arial"/>
          <w:b/>
          <w:sz w:val="18"/>
        </w:rPr>
      </w:pPr>
      <w:r>
        <w:rPr>
          <w:rFonts w:ascii="Arial"/>
          <w:b/>
          <w:sz w:val="18"/>
        </w:rPr>
        <w:t>Specific </w:t>
      </w:r>
      <w:r>
        <w:rPr>
          <w:rFonts w:ascii="Arial"/>
          <w:b/>
          <w:spacing w:val="-2"/>
          <w:sz w:val="18"/>
        </w:rPr>
        <w:t>contracts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007</w:t>
      </w:r>
    </w:p>
    <w:p>
      <w:pPr>
        <w:pStyle w:val="BodyText"/>
        <w:spacing w:line="235" w:lineRule="auto" w:before="202"/>
        <w:ind w:left="165" w:right="167"/>
        <w:jc w:val="both"/>
      </w:pPr>
      <w:r>
        <w:rPr/>
        <w:t>Statute has been much more important in the regulation of specific contracts. An old example may </w:t>
      </w:r>
      <w:r>
        <w:rPr/>
        <w:t>be </w:t>
      </w:r>
      <w:bookmarkStart w:name="_bookmark44" w:id="46"/>
      <w:bookmarkEnd w:id="46"/>
      <w:r>
        <w:rPr/>
        <w:t>found</w:t>
      </w:r>
      <w:r>
        <w:rPr/>
        <w:t> in the Statute of Frauds of 1677, which imposed various requirements of form on particular types of contract, and while the Statute itself survives only as regards contracts of guarantee, </w:t>
      </w:r>
      <w:r>
        <w:rPr>
          <w:color w:val="005DA1"/>
          <w:u w:val="single" w:color="005DA1"/>
          <w:vertAlign w:val="superscript"/>
        </w:rPr>
        <w:t>29</w:t>
      </w:r>
      <w:r>
        <w:rPr>
          <w:color w:val="005DA1"/>
          <w:vertAlign w:val="baseline"/>
        </w:rPr>
        <w:t> </w:t>
      </w:r>
      <w:r>
        <w:rPr>
          <w:vertAlign w:val="baseline"/>
        </w:rPr>
        <w:t>its </w:t>
      </w:r>
      <w:bookmarkStart w:name="_bookmark45" w:id="47"/>
      <w:bookmarkEnd w:id="47"/>
      <w:r>
        <w:rPr>
          <w:vertAlign w:val="baseline"/>
        </w:rPr>
        <w:t>provisions</w:t>
      </w:r>
      <w:r>
        <w:rPr>
          <w:vertAlign w:val="baseline"/>
        </w:rPr>
        <w:t> have had an important effect on the classification of contracts. There were various statutes governing aspects of insurance contracts </w:t>
      </w:r>
      <w:r>
        <w:rPr>
          <w:color w:val="005DA1"/>
          <w:u w:val="single" w:color="005DA1"/>
          <w:vertAlign w:val="superscript"/>
        </w:rPr>
        <w:t>30</w:t>
      </w:r>
      <w:r>
        <w:rPr>
          <w:color w:val="005DA1"/>
          <w:vertAlign w:val="baseline"/>
        </w:rPr>
        <w:t> </w:t>
      </w:r>
      <w:r>
        <w:rPr>
          <w:vertAlign w:val="baseline"/>
        </w:rPr>
        <w:t>and bills of sale </w:t>
      </w:r>
      <w:r>
        <w:rPr>
          <w:color w:val="005DA1"/>
          <w:u w:val="single" w:color="005DA1"/>
          <w:vertAlign w:val="superscript"/>
        </w:rPr>
        <w:t>31</w:t>
      </w:r>
      <w:r>
        <w:rPr>
          <w:color w:val="005DA1"/>
          <w:vertAlign w:val="baseline"/>
        </w:rPr>
        <w:t> </w:t>
      </w:r>
      <w:r>
        <w:rPr>
          <w:vertAlign w:val="baseline"/>
        </w:rPr>
        <w:t>in the eighteenth and nineteenth </w:t>
      </w:r>
      <w:bookmarkStart w:name="_bookmark46" w:id="48"/>
      <w:bookmarkEnd w:id="48"/>
      <w:r>
        <w:rPr>
          <w:vertAlign w:val="baseline"/>
        </w:rPr>
        <w:t>centuries</w:t>
      </w:r>
      <w:r>
        <w:rPr>
          <w:vertAlign w:val="baseline"/>
        </w:rPr>
        <w:t> and, in the last quarter of the latter, a series of statutes which sought to “codify” the law </w:t>
      </w:r>
      <w:bookmarkStart w:name="_bookmark47" w:id="49"/>
      <w:bookmarkEnd w:id="49"/>
      <w:r>
        <w:rPr>
          <w:vertAlign w:val="baseline"/>
        </w:rPr>
        <w:t>governing</w:t>
      </w:r>
      <w:r>
        <w:rPr>
          <w:spacing w:val="-1"/>
          <w:vertAlign w:val="baseline"/>
        </w:rPr>
        <w:t> </w:t>
      </w:r>
      <w:r>
        <w:rPr>
          <w:vertAlign w:val="baseline"/>
        </w:rPr>
        <w:t>particular</w:t>
      </w:r>
      <w:r>
        <w:rPr>
          <w:spacing w:val="-1"/>
          <w:vertAlign w:val="baseline"/>
        </w:rPr>
        <w:t> </w:t>
      </w:r>
      <w:r>
        <w:rPr>
          <w:vertAlign w:val="baseline"/>
        </w:rPr>
        <w:t>types</w:t>
      </w:r>
      <w:r>
        <w:rPr>
          <w:spacing w:val="-1"/>
          <w:vertAlign w:val="baseline"/>
        </w:rPr>
        <w:t> </w:t>
      </w:r>
      <w:r>
        <w:rPr>
          <w:vertAlign w:val="baseline"/>
        </w:rPr>
        <w:t>of</w:t>
      </w:r>
      <w:r>
        <w:rPr>
          <w:spacing w:val="-1"/>
          <w:vertAlign w:val="baseline"/>
        </w:rPr>
        <w:t> </w:t>
      </w:r>
      <w:r>
        <w:rPr>
          <w:vertAlign w:val="baseline"/>
        </w:rPr>
        <w:t>contract,</w:t>
      </w:r>
      <w:r>
        <w:rPr>
          <w:spacing w:val="-1"/>
          <w:vertAlign w:val="baseline"/>
        </w:rPr>
        <w:t> </w:t>
      </w:r>
      <w:r>
        <w:rPr>
          <w:vertAlign w:val="baseline"/>
        </w:rPr>
        <w:t>as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of</w:t>
      </w:r>
      <w:r>
        <w:rPr>
          <w:spacing w:val="-1"/>
          <w:vertAlign w:val="baseline"/>
        </w:rPr>
        <w:t> </w:t>
      </w:r>
      <w:r>
        <w:rPr>
          <w:vertAlign w:val="baseline"/>
        </w:rPr>
        <w:t>bills</w:t>
      </w:r>
      <w:r>
        <w:rPr>
          <w:spacing w:val="-1"/>
          <w:vertAlign w:val="baseline"/>
        </w:rPr>
        <w:t> </w:t>
      </w:r>
      <w:r>
        <w:rPr>
          <w:vertAlign w:val="baseline"/>
        </w:rPr>
        <w:t>of</w:t>
      </w:r>
      <w:r>
        <w:rPr>
          <w:spacing w:val="-1"/>
          <w:vertAlign w:val="baseline"/>
        </w:rPr>
        <w:t> </w:t>
      </w:r>
      <w:r>
        <w:rPr>
          <w:vertAlign w:val="baseline"/>
        </w:rPr>
        <w:t>exchange,</w:t>
      </w:r>
      <w:r>
        <w:rPr>
          <w:spacing w:val="-2"/>
          <w:vertAlign w:val="baseline"/>
        </w:rPr>
        <w:t> </w:t>
      </w:r>
      <w:r>
        <w:rPr>
          <w:color w:val="005DA1"/>
          <w:u w:val="single" w:color="005DA1"/>
          <w:vertAlign w:val="superscript"/>
        </w:rPr>
        <w:t>32</w:t>
      </w:r>
      <w:r>
        <w:rPr>
          <w:color w:val="005DA1"/>
          <w:spacing w:val="-1"/>
          <w:vertAlign w:val="baseline"/>
        </w:rPr>
        <w:t> </w:t>
      </w:r>
      <w:r>
        <w:rPr>
          <w:vertAlign w:val="baseline"/>
        </w:rPr>
        <w:t>contracts</w:t>
      </w:r>
      <w:r>
        <w:rPr>
          <w:spacing w:val="-1"/>
          <w:vertAlign w:val="baseline"/>
        </w:rPr>
        <w:t> </w:t>
      </w:r>
      <w:r>
        <w:rPr>
          <w:vertAlign w:val="baseline"/>
        </w:rPr>
        <w:t>of</w:t>
      </w:r>
      <w:r>
        <w:rPr>
          <w:spacing w:val="-1"/>
          <w:vertAlign w:val="baseline"/>
        </w:rPr>
        <w:t> </w:t>
      </w:r>
      <w:r>
        <w:rPr>
          <w:vertAlign w:val="baseline"/>
        </w:rPr>
        <w:t>partnership</w:t>
      </w:r>
      <w:r>
        <w:rPr>
          <w:spacing w:val="-1"/>
          <w:vertAlign w:val="baseline"/>
        </w:rPr>
        <w:t> </w:t>
      </w:r>
      <w:r>
        <w:rPr>
          <w:color w:val="005DA1"/>
          <w:u w:val="single" w:color="005DA1"/>
          <w:vertAlign w:val="superscript"/>
        </w:rPr>
        <w:t>33</w:t>
      </w:r>
      <w:r>
        <w:rPr>
          <w:color w:val="005DA1"/>
          <w:vertAlign w:val="baseline"/>
        </w:rPr>
        <w:t> </w:t>
      </w:r>
      <w:bookmarkStart w:name="_bookmark48" w:id="50"/>
      <w:bookmarkEnd w:id="50"/>
      <w:r>
        <w:rPr>
          <w:color w:val="005DA1"/>
          <w:w w:val="92"/>
          <w:vertAlign w:val="baseline"/>
        </w:rPr>
      </w:r>
      <w:r>
        <w:rPr>
          <w:vertAlign w:val="baseline"/>
        </w:rPr>
        <w:t>and contracts for the sale of goods. </w:t>
      </w:r>
      <w:r>
        <w:rPr>
          <w:color w:val="005DA1"/>
          <w:u w:val="single" w:color="005DA1"/>
          <w:vertAlign w:val="superscript"/>
        </w:rPr>
        <w:t>34</w:t>
      </w:r>
      <w:r>
        <w:rPr>
          <w:color w:val="005DA1"/>
          <w:vertAlign w:val="baseline"/>
        </w:rPr>
        <w:t> </w:t>
      </w:r>
      <w:r>
        <w:rPr>
          <w:vertAlign w:val="baseline"/>
        </w:rPr>
        <w:t>In the course of the twentieth century, important legislation was </w:t>
      </w:r>
      <w:bookmarkStart w:name="_bookmark49" w:id="51"/>
      <w:bookmarkEnd w:id="51"/>
      <w:r>
        <w:rPr>
          <w:vertAlign w:val="baseline"/>
        </w:rPr>
        <w:t>introduced</w:t>
      </w:r>
      <w:r>
        <w:rPr>
          <w:vertAlign w:val="baseline"/>
        </w:rPr>
        <w:t> governing, inter alia, contracts of tenancy, </w:t>
      </w:r>
      <w:r>
        <w:rPr>
          <w:color w:val="005DA1"/>
          <w:u w:val="single" w:color="005DA1"/>
          <w:vertAlign w:val="superscript"/>
        </w:rPr>
        <w:t>35</w:t>
      </w:r>
      <w:r>
        <w:rPr>
          <w:color w:val="005DA1"/>
          <w:vertAlign w:val="baseline"/>
        </w:rPr>
        <w:t> </w:t>
      </w:r>
      <w:r>
        <w:rPr>
          <w:vertAlign w:val="baseline"/>
        </w:rPr>
        <w:t>contracts of employment </w:t>
      </w:r>
      <w:r>
        <w:rPr>
          <w:color w:val="005DA1"/>
          <w:u w:val="single" w:color="005DA1"/>
          <w:vertAlign w:val="superscript"/>
        </w:rPr>
        <w:t>36</w:t>
      </w:r>
      <w:r>
        <w:rPr>
          <w:color w:val="005DA1"/>
          <w:vertAlign w:val="baseline"/>
        </w:rPr>
        <w:t> </w:t>
      </w:r>
      <w:r>
        <w:rPr>
          <w:vertAlign w:val="baseline"/>
        </w:rPr>
        <w:t>and contracts of consumer credit. </w:t>
      </w:r>
      <w:r>
        <w:rPr>
          <w:color w:val="005DA1"/>
          <w:u w:val="single" w:color="005DA1"/>
          <w:vertAlign w:val="superscript"/>
        </w:rPr>
        <w:t>37</w:t>
      </w:r>
    </w:p>
    <w:p>
      <w:pPr>
        <w:pStyle w:val="BodyText"/>
      </w:pPr>
    </w:p>
    <w:p>
      <w:pPr>
        <w:pStyle w:val="BodyText"/>
        <w:spacing w:before="35"/>
      </w:pPr>
    </w:p>
    <w:p>
      <w:pPr>
        <w:spacing w:before="0"/>
        <w:ind w:left="165" w:right="0" w:firstLine="0"/>
        <w:jc w:val="left"/>
        <w:rPr>
          <w:rFonts w:ascii="Arial"/>
          <w:b/>
          <w:sz w:val="18"/>
        </w:rPr>
      </w:pPr>
      <w:r>
        <w:rPr>
          <w:rFonts w:ascii="Arial"/>
          <w:b/>
          <w:sz w:val="18"/>
        </w:rPr>
        <w:t>Consumer </w:t>
      </w:r>
      <w:r>
        <w:rPr>
          <w:rFonts w:ascii="Arial"/>
          <w:b/>
          <w:spacing w:val="-2"/>
          <w:sz w:val="18"/>
        </w:rPr>
        <w:t>contracts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008</w:t>
      </w:r>
    </w:p>
    <w:p>
      <w:pPr>
        <w:spacing w:after="0"/>
        <w:jc w:val="left"/>
        <w:rPr>
          <w:rFonts w:ascii="Arial"/>
          <w:b/>
          <w:sz w:val="24"/>
        </w:rPr>
        <w:sectPr>
          <w:headerReference w:type="default" r:id="rId8"/>
          <w:pgSz w:w="11900" w:h="16840"/>
          <w:pgMar w:header="971" w:footer="0" w:top="1300" w:bottom="280" w:left="1275" w:right="1275"/>
          <w:pgNumType w:start="1"/>
        </w:sectPr>
      </w:pPr>
    </w:p>
    <w:p>
      <w:pPr>
        <w:pStyle w:val="BodyText"/>
        <w:spacing w:before="100"/>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50" w:id="52"/>
      <w:bookmarkEnd w:id="52"/>
      <w:r>
        <w:rPr>
          <w:rFonts w:ascii="Times New Roman" w:hAnsi="Times New Roman"/>
          <w:spacing w:val="15"/>
        </w:rPr>
      </w:r>
      <w:r>
        <w:rPr/>
        <w:t>Consumer contracts have long been the object of legislative intervention, with special </w:t>
      </w:r>
      <w:r>
        <w:rPr/>
        <w:t>rules </w:t>
      </w:r>
      <w:bookmarkStart w:name="_bookmark51" w:id="53"/>
      <w:bookmarkEnd w:id="53"/>
      <w:r>
        <w:rPr/>
        <w:t>governing</w:t>
      </w:r>
      <w:r>
        <w:rPr/>
        <w:t> exemption clauses, </w:t>
      </w:r>
      <w:r>
        <w:rPr>
          <w:color w:val="005DA1"/>
          <w:u w:val="single" w:color="005DA1"/>
          <w:vertAlign w:val="superscript"/>
        </w:rPr>
        <w:t>38</w:t>
      </w:r>
      <w:r>
        <w:rPr>
          <w:color w:val="005DA1"/>
          <w:vertAlign w:val="baseline"/>
        </w:rPr>
        <w:t> </w:t>
      </w:r>
      <w:r>
        <w:rPr>
          <w:vertAlign w:val="baseline"/>
        </w:rPr>
        <w:t>unfair contract terms more generally </w:t>
      </w:r>
      <w:r>
        <w:rPr>
          <w:color w:val="005DA1"/>
          <w:u w:val="single" w:color="005DA1"/>
          <w:vertAlign w:val="superscript"/>
        </w:rPr>
        <w:t>39</w:t>
      </w:r>
      <w:r>
        <w:rPr>
          <w:color w:val="005DA1"/>
          <w:vertAlign w:val="baseline"/>
        </w:rPr>
        <w:t> </w:t>
      </w:r>
      <w:r>
        <w:rPr>
          <w:vertAlign w:val="baseline"/>
        </w:rPr>
        <w:t>and aspects of particular </w:t>
      </w:r>
      <w:bookmarkStart w:name="_bookmark52" w:id="54"/>
      <w:bookmarkEnd w:id="54"/>
      <w:r>
        <w:rPr>
          <w:vertAlign w:val="baseline"/>
        </w:rPr>
        <w:t>types</w:t>
      </w:r>
      <w:r>
        <w:rPr>
          <w:spacing w:val="-3"/>
          <w:vertAlign w:val="baseline"/>
        </w:rPr>
        <w:t> </w:t>
      </w:r>
      <w:r>
        <w:rPr>
          <w:vertAlign w:val="baseline"/>
        </w:rPr>
        <w:t>of</w:t>
      </w:r>
      <w:r>
        <w:rPr>
          <w:spacing w:val="-3"/>
          <w:vertAlign w:val="baseline"/>
        </w:rPr>
        <w:t> </w:t>
      </w:r>
      <w:r>
        <w:rPr>
          <w:vertAlign w:val="baseline"/>
        </w:rPr>
        <w:t>consumer</w:t>
      </w:r>
      <w:r>
        <w:rPr>
          <w:spacing w:val="-3"/>
          <w:vertAlign w:val="baseline"/>
        </w:rPr>
        <w:t> </w:t>
      </w:r>
      <w:r>
        <w:rPr>
          <w:vertAlign w:val="baseline"/>
        </w:rPr>
        <w:t>contract</w:t>
      </w:r>
      <w:r>
        <w:rPr>
          <w:spacing w:val="-3"/>
          <w:vertAlign w:val="baseline"/>
        </w:rPr>
        <w:t> </w:t>
      </w:r>
      <w:r>
        <w:rPr>
          <w:vertAlign w:val="baseline"/>
        </w:rPr>
        <w:t>(such</w:t>
      </w:r>
      <w:r>
        <w:rPr>
          <w:spacing w:val="-3"/>
          <w:vertAlign w:val="baseline"/>
        </w:rPr>
        <w:t> </w:t>
      </w:r>
      <w:r>
        <w:rPr>
          <w:vertAlign w:val="baseline"/>
        </w:rPr>
        <w:t>as</w:t>
      </w:r>
      <w:r>
        <w:rPr>
          <w:spacing w:val="-3"/>
          <w:vertAlign w:val="baseline"/>
        </w:rPr>
        <w:t> </w:t>
      </w:r>
      <w:r>
        <w:rPr>
          <w:vertAlign w:val="baseline"/>
        </w:rPr>
        <w:t>consumer</w:t>
      </w:r>
      <w:r>
        <w:rPr>
          <w:spacing w:val="-3"/>
          <w:vertAlign w:val="baseline"/>
        </w:rPr>
        <w:t> </w:t>
      </w:r>
      <w:r>
        <w:rPr>
          <w:vertAlign w:val="baseline"/>
        </w:rPr>
        <w:t>credit,</w:t>
      </w:r>
      <w:r>
        <w:rPr>
          <w:spacing w:val="-4"/>
          <w:vertAlign w:val="baseline"/>
        </w:rPr>
        <w:t> </w:t>
      </w:r>
      <w:r>
        <w:rPr>
          <w:color w:val="005DA1"/>
          <w:u w:val="single" w:color="005DA1"/>
          <w:vertAlign w:val="superscript"/>
        </w:rPr>
        <w:t>40</w:t>
      </w:r>
      <w:r>
        <w:rPr>
          <w:color w:val="005DA1"/>
          <w:spacing w:val="-3"/>
          <w:vertAlign w:val="baseline"/>
        </w:rPr>
        <w:t> </w:t>
      </w:r>
      <w:r>
        <w:rPr>
          <w:vertAlign w:val="baseline"/>
        </w:rPr>
        <w:t>sale</w:t>
      </w:r>
      <w:r>
        <w:rPr>
          <w:spacing w:val="-3"/>
          <w:vertAlign w:val="baseline"/>
        </w:rPr>
        <w:t> </w:t>
      </w:r>
      <w:r>
        <w:rPr>
          <w:vertAlign w:val="baseline"/>
        </w:rPr>
        <w:t>of</w:t>
      </w:r>
      <w:r>
        <w:rPr>
          <w:spacing w:val="-3"/>
          <w:vertAlign w:val="baseline"/>
        </w:rPr>
        <w:t> </w:t>
      </w:r>
      <w:r>
        <w:rPr>
          <w:vertAlign w:val="baseline"/>
        </w:rPr>
        <w:t>goods,</w:t>
      </w:r>
      <w:r>
        <w:rPr>
          <w:spacing w:val="-4"/>
          <w:vertAlign w:val="baseline"/>
        </w:rPr>
        <w:t> </w:t>
      </w:r>
      <w:r>
        <w:rPr>
          <w:color w:val="005DA1"/>
          <w:u w:val="single" w:color="005DA1"/>
          <w:vertAlign w:val="superscript"/>
        </w:rPr>
        <w:t>41</w:t>
      </w:r>
      <w:r>
        <w:rPr>
          <w:color w:val="005DA1"/>
          <w:spacing w:val="-3"/>
          <w:vertAlign w:val="baseline"/>
        </w:rPr>
        <w:t> </w:t>
      </w:r>
      <w:r>
        <w:rPr>
          <w:vertAlign w:val="baseline"/>
        </w:rPr>
        <w:t>package</w:t>
      </w:r>
      <w:r>
        <w:rPr>
          <w:spacing w:val="-3"/>
          <w:vertAlign w:val="baseline"/>
        </w:rPr>
        <w:t> </w:t>
      </w:r>
      <w:r>
        <w:rPr>
          <w:vertAlign w:val="baseline"/>
        </w:rPr>
        <w:t>holiday</w:t>
      </w:r>
      <w:r>
        <w:rPr>
          <w:spacing w:val="-3"/>
          <w:vertAlign w:val="baseline"/>
        </w:rPr>
        <w:t> </w:t>
      </w:r>
      <w:r>
        <w:rPr>
          <w:vertAlign w:val="baseline"/>
        </w:rPr>
        <w:t>contracts</w:t>
      </w:r>
      <w:r>
        <w:rPr>
          <w:spacing w:val="-4"/>
          <w:vertAlign w:val="baseline"/>
        </w:rPr>
        <w:t> </w:t>
      </w:r>
      <w:r>
        <w:rPr>
          <w:color w:val="005DA1"/>
          <w:u w:val="single" w:color="005DA1"/>
          <w:vertAlign w:val="superscript"/>
        </w:rPr>
        <w:t>42</w:t>
      </w:r>
      <w:r>
        <w:rPr>
          <w:color w:val="005DA1"/>
          <w:vertAlign w:val="baseline"/>
        </w:rPr>
        <w:t> </w:t>
      </w:r>
      <w:bookmarkStart w:name="_bookmark53" w:id="55"/>
      <w:bookmarkEnd w:id="55"/>
      <w:r>
        <w:rPr>
          <w:color w:val="005DA1"/>
          <w:w w:val="92"/>
          <w:vertAlign w:val="baseline"/>
        </w:rPr>
      </w:r>
      <w:r>
        <w:rPr>
          <w:vertAlign w:val="baseline"/>
        </w:rPr>
        <w:t>or timeshare contracts </w:t>
      </w:r>
      <w:r>
        <w:rPr>
          <w:color w:val="005DA1"/>
          <w:u w:val="single" w:color="005DA1"/>
          <w:vertAlign w:val="superscript"/>
        </w:rPr>
        <w:t>43</w:t>
      </w:r>
      <w:r>
        <w:rPr>
          <w:vertAlign w:val="baseline"/>
        </w:rPr>
        <w:t>). There have also been information requirements for contracts concluded in certain circumstances (notably “doorstep selling” </w:t>
      </w:r>
      <w:r>
        <w:rPr>
          <w:color w:val="005DA1"/>
          <w:u w:val="single" w:color="005DA1"/>
          <w:vertAlign w:val="superscript"/>
        </w:rPr>
        <w:t>44</w:t>
      </w:r>
      <w:r>
        <w:rPr>
          <w:color w:val="005DA1"/>
          <w:vertAlign w:val="baseline"/>
        </w:rPr>
        <w:t> </w:t>
      </w:r>
      <w:r>
        <w:rPr>
          <w:vertAlign w:val="baseline"/>
        </w:rPr>
        <w:t>and “distance contracts” </w:t>
      </w:r>
      <w:r>
        <w:rPr>
          <w:color w:val="005DA1"/>
          <w:u w:val="single" w:color="005DA1"/>
          <w:vertAlign w:val="superscript"/>
        </w:rPr>
        <w:t>45</w:t>
      </w:r>
      <w:r>
        <w:rPr>
          <w:vertAlign w:val="baseline"/>
        </w:rPr>
        <w:t>), with accompanying short-lived rights of cancellation for the consumer. Earlier legislation was scattered across a series of </w:t>
      </w:r>
      <w:bookmarkStart w:name="_bookmark54" w:id="56"/>
      <w:bookmarkEnd w:id="56"/>
      <w:r>
        <w:rPr>
          <w:vertAlign w:val="baseline"/>
        </w:rPr>
        <w:t>legislative</w:t>
      </w:r>
      <w:r>
        <w:rPr>
          <w:vertAlign w:val="baseline"/>
        </w:rPr>
        <w:t> instruments (some primary legislation, some secondary) and formed part of and/or overlapped with protective rules which could apply other than for the benefit of consumers. </w:t>
      </w:r>
      <w:r>
        <w:rPr>
          <w:color w:val="005DA1"/>
          <w:u w:val="single" w:color="005DA1"/>
          <w:vertAlign w:val="superscript"/>
        </w:rPr>
        <w:t>46</w:t>
      </w:r>
      <w:r>
        <w:rPr>
          <w:color w:val="005DA1"/>
          <w:vertAlign w:val="baseline"/>
        </w:rPr>
        <w:t> </w:t>
      </w:r>
      <w:r>
        <w:rPr>
          <w:vertAlign w:val="baseline"/>
        </w:rPr>
        <w:t>Moreover, the key definitions of the person protected (the consumer) and the other party to the </w:t>
      </w:r>
      <w:bookmarkStart w:name="_bookmark55" w:id="57"/>
      <w:bookmarkEnd w:id="57"/>
      <w:r>
        <w:rPr>
          <w:vertAlign w:val="baseline"/>
        </w:rPr>
        <w:t>contract</w:t>
      </w:r>
      <w:r>
        <w:rPr>
          <w:vertAlign w:val="baseline"/>
        </w:rPr>
        <w:t> (the party acting in the course of business) differed between the various legislative instruments. </w:t>
      </w:r>
      <w:r>
        <w:rPr>
          <w:color w:val="005DA1"/>
          <w:u w:val="single" w:color="005DA1"/>
          <w:vertAlign w:val="superscript"/>
        </w:rPr>
        <w:t>47</w:t>
      </w:r>
      <w:r>
        <w:rPr>
          <w:color w:val="005DA1"/>
          <w:vertAlign w:val="baseline"/>
        </w:rPr>
        <w:t> </w:t>
      </w:r>
      <w:r>
        <w:rPr>
          <w:vertAlign w:val="baseline"/>
        </w:rPr>
        <w:t>However, recent legislation has sought to address the problems of inconsistency between consumer protection legislation and has also sought to mark a clear separation between legislation governing consumer contracts and legislation governing contracts more generally. The central pillar of this new legislative framework is the Consumer Rights Act 2015, whose most important provisions provide for a set of statutory terms governing consumer “goods contracts”,</w:t>
      </w:r>
      <w:r>
        <w:rPr>
          <w:spacing w:val="40"/>
          <w:vertAlign w:val="baseline"/>
        </w:rPr>
        <w:t> </w:t>
      </w:r>
      <w:bookmarkStart w:name="_bookmark56" w:id="58"/>
      <w:bookmarkEnd w:id="58"/>
      <w:r>
        <w:rPr>
          <w:vertAlign w:val="baseline"/>
        </w:rPr>
        <w:t>“digital</w:t>
      </w:r>
      <w:r>
        <w:rPr>
          <w:vertAlign w:val="baseline"/>
        </w:rPr>
        <w:t> content contracts” and “services contracts” (with sets of special remedies for their breach) and which also provide for the control of unfair terms. </w:t>
      </w:r>
      <w:r>
        <w:rPr>
          <w:color w:val="005DA1"/>
          <w:u w:val="single" w:color="005DA1"/>
          <w:vertAlign w:val="superscript"/>
        </w:rPr>
        <w:t>48</w:t>
      </w:r>
      <w:r>
        <w:rPr>
          <w:color w:val="005DA1"/>
          <w:vertAlign w:val="baseline"/>
        </w:rPr>
        <w:t> </w:t>
      </w:r>
      <w:r>
        <w:rPr>
          <w:vertAlign w:val="baseline"/>
        </w:rPr>
        <w:t>At the same time, the 2015 Act amends earlier, more general, legislation (notably the Misrepresentation Act 1967, the Unfair Contract Terms Act</w:t>
      </w:r>
      <w:r>
        <w:rPr>
          <w:spacing w:val="40"/>
          <w:vertAlign w:val="baseline"/>
        </w:rPr>
        <w:t> </w:t>
      </w:r>
      <w:bookmarkStart w:name="_bookmark57" w:id="59"/>
      <w:bookmarkEnd w:id="59"/>
      <w:r>
        <w:rPr>
          <w:vertAlign w:val="baseline"/>
        </w:rPr>
        <w:t>1977</w:t>
      </w:r>
      <w:r>
        <w:rPr>
          <w:vertAlign w:val="baseline"/>
        </w:rPr>
        <w:t> and the Sale of Goods Act 1979) so that its provisions do not apply where the provisions of the </w:t>
      </w:r>
      <w:bookmarkStart w:name="_bookmark58" w:id="60"/>
      <w:bookmarkEnd w:id="60"/>
      <w:r>
        <w:rPr>
          <w:vertAlign w:val="baseline"/>
        </w:rPr>
        <w:t>2015</w:t>
      </w:r>
      <w:r>
        <w:rPr>
          <w:vertAlign w:val="baseline"/>
        </w:rPr>
        <w:t> Act apply. </w:t>
      </w:r>
      <w:r>
        <w:rPr>
          <w:color w:val="005DA1"/>
          <w:u w:val="single" w:color="005DA1"/>
          <w:vertAlign w:val="superscript"/>
        </w:rPr>
        <w:t>49</w:t>
      </w:r>
      <w:r>
        <w:rPr>
          <w:color w:val="005DA1"/>
          <w:vertAlign w:val="baseline"/>
        </w:rPr>
        <w:t> </w:t>
      </w:r>
      <w:r>
        <w:rPr>
          <w:vertAlign w:val="baseline"/>
        </w:rPr>
        <w:t>Moreover, other legislation has reshaped and extended earlier legislative controls </w:t>
      </w:r>
      <w:bookmarkStart w:name="_bookmark59" w:id="61"/>
      <w:bookmarkEnd w:id="61"/>
      <w:r>
        <w:rPr>
          <w:vertAlign w:val="baseline"/>
        </w:rPr>
        <w:t>so</w:t>
      </w:r>
      <w:r>
        <w:rPr>
          <w:vertAlign w:val="baseline"/>
        </w:rPr>
        <w:t> as to place </w:t>
      </w:r>
      <w:r>
        <w:rPr>
          <w:rFonts w:ascii="Arial" w:hAnsi="Arial"/>
          <w:i/>
          <w:vertAlign w:val="baseline"/>
        </w:rPr>
        <w:t>most </w:t>
      </w:r>
      <w:r>
        <w:rPr>
          <w:vertAlign w:val="baseline"/>
        </w:rPr>
        <w:t>of the information duties on traders in a single set of statutory regulations </w:t>
      </w:r>
      <w:r>
        <w:rPr>
          <w:color w:val="005DA1"/>
          <w:u w:val="single" w:color="005DA1"/>
          <w:vertAlign w:val="superscript"/>
        </w:rPr>
        <w:t>50</w:t>
      </w:r>
      <w:r>
        <w:rPr>
          <w:color w:val="005DA1"/>
          <w:vertAlign w:val="baseline"/>
        </w:rPr>
        <w:t> </w:t>
      </w:r>
      <w:r>
        <w:rPr>
          <w:vertAlign w:val="baseline"/>
        </w:rPr>
        <w:t>and</w:t>
      </w:r>
      <w:r>
        <w:rPr>
          <w:spacing w:val="40"/>
          <w:vertAlign w:val="baseline"/>
        </w:rPr>
        <w:t> </w:t>
      </w:r>
      <w:r>
        <w:rPr>
          <w:vertAlign w:val="baseline"/>
        </w:rPr>
        <w:t>to create new rights to redress for certain unfair commercial practices committed by a trader. </w:t>
      </w:r>
      <w:r>
        <w:rPr>
          <w:color w:val="005DA1"/>
          <w:u w:val="single" w:color="005DA1"/>
          <w:vertAlign w:val="superscript"/>
        </w:rPr>
        <w:t>51</w:t>
      </w:r>
      <w:r>
        <w:rPr>
          <w:color w:val="005DA1"/>
          <w:vertAlign w:val="baseline"/>
        </w:rPr>
        <w:t> </w:t>
      </w:r>
      <w:r>
        <w:rPr>
          <w:vertAlign w:val="baseline"/>
        </w:rPr>
        <w:t>The overall result is the creation of a distinct and distinctive body of statutory law governing “consumer </w:t>
      </w:r>
      <w:bookmarkStart w:name="_bookmark60" w:id="62"/>
      <w:bookmarkEnd w:id="62"/>
      <w:r>
        <w:rPr>
          <w:vertAlign w:val="baseline"/>
        </w:rPr>
        <w:t>contracts”</w:t>
      </w:r>
      <w:r>
        <w:rPr>
          <w:spacing w:val="32"/>
          <w:vertAlign w:val="baseline"/>
        </w:rPr>
        <w:t> </w:t>
      </w:r>
      <w:r>
        <w:rPr>
          <w:vertAlign w:val="baseline"/>
        </w:rPr>
        <w:t>paralleling</w:t>
      </w:r>
      <w:r>
        <w:rPr>
          <w:spacing w:val="32"/>
          <w:vertAlign w:val="baseline"/>
        </w:rPr>
        <w:t> </w:t>
      </w:r>
      <w:r>
        <w:rPr>
          <w:vertAlign w:val="baseline"/>
        </w:rPr>
        <w:t>(but</w:t>
      </w:r>
      <w:r>
        <w:rPr>
          <w:spacing w:val="32"/>
          <w:vertAlign w:val="baseline"/>
        </w:rPr>
        <w:t> </w:t>
      </w:r>
      <w:r>
        <w:rPr>
          <w:vertAlign w:val="baseline"/>
        </w:rPr>
        <w:t>separated</w:t>
      </w:r>
      <w:r>
        <w:rPr>
          <w:spacing w:val="32"/>
          <w:vertAlign w:val="baseline"/>
        </w:rPr>
        <w:t> </w:t>
      </w:r>
      <w:r>
        <w:rPr>
          <w:vertAlign w:val="baseline"/>
        </w:rPr>
        <w:t>from)</w:t>
      </w:r>
      <w:r>
        <w:rPr>
          <w:spacing w:val="32"/>
          <w:vertAlign w:val="baseline"/>
        </w:rPr>
        <w:t> </w:t>
      </w:r>
      <w:r>
        <w:rPr>
          <w:vertAlign w:val="baseline"/>
        </w:rPr>
        <w:t>the</w:t>
      </w:r>
      <w:r>
        <w:rPr>
          <w:spacing w:val="32"/>
          <w:vertAlign w:val="baseline"/>
        </w:rPr>
        <w:t> </w:t>
      </w:r>
      <w:r>
        <w:rPr>
          <w:vertAlign w:val="baseline"/>
        </w:rPr>
        <w:t>law</w:t>
      </w:r>
      <w:r>
        <w:rPr>
          <w:spacing w:val="32"/>
          <w:vertAlign w:val="baseline"/>
        </w:rPr>
        <w:t> </w:t>
      </w:r>
      <w:r>
        <w:rPr>
          <w:vertAlign w:val="baseline"/>
        </w:rPr>
        <w:t>applicable</w:t>
      </w:r>
      <w:r>
        <w:rPr>
          <w:spacing w:val="32"/>
          <w:vertAlign w:val="baseline"/>
        </w:rPr>
        <w:t> </w:t>
      </w:r>
      <w:r>
        <w:rPr>
          <w:vertAlign w:val="baseline"/>
        </w:rPr>
        <w:t>more</w:t>
      </w:r>
      <w:r>
        <w:rPr>
          <w:spacing w:val="32"/>
          <w:vertAlign w:val="baseline"/>
        </w:rPr>
        <w:t> </w:t>
      </w:r>
      <w:r>
        <w:rPr>
          <w:vertAlign w:val="baseline"/>
        </w:rPr>
        <w:t>generally,</w:t>
      </w:r>
      <w:r>
        <w:rPr>
          <w:spacing w:val="32"/>
          <w:vertAlign w:val="baseline"/>
        </w:rPr>
        <w:t> </w:t>
      </w:r>
      <w:r>
        <w:rPr>
          <w:vertAlign w:val="baseline"/>
        </w:rPr>
        <w:t>whether</w:t>
      </w:r>
      <w:r>
        <w:rPr>
          <w:spacing w:val="32"/>
          <w:vertAlign w:val="baseline"/>
        </w:rPr>
        <w:t> </w:t>
      </w:r>
      <w:r>
        <w:rPr>
          <w:vertAlign w:val="baseline"/>
        </w:rPr>
        <w:t>statutory</w:t>
      </w:r>
      <w:r>
        <w:rPr>
          <w:spacing w:val="32"/>
          <w:vertAlign w:val="baseline"/>
        </w:rPr>
        <w:t> </w:t>
      </w:r>
      <w:r>
        <w:rPr>
          <w:spacing w:val="-5"/>
          <w:vertAlign w:val="baseline"/>
        </w:rPr>
        <w:t>or</w:t>
      </w:r>
    </w:p>
    <w:p>
      <w:pPr>
        <w:pStyle w:val="BodyText"/>
        <w:spacing w:line="235" w:lineRule="auto" w:before="111"/>
        <w:ind w:left="165" w:right="167"/>
        <w:jc w:val="both"/>
      </w:pPr>
      <w:r>
        <w:rPr/>
        <w:t>common law </w:t>
      </w:r>
      <w:r>
        <w:rPr>
          <w:color w:val="005DA1"/>
          <w:u w:val="single" w:color="005DA1"/>
          <w:vertAlign w:val="superscript"/>
        </w:rPr>
        <w:t>52</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vertAlign w:val="baseline"/>
        </w:rPr>
        <w:t>. Having said that, however, this body of consumer contract law by no means provides a complete legislative regime governing consumer contracts. First, a good deal of </w:t>
      </w:r>
      <w:r>
        <w:rPr>
          <w:vertAlign w:val="baseline"/>
        </w:rPr>
        <w:t>legislation </w:t>
      </w:r>
      <w:bookmarkStart w:name="_bookmark61" w:id="63"/>
      <w:bookmarkEnd w:id="63"/>
      <w:r>
        <w:rPr>
          <w:vertAlign w:val="baseline"/>
        </w:rPr>
        <w:t>specifically</w:t>
      </w:r>
      <w:r>
        <w:rPr>
          <w:vertAlign w:val="baseline"/>
        </w:rPr>
        <w:t> governing consumer contracts remains outside the four main relevant legislative </w:t>
      </w:r>
      <w:bookmarkStart w:name="_bookmark62" w:id="64"/>
      <w:bookmarkEnd w:id="64"/>
      <w:r>
        <w:rPr>
          <w:vertAlign w:val="baseline"/>
        </w:rPr>
        <w:t>instruments,</w:t>
      </w:r>
      <w:r>
        <w:rPr>
          <w:vertAlign w:val="baseline"/>
        </w:rPr>
        <w:t> </w:t>
      </w:r>
      <w:r>
        <w:rPr>
          <w:color w:val="005DA1"/>
          <w:u w:val="single" w:color="005DA1"/>
          <w:vertAlign w:val="superscript"/>
        </w:rPr>
        <w:t>53</w:t>
      </w:r>
      <w:r>
        <w:rPr>
          <w:color w:val="005DA1"/>
          <w:vertAlign w:val="baseline"/>
        </w:rPr>
        <w:t> </w:t>
      </w:r>
      <w:r>
        <w:rPr>
          <w:vertAlign w:val="baseline"/>
        </w:rPr>
        <w:t>including the very important Consumer Credit Act 1974 </w:t>
      </w:r>
      <w:r>
        <w:rPr>
          <w:color w:val="005DA1"/>
          <w:u w:val="single" w:color="005DA1"/>
          <w:vertAlign w:val="superscript"/>
        </w:rPr>
        <w:t>54</w:t>
      </w:r>
      <w:r>
        <w:rPr>
          <w:color w:val="005DA1"/>
          <w:vertAlign w:val="baseline"/>
        </w:rPr>
        <w:t> </w:t>
      </w:r>
      <w:r>
        <w:rPr>
          <w:vertAlign w:val="baseline"/>
        </w:rPr>
        <w:t>and legislation governing consumer insurance contracts. </w:t>
      </w:r>
      <w:r>
        <w:rPr>
          <w:color w:val="005DA1"/>
          <w:u w:val="single" w:color="005DA1"/>
          <w:vertAlign w:val="superscript"/>
        </w:rPr>
        <w:t>55</w:t>
      </w:r>
      <w:r>
        <w:rPr>
          <w:color w:val="005DA1"/>
          <w:vertAlign w:val="baseline"/>
        </w:rPr>
        <w:t> </w:t>
      </w:r>
      <w:r>
        <w:rPr>
          <w:vertAlign w:val="baseline"/>
        </w:rPr>
        <w:t>Secondly, even for those types of contract where the Consumer </w:t>
      </w:r>
      <w:bookmarkStart w:name="_bookmark63" w:id="65"/>
      <w:bookmarkEnd w:id="65"/>
      <w:r>
        <w:rPr>
          <w:vertAlign w:val="baseline"/>
        </w:rPr>
        <w:t>Rights</w:t>
      </w:r>
      <w:r>
        <w:rPr>
          <w:vertAlign w:val="baseline"/>
        </w:rPr>
        <w:t> Act 2015 provides new discrete rules (notably sale of goods), wider general legislation still applies to issues </w:t>
      </w:r>
      <w:r>
        <w:rPr>
          <w:rFonts w:ascii="Arial"/>
          <w:i/>
          <w:vertAlign w:val="baseline"/>
        </w:rPr>
        <w:t>not </w:t>
      </w:r>
      <w:r>
        <w:rPr>
          <w:vertAlign w:val="baseline"/>
        </w:rPr>
        <w:t>regulated by those new rules. </w:t>
      </w:r>
      <w:r>
        <w:rPr>
          <w:color w:val="005DA1"/>
          <w:u w:val="single" w:color="005DA1"/>
          <w:vertAlign w:val="superscript"/>
        </w:rPr>
        <w:t>56</w:t>
      </w:r>
      <w:r>
        <w:rPr>
          <w:color w:val="005DA1"/>
          <w:vertAlign w:val="baseline"/>
        </w:rPr>
        <w:t> </w:t>
      </w:r>
      <w:r>
        <w:rPr>
          <w:vertAlign w:val="baseline"/>
        </w:rPr>
        <w:t>And, thirdly, many issues arising between parties to a consumer contract (or a would-be consumer contract) are not governed by legislation at</w:t>
      </w:r>
      <w:r>
        <w:rPr>
          <w:spacing w:val="40"/>
          <w:vertAlign w:val="baseline"/>
        </w:rPr>
        <w:t> </w:t>
      </w:r>
      <w:r>
        <w:rPr>
          <w:vertAlign w:val="baseline"/>
        </w:rPr>
        <w:t>all and where this is the case the common law rules (whether applicable to contracts generally or to </w:t>
      </w:r>
      <w:bookmarkStart w:name="_bookmark64" w:id="66"/>
      <w:bookmarkEnd w:id="66"/>
      <w:r>
        <w:rPr>
          <w:vertAlign w:val="baseline"/>
        </w:rPr>
        <w:t>specific</w:t>
      </w:r>
      <w:r>
        <w:rPr>
          <w:vertAlign w:val="baseline"/>
        </w:rPr>
        <w:t> types of contract) apply. The new patterns of legislation governing consumer contracts are</w:t>
      </w:r>
      <w:r>
        <w:rPr>
          <w:spacing w:val="40"/>
          <w:vertAlign w:val="baseline"/>
        </w:rPr>
        <w:t> </w:t>
      </w:r>
      <w:r>
        <w:rPr>
          <w:vertAlign w:val="baseline"/>
        </w:rPr>
        <w:t>the subject of Ch.38 in Vol.II of the present work. </w:t>
      </w:r>
      <w:r>
        <w:rPr>
          <w:color w:val="005DA1"/>
          <w:u w:val="single" w:color="005DA1"/>
          <w:vertAlign w:val="superscript"/>
        </w:rPr>
        <w:t>57</w:t>
      </w:r>
    </w:p>
    <w:p>
      <w:pPr>
        <w:pStyle w:val="BodyText"/>
      </w:pPr>
    </w:p>
    <w:p>
      <w:pPr>
        <w:pStyle w:val="BodyText"/>
        <w:spacing w:before="36"/>
      </w:pP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184201</wp:posOffset>
                </wp:positionV>
                <wp:extent cx="572452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0409pt;width:450.75pt;height:.1pt;mso-position-horizontal-relative:page;mso-position-vertical-relative:paragraph;z-index:-15717376;mso-wrap-distance-left:0;mso-wrap-distance-right:0" id="docshape7"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65" w:id="67"/>
      <w:bookmarkEnd w:id="67"/>
      <w:r>
        <w:rPr/>
      </w:r>
      <w:hyperlink w:history="true" w:anchor="_bookmark39">
        <w:r>
          <w:rPr>
            <w:color w:val="005DA1"/>
            <w:spacing w:val="-5"/>
            <w:position w:val="5"/>
            <w:sz w:val="14"/>
            <w:u w:val="single" w:color="005DA1"/>
          </w:rPr>
          <w:t>22</w:t>
        </w:r>
      </w:hyperlink>
      <w:r>
        <w:rPr>
          <w:spacing w:val="-5"/>
          <w:position w:val="5"/>
          <w:sz w:val="14"/>
        </w:rPr>
        <w:t>.</w:t>
      </w:r>
      <w:r>
        <w:rPr>
          <w:position w:val="5"/>
          <w:sz w:val="14"/>
        </w:rPr>
        <w:tab/>
      </w:r>
      <w:r>
        <w:rPr/>
        <w:t>Above, para.1-001 and see Burrows (2012) 128 L.Q.R. </w:t>
      </w:r>
      <w:r>
        <w:rPr>
          <w:spacing w:val="-4"/>
        </w:rPr>
        <w:t>232.</w:t>
      </w:r>
    </w:p>
    <w:p>
      <w:pPr>
        <w:pStyle w:val="BodyText"/>
        <w:spacing w:before="5"/>
      </w:pPr>
    </w:p>
    <w:p>
      <w:pPr>
        <w:pStyle w:val="BodyText"/>
        <w:tabs>
          <w:tab w:pos="705" w:val="left" w:leader="none"/>
        </w:tabs>
        <w:ind w:left="165"/>
      </w:pPr>
      <w:bookmarkStart w:name="_bookmark66" w:id="68"/>
      <w:bookmarkEnd w:id="68"/>
      <w:r>
        <w:rPr/>
      </w:r>
      <w:hyperlink w:history="true" w:anchor="_bookmark40">
        <w:r>
          <w:rPr>
            <w:color w:val="005DA1"/>
            <w:spacing w:val="-5"/>
            <w:position w:val="5"/>
            <w:sz w:val="14"/>
            <w:u w:val="single" w:color="005DA1"/>
          </w:rPr>
          <w:t>23</w:t>
        </w:r>
      </w:hyperlink>
      <w:r>
        <w:rPr>
          <w:spacing w:val="-5"/>
          <w:position w:val="5"/>
          <w:sz w:val="14"/>
        </w:rPr>
        <w:t>.</w:t>
      </w:r>
      <w:r>
        <w:rPr>
          <w:position w:val="5"/>
          <w:sz w:val="14"/>
        </w:rPr>
        <w:tab/>
      </w:r>
      <w:r>
        <w:rPr/>
        <w:t>Unfair Contract Terms Act 1977 and see below, paras 15-066 et </w:t>
      </w:r>
      <w:r>
        <w:rPr>
          <w:spacing w:val="-4"/>
        </w:rPr>
        <w:t>seq.</w:t>
      </w:r>
    </w:p>
    <w:p>
      <w:pPr>
        <w:pStyle w:val="BodyText"/>
        <w:spacing w:before="5"/>
      </w:pPr>
    </w:p>
    <w:p>
      <w:pPr>
        <w:pStyle w:val="BodyText"/>
        <w:tabs>
          <w:tab w:pos="705" w:val="left" w:leader="none"/>
        </w:tabs>
        <w:spacing w:line="227" w:lineRule="exact"/>
        <w:ind w:left="165"/>
      </w:pPr>
      <w:bookmarkStart w:name="_bookmark67" w:id="69"/>
      <w:bookmarkEnd w:id="69"/>
      <w:r>
        <w:rPr/>
      </w:r>
      <w:hyperlink w:history="true" w:anchor="_bookmark41">
        <w:r>
          <w:rPr>
            <w:color w:val="005DA1"/>
            <w:spacing w:val="-5"/>
            <w:position w:val="5"/>
            <w:sz w:val="14"/>
            <w:u w:val="single" w:color="005DA1"/>
          </w:rPr>
          <w:t>24</w:t>
        </w:r>
      </w:hyperlink>
      <w:r>
        <w:rPr>
          <w:spacing w:val="-5"/>
          <w:position w:val="5"/>
          <w:sz w:val="14"/>
        </w:rPr>
        <w:t>.</w:t>
      </w:r>
      <w:r>
        <w:rPr>
          <w:position w:val="5"/>
          <w:sz w:val="14"/>
        </w:rPr>
        <w:tab/>
      </w:r>
      <w:r>
        <w:rPr/>
        <w:t>Misrepresentation</w:t>
      </w:r>
      <w:r>
        <w:rPr>
          <w:spacing w:val="8"/>
        </w:rPr>
        <w:t> </w:t>
      </w:r>
      <w:r>
        <w:rPr/>
        <w:t>Act</w:t>
      </w:r>
      <w:r>
        <w:rPr>
          <w:spacing w:val="8"/>
        </w:rPr>
        <w:t> </w:t>
      </w:r>
      <w:r>
        <w:rPr/>
        <w:t>1967</w:t>
      </w:r>
      <w:r>
        <w:rPr>
          <w:spacing w:val="8"/>
        </w:rPr>
        <w:t> </w:t>
      </w:r>
      <w:r>
        <w:rPr/>
        <w:t>and</w:t>
      </w:r>
      <w:r>
        <w:rPr>
          <w:spacing w:val="8"/>
        </w:rPr>
        <w:t> </w:t>
      </w:r>
      <w:r>
        <w:rPr/>
        <w:t>see</w:t>
      </w:r>
      <w:r>
        <w:rPr>
          <w:spacing w:val="8"/>
        </w:rPr>
        <w:t> </w:t>
      </w:r>
      <w:r>
        <w:rPr/>
        <w:t>below,</w:t>
      </w:r>
      <w:r>
        <w:rPr>
          <w:spacing w:val="8"/>
        </w:rPr>
        <w:t> </w:t>
      </w:r>
      <w:r>
        <w:rPr/>
        <w:t>paras</w:t>
      </w:r>
      <w:r>
        <w:rPr>
          <w:spacing w:val="8"/>
        </w:rPr>
        <w:t> </w:t>
      </w:r>
      <w:r>
        <w:rPr/>
        <w:t>7-074—7-085;</w:t>
      </w:r>
      <w:r>
        <w:rPr>
          <w:spacing w:val="8"/>
        </w:rPr>
        <w:t> </w:t>
      </w:r>
      <w:r>
        <w:rPr/>
        <w:t>7-104—7-110;</w:t>
      </w:r>
      <w:r>
        <w:rPr>
          <w:spacing w:val="8"/>
        </w:rPr>
        <w:t> </w:t>
      </w:r>
      <w:r>
        <w:rPr/>
        <w:t>7-111—7-</w:t>
      </w:r>
      <w:r>
        <w:rPr>
          <w:spacing w:val="-4"/>
        </w:rPr>
        <w:t>113;</w:t>
      </w:r>
    </w:p>
    <w:p>
      <w:pPr>
        <w:pStyle w:val="BodyText"/>
        <w:spacing w:line="227" w:lineRule="exact"/>
        <w:ind w:left="705"/>
      </w:pPr>
      <w:r>
        <w:rPr/>
        <w:t>7-146—7-</w:t>
      </w:r>
      <w:r>
        <w:rPr>
          <w:spacing w:val="-4"/>
        </w:rPr>
        <w:t>150.</w:t>
      </w:r>
    </w:p>
    <w:p>
      <w:pPr>
        <w:pStyle w:val="BodyText"/>
        <w:spacing w:before="5"/>
      </w:pPr>
    </w:p>
    <w:p>
      <w:pPr>
        <w:pStyle w:val="BodyText"/>
        <w:tabs>
          <w:tab w:pos="705" w:val="left" w:leader="none"/>
        </w:tabs>
        <w:ind w:left="165"/>
      </w:pPr>
      <w:bookmarkStart w:name="_bookmark68" w:id="70"/>
      <w:bookmarkEnd w:id="70"/>
      <w:r>
        <w:rPr/>
      </w:r>
      <w:hyperlink w:history="true" w:anchor="_bookmark41">
        <w:r>
          <w:rPr>
            <w:color w:val="005DA1"/>
            <w:spacing w:val="-5"/>
            <w:position w:val="5"/>
            <w:sz w:val="14"/>
            <w:u w:val="single" w:color="005DA1"/>
          </w:rPr>
          <w:t>25</w:t>
        </w:r>
      </w:hyperlink>
      <w:r>
        <w:rPr>
          <w:spacing w:val="-5"/>
          <w:position w:val="5"/>
          <w:sz w:val="14"/>
        </w:rPr>
        <w:t>.</w:t>
      </w:r>
      <w:r>
        <w:rPr>
          <w:position w:val="5"/>
          <w:sz w:val="14"/>
        </w:rPr>
        <w:tab/>
      </w:r>
      <w:r>
        <w:rPr/>
        <w:t>Minors’ Contracts Act 1987 and see below, paras 9-061—9-</w:t>
      </w:r>
      <w:r>
        <w:rPr>
          <w:spacing w:val="-4"/>
        </w:rPr>
        <w:t>064.</w:t>
      </w:r>
    </w:p>
    <w:p>
      <w:pPr>
        <w:pStyle w:val="BodyText"/>
        <w:spacing w:before="5"/>
      </w:pPr>
    </w:p>
    <w:p>
      <w:pPr>
        <w:pStyle w:val="BodyText"/>
        <w:tabs>
          <w:tab w:pos="705" w:val="left" w:leader="none"/>
        </w:tabs>
        <w:ind w:left="165"/>
      </w:pPr>
      <w:bookmarkStart w:name="_bookmark69" w:id="71"/>
      <w:bookmarkEnd w:id="71"/>
      <w:r>
        <w:rPr/>
      </w:r>
      <w:hyperlink w:history="true" w:anchor="_bookmark42">
        <w:r>
          <w:rPr>
            <w:color w:val="005DA1"/>
            <w:spacing w:val="-5"/>
            <w:position w:val="5"/>
            <w:sz w:val="14"/>
            <w:u w:val="single" w:color="005DA1"/>
          </w:rPr>
          <w:t>26</w:t>
        </w:r>
      </w:hyperlink>
      <w:r>
        <w:rPr>
          <w:spacing w:val="-5"/>
          <w:position w:val="5"/>
          <w:sz w:val="14"/>
        </w:rPr>
        <w:t>.</w:t>
      </w:r>
      <w:r>
        <w:rPr>
          <w:position w:val="5"/>
          <w:sz w:val="14"/>
        </w:rPr>
        <w:tab/>
      </w:r>
      <w:r>
        <w:rPr/>
        <w:t>Mental Capacity Act 2005 s.7 and see para.9-</w:t>
      </w:r>
      <w:r>
        <w:rPr>
          <w:spacing w:val="-4"/>
        </w:rPr>
        <w:t>096.</w:t>
      </w:r>
    </w:p>
    <w:p>
      <w:pPr>
        <w:pStyle w:val="BodyText"/>
        <w:spacing w:before="5"/>
      </w:pPr>
    </w:p>
    <w:p>
      <w:pPr>
        <w:pStyle w:val="BodyText"/>
        <w:tabs>
          <w:tab w:pos="705" w:val="left" w:leader="none"/>
        </w:tabs>
        <w:ind w:left="165"/>
      </w:pPr>
      <w:bookmarkStart w:name="_bookmark70" w:id="72"/>
      <w:bookmarkEnd w:id="72"/>
      <w:r>
        <w:rPr/>
      </w:r>
      <w:hyperlink w:history="true" w:anchor="_bookmark42">
        <w:r>
          <w:rPr>
            <w:color w:val="005DA1"/>
            <w:spacing w:val="-5"/>
            <w:position w:val="5"/>
            <w:sz w:val="14"/>
            <w:u w:val="single" w:color="005DA1"/>
          </w:rPr>
          <w:t>27</w:t>
        </w:r>
      </w:hyperlink>
      <w:r>
        <w:rPr>
          <w:spacing w:val="-5"/>
          <w:position w:val="5"/>
          <w:sz w:val="14"/>
        </w:rPr>
        <w:t>.</w:t>
      </w:r>
      <w:r>
        <w:rPr>
          <w:position w:val="5"/>
          <w:sz w:val="14"/>
        </w:rPr>
        <w:tab/>
      </w:r>
      <w:r>
        <w:rPr/>
        <w:t>Law Reform (Frustrated Contracts) Act 1943 and see below, paras 23-074—23-</w:t>
      </w:r>
      <w:r>
        <w:rPr>
          <w:spacing w:val="-4"/>
        </w:rPr>
        <w:t>077.</w:t>
      </w:r>
    </w:p>
    <w:p>
      <w:pPr>
        <w:pStyle w:val="BodyText"/>
        <w:spacing w:before="5"/>
      </w:pPr>
    </w:p>
    <w:p>
      <w:pPr>
        <w:pStyle w:val="BodyText"/>
        <w:tabs>
          <w:tab w:pos="705" w:val="left" w:leader="none"/>
        </w:tabs>
        <w:ind w:left="165"/>
      </w:pPr>
      <w:bookmarkStart w:name="_bookmark71" w:id="73"/>
      <w:bookmarkEnd w:id="73"/>
      <w:r>
        <w:rPr/>
      </w:r>
      <w:hyperlink w:history="true" w:anchor="_bookmark43">
        <w:r>
          <w:rPr>
            <w:color w:val="005DA1"/>
            <w:spacing w:val="-5"/>
            <w:position w:val="5"/>
            <w:sz w:val="14"/>
            <w:u w:val="single" w:color="005DA1"/>
          </w:rPr>
          <w:t>28</w:t>
        </w:r>
      </w:hyperlink>
      <w:r>
        <w:rPr>
          <w:spacing w:val="-5"/>
          <w:position w:val="5"/>
          <w:sz w:val="14"/>
        </w:rPr>
        <w:t>.</w:t>
      </w:r>
      <w:r>
        <w:rPr>
          <w:position w:val="5"/>
          <w:sz w:val="14"/>
        </w:rPr>
        <w:tab/>
      </w:r>
      <w:r>
        <w:rPr/>
        <w:t>Contracts (Rights for Third Parties) Act 1999 and see below, paras 18-090—18-</w:t>
      </w:r>
      <w:r>
        <w:rPr>
          <w:spacing w:val="-4"/>
        </w:rPr>
        <w:t>125.</w:t>
      </w:r>
    </w:p>
    <w:p>
      <w:pPr>
        <w:pStyle w:val="BodyText"/>
        <w:spacing w:before="9"/>
      </w:pPr>
    </w:p>
    <w:p>
      <w:pPr>
        <w:pStyle w:val="BodyText"/>
        <w:spacing w:line="235" w:lineRule="auto"/>
        <w:ind w:left="705" w:right="167" w:hanging="541"/>
        <w:jc w:val="both"/>
      </w:pPr>
      <w:bookmarkStart w:name="_bookmark72" w:id="74"/>
      <w:bookmarkEnd w:id="74"/>
      <w:r>
        <w:rPr/>
      </w:r>
      <w:hyperlink w:history="true" w:anchor="_bookmark44">
        <w:r>
          <w:rPr>
            <w:color w:val="005DA1"/>
            <w:position w:val="5"/>
            <w:sz w:val="14"/>
            <w:u w:val="single" w:color="005DA1"/>
          </w:rPr>
          <w:t>29</w:t>
        </w:r>
      </w:hyperlink>
      <w:r>
        <w:rPr>
          <w:position w:val="5"/>
          <w:sz w:val="14"/>
        </w:rPr>
        <w:t>.</w:t>
      </w:r>
      <w:r>
        <w:rPr>
          <w:spacing w:val="80"/>
          <w:w w:val="150"/>
          <w:position w:val="5"/>
          <w:sz w:val="14"/>
        </w:rPr>
        <w:t> </w:t>
      </w:r>
      <w:r>
        <w:rPr/>
        <w:t>See Vol.II, paras 45-042—45-061. Its provisions governing contracts for the sale or other disposition of an interest in land were replaced by s.40 of the Law of Property Act 1925, itself replaced by s.2 of the Law of Property (Miscellaneous Provisions) Act 1989, on which see below, paras 5-010 et seq. The 1677 Act’s provision governing contracts for the sale of goods (s.17) were finally abolished by the Law Reform (Enforcement of Contracts) Act 1954 </w:t>
      </w:r>
      <w:r>
        <w:rPr/>
        <w:t>s.4 (repealing Sale of Goods Act 1893 s.4).</w:t>
      </w:r>
    </w:p>
    <w:p>
      <w:pPr>
        <w:pStyle w:val="BodyText"/>
        <w:spacing w:after="0" w:line="235" w:lineRule="auto"/>
        <w:jc w:val="both"/>
        <w:sectPr>
          <w:pgSz w:w="11900" w:h="16840"/>
          <w:pgMar w:header="971" w:footer="0" w:top="1300" w:bottom="280" w:left="1275" w:right="1275"/>
        </w:sectPr>
      </w:pPr>
    </w:p>
    <w:p>
      <w:pPr>
        <w:pStyle w:val="BodyText"/>
        <w:tabs>
          <w:tab w:pos="705" w:val="left" w:leader="none"/>
        </w:tabs>
        <w:spacing w:before="166"/>
        <w:ind w:left="165"/>
      </w:pPr>
      <w:hyperlink w:history="true" w:anchor="_bookmark45">
        <w:r>
          <w:rPr>
            <w:color w:val="005DA1"/>
            <w:spacing w:val="-5"/>
            <w:position w:val="5"/>
            <w:sz w:val="14"/>
            <w:u w:val="single" w:color="005DA1"/>
          </w:rPr>
          <w:t>30</w:t>
        </w:r>
      </w:hyperlink>
      <w:r>
        <w:rPr>
          <w:spacing w:val="-5"/>
          <w:position w:val="5"/>
          <w:sz w:val="14"/>
        </w:rPr>
        <w:t>.</w:t>
      </w:r>
      <w:r>
        <w:rPr>
          <w:position w:val="5"/>
          <w:sz w:val="14"/>
        </w:rPr>
        <w:tab/>
      </w:r>
      <w:r>
        <w:rPr/>
        <w:t>Life Assurance Act 1774, on which see Vol.II, paras 42-010, 42-</w:t>
      </w:r>
      <w:r>
        <w:rPr>
          <w:spacing w:val="-4"/>
        </w:rPr>
        <w:t>014.</w:t>
      </w:r>
    </w:p>
    <w:p>
      <w:pPr>
        <w:pStyle w:val="BodyText"/>
        <w:spacing w:before="5"/>
      </w:pPr>
    </w:p>
    <w:p>
      <w:pPr>
        <w:pStyle w:val="BodyText"/>
        <w:tabs>
          <w:tab w:pos="705" w:val="left" w:leader="none"/>
        </w:tabs>
        <w:spacing w:before="1"/>
        <w:ind w:left="165"/>
      </w:pPr>
      <w:bookmarkStart w:name="_bookmark73" w:id="75"/>
      <w:bookmarkEnd w:id="75"/>
      <w:r>
        <w:rPr/>
      </w:r>
      <w:hyperlink w:history="true" w:anchor="_bookmark45">
        <w:r>
          <w:rPr>
            <w:color w:val="005DA1"/>
            <w:spacing w:val="-5"/>
            <w:position w:val="5"/>
            <w:sz w:val="14"/>
            <w:u w:val="single" w:color="005DA1"/>
          </w:rPr>
          <w:t>31</w:t>
        </w:r>
      </w:hyperlink>
      <w:r>
        <w:rPr>
          <w:spacing w:val="-5"/>
          <w:position w:val="5"/>
          <w:sz w:val="14"/>
        </w:rPr>
        <w:t>.</w:t>
      </w:r>
      <w:r>
        <w:rPr>
          <w:position w:val="5"/>
          <w:sz w:val="14"/>
        </w:rPr>
        <w:tab/>
      </w:r>
      <w:r>
        <w:rPr/>
        <w:t>Bills of Sale Act 1878 (later </w:t>
      </w:r>
      <w:r>
        <w:rPr>
          <w:spacing w:val="-2"/>
        </w:rPr>
        <w:t>amended).</w:t>
      </w:r>
    </w:p>
    <w:p>
      <w:pPr>
        <w:pStyle w:val="BodyText"/>
        <w:spacing w:before="4"/>
      </w:pPr>
    </w:p>
    <w:p>
      <w:pPr>
        <w:pStyle w:val="BodyText"/>
        <w:tabs>
          <w:tab w:pos="705" w:val="left" w:leader="none"/>
        </w:tabs>
        <w:spacing w:before="1"/>
        <w:ind w:left="165"/>
      </w:pPr>
      <w:bookmarkStart w:name="_bookmark74" w:id="76"/>
      <w:bookmarkEnd w:id="76"/>
      <w:r>
        <w:rPr/>
      </w:r>
      <w:hyperlink w:history="true" w:anchor="_bookmark46">
        <w:r>
          <w:rPr>
            <w:color w:val="005DA1"/>
            <w:spacing w:val="-5"/>
            <w:position w:val="5"/>
            <w:sz w:val="14"/>
            <w:u w:val="single" w:color="005DA1"/>
          </w:rPr>
          <w:t>32</w:t>
        </w:r>
      </w:hyperlink>
      <w:r>
        <w:rPr>
          <w:spacing w:val="-5"/>
          <w:position w:val="5"/>
          <w:sz w:val="14"/>
        </w:rPr>
        <w:t>.</w:t>
      </w:r>
      <w:r>
        <w:rPr>
          <w:position w:val="5"/>
          <w:sz w:val="14"/>
        </w:rPr>
        <w:tab/>
      </w:r>
      <w:r>
        <w:rPr/>
        <w:t>Bills of Exchange Act 1882, see Vol.II, para.34-</w:t>
      </w:r>
      <w:r>
        <w:rPr>
          <w:spacing w:val="-4"/>
        </w:rPr>
        <w:t>006.</w:t>
      </w:r>
    </w:p>
    <w:p>
      <w:pPr>
        <w:pStyle w:val="BodyText"/>
        <w:spacing w:before="4"/>
      </w:pPr>
    </w:p>
    <w:p>
      <w:pPr>
        <w:pStyle w:val="BodyText"/>
        <w:tabs>
          <w:tab w:pos="705" w:val="left" w:leader="none"/>
        </w:tabs>
        <w:spacing w:before="1"/>
        <w:ind w:left="165"/>
      </w:pPr>
      <w:bookmarkStart w:name="_bookmark75" w:id="77"/>
      <w:bookmarkEnd w:id="77"/>
      <w:r>
        <w:rPr/>
      </w:r>
      <w:hyperlink w:history="true" w:anchor="_bookmark46">
        <w:r>
          <w:rPr>
            <w:color w:val="005DA1"/>
            <w:spacing w:val="-5"/>
            <w:position w:val="5"/>
            <w:sz w:val="14"/>
            <w:u w:val="single" w:color="005DA1"/>
          </w:rPr>
          <w:t>33</w:t>
        </w:r>
      </w:hyperlink>
      <w:r>
        <w:rPr>
          <w:spacing w:val="-5"/>
          <w:position w:val="5"/>
          <w:sz w:val="14"/>
        </w:rPr>
        <w:t>.</w:t>
      </w:r>
      <w:r>
        <w:rPr>
          <w:position w:val="5"/>
          <w:sz w:val="14"/>
        </w:rPr>
        <w:tab/>
      </w:r>
      <w:r>
        <w:rPr/>
        <w:t>Partnership Act </w:t>
      </w:r>
      <w:r>
        <w:rPr>
          <w:spacing w:val="-2"/>
        </w:rPr>
        <w:t>1890.</w:t>
      </w:r>
    </w:p>
    <w:p>
      <w:pPr>
        <w:pStyle w:val="BodyText"/>
        <w:spacing w:before="8"/>
      </w:pPr>
    </w:p>
    <w:p>
      <w:pPr>
        <w:pStyle w:val="BodyText"/>
        <w:tabs>
          <w:tab w:pos="705" w:val="left" w:leader="none"/>
        </w:tabs>
        <w:spacing w:line="235" w:lineRule="auto"/>
        <w:ind w:left="705" w:right="167" w:hanging="541"/>
      </w:pPr>
      <w:bookmarkStart w:name="_bookmark76" w:id="78"/>
      <w:bookmarkEnd w:id="78"/>
      <w:r>
        <w:rPr/>
      </w:r>
      <w:hyperlink w:history="true" w:anchor="_bookmark47">
        <w:r>
          <w:rPr>
            <w:color w:val="005DA1"/>
            <w:spacing w:val="-4"/>
            <w:position w:val="5"/>
            <w:sz w:val="14"/>
            <w:u w:val="single" w:color="005DA1"/>
          </w:rPr>
          <w:t>34</w:t>
        </w:r>
      </w:hyperlink>
      <w:r>
        <w:rPr>
          <w:spacing w:val="-4"/>
          <w:position w:val="5"/>
          <w:sz w:val="14"/>
        </w:rPr>
        <w:t>.</w:t>
      </w:r>
      <w:r>
        <w:rPr>
          <w:position w:val="5"/>
          <w:sz w:val="14"/>
        </w:rPr>
        <w:tab/>
      </w:r>
      <w:r>
        <w:rPr/>
        <w:t>Sale</w:t>
      </w:r>
      <w:r>
        <w:rPr>
          <w:spacing w:val="22"/>
        </w:rPr>
        <w:t> </w:t>
      </w:r>
      <w:r>
        <w:rPr/>
        <w:t>of</w:t>
      </w:r>
      <w:r>
        <w:rPr>
          <w:spacing w:val="22"/>
        </w:rPr>
        <w:t> </w:t>
      </w:r>
      <w:r>
        <w:rPr/>
        <w:t>Goods</w:t>
      </w:r>
      <w:r>
        <w:rPr>
          <w:spacing w:val="22"/>
        </w:rPr>
        <w:t> </w:t>
      </w:r>
      <w:r>
        <w:rPr/>
        <w:t>Act</w:t>
      </w:r>
      <w:r>
        <w:rPr>
          <w:spacing w:val="22"/>
        </w:rPr>
        <w:t> </w:t>
      </w:r>
      <w:r>
        <w:rPr/>
        <w:t>1893</w:t>
      </w:r>
      <w:r>
        <w:rPr>
          <w:spacing w:val="22"/>
        </w:rPr>
        <w:t> </w:t>
      </w:r>
      <w:r>
        <w:rPr/>
        <w:t>replaced</w:t>
      </w:r>
      <w:r>
        <w:rPr>
          <w:spacing w:val="22"/>
        </w:rPr>
        <w:t> </w:t>
      </w:r>
      <w:r>
        <w:rPr/>
        <w:t>by</w:t>
      </w:r>
      <w:r>
        <w:rPr>
          <w:spacing w:val="22"/>
        </w:rPr>
        <w:t> </w:t>
      </w:r>
      <w:r>
        <w:rPr/>
        <w:t>the</w:t>
      </w:r>
      <w:r>
        <w:rPr>
          <w:spacing w:val="22"/>
        </w:rPr>
        <w:t> </w:t>
      </w:r>
      <w:r>
        <w:rPr/>
        <w:t>Sale</w:t>
      </w:r>
      <w:r>
        <w:rPr>
          <w:spacing w:val="22"/>
        </w:rPr>
        <w:t> </w:t>
      </w:r>
      <w:r>
        <w:rPr/>
        <w:t>of</w:t>
      </w:r>
      <w:r>
        <w:rPr>
          <w:spacing w:val="22"/>
        </w:rPr>
        <w:t> </w:t>
      </w:r>
      <w:r>
        <w:rPr/>
        <w:t>Goods</w:t>
      </w:r>
      <w:r>
        <w:rPr>
          <w:spacing w:val="22"/>
        </w:rPr>
        <w:t> </w:t>
      </w:r>
      <w:r>
        <w:rPr/>
        <w:t>Act</w:t>
      </w:r>
      <w:r>
        <w:rPr>
          <w:spacing w:val="22"/>
        </w:rPr>
        <w:t> </w:t>
      </w:r>
      <w:r>
        <w:rPr/>
        <w:t>1979</w:t>
      </w:r>
      <w:r>
        <w:rPr>
          <w:spacing w:val="22"/>
        </w:rPr>
        <w:t> </w:t>
      </w:r>
      <w:r>
        <w:rPr/>
        <w:t>on</w:t>
      </w:r>
      <w:r>
        <w:rPr>
          <w:spacing w:val="22"/>
        </w:rPr>
        <w:t> </w:t>
      </w:r>
      <w:r>
        <w:rPr/>
        <w:t>which</w:t>
      </w:r>
      <w:r>
        <w:rPr>
          <w:spacing w:val="22"/>
        </w:rPr>
        <w:t> </w:t>
      </w:r>
      <w:r>
        <w:rPr/>
        <w:t>see</w:t>
      </w:r>
      <w:r>
        <w:rPr>
          <w:spacing w:val="22"/>
        </w:rPr>
        <w:t> </w:t>
      </w:r>
      <w:r>
        <w:rPr/>
        <w:t>Vol.II,</w:t>
      </w:r>
      <w:r>
        <w:rPr>
          <w:spacing w:val="22"/>
        </w:rPr>
        <w:t> </w:t>
      </w:r>
      <w:r>
        <w:rPr/>
        <w:t>paras 44-001 et seq.</w:t>
      </w:r>
    </w:p>
    <w:p>
      <w:pPr>
        <w:pStyle w:val="BodyText"/>
        <w:spacing w:before="6"/>
      </w:pPr>
    </w:p>
    <w:p>
      <w:pPr>
        <w:pStyle w:val="BodyText"/>
        <w:tabs>
          <w:tab w:pos="705" w:val="left" w:leader="none"/>
        </w:tabs>
        <w:ind w:left="165"/>
      </w:pPr>
      <w:bookmarkStart w:name="_bookmark77" w:id="79"/>
      <w:bookmarkEnd w:id="79"/>
      <w:r>
        <w:rPr/>
      </w:r>
      <w:hyperlink w:history="true" w:anchor="_bookmark48">
        <w:r>
          <w:rPr>
            <w:color w:val="005DA1"/>
            <w:spacing w:val="-5"/>
            <w:position w:val="5"/>
            <w:sz w:val="14"/>
            <w:u w:val="single" w:color="005DA1"/>
          </w:rPr>
          <w:t>35</w:t>
        </w:r>
      </w:hyperlink>
      <w:r>
        <w:rPr>
          <w:spacing w:val="-5"/>
          <w:position w:val="5"/>
          <w:sz w:val="14"/>
        </w:rPr>
        <w:t>.</w:t>
      </w:r>
      <w:r>
        <w:rPr>
          <w:position w:val="5"/>
          <w:sz w:val="14"/>
        </w:rPr>
        <w:tab/>
      </w:r>
      <w:r>
        <w:rPr/>
        <w:t>e.g. Landlord and Tenant Act </w:t>
      </w:r>
      <w:r>
        <w:rPr>
          <w:spacing w:val="-2"/>
        </w:rPr>
        <w:t>1954.</w:t>
      </w:r>
    </w:p>
    <w:p>
      <w:pPr>
        <w:pStyle w:val="BodyText"/>
        <w:spacing w:before="8"/>
      </w:pPr>
    </w:p>
    <w:p>
      <w:pPr>
        <w:pStyle w:val="BodyText"/>
        <w:spacing w:line="235" w:lineRule="auto" w:before="1"/>
        <w:ind w:left="705" w:right="167" w:hanging="541"/>
        <w:jc w:val="both"/>
      </w:pPr>
      <w:bookmarkStart w:name="_bookmark78" w:id="80"/>
      <w:bookmarkEnd w:id="80"/>
      <w:r>
        <w:rPr/>
      </w:r>
      <w:hyperlink w:history="true" w:anchor="_bookmark48">
        <w:r>
          <w:rPr>
            <w:color w:val="005DA1"/>
            <w:position w:val="5"/>
            <w:sz w:val="14"/>
            <w:u w:val="single" w:color="005DA1"/>
          </w:rPr>
          <w:t>36</w:t>
        </w:r>
      </w:hyperlink>
      <w:r>
        <w:rPr>
          <w:position w:val="5"/>
          <w:sz w:val="14"/>
        </w:rPr>
        <w:t>.</w:t>
      </w:r>
      <w:r>
        <w:rPr>
          <w:spacing w:val="80"/>
          <w:position w:val="5"/>
          <w:sz w:val="14"/>
        </w:rPr>
        <w:t>  </w:t>
      </w:r>
      <w:r>
        <w:rPr/>
        <w:t>Notably, Employment of Children Act; Sex Discrimination Act 1975; Employment Protection </w:t>
      </w:r>
      <w:r>
        <w:rPr/>
        <w:t>Act 1975; Equal Pay Act 1970; Race Relations Act 1976. The law of discrimination was brought together in the Equality Act 2010. See Vol.II, Ch.40.</w:t>
      </w:r>
    </w:p>
    <w:p>
      <w:pPr>
        <w:pStyle w:val="BodyText"/>
        <w:spacing w:before="8"/>
      </w:pPr>
    </w:p>
    <w:p>
      <w:pPr>
        <w:pStyle w:val="BodyText"/>
        <w:tabs>
          <w:tab w:pos="705" w:val="left" w:leader="none"/>
        </w:tabs>
        <w:spacing w:line="235" w:lineRule="auto" w:before="1"/>
        <w:ind w:left="705" w:right="167" w:hanging="541"/>
      </w:pPr>
      <w:bookmarkStart w:name="_bookmark79" w:id="81"/>
      <w:bookmarkEnd w:id="81"/>
      <w:r>
        <w:rPr/>
      </w:r>
      <w:hyperlink w:history="true" w:anchor="_bookmark49">
        <w:r>
          <w:rPr>
            <w:color w:val="005DA1"/>
            <w:spacing w:val="-4"/>
            <w:position w:val="5"/>
            <w:sz w:val="14"/>
            <w:u w:val="single" w:color="005DA1"/>
          </w:rPr>
          <w:t>37</w:t>
        </w:r>
      </w:hyperlink>
      <w:r>
        <w:rPr>
          <w:spacing w:val="-4"/>
          <w:position w:val="5"/>
          <w:sz w:val="14"/>
        </w:rPr>
        <w:t>.</w:t>
      </w:r>
      <w:r>
        <w:rPr>
          <w:position w:val="5"/>
          <w:sz w:val="14"/>
        </w:rPr>
        <w:tab/>
      </w:r>
      <w:r>
        <w:rPr/>
        <w:t>Consumer Credit Act 1974 (as amended by the Consumer Credit Act 2006): see Vol.II, paras</w:t>
      </w:r>
      <w:r>
        <w:rPr>
          <w:spacing w:val="40"/>
        </w:rPr>
        <w:t> </w:t>
      </w:r>
      <w:r>
        <w:rPr/>
        <w:t>39-007 et seq.</w:t>
      </w:r>
    </w:p>
    <w:p>
      <w:pPr>
        <w:pStyle w:val="BodyText"/>
        <w:spacing w:before="9"/>
      </w:pPr>
    </w:p>
    <w:p>
      <w:pPr>
        <w:pStyle w:val="BodyText"/>
        <w:tabs>
          <w:tab w:pos="705" w:val="left" w:leader="none"/>
        </w:tabs>
        <w:spacing w:line="235" w:lineRule="auto"/>
        <w:ind w:left="705" w:right="168" w:hanging="541"/>
      </w:pPr>
      <w:bookmarkStart w:name="_bookmark80" w:id="82"/>
      <w:bookmarkEnd w:id="82"/>
      <w:r>
        <w:rPr/>
      </w:r>
      <w:hyperlink w:history="true" w:anchor="_bookmark50">
        <w:r>
          <w:rPr>
            <w:color w:val="005DA1"/>
            <w:spacing w:val="-4"/>
            <w:position w:val="5"/>
            <w:sz w:val="14"/>
            <w:u w:val="single" w:color="005DA1"/>
          </w:rPr>
          <w:t>38</w:t>
        </w:r>
      </w:hyperlink>
      <w:r>
        <w:rPr>
          <w:spacing w:val="-4"/>
          <w:position w:val="5"/>
          <w:sz w:val="14"/>
        </w:rPr>
        <w:t>.</w:t>
      </w:r>
      <w:r>
        <w:rPr>
          <w:position w:val="5"/>
          <w:sz w:val="14"/>
        </w:rPr>
        <w:tab/>
      </w:r>
      <w:r>
        <w:rPr/>
        <w:t>Unfair</w:t>
      </w:r>
      <w:r>
        <w:rPr>
          <w:spacing w:val="30"/>
        </w:rPr>
        <w:t> </w:t>
      </w:r>
      <w:r>
        <w:rPr/>
        <w:t>Contract</w:t>
      </w:r>
      <w:r>
        <w:rPr>
          <w:spacing w:val="30"/>
        </w:rPr>
        <w:t> </w:t>
      </w:r>
      <w:r>
        <w:rPr/>
        <w:t>Terms</w:t>
      </w:r>
      <w:r>
        <w:rPr>
          <w:spacing w:val="30"/>
        </w:rPr>
        <w:t> </w:t>
      </w:r>
      <w:r>
        <w:rPr/>
        <w:t>Act</w:t>
      </w:r>
      <w:r>
        <w:rPr>
          <w:spacing w:val="30"/>
        </w:rPr>
        <w:t> </w:t>
      </w:r>
      <w:r>
        <w:rPr/>
        <w:t>1977</w:t>
      </w:r>
      <w:r>
        <w:rPr>
          <w:spacing w:val="30"/>
        </w:rPr>
        <w:t> </w:t>
      </w:r>
      <w:r>
        <w:rPr/>
        <w:t>s.3–5,</w:t>
      </w:r>
      <w:r>
        <w:rPr>
          <w:spacing w:val="30"/>
        </w:rPr>
        <w:t> </w:t>
      </w:r>
      <w:r>
        <w:rPr/>
        <w:t>6(2)</w:t>
      </w:r>
      <w:r>
        <w:rPr>
          <w:spacing w:val="30"/>
        </w:rPr>
        <w:t> </w:t>
      </w:r>
      <w:r>
        <w:rPr/>
        <w:t>and</w:t>
      </w:r>
      <w:r>
        <w:rPr>
          <w:spacing w:val="30"/>
        </w:rPr>
        <w:t> </w:t>
      </w:r>
      <w:r>
        <w:rPr/>
        <w:t>7(2),</w:t>
      </w:r>
      <w:r>
        <w:rPr>
          <w:spacing w:val="30"/>
        </w:rPr>
        <w:t> </w:t>
      </w:r>
      <w:r>
        <w:rPr/>
        <w:t>12</w:t>
      </w:r>
      <w:r>
        <w:rPr>
          <w:spacing w:val="30"/>
        </w:rPr>
        <w:t> </w:t>
      </w:r>
      <w:r>
        <w:rPr/>
        <w:t>(as</w:t>
      </w:r>
      <w:r>
        <w:rPr>
          <w:spacing w:val="30"/>
        </w:rPr>
        <w:t> </w:t>
      </w:r>
      <w:r>
        <w:rPr/>
        <w:t>enacted)</w:t>
      </w:r>
      <w:r>
        <w:rPr>
          <w:spacing w:val="30"/>
        </w:rPr>
        <w:t> </w:t>
      </w:r>
      <w:r>
        <w:rPr/>
        <w:t>on</w:t>
      </w:r>
      <w:r>
        <w:rPr>
          <w:spacing w:val="30"/>
        </w:rPr>
        <w:t> </w:t>
      </w:r>
      <w:r>
        <w:rPr/>
        <w:t>which</w:t>
      </w:r>
      <w:r>
        <w:rPr>
          <w:spacing w:val="30"/>
        </w:rPr>
        <w:t> </w:t>
      </w:r>
      <w:r>
        <w:rPr/>
        <w:t>see</w:t>
      </w:r>
      <w:r>
        <w:rPr>
          <w:spacing w:val="30"/>
        </w:rPr>
        <w:t> </w:t>
      </w:r>
      <w:r>
        <w:rPr/>
        <w:t>below, paras 15-066 et seq.</w:t>
      </w:r>
    </w:p>
    <w:p>
      <w:pPr>
        <w:pStyle w:val="BodyText"/>
        <w:spacing w:before="9"/>
      </w:pPr>
    </w:p>
    <w:p>
      <w:pPr>
        <w:pStyle w:val="BodyText"/>
        <w:tabs>
          <w:tab w:pos="705" w:val="left" w:leader="none"/>
        </w:tabs>
        <w:spacing w:line="235" w:lineRule="auto"/>
        <w:ind w:left="705" w:right="168" w:hanging="541"/>
      </w:pPr>
      <w:bookmarkStart w:name="_bookmark81" w:id="83"/>
      <w:bookmarkEnd w:id="83"/>
      <w:r>
        <w:rPr/>
      </w:r>
      <w:hyperlink w:history="true" w:anchor="_bookmark50">
        <w:r>
          <w:rPr>
            <w:color w:val="005DA1"/>
            <w:spacing w:val="-4"/>
            <w:position w:val="5"/>
            <w:sz w:val="14"/>
            <w:u w:val="single" w:color="005DA1"/>
          </w:rPr>
          <w:t>39</w:t>
        </w:r>
      </w:hyperlink>
      <w:r>
        <w:rPr>
          <w:spacing w:val="-4"/>
          <w:position w:val="5"/>
          <w:sz w:val="14"/>
        </w:rPr>
        <w:t>.</w:t>
      </w:r>
      <w:r>
        <w:rPr>
          <w:position w:val="5"/>
          <w:sz w:val="14"/>
        </w:rPr>
        <w:tab/>
      </w:r>
      <w:r>
        <w:rPr/>
        <w:t>Unfair</w:t>
      </w:r>
      <w:r>
        <w:rPr>
          <w:spacing w:val="33"/>
        </w:rPr>
        <w:t> </w:t>
      </w:r>
      <w:r>
        <w:rPr/>
        <w:t>Terms</w:t>
      </w:r>
      <w:r>
        <w:rPr>
          <w:spacing w:val="33"/>
        </w:rPr>
        <w:t> </w:t>
      </w:r>
      <w:r>
        <w:rPr/>
        <w:t>in</w:t>
      </w:r>
      <w:r>
        <w:rPr>
          <w:spacing w:val="33"/>
        </w:rPr>
        <w:t> </w:t>
      </w:r>
      <w:r>
        <w:rPr/>
        <w:t>Consumer</w:t>
      </w:r>
      <w:r>
        <w:rPr>
          <w:spacing w:val="33"/>
        </w:rPr>
        <w:t> </w:t>
      </w:r>
      <w:r>
        <w:rPr/>
        <w:t>Contracts</w:t>
      </w:r>
      <w:r>
        <w:rPr>
          <w:spacing w:val="33"/>
        </w:rPr>
        <w:t> </w:t>
      </w:r>
      <w:r>
        <w:rPr/>
        <w:t>Regulations</w:t>
      </w:r>
      <w:r>
        <w:rPr>
          <w:spacing w:val="33"/>
        </w:rPr>
        <w:t> </w:t>
      </w:r>
      <w:r>
        <w:rPr/>
        <w:t>1999</w:t>
      </w:r>
      <w:r>
        <w:rPr>
          <w:spacing w:val="33"/>
        </w:rPr>
        <w:t> </w:t>
      </w:r>
      <w:r>
        <w:rPr/>
        <w:t>(SI</w:t>
      </w:r>
      <w:r>
        <w:rPr>
          <w:spacing w:val="33"/>
        </w:rPr>
        <w:t> </w:t>
      </w:r>
      <w:r>
        <w:rPr/>
        <w:t>1999/2083)</w:t>
      </w:r>
      <w:r>
        <w:rPr>
          <w:spacing w:val="33"/>
        </w:rPr>
        <w:t> </w:t>
      </w:r>
      <w:r>
        <w:rPr/>
        <w:t>on</w:t>
      </w:r>
      <w:r>
        <w:rPr>
          <w:spacing w:val="33"/>
        </w:rPr>
        <w:t> </w:t>
      </w:r>
      <w:r>
        <w:rPr/>
        <w:t>which</w:t>
      </w:r>
      <w:r>
        <w:rPr>
          <w:spacing w:val="33"/>
        </w:rPr>
        <w:t> </w:t>
      </w:r>
      <w:r>
        <w:rPr/>
        <w:t>see</w:t>
      </w:r>
      <w:r>
        <w:rPr>
          <w:spacing w:val="33"/>
        </w:rPr>
        <w:t> </w:t>
      </w:r>
      <w:r>
        <w:rPr/>
        <w:t>Vol.II, paras 38-201 et seq.</w:t>
      </w:r>
    </w:p>
    <w:p>
      <w:pPr>
        <w:pStyle w:val="BodyText"/>
        <w:spacing w:before="5"/>
      </w:pPr>
    </w:p>
    <w:p>
      <w:pPr>
        <w:pStyle w:val="BodyText"/>
        <w:tabs>
          <w:tab w:pos="705" w:val="left" w:leader="none"/>
        </w:tabs>
        <w:spacing w:before="1"/>
        <w:ind w:left="165"/>
      </w:pPr>
      <w:bookmarkStart w:name="_bookmark82" w:id="84"/>
      <w:bookmarkEnd w:id="84"/>
      <w:r>
        <w:rPr/>
      </w:r>
      <w:hyperlink w:history="true" w:anchor="_bookmark51">
        <w:r>
          <w:rPr>
            <w:color w:val="005DA1"/>
            <w:spacing w:val="-5"/>
            <w:position w:val="5"/>
            <w:sz w:val="14"/>
            <w:u w:val="single" w:color="005DA1"/>
          </w:rPr>
          <w:t>40</w:t>
        </w:r>
      </w:hyperlink>
      <w:r>
        <w:rPr>
          <w:spacing w:val="-5"/>
          <w:position w:val="5"/>
          <w:sz w:val="14"/>
        </w:rPr>
        <w:t>.</w:t>
      </w:r>
      <w:r>
        <w:rPr>
          <w:position w:val="5"/>
          <w:sz w:val="14"/>
        </w:rPr>
        <w:tab/>
      </w:r>
      <w:r>
        <w:rPr/>
        <w:t>See Consumer Credit Act 1974 and Vol.II, </w:t>
      </w:r>
      <w:r>
        <w:rPr>
          <w:spacing w:val="-2"/>
        </w:rPr>
        <w:t>Ch.39.</w:t>
      </w:r>
    </w:p>
    <w:p>
      <w:pPr>
        <w:pStyle w:val="BodyText"/>
        <w:spacing w:before="8"/>
      </w:pPr>
    </w:p>
    <w:p>
      <w:pPr>
        <w:pStyle w:val="BodyText"/>
        <w:tabs>
          <w:tab w:pos="705" w:val="left" w:leader="none"/>
        </w:tabs>
        <w:spacing w:line="235" w:lineRule="auto"/>
        <w:ind w:left="705" w:right="168" w:hanging="541"/>
      </w:pPr>
      <w:bookmarkStart w:name="_bookmark83" w:id="85"/>
      <w:bookmarkEnd w:id="85"/>
      <w:r>
        <w:rPr/>
      </w:r>
      <w:hyperlink w:history="true" w:anchor="_bookmark51">
        <w:r>
          <w:rPr>
            <w:color w:val="005DA1"/>
            <w:spacing w:val="-4"/>
            <w:position w:val="5"/>
            <w:sz w:val="14"/>
            <w:u w:val="single" w:color="005DA1"/>
          </w:rPr>
          <w:t>41</w:t>
        </w:r>
      </w:hyperlink>
      <w:r>
        <w:rPr>
          <w:spacing w:val="-4"/>
          <w:position w:val="5"/>
          <w:sz w:val="14"/>
        </w:rPr>
        <w:t>.</w:t>
      </w:r>
      <w:r>
        <w:rPr>
          <w:position w:val="5"/>
          <w:sz w:val="14"/>
        </w:rPr>
        <w:tab/>
      </w:r>
      <w:r>
        <w:rPr/>
        <w:t>See</w:t>
      </w:r>
      <w:r>
        <w:rPr>
          <w:spacing w:val="40"/>
        </w:rPr>
        <w:t> </w:t>
      </w:r>
      <w:r>
        <w:rPr/>
        <w:t>notably,</w:t>
      </w:r>
      <w:r>
        <w:rPr>
          <w:spacing w:val="40"/>
        </w:rPr>
        <w:t> </w:t>
      </w:r>
      <w:r>
        <w:rPr/>
        <w:t>Sale</w:t>
      </w:r>
      <w:r>
        <w:rPr>
          <w:spacing w:val="40"/>
        </w:rPr>
        <w:t> </w:t>
      </w:r>
      <w:r>
        <w:rPr/>
        <w:t>of</w:t>
      </w:r>
      <w:r>
        <w:rPr>
          <w:spacing w:val="40"/>
        </w:rPr>
        <w:t> </w:t>
      </w:r>
      <w:r>
        <w:rPr/>
        <w:t>Goods</w:t>
      </w:r>
      <w:r>
        <w:rPr>
          <w:spacing w:val="40"/>
        </w:rPr>
        <w:t> </w:t>
      </w:r>
      <w:r>
        <w:rPr/>
        <w:t>Act</w:t>
      </w:r>
      <w:r>
        <w:rPr>
          <w:spacing w:val="40"/>
        </w:rPr>
        <w:t> </w:t>
      </w:r>
      <w:r>
        <w:rPr/>
        <w:t>1979</w:t>
      </w:r>
      <w:r>
        <w:rPr>
          <w:spacing w:val="40"/>
        </w:rPr>
        <w:t> </w:t>
      </w:r>
      <w:r>
        <w:rPr/>
        <w:t>Pt</w:t>
      </w:r>
      <w:r>
        <w:rPr>
          <w:spacing w:val="40"/>
        </w:rPr>
        <w:t> </w:t>
      </w:r>
      <w:r>
        <w:rPr/>
        <w:t>5A</w:t>
      </w:r>
      <w:r>
        <w:rPr>
          <w:spacing w:val="40"/>
        </w:rPr>
        <w:t> </w:t>
      </w:r>
      <w:r>
        <w:rPr/>
        <w:t>as</w:t>
      </w:r>
      <w:r>
        <w:rPr>
          <w:spacing w:val="40"/>
        </w:rPr>
        <w:t> </w:t>
      </w:r>
      <w:r>
        <w:rPr/>
        <w:t>inserted</w:t>
      </w:r>
      <w:r>
        <w:rPr>
          <w:spacing w:val="40"/>
        </w:rPr>
        <w:t> </w:t>
      </w:r>
      <w:r>
        <w:rPr/>
        <w:t>by</w:t>
      </w:r>
      <w:r>
        <w:rPr>
          <w:spacing w:val="40"/>
        </w:rPr>
        <w:t> </w:t>
      </w:r>
      <w:r>
        <w:rPr/>
        <w:t>Sale</w:t>
      </w:r>
      <w:r>
        <w:rPr>
          <w:spacing w:val="40"/>
        </w:rPr>
        <w:t> </w:t>
      </w:r>
      <w:r>
        <w:rPr/>
        <w:t>and</w:t>
      </w:r>
      <w:r>
        <w:rPr>
          <w:spacing w:val="40"/>
        </w:rPr>
        <w:t> </w:t>
      </w:r>
      <w:r>
        <w:rPr/>
        <w:t>Supply</w:t>
      </w:r>
      <w:r>
        <w:rPr>
          <w:spacing w:val="40"/>
        </w:rPr>
        <w:t> </w:t>
      </w:r>
      <w:r>
        <w:rPr/>
        <w:t>of</w:t>
      </w:r>
      <w:r>
        <w:rPr>
          <w:spacing w:val="40"/>
        </w:rPr>
        <w:t> </w:t>
      </w:r>
      <w:r>
        <w:rPr/>
        <w:t>Goods</w:t>
      </w:r>
      <w:r>
        <w:rPr>
          <w:spacing w:val="40"/>
        </w:rPr>
        <w:t> </w:t>
      </w:r>
      <w:r>
        <w:rPr/>
        <w:t>to Consumers Regulations 2002 (SI 2002/3045) on which see Vol.II, paras 38-405 et seq.</w:t>
      </w:r>
    </w:p>
    <w:p>
      <w:pPr>
        <w:pStyle w:val="BodyText"/>
        <w:spacing w:before="9"/>
      </w:pPr>
    </w:p>
    <w:p>
      <w:pPr>
        <w:pStyle w:val="BodyText"/>
        <w:tabs>
          <w:tab w:pos="705" w:val="left" w:leader="none"/>
        </w:tabs>
        <w:spacing w:line="235" w:lineRule="auto" w:before="1"/>
        <w:ind w:left="705" w:right="168" w:hanging="541"/>
      </w:pPr>
      <w:bookmarkStart w:name="_bookmark84" w:id="86"/>
      <w:bookmarkEnd w:id="86"/>
      <w:r>
        <w:rPr/>
      </w:r>
      <w:hyperlink w:history="true" w:anchor="_bookmark51">
        <w:r>
          <w:rPr>
            <w:color w:val="005DA1"/>
            <w:spacing w:val="-4"/>
            <w:position w:val="5"/>
            <w:sz w:val="14"/>
            <w:u w:val="single" w:color="005DA1"/>
          </w:rPr>
          <w:t>42</w:t>
        </w:r>
      </w:hyperlink>
      <w:r>
        <w:rPr>
          <w:spacing w:val="-4"/>
          <w:position w:val="5"/>
          <w:sz w:val="14"/>
        </w:rPr>
        <w:t>.</w:t>
      </w:r>
      <w:r>
        <w:rPr>
          <w:position w:val="5"/>
          <w:sz w:val="14"/>
        </w:rPr>
        <w:tab/>
      </w:r>
      <w:r>
        <w:rPr/>
        <w:t>The Package Travel, Package Holidays and Package Tours Regulations 1992 (SI </w:t>
      </w:r>
      <w:r>
        <w:rPr/>
        <w:t>1992/3288) on which see Vol.II, paras 38-132—38-135.</w:t>
      </w:r>
    </w:p>
    <w:p>
      <w:pPr>
        <w:pStyle w:val="BodyText"/>
        <w:spacing w:before="9"/>
      </w:pPr>
    </w:p>
    <w:p>
      <w:pPr>
        <w:pStyle w:val="BodyText"/>
        <w:tabs>
          <w:tab w:pos="705" w:val="left" w:leader="none"/>
        </w:tabs>
        <w:spacing w:line="235" w:lineRule="auto"/>
        <w:ind w:left="705" w:right="168" w:hanging="541"/>
      </w:pPr>
      <w:bookmarkStart w:name="_bookmark85" w:id="87"/>
      <w:bookmarkEnd w:id="87"/>
      <w:r>
        <w:rPr/>
      </w:r>
      <w:hyperlink w:history="true" w:anchor="_bookmark52">
        <w:r>
          <w:rPr>
            <w:color w:val="005DA1"/>
            <w:spacing w:val="-4"/>
            <w:position w:val="5"/>
            <w:sz w:val="14"/>
            <w:u w:val="single" w:color="005DA1"/>
          </w:rPr>
          <w:t>43</w:t>
        </w:r>
      </w:hyperlink>
      <w:r>
        <w:rPr>
          <w:spacing w:val="-4"/>
          <w:position w:val="5"/>
          <w:sz w:val="14"/>
        </w:rPr>
        <w:t>.</w:t>
      </w:r>
      <w:r>
        <w:rPr>
          <w:position w:val="5"/>
          <w:sz w:val="14"/>
        </w:rPr>
        <w:tab/>
      </w:r>
      <w:r>
        <w:rPr/>
        <w:t>Timeshare,</w:t>
      </w:r>
      <w:r>
        <w:rPr>
          <w:spacing w:val="80"/>
        </w:rPr>
        <w:t> </w:t>
      </w:r>
      <w:r>
        <w:rPr/>
        <w:t>Holiday</w:t>
      </w:r>
      <w:r>
        <w:rPr>
          <w:spacing w:val="80"/>
        </w:rPr>
        <w:t> </w:t>
      </w:r>
      <w:r>
        <w:rPr/>
        <w:t>Products,</w:t>
      </w:r>
      <w:r>
        <w:rPr>
          <w:spacing w:val="80"/>
        </w:rPr>
        <w:t> </w:t>
      </w:r>
      <w:r>
        <w:rPr/>
        <w:t>Resale</w:t>
      </w:r>
      <w:r>
        <w:rPr>
          <w:spacing w:val="80"/>
        </w:rPr>
        <w:t> </w:t>
      </w:r>
      <w:r>
        <w:rPr/>
        <w:t>and</w:t>
      </w:r>
      <w:r>
        <w:rPr>
          <w:spacing w:val="80"/>
        </w:rPr>
        <w:t> </w:t>
      </w:r>
      <w:r>
        <w:rPr/>
        <w:t>Exchange</w:t>
      </w:r>
      <w:r>
        <w:rPr>
          <w:spacing w:val="80"/>
        </w:rPr>
        <w:t> </w:t>
      </w:r>
      <w:r>
        <w:rPr/>
        <w:t>Contracts</w:t>
      </w:r>
      <w:r>
        <w:rPr>
          <w:spacing w:val="80"/>
        </w:rPr>
        <w:t> </w:t>
      </w:r>
      <w:r>
        <w:rPr/>
        <w:t>Regulations</w:t>
      </w:r>
      <w:r>
        <w:rPr>
          <w:spacing w:val="80"/>
        </w:rPr>
        <w:t> </w:t>
      </w:r>
      <w:r>
        <w:rPr/>
        <w:t>2010</w:t>
      </w:r>
      <w:r>
        <w:rPr>
          <w:spacing w:val="80"/>
        </w:rPr>
        <w:t> </w:t>
      </w:r>
      <w:r>
        <w:rPr/>
        <w:t>(SI</w:t>
      </w:r>
      <w:r>
        <w:rPr>
          <w:spacing w:val="80"/>
        </w:rPr>
        <w:t> </w:t>
      </w:r>
      <w:r>
        <w:rPr/>
        <w:t>2010/2960) (replacing earlier provisions) on which see Vol.II, paras 38-136—38-142.</w:t>
      </w:r>
    </w:p>
    <w:p>
      <w:pPr>
        <w:pStyle w:val="BodyText"/>
        <w:spacing w:before="9"/>
      </w:pPr>
    </w:p>
    <w:p>
      <w:pPr>
        <w:pStyle w:val="BodyText"/>
        <w:tabs>
          <w:tab w:pos="705" w:val="left" w:leader="none"/>
        </w:tabs>
        <w:spacing w:line="235" w:lineRule="auto"/>
        <w:ind w:left="705" w:right="168" w:hanging="541"/>
      </w:pPr>
      <w:bookmarkStart w:name="_bookmark86" w:id="88"/>
      <w:bookmarkEnd w:id="88"/>
      <w:r>
        <w:rPr/>
      </w:r>
      <w:hyperlink w:history="true" w:anchor="_bookmark53">
        <w:r>
          <w:rPr>
            <w:color w:val="005DA1"/>
            <w:spacing w:val="-4"/>
            <w:position w:val="5"/>
            <w:sz w:val="14"/>
            <w:u w:val="single" w:color="005DA1"/>
          </w:rPr>
          <w:t>44</w:t>
        </w:r>
      </w:hyperlink>
      <w:r>
        <w:rPr>
          <w:spacing w:val="-4"/>
          <w:position w:val="5"/>
          <w:sz w:val="14"/>
        </w:rPr>
        <w:t>.</w:t>
      </w:r>
      <w:r>
        <w:rPr>
          <w:position w:val="5"/>
          <w:sz w:val="14"/>
        </w:rPr>
        <w:tab/>
      </w:r>
      <w:r>
        <w:rPr/>
        <w:t>Consumer</w:t>
      </w:r>
      <w:r>
        <w:rPr>
          <w:spacing w:val="40"/>
        </w:rPr>
        <w:t> </w:t>
      </w:r>
      <w:r>
        <w:rPr/>
        <w:t>Protection</w:t>
      </w:r>
      <w:r>
        <w:rPr>
          <w:spacing w:val="40"/>
        </w:rPr>
        <w:t> </w:t>
      </w:r>
      <w:r>
        <w:rPr/>
        <w:t>(Cancellation</w:t>
      </w:r>
      <w:r>
        <w:rPr>
          <w:spacing w:val="40"/>
        </w:rPr>
        <w:t> </w:t>
      </w:r>
      <w:r>
        <w:rPr/>
        <w:t>of</w:t>
      </w:r>
      <w:r>
        <w:rPr>
          <w:spacing w:val="40"/>
        </w:rPr>
        <w:t> </w:t>
      </w:r>
      <w:r>
        <w:rPr/>
        <w:t>Contracts</w:t>
      </w:r>
      <w:r>
        <w:rPr>
          <w:spacing w:val="40"/>
        </w:rPr>
        <w:t> </w:t>
      </w:r>
      <w:r>
        <w:rPr/>
        <w:t>Concluded</w:t>
      </w:r>
      <w:r>
        <w:rPr>
          <w:spacing w:val="40"/>
        </w:rPr>
        <w:t> </w:t>
      </w:r>
      <w:r>
        <w:rPr/>
        <w:t>Away</w:t>
      </w:r>
      <w:r>
        <w:rPr>
          <w:spacing w:val="40"/>
        </w:rPr>
        <w:t> </w:t>
      </w:r>
      <w:r>
        <w:rPr/>
        <w:t>from</w:t>
      </w:r>
      <w:r>
        <w:rPr>
          <w:spacing w:val="40"/>
        </w:rPr>
        <w:t> </w:t>
      </w:r>
      <w:r>
        <w:rPr/>
        <w:t>Business</w:t>
      </w:r>
      <w:r>
        <w:rPr>
          <w:spacing w:val="40"/>
        </w:rPr>
        <w:t> </w:t>
      </w:r>
      <w:r>
        <w:rPr/>
        <w:t>Premises) Regulations 1987 (SI 1987/2117).</w:t>
      </w:r>
    </w:p>
    <w:p>
      <w:pPr>
        <w:pStyle w:val="BodyText"/>
        <w:spacing w:before="9"/>
      </w:pPr>
    </w:p>
    <w:p>
      <w:pPr>
        <w:pStyle w:val="BodyText"/>
        <w:tabs>
          <w:tab w:pos="705" w:val="left" w:leader="none"/>
        </w:tabs>
        <w:spacing w:line="235" w:lineRule="auto"/>
        <w:ind w:left="705" w:right="168" w:hanging="541"/>
      </w:pPr>
      <w:bookmarkStart w:name="_bookmark87" w:id="89"/>
      <w:bookmarkEnd w:id="89"/>
      <w:r>
        <w:rPr/>
      </w:r>
      <w:hyperlink w:history="true" w:anchor="_bookmark53">
        <w:r>
          <w:rPr>
            <w:color w:val="005DA1"/>
            <w:spacing w:val="-4"/>
            <w:position w:val="5"/>
            <w:sz w:val="14"/>
            <w:u w:val="single" w:color="005DA1"/>
          </w:rPr>
          <w:t>45</w:t>
        </w:r>
      </w:hyperlink>
      <w:r>
        <w:rPr>
          <w:spacing w:val="-4"/>
          <w:position w:val="5"/>
          <w:sz w:val="14"/>
        </w:rPr>
        <w:t>.</w:t>
      </w:r>
      <w:r>
        <w:rPr>
          <w:position w:val="5"/>
          <w:sz w:val="14"/>
        </w:rPr>
        <w:tab/>
      </w:r>
      <w:r>
        <w:rPr/>
        <w:t>Consumer Protection (Distance Selling) Regulations 2000 (SI 2000/2334); Financial </w:t>
      </w:r>
      <w:r>
        <w:rPr/>
        <w:t>Services</w:t>
      </w:r>
      <w:r>
        <w:rPr>
          <w:spacing w:val="40"/>
        </w:rPr>
        <w:t> </w:t>
      </w:r>
      <w:r>
        <w:rPr/>
        <w:t>(Distance Marketing) Regulations 2004 (SI 2004/2095) (on which see Vol.II, para.38-131).</w:t>
      </w:r>
    </w:p>
    <w:p>
      <w:pPr>
        <w:pStyle w:val="BodyText"/>
        <w:spacing w:before="9"/>
      </w:pPr>
    </w:p>
    <w:p>
      <w:pPr>
        <w:pStyle w:val="BodyText"/>
        <w:tabs>
          <w:tab w:pos="705" w:val="left" w:leader="none"/>
        </w:tabs>
        <w:spacing w:line="235" w:lineRule="auto" w:before="1"/>
        <w:ind w:left="705" w:right="168" w:hanging="541"/>
      </w:pPr>
      <w:bookmarkStart w:name="_bookmark88" w:id="90"/>
      <w:bookmarkEnd w:id="90"/>
      <w:r>
        <w:rPr/>
      </w:r>
      <w:hyperlink w:history="true" w:anchor="_bookmark54">
        <w:r>
          <w:rPr>
            <w:color w:val="005DA1"/>
            <w:spacing w:val="-4"/>
            <w:position w:val="5"/>
            <w:sz w:val="14"/>
            <w:u w:val="single" w:color="005DA1"/>
          </w:rPr>
          <w:t>46</w:t>
        </w:r>
      </w:hyperlink>
      <w:r>
        <w:rPr>
          <w:spacing w:val="-4"/>
          <w:position w:val="5"/>
          <w:sz w:val="14"/>
        </w:rPr>
        <w:t>.</w:t>
      </w:r>
      <w:r>
        <w:rPr>
          <w:position w:val="5"/>
          <w:sz w:val="14"/>
        </w:rPr>
        <w:tab/>
      </w:r>
      <w:r>
        <w:rPr/>
        <w:t>This was notably the case as regards the Misrepresentation Act 1967 and the Unfair </w:t>
      </w:r>
      <w:r>
        <w:rPr/>
        <w:t>Contract Terms Act 1977.</w:t>
      </w:r>
    </w:p>
    <w:p>
      <w:pPr>
        <w:pStyle w:val="BodyText"/>
        <w:spacing w:before="9"/>
      </w:pPr>
    </w:p>
    <w:p>
      <w:pPr>
        <w:pStyle w:val="BodyText"/>
        <w:spacing w:line="235" w:lineRule="auto"/>
        <w:ind w:left="705" w:right="167" w:hanging="541"/>
        <w:jc w:val="both"/>
      </w:pPr>
      <w:bookmarkStart w:name="_bookmark89" w:id="91"/>
      <w:bookmarkEnd w:id="91"/>
      <w:r>
        <w:rPr/>
      </w:r>
      <w:hyperlink w:history="true" w:anchor="_bookmark55">
        <w:r>
          <w:rPr>
            <w:color w:val="005DA1"/>
            <w:position w:val="5"/>
            <w:sz w:val="14"/>
            <w:u w:val="single" w:color="005DA1"/>
          </w:rPr>
          <w:t>47</w:t>
        </w:r>
      </w:hyperlink>
      <w:r>
        <w:rPr>
          <w:position w:val="5"/>
          <w:sz w:val="14"/>
        </w:rPr>
        <w:t>.</w:t>
      </w:r>
      <w:r>
        <w:rPr>
          <w:spacing w:val="80"/>
          <w:position w:val="5"/>
          <w:sz w:val="14"/>
        </w:rPr>
        <w:t>  </w:t>
      </w:r>
      <w:r>
        <w:rPr/>
        <w:t>A key example was the definition of a person “dealing as consumer” within the meaning of </w:t>
      </w:r>
      <w:r>
        <w:rPr/>
        <w:t>the Unfair Contract Terms Act 1977 and “consumer” within the meaning of the Unfair Terms in Consumer</w:t>
      </w:r>
      <w:r>
        <w:rPr>
          <w:spacing w:val="35"/>
        </w:rPr>
        <w:t> </w:t>
      </w:r>
      <w:r>
        <w:rPr/>
        <w:t>Contracts</w:t>
      </w:r>
      <w:r>
        <w:rPr>
          <w:spacing w:val="35"/>
        </w:rPr>
        <w:t> </w:t>
      </w:r>
      <w:r>
        <w:rPr/>
        <w:t>Regulations</w:t>
      </w:r>
      <w:r>
        <w:rPr>
          <w:spacing w:val="35"/>
        </w:rPr>
        <w:t> </w:t>
      </w:r>
      <w:r>
        <w:rPr/>
        <w:t>1999:</w:t>
      </w:r>
      <w:r>
        <w:rPr>
          <w:spacing w:val="35"/>
        </w:rPr>
        <w:t> </w:t>
      </w:r>
      <w:r>
        <w:rPr/>
        <w:t>see</w:t>
      </w:r>
      <w:r>
        <w:rPr>
          <w:spacing w:val="35"/>
        </w:rPr>
        <w:t> </w:t>
      </w:r>
      <w:r>
        <w:rPr/>
        <w:t>below,</w:t>
      </w:r>
      <w:r>
        <w:rPr>
          <w:spacing w:val="35"/>
        </w:rPr>
        <w:t> </w:t>
      </w:r>
      <w:r>
        <w:rPr/>
        <w:t>paras</w:t>
      </w:r>
      <w:r>
        <w:rPr>
          <w:spacing w:val="35"/>
        </w:rPr>
        <w:t> </w:t>
      </w:r>
      <w:r>
        <w:rPr/>
        <w:t>15-073—15-078</w:t>
      </w:r>
      <w:r>
        <w:rPr>
          <w:spacing w:val="35"/>
        </w:rPr>
        <w:t> </w:t>
      </w:r>
      <w:r>
        <w:rPr/>
        <w:t>and</w:t>
      </w:r>
      <w:r>
        <w:rPr>
          <w:spacing w:val="35"/>
        </w:rPr>
        <w:t> </w:t>
      </w:r>
      <w:r>
        <w:rPr/>
        <w:t>Vol.II,</w:t>
      </w:r>
      <w:r>
        <w:rPr>
          <w:spacing w:val="35"/>
        </w:rPr>
        <w:t> </w:t>
      </w:r>
      <w:r>
        <w:rPr/>
        <w:t>paras 38-028 et seq.</w:t>
      </w:r>
    </w:p>
    <w:p>
      <w:pPr>
        <w:pStyle w:val="BodyText"/>
        <w:spacing w:before="4"/>
      </w:pPr>
    </w:p>
    <w:p>
      <w:pPr>
        <w:pStyle w:val="BodyText"/>
        <w:tabs>
          <w:tab w:pos="705" w:val="left" w:leader="none"/>
        </w:tabs>
        <w:spacing w:line="227" w:lineRule="exact" w:before="1"/>
        <w:ind w:left="165"/>
      </w:pPr>
      <w:bookmarkStart w:name="_bookmark90" w:id="92"/>
      <w:bookmarkEnd w:id="92"/>
      <w:r>
        <w:rPr/>
      </w:r>
      <w:hyperlink w:history="true" w:anchor="_bookmark56">
        <w:r>
          <w:rPr>
            <w:color w:val="005DA1"/>
            <w:spacing w:val="-5"/>
            <w:position w:val="5"/>
            <w:sz w:val="14"/>
            <w:u w:val="single" w:color="005DA1"/>
          </w:rPr>
          <w:t>48</w:t>
        </w:r>
      </w:hyperlink>
      <w:r>
        <w:rPr>
          <w:spacing w:val="-5"/>
          <w:position w:val="5"/>
          <w:sz w:val="14"/>
        </w:rPr>
        <w:t>.</w:t>
      </w:r>
      <w:r>
        <w:rPr>
          <w:position w:val="5"/>
          <w:sz w:val="14"/>
        </w:rPr>
        <w:tab/>
      </w:r>
      <w:r>
        <w:rPr/>
        <w:t>See</w:t>
      </w:r>
      <w:r>
        <w:rPr>
          <w:spacing w:val="11"/>
        </w:rPr>
        <w:t> </w:t>
      </w:r>
      <w:r>
        <w:rPr/>
        <w:t>Vol.II,</w:t>
      </w:r>
      <w:r>
        <w:rPr>
          <w:spacing w:val="11"/>
        </w:rPr>
        <w:t> </w:t>
      </w:r>
      <w:r>
        <w:rPr/>
        <w:t>paras</w:t>
      </w:r>
      <w:r>
        <w:rPr>
          <w:spacing w:val="11"/>
        </w:rPr>
        <w:t> </w:t>
      </w:r>
      <w:r>
        <w:rPr/>
        <w:t>38-334—38-394,</w:t>
      </w:r>
      <w:r>
        <w:rPr>
          <w:spacing w:val="11"/>
        </w:rPr>
        <w:t> </w:t>
      </w:r>
      <w:r>
        <w:rPr/>
        <w:t>38-399—38-547.</w:t>
      </w:r>
      <w:r>
        <w:rPr>
          <w:spacing w:val="11"/>
        </w:rPr>
        <w:t> </w:t>
      </w:r>
      <w:r>
        <w:rPr/>
        <w:t>The</w:t>
      </w:r>
      <w:r>
        <w:rPr>
          <w:spacing w:val="11"/>
        </w:rPr>
        <w:t> </w:t>
      </w:r>
      <w:r>
        <w:rPr/>
        <w:t>Consumer</w:t>
      </w:r>
      <w:r>
        <w:rPr>
          <w:spacing w:val="11"/>
        </w:rPr>
        <w:t> </w:t>
      </w:r>
      <w:r>
        <w:rPr/>
        <w:t>Rights</w:t>
      </w:r>
      <w:r>
        <w:rPr>
          <w:spacing w:val="11"/>
        </w:rPr>
        <w:t> </w:t>
      </w:r>
      <w:r>
        <w:rPr/>
        <w:t>Act</w:t>
      </w:r>
      <w:r>
        <w:rPr>
          <w:spacing w:val="11"/>
        </w:rPr>
        <w:t> </w:t>
      </w:r>
      <w:r>
        <w:rPr/>
        <w:t>2015</w:t>
      </w:r>
      <w:r>
        <w:rPr>
          <w:spacing w:val="11"/>
        </w:rPr>
        <w:t> </w:t>
      </w:r>
      <w:r>
        <w:rPr/>
        <w:t>Pts</w:t>
      </w:r>
      <w:r>
        <w:rPr>
          <w:spacing w:val="11"/>
        </w:rPr>
        <w:t> </w:t>
      </w:r>
      <w:r>
        <w:rPr/>
        <w:t>1</w:t>
      </w:r>
      <w:r>
        <w:rPr>
          <w:spacing w:val="11"/>
        </w:rPr>
        <w:t> </w:t>
      </w:r>
      <w:r>
        <w:rPr>
          <w:spacing w:val="-5"/>
        </w:rPr>
        <w:t>and</w:t>
      </w:r>
    </w:p>
    <w:p>
      <w:pPr>
        <w:pStyle w:val="BodyText"/>
        <w:spacing w:line="227" w:lineRule="exact"/>
        <w:ind w:left="705"/>
      </w:pPr>
      <w:r>
        <w:rPr/>
        <w:t>2 were brought into force on October 1, 2015: see Vol.II, paras 38-197 and 38-</w:t>
      </w:r>
      <w:r>
        <w:rPr>
          <w:spacing w:val="-4"/>
        </w:rPr>
        <w:t>335.</w:t>
      </w:r>
    </w:p>
    <w:p>
      <w:pPr>
        <w:pStyle w:val="BodyText"/>
        <w:spacing w:before="8"/>
      </w:pPr>
    </w:p>
    <w:p>
      <w:pPr>
        <w:pStyle w:val="BodyText"/>
        <w:tabs>
          <w:tab w:pos="705" w:val="left" w:leader="none"/>
        </w:tabs>
        <w:spacing w:line="235" w:lineRule="auto"/>
        <w:ind w:left="705" w:right="167" w:hanging="541"/>
      </w:pPr>
      <w:bookmarkStart w:name="_bookmark91" w:id="93"/>
      <w:bookmarkEnd w:id="93"/>
      <w:r>
        <w:rPr/>
      </w:r>
      <w:hyperlink w:history="true" w:anchor="_bookmark57">
        <w:r>
          <w:rPr>
            <w:color w:val="005DA1"/>
            <w:spacing w:val="-4"/>
            <w:position w:val="5"/>
            <w:sz w:val="14"/>
            <w:u w:val="single" w:color="005DA1"/>
          </w:rPr>
          <w:t>49</w:t>
        </w:r>
      </w:hyperlink>
      <w:r>
        <w:rPr>
          <w:spacing w:val="-4"/>
          <w:position w:val="5"/>
          <w:sz w:val="14"/>
        </w:rPr>
        <w:t>.</w:t>
      </w:r>
      <w:r>
        <w:rPr>
          <w:position w:val="5"/>
          <w:sz w:val="14"/>
        </w:rPr>
        <w:tab/>
      </w:r>
      <w:r>
        <w:rPr/>
        <w:t>For</w:t>
      </w:r>
      <w:r>
        <w:rPr>
          <w:spacing w:val="66"/>
        </w:rPr>
        <w:t> </w:t>
      </w:r>
      <w:r>
        <w:rPr/>
        <w:t>the</w:t>
      </w:r>
      <w:r>
        <w:rPr>
          <w:spacing w:val="66"/>
        </w:rPr>
        <w:t> </w:t>
      </w:r>
      <w:r>
        <w:rPr/>
        <w:t>details</w:t>
      </w:r>
      <w:r>
        <w:rPr>
          <w:spacing w:val="66"/>
        </w:rPr>
        <w:t> </w:t>
      </w:r>
      <w:r>
        <w:rPr/>
        <w:t>see</w:t>
      </w:r>
      <w:r>
        <w:rPr>
          <w:spacing w:val="66"/>
        </w:rPr>
        <w:t> </w:t>
      </w:r>
      <w:r>
        <w:rPr/>
        <w:t>below,</w:t>
      </w:r>
      <w:r>
        <w:rPr>
          <w:spacing w:val="66"/>
        </w:rPr>
        <w:t> </w:t>
      </w:r>
      <w:r>
        <w:rPr/>
        <w:t>paras</w:t>
      </w:r>
      <w:r>
        <w:rPr>
          <w:spacing w:val="66"/>
        </w:rPr>
        <w:t> </w:t>
      </w:r>
      <w:r>
        <w:rPr/>
        <w:t>15-064</w:t>
      </w:r>
      <w:r>
        <w:rPr>
          <w:spacing w:val="66"/>
        </w:rPr>
        <w:t> </w:t>
      </w:r>
      <w:r>
        <w:rPr/>
        <w:t>et</w:t>
      </w:r>
      <w:r>
        <w:rPr>
          <w:spacing w:val="66"/>
        </w:rPr>
        <w:t> </w:t>
      </w:r>
      <w:r>
        <w:rPr/>
        <w:t>seq.</w:t>
      </w:r>
      <w:r>
        <w:rPr>
          <w:spacing w:val="66"/>
        </w:rPr>
        <w:t> </w:t>
      </w:r>
      <w:r>
        <w:rPr/>
        <w:t>and</w:t>
      </w:r>
      <w:r>
        <w:rPr>
          <w:spacing w:val="66"/>
        </w:rPr>
        <w:t> </w:t>
      </w:r>
      <w:r>
        <w:rPr/>
        <w:t>Vol.II,</w:t>
      </w:r>
      <w:r>
        <w:rPr>
          <w:spacing w:val="66"/>
        </w:rPr>
        <w:t> </w:t>
      </w:r>
      <w:r>
        <w:rPr/>
        <w:t>paras</w:t>
      </w:r>
      <w:r>
        <w:rPr>
          <w:spacing w:val="66"/>
        </w:rPr>
        <w:t> </w:t>
      </w:r>
      <w:r>
        <w:rPr/>
        <w:t>38-336—38-344</w:t>
      </w:r>
      <w:r>
        <w:rPr>
          <w:spacing w:val="66"/>
        </w:rPr>
        <w:t> </w:t>
      </w:r>
      <w:r>
        <w:rPr/>
        <w:t>and </w:t>
      </w:r>
      <w:r>
        <w:rPr>
          <w:spacing w:val="-2"/>
        </w:rPr>
        <w:t>38-436—38-442.</w:t>
      </w:r>
    </w:p>
    <w:p>
      <w:pPr>
        <w:pStyle w:val="BodyText"/>
        <w:spacing w:before="10"/>
      </w:pPr>
    </w:p>
    <w:p>
      <w:pPr>
        <w:pStyle w:val="BodyText"/>
        <w:tabs>
          <w:tab w:pos="705" w:val="left" w:leader="none"/>
        </w:tabs>
        <w:spacing w:line="235" w:lineRule="auto"/>
        <w:ind w:left="705" w:right="168" w:hanging="541"/>
      </w:pPr>
      <w:bookmarkStart w:name="_bookmark92" w:id="94"/>
      <w:bookmarkEnd w:id="94"/>
      <w:r>
        <w:rPr/>
      </w:r>
      <w:hyperlink w:history="true" w:anchor="_bookmark58">
        <w:r>
          <w:rPr>
            <w:color w:val="005DA1"/>
            <w:spacing w:val="-4"/>
            <w:position w:val="5"/>
            <w:sz w:val="14"/>
            <w:u w:val="single" w:color="005DA1"/>
          </w:rPr>
          <w:t>50</w:t>
        </w:r>
      </w:hyperlink>
      <w:r>
        <w:rPr>
          <w:spacing w:val="-4"/>
          <w:position w:val="5"/>
          <w:sz w:val="14"/>
        </w:rPr>
        <w:t>.</w:t>
      </w:r>
      <w:r>
        <w:rPr>
          <w:position w:val="5"/>
          <w:sz w:val="14"/>
        </w:rPr>
        <w:tab/>
      </w:r>
      <w:r>
        <w:rPr/>
        <w:t>Consumer Contracts (Information, Cancellation and Additional Charges) Regulations 2013 </w:t>
      </w:r>
      <w:r>
        <w:rPr/>
        <w:t>(SI 2013/3134) on which see Vol.II, paras 38-055 et seq.</w:t>
      </w:r>
    </w:p>
    <w:p>
      <w:pPr>
        <w:pStyle w:val="BodyText"/>
        <w:spacing w:after="0" w:line="235" w:lineRule="auto"/>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59">
        <w:r>
          <w:rPr>
            <w:color w:val="005DA1"/>
            <w:position w:val="5"/>
            <w:sz w:val="14"/>
            <w:u w:val="single" w:color="005DA1"/>
          </w:rPr>
          <w:t>51</w:t>
        </w:r>
      </w:hyperlink>
      <w:r>
        <w:rPr>
          <w:position w:val="5"/>
          <w:sz w:val="14"/>
        </w:rPr>
        <w:t>.</w:t>
      </w:r>
      <w:r>
        <w:rPr>
          <w:spacing w:val="80"/>
          <w:position w:val="5"/>
          <w:sz w:val="14"/>
        </w:rPr>
        <w:t>  </w:t>
      </w:r>
      <w:r>
        <w:rPr/>
        <w:t>Consumer Protection (Amendment) Regulations 2014 (SI 2014/870) inserting, notably, new Pt</w:t>
      </w:r>
      <w:r>
        <w:rPr>
          <w:spacing w:val="40"/>
        </w:rPr>
        <w:t> </w:t>
      </w:r>
      <w:r>
        <w:rPr/>
        <w:t>4A Consumers’ Rights to Redress in Consumer Protection from Unfair Trading </w:t>
      </w:r>
      <w:r>
        <w:rPr/>
        <w:t>Regulations 2008 (SI 2008/1277), on which see Vol.II, paras 38-145 et seq.</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0416">
            <wp:simplePos x="0" y="0"/>
            <wp:positionH relativeFrom="page">
              <wp:posOffset>1257846</wp:posOffset>
            </wp:positionH>
            <wp:positionV relativeFrom="paragraph">
              <wp:posOffset>160427</wp:posOffset>
            </wp:positionV>
            <wp:extent cx="107988" cy="107988"/>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3" w:id="95"/>
      <w:bookmarkEnd w:id="95"/>
      <w:r>
        <w:rPr/>
      </w:r>
      <w:hyperlink w:history="true" w:anchor="_bookmark60">
        <w:r>
          <w:rPr>
            <w:color w:val="005DA1"/>
            <w:spacing w:val="-5"/>
            <w:sz w:val="14"/>
            <w:u w:val="single" w:color="005DA1"/>
          </w:rPr>
          <w:t>52</w:t>
        </w:r>
      </w:hyperlink>
      <w:r>
        <w:rPr>
          <w:spacing w:val="-5"/>
          <w:sz w:val="14"/>
        </w:rPr>
        <w:t>.</w:t>
      </w:r>
    </w:p>
    <w:p>
      <w:pPr>
        <w:pStyle w:val="BodyText"/>
        <w:spacing w:line="235" w:lineRule="auto" w:before="212"/>
        <w:ind w:left="165" w:firstLine="170"/>
      </w:pPr>
      <w:r>
        <w:rPr/>
        <w:br w:type="column"/>
      </w:r>
      <w:r>
        <w:rPr/>
        <w:t>On the distinctive features of modern consumer contract law see Whittaker (2017) 133 </w:t>
      </w:r>
      <w:r>
        <w:rPr/>
        <w:t>L.Q.R. </w:t>
      </w:r>
      <w:r>
        <w:rPr>
          <w:spacing w:val="-4"/>
        </w:rPr>
        <w:t>47.</w:t>
      </w:r>
    </w:p>
    <w:p>
      <w:pPr>
        <w:pStyle w:val="BodyText"/>
        <w:spacing w:after="0" w:line="235" w:lineRule="auto"/>
        <w:sectPr>
          <w:type w:val="continuous"/>
          <w:pgSz w:w="11900" w:h="16840"/>
          <w:pgMar w:header="971" w:footer="0" w:top="1300" w:bottom="280" w:left="1275" w:right="1275"/>
          <w:cols w:num="2" w:equalWidth="0">
            <w:col w:w="400" w:space="141"/>
            <w:col w:w="8809"/>
          </w:cols>
        </w:sectPr>
      </w:pPr>
    </w:p>
    <w:p>
      <w:pPr>
        <w:pStyle w:val="BodyText"/>
        <w:spacing w:before="9"/>
      </w:pPr>
    </w:p>
    <w:p>
      <w:pPr>
        <w:pStyle w:val="BodyText"/>
        <w:tabs>
          <w:tab w:pos="705" w:val="left" w:leader="none"/>
        </w:tabs>
        <w:spacing w:line="235" w:lineRule="auto"/>
        <w:ind w:left="705" w:right="168" w:hanging="541"/>
      </w:pPr>
      <w:bookmarkStart w:name="_bookmark94" w:id="96"/>
      <w:bookmarkEnd w:id="96"/>
      <w:r>
        <w:rPr/>
      </w:r>
      <w:hyperlink w:history="true" w:anchor="_bookmark61">
        <w:r>
          <w:rPr>
            <w:color w:val="005DA1"/>
            <w:spacing w:val="-4"/>
            <w:position w:val="5"/>
            <w:sz w:val="14"/>
            <w:u w:val="single" w:color="005DA1"/>
          </w:rPr>
          <w:t>53</w:t>
        </w:r>
      </w:hyperlink>
      <w:r>
        <w:rPr>
          <w:spacing w:val="-4"/>
          <w:position w:val="5"/>
          <w:sz w:val="14"/>
        </w:rPr>
        <w:t>.</w:t>
      </w:r>
      <w:r>
        <w:rPr>
          <w:position w:val="5"/>
          <w:sz w:val="14"/>
        </w:rPr>
        <w:tab/>
      </w:r>
      <w:r>
        <w:rPr/>
        <w:t>Consumer Protection from Unfair Trading Regulations 2008; Consumer Contracts </w:t>
      </w:r>
      <w:r>
        <w:rPr/>
        <w:t>(Information, Cancellation and Additional Charges) Regulations 2013; Consumer Rights Act 2015.</w:t>
      </w:r>
    </w:p>
    <w:p>
      <w:pPr>
        <w:pStyle w:val="BodyText"/>
        <w:spacing w:before="6"/>
      </w:pPr>
    </w:p>
    <w:p>
      <w:pPr>
        <w:pStyle w:val="BodyText"/>
        <w:tabs>
          <w:tab w:pos="705" w:val="left" w:leader="none"/>
        </w:tabs>
        <w:ind w:left="165"/>
      </w:pPr>
      <w:bookmarkStart w:name="_bookmark95" w:id="97"/>
      <w:bookmarkEnd w:id="97"/>
      <w:r>
        <w:rPr/>
      </w:r>
      <w:hyperlink w:history="true" w:anchor="_bookmark61">
        <w:r>
          <w:rPr>
            <w:color w:val="005DA1"/>
            <w:spacing w:val="-5"/>
            <w:position w:val="5"/>
            <w:sz w:val="14"/>
            <w:u w:val="single" w:color="005DA1"/>
          </w:rPr>
          <w:t>54</w:t>
        </w:r>
      </w:hyperlink>
      <w:r>
        <w:rPr>
          <w:spacing w:val="-5"/>
          <w:position w:val="5"/>
          <w:sz w:val="14"/>
        </w:rPr>
        <w:t>.</w:t>
      </w:r>
      <w:r>
        <w:rPr>
          <w:position w:val="5"/>
          <w:sz w:val="14"/>
        </w:rPr>
        <w:tab/>
      </w:r>
      <w:r>
        <w:rPr/>
        <w:t>See Vol.II, </w:t>
      </w:r>
      <w:r>
        <w:rPr>
          <w:spacing w:val="-2"/>
        </w:rPr>
        <w:t>Ch.39.</w:t>
      </w:r>
    </w:p>
    <w:p>
      <w:pPr>
        <w:pStyle w:val="BodyText"/>
        <w:spacing w:before="8"/>
      </w:pPr>
    </w:p>
    <w:p>
      <w:pPr>
        <w:pStyle w:val="BodyText"/>
        <w:tabs>
          <w:tab w:pos="705" w:val="left" w:leader="none"/>
        </w:tabs>
        <w:spacing w:line="235" w:lineRule="auto" w:before="1"/>
        <w:ind w:left="705" w:right="168" w:hanging="541"/>
      </w:pPr>
      <w:bookmarkStart w:name="_bookmark96" w:id="98"/>
      <w:bookmarkEnd w:id="98"/>
      <w:r>
        <w:rPr/>
      </w:r>
      <w:hyperlink w:history="true" w:anchor="_bookmark62">
        <w:r>
          <w:rPr>
            <w:color w:val="005DA1"/>
            <w:spacing w:val="-4"/>
            <w:position w:val="5"/>
            <w:sz w:val="14"/>
            <w:u w:val="single" w:color="005DA1"/>
          </w:rPr>
          <w:t>55</w:t>
        </w:r>
      </w:hyperlink>
      <w:r>
        <w:rPr>
          <w:spacing w:val="-4"/>
          <w:position w:val="5"/>
          <w:sz w:val="14"/>
        </w:rPr>
        <w:t>.</w:t>
      </w:r>
      <w:r>
        <w:rPr>
          <w:position w:val="5"/>
          <w:sz w:val="14"/>
        </w:rPr>
        <w:tab/>
      </w:r>
      <w:r>
        <w:rPr/>
        <w:t>Consumer Insurance (Disclosure and Representations) Act 2012; Insurance Act 2015 and </w:t>
      </w:r>
      <w:r>
        <w:rPr/>
        <w:t>see Vol.II, paras 42-033 et seq.</w:t>
      </w:r>
    </w:p>
    <w:p>
      <w:pPr>
        <w:pStyle w:val="BodyText"/>
        <w:spacing w:before="5"/>
      </w:pPr>
    </w:p>
    <w:p>
      <w:pPr>
        <w:pStyle w:val="BodyText"/>
        <w:tabs>
          <w:tab w:pos="705" w:val="left" w:leader="none"/>
        </w:tabs>
        <w:ind w:left="165"/>
      </w:pPr>
      <w:bookmarkStart w:name="_bookmark97" w:id="99"/>
      <w:bookmarkEnd w:id="99"/>
      <w:r>
        <w:rPr/>
      </w:r>
      <w:hyperlink w:history="true" w:anchor="_bookmark63">
        <w:r>
          <w:rPr>
            <w:color w:val="005DA1"/>
            <w:spacing w:val="-5"/>
            <w:position w:val="5"/>
            <w:sz w:val="14"/>
            <w:u w:val="single" w:color="005DA1"/>
          </w:rPr>
          <w:t>56</w:t>
        </w:r>
      </w:hyperlink>
      <w:r>
        <w:rPr>
          <w:spacing w:val="-5"/>
          <w:position w:val="5"/>
          <w:sz w:val="14"/>
        </w:rPr>
        <w:t>.</w:t>
      </w:r>
      <w:r>
        <w:rPr>
          <w:position w:val="5"/>
          <w:sz w:val="14"/>
        </w:rPr>
        <w:tab/>
      </w:r>
      <w:r>
        <w:rPr/>
        <w:t>See Vol. II, paras 38-437—38-</w:t>
      </w:r>
      <w:r>
        <w:rPr>
          <w:spacing w:val="-4"/>
        </w:rPr>
        <w:t>442.</w:t>
      </w:r>
    </w:p>
    <w:p>
      <w:pPr>
        <w:pStyle w:val="BodyText"/>
        <w:spacing w:before="5"/>
      </w:pPr>
    </w:p>
    <w:p>
      <w:pPr>
        <w:tabs>
          <w:tab w:pos="705" w:val="left" w:leader="none"/>
        </w:tabs>
        <w:spacing w:before="0"/>
        <w:ind w:left="165" w:right="0" w:firstLine="0"/>
        <w:jc w:val="left"/>
        <w:rPr>
          <w:sz w:val="20"/>
        </w:rPr>
      </w:pPr>
      <w:bookmarkStart w:name="_bookmark98" w:id="100"/>
      <w:bookmarkEnd w:id="100"/>
      <w:r>
        <w:rPr/>
      </w:r>
      <w:hyperlink w:history="true" w:anchor="_bookmark64">
        <w:r>
          <w:rPr>
            <w:color w:val="005DA1"/>
            <w:spacing w:val="-5"/>
            <w:position w:val="5"/>
            <w:sz w:val="14"/>
            <w:u w:val="single" w:color="005DA1"/>
          </w:rPr>
          <w:t>57</w:t>
        </w:r>
      </w:hyperlink>
      <w:r>
        <w:rPr>
          <w:spacing w:val="-5"/>
          <w:position w:val="5"/>
          <w:sz w:val="14"/>
        </w:rPr>
        <w:t>.</w:t>
      </w:r>
      <w:r>
        <w:rPr>
          <w:position w:val="5"/>
          <w:sz w:val="14"/>
        </w:rPr>
        <w:tab/>
      </w:r>
      <w:r>
        <w:rPr>
          <w:sz w:val="20"/>
        </w:rPr>
        <w:t>Vol.II, </w:t>
      </w:r>
      <w:r>
        <w:rPr>
          <w:spacing w:val="-2"/>
          <w:sz w:val="20"/>
        </w:rPr>
        <w:t>Ch.38.</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1. - Sources of English Contract </w:t>
      </w:r>
      <w:r>
        <w:rPr>
          <w:rFonts w:ascii="Arial"/>
          <w:b/>
          <w:spacing w:val="-5"/>
          <w:sz w:val="24"/>
        </w:rPr>
        <w:t>Law</w:t>
      </w:r>
    </w:p>
    <w:p>
      <w:pPr>
        <w:pStyle w:val="ListParagraph"/>
        <w:numPr>
          <w:ilvl w:val="0"/>
          <w:numId w:val="1"/>
        </w:numPr>
        <w:tabs>
          <w:tab w:pos="3365" w:val="left" w:leader="none"/>
        </w:tabs>
        <w:spacing w:line="240" w:lineRule="auto" w:before="194" w:after="0"/>
        <w:ind w:left="3365" w:right="0" w:hanging="360"/>
        <w:jc w:val="left"/>
        <w:rPr>
          <w:b/>
          <w:sz w:val="24"/>
        </w:rPr>
      </w:pPr>
      <w:r>
        <w:rPr>
          <w:b/>
          <w:sz w:val="24"/>
        </w:rPr>
        <w:t>- International </w:t>
      </w:r>
      <w:r>
        <w:rPr>
          <w:b/>
          <w:spacing w:val="-2"/>
          <w:sz w:val="24"/>
        </w:rPr>
        <w:t>Convention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Generally</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009</w:t>
      </w:r>
    </w:p>
    <w:p>
      <w:pPr>
        <w:pStyle w:val="BodyText"/>
        <w:spacing w:line="235" w:lineRule="auto" w:before="202"/>
        <w:ind w:left="164" w:right="167"/>
        <w:jc w:val="both"/>
      </w:pPr>
      <w:r>
        <w:rPr/>
        <w:t>The UK has signed and ratified a number of international conventions which have required it </w:t>
      </w:r>
      <w:r>
        <w:rPr/>
        <w:t>to </w:t>
      </w:r>
      <w:bookmarkStart w:name="_bookmark99" w:id="101"/>
      <w:bookmarkEnd w:id="101"/>
      <w:r>
        <w:rPr/>
        <w:t>introduce</w:t>
      </w:r>
      <w:r>
        <w:rPr/>
        <w:t> into English law by statute sets of uniform rules governing aspects of certain types of </w:t>
      </w:r>
      <w:bookmarkStart w:name="_bookmark100" w:id="102"/>
      <w:bookmarkEnd w:id="102"/>
      <w:r>
        <w:rPr/>
        <w:t>contract.</w:t>
      </w:r>
      <w:r>
        <w:rPr/>
        <w:t> This can be seen in the case of international carriage of goods and passengers by sea, </w:t>
      </w:r>
      <w:r>
        <w:rPr>
          <w:color w:val="005DA1"/>
          <w:u w:val="single" w:color="005DA1"/>
          <w:vertAlign w:val="superscript"/>
        </w:rPr>
        <w:t>58</w:t>
      </w:r>
      <w:r>
        <w:rPr>
          <w:color w:val="005DA1"/>
          <w:vertAlign w:val="baseline"/>
        </w:rPr>
        <w:t> </w:t>
      </w:r>
      <w:bookmarkStart w:name="_bookmark101" w:id="103"/>
      <w:bookmarkEnd w:id="103"/>
      <w:r>
        <w:rPr>
          <w:color w:val="005DA1"/>
          <w:w w:val="92"/>
          <w:vertAlign w:val="baseline"/>
        </w:rPr>
      </w:r>
      <w:r>
        <w:rPr>
          <w:vertAlign w:val="baseline"/>
        </w:rPr>
        <w:t>international carriage by air </w:t>
      </w:r>
      <w:r>
        <w:rPr>
          <w:color w:val="005DA1"/>
          <w:u w:val="single" w:color="005DA1"/>
          <w:vertAlign w:val="superscript"/>
        </w:rPr>
        <w:t>59</w:t>
      </w:r>
      <w:r>
        <w:rPr>
          <w:color w:val="005DA1"/>
          <w:vertAlign w:val="baseline"/>
        </w:rPr>
        <w:t> </w:t>
      </w:r>
      <w:r>
        <w:rPr>
          <w:vertAlign w:val="baseline"/>
        </w:rPr>
        <w:t>and international carriage by land. </w:t>
      </w:r>
      <w:r>
        <w:rPr>
          <w:color w:val="005DA1"/>
          <w:u w:val="single" w:color="005DA1"/>
          <w:vertAlign w:val="superscript"/>
        </w:rPr>
        <w:t>60</w:t>
      </w:r>
      <w:r>
        <w:rPr>
          <w:color w:val="005DA1"/>
          <w:vertAlign w:val="baseline"/>
        </w:rPr>
        <w:t> </w:t>
      </w:r>
      <w:r>
        <w:rPr>
          <w:vertAlign w:val="baseline"/>
        </w:rPr>
        <w:t>While there is an United Nations Convention on Contracts for the international sale of goods, the UK has yet to ratify it. </w:t>
      </w:r>
      <w:r>
        <w:rPr>
          <w:color w:val="005DA1"/>
          <w:u w:val="single" w:color="005DA1"/>
          <w:vertAlign w:val="superscript"/>
        </w:rPr>
        <w:t>61</w:t>
      </w:r>
    </w:p>
    <w:p>
      <w:pPr>
        <w:pStyle w:val="BodyText"/>
      </w:pPr>
    </w:p>
    <w:p>
      <w:pPr>
        <w:pStyle w:val="BodyText"/>
        <w:spacing w:before="37"/>
      </w:pPr>
    </w:p>
    <w:p>
      <w:pPr>
        <w:spacing w:before="0"/>
        <w:ind w:left="165" w:right="0" w:firstLine="0"/>
        <w:jc w:val="left"/>
        <w:rPr>
          <w:rFonts w:ascii="Arial"/>
          <w:b/>
          <w:sz w:val="18"/>
        </w:rPr>
      </w:pPr>
      <w:r>
        <w:rPr>
          <w:rFonts w:ascii="Arial"/>
          <w:b/>
          <w:sz w:val="18"/>
        </w:rPr>
        <w:t>European Convention on Human </w:t>
      </w:r>
      <w:r>
        <w:rPr>
          <w:rFonts w:ascii="Arial"/>
          <w:b/>
          <w:spacing w:val="-2"/>
          <w:sz w:val="18"/>
        </w:rPr>
        <w:t>Rights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010</w:t>
      </w:r>
    </w:p>
    <w:p>
      <w:pPr>
        <w:pStyle w:val="BodyText"/>
        <w:spacing w:line="235" w:lineRule="auto" w:before="203"/>
        <w:ind w:left="165" w:right="167"/>
        <w:jc w:val="both"/>
      </w:pPr>
      <w:r>
        <w:rPr/>
        <w:t>The “bringing home” of the majority of rights protected by the European Convention on Human Rights </w:t>
      </w:r>
      <w:bookmarkStart w:name="_bookmark102" w:id="104"/>
      <w:bookmarkEnd w:id="104"/>
      <w:r>
        <w:rPr/>
        <w:t>and</w:t>
      </w:r>
      <w:r>
        <w:rPr/>
        <w:t> its protocols by the Human Rights Act 1998 possesses implications for contract law, which will be discussed later in the present chapter. </w:t>
      </w:r>
      <w:r>
        <w:rPr>
          <w:color w:val="005DA1"/>
          <w:u w:val="single" w:color="005DA1"/>
          <w:vertAlign w:val="superscript"/>
        </w:rPr>
        <w:t>62</w:t>
      </w:r>
    </w:p>
    <w:p>
      <w:pPr>
        <w:pStyle w:val="BodyText"/>
      </w:pPr>
    </w:p>
    <w:p>
      <w:pPr>
        <w:pStyle w:val="BodyText"/>
        <w:spacing w:before="39"/>
      </w:pPr>
      <w:r>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186043</wp:posOffset>
                </wp:positionV>
                <wp:extent cx="572452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911pt;width:450.75pt;height:.1pt;mso-position-horizontal-relative:page;mso-position-vertical-relative:paragraph;z-index:-15716352;mso-wrap-distance-left:0;mso-wrap-distance-right:0" id="docshape9"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bookmarkStart w:name="_bookmark103" w:id="105"/>
      <w:bookmarkEnd w:id="105"/>
      <w:r>
        <w:rPr/>
      </w:r>
      <w:hyperlink w:history="true" w:anchor="_bookmark99">
        <w:r>
          <w:rPr>
            <w:color w:val="005DA1"/>
            <w:position w:val="5"/>
            <w:sz w:val="14"/>
            <w:u w:val="single" w:color="005DA1"/>
          </w:rPr>
          <w:t>58</w:t>
        </w:r>
      </w:hyperlink>
      <w:r>
        <w:rPr>
          <w:position w:val="5"/>
          <w:sz w:val="14"/>
        </w:rPr>
        <w:t>.</w:t>
      </w:r>
      <w:r>
        <w:rPr>
          <w:spacing w:val="40"/>
          <w:position w:val="5"/>
          <w:sz w:val="14"/>
        </w:rPr>
        <w:t>  </w:t>
      </w:r>
      <w:r>
        <w:rPr/>
        <w:t>See notably Hague Rules and Hague-Visby Rules (goods) introduced into English law by the Carriage of Goods by Sea Act 1971 (on which see below, para.15-134); Athens Convention relating to the Carriage of Passengers and their Luggage by Sea 1974 (on which see Vol.II, </w:t>
      </w:r>
      <w:r>
        <w:rPr>
          <w:spacing w:val="-2"/>
        </w:rPr>
        <w:t>para.36-064).</w:t>
      </w:r>
    </w:p>
    <w:p>
      <w:pPr>
        <w:pStyle w:val="BodyText"/>
        <w:spacing w:before="8"/>
      </w:pPr>
    </w:p>
    <w:p>
      <w:pPr>
        <w:pStyle w:val="BodyText"/>
        <w:tabs>
          <w:tab w:pos="705" w:val="left" w:leader="none"/>
        </w:tabs>
        <w:spacing w:line="235" w:lineRule="auto"/>
        <w:ind w:left="705" w:right="168" w:hanging="541"/>
      </w:pPr>
      <w:bookmarkStart w:name="_bookmark104" w:id="106"/>
      <w:bookmarkEnd w:id="106"/>
      <w:r>
        <w:rPr/>
      </w:r>
      <w:hyperlink w:history="true" w:anchor="_bookmark100">
        <w:r>
          <w:rPr>
            <w:color w:val="005DA1"/>
            <w:spacing w:val="-4"/>
            <w:position w:val="5"/>
            <w:sz w:val="14"/>
            <w:u w:val="single" w:color="005DA1"/>
          </w:rPr>
          <w:t>59</w:t>
        </w:r>
      </w:hyperlink>
      <w:r>
        <w:rPr>
          <w:spacing w:val="-4"/>
          <w:position w:val="5"/>
          <w:sz w:val="14"/>
        </w:rPr>
        <w:t>.</w:t>
      </w:r>
      <w:r>
        <w:rPr>
          <w:position w:val="5"/>
          <w:sz w:val="14"/>
        </w:rPr>
        <w:tab/>
      </w:r>
      <w:r>
        <w:rPr/>
        <w:t>Vol.II,</w:t>
      </w:r>
      <w:r>
        <w:rPr>
          <w:spacing w:val="40"/>
        </w:rPr>
        <w:t> </w:t>
      </w:r>
      <w:r>
        <w:rPr/>
        <w:t>Ch.35</w:t>
      </w:r>
      <w:r>
        <w:rPr>
          <w:spacing w:val="40"/>
        </w:rPr>
        <w:t> </w:t>
      </w:r>
      <w:r>
        <w:rPr/>
        <w:t>commencing</w:t>
      </w:r>
      <w:r>
        <w:rPr>
          <w:spacing w:val="40"/>
        </w:rPr>
        <w:t> </w:t>
      </w:r>
      <w:r>
        <w:rPr/>
        <w:t>with</w:t>
      </w:r>
      <w:r>
        <w:rPr>
          <w:spacing w:val="40"/>
        </w:rPr>
        <w:t> </w:t>
      </w:r>
      <w:r>
        <w:rPr/>
        <w:t>the</w:t>
      </w:r>
      <w:r>
        <w:rPr>
          <w:spacing w:val="40"/>
        </w:rPr>
        <w:t> </w:t>
      </w:r>
      <w:r>
        <w:rPr/>
        <w:t>Warsaw</w:t>
      </w:r>
      <w:r>
        <w:rPr>
          <w:spacing w:val="40"/>
        </w:rPr>
        <w:t> </w:t>
      </w:r>
      <w:r>
        <w:rPr/>
        <w:t>Convention</w:t>
      </w:r>
      <w:r>
        <w:rPr>
          <w:spacing w:val="40"/>
        </w:rPr>
        <w:t> </w:t>
      </w:r>
      <w:r>
        <w:rPr/>
        <w:t>on</w:t>
      </w:r>
      <w:r>
        <w:rPr>
          <w:spacing w:val="40"/>
        </w:rPr>
        <w:t> </w:t>
      </w:r>
      <w:r>
        <w:rPr/>
        <w:t>International</w:t>
      </w:r>
      <w:r>
        <w:rPr>
          <w:spacing w:val="40"/>
        </w:rPr>
        <w:t> </w:t>
      </w:r>
      <w:r>
        <w:rPr/>
        <w:t>Carriage</w:t>
      </w:r>
      <w:r>
        <w:rPr>
          <w:spacing w:val="40"/>
        </w:rPr>
        <w:t> </w:t>
      </w:r>
      <w:r>
        <w:rPr/>
        <w:t>by</w:t>
      </w:r>
      <w:r>
        <w:rPr>
          <w:spacing w:val="40"/>
        </w:rPr>
        <w:t> </w:t>
      </w:r>
      <w:r>
        <w:rPr/>
        <w:t>Air</w:t>
      </w:r>
      <w:r>
        <w:rPr>
          <w:spacing w:val="40"/>
        </w:rPr>
        <w:t> </w:t>
      </w:r>
      <w:r>
        <w:rPr/>
        <w:t>of </w:t>
      </w:r>
      <w:r>
        <w:rPr>
          <w:spacing w:val="-2"/>
        </w:rPr>
        <w:t>1929.</w:t>
      </w:r>
    </w:p>
    <w:p>
      <w:pPr>
        <w:pStyle w:val="BodyText"/>
        <w:spacing w:before="6"/>
      </w:pPr>
    </w:p>
    <w:p>
      <w:pPr>
        <w:pStyle w:val="BodyText"/>
        <w:tabs>
          <w:tab w:pos="705" w:val="left" w:leader="none"/>
        </w:tabs>
        <w:ind w:left="165"/>
      </w:pPr>
      <w:bookmarkStart w:name="_bookmark105" w:id="107"/>
      <w:bookmarkEnd w:id="107"/>
      <w:r>
        <w:rPr/>
      </w:r>
      <w:hyperlink w:history="true" w:anchor="_bookmark100">
        <w:r>
          <w:rPr>
            <w:color w:val="005DA1"/>
            <w:spacing w:val="-5"/>
            <w:position w:val="5"/>
            <w:sz w:val="14"/>
            <w:u w:val="single" w:color="005DA1"/>
          </w:rPr>
          <w:t>60</w:t>
        </w:r>
      </w:hyperlink>
      <w:r>
        <w:rPr>
          <w:spacing w:val="-5"/>
          <w:position w:val="5"/>
          <w:sz w:val="14"/>
        </w:rPr>
        <w:t>.</w:t>
      </w:r>
      <w:r>
        <w:rPr>
          <w:position w:val="5"/>
          <w:sz w:val="14"/>
        </w:rPr>
        <w:tab/>
      </w:r>
      <w:r>
        <w:rPr/>
        <w:t>Vol.II, para.36-003, paras 36-079 et </w:t>
      </w:r>
      <w:r>
        <w:rPr>
          <w:spacing w:val="-4"/>
        </w:rPr>
        <w:t>seq.</w:t>
      </w:r>
    </w:p>
    <w:p>
      <w:pPr>
        <w:pStyle w:val="BodyText"/>
        <w:spacing w:before="5"/>
      </w:pPr>
    </w:p>
    <w:p>
      <w:pPr>
        <w:pStyle w:val="BodyText"/>
        <w:tabs>
          <w:tab w:pos="705" w:val="left" w:leader="none"/>
        </w:tabs>
        <w:ind w:left="165"/>
      </w:pPr>
      <w:bookmarkStart w:name="_bookmark106" w:id="108"/>
      <w:bookmarkEnd w:id="108"/>
      <w:r>
        <w:rPr/>
      </w:r>
      <w:hyperlink w:history="true" w:anchor="_bookmark101">
        <w:r>
          <w:rPr>
            <w:color w:val="005DA1"/>
            <w:spacing w:val="-5"/>
            <w:position w:val="5"/>
            <w:sz w:val="14"/>
            <w:u w:val="single" w:color="005DA1"/>
          </w:rPr>
          <w:t>61</w:t>
        </w:r>
      </w:hyperlink>
      <w:r>
        <w:rPr>
          <w:spacing w:val="-5"/>
          <w:position w:val="5"/>
          <w:sz w:val="14"/>
        </w:rPr>
        <w:t>.</w:t>
      </w:r>
      <w:r>
        <w:rPr>
          <w:position w:val="5"/>
          <w:sz w:val="14"/>
        </w:rPr>
        <w:tab/>
      </w:r>
      <w:r>
        <w:rPr/>
        <w:t>See</w:t>
      </w:r>
      <w:r>
        <w:rPr>
          <w:spacing w:val="-2"/>
        </w:rPr>
        <w:t> </w:t>
      </w:r>
      <w:r>
        <w:rPr/>
        <w:t>Vol.II, para.44-</w:t>
      </w:r>
      <w:r>
        <w:rPr>
          <w:spacing w:val="-4"/>
        </w:rPr>
        <w:t>014.</w:t>
      </w:r>
    </w:p>
    <w:p>
      <w:pPr>
        <w:pStyle w:val="BodyText"/>
        <w:spacing w:before="5"/>
      </w:pPr>
    </w:p>
    <w:p>
      <w:pPr>
        <w:pStyle w:val="BodyText"/>
        <w:tabs>
          <w:tab w:pos="705" w:val="left" w:leader="none"/>
        </w:tabs>
        <w:ind w:left="165"/>
      </w:pPr>
      <w:bookmarkStart w:name="_bookmark107" w:id="109"/>
      <w:bookmarkEnd w:id="109"/>
      <w:r>
        <w:rPr/>
      </w:r>
      <w:hyperlink w:history="true" w:anchor="_bookmark102">
        <w:r>
          <w:rPr>
            <w:color w:val="005DA1"/>
            <w:spacing w:val="-5"/>
            <w:position w:val="5"/>
            <w:sz w:val="14"/>
            <w:u w:val="single" w:color="005DA1"/>
          </w:rPr>
          <w:t>62</w:t>
        </w:r>
      </w:hyperlink>
      <w:r>
        <w:rPr>
          <w:spacing w:val="-5"/>
          <w:position w:val="5"/>
          <w:sz w:val="14"/>
        </w:rPr>
        <w:t>.</w:t>
      </w:r>
      <w:r>
        <w:rPr>
          <w:position w:val="5"/>
          <w:sz w:val="14"/>
        </w:rPr>
        <w:tab/>
      </w:r>
      <w:r>
        <w:rPr/>
        <w:t>Below,</w:t>
      </w:r>
      <w:r>
        <w:rPr>
          <w:spacing w:val="-2"/>
        </w:rPr>
        <w:t> </w:t>
      </w:r>
      <w:r>
        <w:rPr/>
        <w:t>paras 1-057—1-</w:t>
      </w:r>
      <w:r>
        <w:rPr>
          <w:spacing w:val="-4"/>
        </w:rPr>
        <w:t>094.</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9"/>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1. - Sources of English Contract </w:t>
      </w:r>
      <w:r>
        <w:rPr>
          <w:rFonts w:ascii="Arial"/>
          <w:b/>
          <w:spacing w:val="-5"/>
          <w:sz w:val="24"/>
        </w:rPr>
        <w:t>Law</w:t>
      </w:r>
    </w:p>
    <w:p>
      <w:pPr>
        <w:pStyle w:val="ListParagraph"/>
        <w:numPr>
          <w:ilvl w:val="0"/>
          <w:numId w:val="1"/>
        </w:numPr>
        <w:tabs>
          <w:tab w:pos="4351" w:val="left" w:leader="none"/>
        </w:tabs>
        <w:spacing w:line="240" w:lineRule="auto" w:before="194" w:after="0"/>
        <w:ind w:left="4351" w:right="0" w:hanging="373"/>
        <w:jc w:val="left"/>
        <w:rPr>
          <w:b/>
          <w:sz w:val="24"/>
        </w:rPr>
      </w:pPr>
      <w:r>
        <w:rPr>
          <w:b/>
          <w:sz w:val="24"/>
        </w:rPr>
        <w:t>- EU </w:t>
      </w:r>
      <w:r>
        <w:rPr>
          <w:b/>
          <w:spacing w:val="-5"/>
          <w:sz w:val="24"/>
        </w:rPr>
        <w:t>Law</w:t>
      </w:r>
    </w:p>
    <w:p>
      <w:pPr>
        <w:pStyle w:val="ListParagraph"/>
        <w:numPr>
          <w:ilvl w:val="0"/>
          <w:numId w:val="2"/>
        </w:numPr>
        <w:tabs>
          <w:tab w:pos="3558" w:val="left" w:leader="none"/>
        </w:tabs>
        <w:spacing w:line="240" w:lineRule="auto" w:before="194" w:after="0"/>
        <w:ind w:left="3558" w:right="0" w:hanging="293"/>
        <w:jc w:val="left"/>
        <w:rPr>
          <w:b/>
          <w:sz w:val="24"/>
        </w:rPr>
      </w:pPr>
      <w:r>
        <w:rPr>
          <w:b/>
          <w:sz w:val="24"/>
        </w:rPr>
        <w:t>- The Current </w:t>
      </w:r>
      <w:r>
        <w:rPr>
          <w:b/>
          <w:spacing w:val="-2"/>
          <w:sz w:val="24"/>
        </w:rPr>
        <w:t>Position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EU law governing contracts: the Union </w:t>
      </w:r>
      <w:r>
        <w:rPr>
          <w:rFonts w:ascii="Arial"/>
          <w:b/>
          <w:spacing w:val="-2"/>
          <w:sz w:val="18"/>
        </w:rPr>
        <w:t>acquis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011</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Various</w:t>
      </w:r>
      <w:r>
        <w:rPr>
          <w:spacing w:val="-2"/>
        </w:rPr>
        <w:t> </w:t>
      </w:r>
      <w:r>
        <w:rPr/>
        <w:t>elements</w:t>
      </w:r>
      <w:r>
        <w:rPr>
          <w:spacing w:val="-2"/>
        </w:rPr>
        <w:t> </w:t>
      </w:r>
      <w:r>
        <w:rPr/>
        <w:t>of</w:t>
      </w:r>
      <w:r>
        <w:rPr>
          <w:spacing w:val="-2"/>
        </w:rPr>
        <w:t> </w:t>
      </w:r>
      <w:r>
        <w:rPr/>
        <w:t>EU</w:t>
      </w:r>
      <w:r>
        <w:rPr>
          <w:spacing w:val="-2"/>
        </w:rPr>
        <w:t> </w:t>
      </w:r>
      <w:r>
        <w:rPr/>
        <w:t>law</w:t>
      </w:r>
      <w:r>
        <w:rPr>
          <w:spacing w:val="-2"/>
        </w:rPr>
        <w:t> </w:t>
      </w:r>
      <w:r>
        <w:rPr/>
        <w:t>have</w:t>
      </w:r>
      <w:r>
        <w:rPr>
          <w:spacing w:val="-2"/>
        </w:rPr>
        <w:t> </w:t>
      </w:r>
      <w:r>
        <w:rPr/>
        <w:t>affected</w:t>
      </w:r>
      <w:r>
        <w:rPr>
          <w:spacing w:val="-2"/>
        </w:rPr>
        <w:t> </w:t>
      </w:r>
      <w:r>
        <w:rPr/>
        <w:t>the</w:t>
      </w:r>
      <w:r>
        <w:rPr>
          <w:spacing w:val="-2"/>
        </w:rPr>
        <w:t> </w:t>
      </w:r>
      <w:r>
        <w:rPr/>
        <w:t>conclusion</w:t>
      </w:r>
      <w:r>
        <w:rPr>
          <w:spacing w:val="-2"/>
        </w:rPr>
        <w:t> </w:t>
      </w:r>
      <w:r>
        <w:rPr/>
        <w:t>and</w:t>
      </w:r>
      <w:r>
        <w:rPr>
          <w:spacing w:val="-2"/>
        </w:rPr>
        <w:t> </w:t>
      </w:r>
      <w:r>
        <w:rPr/>
        <w:t>the</w:t>
      </w:r>
      <w:r>
        <w:rPr>
          <w:spacing w:val="-2"/>
        </w:rPr>
        <w:t> </w:t>
      </w:r>
      <w:r>
        <w:rPr/>
        <w:t>regulation</w:t>
      </w:r>
      <w:r>
        <w:rPr>
          <w:spacing w:val="-2"/>
        </w:rPr>
        <w:t> </w:t>
      </w:r>
      <w:r>
        <w:rPr/>
        <w:t>of</w:t>
      </w:r>
      <w:r>
        <w:rPr>
          <w:spacing w:val="-2"/>
        </w:rPr>
        <w:t> </w:t>
      </w:r>
      <w:r>
        <w:rPr/>
        <w:t>contracts</w:t>
      </w:r>
      <w:r>
        <w:rPr>
          <w:spacing w:val="-2"/>
        </w:rPr>
        <w:t> </w:t>
      </w:r>
      <w:r>
        <w:rPr/>
        <w:t>by</w:t>
      </w:r>
      <w:r>
        <w:rPr>
          <w:spacing w:val="-2"/>
        </w:rPr>
        <w:t> </w:t>
      </w:r>
      <w:r>
        <w:rPr/>
        <w:t>English law. As regards the Treaties themselves, one prominent area is the law of competition, which has</w:t>
      </w:r>
      <w:r>
        <w:rPr>
          <w:spacing w:val="40"/>
        </w:rPr>
        <w:t> </w:t>
      </w:r>
      <w:bookmarkStart w:name="_bookmark108" w:id="110"/>
      <w:bookmarkEnd w:id="110"/>
      <w:r>
        <w:rPr/>
        <w:t>both</w:t>
      </w:r>
      <w:r>
        <w:rPr>
          <w:spacing w:val="16"/>
        </w:rPr>
        <w:t> </w:t>
      </w:r>
      <w:r>
        <w:rPr/>
        <w:t>a</w:t>
      </w:r>
      <w:r>
        <w:rPr>
          <w:spacing w:val="18"/>
        </w:rPr>
        <w:t> </w:t>
      </w:r>
      <w:r>
        <w:rPr/>
        <w:t>general</w:t>
      </w:r>
      <w:r>
        <w:rPr>
          <w:spacing w:val="18"/>
        </w:rPr>
        <w:t> </w:t>
      </w:r>
      <w:r>
        <w:rPr/>
        <w:t>impact</w:t>
      </w:r>
      <w:r>
        <w:rPr>
          <w:spacing w:val="18"/>
        </w:rPr>
        <w:t> </w:t>
      </w:r>
      <w:r>
        <w:rPr/>
        <w:t>on</w:t>
      </w:r>
      <w:r>
        <w:rPr>
          <w:spacing w:val="18"/>
        </w:rPr>
        <w:t> </w:t>
      </w:r>
      <w:r>
        <w:rPr/>
        <w:t>the</w:t>
      </w:r>
      <w:r>
        <w:rPr>
          <w:spacing w:val="18"/>
        </w:rPr>
        <w:t> </w:t>
      </w:r>
      <w:r>
        <w:rPr/>
        <w:t>environment</w:t>
      </w:r>
      <w:r>
        <w:rPr>
          <w:spacing w:val="18"/>
        </w:rPr>
        <w:t> </w:t>
      </w:r>
      <w:r>
        <w:rPr/>
        <w:t>within</w:t>
      </w:r>
      <w:r>
        <w:rPr>
          <w:spacing w:val="18"/>
        </w:rPr>
        <w:t> </w:t>
      </w:r>
      <w:r>
        <w:rPr/>
        <w:t>which</w:t>
      </w:r>
      <w:r>
        <w:rPr>
          <w:spacing w:val="18"/>
        </w:rPr>
        <w:t> </w:t>
      </w:r>
      <w:r>
        <w:rPr/>
        <w:t>contracts</w:t>
      </w:r>
      <w:r>
        <w:rPr>
          <w:spacing w:val="18"/>
        </w:rPr>
        <w:t> </w:t>
      </w:r>
      <w:r>
        <w:rPr/>
        <w:t>are</w:t>
      </w:r>
      <w:r>
        <w:rPr>
          <w:spacing w:val="18"/>
        </w:rPr>
        <w:t> </w:t>
      </w:r>
      <w:r>
        <w:rPr/>
        <w:t>made</w:t>
      </w:r>
      <w:r>
        <w:rPr>
          <w:spacing w:val="18"/>
        </w:rPr>
        <w:t> </w:t>
      </w:r>
      <w:r>
        <w:rPr/>
        <w:t>and</w:t>
      </w:r>
      <w:r>
        <w:rPr>
          <w:spacing w:val="18"/>
        </w:rPr>
        <w:t> </w:t>
      </w:r>
      <w:r>
        <w:rPr/>
        <w:t>which</w:t>
      </w:r>
      <w:r>
        <w:rPr>
          <w:spacing w:val="18"/>
        </w:rPr>
        <w:t> </w:t>
      </w:r>
      <w:r>
        <w:rPr/>
        <w:t>holds</w:t>
      </w:r>
      <w:r>
        <w:rPr>
          <w:spacing w:val="18"/>
        </w:rPr>
        <w:t> </w:t>
      </w:r>
      <w:r>
        <w:rPr>
          <w:spacing w:val="-2"/>
        </w:rPr>
        <w:t>certain</w:t>
      </w:r>
    </w:p>
    <w:p>
      <w:pPr>
        <w:pStyle w:val="BodyText"/>
        <w:spacing w:line="235" w:lineRule="auto" w:before="119"/>
        <w:ind w:left="165" w:right="167"/>
        <w:jc w:val="both"/>
      </w:pPr>
      <w:r>
        <w:rPr/>
        <w:t>categories of contract or contract term unlawful. </w:t>
      </w:r>
      <w:r>
        <w:rPr>
          <w:color w:val="005DA1"/>
          <w:u w:val="single" w:color="005DA1"/>
          <w:vertAlign w:val="superscript"/>
        </w:rPr>
        <w:t>63</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23"/>
          <w:vertAlign w:val="baseline"/>
        </w:rPr>
        <w:t> </w:t>
      </w:r>
      <w:r>
        <w:rPr>
          <w:vertAlign w:val="baseline"/>
        </w:rPr>
        <w:t>EU legislation (principally in the form of directives) has also regulated aspects of a number of types of contract. Consumer contracts have been an important object of attention, with directives requiring rules controlling the fairness of most of their standard terms, rules governing aspects of contracts made in certain circumstances (as with </w:t>
      </w:r>
      <w:bookmarkStart w:name="_bookmark109" w:id="111"/>
      <w:bookmarkEnd w:id="111"/>
      <w:r>
        <w:rPr>
          <w:vertAlign w:val="baseline"/>
        </w:rPr>
        <w:t>“distance</w:t>
      </w:r>
      <w:r>
        <w:rPr>
          <w:spacing w:val="8"/>
          <w:vertAlign w:val="baseline"/>
        </w:rPr>
        <w:t> </w:t>
      </w:r>
      <w:r>
        <w:rPr>
          <w:vertAlign w:val="baseline"/>
        </w:rPr>
        <w:t>contracts”</w:t>
      </w:r>
      <w:r>
        <w:rPr>
          <w:spacing w:val="8"/>
          <w:vertAlign w:val="baseline"/>
        </w:rPr>
        <w:t> </w:t>
      </w:r>
      <w:r>
        <w:rPr>
          <w:vertAlign w:val="baseline"/>
        </w:rPr>
        <w:t>or</w:t>
      </w:r>
      <w:r>
        <w:rPr>
          <w:spacing w:val="8"/>
          <w:vertAlign w:val="baseline"/>
        </w:rPr>
        <w:t> </w:t>
      </w:r>
      <w:r>
        <w:rPr>
          <w:vertAlign w:val="baseline"/>
        </w:rPr>
        <w:t>“off-premises</w:t>
      </w:r>
      <w:r>
        <w:rPr>
          <w:spacing w:val="8"/>
          <w:vertAlign w:val="baseline"/>
        </w:rPr>
        <w:t> </w:t>
      </w:r>
      <w:r>
        <w:rPr>
          <w:vertAlign w:val="baseline"/>
        </w:rPr>
        <w:t>contracts”)</w:t>
      </w:r>
      <w:r>
        <w:rPr>
          <w:spacing w:val="8"/>
          <w:vertAlign w:val="baseline"/>
        </w:rPr>
        <w:t> </w:t>
      </w:r>
      <w:r>
        <w:rPr>
          <w:vertAlign w:val="baseline"/>
        </w:rPr>
        <w:t>and</w:t>
      </w:r>
      <w:r>
        <w:rPr>
          <w:spacing w:val="8"/>
          <w:vertAlign w:val="baseline"/>
        </w:rPr>
        <w:t> </w:t>
      </w:r>
      <w:r>
        <w:rPr>
          <w:vertAlign w:val="baseline"/>
        </w:rPr>
        <w:t>of</w:t>
      </w:r>
      <w:r>
        <w:rPr>
          <w:spacing w:val="8"/>
          <w:vertAlign w:val="baseline"/>
        </w:rPr>
        <w:t> </w:t>
      </w:r>
      <w:r>
        <w:rPr>
          <w:vertAlign w:val="baseline"/>
        </w:rPr>
        <w:t>certain</w:t>
      </w:r>
      <w:r>
        <w:rPr>
          <w:spacing w:val="8"/>
          <w:vertAlign w:val="baseline"/>
        </w:rPr>
        <w:t> </w:t>
      </w:r>
      <w:r>
        <w:rPr>
          <w:vertAlign w:val="baseline"/>
        </w:rPr>
        <w:t>types</w:t>
      </w:r>
      <w:r>
        <w:rPr>
          <w:spacing w:val="8"/>
          <w:vertAlign w:val="baseline"/>
        </w:rPr>
        <w:t> </w:t>
      </w:r>
      <w:r>
        <w:rPr>
          <w:vertAlign w:val="baseline"/>
        </w:rPr>
        <w:t>(sale</w:t>
      </w:r>
      <w:r>
        <w:rPr>
          <w:spacing w:val="8"/>
          <w:vertAlign w:val="baseline"/>
        </w:rPr>
        <w:t> </w:t>
      </w:r>
      <w:r>
        <w:rPr>
          <w:vertAlign w:val="baseline"/>
        </w:rPr>
        <w:t>of</w:t>
      </w:r>
      <w:r>
        <w:rPr>
          <w:spacing w:val="8"/>
          <w:vertAlign w:val="baseline"/>
        </w:rPr>
        <w:t> </w:t>
      </w:r>
      <w:r>
        <w:rPr>
          <w:vertAlign w:val="baseline"/>
        </w:rPr>
        <w:t>goods,</w:t>
      </w:r>
      <w:r>
        <w:rPr>
          <w:spacing w:val="8"/>
          <w:vertAlign w:val="baseline"/>
        </w:rPr>
        <w:t> </w:t>
      </w:r>
      <w:r>
        <w:rPr>
          <w:vertAlign w:val="baseline"/>
        </w:rPr>
        <w:t>consumer</w:t>
      </w:r>
      <w:r>
        <w:rPr>
          <w:spacing w:val="8"/>
          <w:vertAlign w:val="baseline"/>
        </w:rPr>
        <w:t> </w:t>
      </w:r>
      <w:r>
        <w:rPr>
          <w:spacing w:val="-2"/>
          <w:vertAlign w:val="baseline"/>
        </w:rPr>
        <w:t>credit,</w:t>
      </w:r>
    </w:p>
    <w:p>
      <w:pPr>
        <w:pStyle w:val="BodyText"/>
        <w:spacing w:line="360" w:lineRule="auto" w:before="115"/>
        <w:ind w:left="165" w:right="168"/>
        <w:jc w:val="both"/>
      </w:pPr>
      <w:bookmarkStart w:name="_bookmark110" w:id="112"/>
      <w:bookmarkEnd w:id="112"/>
      <w:r>
        <w:rPr/>
      </w:r>
      <w:r>
        <w:rPr/>
        <w:t>time-share, and package holidays). </w:t>
      </w:r>
      <w:r>
        <w:rPr>
          <w:color w:val="005DA1"/>
          <w:u w:val="single" w:color="005DA1"/>
          <w:vertAlign w:val="superscript"/>
        </w:rPr>
        <w:t>64</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40"/>
          <w:vertAlign w:val="baseline"/>
        </w:rPr>
        <w:t> </w:t>
      </w:r>
      <w:r>
        <w:rPr>
          <w:vertAlign w:val="baseline"/>
        </w:rPr>
        <w:t>Outside the consumer context, directives have </w:t>
      </w:r>
      <w:r>
        <w:rPr>
          <w:vertAlign w:val="baseline"/>
        </w:rPr>
        <w:t>required </w:t>
      </w:r>
      <w:bookmarkStart w:name="_bookmark111" w:id="113"/>
      <w:bookmarkEnd w:id="113"/>
      <w:r>
        <w:rPr>
          <w:vertAlign w:val="baseline"/>
        </w:rPr>
        <w:t>rules</w:t>
      </w:r>
      <w:r>
        <w:rPr>
          <w:vertAlign w:val="baseline"/>
        </w:rPr>
        <w:t> governing commercial agency contracts </w:t>
      </w:r>
      <w:r>
        <w:rPr>
          <w:color w:val="005DA1"/>
          <w:u w:val="single" w:color="005DA1"/>
          <w:vertAlign w:val="superscript"/>
        </w:rPr>
        <w:t>65</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8"/>
          <w:vertAlign w:val="baseline"/>
        </w:rPr>
        <w:t> </w:t>
      </w:r>
      <w:r>
        <w:rPr>
          <w:vertAlign w:val="baseline"/>
        </w:rPr>
        <w:t>and particular aspects of commercial contracts in </w:t>
      </w:r>
      <w:bookmarkStart w:name="_bookmark112" w:id="114"/>
      <w:bookmarkEnd w:id="114"/>
      <w:r>
        <w:rPr>
          <w:vertAlign w:val="baseline"/>
        </w:rPr>
        <w:t>general</w:t>
      </w:r>
      <w:r>
        <w:rPr>
          <w:vertAlign w:val="baseline"/>
        </w:rPr>
        <w:t> (notably, as regards late payment of commercial debts). </w:t>
      </w:r>
      <w:r>
        <w:rPr>
          <w:color w:val="005DA1"/>
          <w:u w:val="single" w:color="005DA1"/>
          <w:vertAlign w:val="superscript"/>
        </w:rPr>
        <w:t>66</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23"/>
          <w:vertAlign w:val="baseline"/>
        </w:rPr>
        <w:t> </w:t>
      </w:r>
      <w:r>
        <w:rPr>
          <w:vertAlign w:val="baseline"/>
        </w:rPr>
        <w:t>The public procurement </w:t>
      </w:r>
      <w:bookmarkStart w:name="_bookmark113" w:id="115"/>
      <w:bookmarkEnd w:id="115"/>
      <w:r>
        <w:rPr>
          <w:vertAlign w:val="baseline"/>
        </w:rPr>
        <w:t>directives</w:t>
      </w:r>
      <w:r>
        <w:rPr>
          <w:spacing w:val="39"/>
          <w:vertAlign w:val="baseline"/>
        </w:rPr>
        <w:t> </w:t>
      </w:r>
      <w:r>
        <w:rPr>
          <w:vertAlign w:val="baseline"/>
        </w:rPr>
        <w:t>have</w:t>
      </w:r>
      <w:r>
        <w:rPr>
          <w:spacing w:val="39"/>
          <w:vertAlign w:val="baseline"/>
        </w:rPr>
        <w:t> </w:t>
      </w:r>
      <w:r>
        <w:rPr>
          <w:vertAlign w:val="baseline"/>
        </w:rPr>
        <w:t>had</w:t>
      </w:r>
      <w:r>
        <w:rPr>
          <w:spacing w:val="40"/>
          <w:vertAlign w:val="baseline"/>
        </w:rPr>
        <w:t> </w:t>
      </w:r>
      <w:r>
        <w:rPr>
          <w:vertAlign w:val="baseline"/>
        </w:rPr>
        <w:t>a</w:t>
      </w:r>
      <w:r>
        <w:rPr>
          <w:spacing w:val="39"/>
          <w:vertAlign w:val="baseline"/>
        </w:rPr>
        <w:t> </w:t>
      </w:r>
      <w:r>
        <w:rPr>
          <w:vertAlign w:val="baseline"/>
        </w:rPr>
        <w:t>major</w:t>
      </w:r>
      <w:r>
        <w:rPr>
          <w:spacing w:val="39"/>
          <w:vertAlign w:val="baseline"/>
        </w:rPr>
        <w:t> </w:t>
      </w:r>
      <w:r>
        <w:rPr>
          <w:vertAlign w:val="baseline"/>
        </w:rPr>
        <w:t>impact</w:t>
      </w:r>
      <w:r>
        <w:rPr>
          <w:spacing w:val="40"/>
          <w:vertAlign w:val="baseline"/>
        </w:rPr>
        <w:t> </w:t>
      </w:r>
      <w:r>
        <w:rPr>
          <w:vertAlign w:val="baseline"/>
        </w:rPr>
        <w:t>on</w:t>
      </w:r>
      <w:r>
        <w:rPr>
          <w:spacing w:val="39"/>
          <w:vertAlign w:val="baseline"/>
        </w:rPr>
        <w:t> </w:t>
      </w:r>
      <w:r>
        <w:rPr>
          <w:vertAlign w:val="baseline"/>
        </w:rPr>
        <w:t>the</w:t>
      </w:r>
      <w:r>
        <w:rPr>
          <w:spacing w:val="40"/>
          <w:vertAlign w:val="baseline"/>
        </w:rPr>
        <w:t> </w:t>
      </w:r>
      <w:r>
        <w:rPr>
          <w:vertAlign w:val="baseline"/>
        </w:rPr>
        <w:t>process</w:t>
      </w:r>
      <w:r>
        <w:rPr>
          <w:spacing w:val="39"/>
          <w:vertAlign w:val="baseline"/>
        </w:rPr>
        <w:t> </w:t>
      </w:r>
      <w:r>
        <w:rPr>
          <w:vertAlign w:val="baseline"/>
        </w:rPr>
        <w:t>of</w:t>
      </w:r>
      <w:r>
        <w:rPr>
          <w:spacing w:val="39"/>
          <w:vertAlign w:val="baseline"/>
        </w:rPr>
        <w:t> </w:t>
      </w:r>
      <w:r>
        <w:rPr>
          <w:vertAlign w:val="baseline"/>
        </w:rPr>
        <w:t>public</w:t>
      </w:r>
      <w:r>
        <w:rPr>
          <w:spacing w:val="40"/>
          <w:vertAlign w:val="baseline"/>
        </w:rPr>
        <w:t> </w:t>
      </w:r>
      <w:r>
        <w:rPr>
          <w:vertAlign w:val="baseline"/>
        </w:rPr>
        <w:t>contracting</w:t>
      </w:r>
      <w:r>
        <w:rPr>
          <w:spacing w:val="38"/>
          <w:vertAlign w:val="baseline"/>
        </w:rPr>
        <w:t> </w:t>
      </w:r>
      <w:r>
        <w:rPr>
          <w:color w:val="005DA1"/>
          <w:u w:val="single" w:color="005DA1"/>
          <w:vertAlign w:val="superscript"/>
        </w:rPr>
        <w:t>67</w:t>
      </w:r>
      <w:r>
        <w:rPr>
          <w:color w:val="005DA1"/>
          <w:spacing w:val="60"/>
          <w:w w:val="150"/>
          <w:vertAlign w:val="baseline"/>
        </w:rPr>
        <w:t>  </w:t>
      </w:r>
      <w:r>
        <w:rPr>
          <w:color w:val="005DA1"/>
          <w:spacing w:val="11"/>
          <w:position w:val="-2"/>
          <w:vertAlign w:val="baseline"/>
        </w:rPr>
        <w:drawing>
          <wp:inline distT="0" distB="0" distL="0" distR="0">
            <wp:extent cx="107988" cy="10798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vertAlign w:val="baseline"/>
        </w:rPr>
        <w:t>;</w:t>
      </w:r>
      <w:r>
        <w:rPr>
          <w:spacing w:val="40"/>
          <w:vertAlign w:val="baseline"/>
        </w:rPr>
        <w:t> </w:t>
      </w:r>
      <w:r>
        <w:rPr>
          <w:vertAlign w:val="baseline"/>
        </w:rPr>
        <w:t>and</w:t>
      </w:r>
      <w:r>
        <w:rPr>
          <w:spacing w:val="39"/>
          <w:vertAlign w:val="baseline"/>
        </w:rPr>
        <w:t> </w:t>
      </w:r>
      <w:r>
        <w:rPr>
          <w:vertAlign w:val="baseline"/>
        </w:rPr>
        <w:t>a</w:t>
      </w:r>
      <w:r>
        <w:rPr>
          <w:spacing w:val="39"/>
          <w:vertAlign w:val="baseline"/>
        </w:rPr>
        <w:t> </w:t>
      </w:r>
      <w:r>
        <w:rPr>
          <w:vertAlign w:val="baseline"/>
        </w:rPr>
        <w:t>series</w:t>
      </w:r>
      <w:r>
        <w:rPr>
          <w:spacing w:val="40"/>
          <w:vertAlign w:val="baseline"/>
        </w:rPr>
        <w:t> </w:t>
      </w:r>
      <w:r>
        <w:rPr>
          <w:spacing w:val="-5"/>
          <w:vertAlign w:val="baseline"/>
        </w:rPr>
        <w:t>of</w:t>
      </w:r>
    </w:p>
    <w:p>
      <w:pPr>
        <w:pStyle w:val="BodyText"/>
        <w:spacing w:line="235" w:lineRule="auto" w:before="3"/>
        <w:ind w:left="165" w:right="166"/>
        <w:jc w:val="both"/>
      </w:pPr>
      <w:r>
        <w:rPr/>
        <w:t>employment directives have created or reshaped rights of employees in a number of ways. </w:t>
      </w:r>
      <w:r>
        <w:rPr>
          <w:color w:val="005DA1"/>
          <w:u w:val="single" w:color="005DA1"/>
          <w:vertAlign w:val="superscript"/>
        </w:rPr>
        <w:t>68</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11"/>
          <w:vertAlign w:val="baseline"/>
        </w:rPr>
        <w:t> </w:t>
      </w:r>
      <w:r>
        <w:rPr>
          <w:vertAlign w:val="baseline"/>
        </w:rPr>
        <w:t>EU </w:t>
      </w:r>
      <w:bookmarkStart w:name="_bookmark114" w:id="116"/>
      <w:bookmarkEnd w:id="116"/>
      <w:r>
        <w:rPr>
          <w:vertAlign w:val="baseline"/>
        </w:rPr>
        <w:t>law</w:t>
      </w:r>
      <w:r>
        <w:rPr>
          <w:spacing w:val="16"/>
          <w:vertAlign w:val="baseline"/>
        </w:rPr>
        <w:t> </w:t>
      </w:r>
      <w:r>
        <w:rPr>
          <w:vertAlign w:val="baseline"/>
        </w:rPr>
        <w:t>instruments</w:t>
      </w:r>
      <w:r>
        <w:rPr>
          <w:spacing w:val="16"/>
          <w:vertAlign w:val="baseline"/>
        </w:rPr>
        <w:t> </w:t>
      </w:r>
      <w:r>
        <w:rPr>
          <w:vertAlign w:val="baseline"/>
        </w:rPr>
        <w:t>have</w:t>
      </w:r>
      <w:r>
        <w:rPr>
          <w:spacing w:val="16"/>
          <w:vertAlign w:val="baseline"/>
        </w:rPr>
        <w:t> </w:t>
      </w:r>
      <w:r>
        <w:rPr>
          <w:vertAlign w:val="baseline"/>
        </w:rPr>
        <w:t>also</w:t>
      </w:r>
      <w:r>
        <w:rPr>
          <w:spacing w:val="16"/>
          <w:vertAlign w:val="baseline"/>
        </w:rPr>
        <w:t> </w:t>
      </w:r>
      <w:r>
        <w:rPr>
          <w:vertAlign w:val="baseline"/>
        </w:rPr>
        <w:t>an</w:t>
      </w:r>
      <w:r>
        <w:rPr>
          <w:spacing w:val="16"/>
          <w:vertAlign w:val="baseline"/>
        </w:rPr>
        <w:t> </w:t>
      </w:r>
      <w:r>
        <w:rPr>
          <w:vertAlign w:val="baseline"/>
        </w:rPr>
        <w:t>important</w:t>
      </w:r>
      <w:r>
        <w:rPr>
          <w:spacing w:val="16"/>
          <w:vertAlign w:val="baseline"/>
        </w:rPr>
        <w:t> </w:t>
      </w:r>
      <w:r>
        <w:rPr>
          <w:vertAlign w:val="baseline"/>
        </w:rPr>
        <w:t>impact</w:t>
      </w:r>
      <w:r>
        <w:rPr>
          <w:spacing w:val="16"/>
          <w:vertAlign w:val="baseline"/>
        </w:rPr>
        <w:t> </w:t>
      </w:r>
      <w:r>
        <w:rPr>
          <w:vertAlign w:val="baseline"/>
        </w:rPr>
        <w:t>on</w:t>
      </w:r>
      <w:r>
        <w:rPr>
          <w:spacing w:val="16"/>
          <w:vertAlign w:val="baseline"/>
        </w:rPr>
        <w:t> </w:t>
      </w:r>
      <w:r>
        <w:rPr>
          <w:vertAlign w:val="baseline"/>
        </w:rPr>
        <w:t>international</w:t>
      </w:r>
      <w:r>
        <w:rPr>
          <w:spacing w:val="16"/>
          <w:vertAlign w:val="baseline"/>
        </w:rPr>
        <w:t> </w:t>
      </w:r>
      <w:r>
        <w:rPr>
          <w:vertAlign w:val="baseline"/>
        </w:rPr>
        <w:t>jurisdiction</w:t>
      </w:r>
      <w:r>
        <w:rPr>
          <w:spacing w:val="16"/>
          <w:vertAlign w:val="baseline"/>
        </w:rPr>
        <w:t> </w:t>
      </w:r>
      <w:r>
        <w:rPr>
          <w:vertAlign w:val="baseline"/>
        </w:rPr>
        <w:t>and</w:t>
      </w:r>
      <w:r>
        <w:rPr>
          <w:spacing w:val="16"/>
          <w:vertAlign w:val="baseline"/>
        </w:rPr>
        <w:t> </w:t>
      </w:r>
      <w:r>
        <w:rPr>
          <w:vertAlign w:val="baseline"/>
        </w:rPr>
        <w:t>applicable</w:t>
      </w:r>
      <w:r>
        <w:rPr>
          <w:spacing w:val="16"/>
          <w:vertAlign w:val="baseline"/>
        </w:rPr>
        <w:t> </w:t>
      </w:r>
      <w:r>
        <w:rPr>
          <w:vertAlign w:val="baseline"/>
        </w:rPr>
        <w:t>law</w:t>
      </w:r>
      <w:r>
        <w:rPr>
          <w:spacing w:val="16"/>
          <w:vertAlign w:val="baseline"/>
        </w:rPr>
        <w:t> </w:t>
      </w:r>
      <w:r>
        <w:rPr>
          <w:vertAlign w:val="baseline"/>
        </w:rPr>
        <w:t>in</w:t>
      </w:r>
      <w:r>
        <w:rPr>
          <w:spacing w:val="16"/>
          <w:vertAlign w:val="baseline"/>
        </w:rPr>
        <w:t> </w:t>
      </w:r>
      <w:r>
        <w:rPr>
          <w:spacing w:val="-5"/>
          <w:vertAlign w:val="baseline"/>
        </w:rPr>
        <w:t>the</w:t>
      </w:r>
    </w:p>
    <w:p>
      <w:pPr>
        <w:pStyle w:val="BodyText"/>
        <w:spacing w:line="235" w:lineRule="auto" w:before="120"/>
        <w:ind w:left="165" w:right="167"/>
        <w:jc w:val="both"/>
      </w:pPr>
      <w:r>
        <w:rPr/>
        <w:t>area of contract law. </w:t>
      </w:r>
      <w:r>
        <w:rPr>
          <w:color w:val="005DA1"/>
          <w:u w:val="single" w:color="005DA1"/>
          <w:vertAlign w:val="superscript"/>
        </w:rPr>
        <w:t>69</w:t>
      </w:r>
      <w:r>
        <w:rPr>
          <w:color w:val="005DA1"/>
          <w:spacing w:val="80"/>
          <w:w w:val="150"/>
          <w:vertAlign w:val="baseline"/>
        </w:rPr>
        <w:t> </w:t>
      </w:r>
      <w:r>
        <w:rPr>
          <w:color w:val="005DA1"/>
          <w:spacing w:val="-28"/>
          <w:position w:val="-2"/>
          <w:vertAlign w:val="baseline"/>
        </w:rPr>
        <w:drawing>
          <wp:inline distT="0" distB="0" distL="0" distR="0">
            <wp:extent cx="107988" cy="10798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8"/>
          <w:position w:val="-2"/>
          <w:vertAlign w:val="baseline"/>
        </w:rPr>
      </w:r>
      <w:r>
        <w:rPr>
          <w:rFonts w:ascii="Times New Roman"/>
          <w:color w:val="005DA1"/>
          <w:spacing w:val="40"/>
          <w:vertAlign w:val="baseline"/>
        </w:rPr>
        <w:t> </w:t>
      </w:r>
      <w:r>
        <w:rPr>
          <w:vertAlign w:val="baseline"/>
        </w:rPr>
        <w:t>This catalogue illustrates, however, that EU legislation </w:t>
      </w:r>
      <w:r>
        <w:rPr>
          <w:vertAlign w:val="baseline"/>
        </w:rPr>
        <w:t>harmonising contract law has hitherto remained piecemeal, targeting particular situations or particular aspects of the rules governing contracts.</w:t>
      </w:r>
    </w:p>
    <w:p>
      <w:pPr>
        <w:pStyle w:val="BodyText"/>
      </w:pPr>
    </w:p>
    <w:p>
      <w:pPr>
        <w:pStyle w:val="BodyText"/>
        <w:spacing w:before="37"/>
      </w:pPr>
    </w:p>
    <w:p>
      <w:pPr>
        <w:spacing w:before="0"/>
        <w:ind w:left="165" w:right="0" w:firstLine="0"/>
        <w:jc w:val="both"/>
        <w:rPr>
          <w:rFonts w:ascii="Arial" w:hAnsi="Arial"/>
          <w:b/>
          <w:sz w:val="18"/>
        </w:rPr>
      </w:pPr>
      <w:r>
        <w:rPr>
          <w:rFonts w:ascii="Arial" w:hAnsi="Arial"/>
          <w:b/>
          <w:sz w:val="18"/>
        </w:rPr>
        <w:t>Towards a “European Contract </w:t>
      </w:r>
      <w:r>
        <w:rPr>
          <w:rFonts w:ascii="Arial" w:hAnsi="Arial"/>
          <w:b/>
          <w:spacing w:val="-2"/>
          <w:sz w:val="18"/>
        </w:rPr>
        <w:t>Law”?</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012</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By the late 1990s, there was growing academic interest in the development of a more general “European contract law” kindled in part by the Lando Commission’s Principles of European </w:t>
      </w:r>
      <w:r>
        <w:rPr/>
        <w:t>Contract </w:t>
      </w:r>
      <w:bookmarkStart w:name="_bookmark115" w:id="117"/>
      <w:bookmarkEnd w:id="117"/>
      <w:r>
        <w:rPr/>
        <w:t>Law</w:t>
      </w:r>
      <w:r>
        <w:rPr>
          <w:spacing w:val="1"/>
        </w:rPr>
        <w:t> </w:t>
      </w:r>
      <w:r>
        <w:rPr/>
        <w:t>(a</w:t>
      </w:r>
      <w:r>
        <w:rPr>
          <w:spacing w:val="1"/>
        </w:rPr>
        <w:t> </w:t>
      </w:r>
      <w:r>
        <w:rPr/>
        <w:t>set</w:t>
      </w:r>
      <w:r>
        <w:rPr>
          <w:spacing w:val="1"/>
        </w:rPr>
        <w:t> </w:t>
      </w:r>
      <w:r>
        <w:rPr/>
        <w:t>of</w:t>
      </w:r>
      <w:r>
        <w:rPr>
          <w:spacing w:val="1"/>
        </w:rPr>
        <w:t> </w:t>
      </w:r>
      <w:r>
        <w:rPr/>
        <w:t>legal</w:t>
      </w:r>
      <w:r>
        <w:rPr>
          <w:spacing w:val="1"/>
        </w:rPr>
        <w:t> </w:t>
      </w:r>
      <w:r>
        <w:rPr/>
        <w:t>propositions</w:t>
      </w:r>
      <w:r>
        <w:rPr>
          <w:spacing w:val="1"/>
        </w:rPr>
        <w:t> </w:t>
      </w:r>
      <w:r>
        <w:rPr/>
        <w:t>relating</w:t>
      </w:r>
      <w:r>
        <w:rPr>
          <w:spacing w:val="1"/>
        </w:rPr>
        <w:t> </w:t>
      </w:r>
      <w:r>
        <w:rPr/>
        <w:t>to</w:t>
      </w:r>
      <w:r>
        <w:rPr>
          <w:spacing w:val="1"/>
        </w:rPr>
        <w:t> </w:t>
      </w:r>
      <w:r>
        <w:rPr/>
        <w:t>the</w:t>
      </w:r>
      <w:r>
        <w:rPr>
          <w:spacing w:val="1"/>
        </w:rPr>
        <w:t> </w:t>
      </w:r>
      <w:r>
        <w:rPr/>
        <w:t>conclusion,</w:t>
      </w:r>
      <w:r>
        <w:rPr>
          <w:spacing w:val="1"/>
        </w:rPr>
        <w:t> </w:t>
      </w:r>
      <w:r>
        <w:rPr/>
        <w:t>content,</w:t>
      </w:r>
      <w:r>
        <w:rPr>
          <w:spacing w:val="1"/>
        </w:rPr>
        <w:t> </w:t>
      </w:r>
      <w:r>
        <w:rPr/>
        <w:t>performance</w:t>
      </w:r>
      <w:r>
        <w:rPr>
          <w:spacing w:val="1"/>
        </w:rPr>
        <w:t> </w:t>
      </w:r>
      <w:r>
        <w:rPr/>
        <w:t>and</w:t>
      </w:r>
      <w:r>
        <w:rPr>
          <w:spacing w:val="1"/>
        </w:rPr>
        <w:t> </w:t>
      </w:r>
      <w:r>
        <w:rPr/>
        <w:t>non-</w:t>
      </w:r>
      <w:r>
        <w:rPr>
          <w:spacing w:val="-2"/>
        </w:rPr>
        <w:t>performance</w:t>
      </w:r>
    </w:p>
    <w:p>
      <w:pPr>
        <w:pStyle w:val="BodyText"/>
        <w:spacing w:line="235" w:lineRule="auto" w:before="119"/>
        <w:ind w:left="165" w:right="167"/>
        <w:jc w:val="both"/>
      </w:pPr>
      <w:r>
        <w:rPr/>
        <w:t>of contracts agreed by a group of European legal scholars </w:t>
      </w:r>
      <w:r>
        <w:rPr>
          <w:color w:val="005DA1"/>
          <w:u w:val="single" w:color="005DA1"/>
          <w:vertAlign w:val="superscript"/>
        </w:rPr>
        <w:t>70</w:t>
      </w:r>
      <w:r>
        <w:rPr>
          <w:color w:val="005DA1"/>
          <w:spacing w:val="80"/>
          <w:w w:val="150"/>
          <w:vertAlign w:val="baseline"/>
        </w:rPr>
        <w:t> </w:t>
      </w:r>
      <w:r>
        <w:rPr>
          <w:color w:val="005DA1"/>
          <w:spacing w:val="-17"/>
          <w:position w:val="-2"/>
          <w:vertAlign w:val="baseline"/>
        </w:rPr>
        <w:drawing>
          <wp:inline distT="0" distB="0" distL="0" distR="0">
            <wp:extent cx="107988" cy="10798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vertAlign w:val="baseline"/>
        </w:rPr>
        <w:t>) and in part by growing criticism </w:t>
      </w:r>
      <w:r>
        <w:rPr>
          <w:vertAlign w:val="baseline"/>
        </w:rPr>
        <w:t>of </w:t>
      </w:r>
      <w:bookmarkStart w:name="_bookmark116" w:id="118"/>
      <w:bookmarkEnd w:id="118"/>
      <w:r>
        <w:rPr>
          <w:vertAlign w:val="baseline"/>
        </w:rPr>
        <w:t>the</w:t>
      </w:r>
      <w:r>
        <w:rPr>
          <w:spacing w:val="51"/>
          <w:vertAlign w:val="baseline"/>
        </w:rPr>
        <w:t> </w:t>
      </w:r>
      <w:r>
        <w:rPr>
          <w:vertAlign w:val="baseline"/>
        </w:rPr>
        <w:t>“incoherence”</w:t>
      </w:r>
      <w:r>
        <w:rPr>
          <w:spacing w:val="51"/>
          <w:vertAlign w:val="baseline"/>
        </w:rPr>
        <w:t> </w:t>
      </w:r>
      <w:r>
        <w:rPr>
          <w:vertAlign w:val="baseline"/>
        </w:rPr>
        <w:t>of</w:t>
      </w:r>
      <w:r>
        <w:rPr>
          <w:spacing w:val="51"/>
          <w:vertAlign w:val="baseline"/>
        </w:rPr>
        <w:t> </w:t>
      </w:r>
      <w:r>
        <w:rPr>
          <w:vertAlign w:val="baseline"/>
        </w:rPr>
        <w:t>the</w:t>
      </w:r>
      <w:r>
        <w:rPr>
          <w:spacing w:val="51"/>
          <w:vertAlign w:val="baseline"/>
        </w:rPr>
        <w:t> </w:t>
      </w:r>
      <w:r>
        <w:rPr>
          <w:vertAlign w:val="baseline"/>
        </w:rPr>
        <w:t>EC</w:t>
      </w:r>
      <w:r>
        <w:rPr>
          <w:spacing w:val="51"/>
          <w:vertAlign w:val="baseline"/>
        </w:rPr>
        <w:t> </w:t>
      </w:r>
      <w:r>
        <w:rPr>
          <w:vertAlign w:val="baseline"/>
        </w:rPr>
        <w:t>contract</w:t>
      </w:r>
      <w:r>
        <w:rPr>
          <w:spacing w:val="51"/>
          <w:vertAlign w:val="baseline"/>
        </w:rPr>
        <w:t> </w:t>
      </w:r>
      <w:r>
        <w:rPr>
          <w:vertAlign w:val="baseline"/>
        </w:rPr>
        <w:t>law</w:t>
      </w:r>
      <w:r>
        <w:rPr>
          <w:spacing w:val="51"/>
          <w:vertAlign w:val="baseline"/>
        </w:rPr>
        <w:t> </w:t>
      </w:r>
      <w:r>
        <w:rPr>
          <w:vertAlign w:val="baseline"/>
        </w:rPr>
        <w:t>acquis</w:t>
      </w:r>
      <w:r>
        <w:rPr>
          <w:spacing w:val="51"/>
          <w:vertAlign w:val="baseline"/>
        </w:rPr>
        <w:t> </w:t>
      </w:r>
      <w:r>
        <w:rPr>
          <w:vertAlign w:val="baseline"/>
        </w:rPr>
        <w:t>which</w:t>
      </w:r>
      <w:r>
        <w:rPr>
          <w:spacing w:val="51"/>
          <w:vertAlign w:val="baseline"/>
        </w:rPr>
        <w:t> </w:t>
      </w:r>
      <w:r>
        <w:rPr>
          <w:vertAlign w:val="baseline"/>
        </w:rPr>
        <w:t>for</w:t>
      </w:r>
      <w:r>
        <w:rPr>
          <w:spacing w:val="51"/>
          <w:vertAlign w:val="baseline"/>
        </w:rPr>
        <w:t> </w:t>
      </w:r>
      <w:r>
        <w:rPr>
          <w:vertAlign w:val="baseline"/>
        </w:rPr>
        <w:t>continental</w:t>
      </w:r>
      <w:r>
        <w:rPr>
          <w:spacing w:val="51"/>
          <w:vertAlign w:val="baseline"/>
        </w:rPr>
        <w:t> </w:t>
      </w:r>
      <w:r>
        <w:rPr>
          <w:vertAlign w:val="baseline"/>
        </w:rPr>
        <w:t>civil</w:t>
      </w:r>
      <w:r>
        <w:rPr>
          <w:spacing w:val="51"/>
          <w:vertAlign w:val="baseline"/>
        </w:rPr>
        <w:t> </w:t>
      </w:r>
      <w:r>
        <w:rPr>
          <w:vertAlign w:val="baseline"/>
        </w:rPr>
        <w:t>lawyers</w:t>
      </w:r>
      <w:r>
        <w:rPr>
          <w:spacing w:val="51"/>
          <w:vertAlign w:val="baseline"/>
        </w:rPr>
        <w:t> </w:t>
      </w:r>
      <w:r>
        <w:rPr>
          <w:vertAlign w:val="baseline"/>
        </w:rPr>
        <w:t>in</w:t>
      </w:r>
      <w:r>
        <w:rPr>
          <w:spacing w:val="51"/>
          <w:vertAlign w:val="baseline"/>
        </w:rPr>
        <w:t> </w:t>
      </w:r>
      <w:r>
        <w:rPr>
          <w:spacing w:val="-2"/>
          <w:vertAlign w:val="baseline"/>
        </w:rPr>
        <w:t>particular</w:t>
      </w:r>
    </w:p>
    <w:p>
      <w:pPr>
        <w:pStyle w:val="BodyText"/>
        <w:spacing w:before="115"/>
        <w:ind w:left="165"/>
        <w:jc w:val="both"/>
        <w:rPr>
          <w:position w:val="-2"/>
        </w:rPr>
      </w:pPr>
      <w:bookmarkStart w:name="_bookmark117" w:id="119"/>
      <w:bookmarkEnd w:id="119"/>
      <w:r>
        <w:rPr/>
      </w:r>
      <w:r>
        <w:rPr/>
        <w:t>contrasts</w:t>
      </w:r>
      <w:r>
        <w:rPr>
          <w:spacing w:val="40"/>
        </w:rPr>
        <w:t> </w:t>
      </w:r>
      <w:r>
        <w:rPr/>
        <w:t>sharply</w:t>
      </w:r>
      <w:r>
        <w:rPr>
          <w:spacing w:val="40"/>
        </w:rPr>
        <w:t> </w:t>
      </w:r>
      <w:r>
        <w:rPr/>
        <w:t>with</w:t>
      </w:r>
      <w:r>
        <w:rPr>
          <w:spacing w:val="40"/>
        </w:rPr>
        <w:t> </w:t>
      </w:r>
      <w:r>
        <w:rPr/>
        <w:t>the</w:t>
      </w:r>
      <w:r>
        <w:rPr>
          <w:spacing w:val="40"/>
        </w:rPr>
        <w:t> </w:t>
      </w:r>
      <w:r>
        <w:rPr/>
        <w:t>formal</w:t>
      </w:r>
      <w:r>
        <w:rPr>
          <w:spacing w:val="40"/>
        </w:rPr>
        <w:t> </w:t>
      </w:r>
      <w:r>
        <w:rPr/>
        <w:t>completeness</w:t>
      </w:r>
      <w:r>
        <w:rPr>
          <w:spacing w:val="40"/>
        </w:rPr>
        <w:t> </w:t>
      </w:r>
      <w:r>
        <w:rPr/>
        <w:t>of</w:t>
      </w:r>
      <w:r>
        <w:rPr>
          <w:spacing w:val="40"/>
        </w:rPr>
        <w:t> </w:t>
      </w:r>
      <w:r>
        <w:rPr/>
        <w:t>their</w:t>
      </w:r>
      <w:r>
        <w:rPr>
          <w:spacing w:val="40"/>
        </w:rPr>
        <w:t> </w:t>
      </w:r>
      <w:r>
        <w:rPr/>
        <w:t>national</w:t>
      </w:r>
      <w:r>
        <w:rPr>
          <w:spacing w:val="40"/>
        </w:rPr>
        <w:t> </w:t>
      </w:r>
      <w:r>
        <w:rPr/>
        <w:t>private</w:t>
      </w:r>
      <w:r>
        <w:rPr>
          <w:spacing w:val="40"/>
        </w:rPr>
        <w:t> </w:t>
      </w:r>
      <w:r>
        <w:rPr/>
        <w:t>law</w:t>
      </w:r>
      <w:r>
        <w:rPr>
          <w:spacing w:val="40"/>
        </w:rPr>
        <w:t> </w:t>
      </w:r>
      <w:r>
        <w:rPr/>
        <w:t>codifications.</w:t>
      </w:r>
      <w:r>
        <w:rPr>
          <w:spacing w:val="40"/>
        </w:rPr>
        <w:t> </w:t>
      </w:r>
      <w:r>
        <w:rPr>
          <w:color w:val="005DA1"/>
          <w:u w:val="single" w:color="005DA1"/>
          <w:vertAlign w:val="superscript"/>
        </w:rPr>
        <w:t>71</w:t>
      </w:r>
      <w:r>
        <w:rPr>
          <w:color w:val="005DA1"/>
          <w:spacing w:val="80"/>
          <w:w w:val="150"/>
          <w:vertAlign w:val="baseline"/>
        </w:rPr>
        <w:t>  </w:t>
      </w:r>
      <w:r>
        <w:rPr>
          <w:color w:val="005DA1"/>
          <w:spacing w:val="26"/>
          <w:position w:val="-2"/>
          <w:vertAlign w:val="baseline"/>
        </w:rPr>
        <w:drawing>
          <wp:inline distT="0" distB="0" distL="0" distR="0">
            <wp:extent cx="107988" cy="10798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p>
    <w:p>
      <w:pPr>
        <w:pStyle w:val="BodyText"/>
        <w:spacing w:before="115"/>
        <w:ind w:left="165"/>
        <w:jc w:val="both"/>
      </w:pPr>
      <w:bookmarkStart w:name="_bookmark118" w:id="120"/>
      <w:bookmarkEnd w:id="120"/>
      <w:r>
        <w:rPr/>
      </w:r>
      <w:r>
        <w:rPr/>
        <w:t>Encouraged</w:t>
      </w:r>
      <w:r>
        <w:rPr>
          <w:spacing w:val="-1"/>
        </w:rPr>
        <w:t> </w:t>
      </w:r>
      <w:r>
        <w:rPr/>
        <w:t>by</w:t>
      </w:r>
      <w:r>
        <w:rPr>
          <w:spacing w:val="-1"/>
        </w:rPr>
        <w:t> </w:t>
      </w:r>
      <w:r>
        <w:rPr/>
        <w:t>the conclusions</w:t>
      </w:r>
      <w:r>
        <w:rPr>
          <w:spacing w:val="-1"/>
        </w:rPr>
        <w:t> </w:t>
      </w:r>
      <w:r>
        <w:rPr/>
        <w:t>of</w:t>
      </w:r>
      <w:r>
        <w:rPr>
          <w:spacing w:val="-1"/>
        </w:rPr>
        <w:t> </w:t>
      </w:r>
      <w:r>
        <w:rPr/>
        <w:t>the meeting</w:t>
      </w:r>
      <w:r>
        <w:rPr>
          <w:spacing w:val="-1"/>
        </w:rPr>
        <w:t> </w:t>
      </w:r>
      <w:r>
        <w:rPr/>
        <w:t>of the</w:t>
      </w:r>
      <w:r>
        <w:rPr>
          <w:spacing w:val="-1"/>
        </w:rPr>
        <w:t> </w:t>
      </w:r>
      <w:r>
        <w:rPr/>
        <w:t>European</w:t>
      </w:r>
      <w:r>
        <w:rPr>
          <w:spacing w:val="-1"/>
        </w:rPr>
        <w:t> </w:t>
      </w:r>
      <w:r>
        <w:rPr/>
        <w:t>Council at</w:t>
      </w:r>
      <w:r>
        <w:rPr>
          <w:spacing w:val="-1"/>
        </w:rPr>
        <w:t> </w:t>
      </w:r>
      <w:r>
        <w:rPr/>
        <w:t>Tampere in</w:t>
      </w:r>
      <w:r>
        <w:rPr>
          <w:spacing w:val="-1"/>
        </w:rPr>
        <w:t> </w:t>
      </w:r>
      <w:r>
        <w:rPr/>
        <w:t>1999</w:t>
      </w:r>
      <w:r>
        <w:rPr>
          <w:spacing w:val="-2"/>
        </w:rPr>
        <w:t> </w:t>
      </w:r>
      <w:r>
        <w:rPr>
          <w:color w:val="005DA1"/>
          <w:u w:val="single" w:color="005DA1"/>
          <w:vertAlign w:val="superscript"/>
        </w:rPr>
        <w:t>72</w:t>
      </w:r>
      <w:r>
        <w:rPr>
          <w:color w:val="005DA1"/>
          <w:spacing w:val="27"/>
          <w:vertAlign w:val="baseline"/>
        </w:rPr>
        <w:t>  </w:t>
      </w:r>
      <w:r>
        <w:rPr>
          <w:color w:val="005DA1"/>
          <w:spacing w:val="1"/>
          <w:position w:val="-2"/>
          <w:vertAlign w:val="baseline"/>
        </w:rPr>
        <w:drawing>
          <wp:inline distT="0" distB="0" distL="0" distR="0">
            <wp:extent cx="107988" cy="10798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4"/>
          <w:vertAlign w:val="baseline"/>
        </w:rPr>
        <w:t> </w:t>
      </w:r>
      <w:r>
        <w:rPr>
          <w:spacing w:val="-5"/>
          <w:vertAlign w:val="baseline"/>
        </w:rPr>
        <w:t>and</w:t>
      </w:r>
    </w:p>
    <w:p>
      <w:pPr>
        <w:pStyle w:val="BodyText"/>
        <w:spacing w:after="0"/>
        <w:jc w:val="both"/>
        <w:sectPr>
          <w:pgSz w:w="11900" w:h="16840"/>
          <w:pgMar w:header="971" w:footer="0" w:top="1300" w:bottom="280" w:left="1275" w:right="1275"/>
        </w:sectPr>
      </w:pPr>
    </w:p>
    <w:p>
      <w:pPr>
        <w:pStyle w:val="BodyText"/>
      </w:pPr>
    </w:p>
    <w:p>
      <w:pPr>
        <w:pStyle w:val="BodyText"/>
        <w:spacing w:line="235" w:lineRule="auto"/>
        <w:ind w:left="165" w:right="167"/>
        <w:jc w:val="both"/>
      </w:pPr>
      <w:r>
        <w:rPr>
          <w:position w:val="-2"/>
        </w:rPr>
        <w:drawing>
          <wp:inline distT="0" distB="0" distL="0" distR="0">
            <wp:extent cx="107988" cy="10798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in 2001 the European Commission issued the first of a series of communications which called for </w:t>
      </w:r>
      <w:r>
        <w:rPr/>
        <w:t>a </w:t>
      </w:r>
      <w:bookmarkStart w:name="_bookmark119" w:id="121"/>
      <w:bookmarkEnd w:id="121"/>
      <w:r>
        <w:rPr/>
        <w:t>debate</w:t>
      </w:r>
      <w:r>
        <w:rPr>
          <w:spacing w:val="41"/>
        </w:rPr>
        <w:t> </w:t>
      </w:r>
      <w:r>
        <w:rPr/>
        <w:t>as</w:t>
      </w:r>
      <w:r>
        <w:rPr>
          <w:spacing w:val="41"/>
        </w:rPr>
        <w:t> </w:t>
      </w:r>
      <w:r>
        <w:rPr/>
        <w:t>to</w:t>
      </w:r>
      <w:r>
        <w:rPr>
          <w:spacing w:val="41"/>
        </w:rPr>
        <w:t> </w:t>
      </w:r>
      <w:r>
        <w:rPr/>
        <w:t>the</w:t>
      </w:r>
      <w:r>
        <w:rPr>
          <w:spacing w:val="41"/>
        </w:rPr>
        <w:t> </w:t>
      </w:r>
      <w:r>
        <w:rPr/>
        <w:t>proper</w:t>
      </w:r>
      <w:r>
        <w:rPr>
          <w:spacing w:val="41"/>
        </w:rPr>
        <w:t> </w:t>
      </w:r>
      <w:r>
        <w:rPr/>
        <w:t>way</w:t>
      </w:r>
      <w:r>
        <w:rPr>
          <w:spacing w:val="41"/>
        </w:rPr>
        <w:t> </w:t>
      </w:r>
      <w:r>
        <w:rPr/>
        <w:t>of</w:t>
      </w:r>
      <w:r>
        <w:rPr>
          <w:spacing w:val="41"/>
        </w:rPr>
        <w:t> </w:t>
      </w:r>
      <w:r>
        <w:rPr/>
        <w:t>addressing</w:t>
      </w:r>
      <w:r>
        <w:rPr>
          <w:spacing w:val="41"/>
        </w:rPr>
        <w:t> </w:t>
      </w:r>
      <w:r>
        <w:rPr/>
        <w:t>these</w:t>
      </w:r>
      <w:r>
        <w:rPr>
          <w:spacing w:val="41"/>
        </w:rPr>
        <w:t> </w:t>
      </w:r>
      <w:r>
        <w:rPr/>
        <w:t>criticisms</w:t>
      </w:r>
      <w:r>
        <w:rPr>
          <w:spacing w:val="41"/>
        </w:rPr>
        <w:t> </w:t>
      </w:r>
      <w:r>
        <w:rPr/>
        <w:t>of</w:t>
      </w:r>
      <w:r>
        <w:rPr>
          <w:spacing w:val="41"/>
        </w:rPr>
        <w:t> </w:t>
      </w:r>
      <w:r>
        <w:rPr/>
        <w:t>European</w:t>
      </w:r>
      <w:r>
        <w:rPr>
          <w:spacing w:val="41"/>
        </w:rPr>
        <w:t> </w:t>
      </w:r>
      <w:r>
        <w:rPr/>
        <w:t>contract</w:t>
      </w:r>
      <w:r>
        <w:rPr>
          <w:spacing w:val="41"/>
        </w:rPr>
        <w:t> </w:t>
      </w:r>
      <w:r>
        <w:rPr/>
        <w:t>law</w:t>
      </w:r>
      <w:r>
        <w:rPr>
          <w:spacing w:val="41"/>
        </w:rPr>
        <w:t> </w:t>
      </w:r>
      <w:r>
        <w:rPr/>
        <w:t>and</w:t>
      </w:r>
      <w:r>
        <w:rPr>
          <w:spacing w:val="41"/>
        </w:rPr>
        <w:t> </w:t>
      </w:r>
      <w:r>
        <w:rPr>
          <w:spacing w:val="-2"/>
        </w:rPr>
        <w:t>which</w:t>
      </w:r>
    </w:p>
    <w:p>
      <w:pPr>
        <w:pStyle w:val="BodyText"/>
        <w:spacing w:line="235" w:lineRule="auto" w:before="119"/>
        <w:ind w:left="165" w:right="167"/>
        <w:jc w:val="both"/>
      </w:pPr>
      <w:r>
        <w:rPr/>
        <w:t>sought</w:t>
      </w:r>
      <w:r>
        <w:rPr>
          <w:spacing w:val="-1"/>
        </w:rPr>
        <w:t> </w:t>
      </w:r>
      <w:r>
        <w:rPr/>
        <w:t>to</w:t>
      </w:r>
      <w:r>
        <w:rPr>
          <w:spacing w:val="-1"/>
        </w:rPr>
        <w:t> </w:t>
      </w:r>
      <w:r>
        <w:rPr/>
        <w:t>encourage</w:t>
      </w:r>
      <w:r>
        <w:rPr>
          <w:spacing w:val="-1"/>
        </w:rPr>
        <w:t> </w:t>
      </w:r>
      <w:r>
        <w:rPr/>
        <w:t>means</w:t>
      </w:r>
      <w:r>
        <w:rPr>
          <w:spacing w:val="-1"/>
        </w:rPr>
        <w:t> </w:t>
      </w:r>
      <w:r>
        <w:rPr/>
        <w:t>of</w:t>
      </w:r>
      <w:r>
        <w:rPr>
          <w:spacing w:val="-1"/>
        </w:rPr>
        <w:t> </w:t>
      </w:r>
      <w:r>
        <w:rPr/>
        <w:t>developing</w:t>
      </w:r>
      <w:r>
        <w:rPr>
          <w:spacing w:val="-1"/>
        </w:rPr>
        <w:t> </w:t>
      </w:r>
      <w:r>
        <w:rPr/>
        <w:t>its</w:t>
      </w:r>
      <w:r>
        <w:rPr>
          <w:spacing w:val="-1"/>
        </w:rPr>
        <w:t> </w:t>
      </w:r>
      <w:r>
        <w:rPr/>
        <w:t>usefulness</w:t>
      </w:r>
      <w:r>
        <w:rPr>
          <w:spacing w:val="-1"/>
        </w:rPr>
        <w:t> </w:t>
      </w:r>
      <w:r>
        <w:rPr/>
        <w:t>for</w:t>
      </w:r>
      <w:r>
        <w:rPr>
          <w:spacing w:val="-1"/>
        </w:rPr>
        <w:t> </w:t>
      </w:r>
      <w:r>
        <w:rPr/>
        <w:t>the</w:t>
      </w:r>
      <w:r>
        <w:rPr>
          <w:spacing w:val="-1"/>
        </w:rPr>
        <w:t> </w:t>
      </w:r>
      <w:r>
        <w:rPr/>
        <w:t>internal</w:t>
      </w:r>
      <w:r>
        <w:rPr>
          <w:spacing w:val="-1"/>
        </w:rPr>
        <w:t> </w:t>
      </w:r>
      <w:r>
        <w:rPr/>
        <w:t>market.</w:t>
      </w:r>
      <w:r>
        <w:rPr>
          <w:spacing w:val="-2"/>
        </w:rPr>
        <w:t> </w:t>
      </w:r>
      <w:r>
        <w:rPr>
          <w:color w:val="005DA1"/>
          <w:u w:val="single" w:color="005DA1"/>
          <w:vertAlign w:val="superscript"/>
        </w:rPr>
        <w:t>74</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1"/>
          <w:vertAlign w:val="baseline"/>
        </w:rPr>
        <w:t> </w:t>
      </w:r>
      <w:r>
        <w:rPr>
          <w:vertAlign w:val="baseline"/>
        </w:rPr>
        <w:t>In</w:t>
      </w:r>
      <w:r>
        <w:rPr>
          <w:spacing w:val="-1"/>
          <w:vertAlign w:val="baseline"/>
        </w:rPr>
        <w:t> </w:t>
      </w:r>
      <w:r>
        <w:rPr>
          <w:vertAlign w:val="baseline"/>
        </w:rPr>
        <w:t>2008,</w:t>
      </w:r>
      <w:r>
        <w:rPr>
          <w:spacing w:val="-1"/>
          <w:vertAlign w:val="baseline"/>
        </w:rPr>
        <w:t> </w:t>
      </w:r>
      <w:r>
        <w:rPr>
          <w:vertAlign w:val="baseline"/>
        </w:rPr>
        <w:t>further </w:t>
      </w:r>
      <w:bookmarkStart w:name="_bookmark120" w:id="122"/>
      <w:bookmarkEnd w:id="122"/>
      <w:r>
        <w:rPr>
          <w:vertAlign w:val="baseline"/>
        </w:rPr>
        <w:t>academic</w:t>
      </w:r>
      <w:r>
        <w:rPr>
          <w:spacing w:val="16"/>
          <w:vertAlign w:val="baseline"/>
        </w:rPr>
        <w:t> </w:t>
      </w:r>
      <w:r>
        <w:rPr>
          <w:vertAlign w:val="baseline"/>
        </w:rPr>
        <w:t>work</w:t>
      </w:r>
      <w:r>
        <w:rPr>
          <w:spacing w:val="16"/>
          <w:vertAlign w:val="baseline"/>
        </w:rPr>
        <w:t> </w:t>
      </w:r>
      <w:r>
        <w:rPr>
          <w:vertAlign w:val="baseline"/>
        </w:rPr>
        <w:t>was</w:t>
      </w:r>
      <w:r>
        <w:rPr>
          <w:spacing w:val="16"/>
          <w:vertAlign w:val="baseline"/>
        </w:rPr>
        <w:t> </w:t>
      </w:r>
      <w:r>
        <w:rPr>
          <w:vertAlign w:val="baseline"/>
        </w:rPr>
        <w:t>published</w:t>
      </w:r>
      <w:r>
        <w:rPr>
          <w:spacing w:val="16"/>
          <w:vertAlign w:val="baseline"/>
        </w:rPr>
        <w:t> </w:t>
      </w:r>
      <w:r>
        <w:rPr>
          <w:vertAlign w:val="baseline"/>
        </w:rPr>
        <w:t>which</w:t>
      </w:r>
      <w:r>
        <w:rPr>
          <w:spacing w:val="16"/>
          <w:vertAlign w:val="baseline"/>
        </w:rPr>
        <w:t> </w:t>
      </w:r>
      <w:r>
        <w:rPr>
          <w:vertAlign w:val="baseline"/>
        </w:rPr>
        <w:t>proposed,</w:t>
      </w:r>
      <w:r>
        <w:rPr>
          <w:spacing w:val="16"/>
          <w:vertAlign w:val="baseline"/>
        </w:rPr>
        <w:t> </w:t>
      </w:r>
      <w:r>
        <w:rPr>
          <w:vertAlign w:val="baseline"/>
        </w:rPr>
        <w:t>inter</w:t>
      </w:r>
      <w:r>
        <w:rPr>
          <w:spacing w:val="16"/>
          <w:vertAlign w:val="baseline"/>
        </w:rPr>
        <w:t> </w:t>
      </w:r>
      <w:r>
        <w:rPr>
          <w:vertAlign w:val="baseline"/>
        </w:rPr>
        <w:t>alia,</w:t>
      </w:r>
      <w:r>
        <w:rPr>
          <w:spacing w:val="16"/>
          <w:vertAlign w:val="baseline"/>
        </w:rPr>
        <w:t> </w:t>
      </w:r>
      <w:r>
        <w:rPr>
          <w:vertAlign w:val="baseline"/>
        </w:rPr>
        <w:t>a</w:t>
      </w:r>
      <w:r>
        <w:rPr>
          <w:spacing w:val="16"/>
          <w:vertAlign w:val="baseline"/>
        </w:rPr>
        <w:t> </w:t>
      </w:r>
      <w:r>
        <w:rPr>
          <w:vertAlign w:val="baseline"/>
        </w:rPr>
        <w:t>draft</w:t>
      </w:r>
      <w:r>
        <w:rPr>
          <w:spacing w:val="16"/>
          <w:vertAlign w:val="baseline"/>
        </w:rPr>
        <w:t> </w:t>
      </w:r>
      <w:r>
        <w:rPr>
          <w:vertAlign w:val="baseline"/>
        </w:rPr>
        <w:t>“Common</w:t>
      </w:r>
      <w:r>
        <w:rPr>
          <w:spacing w:val="16"/>
          <w:vertAlign w:val="baseline"/>
        </w:rPr>
        <w:t> </w:t>
      </w:r>
      <w:r>
        <w:rPr>
          <w:vertAlign w:val="baseline"/>
        </w:rPr>
        <w:t>Frame</w:t>
      </w:r>
      <w:r>
        <w:rPr>
          <w:spacing w:val="16"/>
          <w:vertAlign w:val="baseline"/>
        </w:rPr>
        <w:t> </w:t>
      </w:r>
      <w:r>
        <w:rPr>
          <w:vertAlign w:val="baseline"/>
        </w:rPr>
        <w:t>of</w:t>
      </w:r>
      <w:r>
        <w:rPr>
          <w:spacing w:val="16"/>
          <w:vertAlign w:val="baseline"/>
        </w:rPr>
        <w:t> </w:t>
      </w:r>
      <w:r>
        <w:rPr>
          <w:vertAlign w:val="baseline"/>
        </w:rPr>
        <w:t>Reference”</w:t>
      </w:r>
      <w:r>
        <w:rPr>
          <w:spacing w:val="16"/>
          <w:vertAlign w:val="baseline"/>
        </w:rPr>
        <w:t> </w:t>
      </w:r>
      <w:r>
        <w:rPr>
          <w:spacing w:val="-5"/>
          <w:vertAlign w:val="baseline"/>
        </w:rPr>
        <w:t>for</w:t>
      </w:r>
    </w:p>
    <w:p>
      <w:pPr>
        <w:pStyle w:val="BodyText"/>
        <w:spacing w:before="10"/>
      </w:pPr>
    </w:p>
    <w:p>
      <w:pPr>
        <w:pStyle w:val="BodyText"/>
        <w:spacing w:line="235" w:lineRule="auto"/>
        <w:ind w:left="165" w:right="167"/>
        <w:jc w:val="both"/>
      </w:pPr>
      <w:bookmarkStart w:name="_bookmark121" w:id="123"/>
      <w:bookmarkEnd w:id="123"/>
      <w:r>
        <w:rPr/>
      </w:r>
      <w:r>
        <w:rPr/>
        <w:t>European contract law. </w:t>
      </w:r>
      <w:r>
        <w:rPr>
          <w:color w:val="005DA1"/>
          <w:u w:val="single" w:color="005DA1"/>
          <w:vertAlign w:val="superscript"/>
        </w:rPr>
        <w:t>75</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13"/>
          <w:vertAlign w:val="baseline"/>
        </w:rPr>
        <w:t> </w:t>
      </w:r>
      <w:r>
        <w:rPr>
          <w:vertAlign w:val="baseline"/>
        </w:rPr>
        <w:t>There have been two expressions of these discussions. </w:t>
      </w:r>
      <w:r>
        <w:rPr>
          <w:color w:val="005DA1"/>
          <w:u w:val="single" w:color="005DA1"/>
          <w:vertAlign w:val="superscript"/>
        </w:rPr>
        <w:t>76</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13"/>
          <w:vertAlign w:val="baseline"/>
        </w:rPr>
        <w:t> </w:t>
      </w:r>
      <w:r>
        <w:rPr>
          <w:vertAlign w:val="baseline"/>
        </w:rPr>
        <w:t>First, some directives of the consumer acquis have been revised and, of these, some made the subject </w:t>
      </w:r>
      <w:r>
        <w:rPr>
          <w:vertAlign w:val="baseline"/>
        </w:rPr>
        <w:t>of </w:t>
      </w:r>
      <w:bookmarkStart w:name="_bookmark122" w:id="124"/>
      <w:bookmarkEnd w:id="124"/>
      <w:r>
        <w:rPr>
          <w:vertAlign w:val="baseline"/>
        </w:rPr>
        <w:t>“full</w:t>
      </w:r>
      <w:r>
        <w:rPr>
          <w:spacing w:val="23"/>
          <w:vertAlign w:val="baseline"/>
        </w:rPr>
        <w:t> </w:t>
      </w:r>
      <w:r>
        <w:rPr>
          <w:vertAlign w:val="baseline"/>
        </w:rPr>
        <w:t>harmonisation”</w:t>
      </w:r>
      <w:r>
        <w:rPr>
          <w:spacing w:val="23"/>
          <w:vertAlign w:val="baseline"/>
        </w:rPr>
        <w:t> </w:t>
      </w:r>
      <w:r>
        <w:rPr>
          <w:vertAlign w:val="baseline"/>
        </w:rPr>
        <w:t>(meaning</w:t>
      </w:r>
      <w:r>
        <w:rPr>
          <w:spacing w:val="23"/>
          <w:vertAlign w:val="baseline"/>
        </w:rPr>
        <w:t> </w:t>
      </w:r>
      <w:r>
        <w:rPr>
          <w:vertAlign w:val="baseline"/>
        </w:rPr>
        <w:t>that</w:t>
      </w:r>
      <w:r>
        <w:rPr>
          <w:spacing w:val="23"/>
          <w:vertAlign w:val="baseline"/>
        </w:rPr>
        <w:t> </w:t>
      </w:r>
      <w:r>
        <w:rPr>
          <w:vertAlign w:val="baseline"/>
        </w:rPr>
        <w:t>Member</w:t>
      </w:r>
      <w:r>
        <w:rPr>
          <w:spacing w:val="23"/>
          <w:vertAlign w:val="baseline"/>
        </w:rPr>
        <w:t> </w:t>
      </w:r>
      <w:r>
        <w:rPr>
          <w:vertAlign w:val="baseline"/>
        </w:rPr>
        <w:t>States</w:t>
      </w:r>
      <w:r>
        <w:rPr>
          <w:spacing w:val="23"/>
          <w:vertAlign w:val="baseline"/>
        </w:rPr>
        <w:t> </w:t>
      </w:r>
      <w:r>
        <w:rPr>
          <w:vertAlign w:val="baseline"/>
        </w:rPr>
        <w:t>are</w:t>
      </w:r>
      <w:r>
        <w:rPr>
          <w:spacing w:val="23"/>
          <w:vertAlign w:val="baseline"/>
        </w:rPr>
        <w:t> </w:t>
      </w:r>
      <w:r>
        <w:rPr>
          <w:vertAlign w:val="baseline"/>
        </w:rPr>
        <w:t>not</w:t>
      </w:r>
      <w:r>
        <w:rPr>
          <w:spacing w:val="23"/>
          <w:vertAlign w:val="baseline"/>
        </w:rPr>
        <w:t> </w:t>
      </w:r>
      <w:r>
        <w:rPr>
          <w:vertAlign w:val="baseline"/>
        </w:rPr>
        <w:t>permitted</w:t>
      </w:r>
      <w:r>
        <w:rPr>
          <w:spacing w:val="23"/>
          <w:vertAlign w:val="baseline"/>
        </w:rPr>
        <w:t> </w:t>
      </w:r>
      <w:r>
        <w:rPr>
          <w:vertAlign w:val="baseline"/>
        </w:rPr>
        <w:t>to</w:t>
      </w:r>
      <w:r>
        <w:rPr>
          <w:spacing w:val="23"/>
          <w:vertAlign w:val="baseline"/>
        </w:rPr>
        <w:t> </w:t>
      </w:r>
      <w:r>
        <w:rPr>
          <w:vertAlign w:val="baseline"/>
        </w:rPr>
        <w:t>maintain</w:t>
      </w:r>
      <w:r>
        <w:rPr>
          <w:spacing w:val="23"/>
          <w:vertAlign w:val="baseline"/>
        </w:rPr>
        <w:t> </w:t>
      </w:r>
      <w:r>
        <w:rPr>
          <w:vertAlign w:val="baseline"/>
        </w:rPr>
        <w:t>or</w:t>
      </w:r>
      <w:r>
        <w:rPr>
          <w:spacing w:val="23"/>
          <w:vertAlign w:val="baseline"/>
        </w:rPr>
        <w:t> </w:t>
      </w:r>
      <w:r>
        <w:rPr>
          <w:vertAlign w:val="baseline"/>
        </w:rPr>
        <w:t>enact</w:t>
      </w:r>
      <w:r>
        <w:rPr>
          <w:spacing w:val="23"/>
          <w:vertAlign w:val="baseline"/>
        </w:rPr>
        <w:t> </w:t>
      </w:r>
      <w:r>
        <w:rPr>
          <w:spacing w:val="-2"/>
          <w:vertAlign w:val="baseline"/>
        </w:rPr>
        <w:t>legislation</w:t>
      </w:r>
    </w:p>
    <w:p>
      <w:pPr>
        <w:pStyle w:val="BodyText"/>
        <w:spacing w:line="360" w:lineRule="auto" w:before="115"/>
        <w:ind w:left="165" w:right="168"/>
        <w:jc w:val="both"/>
        <w:rPr>
          <w:position w:val="-2"/>
        </w:rPr>
      </w:pPr>
      <w:bookmarkStart w:name="_bookmark123" w:id="125"/>
      <w:bookmarkEnd w:id="125"/>
      <w:r>
        <w:rPr/>
      </w:r>
      <w:r>
        <w:rPr/>
        <w:t>which is </w:t>
      </w:r>
      <w:r>
        <w:rPr>
          <w:rFonts w:ascii="Arial" w:hAnsi="Arial"/>
          <w:i/>
        </w:rPr>
        <w:t>more </w:t>
      </w:r>
      <w:r>
        <w:rPr/>
        <w:t>protective of consumers). </w:t>
      </w:r>
      <w:r>
        <w:rPr>
          <w:color w:val="005DA1"/>
          <w:u w:val="single" w:color="005DA1"/>
          <w:vertAlign w:val="superscript"/>
        </w:rPr>
        <w:t>77</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spacing w:val="-3"/>
          <w:vertAlign w:val="baseline"/>
        </w:rPr>
        <w:t> </w:t>
      </w:r>
      <w:r>
        <w:rPr>
          <w:vertAlign w:val="baseline"/>
        </w:rPr>
        <w:t>Secondly, the European Commission proposed a more general </w:t>
      </w:r>
      <w:r>
        <w:rPr>
          <w:rFonts w:ascii="Arial" w:hAnsi="Arial"/>
          <w:i/>
          <w:vertAlign w:val="baseline"/>
        </w:rPr>
        <w:t>optional </w:t>
      </w:r>
      <w:r>
        <w:rPr>
          <w:vertAlign w:val="baseline"/>
        </w:rPr>
        <w:t>“Common European Sales Law”. </w:t>
      </w:r>
      <w:r>
        <w:rPr>
          <w:color w:val="005DA1"/>
          <w:u w:val="single" w:color="005DA1"/>
          <w:vertAlign w:val="superscript"/>
        </w:rPr>
        <w:t>78</w:t>
      </w:r>
      <w:r>
        <w:rPr>
          <w:color w:val="005DA1"/>
          <w:spacing w:val="80"/>
          <w:vertAlign w:val="baseline"/>
        </w:rPr>
        <w:t> </w:t>
      </w:r>
      <w:r>
        <w:rPr>
          <w:color w:val="005DA1"/>
          <w:position w:val="-2"/>
          <w:vertAlign w:val="baseline"/>
        </w:rPr>
        <w:drawing>
          <wp:inline distT="0" distB="0" distL="0" distR="0">
            <wp:extent cx="107988" cy="1079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8"/>
        <w:rPr>
          <w:sz w:val="18"/>
        </w:rPr>
      </w:pPr>
    </w:p>
    <w:p>
      <w:pPr>
        <w:spacing w:before="0"/>
        <w:ind w:left="165" w:right="0" w:firstLine="0"/>
        <w:jc w:val="left"/>
        <w:rPr>
          <w:rFonts w:ascii="Arial"/>
          <w:b/>
          <w:position w:val="-3"/>
          <w:sz w:val="18"/>
        </w:rPr>
      </w:pPr>
      <w:bookmarkStart w:name="_bookmark124" w:id="126"/>
      <w:bookmarkEnd w:id="126"/>
      <w:r>
        <w:rPr/>
      </w:r>
      <w:r>
        <w:rPr>
          <w:rFonts w:ascii="Arial"/>
          <w:b/>
          <w:sz w:val="18"/>
        </w:rPr>
        <w:t>The Proposed Common European Sales Law (CESL) </w:t>
      </w:r>
      <w:r>
        <w:rPr>
          <w:rFonts w:ascii="Arial"/>
          <w:b/>
          <w:color w:val="005DA1"/>
          <w:sz w:val="18"/>
          <w:u w:val="single" w:color="005DA1"/>
          <w:vertAlign w:val="superscript"/>
        </w:rPr>
        <w:t>79</w:t>
      </w:r>
      <w:r>
        <w:rPr>
          <w:rFonts w:ascii="Arial"/>
          <w:b/>
          <w:color w:val="005DA1"/>
          <w:spacing w:val="80"/>
          <w:w w:val="150"/>
          <w:sz w:val="18"/>
          <w:vertAlign w:val="baseline"/>
        </w:rPr>
        <w:t> </w:t>
      </w:r>
      <w:r>
        <w:rPr>
          <w:rFonts w:ascii="Arial"/>
          <w:b/>
          <w:color w:val="005DA1"/>
          <w:position w:val="-3"/>
          <w:sz w:val="18"/>
          <w:vertAlign w:val="baseline"/>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07988" cy="107988"/>
                    </a:xfrm>
                    <a:prstGeom prst="rect">
                      <a:avLst/>
                    </a:prstGeom>
                  </pic:spPr>
                </pic:pic>
              </a:graphicData>
            </a:graphic>
          </wp:inline>
        </w:drawing>
      </w:r>
      <w:r>
        <w:rPr>
          <w:rFonts w:ascii="Arial"/>
          <w:b/>
          <w:color w:val="005DA1"/>
          <w:position w:val="-3"/>
          <w:sz w:val="18"/>
          <w:vertAlign w:val="baseline"/>
        </w:rPr>
      </w:r>
    </w:p>
    <w:p>
      <w:pPr>
        <w:pStyle w:val="BodyText"/>
        <w:spacing w:before="42"/>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013</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In 2011 the Commission proposed the enactment of an EU regulation which would </w:t>
      </w:r>
      <w:r>
        <w:rPr/>
        <w:t>have </w:t>
      </w:r>
      <w:bookmarkStart w:name="_bookmark125" w:id="127"/>
      <w:bookmarkEnd w:id="127"/>
      <w:r>
        <w:rPr/>
        <w:t>established</w:t>
      </w:r>
      <w:r>
        <w:rPr>
          <w:spacing w:val="54"/>
        </w:rPr>
        <w:t> </w:t>
      </w:r>
      <w:r>
        <w:rPr/>
        <w:t>the</w:t>
      </w:r>
      <w:r>
        <w:rPr>
          <w:spacing w:val="54"/>
        </w:rPr>
        <w:t> </w:t>
      </w:r>
      <w:r>
        <w:rPr/>
        <w:t>availability</w:t>
      </w:r>
      <w:r>
        <w:rPr>
          <w:spacing w:val="54"/>
        </w:rPr>
        <w:t> </w:t>
      </w:r>
      <w:r>
        <w:rPr/>
        <w:t>of</w:t>
      </w:r>
      <w:r>
        <w:rPr>
          <w:spacing w:val="54"/>
        </w:rPr>
        <w:t> </w:t>
      </w:r>
      <w:r>
        <w:rPr/>
        <w:t>a</w:t>
      </w:r>
      <w:r>
        <w:rPr>
          <w:spacing w:val="54"/>
        </w:rPr>
        <w:t> </w:t>
      </w:r>
      <w:r>
        <w:rPr/>
        <w:t>Common</w:t>
      </w:r>
      <w:r>
        <w:rPr>
          <w:spacing w:val="54"/>
        </w:rPr>
        <w:t> </w:t>
      </w:r>
      <w:r>
        <w:rPr/>
        <w:t>European</w:t>
      </w:r>
      <w:r>
        <w:rPr>
          <w:spacing w:val="54"/>
        </w:rPr>
        <w:t> </w:t>
      </w:r>
      <w:r>
        <w:rPr/>
        <w:t>Sales</w:t>
      </w:r>
      <w:r>
        <w:rPr>
          <w:spacing w:val="54"/>
        </w:rPr>
        <w:t> </w:t>
      </w:r>
      <w:r>
        <w:rPr/>
        <w:t>Law</w:t>
      </w:r>
      <w:r>
        <w:rPr>
          <w:spacing w:val="54"/>
        </w:rPr>
        <w:t> </w:t>
      </w:r>
      <w:r>
        <w:rPr/>
        <w:t>for</w:t>
      </w:r>
      <w:r>
        <w:rPr>
          <w:spacing w:val="54"/>
        </w:rPr>
        <w:t> </w:t>
      </w:r>
      <w:r>
        <w:rPr/>
        <w:t>parties</w:t>
      </w:r>
      <w:r>
        <w:rPr>
          <w:spacing w:val="54"/>
        </w:rPr>
        <w:t> </w:t>
      </w:r>
      <w:r>
        <w:rPr/>
        <w:t>to</w:t>
      </w:r>
      <w:r>
        <w:rPr>
          <w:spacing w:val="54"/>
        </w:rPr>
        <w:t> </w:t>
      </w:r>
      <w:r>
        <w:rPr/>
        <w:t>choose</w:t>
      </w:r>
      <w:r>
        <w:rPr>
          <w:spacing w:val="54"/>
        </w:rPr>
        <w:t> </w:t>
      </w:r>
      <w:r>
        <w:rPr/>
        <w:t>to</w:t>
      </w:r>
      <w:r>
        <w:rPr>
          <w:spacing w:val="54"/>
        </w:rPr>
        <w:t> </w:t>
      </w:r>
      <w:r>
        <w:rPr>
          <w:spacing w:val="-2"/>
        </w:rPr>
        <w:t>govern</w:t>
      </w:r>
    </w:p>
    <w:p>
      <w:pPr>
        <w:pStyle w:val="BodyText"/>
        <w:spacing w:line="227" w:lineRule="exact" w:before="116"/>
        <w:ind w:left="165"/>
        <w:jc w:val="both"/>
        <w:rPr>
          <w:position w:val="-2"/>
        </w:rPr>
      </w:pPr>
      <w:r>
        <w:rPr/>
        <w:t>cross-border</w:t>
      </w:r>
      <w:r>
        <w:rPr>
          <w:spacing w:val="30"/>
        </w:rPr>
        <w:t> </w:t>
      </w:r>
      <w:r>
        <w:rPr/>
        <w:t>contracts</w:t>
      </w:r>
      <w:r>
        <w:rPr>
          <w:spacing w:val="30"/>
        </w:rPr>
        <w:t> </w:t>
      </w:r>
      <w:r>
        <w:rPr/>
        <w:t>for</w:t>
      </w:r>
      <w:r>
        <w:rPr>
          <w:spacing w:val="30"/>
        </w:rPr>
        <w:t> </w:t>
      </w:r>
      <w:r>
        <w:rPr/>
        <w:t>the</w:t>
      </w:r>
      <w:r>
        <w:rPr>
          <w:spacing w:val="30"/>
        </w:rPr>
        <w:t> </w:t>
      </w:r>
      <w:r>
        <w:rPr/>
        <w:t>sale</w:t>
      </w:r>
      <w:r>
        <w:rPr>
          <w:spacing w:val="30"/>
        </w:rPr>
        <w:t> </w:t>
      </w:r>
      <w:r>
        <w:rPr/>
        <w:t>of</w:t>
      </w:r>
      <w:r>
        <w:rPr>
          <w:spacing w:val="30"/>
        </w:rPr>
        <w:t> </w:t>
      </w:r>
      <w:r>
        <w:rPr/>
        <w:t>goods,</w:t>
      </w:r>
      <w:r>
        <w:rPr>
          <w:spacing w:val="30"/>
        </w:rPr>
        <w:t> </w:t>
      </w:r>
      <w:r>
        <w:rPr/>
        <w:t>supply</w:t>
      </w:r>
      <w:r>
        <w:rPr>
          <w:spacing w:val="30"/>
        </w:rPr>
        <w:t> </w:t>
      </w:r>
      <w:r>
        <w:rPr/>
        <w:t>of</w:t>
      </w:r>
      <w:r>
        <w:rPr>
          <w:spacing w:val="30"/>
        </w:rPr>
        <w:t> </w:t>
      </w:r>
      <w:r>
        <w:rPr/>
        <w:t>“digital</w:t>
      </w:r>
      <w:r>
        <w:rPr>
          <w:spacing w:val="30"/>
        </w:rPr>
        <w:t> </w:t>
      </w:r>
      <w:r>
        <w:rPr/>
        <w:t>content”</w:t>
      </w:r>
      <w:r>
        <w:rPr>
          <w:spacing w:val="30"/>
        </w:rPr>
        <w:t> </w:t>
      </w:r>
      <w:r>
        <w:rPr/>
        <w:t>and</w:t>
      </w:r>
      <w:r>
        <w:rPr>
          <w:spacing w:val="30"/>
        </w:rPr>
        <w:t> </w:t>
      </w:r>
      <w:r>
        <w:rPr/>
        <w:t>related</w:t>
      </w:r>
      <w:r>
        <w:rPr>
          <w:spacing w:val="30"/>
        </w:rPr>
        <w:t> </w:t>
      </w:r>
      <w:r>
        <w:rPr/>
        <w:t>services.</w:t>
      </w:r>
      <w:r>
        <w:rPr>
          <w:spacing w:val="29"/>
        </w:rPr>
        <w:t> </w:t>
      </w:r>
      <w:r>
        <w:rPr>
          <w:color w:val="005DA1"/>
          <w:u w:val="single" w:color="005DA1"/>
          <w:vertAlign w:val="superscript"/>
        </w:rPr>
        <w:t>80</w:t>
      </w:r>
      <w:r>
        <w:rPr>
          <w:color w:val="005DA1"/>
          <w:spacing w:val="73"/>
          <w:vertAlign w:val="baseline"/>
        </w:rPr>
        <w:t>  </w:t>
      </w:r>
      <w:r>
        <w:rPr>
          <w:color w:val="005DA1"/>
          <w:spacing w:val="14"/>
          <w:position w:val="-2"/>
          <w:vertAlign w:val="baseline"/>
        </w:rPr>
        <w:drawing>
          <wp:inline distT="0" distB="0" distL="0" distR="0">
            <wp:extent cx="107988" cy="10798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p>
    <w:p>
      <w:pPr>
        <w:pStyle w:val="BodyText"/>
        <w:spacing w:line="227" w:lineRule="exact"/>
        <w:ind w:left="165"/>
        <w:jc w:val="both"/>
      </w:pPr>
      <w:bookmarkStart w:name="_bookmark126" w:id="128"/>
      <w:bookmarkEnd w:id="128"/>
      <w:r>
        <w:rPr/>
      </w:r>
      <w:r>
        <w:rPr/>
        <w:t>The</w:t>
      </w:r>
      <w:r>
        <w:rPr>
          <w:spacing w:val="15"/>
        </w:rPr>
        <w:t> </w:t>
      </w:r>
      <w:r>
        <w:rPr/>
        <w:t>Proposal</w:t>
      </w:r>
      <w:r>
        <w:rPr>
          <w:spacing w:val="15"/>
        </w:rPr>
        <w:t> </w:t>
      </w:r>
      <w:r>
        <w:rPr/>
        <w:t>defined</w:t>
      </w:r>
      <w:r>
        <w:rPr>
          <w:spacing w:val="15"/>
        </w:rPr>
        <w:t> </w:t>
      </w:r>
      <w:r>
        <w:rPr/>
        <w:t>“cross-border</w:t>
      </w:r>
      <w:r>
        <w:rPr>
          <w:spacing w:val="15"/>
        </w:rPr>
        <w:t> </w:t>
      </w:r>
      <w:r>
        <w:rPr/>
        <w:t>contracts”</w:t>
      </w:r>
      <w:r>
        <w:rPr>
          <w:spacing w:val="15"/>
        </w:rPr>
        <w:t> </w:t>
      </w:r>
      <w:r>
        <w:rPr/>
        <w:t>distinctly</w:t>
      </w:r>
      <w:r>
        <w:rPr>
          <w:spacing w:val="15"/>
        </w:rPr>
        <w:t> </w:t>
      </w:r>
      <w:r>
        <w:rPr/>
        <w:t>for</w:t>
      </w:r>
      <w:r>
        <w:rPr>
          <w:spacing w:val="15"/>
        </w:rPr>
        <w:t> </w:t>
      </w:r>
      <w:r>
        <w:rPr/>
        <w:t>contracts</w:t>
      </w:r>
      <w:r>
        <w:rPr>
          <w:spacing w:val="15"/>
        </w:rPr>
        <w:t> </w:t>
      </w:r>
      <w:r>
        <w:rPr/>
        <w:t>between</w:t>
      </w:r>
      <w:r>
        <w:rPr>
          <w:spacing w:val="15"/>
        </w:rPr>
        <w:t> </w:t>
      </w:r>
      <w:r>
        <w:rPr/>
        <w:t>traders</w:t>
      </w:r>
      <w:r>
        <w:rPr>
          <w:spacing w:val="15"/>
        </w:rPr>
        <w:t> </w:t>
      </w:r>
      <w:r>
        <w:rPr/>
        <w:t>(“if</w:t>
      </w:r>
      <w:r>
        <w:rPr>
          <w:spacing w:val="15"/>
        </w:rPr>
        <w:t> </w:t>
      </w:r>
      <w:r>
        <w:rPr/>
        <w:t>the</w:t>
      </w:r>
      <w:r>
        <w:rPr>
          <w:spacing w:val="15"/>
        </w:rPr>
        <w:t> </w:t>
      </w:r>
      <w:r>
        <w:rPr>
          <w:spacing w:val="-2"/>
        </w:rPr>
        <w:t>parties</w:t>
      </w:r>
    </w:p>
    <w:p>
      <w:pPr>
        <w:pStyle w:val="BodyText"/>
        <w:spacing w:line="235" w:lineRule="auto" w:before="118"/>
        <w:ind w:left="165" w:right="167"/>
        <w:jc w:val="both"/>
      </w:pPr>
      <w:r>
        <w:rPr/>
        <w:t>have their habitual residence in different countries of which at least one is a Member State” </w:t>
      </w:r>
      <w:r>
        <w:rPr>
          <w:color w:val="005DA1"/>
          <w:u w:val="single" w:color="005DA1"/>
          <w:vertAlign w:val="superscript"/>
        </w:rPr>
        <w:t>81</w:t>
      </w:r>
      <w:r>
        <w:rPr>
          <w:color w:val="005DA1"/>
          <w:spacing w:val="80"/>
          <w:w w:val="150"/>
          <w:vertAlign w:val="baseline"/>
        </w:rPr>
        <w:t> </w:t>
      </w:r>
      <w:r>
        <w:rPr>
          <w:color w:val="005DA1"/>
          <w:spacing w:val="5"/>
          <w:position w:val="-2"/>
          <w:vertAlign w:val="baseline"/>
        </w:rPr>
        <w:drawing>
          <wp:inline distT="0" distB="0" distL="0" distR="0">
            <wp:extent cx="107988" cy="10798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vertAlign w:val="baseline"/>
        </w:rPr>
        <w:t>)</w:t>
      </w:r>
      <w:r>
        <w:rPr>
          <w:spacing w:val="40"/>
          <w:vertAlign w:val="baseline"/>
        </w:rPr>
        <w:t> </w:t>
      </w:r>
      <w:bookmarkStart w:name="_bookmark127" w:id="129"/>
      <w:bookmarkEnd w:id="129"/>
      <w:r>
        <w:rPr>
          <w:vertAlign w:val="baseline"/>
        </w:rPr>
        <w:t>and</w:t>
      </w:r>
      <w:r>
        <w:rPr>
          <w:vertAlign w:val="baseline"/>
        </w:rPr>
        <w:t> contracts between a trader and a consumer (which for consumers replaces habitual residence with</w:t>
      </w:r>
      <w:r>
        <w:rPr>
          <w:spacing w:val="2"/>
          <w:vertAlign w:val="baseline"/>
        </w:rPr>
        <w:t> </w:t>
      </w:r>
      <w:r>
        <w:rPr>
          <w:vertAlign w:val="baseline"/>
        </w:rPr>
        <w:t>“the</w:t>
      </w:r>
      <w:r>
        <w:rPr>
          <w:spacing w:val="2"/>
          <w:vertAlign w:val="baseline"/>
        </w:rPr>
        <w:t> </w:t>
      </w:r>
      <w:r>
        <w:rPr>
          <w:vertAlign w:val="baseline"/>
        </w:rPr>
        <w:t>address</w:t>
      </w:r>
      <w:r>
        <w:rPr>
          <w:spacing w:val="2"/>
          <w:vertAlign w:val="baseline"/>
        </w:rPr>
        <w:t> </w:t>
      </w:r>
      <w:r>
        <w:rPr>
          <w:vertAlign w:val="baseline"/>
        </w:rPr>
        <w:t>indicated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consumer,</w:t>
      </w:r>
      <w:r>
        <w:rPr>
          <w:spacing w:val="2"/>
          <w:vertAlign w:val="baseline"/>
        </w:rPr>
        <w:t> </w:t>
      </w:r>
      <w:r>
        <w:rPr>
          <w:vertAlign w:val="baseline"/>
        </w:rPr>
        <w:t>the</w:t>
      </w:r>
      <w:r>
        <w:rPr>
          <w:spacing w:val="2"/>
          <w:vertAlign w:val="baseline"/>
        </w:rPr>
        <w:t> </w:t>
      </w:r>
      <w:r>
        <w:rPr>
          <w:vertAlign w:val="baseline"/>
        </w:rPr>
        <w:t>delivery</w:t>
      </w:r>
      <w:r>
        <w:rPr>
          <w:spacing w:val="2"/>
          <w:vertAlign w:val="baseline"/>
        </w:rPr>
        <w:t> </w:t>
      </w:r>
      <w:r>
        <w:rPr>
          <w:vertAlign w:val="baseline"/>
        </w:rPr>
        <w:t>address</w:t>
      </w:r>
      <w:r>
        <w:rPr>
          <w:spacing w:val="2"/>
          <w:vertAlign w:val="baseline"/>
        </w:rPr>
        <w:t> </w:t>
      </w:r>
      <w:r>
        <w:rPr>
          <w:vertAlign w:val="baseline"/>
        </w:rPr>
        <w:t>for</w:t>
      </w:r>
      <w:r>
        <w:rPr>
          <w:spacing w:val="2"/>
          <w:vertAlign w:val="baseline"/>
        </w:rPr>
        <w:t> </w:t>
      </w:r>
      <w:r>
        <w:rPr>
          <w:vertAlign w:val="baseline"/>
        </w:rPr>
        <w:t>goods</w:t>
      </w:r>
      <w:r>
        <w:rPr>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billing</w:t>
      </w:r>
      <w:r>
        <w:rPr>
          <w:spacing w:val="2"/>
          <w:vertAlign w:val="baseline"/>
        </w:rPr>
        <w:t> </w:t>
      </w:r>
      <w:r>
        <w:rPr>
          <w:vertAlign w:val="baseline"/>
        </w:rPr>
        <w:t>address”). </w:t>
      </w:r>
      <w:r>
        <w:rPr>
          <w:color w:val="005DA1"/>
          <w:spacing w:val="-9"/>
          <w:u w:val="single" w:color="005DA1"/>
          <w:vertAlign w:val="superscript"/>
        </w:rPr>
        <w:t>82</w:t>
      </w:r>
    </w:p>
    <w:p>
      <w:pPr>
        <w:pStyle w:val="BodyText"/>
        <w:spacing w:line="235" w:lineRule="auto" w:before="119"/>
        <w:ind w:left="165" w:right="167" w:firstLine="167"/>
        <w:jc w:val="right"/>
      </w:pPr>
      <w:r>
        <w:rPr>
          <w:position w:val="-2"/>
        </w:rPr>
        <w:drawing>
          <wp:inline distT="0" distB="0" distL="0" distR="0">
            <wp:extent cx="107988" cy="10798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2"/>
        </w:rPr>
        <w:t> </w:t>
      </w:r>
      <w:r>
        <w:rPr/>
        <w:t>The</w:t>
      </w:r>
      <w:r>
        <w:rPr>
          <w:spacing w:val="26"/>
        </w:rPr>
        <w:t> </w:t>
      </w:r>
      <w:r>
        <w:rPr/>
        <w:t>Proposal</w:t>
      </w:r>
      <w:r>
        <w:rPr>
          <w:spacing w:val="26"/>
        </w:rPr>
        <w:t> </w:t>
      </w:r>
      <w:r>
        <w:rPr/>
        <w:t>restricted</w:t>
      </w:r>
      <w:r>
        <w:rPr>
          <w:spacing w:val="26"/>
        </w:rPr>
        <w:t> </w:t>
      </w:r>
      <w:r>
        <w:rPr/>
        <w:t>the</w:t>
      </w:r>
      <w:r>
        <w:rPr>
          <w:spacing w:val="26"/>
        </w:rPr>
        <w:t> </w:t>
      </w:r>
      <w:r>
        <w:rPr/>
        <w:t>availability</w:t>
      </w:r>
      <w:r>
        <w:rPr>
          <w:spacing w:val="26"/>
        </w:rPr>
        <w:t> </w:t>
      </w:r>
      <w:r>
        <w:rPr/>
        <w:t>of</w:t>
      </w:r>
      <w:r>
        <w:rPr>
          <w:spacing w:val="26"/>
        </w:rPr>
        <w:t> </w:t>
      </w:r>
      <w:r>
        <w:rPr/>
        <w:t>the</w:t>
      </w:r>
      <w:r>
        <w:rPr>
          <w:spacing w:val="26"/>
        </w:rPr>
        <w:t> </w:t>
      </w:r>
      <w:r>
        <w:rPr/>
        <w:t>CESL</w:t>
      </w:r>
      <w:r>
        <w:rPr>
          <w:spacing w:val="26"/>
        </w:rPr>
        <w:t> </w:t>
      </w:r>
      <w:r>
        <w:rPr/>
        <w:t>to</w:t>
      </w:r>
      <w:r>
        <w:rPr>
          <w:spacing w:val="26"/>
        </w:rPr>
        <w:t> </w:t>
      </w:r>
      <w:r>
        <w:rPr/>
        <w:t>the</w:t>
      </w:r>
      <w:r>
        <w:rPr>
          <w:spacing w:val="26"/>
        </w:rPr>
        <w:t> </w:t>
      </w:r>
      <w:r>
        <w:rPr/>
        <w:t>case</w:t>
      </w:r>
      <w:r>
        <w:rPr>
          <w:spacing w:val="26"/>
        </w:rPr>
        <w:t> </w:t>
      </w:r>
      <w:r>
        <w:rPr/>
        <w:t>where</w:t>
      </w:r>
      <w:r>
        <w:rPr>
          <w:spacing w:val="26"/>
        </w:rPr>
        <w:t> </w:t>
      </w:r>
      <w:r>
        <w:rPr/>
        <w:t>one</w:t>
      </w:r>
      <w:r>
        <w:rPr>
          <w:spacing w:val="26"/>
        </w:rPr>
        <w:t> </w:t>
      </w:r>
      <w:r>
        <w:rPr/>
        <w:t>of</w:t>
      </w:r>
      <w:r>
        <w:rPr>
          <w:spacing w:val="26"/>
        </w:rPr>
        <w:t> </w:t>
      </w:r>
      <w:r>
        <w:rPr/>
        <w:t>the</w:t>
      </w:r>
      <w:r>
        <w:rPr>
          <w:spacing w:val="26"/>
        </w:rPr>
        <w:t> </w:t>
      </w:r>
      <w:r>
        <w:rPr/>
        <w:t>parties</w:t>
      </w:r>
      <w:r>
        <w:rPr>
          <w:spacing w:val="26"/>
        </w:rPr>
        <w:t> </w:t>
      </w:r>
      <w:r>
        <w:rPr/>
        <w:t>is</w:t>
      </w:r>
      <w:r>
        <w:rPr>
          <w:spacing w:val="26"/>
        </w:rPr>
        <w:t> </w:t>
      </w:r>
      <w:r>
        <w:rPr/>
        <w:t>a </w:t>
      </w:r>
      <w:bookmarkStart w:name="_bookmark128" w:id="130"/>
      <w:bookmarkEnd w:id="130"/>
      <w:r>
        <w:rPr/>
        <w:t>trader</w:t>
      </w:r>
      <w:r>
        <w:rPr>
          <w:spacing w:val="8"/>
        </w:rPr>
        <w:t> </w:t>
      </w:r>
      <w:r>
        <w:rPr/>
        <w:t>and</w:t>
      </w:r>
      <w:r>
        <w:rPr>
          <w:spacing w:val="8"/>
        </w:rPr>
        <w:t> </w:t>
      </w:r>
      <w:r>
        <w:rPr/>
        <w:t>the</w:t>
      </w:r>
      <w:r>
        <w:rPr>
          <w:spacing w:val="8"/>
        </w:rPr>
        <w:t> </w:t>
      </w:r>
      <w:r>
        <w:rPr/>
        <w:t>other</w:t>
      </w:r>
      <w:r>
        <w:rPr>
          <w:spacing w:val="8"/>
        </w:rPr>
        <w:t> </w:t>
      </w:r>
      <w:r>
        <w:rPr/>
        <w:t>a</w:t>
      </w:r>
      <w:r>
        <w:rPr>
          <w:spacing w:val="8"/>
        </w:rPr>
        <w:t> </w:t>
      </w:r>
      <w:r>
        <w:rPr/>
        <w:t>consumer</w:t>
      </w:r>
      <w:r>
        <w:rPr>
          <w:spacing w:val="8"/>
        </w:rPr>
        <w:t> </w:t>
      </w:r>
      <w:r>
        <w:rPr/>
        <w:t>and</w:t>
      </w:r>
      <w:r>
        <w:rPr>
          <w:spacing w:val="8"/>
        </w:rPr>
        <w:t> </w:t>
      </w:r>
      <w:r>
        <w:rPr/>
        <w:t>to</w:t>
      </w:r>
      <w:r>
        <w:rPr>
          <w:spacing w:val="8"/>
        </w:rPr>
        <w:t> </w:t>
      </w:r>
      <w:r>
        <w:rPr/>
        <w:t>the</w:t>
      </w:r>
      <w:r>
        <w:rPr>
          <w:spacing w:val="8"/>
        </w:rPr>
        <w:t> </w:t>
      </w:r>
      <w:r>
        <w:rPr/>
        <w:t>case</w:t>
      </w:r>
      <w:r>
        <w:rPr>
          <w:spacing w:val="8"/>
        </w:rPr>
        <w:t> </w:t>
      </w:r>
      <w:r>
        <w:rPr/>
        <w:t>where</w:t>
      </w:r>
      <w:r>
        <w:rPr>
          <w:spacing w:val="8"/>
        </w:rPr>
        <w:t> </w:t>
      </w:r>
      <w:r>
        <w:rPr/>
        <w:t>both</w:t>
      </w:r>
      <w:r>
        <w:rPr>
          <w:spacing w:val="8"/>
        </w:rPr>
        <w:t> </w:t>
      </w:r>
      <w:r>
        <w:rPr/>
        <w:t>parties</w:t>
      </w:r>
      <w:r>
        <w:rPr>
          <w:spacing w:val="8"/>
        </w:rPr>
        <w:t> </w:t>
      </w:r>
      <w:r>
        <w:rPr/>
        <w:t>are</w:t>
      </w:r>
      <w:r>
        <w:rPr>
          <w:spacing w:val="8"/>
        </w:rPr>
        <w:t> </w:t>
      </w:r>
      <w:r>
        <w:rPr/>
        <w:t>traders,</w:t>
      </w:r>
      <w:r>
        <w:rPr>
          <w:spacing w:val="8"/>
        </w:rPr>
        <w:t> </w:t>
      </w:r>
      <w:r>
        <w:rPr/>
        <w:t>but</w:t>
      </w:r>
      <w:r>
        <w:rPr>
          <w:spacing w:val="8"/>
        </w:rPr>
        <w:t> </w:t>
      </w:r>
      <w:r>
        <w:rPr/>
        <w:t>at</w:t>
      </w:r>
      <w:r>
        <w:rPr>
          <w:spacing w:val="8"/>
        </w:rPr>
        <w:t> </w:t>
      </w:r>
      <w:r>
        <w:rPr/>
        <w:t>least</w:t>
      </w:r>
      <w:r>
        <w:rPr>
          <w:spacing w:val="8"/>
        </w:rPr>
        <w:t> </w:t>
      </w:r>
      <w:r>
        <w:rPr/>
        <w:t>one</w:t>
      </w:r>
      <w:r>
        <w:rPr>
          <w:spacing w:val="8"/>
        </w:rPr>
        <w:t> </w:t>
      </w:r>
      <w:r>
        <w:rPr/>
        <w:t>is</w:t>
      </w:r>
      <w:r>
        <w:rPr>
          <w:spacing w:val="8"/>
        </w:rPr>
        <w:t> </w:t>
      </w:r>
      <w:r>
        <w:rPr>
          <w:spacing w:val="-10"/>
        </w:rPr>
        <w:t>a</w:t>
      </w:r>
    </w:p>
    <w:p>
      <w:pPr>
        <w:pStyle w:val="BodyText"/>
        <w:spacing w:line="235" w:lineRule="auto" w:before="120"/>
        <w:ind w:left="165" w:right="167"/>
        <w:jc w:val="both"/>
      </w:pPr>
      <w:r>
        <w:rPr/>
        <w:t>small or medium-sized enterprise (SME), a category which the Proposal defines. </w:t>
      </w:r>
      <w:r>
        <w:rPr>
          <w:color w:val="005DA1"/>
          <w:u w:val="single" w:color="005DA1"/>
          <w:vertAlign w:val="superscript"/>
        </w:rPr>
        <w:t>83</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6"/>
          <w:vertAlign w:val="baseline"/>
        </w:rPr>
        <w:t> </w:t>
      </w:r>
      <w:r>
        <w:rPr>
          <w:vertAlign w:val="baseline"/>
        </w:rPr>
        <w:t>The CESL set out two broad categories of rules: rules of general contract law governing the conclusion, validity, contents and interpretation of contracts, damages for breach and interest, restitution on invalidity </w:t>
      </w:r>
      <w:r>
        <w:rPr>
          <w:vertAlign w:val="baseline"/>
        </w:rPr>
        <w:t>of contract, and prescription of rights (Pts I to III, VI to VIII CESL respectively) and rules governing the obligations and remedies pertaining to the particular types of contracts to which CESL may apply (Pts </w:t>
      </w:r>
      <w:bookmarkStart w:name="_bookmark129" w:id="131"/>
      <w:bookmarkEnd w:id="131"/>
      <w:r>
        <w:rPr>
          <w:vertAlign w:val="baseline"/>
        </w:rPr>
        <w:t>IV</w:t>
      </w:r>
      <w:r>
        <w:rPr>
          <w:spacing w:val="4"/>
          <w:vertAlign w:val="baseline"/>
        </w:rPr>
        <w:t> </w:t>
      </w:r>
      <w:r>
        <w:rPr>
          <w:vertAlign w:val="baseline"/>
        </w:rPr>
        <w:t>and</w:t>
      </w:r>
      <w:r>
        <w:rPr>
          <w:spacing w:val="4"/>
          <w:vertAlign w:val="baseline"/>
        </w:rPr>
        <w:t> </w:t>
      </w:r>
      <w:r>
        <w:rPr>
          <w:vertAlign w:val="baseline"/>
        </w:rPr>
        <w:t>Pt</w:t>
      </w:r>
      <w:r>
        <w:rPr>
          <w:spacing w:val="4"/>
          <w:vertAlign w:val="baseline"/>
        </w:rPr>
        <w:t> </w:t>
      </w:r>
      <w:r>
        <w:rPr>
          <w:vertAlign w:val="baseline"/>
        </w:rPr>
        <w:t>V</w:t>
      </w:r>
      <w:r>
        <w:rPr>
          <w:spacing w:val="4"/>
          <w:vertAlign w:val="baseline"/>
        </w:rPr>
        <w:t> </w:t>
      </w:r>
      <w:r>
        <w:rPr>
          <w:vertAlign w:val="baseline"/>
        </w:rPr>
        <w:t>CESL).</w:t>
      </w:r>
      <w:r>
        <w:rPr>
          <w:spacing w:val="4"/>
          <w:vertAlign w:val="baseline"/>
        </w:rPr>
        <w:t> </w:t>
      </w:r>
      <w:r>
        <w:rPr>
          <w:vertAlign w:val="baseline"/>
        </w:rPr>
        <w:t>These</w:t>
      </w:r>
      <w:r>
        <w:rPr>
          <w:spacing w:val="4"/>
          <w:vertAlign w:val="baseline"/>
        </w:rPr>
        <w:t> </w:t>
      </w:r>
      <w:r>
        <w:rPr>
          <w:vertAlign w:val="baseline"/>
        </w:rPr>
        <w:t>rules</w:t>
      </w:r>
      <w:r>
        <w:rPr>
          <w:spacing w:val="4"/>
          <w:vertAlign w:val="baseline"/>
        </w:rPr>
        <w:t> </w:t>
      </w:r>
      <w:r>
        <w:rPr>
          <w:vertAlign w:val="baseline"/>
        </w:rPr>
        <w:t>were</w:t>
      </w:r>
      <w:r>
        <w:rPr>
          <w:spacing w:val="4"/>
          <w:vertAlign w:val="baseline"/>
        </w:rPr>
        <w:t> </w:t>
      </w:r>
      <w:r>
        <w:rPr>
          <w:vertAlign w:val="baseline"/>
        </w:rPr>
        <w:t>prefaced</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setting</w:t>
      </w:r>
      <w:r>
        <w:rPr>
          <w:spacing w:val="4"/>
          <w:vertAlign w:val="baseline"/>
        </w:rPr>
        <w:t> </w:t>
      </w:r>
      <w:r>
        <w:rPr>
          <w:vertAlign w:val="baseline"/>
        </w:rPr>
        <w:t>of</w:t>
      </w:r>
      <w:r>
        <w:rPr>
          <w:spacing w:val="4"/>
          <w:vertAlign w:val="baseline"/>
        </w:rPr>
        <w:t> </w:t>
      </w:r>
      <w:r>
        <w:rPr>
          <w:vertAlign w:val="baseline"/>
        </w:rPr>
        <w:t>three</w:t>
      </w:r>
      <w:r>
        <w:rPr>
          <w:spacing w:val="4"/>
          <w:vertAlign w:val="baseline"/>
        </w:rPr>
        <w:t> </w:t>
      </w:r>
      <w:r>
        <w:rPr>
          <w:vertAlign w:val="baseline"/>
        </w:rPr>
        <w:t>“general</w:t>
      </w:r>
      <w:r>
        <w:rPr>
          <w:spacing w:val="4"/>
          <w:vertAlign w:val="baseline"/>
        </w:rPr>
        <w:t> </w:t>
      </w:r>
      <w:r>
        <w:rPr>
          <w:vertAlign w:val="baseline"/>
        </w:rPr>
        <w:t>principles”:</w:t>
      </w:r>
      <w:r>
        <w:rPr>
          <w:spacing w:val="4"/>
          <w:vertAlign w:val="baseline"/>
        </w:rPr>
        <w:t> </w:t>
      </w:r>
      <w:r>
        <w:rPr>
          <w:vertAlign w:val="baseline"/>
        </w:rPr>
        <w:t>freedom</w:t>
      </w:r>
      <w:r>
        <w:rPr>
          <w:spacing w:val="4"/>
          <w:vertAlign w:val="baseline"/>
        </w:rPr>
        <w:t> </w:t>
      </w:r>
      <w:r>
        <w:rPr>
          <w:spacing w:val="-5"/>
          <w:vertAlign w:val="baseline"/>
        </w:rPr>
        <w:t>of</w:t>
      </w:r>
    </w:p>
    <w:p>
      <w:pPr>
        <w:pStyle w:val="BodyText"/>
        <w:spacing w:line="235" w:lineRule="auto" w:before="117"/>
        <w:ind w:left="165" w:right="167"/>
        <w:jc w:val="both"/>
      </w:pPr>
      <w:r>
        <w:rPr/>
        <w:t>contract; “good faith and fair dealing”; and co-operation in the performance of obligations. </w:t>
      </w:r>
      <w:r>
        <w:rPr>
          <w:color w:val="005DA1"/>
          <w:u w:val="single" w:color="005DA1"/>
          <w:vertAlign w:val="superscript"/>
        </w:rPr>
        <w:t>84</w:t>
      </w:r>
      <w:r>
        <w:rPr>
          <w:color w:val="005DA1"/>
          <w:spacing w:val="80"/>
          <w:w w:val="150"/>
          <w:vertAlign w:val="baseline"/>
        </w:rPr>
        <w:t> </w:t>
      </w:r>
      <w:r>
        <w:rPr>
          <w:color w:val="005DA1"/>
          <w:spacing w:val="2"/>
          <w:position w:val="-2"/>
          <w:vertAlign w:val="baseline"/>
        </w:rPr>
        <w:drawing>
          <wp:inline distT="0" distB="0" distL="0" distR="0">
            <wp:extent cx="107988" cy="10798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40"/>
          <w:position w:val="-2"/>
          <w:vertAlign w:val="baseline"/>
        </w:rPr>
        <w:t> </w:t>
      </w:r>
      <w:r>
        <w:rPr>
          <w:vertAlign w:val="baseline"/>
        </w:rPr>
        <w:t>Within its scope, the CESL was intended to create a uniform law, distinct from national laws, as it provided that:</w:t>
      </w:r>
    </w:p>
    <w:p>
      <w:pPr>
        <w:pStyle w:val="BodyText"/>
      </w:pPr>
    </w:p>
    <w:p>
      <w:pPr>
        <w:pStyle w:val="BodyText"/>
        <w:spacing w:before="126"/>
      </w:pPr>
    </w:p>
    <w:p>
      <w:pPr>
        <w:pStyle w:val="BodyText"/>
        <w:spacing w:line="235" w:lineRule="auto"/>
        <w:ind w:left="787" w:right="167"/>
        <w:jc w:val="right"/>
      </w:pPr>
      <w:r>
        <w:rPr/>
        <w:t>“[w]here the parties have validly agreed to use the Common European Sales Law for </w:t>
      </w:r>
      <w:r>
        <w:rPr/>
        <w:t>a</w:t>
      </w:r>
      <w:r>
        <w:rPr>
          <w:spacing w:val="80"/>
        </w:rPr>
        <w:t> </w:t>
      </w:r>
      <w:bookmarkStart w:name="_bookmark130" w:id="132"/>
      <w:bookmarkEnd w:id="132"/>
      <w:r>
        <w:rPr/>
        <w:t>contract,</w:t>
      </w:r>
      <w:r>
        <w:rPr>
          <w:spacing w:val="21"/>
        </w:rPr>
        <w:t> </w:t>
      </w:r>
      <w:r>
        <w:rPr/>
        <w:t>only</w:t>
      </w:r>
      <w:r>
        <w:rPr>
          <w:spacing w:val="21"/>
        </w:rPr>
        <w:t> </w:t>
      </w:r>
      <w:r>
        <w:rPr/>
        <w:t>the</w:t>
      </w:r>
      <w:r>
        <w:rPr>
          <w:spacing w:val="21"/>
        </w:rPr>
        <w:t> </w:t>
      </w:r>
      <w:r>
        <w:rPr/>
        <w:t>Common</w:t>
      </w:r>
      <w:r>
        <w:rPr>
          <w:spacing w:val="21"/>
        </w:rPr>
        <w:t> </w:t>
      </w:r>
      <w:r>
        <w:rPr/>
        <w:t>European</w:t>
      </w:r>
      <w:r>
        <w:rPr>
          <w:spacing w:val="21"/>
        </w:rPr>
        <w:t> </w:t>
      </w:r>
      <w:r>
        <w:rPr/>
        <w:t>Sales</w:t>
      </w:r>
      <w:r>
        <w:rPr>
          <w:spacing w:val="21"/>
        </w:rPr>
        <w:t> </w:t>
      </w:r>
      <w:r>
        <w:rPr/>
        <w:t>Law</w:t>
      </w:r>
      <w:r>
        <w:rPr>
          <w:spacing w:val="21"/>
        </w:rPr>
        <w:t> </w:t>
      </w:r>
      <w:r>
        <w:rPr/>
        <w:t>shall</w:t>
      </w:r>
      <w:r>
        <w:rPr>
          <w:spacing w:val="21"/>
        </w:rPr>
        <w:t> </w:t>
      </w:r>
      <w:r>
        <w:rPr/>
        <w:t>govern</w:t>
      </w:r>
      <w:r>
        <w:rPr>
          <w:spacing w:val="21"/>
        </w:rPr>
        <w:t> </w:t>
      </w:r>
      <w:r>
        <w:rPr/>
        <w:t>the</w:t>
      </w:r>
      <w:r>
        <w:rPr>
          <w:spacing w:val="21"/>
        </w:rPr>
        <w:t> </w:t>
      </w:r>
      <w:r>
        <w:rPr/>
        <w:t>matters</w:t>
      </w:r>
      <w:r>
        <w:rPr>
          <w:spacing w:val="21"/>
        </w:rPr>
        <w:t> </w:t>
      </w:r>
      <w:r>
        <w:rPr/>
        <w:t>addressed</w:t>
      </w:r>
      <w:r>
        <w:rPr>
          <w:spacing w:val="21"/>
        </w:rPr>
        <w:t> </w:t>
      </w:r>
      <w:r>
        <w:rPr>
          <w:spacing w:val="-5"/>
        </w:rPr>
        <w:t>in</w:t>
      </w:r>
    </w:p>
    <w:p>
      <w:pPr>
        <w:pStyle w:val="BodyText"/>
        <w:spacing w:before="115"/>
        <w:ind w:left="1245"/>
        <w:rPr>
          <w:position w:val="-2"/>
        </w:rPr>
      </w:pPr>
      <w:r>
        <w:rPr/>
        <w:t>its rules.” </w:t>
      </w:r>
      <w:r>
        <w:rPr>
          <w:color w:val="005DA1"/>
          <w:u w:val="single" w:color="005DA1"/>
          <w:vertAlign w:val="superscript"/>
        </w:rPr>
        <w:t>85</w:t>
      </w:r>
      <w:r>
        <w:rPr>
          <w:color w:val="005DA1"/>
          <w:spacing w:val="80"/>
          <w:vertAlign w:val="baseline"/>
        </w:rPr>
        <w:t> </w:t>
      </w:r>
      <w:r>
        <w:rPr>
          <w:color w:val="005DA1"/>
          <w:position w:val="-2"/>
          <w:vertAlign w:val="baseline"/>
        </w:rPr>
        <w:drawing>
          <wp:inline distT="0" distB="0" distL="0" distR="0">
            <wp:extent cx="107988" cy="107988"/>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pPr>
    </w:p>
    <w:p>
      <w:pPr>
        <w:pStyle w:val="BodyText"/>
        <w:spacing w:before="96"/>
      </w:pPr>
    </w:p>
    <w:p>
      <w:pPr>
        <w:pStyle w:val="BodyText"/>
        <w:spacing w:line="235" w:lineRule="auto"/>
        <w:ind w:left="165"/>
      </w:pPr>
      <w:r>
        <w:rPr>
          <w:position w:val="-2"/>
        </w:rPr>
        <w:drawing>
          <wp:inline distT="0" distB="0" distL="0" distR="0">
            <wp:extent cx="107988" cy="10798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5"/>
        </w:rPr>
        <w:t> </w:t>
      </w:r>
      <w:r>
        <w:rPr/>
        <w:t>The</w:t>
      </w:r>
      <w:r>
        <w:rPr>
          <w:spacing w:val="29"/>
        </w:rPr>
        <w:t> </w:t>
      </w:r>
      <w:r>
        <w:rPr/>
        <w:t>definition</w:t>
      </w:r>
      <w:r>
        <w:rPr>
          <w:spacing w:val="29"/>
        </w:rPr>
        <w:t> </w:t>
      </w:r>
      <w:r>
        <w:rPr/>
        <w:t>of</w:t>
      </w:r>
      <w:r>
        <w:rPr>
          <w:spacing w:val="29"/>
        </w:rPr>
        <w:t> </w:t>
      </w:r>
      <w:r>
        <w:rPr/>
        <w:t>the</w:t>
      </w:r>
      <w:r>
        <w:rPr>
          <w:spacing w:val="29"/>
        </w:rPr>
        <w:t> </w:t>
      </w:r>
      <w:r>
        <w:rPr/>
        <w:t>scope</w:t>
      </w:r>
      <w:r>
        <w:rPr>
          <w:spacing w:val="29"/>
        </w:rPr>
        <w:t> </w:t>
      </w:r>
      <w:r>
        <w:rPr/>
        <w:t>(and</w:t>
      </w:r>
      <w:r>
        <w:rPr>
          <w:spacing w:val="29"/>
        </w:rPr>
        <w:t> </w:t>
      </w:r>
      <w:r>
        <w:rPr/>
        <w:t>therefore</w:t>
      </w:r>
      <w:r>
        <w:rPr>
          <w:spacing w:val="29"/>
        </w:rPr>
        <w:t> </w:t>
      </w:r>
      <w:r>
        <w:rPr/>
        <w:t>the</w:t>
      </w:r>
      <w:r>
        <w:rPr>
          <w:spacing w:val="29"/>
        </w:rPr>
        <w:t> </w:t>
      </w:r>
      <w:r>
        <w:rPr/>
        <w:t>exclusive</w:t>
      </w:r>
      <w:r>
        <w:rPr>
          <w:spacing w:val="29"/>
        </w:rPr>
        <w:t> </w:t>
      </w:r>
      <w:r>
        <w:rPr/>
        <w:t>regulation</w:t>
      </w:r>
      <w:r>
        <w:rPr>
          <w:spacing w:val="29"/>
        </w:rPr>
        <w:t> </w:t>
      </w:r>
      <w:r>
        <w:rPr/>
        <w:t>reserved</w:t>
      </w:r>
      <w:r>
        <w:rPr>
          <w:spacing w:val="29"/>
        </w:rPr>
        <w:t> </w:t>
      </w:r>
      <w:r>
        <w:rPr/>
        <w:t>for</w:t>
      </w:r>
      <w:r>
        <w:rPr>
          <w:spacing w:val="29"/>
        </w:rPr>
        <w:t> </w:t>
      </w:r>
      <w:r>
        <w:rPr/>
        <w:t>the</w:t>
      </w:r>
      <w:r>
        <w:rPr>
          <w:spacing w:val="29"/>
        </w:rPr>
        <w:t> </w:t>
      </w:r>
      <w:r>
        <w:rPr/>
        <w:t>CESL)</w:t>
      </w:r>
      <w:r>
        <w:rPr>
          <w:spacing w:val="29"/>
        </w:rPr>
        <w:t> </w:t>
      </w:r>
      <w:r>
        <w:rPr/>
        <w:t>was </w:t>
      </w:r>
      <w:bookmarkStart w:name="_bookmark131" w:id="133"/>
      <w:bookmarkEnd w:id="133"/>
      <w:r>
        <w:rPr/>
        <w:t>furthered</w:t>
      </w:r>
      <w:r>
        <w:rPr>
          <w:spacing w:val="16"/>
        </w:rPr>
        <w:t> </w:t>
      </w:r>
      <w:r>
        <w:rPr/>
        <w:t>in</w:t>
      </w:r>
      <w:r>
        <w:rPr>
          <w:spacing w:val="16"/>
        </w:rPr>
        <w:t> </w:t>
      </w:r>
      <w:r>
        <w:rPr/>
        <w:t>two</w:t>
      </w:r>
      <w:r>
        <w:rPr>
          <w:spacing w:val="16"/>
        </w:rPr>
        <w:t> </w:t>
      </w:r>
      <w:r>
        <w:rPr/>
        <w:t>ways.</w:t>
      </w:r>
      <w:r>
        <w:rPr>
          <w:spacing w:val="16"/>
        </w:rPr>
        <w:t> </w:t>
      </w:r>
      <w:r>
        <w:rPr/>
        <w:t>First,</w:t>
      </w:r>
      <w:r>
        <w:rPr>
          <w:spacing w:val="16"/>
        </w:rPr>
        <w:t> </w:t>
      </w:r>
      <w:r>
        <w:rPr/>
        <w:t>the</w:t>
      </w:r>
      <w:r>
        <w:rPr>
          <w:spacing w:val="16"/>
        </w:rPr>
        <w:t> </w:t>
      </w:r>
      <w:r>
        <w:rPr/>
        <w:t>recitals</w:t>
      </w:r>
      <w:r>
        <w:rPr>
          <w:spacing w:val="16"/>
        </w:rPr>
        <w:t> </w:t>
      </w:r>
      <w:r>
        <w:rPr/>
        <w:t>to</w:t>
      </w:r>
      <w:r>
        <w:rPr>
          <w:spacing w:val="16"/>
        </w:rPr>
        <w:t> </w:t>
      </w:r>
      <w:r>
        <w:rPr/>
        <w:t>the</w:t>
      </w:r>
      <w:r>
        <w:rPr>
          <w:spacing w:val="16"/>
        </w:rPr>
        <w:t> </w:t>
      </w:r>
      <w:r>
        <w:rPr/>
        <w:t>Proposal</w:t>
      </w:r>
      <w:r>
        <w:rPr>
          <w:spacing w:val="16"/>
        </w:rPr>
        <w:t> </w:t>
      </w:r>
      <w:r>
        <w:rPr/>
        <w:t>explained</w:t>
      </w:r>
      <w:r>
        <w:rPr>
          <w:spacing w:val="16"/>
        </w:rPr>
        <w:t> </w:t>
      </w:r>
      <w:r>
        <w:rPr/>
        <w:t>that</w:t>
      </w:r>
      <w:r>
        <w:rPr>
          <w:spacing w:val="16"/>
        </w:rPr>
        <w:t> </w:t>
      </w:r>
      <w:r>
        <w:rPr/>
        <w:t>certain</w:t>
      </w:r>
      <w:r>
        <w:rPr>
          <w:spacing w:val="16"/>
        </w:rPr>
        <w:t> </w:t>
      </w:r>
      <w:r>
        <w:rPr/>
        <w:t>issues</w:t>
      </w:r>
      <w:r>
        <w:rPr>
          <w:spacing w:val="16"/>
        </w:rPr>
        <w:t> </w:t>
      </w:r>
      <w:r>
        <w:rPr/>
        <w:t>are</w:t>
      </w:r>
      <w:r>
        <w:rPr>
          <w:spacing w:val="16"/>
        </w:rPr>
        <w:t> </w:t>
      </w:r>
      <w:r>
        <w:rPr/>
        <w:t>outside</w:t>
      </w:r>
      <w:r>
        <w:rPr>
          <w:spacing w:val="16"/>
        </w:rPr>
        <w:t> </w:t>
      </w:r>
      <w:r>
        <w:rPr>
          <w:spacing w:val="-5"/>
        </w:rPr>
        <w:t>its</w:t>
      </w:r>
    </w:p>
    <w:p>
      <w:pPr>
        <w:pStyle w:val="BodyText"/>
        <w:tabs>
          <w:tab w:pos="1297" w:val="left" w:leader="none"/>
        </w:tabs>
        <w:spacing w:line="360" w:lineRule="auto" w:before="115"/>
        <w:ind w:left="165" w:right="168"/>
      </w:pPr>
      <w:bookmarkStart w:name="_bookmark132" w:id="134"/>
      <w:bookmarkEnd w:id="134"/>
      <w:r>
        <w:rPr/>
      </w:r>
      <w:r>
        <w:rPr/>
        <w:t>scope.</w:t>
      </w:r>
      <w:r>
        <w:rPr>
          <w:spacing w:val="40"/>
        </w:rPr>
        <w:t> </w:t>
      </w:r>
      <w:r>
        <w:rPr>
          <w:color w:val="005DA1"/>
          <w:u w:val="single" w:color="005DA1"/>
          <w:vertAlign w:val="superscript"/>
        </w:rPr>
        <w:t>86</w:t>
      </w:r>
      <w:r>
        <w:rPr>
          <w:color w:val="005DA1"/>
          <w:vertAlign w:val="baseline"/>
        </w:rPr>
        <w:tab/>
      </w:r>
      <w:r>
        <w:rPr>
          <w:color w:val="005DA1"/>
          <w:position w:val="-2"/>
          <w:vertAlign w:val="baseline"/>
        </w:rPr>
        <w:drawing>
          <wp:inline distT="0" distB="0" distL="0" distR="0">
            <wp:extent cx="107988" cy="107988"/>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40"/>
          <w:vertAlign w:val="baseline"/>
        </w:rPr>
        <w:t> </w:t>
      </w:r>
      <w:r>
        <w:rPr>
          <w:vertAlign w:val="baseline"/>
        </w:rPr>
        <w:t>Secondly,</w:t>
      </w:r>
      <w:r>
        <w:rPr>
          <w:spacing w:val="40"/>
          <w:vertAlign w:val="baseline"/>
        </w:rPr>
        <w:t> </w:t>
      </w:r>
      <w:r>
        <w:rPr>
          <w:vertAlign w:val="baseline"/>
        </w:rPr>
        <w:t>the</w:t>
      </w:r>
      <w:r>
        <w:rPr>
          <w:spacing w:val="40"/>
          <w:vertAlign w:val="baseline"/>
        </w:rPr>
        <w:t> </w:t>
      </w:r>
      <w:r>
        <w:rPr>
          <w:vertAlign w:val="baseline"/>
        </w:rPr>
        <w:t>CESL</w:t>
      </w:r>
      <w:r>
        <w:rPr>
          <w:spacing w:val="40"/>
          <w:vertAlign w:val="baseline"/>
        </w:rPr>
        <w:t> </w:t>
      </w:r>
      <w:r>
        <w:rPr>
          <w:vertAlign w:val="baseline"/>
        </w:rPr>
        <w:t>provided</w:t>
      </w:r>
      <w:r>
        <w:rPr>
          <w:spacing w:val="40"/>
          <w:vertAlign w:val="baseline"/>
        </w:rPr>
        <w:t> </w:t>
      </w:r>
      <w:r>
        <w:rPr>
          <w:vertAlign w:val="baseline"/>
        </w:rPr>
        <w:t>that</w:t>
      </w:r>
      <w:r>
        <w:rPr>
          <w:spacing w:val="40"/>
          <w:vertAlign w:val="baseline"/>
        </w:rPr>
        <w:t> </w:t>
      </w:r>
      <w:r>
        <w:rPr>
          <w:vertAlign w:val="baseline"/>
        </w:rPr>
        <w:t>it</w:t>
      </w:r>
      <w:r>
        <w:rPr>
          <w:spacing w:val="40"/>
          <w:vertAlign w:val="baseline"/>
        </w:rPr>
        <w:t> </w:t>
      </w:r>
      <w:r>
        <w:rPr>
          <w:vertAlign w:val="baseline"/>
        </w:rPr>
        <w:t>was</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interpreted</w:t>
      </w:r>
      <w:r>
        <w:rPr>
          <w:spacing w:val="40"/>
          <w:vertAlign w:val="baseline"/>
        </w:rPr>
        <w:t> </w:t>
      </w:r>
      <w:r>
        <w:rPr>
          <w:vertAlign w:val="baseline"/>
        </w:rPr>
        <w:t>autonomously</w:t>
      </w:r>
      <w:r>
        <w:rPr>
          <w:spacing w:val="40"/>
          <w:vertAlign w:val="baseline"/>
        </w:rPr>
        <w:t> </w:t>
      </w:r>
      <w:r>
        <w:rPr>
          <w:vertAlign w:val="baseline"/>
        </w:rPr>
        <w:t>and</w:t>
      </w:r>
      <w:r>
        <w:rPr>
          <w:spacing w:val="40"/>
          <w:vertAlign w:val="baseline"/>
        </w:rPr>
        <w:t> </w:t>
      </w:r>
      <w:r>
        <w:rPr>
          <w:vertAlign w:val="baseline"/>
        </w:rPr>
        <w:t>in accordance with its objectives and the principles underlying it” </w:t>
      </w:r>
      <w:r>
        <w:rPr>
          <w:color w:val="005DA1"/>
          <w:u w:val="single" w:color="005DA1"/>
          <w:vertAlign w:val="superscript"/>
        </w:rPr>
        <w:t>87</w:t>
      </w:r>
      <w:r>
        <w:rPr>
          <w:color w:val="005DA1"/>
          <w:spacing w:val="80"/>
          <w:vertAlign w:val="baseline"/>
        </w:rPr>
        <w:t> </w:t>
      </w:r>
      <w:r>
        <w:rPr>
          <w:color w:val="005DA1"/>
          <w:position w:val="-2"/>
          <w:vertAlign w:val="baseline"/>
        </w:rPr>
        <w:drawing>
          <wp:inline distT="0" distB="0" distL="0" distR="0">
            <wp:extent cx="107988" cy="107988"/>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and that</w:t>
      </w:r>
    </w:p>
    <w:p>
      <w:pPr>
        <w:pStyle w:val="BodyText"/>
      </w:pPr>
    </w:p>
    <w:p>
      <w:pPr>
        <w:pStyle w:val="BodyText"/>
        <w:spacing w:before="11"/>
      </w:pPr>
    </w:p>
    <w:p>
      <w:pPr>
        <w:pStyle w:val="BodyText"/>
        <w:spacing w:line="235" w:lineRule="auto"/>
        <w:ind w:left="1245" w:right="167"/>
        <w:jc w:val="both"/>
      </w:pPr>
      <w:r>
        <w:rPr/>
        <w:t>“[i]ssues within the scope of the Common European Sales Law but not expressly settled by it are to be settled in accordance with the objectives and the principles underlying </w:t>
      </w:r>
      <w:r>
        <w:rPr/>
        <w:t>it </w:t>
      </w:r>
      <w:bookmarkStart w:name="_bookmark133" w:id="135"/>
      <w:bookmarkEnd w:id="135"/>
      <w:r>
        <w:rPr/>
        <w:t>and</w:t>
      </w:r>
      <w:r>
        <w:rPr/>
        <w:t> all its provisions, without recourse to the national law that would be applicable in the absence</w:t>
      </w:r>
      <w:r>
        <w:rPr>
          <w:spacing w:val="9"/>
        </w:rPr>
        <w:t> </w:t>
      </w:r>
      <w:r>
        <w:rPr/>
        <w:t>of</w:t>
      </w:r>
      <w:r>
        <w:rPr>
          <w:spacing w:val="9"/>
        </w:rPr>
        <w:t> </w:t>
      </w:r>
      <w:r>
        <w:rPr/>
        <w:t>an</w:t>
      </w:r>
      <w:r>
        <w:rPr>
          <w:spacing w:val="9"/>
        </w:rPr>
        <w:t> </w:t>
      </w:r>
      <w:r>
        <w:rPr/>
        <w:t>agreement</w:t>
      </w:r>
      <w:r>
        <w:rPr>
          <w:spacing w:val="9"/>
        </w:rPr>
        <w:t> </w:t>
      </w:r>
      <w:r>
        <w:rPr/>
        <w:t>to</w:t>
      </w:r>
      <w:r>
        <w:rPr>
          <w:spacing w:val="9"/>
        </w:rPr>
        <w:t> </w:t>
      </w:r>
      <w:r>
        <w:rPr/>
        <w:t>use</w:t>
      </w:r>
      <w:r>
        <w:rPr>
          <w:spacing w:val="9"/>
        </w:rPr>
        <w:t> </w:t>
      </w:r>
      <w:r>
        <w:rPr/>
        <w:t>the</w:t>
      </w:r>
      <w:r>
        <w:rPr>
          <w:spacing w:val="9"/>
        </w:rPr>
        <w:t> </w:t>
      </w:r>
      <w:r>
        <w:rPr/>
        <w:t>Common</w:t>
      </w:r>
      <w:r>
        <w:rPr>
          <w:spacing w:val="9"/>
        </w:rPr>
        <w:t> </w:t>
      </w:r>
      <w:r>
        <w:rPr/>
        <w:t>European</w:t>
      </w:r>
      <w:r>
        <w:rPr>
          <w:spacing w:val="9"/>
        </w:rPr>
        <w:t> </w:t>
      </w:r>
      <w:r>
        <w:rPr/>
        <w:t>Sales</w:t>
      </w:r>
      <w:r>
        <w:rPr>
          <w:spacing w:val="9"/>
        </w:rPr>
        <w:t> </w:t>
      </w:r>
      <w:r>
        <w:rPr/>
        <w:t>Law</w:t>
      </w:r>
      <w:r>
        <w:rPr>
          <w:spacing w:val="9"/>
        </w:rPr>
        <w:t> </w:t>
      </w:r>
      <w:r>
        <w:rPr/>
        <w:t>or</w:t>
      </w:r>
      <w:r>
        <w:rPr>
          <w:spacing w:val="9"/>
        </w:rPr>
        <w:t> </w:t>
      </w:r>
      <w:r>
        <w:rPr/>
        <w:t>to</w:t>
      </w:r>
      <w:r>
        <w:rPr>
          <w:spacing w:val="9"/>
        </w:rPr>
        <w:t> </w:t>
      </w:r>
      <w:r>
        <w:rPr/>
        <w:t>any</w:t>
      </w:r>
      <w:r>
        <w:rPr>
          <w:spacing w:val="9"/>
        </w:rPr>
        <w:t> </w:t>
      </w:r>
      <w:r>
        <w:rPr/>
        <w:t>other</w:t>
      </w:r>
      <w:r>
        <w:rPr>
          <w:spacing w:val="9"/>
        </w:rPr>
        <w:t> </w:t>
      </w:r>
      <w:r>
        <w:rPr>
          <w:spacing w:val="-2"/>
        </w:rPr>
        <w:t>law.”</w:t>
      </w:r>
    </w:p>
    <w:p>
      <w:pPr>
        <w:pStyle w:val="BodyText"/>
        <w:spacing w:after="0" w:line="235" w:lineRule="auto"/>
        <w:jc w:val="both"/>
        <w:sectPr>
          <w:headerReference w:type="default" r:id="rId10"/>
          <w:pgSz w:w="11900" w:h="16840"/>
          <w:pgMar w:header="971" w:footer="0" w:top="1300" w:bottom="280" w:left="1275" w:right="1275"/>
          <w:pgNumType w:start="2"/>
        </w:sectPr>
      </w:pPr>
    </w:p>
    <w:p>
      <w:pPr>
        <w:pStyle w:val="BodyText"/>
        <w:rPr>
          <w:sz w:val="12"/>
        </w:rPr>
      </w:pPr>
    </w:p>
    <w:p>
      <w:pPr>
        <w:pStyle w:val="BodyText"/>
        <w:spacing w:before="50"/>
        <w:rPr>
          <w:sz w:val="12"/>
        </w:rPr>
      </w:pPr>
    </w:p>
    <w:p>
      <w:pPr>
        <w:spacing w:before="0"/>
        <w:ind w:left="1245" w:right="0" w:firstLine="0"/>
        <w:jc w:val="left"/>
        <w:rPr>
          <w:sz w:val="12"/>
        </w:rPr>
      </w:pPr>
      <w:r>
        <w:rPr>
          <w:sz w:val="12"/>
        </w:rPr>
        <w:drawing>
          <wp:anchor distT="0" distB="0" distL="0" distR="0" allowOverlap="1" layoutInCell="1" locked="0" behindDoc="0" simplePos="0" relativeHeight="15741952">
            <wp:simplePos x="0" y="0"/>
            <wp:positionH relativeFrom="page">
              <wp:posOffset>1790852</wp:posOffset>
            </wp:positionH>
            <wp:positionV relativeFrom="paragraph">
              <wp:posOffset>41145</wp:posOffset>
            </wp:positionV>
            <wp:extent cx="107988" cy="107988"/>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162">
        <w:r>
          <w:rPr>
            <w:color w:val="005DA1"/>
            <w:spacing w:val="-5"/>
            <w:sz w:val="12"/>
            <w:u w:val="single" w:color="005DA1"/>
          </w:rPr>
          <w:t>88</w:t>
        </w:r>
      </w:hyperlink>
    </w:p>
    <w:p>
      <w:pPr>
        <w:pStyle w:val="BodyText"/>
        <w:spacing w:before="228"/>
      </w:pPr>
    </w:p>
    <w:p>
      <w:pPr>
        <w:pStyle w:val="BodyText"/>
        <w:spacing w:line="235" w:lineRule="auto"/>
        <w:ind w:left="165" w:right="167"/>
        <w:jc w:val="both"/>
      </w:pPr>
      <w:r>
        <w:rPr/>
        <w:t>However, the proposal met with considerable criticism and opposition, including challenges to </w:t>
      </w:r>
      <w:r>
        <w:rPr/>
        <w:t>its competence under the Treaty, and in December 2014 it was withdrawn, though the Commission </w:t>
      </w:r>
      <w:bookmarkStart w:name="_bookmark134" w:id="136"/>
      <w:bookmarkEnd w:id="136"/>
      <w:r>
        <w:rPr/>
        <w:t>announced</w:t>
      </w:r>
      <w:r>
        <w:rPr>
          <w:spacing w:val="78"/>
        </w:rPr>
        <w:t> </w:t>
      </w:r>
      <w:r>
        <w:rPr/>
        <w:t>its</w:t>
      </w:r>
      <w:r>
        <w:rPr>
          <w:spacing w:val="78"/>
        </w:rPr>
        <w:t> </w:t>
      </w:r>
      <w:r>
        <w:rPr/>
        <w:t>intention</w:t>
      </w:r>
      <w:r>
        <w:rPr>
          <w:spacing w:val="78"/>
        </w:rPr>
        <w:t> </w:t>
      </w:r>
      <w:r>
        <w:rPr/>
        <w:t>of</w:t>
      </w:r>
      <w:r>
        <w:rPr>
          <w:spacing w:val="78"/>
        </w:rPr>
        <w:t> </w:t>
      </w:r>
      <w:r>
        <w:rPr/>
        <w:t>bringing</w:t>
      </w:r>
      <w:r>
        <w:rPr>
          <w:spacing w:val="78"/>
        </w:rPr>
        <w:t> </w:t>
      </w:r>
      <w:r>
        <w:rPr/>
        <w:t>forward</w:t>
      </w:r>
      <w:r>
        <w:rPr>
          <w:spacing w:val="78"/>
        </w:rPr>
        <w:t> </w:t>
      </w:r>
      <w:r>
        <w:rPr/>
        <w:t>a</w:t>
      </w:r>
      <w:r>
        <w:rPr>
          <w:spacing w:val="78"/>
        </w:rPr>
        <w:t> </w:t>
      </w:r>
      <w:r>
        <w:rPr/>
        <w:t>modified</w:t>
      </w:r>
      <w:r>
        <w:rPr>
          <w:spacing w:val="78"/>
        </w:rPr>
        <w:t> </w:t>
      </w:r>
      <w:r>
        <w:rPr/>
        <w:t>proposal</w:t>
      </w:r>
      <w:r>
        <w:rPr>
          <w:spacing w:val="78"/>
        </w:rPr>
        <w:t> </w:t>
      </w:r>
      <w:r>
        <w:rPr/>
        <w:t>“to</w:t>
      </w:r>
      <w:r>
        <w:rPr>
          <w:spacing w:val="78"/>
        </w:rPr>
        <w:t> </w:t>
      </w:r>
      <w:r>
        <w:rPr/>
        <w:t>unleash</w:t>
      </w:r>
      <w:r>
        <w:rPr>
          <w:spacing w:val="78"/>
        </w:rPr>
        <w:t> </w:t>
      </w:r>
      <w:r>
        <w:rPr/>
        <w:t>the</w:t>
      </w:r>
      <w:r>
        <w:rPr>
          <w:spacing w:val="78"/>
        </w:rPr>
        <w:t> </w:t>
      </w:r>
      <w:r>
        <w:rPr/>
        <w:t>potential</w:t>
      </w:r>
      <w:r>
        <w:rPr>
          <w:spacing w:val="78"/>
        </w:rPr>
        <w:t> </w:t>
      </w:r>
      <w:r>
        <w:rPr>
          <w:spacing w:val="-5"/>
        </w:rPr>
        <w:t>of</w:t>
      </w:r>
    </w:p>
    <w:p>
      <w:pPr>
        <w:pStyle w:val="BodyText"/>
        <w:spacing w:line="235" w:lineRule="auto" w:before="119"/>
        <w:ind w:left="165" w:right="167"/>
        <w:jc w:val="both"/>
      </w:pPr>
      <w:r>
        <w:rPr/>
        <w:t>e-commerce in the digital Single Market”. </w:t>
      </w:r>
      <w:r>
        <w:rPr>
          <w:color w:val="005DA1"/>
          <w:u w:val="single" w:color="005DA1"/>
          <w:vertAlign w:val="superscript"/>
        </w:rPr>
        <w:t>89</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19"/>
          <w:vertAlign w:val="baseline"/>
        </w:rPr>
        <w:t> </w:t>
      </w:r>
      <w:r>
        <w:rPr>
          <w:vertAlign w:val="baseline"/>
        </w:rPr>
        <w:t>Moreover, despite the withdrawal of the earlier proposal,</w:t>
      </w:r>
      <w:r>
        <w:rPr>
          <w:spacing w:val="-2"/>
          <w:vertAlign w:val="baseline"/>
        </w:rPr>
        <w:t> </w:t>
      </w:r>
      <w:r>
        <w:rPr>
          <w:vertAlign w:val="baseline"/>
        </w:rPr>
        <w:t>the</w:t>
      </w:r>
      <w:r>
        <w:rPr>
          <w:spacing w:val="-2"/>
          <w:vertAlign w:val="baseline"/>
        </w:rPr>
        <w:t> </w:t>
      </w:r>
      <w:r>
        <w:rPr>
          <w:vertAlign w:val="baseline"/>
        </w:rPr>
        <w:t>substantive</w:t>
      </w:r>
      <w:r>
        <w:rPr>
          <w:spacing w:val="-2"/>
          <w:vertAlign w:val="baseline"/>
        </w:rPr>
        <w:t> </w:t>
      </w:r>
      <w:r>
        <w:rPr>
          <w:vertAlign w:val="baseline"/>
        </w:rPr>
        <w:t>provisions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draft</w:t>
      </w:r>
      <w:r>
        <w:rPr>
          <w:spacing w:val="-2"/>
          <w:vertAlign w:val="baseline"/>
        </w:rPr>
        <w:t> </w:t>
      </w:r>
      <w:r>
        <w:rPr>
          <w:vertAlign w:val="baseline"/>
        </w:rPr>
        <w:t>Common</w:t>
      </w:r>
      <w:r>
        <w:rPr>
          <w:spacing w:val="-2"/>
          <w:vertAlign w:val="baseline"/>
        </w:rPr>
        <w:t> </w:t>
      </w:r>
      <w:r>
        <w:rPr>
          <w:vertAlign w:val="baseline"/>
        </w:rPr>
        <w:t>European</w:t>
      </w:r>
      <w:r>
        <w:rPr>
          <w:spacing w:val="-2"/>
          <w:vertAlign w:val="baseline"/>
        </w:rPr>
        <w:t> </w:t>
      </w:r>
      <w:r>
        <w:rPr>
          <w:vertAlign w:val="baseline"/>
        </w:rPr>
        <w:t>Sales</w:t>
      </w:r>
      <w:r>
        <w:rPr>
          <w:spacing w:val="-2"/>
          <w:vertAlign w:val="baseline"/>
        </w:rPr>
        <w:t> </w:t>
      </w:r>
      <w:r>
        <w:rPr>
          <w:vertAlign w:val="baseline"/>
        </w:rPr>
        <w:t>law</w:t>
      </w:r>
      <w:r>
        <w:rPr>
          <w:spacing w:val="-2"/>
          <w:vertAlign w:val="baseline"/>
        </w:rPr>
        <w:t> </w:t>
      </w:r>
      <w:r>
        <w:rPr>
          <w:vertAlign w:val="baseline"/>
        </w:rPr>
        <w:t>itself</w:t>
      </w:r>
      <w:r>
        <w:rPr>
          <w:spacing w:val="-2"/>
          <w:vertAlign w:val="baseline"/>
        </w:rPr>
        <w:t> </w:t>
      </w:r>
      <w:r>
        <w:rPr>
          <w:vertAlign w:val="baseline"/>
        </w:rPr>
        <w:t>(particularly</w:t>
      </w:r>
      <w:r>
        <w:rPr>
          <w:spacing w:val="-2"/>
          <w:vertAlign w:val="baseline"/>
        </w:rPr>
        <w:t> </w:t>
      </w:r>
      <w:r>
        <w:rPr>
          <w:vertAlign w:val="baseline"/>
        </w:rPr>
        <w:t>those intended to govern contracts generally) remain of interest as they may be seen as reflecting </w:t>
      </w:r>
      <w:r>
        <w:rPr>
          <w:vertAlign w:val="baseline"/>
        </w:rPr>
        <w:t>an </w:t>
      </w:r>
      <w:bookmarkStart w:name="_bookmark135" w:id="137"/>
      <w:bookmarkEnd w:id="137"/>
      <w:r>
        <w:rPr>
          <w:vertAlign w:val="baseline"/>
        </w:rPr>
        <w:t>emerging</w:t>
      </w:r>
      <w:r>
        <w:rPr>
          <w:spacing w:val="11"/>
          <w:vertAlign w:val="baseline"/>
        </w:rPr>
        <w:t> </w:t>
      </w:r>
      <w:r>
        <w:rPr>
          <w:vertAlign w:val="baseline"/>
        </w:rPr>
        <w:t>“common</w:t>
      </w:r>
      <w:r>
        <w:rPr>
          <w:spacing w:val="11"/>
          <w:vertAlign w:val="baseline"/>
        </w:rPr>
        <w:t> </w:t>
      </w:r>
      <w:r>
        <w:rPr>
          <w:vertAlign w:val="baseline"/>
        </w:rPr>
        <w:t>European</w:t>
      </w:r>
      <w:r>
        <w:rPr>
          <w:spacing w:val="11"/>
          <w:vertAlign w:val="baseline"/>
        </w:rPr>
        <w:t> </w:t>
      </w:r>
      <w:r>
        <w:rPr>
          <w:vertAlign w:val="baseline"/>
        </w:rPr>
        <w:t>law</w:t>
      </w:r>
      <w:r>
        <w:rPr>
          <w:spacing w:val="11"/>
          <w:vertAlign w:val="baseline"/>
        </w:rPr>
        <w:t> </w:t>
      </w:r>
      <w:r>
        <w:rPr>
          <w:vertAlign w:val="baseline"/>
        </w:rPr>
        <w:t>of</w:t>
      </w:r>
      <w:r>
        <w:rPr>
          <w:spacing w:val="11"/>
          <w:vertAlign w:val="baseline"/>
        </w:rPr>
        <w:t> </w:t>
      </w:r>
      <w:r>
        <w:rPr>
          <w:vertAlign w:val="baseline"/>
        </w:rPr>
        <w:t>contract”.</w:t>
      </w:r>
      <w:r>
        <w:rPr>
          <w:spacing w:val="11"/>
          <w:vertAlign w:val="baseline"/>
        </w:rPr>
        <w:t> </w:t>
      </w:r>
      <w:r>
        <w:rPr>
          <w:vertAlign w:val="baseline"/>
        </w:rPr>
        <w:t>This</w:t>
      </w:r>
      <w:r>
        <w:rPr>
          <w:spacing w:val="11"/>
          <w:vertAlign w:val="baseline"/>
        </w:rPr>
        <w:t> </w:t>
      </w:r>
      <w:r>
        <w:rPr>
          <w:vertAlign w:val="baseline"/>
        </w:rPr>
        <w:t>may</w:t>
      </w:r>
      <w:r>
        <w:rPr>
          <w:spacing w:val="11"/>
          <w:vertAlign w:val="baseline"/>
        </w:rPr>
        <w:t> </w:t>
      </w:r>
      <w:r>
        <w:rPr>
          <w:vertAlign w:val="baseline"/>
        </w:rPr>
        <w:t>be</w:t>
      </w:r>
      <w:r>
        <w:rPr>
          <w:spacing w:val="11"/>
          <w:vertAlign w:val="baseline"/>
        </w:rPr>
        <w:t> </w:t>
      </w:r>
      <w:r>
        <w:rPr>
          <w:vertAlign w:val="baseline"/>
        </w:rPr>
        <w:t>significant</w:t>
      </w:r>
      <w:r>
        <w:rPr>
          <w:spacing w:val="11"/>
          <w:vertAlign w:val="baseline"/>
        </w:rPr>
        <w:t> </w:t>
      </w:r>
      <w:r>
        <w:rPr>
          <w:vertAlign w:val="baseline"/>
        </w:rPr>
        <w:t>for</w:t>
      </w:r>
      <w:r>
        <w:rPr>
          <w:spacing w:val="11"/>
          <w:vertAlign w:val="baseline"/>
        </w:rPr>
        <w:t> </w:t>
      </w:r>
      <w:r>
        <w:rPr>
          <w:vertAlign w:val="baseline"/>
        </w:rPr>
        <w:t>the</w:t>
      </w:r>
      <w:r>
        <w:rPr>
          <w:spacing w:val="11"/>
          <w:vertAlign w:val="baseline"/>
        </w:rPr>
        <w:t> </w:t>
      </w:r>
      <w:r>
        <w:rPr>
          <w:vertAlign w:val="baseline"/>
        </w:rPr>
        <w:t>drafting</w:t>
      </w:r>
      <w:r>
        <w:rPr>
          <w:spacing w:val="11"/>
          <w:vertAlign w:val="baseline"/>
        </w:rPr>
        <w:t> </w:t>
      </w:r>
      <w:r>
        <w:rPr>
          <w:vertAlign w:val="baseline"/>
        </w:rPr>
        <w:t>of</w:t>
      </w:r>
      <w:r>
        <w:rPr>
          <w:spacing w:val="11"/>
          <w:vertAlign w:val="baseline"/>
        </w:rPr>
        <w:t> </w:t>
      </w:r>
      <w:r>
        <w:rPr>
          <w:vertAlign w:val="baseline"/>
        </w:rPr>
        <w:t>future</w:t>
      </w:r>
      <w:r>
        <w:rPr>
          <w:spacing w:val="11"/>
          <w:vertAlign w:val="baseline"/>
        </w:rPr>
        <w:t> </w:t>
      </w:r>
      <w:r>
        <w:rPr>
          <w:spacing w:val="-4"/>
          <w:vertAlign w:val="baseline"/>
        </w:rPr>
        <w:t>mor</w:t>
      </w:r>
      <w:r>
        <w:rPr>
          <w:spacing w:val="-4"/>
          <w:vertAlign w:val="baseline"/>
        </w:rPr>
        <w:t>e</w:t>
      </w:r>
    </w:p>
    <w:p>
      <w:pPr>
        <w:pStyle w:val="BodyText"/>
        <w:spacing w:line="360" w:lineRule="auto" w:before="115"/>
        <w:ind w:left="165" w:right="168"/>
        <w:jc w:val="both"/>
        <w:rPr>
          <w:position w:val="-2"/>
        </w:rPr>
      </w:pPr>
      <w:bookmarkStart w:name="_bookmark136" w:id="138"/>
      <w:bookmarkEnd w:id="138"/>
      <w:r>
        <w:rPr/>
      </w:r>
      <w:r>
        <w:rPr/>
        <w:t>particular EU legislation, </w:t>
      </w:r>
      <w:r>
        <w:rPr>
          <w:color w:val="005DA1"/>
          <w:u w:val="single" w:color="005DA1"/>
          <w:vertAlign w:val="superscript"/>
        </w:rPr>
        <w:t>90</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color w:val="005DA1"/>
          <w:spacing w:val="40"/>
          <w:vertAlign w:val="baseline"/>
        </w:rPr>
        <w:t> </w:t>
      </w:r>
      <w:r>
        <w:rPr>
          <w:vertAlign w:val="baseline"/>
        </w:rPr>
        <w:t>and may also be used for the development of </w:t>
      </w:r>
      <w:r>
        <w:rPr>
          <w:vertAlign w:val="baseline"/>
        </w:rPr>
        <w:t>autonomous </w:t>
      </w:r>
      <w:bookmarkStart w:name="_bookmark137" w:id="139"/>
      <w:bookmarkEnd w:id="139"/>
      <w:r>
        <w:rPr>
          <w:vertAlign w:val="baseline"/>
        </w:rPr>
        <w:t>interpretations</w:t>
      </w:r>
      <w:r>
        <w:rPr>
          <w:vertAlign w:val="baseline"/>
        </w:rPr>
        <w:t> of undefined concepts in present or future EU legislation in the area of contracts.</w:t>
      </w:r>
      <w:r>
        <w:rPr>
          <w:spacing w:val="-1"/>
          <w:vertAlign w:val="baseline"/>
        </w:rPr>
        <w:t> </w:t>
      </w:r>
      <w:r>
        <w:rPr>
          <w:color w:val="005DA1"/>
          <w:u w:val="single" w:color="005DA1"/>
          <w:vertAlign w:val="superscript"/>
        </w:rPr>
        <w:t>91</w:t>
      </w:r>
      <w:r>
        <w:rPr>
          <w:color w:val="005DA1"/>
          <w:spacing w:val="28"/>
          <w:vertAlign w:val="baseline"/>
        </w:rPr>
        <w:t>  </w:t>
      </w:r>
      <w:r>
        <w:rPr>
          <w:color w:val="005DA1"/>
          <w:spacing w:val="8"/>
          <w:position w:val="-2"/>
          <w:vertAlign w:val="baseline"/>
        </w:rPr>
        <w:drawing>
          <wp:inline distT="0" distB="0" distL="0" distR="0">
            <wp:extent cx="107988" cy="10798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p>
    <w:p>
      <w:pPr>
        <w:pStyle w:val="BodyText"/>
        <w:spacing w:line="235" w:lineRule="auto" w:before="3"/>
        <w:ind w:left="165" w:right="167"/>
        <w:jc w:val="both"/>
      </w:pPr>
      <w:bookmarkStart w:name="_bookmark138" w:id="140"/>
      <w:bookmarkEnd w:id="140"/>
      <w:r>
        <w:rPr/>
      </w:r>
      <w:r>
        <w:rPr/>
        <w:t>Its provisions—and especially its three general principles </w:t>
      </w:r>
      <w:r>
        <w:rPr>
          <w:color w:val="005DA1"/>
          <w:u w:val="single" w:color="005DA1"/>
          <w:vertAlign w:val="superscript"/>
        </w:rPr>
        <w:t>92</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vertAlign w:val="baseline"/>
        </w:rPr>
        <w:t>—are also likely to be seen as a </w:t>
      </w:r>
      <w:r>
        <w:rPr>
          <w:vertAlign w:val="baseline"/>
        </w:rPr>
        <w:t>basis for</w:t>
      </w:r>
      <w:r>
        <w:rPr>
          <w:spacing w:val="12"/>
          <w:vertAlign w:val="baseline"/>
        </w:rPr>
        <w:t> </w:t>
      </w:r>
      <w:r>
        <w:rPr>
          <w:vertAlign w:val="baseline"/>
        </w:rPr>
        <w:t>the</w:t>
      </w:r>
      <w:r>
        <w:rPr>
          <w:spacing w:val="12"/>
          <w:vertAlign w:val="baseline"/>
        </w:rPr>
        <w:t> </w:t>
      </w:r>
      <w:r>
        <w:rPr>
          <w:vertAlign w:val="baseline"/>
        </w:rPr>
        <w:t>European</w:t>
      </w:r>
      <w:r>
        <w:rPr>
          <w:spacing w:val="12"/>
          <w:vertAlign w:val="baseline"/>
        </w:rPr>
        <w:t> </w:t>
      </w:r>
      <w:r>
        <w:rPr>
          <w:vertAlign w:val="baseline"/>
        </w:rPr>
        <w:t>Court</w:t>
      </w:r>
      <w:r>
        <w:rPr>
          <w:spacing w:val="12"/>
          <w:vertAlign w:val="baseline"/>
        </w:rPr>
        <w:t> </w:t>
      </w:r>
      <w:r>
        <w:rPr>
          <w:vertAlign w:val="baseline"/>
        </w:rPr>
        <w:t>of</w:t>
      </w:r>
      <w:r>
        <w:rPr>
          <w:spacing w:val="12"/>
          <w:vertAlign w:val="baseline"/>
        </w:rPr>
        <w:t> </w:t>
      </w:r>
      <w:r>
        <w:rPr>
          <w:vertAlign w:val="baseline"/>
        </w:rPr>
        <w:t>Justice’s</w:t>
      </w:r>
      <w:r>
        <w:rPr>
          <w:spacing w:val="12"/>
          <w:vertAlign w:val="baseline"/>
        </w:rPr>
        <w:t> </w:t>
      </w:r>
      <w:r>
        <w:rPr>
          <w:vertAlign w:val="baseline"/>
        </w:rPr>
        <w:t>identification</w:t>
      </w:r>
      <w:r>
        <w:rPr>
          <w:spacing w:val="12"/>
          <w:vertAlign w:val="baseline"/>
        </w:rPr>
        <w:t> </w:t>
      </w:r>
      <w:r>
        <w:rPr>
          <w:vertAlign w:val="baseline"/>
        </w:rPr>
        <w:t>and</w:t>
      </w:r>
      <w:r>
        <w:rPr>
          <w:spacing w:val="12"/>
          <w:vertAlign w:val="baseline"/>
        </w:rPr>
        <w:t> </w:t>
      </w:r>
      <w:r>
        <w:rPr>
          <w:vertAlign w:val="baseline"/>
        </w:rPr>
        <w:t>development</w:t>
      </w:r>
      <w:r>
        <w:rPr>
          <w:spacing w:val="12"/>
          <w:vertAlign w:val="baseline"/>
        </w:rPr>
        <w:t> </w:t>
      </w:r>
      <w:r>
        <w:rPr>
          <w:vertAlign w:val="baseline"/>
        </w:rPr>
        <w:t>of</w:t>
      </w:r>
      <w:r>
        <w:rPr>
          <w:spacing w:val="12"/>
          <w:vertAlign w:val="baseline"/>
        </w:rPr>
        <w:t> </w:t>
      </w:r>
      <w:r>
        <w:rPr>
          <w:vertAlign w:val="baseline"/>
        </w:rPr>
        <w:t>“general</w:t>
      </w:r>
      <w:r>
        <w:rPr>
          <w:spacing w:val="12"/>
          <w:vertAlign w:val="baseline"/>
        </w:rPr>
        <w:t> </w:t>
      </w:r>
      <w:r>
        <w:rPr>
          <w:vertAlign w:val="baseline"/>
        </w:rPr>
        <w:t>principles</w:t>
      </w:r>
      <w:r>
        <w:rPr>
          <w:spacing w:val="12"/>
          <w:vertAlign w:val="baseline"/>
        </w:rPr>
        <w:t> </w:t>
      </w:r>
      <w:r>
        <w:rPr>
          <w:vertAlign w:val="baseline"/>
        </w:rPr>
        <w:t>of</w:t>
      </w:r>
      <w:r>
        <w:rPr>
          <w:spacing w:val="12"/>
          <w:vertAlign w:val="baseline"/>
        </w:rPr>
        <w:t> </w:t>
      </w:r>
      <w:r>
        <w:rPr>
          <w:vertAlign w:val="baseline"/>
        </w:rPr>
        <w:t>civil</w:t>
      </w:r>
      <w:r>
        <w:rPr>
          <w:spacing w:val="12"/>
          <w:vertAlign w:val="baseline"/>
        </w:rPr>
        <w:t> </w:t>
      </w:r>
      <w:r>
        <w:rPr>
          <w:spacing w:val="-2"/>
          <w:vertAlign w:val="baseline"/>
        </w:rPr>
        <w:t>law”.</w:t>
      </w:r>
    </w:p>
    <w:p>
      <w:pPr>
        <w:spacing w:before="95"/>
        <w:ind w:left="165" w:right="0" w:firstLine="0"/>
        <w:jc w:val="left"/>
        <w:rPr>
          <w:sz w:val="12"/>
        </w:rPr>
      </w:pPr>
      <w:r>
        <w:rPr>
          <w:sz w:val="12"/>
        </w:rPr>
        <w:drawing>
          <wp:anchor distT="0" distB="0" distL="0" distR="0" allowOverlap="1" layoutInCell="1" locked="0" behindDoc="0" simplePos="0" relativeHeight="15742464">
            <wp:simplePos x="0" y="0"/>
            <wp:positionH relativeFrom="page">
              <wp:posOffset>1105052</wp:posOffset>
            </wp:positionH>
            <wp:positionV relativeFrom="paragraph">
              <wp:posOffset>101738</wp:posOffset>
            </wp:positionV>
            <wp:extent cx="107988" cy="107988"/>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166">
        <w:r>
          <w:rPr>
            <w:color w:val="005DA1"/>
            <w:spacing w:val="-5"/>
            <w:sz w:val="12"/>
            <w:u w:val="single" w:color="005DA1"/>
          </w:rPr>
          <w:t>93</w:t>
        </w:r>
      </w:hyperlink>
    </w:p>
    <w:p>
      <w:pPr>
        <w:pStyle w:val="BodyText"/>
      </w:pPr>
    </w:p>
    <w:p>
      <w:pPr>
        <w:pStyle w:val="BodyText"/>
        <w:spacing w:before="151"/>
      </w:pPr>
      <w:r>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257714</wp:posOffset>
                </wp:positionV>
                <wp:extent cx="572452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292480pt;width:450.75pt;height:.1pt;mso-position-horizontal-relative:page;mso-position-vertical-relative:paragraph;z-index:-15715840;mso-wrap-distance-left:0;mso-wrap-distance-right:0" id="docshape11" coordorigin="1440,406" coordsize="9015,0" path="m1440,406l10454,406e" filled="false" stroked="true" strokeweight="1pt" strokecolor="#000000">
                <v:path arrowok="t"/>
                <v:stroke dashstyle="solid"/>
                <w10:wrap type="topAndBottom"/>
              </v:shape>
            </w:pict>
          </mc:Fallback>
        </mc:AlternateContent>
      </w:r>
    </w:p>
    <w:p>
      <w:pPr>
        <w:pStyle w:val="BodyText"/>
        <w:spacing w:before="9"/>
      </w:pPr>
    </w:p>
    <w:p>
      <w:pPr>
        <w:pStyle w:val="BodyText"/>
        <w:spacing w:after="0"/>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2976">
            <wp:simplePos x="0" y="0"/>
            <wp:positionH relativeFrom="page">
              <wp:posOffset>1257846</wp:posOffset>
            </wp:positionH>
            <wp:positionV relativeFrom="paragraph">
              <wp:posOffset>160286</wp:posOffset>
            </wp:positionV>
            <wp:extent cx="107988" cy="107988"/>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9" w:id="141"/>
      <w:bookmarkEnd w:id="141"/>
      <w:r>
        <w:rPr/>
      </w:r>
      <w:hyperlink w:history="true" w:anchor="_bookmark108">
        <w:r>
          <w:rPr>
            <w:color w:val="005DA1"/>
            <w:spacing w:val="-5"/>
            <w:sz w:val="14"/>
            <w:u w:val="single" w:color="005DA1"/>
          </w:rPr>
          <w:t>63</w:t>
        </w:r>
      </w:hyperlink>
      <w:r>
        <w:rPr>
          <w:spacing w:val="-5"/>
          <w:sz w:val="14"/>
        </w:rPr>
        <w:t>.</w:t>
      </w:r>
    </w:p>
    <w:p>
      <w:pPr>
        <w:pStyle w:val="BodyText"/>
        <w:spacing w:line="235" w:lineRule="auto" w:before="212"/>
        <w:ind w:left="30" w:right="167" w:firstLine="170"/>
        <w:jc w:val="both"/>
      </w:pPr>
      <w:r>
        <w:rPr/>
        <w:br w:type="column"/>
      </w:r>
      <w:r>
        <w:rPr/>
        <w:t>Notably, as being an “agreement between undertakings … which may affect trade </w:t>
      </w:r>
      <w:r>
        <w:rPr/>
        <w:t>between Member States and which [has] as [its] object or effect the prevention, restriction or distortion of competition within the internal market”: art.101 TFEU (ex art.81 EC). On this law, see generally Vol.II, Ch.43, especially paras 43-004 et seq.</w:t>
      </w:r>
    </w:p>
    <w:p>
      <w:pPr>
        <w:pStyle w:val="BodyText"/>
        <w:spacing w:after="0" w:line="235" w:lineRule="auto"/>
        <w:jc w:val="both"/>
        <w:sectPr>
          <w:type w:val="continuous"/>
          <w:pgSz w:w="11900" w:h="16840"/>
          <w:pgMar w:header="971" w:footer="0" w:top="1300" w:bottom="280" w:left="1275" w:right="1275"/>
          <w:cols w:num="2" w:equalWidth="0">
            <w:col w:w="636" w:space="40"/>
            <w:col w:w="8674"/>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3488">
            <wp:simplePos x="0" y="0"/>
            <wp:positionH relativeFrom="page">
              <wp:posOffset>1257846</wp:posOffset>
            </wp:positionH>
            <wp:positionV relativeFrom="paragraph">
              <wp:posOffset>160596</wp:posOffset>
            </wp:positionV>
            <wp:extent cx="107988" cy="107988"/>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0" w:id="142"/>
      <w:bookmarkEnd w:id="142"/>
      <w:r>
        <w:rPr/>
      </w:r>
      <w:hyperlink w:history="true" w:anchor="_bookmark109">
        <w:r>
          <w:rPr>
            <w:color w:val="005DA1"/>
            <w:spacing w:val="-5"/>
            <w:sz w:val="14"/>
            <w:u w:val="single" w:color="005DA1"/>
          </w:rPr>
          <w:t>64</w:t>
        </w:r>
      </w:hyperlink>
      <w:r>
        <w:rPr>
          <w:spacing w:val="-5"/>
          <w:sz w:val="14"/>
        </w:rPr>
        <w:t>.</w:t>
      </w:r>
    </w:p>
    <w:p>
      <w:pPr>
        <w:pStyle w:val="BodyText"/>
        <w:spacing w:line="235" w:lineRule="auto" w:before="212"/>
        <w:ind w:left="165" w:right="167" w:firstLine="170"/>
        <w:jc w:val="both"/>
      </w:pPr>
      <w:r>
        <w:rPr/>
        <w:br w:type="column"/>
      </w:r>
      <w:r>
        <w:rPr/>
        <w:t>Directive 93/13/EEC of April 5, 1993 on unfair terms in consumer contracts [1993] O.J.</w:t>
      </w:r>
      <w:r>
        <w:rPr>
          <w:spacing w:val="80"/>
        </w:rPr>
        <w:t> </w:t>
      </w:r>
      <w:r>
        <w:rPr/>
        <w:t>L95/29 (see Vol.II, paras 38-199—38-200); Directive 97/7/EC on the protection of consumers in respect of distance contracts [1997] O.J. L144/19; Directive 85/577/EEC to protect </w:t>
      </w:r>
      <w:r>
        <w:rPr/>
        <w:t>the consumer in respect of contracts negotiated away from business premises [1985] O.J. L372/31 (the</w:t>
      </w:r>
      <w:r>
        <w:rPr>
          <w:spacing w:val="-1"/>
        </w:rPr>
        <w:t> </w:t>
      </w:r>
      <w:r>
        <w:rPr/>
        <w:t>latter</w:t>
      </w:r>
      <w:r>
        <w:rPr>
          <w:spacing w:val="-1"/>
        </w:rPr>
        <w:t> </w:t>
      </w:r>
      <w:r>
        <w:rPr/>
        <w:t>two</w:t>
      </w:r>
      <w:r>
        <w:rPr>
          <w:spacing w:val="-1"/>
        </w:rPr>
        <w:t> </w:t>
      </w:r>
      <w:r>
        <w:rPr/>
        <w:t>of</w:t>
      </w:r>
      <w:r>
        <w:rPr>
          <w:spacing w:val="-1"/>
        </w:rPr>
        <w:t> </w:t>
      </w:r>
      <w:r>
        <w:rPr/>
        <w:t>which</w:t>
      </w:r>
      <w:r>
        <w:rPr>
          <w:spacing w:val="-1"/>
        </w:rPr>
        <w:t> </w:t>
      </w:r>
      <w:r>
        <w:rPr/>
        <w:t>were</w:t>
      </w:r>
      <w:r>
        <w:rPr>
          <w:spacing w:val="-1"/>
        </w:rPr>
        <w:t> </w:t>
      </w:r>
      <w:r>
        <w:rPr/>
        <w:t>revoked</w:t>
      </w:r>
      <w:r>
        <w:rPr>
          <w:spacing w:val="-1"/>
        </w:rPr>
        <w:t> </w:t>
      </w:r>
      <w:r>
        <w:rPr/>
        <w:t>and</w:t>
      </w:r>
      <w:r>
        <w:rPr>
          <w:spacing w:val="-1"/>
        </w:rPr>
        <w:t> </w:t>
      </w:r>
      <w:r>
        <w:rPr/>
        <w:t>replaced</w:t>
      </w:r>
      <w:r>
        <w:rPr>
          <w:spacing w:val="-1"/>
        </w:rPr>
        <w:t> </w:t>
      </w:r>
      <w:r>
        <w:rPr/>
        <w:t>by</w:t>
      </w:r>
      <w:r>
        <w:rPr>
          <w:spacing w:val="-1"/>
        </w:rPr>
        <w:t> </w:t>
      </w:r>
      <w:r>
        <w:rPr/>
        <w:t>Directive</w:t>
      </w:r>
      <w:r>
        <w:rPr>
          <w:spacing w:val="-1"/>
        </w:rPr>
        <w:t> </w:t>
      </w:r>
      <w:r>
        <w:rPr/>
        <w:t>2011/83/EU</w:t>
      </w:r>
      <w:r>
        <w:rPr>
          <w:spacing w:val="-1"/>
        </w:rPr>
        <w:t> </w:t>
      </w:r>
      <w:r>
        <w:rPr/>
        <w:t>on</w:t>
      </w:r>
      <w:r>
        <w:rPr>
          <w:spacing w:val="-1"/>
        </w:rPr>
        <w:t> </w:t>
      </w:r>
      <w:r>
        <w:rPr/>
        <w:t>consumer</w:t>
      </w:r>
      <w:r>
        <w:rPr>
          <w:spacing w:val="-1"/>
        </w:rPr>
        <w:t> </w:t>
      </w:r>
      <w:r>
        <w:rPr/>
        <w:t>rights [2011] O.J. L304/64) (see Vol.II, paras 38-056—38-061); Directive 99/44/EC on certain aspects of the sale of consumer goods and associated guarantees [1999] O.J. L171/7 (see Vol.II, paras 38-400—38-402); Directive 2002/65/EC concerning the distance marketing of consumer financial services [2002] O.J. L271/16 (see Vol.II, para.38-131); Directive 2005/29/EC concerning</w:t>
      </w:r>
      <w:r>
        <w:rPr>
          <w:spacing w:val="-2"/>
        </w:rPr>
        <w:t> </w:t>
      </w:r>
      <w:r>
        <w:rPr/>
        <w:t>unfair</w:t>
      </w:r>
      <w:r>
        <w:rPr>
          <w:spacing w:val="-2"/>
        </w:rPr>
        <w:t> </w:t>
      </w:r>
      <w:r>
        <w:rPr/>
        <w:t>business-to-consumer</w:t>
      </w:r>
      <w:r>
        <w:rPr>
          <w:spacing w:val="-2"/>
        </w:rPr>
        <w:t> </w:t>
      </w:r>
      <w:r>
        <w:rPr/>
        <w:t>commercial</w:t>
      </w:r>
      <w:r>
        <w:rPr>
          <w:spacing w:val="-2"/>
        </w:rPr>
        <w:t> </w:t>
      </w:r>
      <w:r>
        <w:rPr/>
        <w:t>practices</w:t>
      </w:r>
      <w:r>
        <w:rPr>
          <w:spacing w:val="-2"/>
        </w:rPr>
        <w:t> </w:t>
      </w:r>
      <w:r>
        <w:rPr/>
        <w:t>in</w:t>
      </w:r>
      <w:r>
        <w:rPr>
          <w:spacing w:val="-2"/>
        </w:rPr>
        <w:t> </w:t>
      </w:r>
      <w:r>
        <w:rPr/>
        <w:t>the</w:t>
      </w:r>
      <w:r>
        <w:rPr>
          <w:spacing w:val="-2"/>
        </w:rPr>
        <w:t> </w:t>
      </w:r>
      <w:r>
        <w:rPr/>
        <w:t>internal</w:t>
      </w:r>
      <w:r>
        <w:rPr>
          <w:spacing w:val="-2"/>
        </w:rPr>
        <w:t> </w:t>
      </w:r>
      <w:r>
        <w:rPr/>
        <w:t>market</w:t>
      </w:r>
      <w:r>
        <w:rPr>
          <w:spacing w:val="-2"/>
        </w:rPr>
        <w:t> </w:t>
      </w:r>
      <w:r>
        <w:rPr/>
        <w:t>[2005]</w:t>
      </w:r>
      <w:r>
        <w:rPr>
          <w:spacing w:val="-2"/>
        </w:rPr>
        <w:t> </w:t>
      </w:r>
      <w:r>
        <w:rPr/>
        <w:t>O.J. L149/22 (see Vol.II, paras 38-147—38-152); Directive 2008/48/EC on credit agreements for consumers and repealing Council Directive 87/102/EEC [2008] O.J. L133/66 below, Vol.II, para.39-011; Directive 2008/122/EC on the protection of consumers in respect of certain aspects of timeshare, long-term holiday product, resale and exchange contracts [2009] O.J. L33/30 (see Vol.II, para.38-136); Directive 90/314/EEC of June 13, 1990 on package travel, package holidays and package tours [1990] O.J. L158/59 (itself repealed and replaced by Directive (EU) 2015/2302 on package travel and linked travel arrangements [2015] O.J. L326/1 as from July 1, 2018 (arts 28 and 29)) (see Vol.II, para.38-136); Regulation (EC) 261/2004 establishing common rules on compensation and assistance to passengers in the event of denied boarding and of cancellation or long delay of flights [2004] O.J. L46/1 (see Vol.II, paras 35-071—35-073); Directive 2014/17/EU on credit agreements for consumers relating to residential</w:t>
      </w:r>
      <w:r>
        <w:rPr>
          <w:spacing w:val="31"/>
        </w:rPr>
        <w:t> </w:t>
      </w:r>
      <w:r>
        <w:rPr/>
        <w:t>immovable</w:t>
      </w:r>
      <w:r>
        <w:rPr>
          <w:spacing w:val="31"/>
        </w:rPr>
        <w:t> </w:t>
      </w:r>
      <w:r>
        <w:rPr/>
        <w:t>property</w:t>
      </w:r>
      <w:r>
        <w:rPr>
          <w:spacing w:val="31"/>
        </w:rPr>
        <w:t> </w:t>
      </w:r>
      <w:r>
        <w:rPr/>
        <w:t>[2014]</w:t>
      </w:r>
      <w:r>
        <w:rPr>
          <w:spacing w:val="31"/>
        </w:rPr>
        <w:t> </w:t>
      </w:r>
      <w:r>
        <w:rPr/>
        <w:t>O.J.</w:t>
      </w:r>
      <w:r>
        <w:rPr>
          <w:spacing w:val="31"/>
        </w:rPr>
        <w:t> </w:t>
      </w:r>
      <w:r>
        <w:rPr/>
        <w:t>L2014/34</w:t>
      </w:r>
      <w:r>
        <w:rPr>
          <w:spacing w:val="31"/>
        </w:rPr>
        <w:t> </w:t>
      </w:r>
      <w:r>
        <w:rPr/>
        <w:t>on</w:t>
      </w:r>
      <w:r>
        <w:rPr>
          <w:spacing w:val="31"/>
        </w:rPr>
        <w:t> </w:t>
      </w:r>
      <w:r>
        <w:rPr/>
        <w:t>which</w:t>
      </w:r>
      <w:r>
        <w:rPr>
          <w:spacing w:val="31"/>
        </w:rPr>
        <w:t> </w:t>
      </w:r>
      <w:r>
        <w:rPr/>
        <w:t>see</w:t>
      </w:r>
      <w:r>
        <w:rPr>
          <w:spacing w:val="31"/>
        </w:rPr>
        <w:t> </w:t>
      </w:r>
      <w:r>
        <w:rPr/>
        <w:t>Vol.II,</w:t>
      </w:r>
      <w:r>
        <w:rPr>
          <w:spacing w:val="31"/>
        </w:rPr>
        <w:t> </w:t>
      </w:r>
      <w:r>
        <w:rPr/>
        <w:t>paras</w:t>
      </w:r>
      <w:r>
        <w:rPr>
          <w:spacing w:val="31"/>
        </w:rPr>
        <w:t> </w:t>
      </w:r>
      <w:r>
        <w:rPr/>
        <w:t>39-003</w:t>
      </w:r>
      <w:r>
        <w:rPr>
          <w:spacing w:val="31"/>
        </w:rPr>
        <w:t> </w:t>
      </w:r>
      <w:r>
        <w:rPr/>
        <w:t>and </w:t>
      </w:r>
      <w:r>
        <w:rPr>
          <w:spacing w:val="-2"/>
        </w:rPr>
        <w:t>39-531.</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1"/>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4000">
            <wp:simplePos x="0" y="0"/>
            <wp:positionH relativeFrom="page">
              <wp:posOffset>1257846</wp:posOffset>
            </wp:positionH>
            <wp:positionV relativeFrom="paragraph">
              <wp:posOffset>160756</wp:posOffset>
            </wp:positionV>
            <wp:extent cx="107988" cy="107988"/>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1" w:id="143"/>
      <w:bookmarkEnd w:id="143"/>
      <w:r>
        <w:rPr/>
      </w:r>
      <w:hyperlink w:history="true" w:anchor="_bookmark110">
        <w:r>
          <w:rPr>
            <w:color w:val="005DA1"/>
            <w:spacing w:val="-5"/>
            <w:sz w:val="14"/>
            <w:u w:val="single" w:color="005DA1"/>
          </w:rPr>
          <w:t>65</w:t>
        </w:r>
      </w:hyperlink>
      <w:r>
        <w:rPr>
          <w:spacing w:val="-5"/>
          <w:sz w:val="14"/>
        </w:rPr>
        <w:t>.</w:t>
      </w:r>
    </w:p>
    <w:p>
      <w:pPr>
        <w:pStyle w:val="BodyText"/>
        <w:spacing w:line="235" w:lineRule="auto" w:before="213"/>
        <w:ind w:left="165" w:right="225" w:firstLine="170"/>
      </w:pPr>
      <w:r>
        <w:rPr/>
        <w:br w:type="column"/>
      </w:r>
      <w:r>
        <w:rPr/>
        <w:t>Council Directive 86/653/EEC on the coordination of the laws of the Member States </w:t>
      </w:r>
      <w:r>
        <w:rPr/>
        <w:t>relating</w:t>
      </w:r>
      <w:r>
        <w:rPr>
          <w:spacing w:val="80"/>
        </w:rPr>
        <w:t> </w:t>
      </w:r>
      <w:r>
        <w:rPr/>
        <w:t>to self-employed commercial agents [1986] O.J. L382/17: see Vol.II, paras 31-017—31-020.</w:t>
      </w:r>
    </w:p>
    <w:p>
      <w:pPr>
        <w:pStyle w:val="BodyText"/>
        <w:spacing w:after="0" w:line="235" w:lineRule="auto"/>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4512">
            <wp:simplePos x="0" y="0"/>
            <wp:positionH relativeFrom="page">
              <wp:posOffset>1257846</wp:posOffset>
            </wp:positionH>
            <wp:positionV relativeFrom="paragraph">
              <wp:posOffset>160280</wp:posOffset>
            </wp:positionV>
            <wp:extent cx="107988" cy="107988"/>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2" w:id="144"/>
      <w:bookmarkEnd w:id="144"/>
      <w:r>
        <w:rPr/>
      </w:r>
      <w:hyperlink w:history="true" w:anchor="_bookmark111">
        <w:r>
          <w:rPr>
            <w:color w:val="005DA1"/>
            <w:spacing w:val="-5"/>
            <w:sz w:val="14"/>
            <w:u w:val="single" w:color="005DA1"/>
          </w:rPr>
          <w:t>66</w:t>
        </w:r>
      </w:hyperlink>
      <w:r>
        <w:rPr>
          <w:spacing w:val="-5"/>
          <w:sz w:val="14"/>
        </w:rPr>
        <w:t>.</w:t>
      </w:r>
    </w:p>
    <w:p>
      <w:pPr>
        <w:pStyle w:val="BodyText"/>
        <w:spacing w:line="235" w:lineRule="auto" w:before="212"/>
        <w:ind w:left="165" w:right="167" w:firstLine="170"/>
        <w:jc w:val="both"/>
      </w:pPr>
      <w:r>
        <w:rPr/>
        <w:br w:type="column"/>
      </w:r>
      <w:r>
        <w:rPr/>
        <w:t>Directive 2011/7/EU on combating late payment in commercial transactions [2011] O.J. </w:t>
      </w:r>
      <w:r>
        <w:rPr/>
        <w:t>L48/1 (replacing Directive 2000/35/EC on combating late payment in commercial transactions). The 2011 Directive is implemented in UK law by the Late Payment of Commercial Debts (Interest) Act 1998 as amended by the Late Payment of Commercial Debts Regulations 2013 (SI 2013/395) on which see below, paras 26-232—26-235.</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12"/>
        <w:rPr>
          <w:sz w:val="14"/>
        </w:rPr>
      </w:pPr>
    </w:p>
    <w:p>
      <w:pPr>
        <w:spacing w:before="1"/>
        <w:ind w:left="165" w:right="0" w:firstLine="0"/>
        <w:jc w:val="left"/>
        <w:rPr>
          <w:sz w:val="14"/>
        </w:rPr>
      </w:pPr>
      <w:hyperlink w:history="true" w:anchor="_bookmark112">
        <w:r>
          <w:rPr>
            <w:color w:val="005DA1"/>
            <w:spacing w:val="-5"/>
            <w:sz w:val="14"/>
            <w:u w:val="single" w:color="005DA1"/>
          </w:rPr>
          <w:t>67</w:t>
        </w:r>
      </w:hyperlink>
      <w:r>
        <w:rPr>
          <w:spacing w:val="-5"/>
          <w:sz w:val="14"/>
        </w:rPr>
        <w:t>.</w:t>
      </w:r>
    </w:p>
    <w:p>
      <w:pPr>
        <w:spacing w:line="240" w:lineRule="auto" w:before="60"/>
        <w:rPr>
          <w:sz w:val="20"/>
        </w:rPr>
      </w:pPr>
      <w:r>
        <w:rPr/>
        <w:br w:type="column"/>
      </w:r>
      <w:r>
        <w:rPr>
          <w:sz w:val="20"/>
        </w:rPr>
      </w:r>
    </w:p>
    <w:p>
      <w:pPr>
        <w:pStyle w:val="BodyText"/>
        <w:spacing w:line="235" w:lineRule="auto"/>
        <w:ind w:left="165" w:right="167" w:firstLine="170"/>
        <w:jc w:val="both"/>
      </w:pPr>
      <w:r>
        <w:rPr/>
        <w:drawing>
          <wp:anchor distT="0" distB="0" distL="0" distR="0" allowOverlap="1" layoutInCell="1" locked="0" behindDoc="0" simplePos="0" relativeHeight="15745024">
            <wp:simplePos x="0" y="0"/>
            <wp:positionH relativeFrom="page">
              <wp:posOffset>1257846</wp:posOffset>
            </wp:positionH>
            <wp:positionV relativeFrom="paragraph">
              <wp:posOffset>25903</wp:posOffset>
            </wp:positionV>
            <wp:extent cx="107988" cy="107988"/>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6" cstate="print"/>
                    <a:stretch>
                      <a:fillRect/>
                    </a:stretch>
                  </pic:blipFill>
                  <pic:spPr>
                    <a:xfrm>
                      <a:off x="0" y="0"/>
                      <a:ext cx="107988" cy="107988"/>
                    </a:xfrm>
                    <a:prstGeom prst="rect">
                      <a:avLst/>
                    </a:prstGeom>
                  </pic:spPr>
                </pic:pic>
              </a:graphicData>
            </a:graphic>
          </wp:anchor>
        </w:drawing>
      </w:r>
      <w:r>
        <w:rPr/>
        <w:t>In 2004 these were placed into the “Legislative package”: Directive 2004/18/EC of </w:t>
      </w:r>
      <w:r>
        <w:rPr/>
        <w:t>the European Parliament and of the Council of March 31, 2004 on the co-ordination of procedures for the award of public works contracts, public supply contracts and public service contracts [2004] O.J. L134/114; Directive 2004/17/EC of the European Parliament and of the Council of March 31, 2004 co-ordinating the procurement procedures of entities operating in the water, energy, transport and postal services sectors [2004] O.J. L134/1. The two 2004 directives were repealed and replaced as from April 18, 2016 by Directive 2014/24/EU on public procurement and repealing Directive 2004/18/EC [2014] O.J. L94/65 (see esp. art.91) and Directive 2014/25/EU on procurement by entities operating in the water, energy, transport and postal services sectors and repealing Directive 2004/17/EC [2014] O.J. L94/243 (see esp. art.107), which were supplemented by Directive 2014/23/EU on the award of concession contracts</w:t>
      </w:r>
      <w:r>
        <w:rPr>
          <w:spacing w:val="40"/>
        </w:rPr>
        <w:t> </w:t>
      </w:r>
      <w:r>
        <w:rPr/>
        <w:t>[2014] O.J. L94/1. On these see below, paras 11-051—11-052.</w:t>
      </w:r>
    </w:p>
    <w:p>
      <w:pPr>
        <w:pStyle w:val="BodyText"/>
        <w:spacing w:after="0" w:line="235" w:lineRule="auto"/>
        <w:jc w:val="both"/>
        <w:sectPr>
          <w:pgSz w:w="11900" w:h="16840"/>
          <w:pgMar w:header="971" w:footer="0" w:top="1300" w:bottom="280" w:left="1275" w:right="1275"/>
          <w:cols w:num="2" w:equalWidth="0">
            <w:col w:w="400" w:space="141"/>
            <w:col w:w="8809"/>
          </w:cols>
        </w:sectPr>
      </w:pPr>
    </w:p>
    <w:p>
      <w:pPr>
        <w:pStyle w:val="BodyText"/>
        <w:spacing w:before="6"/>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43" w:id="145"/>
      <w:bookmarkEnd w:id="145"/>
      <w:r>
        <w:rPr/>
      </w:r>
      <w:hyperlink w:history="true" w:anchor="_bookmark113">
        <w:r>
          <w:rPr>
            <w:color w:val="005DA1"/>
            <w:spacing w:val="-5"/>
            <w:sz w:val="14"/>
            <w:u w:val="single" w:color="005DA1"/>
          </w:rPr>
          <w:t>68</w:t>
        </w:r>
      </w:hyperlink>
      <w:r>
        <w:rPr>
          <w:spacing w:val="-5"/>
          <w:sz w:val="14"/>
        </w:rPr>
        <w:t>.</w:t>
      </w:r>
    </w:p>
    <w:p>
      <w:pPr>
        <w:pStyle w:val="BodyText"/>
        <w:spacing w:line="227" w:lineRule="exact" w:before="208"/>
        <w:ind w:left="335"/>
      </w:pPr>
      <w:r>
        <w:rPr/>
        <w:br w:type="column"/>
      </w:r>
      <w:r>
        <w:rPr/>
        <w:t>See</w:t>
      </w:r>
      <w:r>
        <w:rPr>
          <w:spacing w:val="20"/>
        </w:rPr>
        <w:t> </w:t>
      </w:r>
      <w:r>
        <w:rPr/>
        <w:t>Vol.II,</w:t>
      </w:r>
      <w:r>
        <w:rPr>
          <w:spacing w:val="20"/>
        </w:rPr>
        <w:t> </w:t>
      </w:r>
      <w:r>
        <w:rPr/>
        <w:t>Ch.40</w:t>
      </w:r>
      <w:r>
        <w:rPr>
          <w:spacing w:val="20"/>
        </w:rPr>
        <w:t> </w:t>
      </w:r>
      <w:r>
        <w:rPr/>
        <w:t>especially</w:t>
      </w:r>
      <w:r>
        <w:rPr>
          <w:spacing w:val="20"/>
        </w:rPr>
        <w:t> </w:t>
      </w:r>
      <w:r>
        <w:rPr/>
        <w:t>paras</w:t>
      </w:r>
      <w:r>
        <w:rPr>
          <w:spacing w:val="20"/>
        </w:rPr>
        <w:t> </w:t>
      </w:r>
      <w:r>
        <w:rPr/>
        <w:t>40-039,</w:t>
      </w:r>
      <w:r>
        <w:rPr>
          <w:spacing w:val="20"/>
        </w:rPr>
        <w:t> </w:t>
      </w:r>
      <w:r>
        <w:rPr/>
        <w:t>40-112,</w:t>
      </w:r>
      <w:r>
        <w:rPr>
          <w:spacing w:val="20"/>
        </w:rPr>
        <w:t> </w:t>
      </w:r>
      <w:r>
        <w:rPr/>
        <w:t>40-136,</w:t>
      </w:r>
      <w:r>
        <w:rPr>
          <w:spacing w:val="20"/>
        </w:rPr>
        <w:t> </w:t>
      </w:r>
      <w:r>
        <w:rPr/>
        <w:t>40-155,</w:t>
      </w:r>
      <w:r>
        <w:rPr>
          <w:spacing w:val="20"/>
        </w:rPr>
        <w:t> </w:t>
      </w:r>
      <w:r>
        <w:rPr/>
        <w:t>40-156,</w:t>
      </w:r>
      <w:r>
        <w:rPr>
          <w:spacing w:val="20"/>
        </w:rPr>
        <w:t> </w:t>
      </w:r>
      <w:r>
        <w:rPr/>
        <w:t>40-172,</w:t>
      </w:r>
      <w:r>
        <w:rPr>
          <w:spacing w:val="20"/>
        </w:rPr>
        <w:t> </w:t>
      </w:r>
      <w:r>
        <w:rPr/>
        <w:t>40-</w:t>
      </w:r>
      <w:r>
        <w:rPr>
          <w:spacing w:val="-5"/>
        </w:rPr>
        <w:t>179</w:t>
      </w:r>
    </w:p>
    <w:p>
      <w:pPr>
        <w:pStyle w:val="BodyText"/>
        <w:spacing w:line="227" w:lineRule="exact"/>
        <w:ind w:left="165"/>
      </w:pPr>
      <w:r>
        <w:rPr/>
        <w:drawing>
          <wp:anchor distT="0" distB="0" distL="0" distR="0" allowOverlap="1" layoutInCell="1" locked="0" behindDoc="0" simplePos="0" relativeHeight="15745536">
            <wp:simplePos x="0" y="0"/>
            <wp:positionH relativeFrom="page">
              <wp:posOffset>1257846</wp:posOffset>
            </wp:positionH>
            <wp:positionV relativeFrom="paragraph">
              <wp:posOffset>-116367</wp:posOffset>
            </wp:positionV>
            <wp:extent cx="107988" cy="107988"/>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6" cstate="print"/>
                    <a:stretch>
                      <a:fillRect/>
                    </a:stretch>
                  </pic:blipFill>
                  <pic:spPr>
                    <a:xfrm>
                      <a:off x="0" y="0"/>
                      <a:ext cx="107988" cy="107988"/>
                    </a:xfrm>
                    <a:prstGeom prst="rect">
                      <a:avLst/>
                    </a:prstGeom>
                  </pic:spPr>
                </pic:pic>
              </a:graphicData>
            </a:graphic>
          </wp:anchor>
        </w:drawing>
      </w:r>
      <w:r>
        <w:rPr/>
        <w:t>and 40-</w:t>
      </w:r>
      <w:r>
        <w:rPr>
          <w:spacing w:val="-4"/>
        </w:rPr>
        <w:t>245.</w:t>
      </w:r>
    </w:p>
    <w:p>
      <w:pPr>
        <w:pStyle w:val="BodyText"/>
        <w:spacing w:after="0" w:line="227" w:lineRule="exact"/>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6048">
            <wp:simplePos x="0" y="0"/>
            <wp:positionH relativeFrom="page">
              <wp:posOffset>1257846</wp:posOffset>
            </wp:positionH>
            <wp:positionV relativeFrom="paragraph">
              <wp:posOffset>160188</wp:posOffset>
            </wp:positionV>
            <wp:extent cx="107988" cy="107988"/>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4" w:id="146"/>
      <w:bookmarkEnd w:id="146"/>
      <w:r>
        <w:rPr/>
      </w:r>
      <w:hyperlink w:history="true" w:anchor="_bookmark114">
        <w:r>
          <w:rPr>
            <w:color w:val="005DA1"/>
            <w:spacing w:val="-5"/>
            <w:sz w:val="14"/>
            <w:u w:val="single" w:color="005DA1"/>
          </w:rPr>
          <w:t>69</w:t>
        </w:r>
      </w:hyperlink>
      <w:r>
        <w:rPr>
          <w:spacing w:val="-5"/>
          <w:sz w:val="14"/>
        </w:rPr>
        <w:t>.</w:t>
      </w:r>
    </w:p>
    <w:p>
      <w:pPr>
        <w:pStyle w:val="BodyText"/>
        <w:spacing w:line="235" w:lineRule="auto" w:before="212"/>
        <w:ind w:left="165" w:right="167" w:firstLine="170"/>
        <w:jc w:val="both"/>
      </w:pPr>
      <w:r>
        <w:rPr/>
        <w:br w:type="column"/>
      </w:r>
      <w:r>
        <w:rPr/>
        <w:t>Regulation 44/2001 on jurisdiction and the recognition and enforcement of judgments in civil and commercial matters [2001] O.J. L12/1 (the “Brussels I Regulation”), especially arts </w:t>
      </w:r>
      <w:r>
        <w:rPr/>
        <w:t>5(1) (special jurisdiction in “matters relating to a contract”), 8–14 (matters relating to insurance), 15–17 (jurisdiction over consumer contracts), 18–21 (jurisdiction over individual contracts of employment), 23 (jurisdiction agreements). The Brussels I Regulation is itself replaced as from January 10, 2015 by Regulation (EU) 1215/2012 of December 12, 2012 on jurisdiction and the recognition and enforcement of judgments in civil and commercial matters (recast) (“the Brussels Ibis Regulation”); Regulation 593/2008 on the law applicable to contractual obligations (“Rome I”) [2008] O.J. L177/6, on which see below, paras 30-129 et seq.</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6"/>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6560">
            <wp:simplePos x="0" y="0"/>
            <wp:positionH relativeFrom="page">
              <wp:posOffset>1257846</wp:posOffset>
            </wp:positionH>
            <wp:positionV relativeFrom="paragraph">
              <wp:posOffset>160559</wp:posOffset>
            </wp:positionV>
            <wp:extent cx="107988" cy="107988"/>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5" w:id="147"/>
      <w:bookmarkEnd w:id="147"/>
      <w:r>
        <w:rPr/>
      </w:r>
      <w:hyperlink w:history="true" w:anchor="_bookmark115">
        <w:r>
          <w:rPr>
            <w:color w:val="005DA1"/>
            <w:spacing w:val="-5"/>
            <w:sz w:val="14"/>
            <w:u w:val="single" w:color="005DA1"/>
          </w:rPr>
          <w:t>70</w:t>
        </w:r>
      </w:hyperlink>
      <w:r>
        <w:rPr>
          <w:spacing w:val="-5"/>
          <w:sz w:val="14"/>
        </w:rPr>
        <w:t>.</w:t>
      </w:r>
    </w:p>
    <w:p>
      <w:pPr>
        <w:spacing w:line="235" w:lineRule="auto" w:before="212"/>
        <w:ind w:left="165" w:right="167" w:firstLine="170"/>
        <w:jc w:val="both"/>
        <w:rPr>
          <w:sz w:val="20"/>
        </w:rPr>
      </w:pPr>
      <w:r>
        <w:rPr/>
        <w:br w:type="column"/>
      </w:r>
      <w:r>
        <w:rPr>
          <w:sz w:val="20"/>
        </w:rPr>
        <w:t>Formally, the “Commission on European Contract Law”, but often named after Professor </w:t>
      </w:r>
      <w:r>
        <w:rPr>
          <w:sz w:val="20"/>
        </w:rPr>
        <w:t>O. Lando who chaired it. They are published as Lando and Beale,</w:t>
      </w:r>
      <w:r>
        <w:rPr>
          <w:spacing w:val="-1"/>
          <w:sz w:val="20"/>
        </w:rPr>
        <w:t> </w:t>
      </w:r>
      <w:r>
        <w:rPr>
          <w:rFonts w:ascii="Arial" w:hAnsi="Arial"/>
          <w:i/>
          <w:sz w:val="20"/>
        </w:rPr>
        <w:t>Principles of European Contract Law </w:t>
      </w:r>
      <w:r>
        <w:rPr>
          <w:sz w:val="20"/>
        </w:rPr>
        <w:t>Parts I and II (1999); Lando, Clive, Prüm and Zimmermann, </w:t>
      </w:r>
      <w:r>
        <w:rPr>
          <w:rFonts w:ascii="Arial" w:hAnsi="Arial"/>
          <w:i/>
          <w:sz w:val="20"/>
        </w:rPr>
        <w:t>Principles of European Contract Law </w:t>
      </w:r>
      <w:r>
        <w:rPr>
          <w:sz w:val="20"/>
        </w:rPr>
        <w:t>Part III (2003).</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46" w:id="148"/>
      <w:bookmarkEnd w:id="148"/>
      <w:r>
        <w:rPr/>
      </w:r>
      <w:hyperlink w:history="true" w:anchor="_bookmark116">
        <w:r>
          <w:rPr>
            <w:color w:val="005DA1"/>
            <w:spacing w:val="-5"/>
            <w:sz w:val="14"/>
            <w:u w:val="single" w:color="005DA1"/>
          </w:rPr>
          <w:t>71</w:t>
        </w:r>
      </w:hyperlink>
      <w:r>
        <w:rPr>
          <w:spacing w:val="-5"/>
          <w:sz w:val="14"/>
        </w:rPr>
        <w:t>.</w:t>
      </w:r>
    </w:p>
    <w:p>
      <w:pPr>
        <w:pStyle w:val="BodyText"/>
        <w:spacing w:before="208"/>
        <w:ind w:left="335"/>
      </w:pPr>
      <w:r>
        <w:rPr/>
        <w:br w:type="column"/>
      </w:r>
      <w:r>
        <w:rPr/>
        <w:t>e.g. Roth (2002) 10 ERPL </w:t>
      </w:r>
      <w:r>
        <w:rPr>
          <w:spacing w:val="-4"/>
        </w:rPr>
        <w:t>761.</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7072">
            <wp:simplePos x="0" y="0"/>
            <wp:positionH relativeFrom="page">
              <wp:posOffset>1257846</wp:posOffset>
            </wp:positionH>
            <wp:positionV relativeFrom="paragraph">
              <wp:posOffset>-211220</wp:posOffset>
            </wp:positionV>
            <wp:extent cx="107988" cy="107988"/>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7" w:id="149"/>
      <w:bookmarkEnd w:id="149"/>
      <w:r>
        <w:rPr/>
      </w:r>
      <w:hyperlink w:history="true" w:anchor="_bookmark117">
        <w:r>
          <w:rPr>
            <w:color w:val="005DA1"/>
            <w:spacing w:val="-5"/>
            <w:sz w:val="14"/>
            <w:u w:val="single" w:color="005DA1"/>
          </w:rPr>
          <w:t>72</w:t>
        </w:r>
      </w:hyperlink>
      <w:r>
        <w:rPr>
          <w:spacing w:val="-5"/>
          <w:sz w:val="14"/>
        </w:rPr>
        <w:t>.</w:t>
      </w:r>
    </w:p>
    <w:p>
      <w:pPr>
        <w:pStyle w:val="BodyText"/>
        <w:spacing w:before="208"/>
        <w:ind w:left="335"/>
      </w:pPr>
      <w:r>
        <w:rPr/>
        <w:br w:type="column"/>
      </w:r>
      <w:r>
        <w:rPr/>
        <w:t>Presidency Conclusions, Tampere European Council October 15 and 16, 1999, SI </w:t>
      </w:r>
      <w:r>
        <w:rPr>
          <w:spacing w:val="-2"/>
        </w:rPr>
        <w:t>1999/800.</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7584">
            <wp:simplePos x="0" y="0"/>
            <wp:positionH relativeFrom="page">
              <wp:posOffset>1257846</wp:posOffset>
            </wp:positionH>
            <wp:positionV relativeFrom="paragraph">
              <wp:posOffset>-211201</wp:posOffset>
            </wp:positionV>
            <wp:extent cx="107988" cy="107988"/>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8" w:id="150"/>
      <w:bookmarkEnd w:id="150"/>
      <w:r>
        <w:rPr/>
      </w:r>
      <w:hyperlink w:history="true" w:anchor="_bookmark118">
        <w:r>
          <w:rPr>
            <w:color w:val="005DA1"/>
            <w:spacing w:val="-5"/>
            <w:sz w:val="14"/>
            <w:u w:val="single" w:color="005DA1"/>
          </w:rPr>
          <w:t>73</w:t>
        </w:r>
      </w:hyperlink>
      <w:r>
        <w:rPr>
          <w:spacing w:val="-5"/>
          <w:sz w:val="14"/>
        </w:rPr>
        <w:t>.</w:t>
      </w:r>
    </w:p>
    <w:p>
      <w:pPr>
        <w:pStyle w:val="BodyText"/>
        <w:spacing w:line="227" w:lineRule="exact" w:before="208"/>
        <w:ind w:left="335"/>
      </w:pPr>
      <w:r>
        <w:rPr/>
        <w:br w:type="column"/>
      </w:r>
      <w:r>
        <w:rPr/>
        <w:t>EP</w:t>
      </w:r>
      <w:r>
        <w:rPr>
          <w:spacing w:val="24"/>
        </w:rPr>
        <w:t> </w:t>
      </w:r>
      <w:r>
        <w:rPr/>
        <w:t>Resolution</w:t>
      </w:r>
      <w:r>
        <w:rPr>
          <w:spacing w:val="24"/>
        </w:rPr>
        <w:t> </w:t>
      </w:r>
      <w:r>
        <w:rPr/>
        <w:t>B5–0228,</w:t>
      </w:r>
      <w:r>
        <w:rPr>
          <w:spacing w:val="24"/>
        </w:rPr>
        <w:t> </w:t>
      </w:r>
      <w:r>
        <w:rPr/>
        <w:t>0229–0230/2000,</w:t>
      </w:r>
      <w:r>
        <w:rPr>
          <w:spacing w:val="24"/>
        </w:rPr>
        <w:t> </w:t>
      </w:r>
      <w:r>
        <w:rPr/>
        <w:t>p.326</w:t>
      </w:r>
      <w:r>
        <w:rPr>
          <w:spacing w:val="24"/>
        </w:rPr>
        <w:t> </w:t>
      </w:r>
      <w:r>
        <w:rPr/>
        <w:t>at</w:t>
      </w:r>
      <w:r>
        <w:rPr>
          <w:spacing w:val="24"/>
        </w:rPr>
        <w:t> </w:t>
      </w:r>
      <w:r>
        <w:rPr/>
        <w:t>point</w:t>
      </w:r>
      <w:r>
        <w:rPr>
          <w:spacing w:val="24"/>
        </w:rPr>
        <w:t> </w:t>
      </w:r>
      <w:r>
        <w:rPr/>
        <w:t>28</w:t>
      </w:r>
      <w:r>
        <w:rPr>
          <w:spacing w:val="24"/>
        </w:rPr>
        <w:t> </w:t>
      </w:r>
      <w:r>
        <w:rPr/>
        <w:t>(March</w:t>
      </w:r>
      <w:r>
        <w:rPr>
          <w:spacing w:val="24"/>
        </w:rPr>
        <w:t> </w:t>
      </w:r>
      <w:r>
        <w:rPr/>
        <w:t>16,</w:t>
      </w:r>
      <w:r>
        <w:rPr>
          <w:spacing w:val="24"/>
        </w:rPr>
        <w:t> </w:t>
      </w:r>
      <w:r>
        <w:rPr/>
        <w:t>2000),</w:t>
      </w:r>
      <w:r>
        <w:rPr>
          <w:spacing w:val="24"/>
        </w:rPr>
        <w:t> </w:t>
      </w:r>
      <w:r>
        <w:rPr/>
        <w:t>[2000]</w:t>
      </w:r>
      <w:r>
        <w:rPr>
          <w:spacing w:val="24"/>
        </w:rPr>
        <w:t> </w:t>
      </w:r>
      <w:r>
        <w:rPr>
          <w:spacing w:val="-4"/>
        </w:rPr>
        <w:t>O.J.</w:t>
      </w:r>
    </w:p>
    <w:p>
      <w:pPr>
        <w:pStyle w:val="BodyText"/>
        <w:spacing w:line="235" w:lineRule="auto" w:before="1"/>
        <w:ind w:left="165"/>
      </w:pPr>
      <w:r>
        <w:rPr/>
        <w:drawing>
          <wp:anchor distT="0" distB="0" distL="0" distR="0" allowOverlap="1" layoutInCell="1" locked="0" behindDoc="0" simplePos="0" relativeHeight="15748096">
            <wp:simplePos x="0" y="0"/>
            <wp:positionH relativeFrom="page">
              <wp:posOffset>1257846</wp:posOffset>
            </wp:positionH>
            <wp:positionV relativeFrom="paragraph">
              <wp:posOffset>-116262</wp:posOffset>
            </wp:positionV>
            <wp:extent cx="107988" cy="107988"/>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6" cstate="print"/>
                    <a:stretch>
                      <a:fillRect/>
                    </a:stretch>
                  </pic:blipFill>
                  <pic:spPr>
                    <a:xfrm>
                      <a:off x="0" y="0"/>
                      <a:ext cx="107988" cy="107988"/>
                    </a:xfrm>
                    <a:prstGeom prst="rect">
                      <a:avLst/>
                    </a:prstGeom>
                  </pic:spPr>
                </pic:pic>
              </a:graphicData>
            </a:graphic>
          </wp:anchor>
        </w:drawing>
      </w:r>
      <w:r>
        <w:rPr/>
        <w:t>C377/323</w:t>
      </w:r>
      <w:r>
        <w:rPr>
          <w:spacing w:val="66"/>
        </w:rPr>
        <w:t> </w:t>
      </w:r>
      <w:r>
        <w:rPr/>
        <w:t>(following</w:t>
      </w:r>
      <w:r>
        <w:rPr>
          <w:spacing w:val="66"/>
        </w:rPr>
        <w:t> </w:t>
      </w:r>
      <w:r>
        <w:rPr/>
        <w:t>earlier</w:t>
      </w:r>
      <w:r>
        <w:rPr>
          <w:spacing w:val="66"/>
        </w:rPr>
        <w:t> </w:t>
      </w:r>
      <w:r>
        <w:rPr/>
        <w:t>resolutions</w:t>
      </w:r>
      <w:r>
        <w:rPr>
          <w:spacing w:val="66"/>
        </w:rPr>
        <w:t> </w:t>
      </w:r>
      <w:r>
        <w:rPr/>
        <w:t>in</w:t>
      </w:r>
      <w:r>
        <w:rPr>
          <w:spacing w:val="66"/>
        </w:rPr>
        <w:t> </w:t>
      </w:r>
      <w:r>
        <w:rPr/>
        <w:t>1989</w:t>
      </w:r>
      <w:r>
        <w:rPr>
          <w:spacing w:val="66"/>
        </w:rPr>
        <w:t> </w:t>
      </w:r>
      <w:r>
        <w:rPr/>
        <w:t>and</w:t>
      </w:r>
      <w:r>
        <w:rPr>
          <w:spacing w:val="66"/>
        </w:rPr>
        <w:t> </w:t>
      </w:r>
      <w:r>
        <w:rPr/>
        <w:t>1994</w:t>
      </w:r>
      <w:r>
        <w:rPr>
          <w:spacing w:val="66"/>
        </w:rPr>
        <w:t> </w:t>
      </w:r>
      <w:r>
        <w:rPr/>
        <w:t>which</w:t>
      </w:r>
      <w:r>
        <w:rPr>
          <w:spacing w:val="66"/>
        </w:rPr>
        <w:t> </w:t>
      </w:r>
      <w:r>
        <w:rPr/>
        <w:t>explicitly</w:t>
      </w:r>
      <w:r>
        <w:rPr>
          <w:spacing w:val="66"/>
        </w:rPr>
        <w:t> </w:t>
      </w:r>
      <w:r>
        <w:rPr/>
        <w:t>concerned</w:t>
      </w:r>
      <w:r>
        <w:rPr>
          <w:spacing w:val="66"/>
        </w:rPr>
        <w:t> </w:t>
      </w:r>
      <w:r>
        <w:rPr/>
        <w:t>the possibility of a codification of substantive private law).</w:t>
      </w:r>
    </w:p>
    <w:p>
      <w:pPr>
        <w:pStyle w:val="BodyText"/>
        <w:spacing w:after="0" w:line="235" w:lineRule="auto"/>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8608">
            <wp:simplePos x="0" y="0"/>
            <wp:positionH relativeFrom="page">
              <wp:posOffset>1257846</wp:posOffset>
            </wp:positionH>
            <wp:positionV relativeFrom="paragraph">
              <wp:posOffset>160756</wp:posOffset>
            </wp:positionV>
            <wp:extent cx="107988" cy="107988"/>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9" w:id="151"/>
      <w:bookmarkEnd w:id="151"/>
      <w:r>
        <w:rPr/>
      </w:r>
      <w:hyperlink w:history="true" w:anchor="_bookmark119">
        <w:r>
          <w:rPr>
            <w:color w:val="005DA1"/>
            <w:spacing w:val="-5"/>
            <w:sz w:val="14"/>
            <w:u w:val="single" w:color="005DA1"/>
          </w:rPr>
          <w:t>74</w:t>
        </w:r>
      </w:hyperlink>
      <w:r>
        <w:rPr>
          <w:spacing w:val="-5"/>
          <w:sz w:val="14"/>
        </w:rPr>
        <w:t>.</w:t>
      </w:r>
    </w:p>
    <w:p>
      <w:pPr>
        <w:pStyle w:val="BodyText"/>
        <w:spacing w:line="235" w:lineRule="auto" w:before="213"/>
        <w:ind w:left="165" w:right="167" w:firstLine="170"/>
        <w:jc w:val="both"/>
      </w:pPr>
      <w:r>
        <w:rPr/>
        <w:br w:type="column"/>
      </w:r>
      <w:r>
        <w:rPr/>
        <w:t>Communication from the Commission to the Council and the European Parliament </w:t>
      </w:r>
      <w:r>
        <w:rPr/>
        <w:t>on European Contract Law Com(2001) 398 final; Communication from the Commission to the European Parliament and the Council, “A more coherent European Contract Law, An Action Plan” Com(2003) 68 final; European Contract Law and the revision of the acquis: the way forward Com(2004) 651 final; EU Commission, Green Paper from the Commission on policy option for progress towards a European Contract Law for consumers and businesses COM(2010) 348 final.</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9120">
            <wp:simplePos x="0" y="0"/>
            <wp:positionH relativeFrom="page">
              <wp:posOffset>1257846</wp:posOffset>
            </wp:positionH>
            <wp:positionV relativeFrom="paragraph">
              <wp:posOffset>160340</wp:posOffset>
            </wp:positionV>
            <wp:extent cx="107988" cy="107988"/>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0" w:id="152"/>
      <w:bookmarkEnd w:id="152"/>
      <w:r>
        <w:rPr/>
      </w:r>
      <w:hyperlink w:history="true" w:anchor="_bookmark120">
        <w:r>
          <w:rPr>
            <w:color w:val="005DA1"/>
            <w:spacing w:val="-5"/>
            <w:sz w:val="14"/>
            <w:u w:val="single" w:color="005DA1"/>
          </w:rPr>
          <w:t>75</w:t>
        </w:r>
      </w:hyperlink>
      <w:r>
        <w:rPr>
          <w:spacing w:val="-5"/>
          <w:sz w:val="14"/>
        </w:rPr>
        <w:t>.</w:t>
      </w:r>
    </w:p>
    <w:p>
      <w:pPr>
        <w:pStyle w:val="BodyText"/>
        <w:spacing w:line="235" w:lineRule="auto" w:before="212"/>
        <w:ind w:left="165" w:right="167" w:firstLine="170"/>
        <w:jc w:val="both"/>
      </w:pPr>
      <w:r>
        <w:rPr/>
        <w:br w:type="column"/>
      </w:r>
      <w:r>
        <w:rPr/>
        <w:t>Principles, Definitions and Model Rules of European Private Law, Draft Common Frame of Reference (DCFR) prepared by the Study Group for a European Civil Code and the Research Group on EC Private Law (Acquis Group) (2010), six volumes.</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51" w:id="153"/>
      <w:bookmarkEnd w:id="153"/>
      <w:r>
        <w:rPr/>
      </w:r>
      <w:hyperlink w:history="true" w:anchor="_bookmark121">
        <w:r>
          <w:rPr>
            <w:color w:val="005DA1"/>
            <w:spacing w:val="-5"/>
            <w:sz w:val="14"/>
            <w:u w:val="single" w:color="005DA1"/>
          </w:rPr>
          <w:t>76</w:t>
        </w:r>
      </w:hyperlink>
      <w:r>
        <w:rPr>
          <w:spacing w:val="-5"/>
          <w:sz w:val="14"/>
        </w:rPr>
        <w:t>.</w:t>
      </w:r>
    </w:p>
    <w:p>
      <w:pPr>
        <w:pStyle w:val="BodyText"/>
        <w:spacing w:line="227" w:lineRule="exact" w:before="208"/>
        <w:ind w:left="335"/>
      </w:pPr>
      <w:r>
        <w:rPr/>
        <w:br w:type="column"/>
      </w:r>
      <w:r>
        <w:rPr/>
        <w:t>See</w:t>
      </w:r>
      <w:r>
        <w:rPr>
          <w:spacing w:val="26"/>
        </w:rPr>
        <w:t> </w:t>
      </w:r>
      <w:r>
        <w:rPr/>
        <w:t>further</w:t>
      </w:r>
      <w:r>
        <w:rPr>
          <w:spacing w:val="26"/>
        </w:rPr>
        <w:t> </w:t>
      </w:r>
      <w:r>
        <w:rPr/>
        <w:t>Whittaker</w:t>
      </w:r>
      <w:r>
        <w:rPr>
          <w:spacing w:val="26"/>
        </w:rPr>
        <w:t> </w:t>
      </w:r>
      <w:r>
        <w:rPr/>
        <w:t>(2007)</w:t>
      </w:r>
      <w:r>
        <w:rPr>
          <w:spacing w:val="26"/>
        </w:rPr>
        <w:t> </w:t>
      </w:r>
      <w:r>
        <w:rPr/>
        <w:t>European</w:t>
      </w:r>
      <w:r>
        <w:rPr>
          <w:spacing w:val="26"/>
        </w:rPr>
        <w:t> </w:t>
      </w:r>
      <w:r>
        <w:rPr/>
        <w:t>Review</w:t>
      </w:r>
      <w:r>
        <w:rPr>
          <w:spacing w:val="26"/>
        </w:rPr>
        <w:t> </w:t>
      </w:r>
      <w:r>
        <w:rPr/>
        <w:t>of</w:t>
      </w:r>
      <w:r>
        <w:rPr>
          <w:spacing w:val="26"/>
        </w:rPr>
        <w:t> </w:t>
      </w:r>
      <w:r>
        <w:rPr/>
        <w:t>Contract</w:t>
      </w:r>
      <w:r>
        <w:rPr>
          <w:spacing w:val="26"/>
        </w:rPr>
        <w:t> </w:t>
      </w:r>
      <w:r>
        <w:rPr/>
        <w:t>Law</w:t>
      </w:r>
      <w:r>
        <w:rPr>
          <w:spacing w:val="26"/>
        </w:rPr>
        <w:t> </w:t>
      </w:r>
      <w:r>
        <w:rPr/>
        <w:t>381;</w:t>
      </w:r>
      <w:r>
        <w:rPr>
          <w:spacing w:val="26"/>
        </w:rPr>
        <w:t> </w:t>
      </w:r>
      <w:r>
        <w:rPr/>
        <w:t>Whittaker</w:t>
      </w:r>
      <w:r>
        <w:rPr>
          <w:spacing w:val="26"/>
        </w:rPr>
        <w:t> </w:t>
      </w:r>
      <w:r>
        <w:rPr/>
        <w:t>(2009)</w:t>
      </w:r>
      <w:r>
        <w:rPr>
          <w:spacing w:val="26"/>
        </w:rPr>
        <w:t> </w:t>
      </w:r>
      <w:r>
        <w:rPr>
          <w:spacing w:val="-5"/>
        </w:rPr>
        <w:t>125</w:t>
      </w:r>
    </w:p>
    <w:p>
      <w:pPr>
        <w:pStyle w:val="BodyText"/>
        <w:spacing w:line="227" w:lineRule="exact"/>
        <w:ind w:left="165"/>
      </w:pPr>
      <w:r>
        <w:rPr/>
        <w:drawing>
          <wp:anchor distT="0" distB="0" distL="0" distR="0" allowOverlap="1" layoutInCell="1" locked="0" behindDoc="0" simplePos="0" relativeHeight="15749632">
            <wp:simplePos x="0" y="0"/>
            <wp:positionH relativeFrom="page">
              <wp:posOffset>1257846</wp:posOffset>
            </wp:positionH>
            <wp:positionV relativeFrom="paragraph">
              <wp:posOffset>-116278</wp:posOffset>
            </wp:positionV>
            <wp:extent cx="107988" cy="107988"/>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6" cstate="print"/>
                    <a:stretch>
                      <a:fillRect/>
                    </a:stretch>
                  </pic:blipFill>
                  <pic:spPr>
                    <a:xfrm>
                      <a:off x="0" y="0"/>
                      <a:ext cx="107988" cy="107988"/>
                    </a:xfrm>
                    <a:prstGeom prst="rect">
                      <a:avLst/>
                    </a:prstGeom>
                  </pic:spPr>
                </pic:pic>
              </a:graphicData>
            </a:graphic>
          </wp:anchor>
        </w:drawing>
      </w:r>
      <w:r>
        <w:rPr/>
        <w:t>L.Q.R. </w:t>
      </w:r>
      <w:r>
        <w:rPr>
          <w:spacing w:val="-4"/>
        </w:rPr>
        <w:t>616.</w:t>
      </w:r>
    </w:p>
    <w:p>
      <w:pPr>
        <w:pStyle w:val="BodyText"/>
        <w:spacing w:after="0" w:line="227" w:lineRule="exact"/>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0144">
            <wp:simplePos x="0" y="0"/>
            <wp:positionH relativeFrom="page">
              <wp:posOffset>1257846</wp:posOffset>
            </wp:positionH>
            <wp:positionV relativeFrom="paragraph">
              <wp:posOffset>160277</wp:posOffset>
            </wp:positionV>
            <wp:extent cx="107988" cy="107988"/>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2" w:id="154"/>
      <w:bookmarkEnd w:id="154"/>
      <w:r>
        <w:rPr/>
      </w:r>
      <w:hyperlink w:history="true" w:anchor="_bookmark122">
        <w:r>
          <w:rPr>
            <w:color w:val="005DA1"/>
            <w:spacing w:val="-5"/>
            <w:sz w:val="14"/>
            <w:u w:val="single" w:color="005DA1"/>
          </w:rPr>
          <w:t>77</w:t>
        </w:r>
      </w:hyperlink>
      <w:r>
        <w:rPr>
          <w:spacing w:val="-5"/>
          <w:sz w:val="14"/>
        </w:rPr>
        <w:t>.</w:t>
      </w:r>
    </w:p>
    <w:p>
      <w:pPr>
        <w:pStyle w:val="BodyText"/>
        <w:spacing w:before="208"/>
        <w:ind w:left="335"/>
      </w:pPr>
      <w:r>
        <w:rPr/>
        <w:br w:type="column"/>
      </w:r>
      <w:r>
        <w:rPr/>
        <w:t>Notably, Directive 2011/83/EU on consumer rights (above, </w:t>
      </w:r>
      <w:r>
        <w:rPr>
          <w:spacing w:val="-2"/>
        </w:rPr>
        <w:t>n.63).</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12"/>
        <w:rPr>
          <w:sz w:val="14"/>
        </w:rPr>
      </w:pPr>
    </w:p>
    <w:p>
      <w:pPr>
        <w:spacing w:before="1"/>
        <w:ind w:left="165" w:right="0" w:firstLine="0"/>
        <w:jc w:val="left"/>
        <w:rPr>
          <w:sz w:val="14"/>
        </w:rPr>
      </w:pPr>
      <w:hyperlink w:history="true" w:anchor="_bookmark123">
        <w:r>
          <w:rPr>
            <w:color w:val="005DA1"/>
            <w:spacing w:val="-5"/>
            <w:sz w:val="14"/>
            <w:u w:val="single" w:color="005DA1"/>
          </w:rPr>
          <w:t>78</w:t>
        </w:r>
      </w:hyperlink>
      <w:r>
        <w:rPr>
          <w:spacing w:val="-5"/>
          <w:sz w:val="14"/>
        </w:rPr>
        <w:t>.</w:t>
      </w:r>
    </w:p>
    <w:p>
      <w:pPr>
        <w:spacing w:line="240" w:lineRule="auto" w:before="60"/>
        <w:rPr>
          <w:sz w:val="20"/>
        </w:rPr>
      </w:pPr>
      <w:r>
        <w:rPr/>
        <w:br w:type="column"/>
      </w:r>
      <w:r>
        <w:rPr>
          <w:sz w:val="20"/>
        </w:rPr>
      </w:r>
    </w:p>
    <w:p>
      <w:pPr>
        <w:pStyle w:val="BodyText"/>
        <w:spacing w:line="235" w:lineRule="auto"/>
        <w:ind w:left="165" w:firstLine="170"/>
      </w:pPr>
      <w:r>
        <w:rPr/>
        <w:drawing>
          <wp:anchor distT="0" distB="0" distL="0" distR="0" allowOverlap="1" layoutInCell="1" locked="0" behindDoc="0" simplePos="0" relativeHeight="15750656">
            <wp:simplePos x="0" y="0"/>
            <wp:positionH relativeFrom="page">
              <wp:posOffset>1257846</wp:posOffset>
            </wp:positionH>
            <wp:positionV relativeFrom="paragraph">
              <wp:posOffset>25903</wp:posOffset>
            </wp:positionV>
            <wp:extent cx="107988" cy="107988"/>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6" cstate="print"/>
                    <a:stretch>
                      <a:fillRect/>
                    </a:stretch>
                  </pic:blipFill>
                  <pic:spPr>
                    <a:xfrm>
                      <a:off x="0" y="0"/>
                      <a:ext cx="107988" cy="107988"/>
                    </a:xfrm>
                    <a:prstGeom prst="rect">
                      <a:avLst/>
                    </a:prstGeom>
                  </pic:spPr>
                </pic:pic>
              </a:graphicData>
            </a:graphic>
          </wp:anchor>
        </w:drawing>
      </w:r>
      <w:r>
        <w:rPr/>
        <w:t>Proposal for a Regulation on a Common European Sales Law, Com(2011) 635 final. </w:t>
      </w:r>
      <w:r>
        <w:rPr/>
        <w:t>(“CESL </w:t>
      </w:r>
      <w:r>
        <w:rPr>
          <w:spacing w:val="-2"/>
        </w:rPr>
        <w:t>Proposal”).</w:t>
      </w:r>
    </w:p>
    <w:p>
      <w:pPr>
        <w:pStyle w:val="BodyText"/>
        <w:spacing w:after="0" w:line="235" w:lineRule="auto"/>
        <w:sectPr>
          <w:headerReference w:type="default" r:id="rId11"/>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1168">
            <wp:simplePos x="0" y="0"/>
            <wp:positionH relativeFrom="page">
              <wp:posOffset>1257846</wp:posOffset>
            </wp:positionH>
            <wp:positionV relativeFrom="paragraph">
              <wp:posOffset>160681</wp:posOffset>
            </wp:positionV>
            <wp:extent cx="107988" cy="107988"/>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3" w:id="155"/>
      <w:bookmarkEnd w:id="155"/>
      <w:r>
        <w:rPr/>
      </w:r>
      <w:hyperlink w:history="true" w:anchor="_bookmark124">
        <w:r>
          <w:rPr>
            <w:color w:val="005DA1"/>
            <w:spacing w:val="-5"/>
            <w:sz w:val="14"/>
            <w:u w:val="single" w:color="005DA1"/>
          </w:rPr>
          <w:t>79</w:t>
        </w:r>
      </w:hyperlink>
      <w:r>
        <w:rPr>
          <w:spacing w:val="-5"/>
          <w:sz w:val="14"/>
        </w:rPr>
        <w:t>.</w:t>
      </w:r>
    </w:p>
    <w:p>
      <w:pPr>
        <w:pStyle w:val="BodyText"/>
        <w:spacing w:line="235" w:lineRule="auto" w:before="212"/>
        <w:ind w:left="165" w:right="167" w:firstLine="170"/>
        <w:jc w:val="both"/>
      </w:pPr>
      <w:r>
        <w:rPr/>
        <w:br w:type="column"/>
      </w:r>
      <w:r>
        <w:rPr/>
        <w:t>On the idea of an “optional instrument” for European contract law before the CESL Proposal, see H. Schulte-Nölke (2007) ERCL 332 especially at 348–349; Cartwright (2011) 7 ERCL </w:t>
      </w:r>
      <w:r>
        <w:rPr/>
        <w:t>335. On the proposal itself see The Law Commission and Scottish Law Commission, Advice to the UK Government, An Optional Common European Sales Law: Advantages and Problems (November 2011) available at </w:t>
      </w:r>
      <w:hyperlink r:id="rId12">
        <w:r>
          <w:rPr>
            <w:color w:val="005DA1"/>
            <w:u w:val="single" w:color="005DA1"/>
          </w:rPr>
          <w:t>http://lawcommission.justice.gov.uk</w:t>
        </w:r>
      </w:hyperlink>
      <w:r>
        <w:rPr/>
        <w:t>. Whittaker (2012) 75 M.L.R. 578; Dannemann and Vogenauer, </w:t>
      </w:r>
      <w:r>
        <w:rPr>
          <w:rFonts w:ascii="Arial" w:hAnsi="Arial"/>
          <w:i/>
        </w:rPr>
        <w:t>The Common European Sales Law in Context, Interactions with English and German law </w:t>
      </w:r>
      <w:r>
        <w:rPr/>
        <w:t>(2013).</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1680">
            <wp:simplePos x="0" y="0"/>
            <wp:positionH relativeFrom="page">
              <wp:posOffset>1257846</wp:posOffset>
            </wp:positionH>
            <wp:positionV relativeFrom="paragraph">
              <wp:posOffset>160266</wp:posOffset>
            </wp:positionV>
            <wp:extent cx="107988" cy="107988"/>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4" w:id="156"/>
      <w:bookmarkEnd w:id="156"/>
      <w:r>
        <w:rPr/>
      </w:r>
      <w:hyperlink w:history="true" w:anchor="_bookmark125">
        <w:r>
          <w:rPr>
            <w:color w:val="005DA1"/>
            <w:spacing w:val="-5"/>
            <w:sz w:val="14"/>
            <w:u w:val="single" w:color="005DA1"/>
          </w:rPr>
          <w:t>80</w:t>
        </w:r>
      </w:hyperlink>
      <w:r>
        <w:rPr>
          <w:spacing w:val="-5"/>
          <w:sz w:val="14"/>
        </w:rPr>
        <w:t>.</w:t>
      </w:r>
    </w:p>
    <w:p>
      <w:pPr>
        <w:pStyle w:val="BodyText"/>
        <w:spacing w:line="235" w:lineRule="auto" w:before="212"/>
        <w:ind w:left="165" w:right="167" w:firstLine="170"/>
        <w:jc w:val="both"/>
      </w:pPr>
      <w:r>
        <w:rPr/>
        <w:br w:type="column"/>
      </w:r>
      <w:r>
        <w:rPr/>
        <w:t>CESL Proposal art.1. The first part of the proposed regulation sets out the framework of the new scheme (here referred to as “CESL Proposal”); the CESL itself is contained in Annex I </w:t>
      </w:r>
      <w:r>
        <w:rPr/>
        <w:t>and is separately numbered (“CESL Proposal, Annex I”).</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55" w:id="157"/>
      <w:bookmarkEnd w:id="157"/>
      <w:r>
        <w:rPr/>
      </w:r>
      <w:hyperlink w:history="true" w:anchor="_bookmark126">
        <w:r>
          <w:rPr>
            <w:color w:val="005DA1"/>
            <w:spacing w:val="-5"/>
            <w:sz w:val="14"/>
            <w:u w:val="single" w:color="005DA1"/>
          </w:rPr>
          <w:t>81</w:t>
        </w:r>
      </w:hyperlink>
      <w:r>
        <w:rPr>
          <w:spacing w:val="-5"/>
          <w:sz w:val="14"/>
        </w:rPr>
        <w:t>.</w:t>
      </w:r>
    </w:p>
    <w:p>
      <w:pPr>
        <w:pStyle w:val="BodyText"/>
        <w:spacing w:before="208"/>
        <w:ind w:left="335"/>
      </w:pPr>
      <w:r>
        <w:rPr/>
        <w:br w:type="column"/>
      </w:r>
      <w:r>
        <w:rPr/>
        <w:t>CESL Proposal </w:t>
      </w:r>
      <w:r>
        <w:rPr>
          <w:spacing w:val="-2"/>
        </w:rPr>
        <w:t>art.4(2).</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2192">
            <wp:simplePos x="0" y="0"/>
            <wp:positionH relativeFrom="page">
              <wp:posOffset>1257846</wp:posOffset>
            </wp:positionH>
            <wp:positionV relativeFrom="paragraph">
              <wp:posOffset>-211271</wp:posOffset>
            </wp:positionV>
            <wp:extent cx="107988" cy="107988"/>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6" w:id="158"/>
      <w:bookmarkEnd w:id="158"/>
      <w:r>
        <w:rPr/>
      </w:r>
      <w:hyperlink w:history="true" w:anchor="_bookmark127">
        <w:r>
          <w:rPr>
            <w:color w:val="005DA1"/>
            <w:spacing w:val="-5"/>
            <w:sz w:val="14"/>
            <w:u w:val="single" w:color="005DA1"/>
          </w:rPr>
          <w:t>82</w:t>
        </w:r>
      </w:hyperlink>
      <w:r>
        <w:rPr>
          <w:spacing w:val="-5"/>
          <w:sz w:val="14"/>
        </w:rPr>
        <w:t>.</w:t>
      </w:r>
    </w:p>
    <w:p>
      <w:pPr>
        <w:pStyle w:val="BodyText"/>
        <w:spacing w:before="208"/>
        <w:ind w:left="335"/>
      </w:pPr>
      <w:r>
        <w:rPr/>
        <w:br w:type="column"/>
      </w:r>
      <w:r>
        <w:rPr/>
        <w:t>CESL Proposal </w:t>
      </w:r>
      <w:r>
        <w:rPr>
          <w:spacing w:val="-2"/>
        </w:rPr>
        <w:t>art.4(3).</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2704">
            <wp:simplePos x="0" y="0"/>
            <wp:positionH relativeFrom="page">
              <wp:posOffset>1257846</wp:posOffset>
            </wp:positionH>
            <wp:positionV relativeFrom="paragraph">
              <wp:posOffset>-211252</wp:posOffset>
            </wp:positionV>
            <wp:extent cx="107988" cy="107988"/>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7" w:id="159"/>
      <w:bookmarkEnd w:id="159"/>
      <w:r>
        <w:rPr/>
      </w:r>
      <w:hyperlink w:history="true" w:anchor="_bookmark128">
        <w:r>
          <w:rPr>
            <w:color w:val="005DA1"/>
            <w:spacing w:val="-5"/>
            <w:sz w:val="14"/>
            <w:u w:val="single" w:color="005DA1"/>
          </w:rPr>
          <w:t>83</w:t>
        </w:r>
      </w:hyperlink>
      <w:r>
        <w:rPr>
          <w:spacing w:val="-5"/>
          <w:sz w:val="14"/>
        </w:rPr>
        <w:t>.</w:t>
      </w:r>
    </w:p>
    <w:p>
      <w:pPr>
        <w:pStyle w:val="BodyText"/>
        <w:spacing w:before="208"/>
        <w:ind w:left="335"/>
      </w:pPr>
      <w:r>
        <w:rPr/>
        <w:br w:type="column"/>
      </w:r>
      <w:r>
        <w:rPr/>
        <w:t>CESL Proposal </w:t>
      </w:r>
      <w:r>
        <w:rPr>
          <w:spacing w:val="-2"/>
        </w:rPr>
        <w:t>art.7.</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3216">
            <wp:simplePos x="0" y="0"/>
            <wp:positionH relativeFrom="page">
              <wp:posOffset>1257846</wp:posOffset>
            </wp:positionH>
            <wp:positionV relativeFrom="paragraph">
              <wp:posOffset>-211232</wp:posOffset>
            </wp:positionV>
            <wp:extent cx="107988" cy="107988"/>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8" w:id="160"/>
      <w:bookmarkEnd w:id="160"/>
      <w:r>
        <w:rPr/>
      </w:r>
      <w:hyperlink w:history="true" w:anchor="_bookmark129">
        <w:r>
          <w:rPr>
            <w:color w:val="005DA1"/>
            <w:spacing w:val="-5"/>
            <w:sz w:val="14"/>
            <w:u w:val="single" w:color="005DA1"/>
          </w:rPr>
          <w:t>84</w:t>
        </w:r>
      </w:hyperlink>
      <w:r>
        <w:rPr>
          <w:spacing w:val="-5"/>
          <w:sz w:val="14"/>
        </w:rPr>
        <w:t>.</w:t>
      </w:r>
    </w:p>
    <w:p>
      <w:pPr>
        <w:pStyle w:val="BodyText"/>
        <w:spacing w:before="208"/>
        <w:ind w:left="335"/>
      </w:pPr>
      <w:r>
        <w:rPr/>
        <w:br w:type="column"/>
      </w:r>
      <w:r>
        <w:rPr/>
        <w:t>CESL Proposal Annex I arts 1–3 </w:t>
      </w:r>
      <w:r>
        <w:rPr>
          <w:spacing w:val="-2"/>
        </w:rPr>
        <w:t>respectively.</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3728">
            <wp:simplePos x="0" y="0"/>
            <wp:positionH relativeFrom="page">
              <wp:posOffset>1257846</wp:posOffset>
            </wp:positionH>
            <wp:positionV relativeFrom="paragraph">
              <wp:posOffset>-211212</wp:posOffset>
            </wp:positionV>
            <wp:extent cx="107988" cy="107988"/>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9" w:id="161"/>
      <w:bookmarkEnd w:id="161"/>
      <w:r>
        <w:rPr/>
      </w:r>
      <w:hyperlink w:history="true" w:anchor="_bookmark130">
        <w:r>
          <w:rPr>
            <w:color w:val="005DA1"/>
            <w:spacing w:val="-5"/>
            <w:sz w:val="14"/>
            <w:u w:val="single" w:color="005DA1"/>
          </w:rPr>
          <w:t>85</w:t>
        </w:r>
      </w:hyperlink>
      <w:r>
        <w:rPr>
          <w:spacing w:val="-5"/>
          <w:sz w:val="14"/>
        </w:rPr>
        <w:t>.</w:t>
      </w:r>
    </w:p>
    <w:p>
      <w:pPr>
        <w:pStyle w:val="BodyText"/>
        <w:spacing w:before="208"/>
        <w:ind w:left="335"/>
      </w:pPr>
      <w:r>
        <w:rPr/>
        <w:br w:type="column"/>
      </w:r>
      <w:r>
        <w:rPr/>
        <w:t>CESL Proposal </w:t>
      </w:r>
      <w:r>
        <w:rPr>
          <w:spacing w:val="-2"/>
        </w:rPr>
        <w:t>art.11.</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4240">
            <wp:simplePos x="0" y="0"/>
            <wp:positionH relativeFrom="page">
              <wp:posOffset>1257846</wp:posOffset>
            </wp:positionH>
            <wp:positionV relativeFrom="paragraph">
              <wp:posOffset>-211192</wp:posOffset>
            </wp:positionV>
            <wp:extent cx="107988" cy="107988"/>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4752">
            <wp:simplePos x="0" y="0"/>
            <wp:positionH relativeFrom="page">
              <wp:posOffset>1257846</wp:posOffset>
            </wp:positionH>
            <wp:positionV relativeFrom="paragraph">
              <wp:posOffset>160282</wp:posOffset>
            </wp:positionV>
            <wp:extent cx="107988" cy="107988"/>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60" w:id="162"/>
      <w:bookmarkEnd w:id="162"/>
      <w:r>
        <w:rPr/>
      </w:r>
      <w:hyperlink w:history="true" w:anchor="_bookmark131">
        <w:r>
          <w:rPr>
            <w:color w:val="005DA1"/>
            <w:spacing w:val="-5"/>
            <w:sz w:val="14"/>
            <w:u w:val="single" w:color="005DA1"/>
          </w:rPr>
          <w:t>86</w:t>
        </w:r>
      </w:hyperlink>
      <w:r>
        <w:rPr>
          <w:spacing w:val="-5"/>
          <w:sz w:val="14"/>
        </w:rPr>
        <w:t>.</w:t>
      </w:r>
    </w:p>
    <w:p>
      <w:pPr>
        <w:pStyle w:val="BodyText"/>
        <w:spacing w:line="235" w:lineRule="auto" w:before="212"/>
        <w:ind w:left="165" w:firstLine="170"/>
      </w:pPr>
      <w:r>
        <w:rPr/>
        <w:br w:type="column"/>
      </w:r>
      <w:r>
        <w:rPr/>
        <w:t>Notably,</w:t>
      </w:r>
      <w:r>
        <w:rPr>
          <w:spacing w:val="34"/>
        </w:rPr>
        <w:t> </w:t>
      </w:r>
      <w:r>
        <w:rPr/>
        <w:t>CESL</w:t>
      </w:r>
      <w:r>
        <w:rPr>
          <w:spacing w:val="34"/>
        </w:rPr>
        <w:t> </w:t>
      </w:r>
      <w:r>
        <w:rPr/>
        <w:t>Proposal,</w:t>
      </w:r>
      <w:r>
        <w:rPr>
          <w:spacing w:val="34"/>
        </w:rPr>
        <w:t> </w:t>
      </w:r>
      <w:r>
        <w:rPr/>
        <w:t>recitals</w:t>
      </w:r>
      <w:r>
        <w:rPr>
          <w:spacing w:val="34"/>
        </w:rPr>
        <w:t> </w:t>
      </w:r>
      <w:r>
        <w:rPr/>
        <w:t>27–28.</w:t>
      </w:r>
      <w:r>
        <w:rPr>
          <w:spacing w:val="34"/>
        </w:rPr>
        <w:t> </w:t>
      </w:r>
      <w:r>
        <w:rPr/>
        <w:t>Issues</w:t>
      </w:r>
      <w:r>
        <w:rPr>
          <w:spacing w:val="34"/>
        </w:rPr>
        <w:t> </w:t>
      </w:r>
      <w:r>
        <w:rPr/>
        <w:t>outside</w:t>
      </w:r>
      <w:r>
        <w:rPr>
          <w:spacing w:val="34"/>
        </w:rPr>
        <w:t> </w:t>
      </w:r>
      <w:r>
        <w:rPr/>
        <w:t>the</w:t>
      </w:r>
      <w:r>
        <w:rPr>
          <w:spacing w:val="34"/>
        </w:rPr>
        <w:t> </w:t>
      </w:r>
      <w:r>
        <w:rPr/>
        <w:t>scope</w:t>
      </w:r>
      <w:r>
        <w:rPr>
          <w:spacing w:val="34"/>
        </w:rPr>
        <w:t> </w:t>
      </w:r>
      <w:r>
        <w:rPr/>
        <w:t>of</w:t>
      </w:r>
      <w:r>
        <w:rPr>
          <w:spacing w:val="34"/>
        </w:rPr>
        <w:t> </w:t>
      </w:r>
      <w:r>
        <w:rPr/>
        <w:t>the</w:t>
      </w:r>
      <w:r>
        <w:rPr>
          <w:spacing w:val="34"/>
        </w:rPr>
        <w:t> </w:t>
      </w:r>
      <w:r>
        <w:rPr/>
        <w:t>CESL</w:t>
      </w:r>
      <w:r>
        <w:rPr>
          <w:spacing w:val="34"/>
        </w:rPr>
        <w:t> </w:t>
      </w:r>
      <w:r>
        <w:rPr/>
        <w:t>would</w:t>
      </w:r>
      <w:r>
        <w:rPr>
          <w:spacing w:val="34"/>
        </w:rPr>
        <w:t> </w:t>
      </w:r>
      <w:r>
        <w:rPr/>
        <w:t>be governed by the law applicable as identified by the private international law rules of the forum.</w:t>
      </w:r>
    </w:p>
    <w:p>
      <w:pPr>
        <w:pStyle w:val="BodyText"/>
        <w:spacing w:after="0" w:line="235" w:lineRule="auto"/>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61" w:id="163"/>
      <w:bookmarkEnd w:id="163"/>
      <w:r>
        <w:rPr/>
      </w:r>
      <w:hyperlink w:history="true" w:anchor="_bookmark132">
        <w:r>
          <w:rPr>
            <w:color w:val="005DA1"/>
            <w:spacing w:val="-5"/>
            <w:sz w:val="14"/>
            <w:u w:val="single" w:color="005DA1"/>
          </w:rPr>
          <w:t>87</w:t>
        </w:r>
      </w:hyperlink>
      <w:r>
        <w:rPr>
          <w:spacing w:val="-5"/>
          <w:sz w:val="14"/>
        </w:rPr>
        <w:t>.</w:t>
      </w:r>
    </w:p>
    <w:p>
      <w:pPr>
        <w:pStyle w:val="BodyText"/>
        <w:spacing w:before="208"/>
        <w:ind w:left="335"/>
      </w:pPr>
      <w:r>
        <w:rPr/>
        <w:br w:type="column"/>
      </w:r>
      <w:r>
        <w:rPr/>
        <w:t>CESL Proposal Annex I </w:t>
      </w:r>
      <w:r>
        <w:rPr>
          <w:spacing w:val="-2"/>
        </w:rPr>
        <w:t>art.4(1).</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5264">
            <wp:simplePos x="0" y="0"/>
            <wp:positionH relativeFrom="page">
              <wp:posOffset>1257846</wp:posOffset>
            </wp:positionH>
            <wp:positionV relativeFrom="paragraph">
              <wp:posOffset>-211013</wp:posOffset>
            </wp:positionV>
            <wp:extent cx="107988" cy="107988"/>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62" w:id="164"/>
      <w:bookmarkEnd w:id="164"/>
      <w:r>
        <w:rPr/>
      </w:r>
      <w:hyperlink w:history="true" w:anchor="_bookmark133">
        <w:r>
          <w:rPr>
            <w:color w:val="005DA1"/>
            <w:spacing w:val="-5"/>
            <w:sz w:val="14"/>
            <w:u w:val="single" w:color="005DA1"/>
          </w:rPr>
          <w:t>88</w:t>
        </w:r>
      </w:hyperlink>
      <w:r>
        <w:rPr>
          <w:spacing w:val="-5"/>
          <w:sz w:val="14"/>
        </w:rPr>
        <w:t>.</w:t>
      </w:r>
    </w:p>
    <w:p>
      <w:pPr>
        <w:pStyle w:val="BodyText"/>
        <w:spacing w:before="208"/>
        <w:ind w:left="335"/>
      </w:pPr>
      <w:r>
        <w:rPr/>
        <w:br w:type="column"/>
      </w:r>
      <w:r>
        <w:rPr/>
        <w:t>CESL Proposal Annex I </w:t>
      </w:r>
      <w:r>
        <w:rPr>
          <w:spacing w:val="-2"/>
        </w:rPr>
        <w:t>art.4(2).</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5776">
            <wp:simplePos x="0" y="0"/>
            <wp:positionH relativeFrom="page">
              <wp:posOffset>1257846</wp:posOffset>
            </wp:positionH>
            <wp:positionV relativeFrom="paragraph">
              <wp:posOffset>-210994</wp:posOffset>
            </wp:positionV>
            <wp:extent cx="107988" cy="107988"/>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6288">
            <wp:simplePos x="0" y="0"/>
            <wp:positionH relativeFrom="page">
              <wp:posOffset>1257846</wp:posOffset>
            </wp:positionH>
            <wp:positionV relativeFrom="paragraph">
              <wp:posOffset>160480</wp:posOffset>
            </wp:positionV>
            <wp:extent cx="107988" cy="107988"/>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63" w:id="165"/>
      <w:bookmarkEnd w:id="165"/>
      <w:r>
        <w:rPr/>
      </w:r>
      <w:hyperlink w:history="true" w:anchor="_bookmark134">
        <w:r>
          <w:rPr>
            <w:color w:val="005DA1"/>
            <w:spacing w:val="-5"/>
            <w:sz w:val="14"/>
            <w:u w:val="single" w:color="005DA1"/>
          </w:rPr>
          <w:t>89</w:t>
        </w:r>
      </w:hyperlink>
      <w:r>
        <w:rPr>
          <w:spacing w:val="-5"/>
          <w:sz w:val="14"/>
        </w:rPr>
        <w:t>.</w:t>
      </w:r>
    </w:p>
    <w:p>
      <w:pPr>
        <w:pStyle w:val="BodyText"/>
        <w:spacing w:line="235" w:lineRule="auto" w:before="212"/>
        <w:ind w:left="165" w:right="167" w:firstLine="170"/>
        <w:jc w:val="both"/>
      </w:pPr>
      <w:r>
        <w:rPr/>
        <w:br w:type="column"/>
      </w:r>
      <w:r>
        <w:rPr/>
        <w:t>European Commission, Annex 2 to the Commission Work Programme 2015 Com(2014) </w:t>
      </w:r>
      <w:r>
        <w:rPr/>
        <w:t>910 final, p.12. See also the Communication from the Commission, A Digital Single Market Strategy for Europe, 2015 COM(2015) 192 final, pp.4-5. This strategy has led, inter alia, to a Proposal</w:t>
      </w:r>
      <w:r>
        <w:rPr>
          <w:spacing w:val="40"/>
        </w:rPr>
        <w:t> </w:t>
      </w:r>
      <w:r>
        <w:rPr/>
        <w:t>for a Directive of the European Parliament and of the Council on certain aspects concerning contracts for the online and other distance sales of goods COM(2015) 635 final and a Proposal for a Directive of the European Parliament and of the Council on certain aspects concerning contracts for the supply of digital content COM(2015) 634.</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6800">
            <wp:simplePos x="0" y="0"/>
            <wp:positionH relativeFrom="page">
              <wp:posOffset>1257846</wp:posOffset>
            </wp:positionH>
            <wp:positionV relativeFrom="paragraph">
              <wp:posOffset>160700</wp:posOffset>
            </wp:positionV>
            <wp:extent cx="107988" cy="107988"/>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64" w:id="166"/>
      <w:bookmarkEnd w:id="166"/>
      <w:r>
        <w:rPr/>
      </w:r>
      <w:hyperlink w:history="true" w:anchor="_bookmark135">
        <w:r>
          <w:rPr>
            <w:color w:val="005DA1"/>
            <w:spacing w:val="-5"/>
            <w:sz w:val="14"/>
            <w:u w:val="single" w:color="005DA1"/>
          </w:rPr>
          <w:t>90</w:t>
        </w:r>
      </w:hyperlink>
      <w:r>
        <w:rPr>
          <w:spacing w:val="-5"/>
          <w:sz w:val="14"/>
        </w:rPr>
        <w:t>.</w:t>
      </w:r>
    </w:p>
    <w:p>
      <w:pPr>
        <w:pStyle w:val="BodyText"/>
        <w:spacing w:line="235" w:lineRule="auto" w:before="213"/>
        <w:ind w:left="165" w:right="167" w:firstLine="170"/>
        <w:jc w:val="both"/>
      </w:pPr>
      <w:r>
        <w:rPr/>
        <w:br w:type="column"/>
      </w:r>
      <w:r>
        <w:rPr/>
        <w:t>cf. the explicit borrowing by Directive 2011/7/EU on combating late payment in </w:t>
      </w:r>
      <w:r>
        <w:rPr/>
        <w:t>commercial transactions [2011] O.J. L48/1, art.7(1)(a) (as explained by recital 28) of “good faith and fair dealing” from the DCFR (which was an important precursor to the CESL, above, n.74).</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7312">
            <wp:simplePos x="0" y="0"/>
            <wp:positionH relativeFrom="page">
              <wp:posOffset>1257846</wp:posOffset>
            </wp:positionH>
            <wp:positionV relativeFrom="paragraph">
              <wp:posOffset>160617</wp:posOffset>
            </wp:positionV>
            <wp:extent cx="107988" cy="107988"/>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65" w:id="167"/>
      <w:bookmarkEnd w:id="167"/>
      <w:r>
        <w:rPr/>
      </w:r>
      <w:hyperlink w:history="true" w:anchor="_bookmark136">
        <w:r>
          <w:rPr>
            <w:color w:val="005DA1"/>
            <w:spacing w:val="-5"/>
            <w:sz w:val="14"/>
            <w:u w:val="single" w:color="005DA1"/>
          </w:rPr>
          <w:t>91</w:t>
        </w:r>
      </w:hyperlink>
      <w:r>
        <w:rPr>
          <w:spacing w:val="-5"/>
          <w:sz w:val="14"/>
        </w:rPr>
        <w:t>.</w:t>
      </w:r>
    </w:p>
    <w:p>
      <w:pPr>
        <w:spacing w:line="235" w:lineRule="auto" w:before="212"/>
        <w:ind w:left="165" w:right="167" w:firstLine="170"/>
        <w:jc w:val="both"/>
        <w:rPr>
          <w:sz w:val="20"/>
        </w:rPr>
      </w:pPr>
      <w:r>
        <w:rPr/>
        <w:br w:type="column"/>
      </w:r>
      <w:r>
        <w:rPr>
          <w:sz w:val="20"/>
        </w:rPr>
        <w:t>See e.g. (before issuing the Proposal) A.G. Trstenjak’s reference to art.167(3) CESL in </w:t>
      </w:r>
      <w:r>
        <w:rPr>
          <w:sz w:val="20"/>
        </w:rPr>
        <w:t>the context of the 1993 Directive in </w:t>
      </w:r>
      <w:r>
        <w:rPr>
          <w:rFonts w:ascii="Arial" w:hAnsi="Arial"/>
          <w:i/>
          <w:sz w:val="20"/>
        </w:rPr>
        <w:t>Banco Español de Crédito, SA v Calderón Camino (C-618/10) </w:t>
      </w:r>
      <w:r>
        <w:rPr>
          <w:sz w:val="20"/>
        </w:rPr>
        <w:t>para.42. cf. </w:t>
      </w:r>
      <w:r>
        <w:rPr>
          <w:rFonts w:ascii="Arial" w:hAnsi="Arial"/>
          <w:i/>
          <w:sz w:val="20"/>
        </w:rPr>
        <w:t>Masdar (UK) Ltd v EC Commission (T–333/03) [2007] 2 All E.R. 261 </w:t>
      </w:r>
      <w:r>
        <w:rPr>
          <w:sz w:val="20"/>
        </w:rPr>
        <w:t>where the Court of First Instance accepted reference to the work of the </w:t>
      </w:r>
      <w:r>
        <w:rPr>
          <w:rFonts w:ascii="Arial" w:hAnsi="Arial"/>
          <w:i/>
          <w:sz w:val="20"/>
        </w:rPr>
        <w:t>Study Group on a European Civil Code </w:t>
      </w:r>
      <w:r>
        <w:rPr>
          <w:sz w:val="20"/>
        </w:rPr>
        <w:t>in order to develop a EU law of restitution for unjustified enrichment under art.288 (formerly 215) EC; </w:t>
      </w:r>
      <w:r>
        <w:rPr>
          <w:rFonts w:ascii="Arial" w:hAnsi="Arial"/>
          <w:i/>
          <w:sz w:val="20"/>
        </w:rPr>
        <w:t>Hamilton v Volksbank Filder eG (412/06) </w:t>
      </w:r>
      <w:r>
        <w:rPr>
          <w:sz w:val="20"/>
        </w:rPr>
        <w:t>A.G. Poires Maturo at [24] (referring</w:t>
      </w:r>
      <w:r>
        <w:rPr>
          <w:spacing w:val="-2"/>
          <w:sz w:val="20"/>
        </w:rPr>
        <w:t> </w:t>
      </w:r>
      <w:r>
        <w:rPr>
          <w:sz w:val="20"/>
        </w:rPr>
        <w:t>to</w:t>
      </w:r>
      <w:r>
        <w:rPr>
          <w:spacing w:val="-2"/>
          <w:sz w:val="20"/>
        </w:rPr>
        <w:t> </w:t>
      </w:r>
      <w:r>
        <w:rPr>
          <w:sz w:val="20"/>
        </w:rPr>
        <w:t>time</w:t>
      </w:r>
      <w:r>
        <w:rPr>
          <w:spacing w:val="-2"/>
          <w:sz w:val="20"/>
        </w:rPr>
        <w:t> </w:t>
      </w:r>
      <w:r>
        <w:rPr>
          <w:sz w:val="20"/>
        </w:rPr>
        <w:t>limits</w:t>
      </w:r>
      <w:r>
        <w:rPr>
          <w:spacing w:val="-2"/>
          <w:sz w:val="20"/>
        </w:rPr>
        <w:t> </w:t>
      </w:r>
      <w:r>
        <w:rPr>
          <w:sz w:val="20"/>
        </w:rPr>
        <w:t>for</w:t>
      </w:r>
      <w:r>
        <w:rPr>
          <w:spacing w:val="-2"/>
          <w:sz w:val="20"/>
        </w:rPr>
        <w:t> </w:t>
      </w:r>
      <w:r>
        <w:rPr>
          <w:sz w:val="20"/>
        </w:rPr>
        <w:t>the</w:t>
      </w:r>
      <w:r>
        <w:rPr>
          <w:spacing w:val="-2"/>
          <w:sz w:val="20"/>
        </w:rPr>
        <w:t> </w:t>
      </w:r>
      <w:r>
        <w:rPr>
          <w:sz w:val="20"/>
        </w:rPr>
        <w:t>exercise</w:t>
      </w:r>
      <w:r>
        <w:rPr>
          <w:spacing w:val="-2"/>
          <w:sz w:val="20"/>
        </w:rPr>
        <w:t> </w:t>
      </w:r>
      <w:r>
        <w:rPr>
          <w:sz w:val="20"/>
        </w:rPr>
        <w:t>of</w:t>
      </w:r>
      <w:r>
        <w:rPr>
          <w:spacing w:val="-2"/>
          <w:sz w:val="20"/>
        </w:rPr>
        <w:t> </w:t>
      </w:r>
      <w:r>
        <w:rPr>
          <w:sz w:val="20"/>
        </w:rPr>
        <w:t>a</w:t>
      </w:r>
      <w:r>
        <w:rPr>
          <w:spacing w:val="-2"/>
          <w:sz w:val="20"/>
        </w:rPr>
        <w:t> </w:t>
      </w:r>
      <w:r>
        <w:rPr>
          <w:sz w:val="20"/>
        </w:rPr>
        <w:t>right</w:t>
      </w:r>
      <w:r>
        <w:rPr>
          <w:spacing w:val="-2"/>
          <w:sz w:val="20"/>
        </w:rPr>
        <w:t> </w:t>
      </w:r>
      <w:r>
        <w:rPr>
          <w:sz w:val="20"/>
        </w:rPr>
        <w:t>as</w:t>
      </w:r>
      <w:r>
        <w:rPr>
          <w:spacing w:val="-2"/>
          <w:sz w:val="20"/>
        </w:rPr>
        <w:t> </w:t>
      </w:r>
      <w:r>
        <w:rPr>
          <w:sz w:val="20"/>
        </w:rPr>
        <w:t>being</w:t>
      </w:r>
      <w:r>
        <w:rPr>
          <w:spacing w:val="-2"/>
          <w:sz w:val="20"/>
        </w:rPr>
        <w:t> </w:t>
      </w:r>
      <w:r>
        <w:rPr>
          <w:sz w:val="20"/>
        </w:rPr>
        <w:t>a</w:t>
      </w:r>
      <w:r>
        <w:rPr>
          <w:spacing w:val="-2"/>
          <w:sz w:val="20"/>
        </w:rPr>
        <w:t> </w:t>
      </w:r>
      <w:r>
        <w:rPr>
          <w:sz w:val="20"/>
        </w:rPr>
        <w:t>“principle</w:t>
      </w:r>
      <w:r>
        <w:rPr>
          <w:spacing w:val="-2"/>
          <w:sz w:val="20"/>
        </w:rPr>
        <w:t> </w:t>
      </w:r>
      <w:r>
        <w:rPr>
          <w:sz w:val="20"/>
        </w:rPr>
        <w:t>common</w:t>
      </w:r>
      <w:r>
        <w:rPr>
          <w:spacing w:val="-2"/>
          <w:sz w:val="20"/>
        </w:rPr>
        <w:t> </w:t>
      </w:r>
      <w:r>
        <w:rPr>
          <w:sz w:val="20"/>
        </w:rPr>
        <w:t>to</w:t>
      </w:r>
      <w:r>
        <w:rPr>
          <w:spacing w:val="-2"/>
          <w:sz w:val="20"/>
        </w:rPr>
        <w:t> </w:t>
      </w:r>
      <w:r>
        <w:rPr>
          <w:sz w:val="20"/>
        </w:rPr>
        <w:t>the</w:t>
      </w:r>
      <w:r>
        <w:rPr>
          <w:spacing w:val="-2"/>
          <w:sz w:val="20"/>
        </w:rPr>
        <w:t> </w:t>
      </w:r>
      <w:r>
        <w:rPr>
          <w:sz w:val="20"/>
        </w:rPr>
        <w:t>laws</w:t>
      </w:r>
      <w:r>
        <w:rPr>
          <w:spacing w:val="-2"/>
          <w:sz w:val="20"/>
        </w:rPr>
        <w:t> </w:t>
      </w:r>
      <w:r>
        <w:rPr>
          <w:sz w:val="20"/>
        </w:rPr>
        <w:t>of</w:t>
      </w:r>
      <w:r>
        <w:rPr>
          <w:spacing w:val="-2"/>
          <w:sz w:val="20"/>
        </w:rPr>
        <w:t> </w:t>
      </w:r>
      <w:r>
        <w:rPr>
          <w:sz w:val="20"/>
        </w:rPr>
        <w:t>the Member</w:t>
      </w:r>
      <w:r>
        <w:rPr>
          <w:spacing w:val="-1"/>
          <w:sz w:val="20"/>
        </w:rPr>
        <w:t> </w:t>
      </w:r>
      <w:r>
        <w:rPr>
          <w:sz w:val="20"/>
        </w:rPr>
        <w:t>States”</w:t>
      </w:r>
      <w:r>
        <w:rPr>
          <w:spacing w:val="-1"/>
          <w:sz w:val="20"/>
        </w:rPr>
        <w:t> </w:t>
      </w:r>
      <w:r>
        <w:rPr>
          <w:sz w:val="20"/>
        </w:rPr>
        <w:t>and</w:t>
      </w:r>
      <w:r>
        <w:rPr>
          <w:spacing w:val="-1"/>
          <w:sz w:val="20"/>
        </w:rPr>
        <w:t> </w:t>
      </w:r>
      <w:r>
        <w:rPr>
          <w:sz w:val="20"/>
        </w:rPr>
        <w:t>citing</w:t>
      </w:r>
      <w:r>
        <w:rPr>
          <w:spacing w:val="-1"/>
          <w:sz w:val="20"/>
        </w:rPr>
        <w:t> </w:t>
      </w:r>
      <w:r>
        <w:rPr>
          <w:sz w:val="20"/>
        </w:rPr>
        <w:t>the</w:t>
      </w:r>
      <w:r>
        <w:rPr>
          <w:spacing w:val="-1"/>
          <w:sz w:val="20"/>
        </w:rPr>
        <w:t> </w:t>
      </w:r>
      <w:r>
        <w:rPr>
          <w:sz w:val="20"/>
        </w:rPr>
        <w:t>possible</w:t>
      </w:r>
      <w:r>
        <w:rPr>
          <w:spacing w:val="-1"/>
          <w:sz w:val="20"/>
        </w:rPr>
        <w:t> </w:t>
      </w:r>
      <w:r>
        <w:rPr>
          <w:sz w:val="20"/>
        </w:rPr>
        <w:t>future</w:t>
      </w:r>
      <w:r>
        <w:rPr>
          <w:spacing w:val="-1"/>
          <w:sz w:val="20"/>
        </w:rPr>
        <w:t> </w:t>
      </w:r>
      <w:r>
        <w:rPr>
          <w:sz w:val="20"/>
        </w:rPr>
        <w:t>DCFR).</w:t>
      </w:r>
      <w:r>
        <w:rPr>
          <w:spacing w:val="-1"/>
          <w:sz w:val="20"/>
        </w:rPr>
        <w:t> </w:t>
      </w:r>
      <w:r>
        <w:rPr>
          <w:sz w:val="20"/>
        </w:rPr>
        <w:t>On</w:t>
      </w:r>
      <w:r>
        <w:rPr>
          <w:spacing w:val="-1"/>
          <w:sz w:val="20"/>
        </w:rPr>
        <w:t> </w:t>
      </w:r>
      <w:r>
        <w:rPr>
          <w:sz w:val="20"/>
        </w:rPr>
        <w:t>these</w:t>
      </w:r>
      <w:r>
        <w:rPr>
          <w:spacing w:val="-1"/>
          <w:sz w:val="20"/>
        </w:rPr>
        <w:t> </w:t>
      </w:r>
      <w:r>
        <w:rPr>
          <w:sz w:val="20"/>
        </w:rPr>
        <w:t>predecessors</w:t>
      </w:r>
      <w:r>
        <w:rPr>
          <w:spacing w:val="-1"/>
          <w:sz w:val="20"/>
        </w:rPr>
        <w:t> </w:t>
      </w:r>
      <w:r>
        <w:rPr>
          <w:sz w:val="20"/>
        </w:rPr>
        <w:t>of</w:t>
      </w:r>
      <w:r>
        <w:rPr>
          <w:spacing w:val="-1"/>
          <w:sz w:val="20"/>
        </w:rPr>
        <w:t> </w:t>
      </w:r>
      <w:r>
        <w:rPr>
          <w:sz w:val="20"/>
        </w:rPr>
        <w:t>the</w:t>
      </w:r>
      <w:r>
        <w:rPr>
          <w:spacing w:val="-1"/>
          <w:sz w:val="20"/>
        </w:rPr>
        <w:t> </w:t>
      </w:r>
      <w:r>
        <w:rPr>
          <w:sz w:val="20"/>
        </w:rPr>
        <w:t>CESL,</w:t>
      </w:r>
      <w:r>
        <w:rPr>
          <w:spacing w:val="-1"/>
          <w:sz w:val="20"/>
        </w:rPr>
        <w:t> </w:t>
      </w:r>
      <w:r>
        <w:rPr>
          <w:sz w:val="20"/>
        </w:rPr>
        <w:t>see above, n.74.</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12"/>
        <w:rPr>
          <w:sz w:val="14"/>
        </w:rPr>
      </w:pPr>
    </w:p>
    <w:p>
      <w:pPr>
        <w:spacing w:before="1"/>
        <w:ind w:left="165" w:right="0" w:firstLine="0"/>
        <w:jc w:val="left"/>
        <w:rPr>
          <w:sz w:val="14"/>
        </w:rPr>
      </w:pPr>
      <w:hyperlink w:history="true" w:anchor="_bookmark137">
        <w:r>
          <w:rPr>
            <w:color w:val="005DA1"/>
            <w:spacing w:val="-5"/>
            <w:sz w:val="14"/>
            <w:u w:val="single" w:color="005DA1"/>
          </w:rPr>
          <w:t>92</w:t>
        </w:r>
      </w:hyperlink>
      <w:r>
        <w:rPr>
          <w:spacing w:val="-5"/>
          <w:sz w:val="14"/>
        </w:rPr>
        <w:t>.</w:t>
      </w:r>
    </w:p>
    <w:p>
      <w:pPr>
        <w:spacing w:line="240" w:lineRule="auto" w:before="56"/>
        <w:rPr>
          <w:sz w:val="20"/>
        </w:rPr>
      </w:pPr>
      <w:r>
        <w:rPr/>
        <w:br w:type="column"/>
      </w:r>
      <w:r>
        <w:rPr>
          <w:sz w:val="20"/>
        </w:rPr>
      </w:r>
    </w:p>
    <w:p>
      <w:pPr>
        <w:pStyle w:val="BodyText"/>
        <w:ind w:left="335"/>
      </w:pPr>
      <w:r>
        <w:rPr/>
        <w:drawing>
          <wp:anchor distT="0" distB="0" distL="0" distR="0" allowOverlap="1" layoutInCell="1" locked="0" behindDoc="0" simplePos="0" relativeHeight="15757824">
            <wp:simplePos x="0" y="0"/>
            <wp:positionH relativeFrom="page">
              <wp:posOffset>1257846</wp:posOffset>
            </wp:positionH>
            <wp:positionV relativeFrom="paragraph">
              <wp:posOffset>28443</wp:posOffset>
            </wp:positionV>
            <wp:extent cx="107988" cy="107988"/>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6" cstate="print"/>
                    <a:stretch>
                      <a:fillRect/>
                    </a:stretch>
                  </pic:blipFill>
                  <pic:spPr>
                    <a:xfrm>
                      <a:off x="0" y="0"/>
                      <a:ext cx="107988" cy="107988"/>
                    </a:xfrm>
                    <a:prstGeom prst="rect">
                      <a:avLst/>
                    </a:prstGeom>
                  </pic:spPr>
                </pic:pic>
              </a:graphicData>
            </a:graphic>
          </wp:anchor>
        </w:drawing>
      </w:r>
      <w:r>
        <w:rPr/>
        <w:t>CESL Proposal Annex arts </w:t>
      </w:r>
      <w:r>
        <w:rPr>
          <w:spacing w:val="-4"/>
        </w:rPr>
        <w:t>1–3.</w:t>
      </w:r>
    </w:p>
    <w:p>
      <w:pPr>
        <w:pStyle w:val="BodyText"/>
        <w:spacing w:after="0"/>
        <w:sectPr>
          <w:headerReference w:type="default" r:id="rId13"/>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66" w:id="168"/>
      <w:bookmarkEnd w:id="168"/>
      <w:r>
        <w:rPr/>
      </w:r>
      <w:hyperlink w:history="true" w:anchor="_bookmark138">
        <w:r>
          <w:rPr>
            <w:color w:val="005DA1"/>
            <w:spacing w:val="-5"/>
            <w:sz w:val="14"/>
            <w:u w:val="single" w:color="005DA1"/>
          </w:rPr>
          <w:t>93</w:t>
        </w:r>
      </w:hyperlink>
      <w:r>
        <w:rPr>
          <w:spacing w:val="-5"/>
          <w:sz w:val="14"/>
        </w:rPr>
        <w:t>.</w:t>
      </w:r>
    </w:p>
    <w:p>
      <w:pPr>
        <w:spacing w:line="235" w:lineRule="auto" w:before="212"/>
        <w:ind w:left="165" w:right="167" w:firstLine="170"/>
        <w:jc w:val="both"/>
        <w:rPr>
          <w:rFonts w:ascii="Arial" w:hAnsi="Arial"/>
          <w:i/>
          <w:sz w:val="20"/>
        </w:rPr>
      </w:pPr>
      <w:r>
        <w:rPr/>
        <w:br w:type="column"/>
      </w:r>
      <w:r>
        <w:rPr>
          <w:sz w:val="20"/>
        </w:rPr>
        <w:t>Whittaker, </w:t>
      </w:r>
      <w:r>
        <w:rPr>
          <w:rFonts w:ascii="Arial" w:hAnsi="Arial"/>
          <w:i/>
          <w:sz w:val="20"/>
        </w:rPr>
        <w:t>The Future of European Contract Law, Essays in Honour of Ewoud </w:t>
      </w:r>
      <w:r>
        <w:rPr>
          <w:rFonts w:ascii="Arial" w:hAnsi="Arial"/>
          <w:i/>
          <w:sz w:val="20"/>
        </w:rPr>
        <w:t>Hondius </w:t>
      </w:r>
      <w:r>
        <w:rPr>
          <w:sz w:val="20"/>
        </w:rPr>
        <w:t>(2007), 333; Weatherill (2010) 6 European Review of Contract Law 74; Hesselink, </w:t>
      </w:r>
      <w:r>
        <w:rPr>
          <w:rFonts w:ascii="Arial" w:hAnsi="Arial"/>
          <w:i/>
          <w:sz w:val="20"/>
        </w:rPr>
        <w:t>The Involvement of EU Law in Private Law Relationships </w:t>
      </w:r>
      <w:r>
        <w:rPr>
          <w:sz w:val="20"/>
        </w:rPr>
        <w:t>(2012). e.g. </w:t>
      </w:r>
      <w:r>
        <w:rPr>
          <w:rFonts w:ascii="Arial" w:hAnsi="Arial"/>
          <w:i/>
          <w:sz w:val="20"/>
        </w:rPr>
        <w:t>Hamilton v Volksbank Filder eG</w:t>
      </w:r>
      <w:r>
        <w:rPr>
          <w:rFonts w:ascii="Arial" w:hAnsi="Arial"/>
          <w:i/>
          <w:spacing w:val="18"/>
          <w:sz w:val="20"/>
        </w:rPr>
        <w:t> </w:t>
      </w:r>
      <w:r>
        <w:rPr>
          <w:rFonts w:ascii="Arial" w:hAnsi="Arial"/>
          <w:i/>
          <w:sz w:val="20"/>
        </w:rPr>
        <w:t>(C-412/06)</w:t>
      </w:r>
      <w:r>
        <w:rPr>
          <w:rFonts w:ascii="Arial" w:hAnsi="Arial"/>
          <w:i/>
          <w:spacing w:val="18"/>
          <w:sz w:val="20"/>
        </w:rPr>
        <w:t> </w:t>
      </w:r>
      <w:r>
        <w:rPr>
          <w:rFonts w:ascii="Arial" w:hAnsi="Arial"/>
          <w:i/>
          <w:sz w:val="20"/>
        </w:rPr>
        <w:t>[2008]</w:t>
      </w:r>
      <w:r>
        <w:rPr>
          <w:rFonts w:ascii="Arial" w:hAnsi="Arial"/>
          <w:i/>
          <w:spacing w:val="18"/>
          <w:sz w:val="20"/>
        </w:rPr>
        <w:t> </w:t>
      </w:r>
      <w:r>
        <w:rPr>
          <w:rFonts w:ascii="Arial" w:hAnsi="Arial"/>
          <w:i/>
          <w:sz w:val="20"/>
        </w:rPr>
        <w:t>E.C.R.</w:t>
      </w:r>
      <w:r>
        <w:rPr>
          <w:rFonts w:ascii="Arial" w:hAnsi="Arial"/>
          <w:i/>
          <w:spacing w:val="18"/>
          <w:sz w:val="20"/>
        </w:rPr>
        <w:t> </w:t>
      </w:r>
      <w:r>
        <w:rPr>
          <w:rFonts w:ascii="Arial" w:hAnsi="Arial"/>
          <w:i/>
          <w:sz w:val="20"/>
        </w:rPr>
        <w:t>I–2383</w:t>
      </w:r>
      <w:r>
        <w:rPr>
          <w:rFonts w:ascii="Arial" w:hAnsi="Arial"/>
          <w:i/>
          <w:spacing w:val="18"/>
          <w:sz w:val="20"/>
        </w:rPr>
        <w:t> </w:t>
      </w:r>
      <w:r>
        <w:rPr>
          <w:sz w:val="20"/>
        </w:rPr>
        <w:t>at</w:t>
      </w:r>
      <w:r>
        <w:rPr>
          <w:spacing w:val="18"/>
          <w:sz w:val="20"/>
        </w:rPr>
        <w:t> </w:t>
      </w:r>
      <w:r>
        <w:rPr>
          <w:sz w:val="20"/>
        </w:rPr>
        <w:t>para.42;</w:t>
      </w:r>
      <w:r>
        <w:rPr>
          <w:spacing w:val="18"/>
          <w:sz w:val="20"/>
        </w:rPr>
        <w:t> </w:t>
      </w:r>
      <w:r>
        <w:rPr>
          <w:rFonts w:ascii="Arial" w:hAnsi="Arial"/>
          <w:i/>
          <w:sz w:val="20"/>
        </w:rPr>
        <w:t>Messner</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Krüger</w:t>
      </w:r>
      <w:r>
        <w:rPr>
          <w:rFonts w:ascii="Arial" w:hAnsi="Arial"/>
          <w:i/>
          <w:spacing w:val="18"/>
          <w:sz w:val="20"/>
        </w:rPr>
        <w:t> </w:t>
      </w:r>
      <w:r>
        <w:rPr>
          <w:rFonts w:ascii="Arial" w:hAnsi="Arial"/>
          <w:i/>
          <w:sz w:val="20"/>
        </w:rPr>
        <w:t>(C-489/07)</w:t>
      </w:r>
      <w:r>
        <w:rPr>
          <w:rFonts w:ascii="Arial" w:hAnsi="Arial"/>
          <w:i/>
          <w:spacing w:val="18"/>
          <w:sz w:val="20"/>
        </w:rPr>
        <w:t> </w:t>
      </w:r>
      <w:r>
        <w:rPr>
          <w:rFonts w:ascii="Arial" w:hAnsi="Arial"/>
          <w:i/>
          <w:sz w:val="20"/>
        </w:rPr>
        <w:t>[2009]</w:t>
      </w:r>
      <w:r>
        <w:rPr>
          <w:rFonts w:ascii="Arial" w:hAnsi="Arial"/>
          <w:i/>
          <w:spacing w:val="18"/>
          <w:sz w:val="20"/>
        </w:rPr>
        <w:t> </w:t>
      </w:r>
      <w:r>
        <w:rPr>
          <w:rFonts w:ascii="Arial" w:hAnsi="Arial"/>
          <w:i/>
          <w:spacing w:val="-2"/>
          <w:sz w:val="20"/>
        </w:rPr>
        <w:t>I–07315</w:t>
      </w:r>
    </w:p>
    <w:p>
      <w:pPr>
        <w:spacing w:line="235" w:lineRule="auto" w:before="0"/>
        <w:ind w:left="165" w:right="168" w:firstLine="0"/>
        <w:jc w:val="both"/>
        <w:rPr>
          <w:sz w:val="20"/>
        </w:rPr>
      </w:pPr>
      <w:r>
        <w:rPr>
          <w:sz w:val="20"/>
        </w:rPr>
        <w:drawing>
          <wp:anchor distT="0" distB="0" distL="0" distR="0" allowOverlap="1" layoutInCell="1" locked="0" behindDoc="0" simplePos="0" relativeHeight="15758336">
            <wp:simplePos x="0" y="0"/>
            <wp:positionH relativeFrom="page">
              <wp:posOffset>1257846</wp:posOffset>
            </wp:positionH>
            <wp:positionV relativeFrom="paragraph">
              <wp:posOffset>-546544</wp:posOffset>
            </wp:positionV>
            <wp:extent cx="107988" cy="107988"/>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6" cstate="print"/>
                    <a:stretch>
                      <a:fillRect/>
                    </a:stretch>
                  </pic:blipFill>
                  <pic:spPr>
                    <a:xfrm>
                      <a:off x="0" y="0"/>
                      <a:ext cx="107988" cy="107988"/>
                    </a:xfrm>
                    <a:prstGeom prst="rect">
                      <a:avLst/>
                    </a:prstGeom>
                  </pic:spPr>
                </pic:pic>
              </a:graphicData>
            </a:graphic>
          </wp:anchor>
        </w:drawing>
      </w:r>
      <w:r>
        <w:rPr>
          <w:sz w:val="20"/>
        </w:rPr>
        <w:t>para.26; </w:t>
      </w:r>
      <w:r>
        <w:rPr>
          <w:rFonts w:ascii="Arial" w:hAnsi="Arial"/>
          <w:i/>
          <w:sz w:val="20"/>
        </w:rPr>
        <w:t>E. Friz GmbH v Carsten von der Heyden (C-215/08) [2010] E.C.R. I–2947</w:t>
      </w:r>
      <w:r>
        <w:rPr>
          <w:sz w:val="20"/>
        </w:rPr>
        <w:t>, paras </w:t>
      </w:r>
      <w:r>
        <w:rPr>
          <w:sz w:val="20"/>
        </w:rPr>
        <w:t>48, </w:t>
      </w:r>
      <w:r>
        <w:rPr>
          <w:spacing w:val="-4"/>
          <w:sz w:val="20"/>
        </w:rPr>
        <w:t>49.</w:t>
      </w:r>
    </w:p>
    <w:p>
      <w:pPr>
        <w:pStyle w:val="BodyText"/>
        <w:spacing w:before="191"/>
      </w:pPr>
    </w:p>
    <w:p>
      <w:pPr>
        <w:spacing w:before="0"/>
        <w:ind w:left="0" w:right="544"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00" w:space="141"/>
            <w:col w:w="8809"/>
          </w:cols>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1. - Sources of English Contract </w:t>
      </w:r>
      <w:r>
        <w:rPr>
          <w:rFonts w:ascii="Arial"/>
          <w:b/>
          <w:spacing w:val="-5"/>
          <w:sz w:val="24"/>
        </w:rPr>
        <w:t>Law</w:t>
      </w:r>
    </w:p>
    <w:p>
      <w:pPr>
        <w:spacing w:before="194"/>
        <w:ind w:left="3978" w:right="0" w:firstLine="0"/>
        <w:jc w:val="left"/>
        <w:rPr>
          <w:rFonts w:ascii="Arial"/>
          <w:b/>
          <w:sz w:val="24"/>
        </w:rPr>
      </w:pPr>
      <w:r>
        <w:rPr>
          <w:rFonts w:ascii="Arial"/>
          <w:b/>
          <w:sz w:val="24"/>
        </w:rPr>
        <w:t>(d) - EU </w:t>
      </w:r>
      <w:r>
        <w:rPr>
          <w:rFonts w:ascii="Arial"/>
          <w:b/>
          <w:spacing w:val="-5"/>
          <w:sz w:val="24"/>
        </w:rPr>
        <w:t>Law</w:t>
      </w:r>
    </w:p>
    <w:p>
      <w:pPr>
        <w:pStyle w:val="ListParagraph"/>
        <w:numPr>
          <w:ilvl w:val="0"/>
          <w:numId w:val="2"/>
        </w:numPr>
        <w:tabs>
          <w:tab w:pos="2210" w:val="left" w:leader="none"/>
        </w:tabs>
        <w:spacing w:line="240" w:lineRule="auto" w:before="194" w:after="0"/>
        <w:ind w:left="2210" w:right="0" w:hanging="359"/>
        <w:jc w:val="left"/>
        <w:rPr>
          <w:b/>
          <w:sz w:val="24"/>
        </w:rPr>
      </w:pPr>
      <w:r>
        <w:rPr>
          <w:b/>
          <w:sz w:val="24"/>
        </w:rPr>
        <w:t>- United Kingdom’s Exit from the EU </w:t>
      </w:r>
      <w:r>
        <w:rPr>
          <w:b/>
          <w:spacing w:val="-2"/>
          <w:sz w:val="24"/>
        </w:rPr>
        <w:t>(“Brexit”)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r>
        <w:rPr>
          <w:rFonts w:ascii="Arial" w:hAnsi="Arial"/>
          <w:b/>
          <w:sz w:val="18"/>
        </w:rPr>
        <w:t>A note on </w:t>
      </w:r>
      <w:r>
        <w:rPr>
          <w:rFonts w:ascii="Arial" w:hAnsi="Arial"/>
          <w:b/>
          <w:spacing w:val="-2"/>
          <w:sz w:val="18"/>
        </w:rPr>
        <w:t>“Brexit”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4"/>
          <w:sz w:val="24"/>
        </w:rPr>
        <w:t>013A</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After a national referendum held on June 23, 2016 at which a majority voted in favour of the </w:t>
      </w:r>
      <w:r>
        <w:rPr/>
        <w:t>UK leaving the EU, the UK Conservative Government formed on July 16, 2016 declared its intention to end the UK’s membership of the EU (“Brexit”) and on March 29, 2017 the Prime Minister, the Right </w:t>
      </w:r>
      <w:bookmarkStart w:name="_bookmark167" w:id="169"/>
      <w:bookmarkEnd w:id="169"/>
      <w:r>
        <w:rPr/>
        <w:t>Hon.</w:t>
      </w:r>
      <w:r>
        <w:rPr>
          <w:spacing w:val="20"/>
        </w:rPr>
        <w:t> </w:t>
      </w:r>
      <w:r>
        <w:rPr/>
        <w:t>Mrs</w:t>
      </w:r>
      <w:r>
        <w:rPr>
          <w:spacing w:val="20"/>
        </w:rPr>
        <w:t> </w:t>
      </w:r>
      <w:r>
        <w:rPr/>
        <w:t>Theresa</w:t>
      </w:r>
      <w:r>
        <w:rPr>
          <w:spacing w:val="20"/>
        </w:rPr>
        <w:t> </w:t>
      </w:r>
      <w:r>
        <w:rPr/>
        <w:t>May</w:t>
      </w:r>
      <w:r>
        <w:rPr>
          <w:spacing w:val="20"/>
        </w:rPr>
        <w:t> </w:t>
      </w:r>
      <w:r>
        <w:rPr/>
        <w:t>MP,</w:t>
      </w:r>
      <w:r>
        <w:rPr>
          <w:spacing w:val="20"/>
        </w:rPr>
        <w:t> </w:t>
      </w:r>
      <w:r>
        <w:rPr/>
        <w:t>set</w:t>
      </w:r>
      <w:r>
        <w:rPr>
          <w:spacing w:val="20"/>
        </w:rPr>
        <w:t> </w:t>
      </w:r>
      <w:r>
        <w:rPr/>
        <w:t>in</w:t>
      </w:r>
      <w:r>
        <w:rPr>
          <w:spacing w:val="20"/>
        </w:rPr>
        <w:t> </w:t>
      </w:r>
      <w:r>
        <w:rPr/>
        <w:t>motion</w:t>
      </w:r>
      <w:r>
        <w:rPr>
          <w:spacing w:val="20"/>
        </w:rPr>
        <w:t> </w:t>
      </w:r>
      <w:r>
        <w:rPr/>
        <w:t>the</w:t>
      </w:r>
      <w:r>
        <w:rPr>
          <w:spacing w:val="20"/>
        </w:rPr>
        <w:t> </w:t>
      </w:r>
      <w:r>
        <w:rPr/>
        <w:t>process</w:t>
      </w:r>
      <w:r>
        <w:rPr>
          <w:spacing w:val="20"/>
        </w:rPr>
        <w:t> </w:t>
      </w:r>
      <w:r>
        <w:rPr/>
        <w:t>of</w:t>
      </w:r>
      <w:r>
        <w:rPr>
          <w:spacing w:val="20"/>
        </w:rPr>
        <w:t> </w:t>
      </w:r>
      <w:r>
        <w:rPr/>
        <w:t>doing</w:t>
      </w:r>
      <w:r>
        <w:rPr>
          <w:spacing w:val="20"/>
        </w:rPr>
        <w:t> </w:t>
      </w:r>
      <w:r>
        <w:rPr/>
        <w:t>so</w:t>
      </w:r>
      <w:r>
        <w:rPr>
          <w:spacing w:val="20"/>
        </w:rPr>
        <w:t> </w:t>
      </w:r>
      <w:r>
        <w:rPr/>
        <w:t>under</w:t>
      </w:r>
      <w:r>
        <w:rPr>
          <w:spacing w:val="20"/>
        </w:rPr>
        <w:t> </w:t>
      </w:r>
      <w:r>
        <w:rPr/>
        <w:t>art.50</w:t>
      </w:r>
      <w:r>
        <w:rPr>
          <w:spacing w:val="20"/>
        </w:rPr>
        <w:t> </w:t>
      </w:r>
      <w:r>
        <w:rPr/>
        <w:t>of</w:t>
      </w:r>
      <w:r>
        <w:rPr>
          <w:spacing w:val="20"/>
        </w:rPr>
        <w:t> </w:t>
      </w:r>
      <w:r>
        <w:rPr/>
        <w:t>the</w:t>
      </w:r>
      <w:r>
        <w:rPr>
          <w:spacing w:val="20"/>
        </w:rPr>
        <w:t> </w:t>
      </w:r>
      <w:r>
        <w:rPr/>
        <w:t>Treaty</w:t>
      </w:r>
      <w:r>
        <w:rPr>
          <w:spacing w:val="20"/>
        </w:rPr>
        <w:t> </w:t>
      </w:r>
      <w:r>
        <w:rPr/>
        <w:t>of</w:t>
      </w:r>
      <w:r>
        <w:rPr>
          <w:spacing w:val="20"/>
        </w:rPr>
        <w:t> </w:t>
      </w:r>
      <w:r>
        <w:rPr>
          <w:spacing w:val="-5"/>
        </w:rPr>
        <w:t>the</w:t>
      </w:r>
    </w:p>
    <w:p>
      <w:pPr>
        <w:spacing w:line="235" w:lineRule="auto" w:before="119"/>
        <w:ind w:left="165" w:right="167" w:firstLine="0"/>
        <w:jc w:val="both"/>
        <w:rPr>
          <w:rFonts w:ascii="Arial" w:hAnsi="Arial"/>
          <w:i/>
          <w:sz w:val="20"/>
        </w:rPr>
      </w:pPr>
      <w:r>
        <w:rPr>
          <w:sz w:val="20"/>
        </w:rPr>
        <w:t>European</w:t>
      </w:r>
      <w:r>
        <w:rPr>
          <w:spacing w:val="-3"/>
          <w:sz w:val="20"/>
        </w:rPr>
        <w:t> </w:t>
      </w:r>
      <w:r>
        <w:rPr>
          <w:sz w:val="20"/>
        </w:rPr>
        <w:t>Union</w:t>
      </w:r>
      <w:r>
        <w:rPr>
          <w:spacing w:val="-3"/>
          <w:sz w:val="20"/>
        </w:rPr>
        <w:t> </w:t>
      </w:r>
      <w:r>
        <w:rPr>
          <w:sz w:val="20"/>
        </w:rPr>
        <w:t>(TEU).</w:t>
      </w:r>
      <w:r>
        <w:rPr>
          <w:spacing w:val="-3"/>
          <w:sz w:val="20"/>
        </w:rPr>
        <w:t> </w:t>
      </w:r>
      <w:r>
        <w:rPr>
          <w:color w:val="005DA1"/>
          <w:sz w:val="20"/>
          <w:u w:val="single" w:color="005DA1"/>
          <w:vertAlign w:val="superscript"/>
        </w:rPr>
        <w:t>94</w:t>
      </w:r>
      <w:r>
        <w:rPr>
          <w:color w:val="005DA1"/>
          <w:spacing w:val="80"/>
          <w:sz w:val="20"/>
          <w:vertAlign w:val="baseline"/>
        </w:rPr>
        <w:t> </w:t>
      </w:r>
      <w:r>
        <w:rPr>
          <w:color w:val="005DA1"/>
          <w:spacing w:val="1"/>
          <w:position w:val="-2"/>
          <w:sz w:val="20"/>
          <w:vertAlign w:val="baseline"/>
        </w:rPr>
        <w:drawing>
          <wp:inline distT="0" distB="0" distL="0" distR="0">
            <wp:extent cx="107988" cy="10798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sz w:val="20"/>
          <w:vertAlign w:val="baseline"/>
        </w:rPr>
      </w:r>
      <w:r>
        <w:rPr>
          <w:rFonts w:ascii="Times New Roman" w:hAnsi="Times New Roman"/>
          <w:color w:val="005DA1"/>
          <w:spacing w:val="1"/>
          <w:sz w:val="20"/>
          <w:vertAlign w:val="baseline"/>
        </w:rPr>
        <w:t> </w:t>
      </w:r>
      <w:r>
        <w:rPr>
          <w:sz w:val="20"/>
          <w:vertAlign w:val="baseline"/>
        </w:rPr>
        <w:t>The</w:t>
      </w:r>
      <w:r>
        <w:rPr>
          <w:spacing w:val="-3"/>
          <w:sz w:val="20"/>
          <w:vertAlign w:val="baseline"/>
        </w:rPr>
        <w:t> </w:t>
      </w:r>
      <w:r>
        <w:rPr>
          <w:sz w:val="20"/>
          <w:vertAlign w:val="baseline"/>
        </w:rPr>
        <w:t>Conservative</w:t>
      </w:r>
      <w:r>
        <w:rPr>
          <w:spacing w:val="-3"/>
          <w:sz w:val="20"/>
          <w:vertAlign w:val="baseline"/>
        </w:rPr>
        <w:t> </w:t>
      </w:r>
      <w:r>
        <w:rPr>
          <w:sz w:val="20"/>
          <w:vertAlign w:val="baseline"/>
        </w:rPr>
        <w:t>Government</w:t>
      </w:r>
      <w:r>
        <w:rPr>
          <w:spacing w:val="-3"/>
          <w:sz w:val="20"/>
          <w:vertAlign w:val="baseline"/>
        </w:rPr>
        <w:t> </w:t>
      </w:r>
      <w:r>
        <w:rPr>
          <w:sz w:val="20"/>
          <w:vertAlign w:val="baseline"/>
        </w:rPr>
        <w:t>set</w:t>
      </w:r>
      <w:r>
        <w:rPr>
          <w:spacing w:val="-3"/>
          <w:sz w:val="20"/>
          <w:vertAlign w:val="baseline"/>
        </w:rPr>
        <w:t> </w:t>
      </w:r>
      <w:r>
        <w:rPr>
          <w:sz w:val="20"/>
          <w:vertAlign w:val="baseline"/>
        </w:rPr>
        <w:t>out</w:t>
      </w:r>
      <w:r>
        <w:rPr>
          <w:spacing w:val="-3"/>
          <w:sz w:val="20"/>
          <w:vertAlign w:val="baseline"/>
        </w:rPr>
        <w:t> </w:t>
      </w:r>
      <w:r>
        <w:rPr>
          <w:sz w:val="20"/>
          <w:vertAlign w:val="baseline"/>
        </w:rPr>
        <w:t>its</w:t>
      </w:r>
      <w:r>
        <w:rPr>
          <w:spacing w:val="-3"/>
          <w:sz w:val="20"/>
          <w:vertAlign w:val="baseline"/>
        </w:rPr>
        <w:t> </w:t>
      </w:r>
      <w:r>
        <w:rPr>
          <w:sz w:val="20"/>
          <w:vertAlign w:val="baseline"/>
        </w:rPr>
        <w:t>intentions</w:t>
      </w:r>
      <w:r>
        <w:rPr>
          <w:spacing w:val="-3"/>
          <w:sz w:val="20"/>
          <w:vertAlign w:val="baseline"/>
        </w:rPr>
        <w:t> </w:t>
      </w:r>
      <w:r>
        <w:rPr>
          <w:sz w:val="20"/>
          <w:vertAlign w:val="baseline"/>
        </w:rPr>
        <w:t>as</w:t>
      </w:r>
      <w:r>
        <w:rPr>
          <w:spacing w:val="-3"/>
          <w:sz w:val="20"/>
          <w:vertAlign w:val="baseline"/>
        </w:rPr>
        <w:t> </w:t>
      </w:r>
      <w:r>
        <w:rPr>
          <w:sz w:val="20"/>
          <w:vertAlign w:val="baseline"/>
        </w:rPr>
        <w:t>to</w:t>
      </w:r>
      <w:r>
        <w:rPr>
          <w:spacing w:val="-3"/>
          <w:sz w:val="20"/>
          <w:vertAlign w:val="baseline"/>
        </w:rPr>
        <w:t> </w:t>
      </w:r>
      <w:r>
        <w:rPr>
          <w:sz w:val="20"/>
          <w:vertAlign w:val="baseline"/>
        </w:rPr>
        <w:t>the</w:t>
      </w:r>
      <w:r>
        <w:rPr>
          <w:spacing w:val="-3"/>
          <w:sz w:val="20"/>
          <w:vertAlign w:val="baseline"/>
        </w:rPr>
        <w:t> </w:t>
      </w:r>
      <w:r>
        <w:rPr>
          <w:sz w:val="20"/>
          <w:vertAlign w:val="baseline"/>
        </w:rPr>
        <w:t>position</w:t>
      </w:r>
      <w:r>
        <w:rPr>
          <w:spacing w:val="-3"/>
          <w:sz w:val="20"/>
          <w:vertAlign w:val="baseline"/>
        </w:rPr>
        <w:t> </w:t>
      </w:r>
      <w:r>
        <w:rPr>
          <w:sz w:val="20"/>
          <w:vertAlign w:val="baseline"/>
        </w:rPr>
        <w:t>of </w:t>
      </w:r>
      <w:bookmarkStart w:name="_bookmark168" w:id="170"/>
      <w:bookmarkEnd w:id="170"/>
      <w:r>
        <w:rPr>
          <w:sz w:val="20"/>
          <w:vertAlign w:val="baseline"/>
        </w:rPr>
        <w:t>existing</w:t>
      </w:r>
      <w:r>
        <w:rPr>
          <w:spacing w:val="13"/>
          <w:sz w:val="20"/>
          <w:vertAlign w:val="baseline"/>
        </w:rPr>
        <w:t> </w:t>
      </w:r>
      <w:r>
        <w:rPr>
          <w:sz w:val="20"/>
          <w:vertAlign w:val="baseline"/>
        </w:rPr>
        <w:t>EU</w:t>
      </w:r>
      <w:r>
        <w:rPr>
          <w:spacing w:val="13"/>
          <w:sz w:val="20"/>
          <w:vertAlign w:val="baseline"/>
        </w:rPr>
        <w:t> </w:t>
      </w:r>
      <w:r>
        <w:rPr>
          <w:sz w:val="20"/>
          <w:vertAlign w:val="baseline"/>
        </w:rPr>
        <w:t>law</w:t>
      </w:r>
      <w:r>
        <w:rPr>
          <w:spacing w:val="13"/>
          <w:sz w:val="20"/>
          <w:vertAlign w:val="baseline"/>
        </w:rPr>
        <w:t> </w:t>
      </w:r>
      <w:r>
        <w:rPr>
          <w:sz w:val="20"/>
          <w:vertAlign w:val="baseline"/>
        </w:rPr>
        <w:t>in</w:t>
      </w:r>
      <w:r>
        <w:rPr>
          <w:spacing w:val="13"/>
          <w:sz w:val="20"/>
          <w:vertAlign w:val="baseline"/>
        </w:rPr>
        <w:t> </w:t>
      </w:r>
      <w:r>
        <w:rPr>
          <w:sz w:val="20"/>
          <w:vertAlign w:val="baseline"/>
        </w:rPr>
        <w:t>the</w:t>
      </w:r>
      <w:r>
        <w:rPr>
          <w:spacing w:val="13"/>
          <w:sz w:val="20"/>
          <w:vertAlign w:val="baseline"/>
        </w:rPr>
        <w:t> </w:t>
      </w:r>
      <w:r>
        <w:rPr>
          <w:sz w:val="20"/>
          <w:vertAlign w:val="baseline"/>
        </w:rPr>
        <w:t>UK</w:t>
      </w:r>
      <w:r>
        <w:rPr>
          <w:spacing w:val="13"/>
          <w:sz w:val="20"/>
          <w:vertAlign w:val="baseline"/>
        </w:rPr>
        <w:t> </w:t>
      </w:r>
      <w:r>
        <w:rPr>
          <w:sz w:val="20"/>
          <w:vertAlign w:val="baseline"/>
        </w:rPr>
        <w:t>in</w:t>
      </w:r>
      <w:r>
        <w:rPr>
          <w:spacing w:val="13"/>
          <w:sz w:val="20"/>
          <w:vertAlign w:val="baseline"/>
        </w:rPr>
        <w:t> </w:t>
      </w:r>
      <w:r>
        <w:rPr>
          <w:sz w:val="20"/>
          <w:vertAlign w:val="baseline"/>
        </w:rPr>
        <w:t>two</w:t>
      </w:r>
      <w:r>
        <w:rPr>
          <w:spacing w:val="13"/>
          <w:sz w:val="20"/>
          <w:vertAlign w:val="baseline"/>
        </w:rPr>
        <w:t> </w:t>
      </w:r>
      <w:r>
        <w:rPr>
          <w:sz w:val="20"/>
          <w:vertAlign w:val="baseline"/>
        </w:rPr>
        <w:t>white</w:t>
      </w:r>
      <w:r>
        <w:rPr>
          <w:spacing w:val="13"/>
          <w:sz w:val="20"/>
          <w:vertAlign w:val="baseline"/>
        </w:rPr>
        <w:t> </w:t>
      </w:r>
      <w:r>
        <w:rPr>
          <w:sz w:val="20"/>
          <w:vertAlign w:val="baseline"/>
        </w:rPr>
        <w:t>papers,</w:t>
      </w:r>
      <w:r>
        <w:rPr>
          <w:spacing w:val="13"/>
          <w:sz w:val="20"/>
          <w:vertAlign w:val="baseline"/>
        </w:rPr>
        <w:t> </w:t>
      </w:r>
      <w:r>
        <w:rPr>
          <w:rFonts w:ascii="Arial" w:hAnsi="Arial"/>
          <w:i/>
          <w:sz w:val="20"/>
          <w:vertAlign w:val="baseline"/>
        </w:rPr>
        <w:t>The</w:t>
      </w:r>
      <w:r>
        <w:rPr>
          <w:rFonts w:ascii="Arial" w:hAnsi="Arial"/>
          <w:i/>
          <w:spacing w:val="13"/>
          <w:sz w:val="20"/>
          <w:vertAlign w:val="baseline"/>
        </w:rPr>
        <w:t> </w:t>
      </w:r>
      <w:r>
        <w:rPr>
          <w:rFonts w:ascii="Arial" w:hAnsi="Arial"/>
          <w:i/>
          <w:sz w:val="20"/>
          <w:vertAlign w:val="baseline"/>
        </w:rPr>
        <w:t>United</w:t>
      </w:r>
      <w:r>
        <w:rPr>
          <w:rFonts w:ascii="Arial" w:hAnsi="Arial"/>
          <w:i/>
          <w:spacing w:val="13"/>
          <w:sz w:val="20"/>
          <w:vertAlign w:val="baseline"/>
        </w:rPr>
        <w:t> </w:t>
      </w:r>
      <w:r>
        <w:rPr>
          <w:rFonts w:ascii="Arial" w:hAnsi="Arial"/>
          <w:i/>
          <w:sz w:val="20"/>
          <w:vertAlign w:val="baseline"/>
        </w:rPr>
        <w:t>Kingdom’s</w:t>
      </w:r>
      <w:r>
        <w:rPr>
          <w:rFonts w:ascii="Arial" w:hAnsi="Arial"/>
          <w:i/>
          <w:spacing w:val="13"/>
          <w:sz w:val="20"/>
          <w:vertAlign w:val="baseline"/>
        </w:rPr>
        <w:t> </w:t>
      </w:r>
      <w:r>
        <w:rPr>
          <w:rFonts w:ascii="Arial" w:hAnsi="Arial"/>
          <w:i/>
          <w:sz w:val="20"/>
          <w:vertAlign w:val="baseline"/>
        </w:rPr>
        <w:t>exit</w:t>
      </w:r>
      <w:r>
        <w:rPr>
          <w:rFonts w:ascii="Arial" w:hAnsi="Arial"/>
          <w:i/>
          <w:spacing w:val="13"/>
          <w:sz w:val="20"/>
          <w:vertAlign w:val="baseline"/>
        </w:rPr>
        <w:t> </w:t>
      </w:r>
      <w:r>
        <w:rPr>
          <w:rFonts w:ascii="Arial" w:hAnsi="Arial"/>
          <w:i/>
          <w:sz w:val="20"/>
          <w:vertAlign w:val="baseline"/>
        </w:rPr>
        <w:t>from</w:t>
      </w:r>
      <w:r>
        <w:rPr>
          <w:rFonts w:ascii="Arial" w:hAnsi="Arial"/>
          <w:i/>
          <w:spacing w:val="13"/>
          <w:sz w:val="20"/>
          <w:vertAlign w:val="baseline"/>
        </w:rPr>
        <w:t> </w:t>
      </w:r>
      <w:r>
        <w:rPr>
          <w:rFonts w:ascii="Arial" w:hAnsi="Arial"/>
          <w:i/>
          <w:sz w:val="20"/>
          <w:vertAlign w:val="baseline"/>
        </w:rPr>
        <w:t>and</w:t>
      </w:r>
      <w:r>
        <w:rPr>
          <w:rFonts w:ascii="Arial" w:hAnsi="Arial"/>
          <w:i/>
          <w:spacing w:val="13"/>
          <w:sz w:val="20"/>
          <w:vertAlign w:val="baseline"/>
        </w:rPr>
        <w:t> </w:t>
      </w:r>
      <w:r>
        <w:rPr>
          <w:rFonts w:ascii="Arial" w:hAnsi="Arial"/>
          <w:i/>
          <w:sz w:val="20"/>
          <w:vertAlign w:val="baseline"/>
        </w:rPr>
        <w:t>new</w:t>
      </w:r>
      <w:r>
        <w:rPr>
          <w:rFonts w:ascii="Arial" w:hAnsi="Arial"/>
          <w:i/>
          <w:spacing w:val="13"/>
          <w:sz w:val="20"/>
          <w:vertAlign w:val="baseline"/>
        </w:rPr>
        <w:t> </w:t>
      </w:r>
      <w:r>
        <w:rPr>
          <w:rFonts w:ascii="Arial" w:hAnsi="Arial"/>
          <w:i/>
          <w:spacing w:val="-2"/>
          <w:sz w:val="20"/>
          <w:vertAlign w:val="baseline"/>
        </w:rPr>
        <w:t>partnership</w:t>
      </w:r>
    </w:p>
    <w:p>
      <w:pPr>
        <w:spacing w:line="360" w:lineRule="auto" w:before="115"/>
        <w:ind w:left="165" w:right="167" w:firstLine="0"/>
        <w:jc w:val="both"/>
        <w:rPr>
          <w:position w:val="-2"/>
          <w:sz w:val="20"/>
        </w:rPr>
      </w:pPr>
      <w:bookmarkStart w:name="_bookmark169" w:id="171"/>
      <w:bookmarkEnd w:id="171"/>
      <w:r>
        <w:rPr/>
      </w:r>
      <w:r>
        <w:rPr>
          <w:rFonts w:ascii="Arial" w:hAnsi="Arial"/>
          <w:i/>
          <w:sz w:val="20"/>
        </w:rPr>
        <w:t>with the European Union </w:t>
      </w:r>
      <w:r>
        <w:rPr>
          <w:color w:val="005DA1"/>
          <w:sz w:val="20"/>
          <w:u w:val="single" w:color="005DA1"/>
          <w:vertAlign w:val="superscript"/>
        </w:rPr>
        <w:t>95</w:t>
      </w:r>
      <w:r>
        <w:rPr>
          <w:color w:val="005DA1"/>
          <w:spacing w:val="80"/>
          <w:w w:val="150"/>
          <w:sz w:val="20"/>
          <w:vertAlign w:val="baseline"/>
        </w:rPr>
        <w:t> </w:t>
      </w:r>
      <w:r>
        <w:rPr>
          <w:color w:val="005DA1"/>
          <w:spacing w:val="-5"/>
          <w:position w:val="-2"/>
          <w:sz w:val="20"/>
          <w:vertAlign w:val="baseline"/>
        </w:rPr>
        <w:drawing>
          <wp:inline distT="0" distB="0" distL="0" distR="0">
            <wp:extent cx="107988" cy="10798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sz w:val="20"/>
          <w:vertAlign w:val="baseline"/>
        </w:rPr>
      </w:r>
      <w:r>
        <w:rPr>
          <w:rFonts w:ascii="Times New Roman" w:hAnsi="Times New Roman"/>
          <w:color w:val="005DA1"/>
          <w:spacing w:val="40"/>
          <w:sz w:val="20"/>
          <w:vertAlign w:val="baseline"/>
        </w:rPr>
        <w:t> </w:t>
      </w:r>
      <w:r>
        <w:rPr>
          <w:sz w:val="20"/>
          <w:vertAlign w:val="baseline"/>
        </w:rPr>
        <w:t>and </w:t>
      </w:r>
      <w:r>
        <w:rPr>
          <w:rFonts w:ascii="Arial" w:hAnsi="Arial"/>
          <w:i/>
          <w:sz w:val="20"/>
          <w:vertAlign w:val="baseline"/>
        </w:rPr>
        <w:t>Legislating for the United Kingdom’s withdrawal from </w:t>
      </w:r>
      <w:r>
        <w:rPr>
          <w:rFonts w:ascii="Arial" w:hAnsi="Arial"/>
          <w:i/>
          <w:sz w:val="20"/>
          <w:vertAlign w:val="baseline"/>
        </w:rPr>
        <w:t>the European Union</w:t>
      </w:r>
      <w:r>
        <w:rPr>
          <w:sz w:val="20"/>
          <w:vertAlign w:val="baseline"/>
        </w:rPr>
        <w:t>. </w:t>
      </w:r>
      <w:r>
        <w:rPr>
          <w:color w:val="005DA1"/>
          <w:sz w:val="20"/>
          <w:u w:val="single" w:color="005DA1"/>
          <w:vertAlign w:val="superscript"/>
        </w:rPr>
        <w:t>96</w:t>
      </w:r>
      <w:r>
        <w:rPr>
          <w:color w:val="005DA1"/>
          <w:spacing w:val="80"/>
          <w:sz w:val="20"/>
          <w:vertAlign w:val="baseline"/>
        </w:rPr>
        <w:t> </w:t>
      </w:r>
      <w:r>
        <w:rPr>
          <w:color w:val="005DA1"/>
          <w:position w:val="-2"/>
          <w:sz w:val="20"/>
          <w:vertAlign w:val="baseline"/>
        </w:rPr>
        <w:drawing>
          <wp:inline distT="0" distB="0" distL="0" distR="0">
            <wp:extent cx="107988" cy="10798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p>
    <w:p>
      <w:pPr>
        <w:pStyle w:val="BodyText"/>
        <w:spacing w:before="176"/>
        <w:rPr>
          <w:sz w:val="18"/>
        </w:rPr>
      </w:pPr>
    </w:p>
    <w:p>
      <w:pPr>
        <w:spacing w:before="0"/>
        <w:ind w:left="165" w:right="0" w:firstLine="0"/>
        <w:jc w:val="left"/>
        <w:rPr>
          <w:rFonts w:ascii="Arial"/>
          <w:b/>
          <w:sz w:val="18"/>
        </w:rPr>
      </w:pPr>
      <w:r>
        <w:rPr>
          <w:rFonts w:ascii="Arial"/>
          <w:b/>
          <w:sz w:val="18"/>
        </w:rPr>
        <w:t>European Union (Withdrawal) Bill </w:t>
      </w:r>
      <w:r>
        <w:rPr>
          <w:rFonts w:ascii="Arial"/>
          <w:b/>
          <w:spacing w:val="-4"/>
          <w:sz w:val="18"/>
        </w:rPr>
        <w:t>2017</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4"/>
          <w:sz w:val="24"/>
        </w:rPr>
        <w:t>013B</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After a general election held on June 8, 2017, the Conservative Government earlier formed by </w:t>
      </w:r>
      <w:r>
        <w:rPr/>
        <w:t>Mrs May remained in government. On July 13, 2017 the European Union (Withdrawal) Bill (“the 2017 Bill” </w:t>
      </w:r>
      <w:bookmarkStart w:name="_bookmark170" w:id="172"/>
      <w:bookmarkEnd w:id="172"/>
      <w:r>
        <w:rPr/>
        <w:t>or</w:t>
      </w:r>
      <w:r>
        <w:rPr>
          <w:spacing w:val="26"/>
        </w:rPr>
        <w:t> </w:t>
      </w:r>
      <w:r>
        <w:rPr/>
        <w:t>“the</w:t>
      </w:r>
      <w:r>
        <w:rPr>
          <w:spacing w:val="26"/>
        </w:rPr>
        <w:t> </w:t>
      </w:r>
      <w:r>
        <w:rPr/>
        <w:t>Bill”)</w:t>
      </w:r>
      <w:r>
        <w:rPr>
          <w:spacing w:val="26"/>
        </w:rPr>
        <w:t> </w:t>
      </w:r>
      <w:r>
        <w:rPr/>
        <w:t>received</w:t>
      </w:r>
      <w:r>
        <w:rPr>
          <w:spacing w:val="26"/>
        </w:rPr>
        <w:t> </w:t>
      </w:r>
      <w:r>
        <w:rPr/>
        <w:t>its</w:t>
      </w:r>
      <w:r>
        <w:rPr>
          <w:spacing w:val="26"/>
        </w:rPr>
        <w:t> </w:t>
      </w:r>
      <w:r>
        <w:rPr/>
        <w:t>first</w:t>
      </w:r>
      <w:r>
        <w:rPr>
          <w:spacing w:val="26"/>
        </w:rPr>
        <w:t> </w:t>
      </w:r>
      <w:r>
        <w:rPr/>
        <w:t>reading</w:t>
      </w:r>
      <w:r>
        <w:rPr>
          <w:spacing w:val="26"/>
        </w:rPr>
        <w:t> </w:t>
      </w:r>
      <w:r>
        <w:rPr/>
        <w:t>in</w:t>
      </w:r>
      <w:r>
        <w:rPr>
          <w:spacing w:val="26"/>
        </w:rPr>
        <w:t> </w:t>
      </w:r>
      <w:r>
        <w:rPr/>
        <w:t>the</w:t>
      </w:r>
      <w:r>
        <w:rPr>
          <w:spacing w:val="26"/>
        </w:rPr>
        <w:t> </w:t>
      </w:r>
      <w:r>
        <w:rPr/>
        <w:t>House</w:t>
      </w:r>
      <w:r>
        <w:rPr>
          <w:spacing w:val="26"/>
        </w:rPr>
        <w:t> </w:t>
      </w:r>
      <w:r>
        <w:rPr/>
        <w:t>of</w:t>
      </w:r>
      <w:r>
        <w:rPr>
          <w:spacing w:val="26"/>
        </w:rPr>
        <w:t> </w:t>
      </w:r>
      <w:r>
        <w:rPr/>
        <w:t>Commons,</w:t>
      </w:r>
      <w:r>
        <w:rPr>
          <w:spacing w:val="26"/>
        </w:rPr>
        <w:t> </w:t>
      </w:r>
      <w:r>
        <w:rPr/>
        <w:t>its</w:t>
      </w:r>
      <w:r>
        <w:rPr>
          <w:spacing w:val="26"/>
        </w:rPr>
        <w:t> </w:t>
      </w:r>
      <w:r>
        <w:rPr/>
        <w:t>second</w:t>
      </w:r>
      <w:r>
        <w:rPr>
          <w:spacing w:val="26"/>
        </w:rPr>
        <w:t> </w:t>
      </w:r>
      <w:r>
        <w:rPr/>
        <w:t>reading</w:t>
      </w:r>
      <w:r>
        <w:rPr>
          <w:spacing w:val="26"/>
        </w:rPr>
        <w:t> </w:t>
      </w:r>
      <w:r>
        <w:rPr/>
        <w:t>being</w:t>
      </w:r>
      <w:r>
        <w:rPr>
          <w:spacing w:val="26"/>
        </w:rPr>
        <w:t> </w:t>
      </w:r>
      <w:r>
        <w:rPr/>
        <w:t>held</w:t>
      </w:r>
      <w:r>
        <w:rPr>
          <w:spacing w:val="26"/>
        </w:rPr>
        <w:t> </w:t>
      </w:r>
      <w:r>
        <w:rPr>
          <w:spacing w:val="-5"/>
        </w:rPr>
        <w:t>on</w:t>
      </w:r>
    </w:p>
    <w:p>
      <w:pPr>
        <w:pStyle w:val="BodyText"/>
        <w:spacing w:line="235" w:lineRule="auto" w:before="119"/>
        <w:ind w:left="165" w:right="167"/>
        <w:jc w:val="both"/>
      </w:pPr>
      <w:r>
        <w:rPr/>
        <w:t>September 7 and 11, 2017 </w:t>
      </w:r>
      <w:r>
        <w:rPr>
          <w:color w:val="005DA1"/>
          <w:u w:val="single" w:color="005DA1"/>
          <w:vertAlign w:val="superscript"/>
        </w:rPr>
        <w:t>97</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vertAlign w:val="baseline"/>
        </w:rPr>
        <w:t>; the 2017 Bill is accompanied by Explanatory Notes </w:t>
      </w:r>
      <w:r>
        <w:rPr>
          <w:vertAlign w:val="baseline"/>
        </w:rPr>
        <w:t>(“Explanatory Notes to 2017 Bill”). For the purposes of the likely impact of Brexit on English contract law, the following points arise from the terms of the Bill as presently drafted.</w:t>
      </w:r>
    </w:p>
    <w:p>
      <w:pPr>
        <w:pStyle w:val="BodyText"/>
      </w:pPr>
    </w:p>
    <w:p>
      <w:pPr>
        <w:pStyle w:val="BodyText"/>
        <w:spacing w:before="37"/>
      </w:pPr>
    </w:p>
    <w:p>
      <w:pPr>
        <w:spacing w:before="0"/>
        <w:ind w:left="165" w:right="0" w:firstLine="0"/>
        <w:jc w:val="both"/>
        <w:rPr>
          <w:rFonts w:ascii="Arial" w:hAnsi="Arial"/>
          <w:b/>
          <w:sz w:val="18"/>
        </w:rPr>
      </w:pPr>
      <w:r>
        <w:rPr>
          <w:rFonts w:ascii="Arial" w:hAnsi="Arial"/>
          <w:b/>
          <w:sz w:val="18"/>
        </w:rPr>
        <w:t>The general preservation of the UK’s EU legislative </w:t>
      </w:r>
      <w:r>
        <w:rPr>
          <w:rFonts w:ascii="Arial" w:hAnsi="Arial"/>
          <w:b/>
          <w:spacing w:val="-2"/>
          <w:sz w:val="18"/>
        </w:rPr>
        <w:t>acquis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4"/>
          <w:sz w:val="24"/>
        </w:rPr>
        <w:t>013C</w:t>
      </w:r>
    </w:p>
    <w:p>
      <w:pPr>
        <w:pStyle w:val="BodyText"/>
        <w:spacing w:before="209"/>
        <w:rPr>
          <w:rFonts w:ascii="Arial"/>
          <w:b/>
        </w:rPr>
      </w:pPr>
    </w:p>
    <w:p>
      <w:pPr>
        <w:pStyle w:val="BodyText"/>
        <w:ind w:left="165"/>
        <w:jc w:val="both"/>
      </w:pPr>
      <w:r>
        <w:rPr>
          <w:position w:val="-2"/>
        </w:rPr>
        <w:drawing>
          <wp:inline distT="0" distB="0" distL="0" distR="0">
            <wp:extent cx="107988" cy="107988"/>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3"/>
        </w:rPr>
        <w:t> </w:t>
      </w:r>
      <w:bookmarkStart w:name="_bookmark171" w:id="173"/>
      <w:bookmarkEnd w:id="173"/>
      <w:r>
        <w:rPr>
          <w:rFonts w:ascii="Times New Roman" w:hAnsi="Times New Roman"/>
          <w:spacing w:val="23"/>
        </w:rPr>
      </w:r>
      <w:bookmarkStart w:name="_bookmark172" w:id="174"/>
      <w:bookmarkEnd w:id="174"/>
      <w:r>
        <w:rPr>
          <w:rFonts w:ascii="Times New Roman" w:hAnsi="Times New Roman"/>
          <w:spacing w:val="23"/>
        </w:rPr>
      </w:r>
      <w:r>
        <w:rPr/>
        <w:t>The</w:t>
      </w:r>
      <w:r>
        <w:rPr>
          <w:spacing w:val="19"/>
        </w:rPr>
        <w:t> </w:t>
      </w:r>
      <w:r>
        <w:rPr/>
        <w:t>Bill</w:t>
      </w:r>
      <w:r>
        <w:rPr>
          <w:spacing w:val="19"/>
        </w:rPr>
        <w:t> </w:t>
      </w:r>
      <w:r>
        <w:rPr/>
        <w:t>would</w:t>
      </w:r>
      <w:r>
        <w:rPr>
          <w:spacing w:val="19"/>
        </w:rPr>
        <w:t> </w:t>
      </w:r>
      <w:r>
        <w:rPr/>
        <w:t>repeal</w:t>
      </w:r>
      <w:r>
        <w:rPr>
          <w:spacing w:val="19"/>
        </w:rPr>
        <w:t> </w:t>
      </w:r>
      <w:r>
        <w:rPr/>
        <w:t>the</w:t>
      </w:r>
      <w:r>
        <w:rPr>
          <w:spacing w:val="19"/>
        </w:rPr>
        <w:t> </w:t>
      </w:r>
      <w:r>
        <w:rPr/>
        <w:t>European</w:t>
      </w:r>
      <w:r>
        <w:rPr>
          <w:spacing w:val="19"/>
        </w:rPr>
        <w:t> </w:t>
      </w:r>
      <w:r>
        <w:rPr/>
        <w:t>Communities</w:t>
      </w:r>
      <w:r>
        <w:rPr>
          <w:spacing w:val="19"/>
        </w:rPr>
        <w:t> </w:t>
      </w:r>
      <w:r>
        <w:rPr/>
        <w:t>Act</w:t>
      </w:r>
      <w:r>
        <w:rPr>
          <w:spacing w:val="19"/>
        </w:rPr>
        <w:t> </w:t>
      </w:r>
      <w:r>
        <w:rPr/>
        <w:t>1972</w:t>
      </w:r>
      <w:r>
        <w:rPr>
          <w:spacing w:val="19"/>
        </w:rPr>
        <w:t> </w:t>
      </w:r>
      <w:r>
        <w:rPr/>
        <w:t>on</w:t>
      </w:r>
      <w:r>
        <w:rPr>
          <w:spacing w:val="19"/>
        </w:rPr>
        <w:t> </w:t>
      </w:r>
      <w:r>
        <w:rPr/>
        <w:t>“exit</w:t>
      </w:r>
      <w:r>
        <w:rPr>
          <w:spacing w:val="19"/>
        </w:rPr>
        <w:t> </w:t>
      </w:r>
      <w:r>
        <w:rPr/>
        <w:t>day”,</w:t>
      </w:r>
      <w:r>
        <w:rPr>
          <w:spacing w:val="18"/>
        </w:rPr>
        <w:t> </w:t>
      </w:r>
      <w:r>
        <w:rPr>
          <w:color w:val="005DA1"/>
          <w:u w:val="single" w:color="005DA1"/>
          <w:vertAlign w:val="superscript"/>
        </w:rPr>
        <w:t>98</w:t>
      </w:r>
      <w:r>
        <w:rPr>
          <w:color w:val="005DA1"/>
          <w:spacing w:val="56"/>
          <w:vertAlign w:val="baseline"/>
        </w:rPr>
        <w:t>  </w:t>
      </w:r>
      <w:r>
        <w:rPr>
          <w:color w:val="005DA1"/>
          <w:spacing w:val="-1"/>
          <w:position w:val="-2"/>
          <w:vertAlign w:val="baseline"/>
        </w:rPr>
        <w:drawing>
          <wp:inline distT="0" distB="0" distL="0" distR="0">
            <wp:extent cx="107988" cy="107988"/>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25"/>
          <w:vertAlign w:val="baseline"/>
        </w:rPr>
        <w:t> </w:t>
      </w:r>
      <w:r>
        <w:rPr>
          <w:vertAlign w:val="baseline"/>
        </w:rPr>
        <w:t>defined</w:t>
      </w:r>
      <w:r>
        <w:rPr>
          <w:spacing w:val="19"/>
          <w:vertAlign w:val="baseline"/>
        </w:rPr>
        <w:t> </w:t>
      </w:r>
      <w:r>
        <w:rPr>
          <w:vertAlign w:val="baseline"/>
        </w:rPr>
        <w:t>as</w:t>
      </w:r>
      <w:r>
        <w:rPr>
          <w:spacing w:val="19"/>
          <w:vertAlign w:val="baseline"/>
        </w:rPr>
        <w:t> </w:t>
      </w:r>
      <w:r>
        <w:rPr>
          <w:vertAlign w:val="baseline"/>
        </w:rPr>
        <w:t>“such</w:t>
      </w:r>
    </w:p>
    <w:p>
      <w:pPr>
        <w:pStyle w:val="BodyText"/>
        <w:spacing w:line="235" w:lineRule="auto" w:before="119"/>
        <w:ind w:left="165" w:right="167"/>
        <w:jc w:val="both"/>
      </w:pPr>
      <w:r>
        <w:rPr/>
        <w:t>day as a Minister of the Crown may be regulations appoint”, </w:t>
      </w:r>
      <w:r>
        <w:rPr>
          <w:color w:val="005DA1"/>
          <w:u w:val="single" w:color="005DA1"/>
          <w:vertAlign w:val="superscript"/>
        </w:rPr>
        <w:t>99</w:t>
      </w:r>
      <w:r>
        <w:rPr>
          <w:color w:val="005DA1"/>
          <w:spacing w:val="80"/>
          <w:w w:val="150"/>
          <w:vertAlign w:val="baseline"/>
        </w:rPr>
        <w:t> </w:t>
      </w:r>
      <w:r>
        <w:rPr>
          <w:color w:val="005DA1"/>
          <w:spacing w:val="-26"/>
          <w:position w:val="-2"/>
          <w:vertAlign w:val="baseline"/>
        </w:rPr>
        <w:drawing>
          <wp:inline distT="0" distB="0" distL="0" distR="0">
            <wp:extent cx="107988" cy="107988"/>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37"/>
          <w:vertAlign w:val="baseline"/>
        </w:rPr>
        <w:t> </w:t>
      </w:r>
      <w:r>
        <w:rPr>
          <w:vertAlign w:val="baseline"/>
        </w:rPr>
        <w:t>but clearly intended to be the </w:t>
      </w:r>
      <w:r>
        <w:rPr>
          <w:vertAlign w:val="baseline"/>
        </w:rPr>
        <w:t>day on</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UK</w:t>
      </w:r>
      <w:r>
        <w:rPr>
          <w:spacing w:val="-1"/>
          <w:vertAlign w:val="baseline"/>
        </w:rPr>
        <w:t> </w:t>
      </w:r>
      <w:r>
        <w:rPr>
          <w:vertAlign w:val="baseline"/>
        </w:rPr>
        <w:t>leaves</w:t>
      </w:r>
      <w:r>
        <w:rPr>
          <w:spacing w:val="-1"/>
          <w:vertAlign w:val="baseline"/>
        </w:rPr>
        <w:t> </w:t>
      </w:r>
      <w:r>
        <w:rPr>
          <w:vertAlign w:val="baseline"/>
        </w:rPr>
        <w:t>the</w:t>
      </w:r>
      <w:r>
        <w:rPr>
          <w:spacing w:val="-1"/>
          <w:vertAlign w:val="baseline"/>
        </w:rPr>
        <w:t> </w:t>
      </w:r>
      <w:r>
        <w:rPr>
          <w:vertAlign w:val="baseline"/>
        </w:rPr>
        <w:t>EU.</w:t>
      </w:r>
      <w:r>
        <w:rPr>
          <w:spacing w:val="-1"/>
          <w:vertAlign w:val="baseline"/>
        </w:rPr>
        <w:t> </w:t>
      </w:r>
      <w:r>
        <w:rPr>
          <w:vertAlign w:val="baseline"/>
        </w:rPr>
        <w:t>Despite</w:t>
      </w:r>
      <w:r>
        <w:rPr>
          <w:spacing w:val="-1"/>
          <w:vertAlign w:val="baseline"/>
        </w:rPr>
        <w:t> </w:t>
      </w:r>
      <w:r>
        <w:rPr>
          <w:vertAlign w:val="baseline"/>
        </w:rPr>
        <w:t>this</w:t>
      </w:r>
      <w:r>
        <w:rPr>
          <w:spacing w:val="-1"/>
          <w:vertAlign w:val="baseline"/>
        </w:rPr>
        <w:t> </w:t>
      </w:r>
      <w:r>
        <w:rPr>
          <w:vertAlign w:val="baseline"/>
        </w:rPr>
        <w:t>repeal,</w:t>
      </w:r>
      <w:r>
        <w:rPr>
          <w:spacing w:val="-1"/>
          <w:vertAlign w:val="baseline"/>
        </w:rPr>
        <w:t> </w:t>
      </w:r>
      <w:r>
        <w:rPr>
          <w:vertAlign w:val="baseline"/>
        </w:rPr>
        <w:t>the</w:t>
      </w:r>
      <w:r>
        <w:rPr>
          <w:spacing w:val="-1"/>
          <w:vertAlign w:val="baseline"/>
        </w:rPr>
        <w:t> </w:t>
      </w:r>
      <w:r>
        <w:rPr>
          <w:vertAlign w:val="baseline"/>
        </w:rPr>
        <w:t>Bill</w:t>
      </w:r>
      <w:r>
        <w:rPr>
          <w:spacing w:val="-1"/>
          <w:vertAlign w:val="baseline"/>
        </w:rPr>
        <w:t> </w:t>
      </w:r>
      <w:r>
        <w:rPr>
          <w:vertAlign w:val="baseline"/>
        </w:rPr>
        <w:t>would</w:t>
      </w:r>
      <w:r>
        <w:rPr>
          <w:spacing w:val="-1"/>
          <w:vertAlign w:val="baseline"/>
        </w:rPr>
        <w:t> </w:t>
      </w:r>
      <w:r>
        <w:rPr>
          <w:vertAlign w:val="baseline"/>
        </w:rPr>
        <w:t>in</w:t>
      </w:r>
      <w:r>
        <w:rPr>
          <w:spacing w:val="-1"/>
          <w:vertAlign w:val="baseline"/>
        </w:rPr>
        <w:t> </w:t>
      </w:r>
      <w:r>
        <w:rPr>
          <w:vertAlign w:val="baseline"/>
        </w:rPr>
        <w:t>principle</w:t>
      </w:r>
      <w:r>
        <w:rPr>
          <w:spacing w:val="-1"/>
          <w:vertAlign w:val="baseline"/>
        </w:rPr>
        <w:t> </w:t>
      </w:r>
      <w:r>
        <w:rPr>
          <w:vertAlign w:val="baseline"/>
        </w:rPr>
        <w:t>retain</w:t>
      </w:r>
      <w:r>
        <w:rPr>
          <w:spacing w:val="-1"/>
          <w:vertAlign w:val="baseline"/>
        </w:rPr>
        <w:t> </w:t>
      </w:r>
      <w:r>
        <w:rPr>
          <w:vertAlign w:val="baseline"/>
        </w:rPr>
        <w:t>the</w:t>
      </w:r>
      <w:r>
        <w:rPr>
          <w:spacing w:val="-1"/>
          <w:vertAlign w:val="baseline"/>
        </w:rPr>
        <w:t> </w:t>
      </w:r>
      <w:r>
        <w:rPr>
          <w:vertAlign w:val="baseline"/>
        </w:rPr>
        <w:t>EU</w:t>
      </w:r>
      <w:r>
        <w:rPr>
          <w:spacing w:val="-2"/>
          <w:vertAlign w:val="baseline"/>
        </w:rPr>
        <w:t> </w:t>
      </w:r>
      <w:r>
        <w:rPr>
          <w:rFonts w:ascii="Arial" w:hAnsi="Arial"/>
          <w:i/>
          <w:vertAlign w:val="baseline"/>
        </w:rPr>
        <w:t>legislative acquis </w:t>
      </w:r>
      <w:r>
        <w:rPr>
          <w:vertAlign w:val="baseline"/>
        </w:rPr>
        <w:t>as part of UK law. First, in principle “EU-derived domestic legislation, as it has effect in </w:t>
      </w:r>
      <w:bookmarkStart w:name="_bookmark173" w:id="175"/>
      <w:bookmarkEnd w:id="175"/>
      <w:r>
        <w:rPr>
          <w:vertAlign w:val="baseline"/>
        </w:rPr>
        <w:t>domestic</w:t>
      </w:r>
      <w:r>
        <w:rPr>
          <w:spacing w:val="14"/>
          <w:vertAlign w:val="baseline"/>
        </w:rPr>
        <w:t> </w:t>
      </w:r>
      <w:r>
        <w:rPr>
          <w:vertAlign w:val="baseline"/>
        </w:rPr>
        <w:t>law</w:t>
      </w:r>
      <w:r>
        <w:rPr>
          <w:spacing w:val="14"/>
          <w:vertAlign w:val="baseline"/>
        </w:rPr>
        <w:t> </w:t>
      </w:r>
      <w:r>
        <w:rPr>
          <w:vertAlign w:val="baseline"/>
        </w:rPr>
        <w:t>immediately</w:t>
      </w:r>
      <w:r>
        <w:rPr>
          <w:spacing w:val="14"/>
          <w:vertAlign w:val="baseline"/>
        </w:rPr>
        <w:t> </w:t>
      </w:r>
      <w:r>
        <w:rPr>
          <w:vertAlign w:val="baseline"/>
        </w:rPr>
        <w:t>before</w:t>
      </w:r>
      <w:r>
        <w:rPr>
          <w:spacing w:val="14"/>
          <w:vertAlign w:val="baseline"/>
        </w:rPr>
        <w:t> </w:t>
      </w:r>
      <w:r>
        <w:rPr>
          <w:vertAlign w:val="baseline"/>
        </w:rPr>
        <w:t>exit</w:t>
      </w:r>
      <w:r>
        <w:rPr>
          <w:spacing w:val="14"/>
          <w:vertAlign w:val="baseline"/>
        </w:rPr>
        <w:t> </w:t>
      </w:r>
      <w:r>
        <w:rPr>
          <w:vertAlign w:val="baseline"/>
        </w:rPr>
        <w:t>day,</w:t>
      </w:r>
      <w:r>
        <w:rPr>
          <w:spacing w:val="14"/>
          <w:vertAlign w:val="baseline"/>
        </w:rPr>
        <w:t> </w:t>
      </w:r>
      <w:r>
        <w:rPr>
          <w:vertAlign w:val="baseline"/>
        </w:rPr>
        <w:t>continues</w:t>
      </w:r>
      <w:r>
        <w:rPr>
          <w:spacing w:val="14"/>
          <w:vertAlign w:val="baseline"/>
        </w:rPr>
        <w:t> </w:t>
      </w:r>
      <w:r>
        <w:rPr>
          <w:vertAlign w:val="baseline"/>
        </w:rPr>
        <w:t>to</w:t>
      </w:r>
      <w:r>
        <w:rPr>
          <w:spacing w:val="14"/>
          <w:vertAlign w:val="baseline"/>
        </w:rPr>
        <w:t> </w:t>
      </w:r>
      <w:r>
        <w:rPr>
          <w:vertAlign w:val="baseline"/>
        </w:rPr>
        <w:t>have</w:t>
      </w:r>
      <w:r>
        <w:rPr>
          <w:spacing w:val="14"/>
          <w:vertAlign w:val="baseline"/>
        </w:rPr>
        <w:t> </w:t>
      </w:r>
      <w:r>
        <w:rPr>
          <w:vertAlign w:val="baseline"/>
        </w:rPr>
        <w:t>effect</w:t>
      </w:r>
      <w:r>
        <w:rPr>
          <w:spacing w:val="14"/>
          <w:vertAlign w:val="baseline"/>
        </w:rPr>
        <w:t> </w:t>
      </w:r>
      <w:r>
        <w:rPr>
          <w:vertAlign w:val="baseline"/>
        </w:rPr>
        <w:t>in</w:t>
      </w:r>
      <w:r>
        <w:rPr>
          <w:spacing w:val="14"/>
          <w:vertAlign w:val="baseline"/>
        </w:rPr>
        <w:t> </w:t>
      </w:r>
      <w:r>
        <w:rPr>
          <w:vertAlign w:val="baseline"/>
        </w:rPr>
        <w:t>domestic</w:t>
      </w:r>
      <w:r>
        <w:rPr>
          <w:spacing w:val="14"/>
          <w:vertAlign w:val="baseline"/>
        </w:rPr>
        <w:t> </w:t>
      </w:r>
      <w:r>
        <w:rPr>
          <w:vertAlign w:val="baseline"/>
        </w:rPr>
        <w:t>law</w:t>
      </w:r>
      <w:r>
        <w:rPr>
          <w:spacing w:val="14"/>
          <w:vertAlign w:val="baseline"/>
        </w:rPr>
        <w:t> </w:t>
      </w:r>
      <w:r>
        <w:rPr>
          <w:vertAlign w:val="baseline"/>
        </w:rPr>
        <w:t>on</w:t>
      </w:r>
      <w:r>
        <w:rPr>
          <w:spacing w:val="14"/>
          <w:vertAlign w:val="baseline"/>
        </w:rPr>
        <w:t> </w:t>
      </w:r>
      <w:r>
        <w:rPr>
          <w:vertAlign w:val="baseline"/>
        </w:rPr>
        <w:t>and</w:t>
      </w:r>
      <w:r>
        <w:rPr>
          <w:spacing w:val="14"/>
          <w:vertAlign w:val="baseline"/>
        </w:rPr>
        <w:t> </w:t>
      </w:r>
      <w:r>
        <w:rPr>
          <w:vertAlign w:val="baseline"/>
        </w:rPr>
        <w:t>after</w:t>
      </w:r>
      <w:r>
        <w:rPr>
          <w:spacing w:val="14"/>
          <w:vertAlign w:val="baseline"/>
        </w:rPr>
        <w:t> </w:t>
      </w:r>
      <w:r>
        <w:rPr>
          <w:spacing w:val="-4"/>
          <w:vertAlign w:val="baseline"/>
        </w:rPr>
        <w:t>exit</w:t>
      </w:r>
    </w:p>
    <w:p>
      <w:pPr>
        <w:pStyle w:val="BodyText"/>
        <w:spacing w:before="115"/>
        <w:ind w:left="165"/>
        <w:jc w:val="both"/>
      </w:pPr>
      <w:r>
        <w:rPr/>
        <w:t>day”.</w:t>
      </w:r>
      <w:r>
        <w:rPr>
          <w:spacing w:val="11"/>
        </w:rPr>
        <w:t> </w:t>
      </w:r>
      <w:r>
        <w:rPr>
          <w:color w:val="005DA1"/>
          <w:u w:val="single" w:color="005DA1"/>
          <w:vertAlign w:val="superscript"/>
        </w:rPr>
        <w:t>100</w:t>
      </w:r>
      <w:r>
        <w:rPr>
          <w:color w:val="005DA1"/>
          <w:spacing w:val="45"/>
          <w:vertAlign w:val="baseline"/>
        </w:rPr>
        <w:t>  </w:t>
      </w:r>
      <w:r>
        <w:rPr>
          <w:color w:val="005DA1"/>
          <w:spacing w:val="-17"/>
          <w:position w:val="-2"/>
          <w:vertAlign w:val="baseline"/>
        </w:rPr>
        <w:drawing>
          <wp:inline distT="0" distB="0" distL="0" distR="0">
            <wp:extent cx="107988" cy="107988"/>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34"/>
          <w:vertAlign w:val="baseline"/>
        </w:rPr>
        <w:t> </w:t>
      </w:r>
      <w:r>
        <w:rPr>
          <w:vertAlign w:val="baseline"/>
        </w:rPr>
        <w:t>This</w:t>
      </w:r>
      <w:r>
        <w:rPr>
          <w:spacing w:val="11"/>
          <w:vertAlign w:val="baseline"/>
        </w:rPr>
        <w:t> </w:t>
      </w:r>
      <w:r>
        <w:rPr>
          <w:vertAlign w:val="baseline"/>
        </w:rPr>
        <w:t>provision</w:t>
      </w:r>
      <w:r>
        <w:rPr>
          <w:spacing w:val="11"/>
          <w:vertAlign w:val="baseline"/>
        </w:rPr>
        <w:t> </w:t>
      </w:r>
      <w:r>
        <w:rPr>
          <w:vertAlign w:val="baseline"/>
        </w:rPr>
        <w:t>would</w:t>
      </w:r>
      <w:r>
        <w:rPr>
          <w:spacing w:val="11"/>
          <w:vertAlign w:val="baseline"/>
        </w:rPr>
        <w:t> </w:t>
      </w:r>
      <w:r>
        <w:rPr>
          <w:vertAlign w:val="baseline"/>
        </w:rPr>
        <w:t>preserve</w:t>
      </w:r>
      <w:r>
        <w:rPr>
          <w:spacing w:val="11"/>
          <w:vertAlign w:val="baseline"/>
        </w:rPr>
        <w:t> </w:t>
      </w:r>
      <w:r>
        <w:rPr>
          <w:vertAlign w:val="baseline"/>
        </w:rPr>
        <w:t>much</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UK</w:t>
      </w:r>
      <w:r>
        <w:rPr>
          <w:spacing w:val="11"/>
          <w:vertAlign w:val="baseline"/>
        </w:rPr>
        <w:t> </w:t>
      </w:r>
      <w:r>
        <w:rPr>
          <w:vertAlign w:val="baseline"/>
        </w:rPr>
        <w:t>legislation</w:t>
      </w:r>
      <w:r>
        <w:rPr>
          <w:spacing w:val="11"/>
          <w:vertAlign w:val="baseline"/>
        </w:rPr>
        <w:t> </w:t>
      </w:r>
      <w:r>
        <w:rPr>
          <w:vertAlign w:val="baseline"/>
        </w:rPr>
        <w:t>governing</w:t>
      </w:r>
      <w:r>
        <w:rPr>
          <w:spacing w:val="11"/>
          <w:vertAlign w:val="baseline"/>
        </w:rPr>
        <w:t> </w:t>
      </w:r>
      <w:r>
        <w:rPr>
          <w:vertAlign w:val="baseline"/>
        </w:rPr>
        <w:t>contract</w:t>
      </w:r>
      <w:r>
        <w:rPr>
          <w:spacing w:val="11"/>
          <w:vertAlign w:val="baseline"/>
        </w:rPr>
        <w:t> </w:t>
      </w:r>
      <w:r>
        <w:rPr>
          <w:vertAlign w:val="baseline"/>
        </w:rPr>
        <w:t>law,</w:t>
      </w:r>
      <w:r>
        <w:rPr>
          <w:spacing w:val="11"/>
          <w:vertAlign w:val="baseline"/>
        </w:rPr>
        <w:t> </w:t>
      </w:r>
      <w:r>
        <w:rPr>
          <w:spacing w:val="-2"/>
          <w:vertAlign w:val="baseline"/>
        </w:rPr>
        <w:t>which</w:t>
      </w:r>
    </w:p>
    <w:p>
      <w:pPr>
        <w:pStyle w:val="BodyText"/>
        <w:spacing w:after="0"/>
        <w:jc w:val="both"/>
        <w:sectPr>
          <w:headerReference w:type="default" r:id="rId14"/>
          <w:pgSz w:w="11900" w:h="16840"/>
          <w:pgMar w:header="971" w:footer="0" w:top="1300" w:bottom="280" w:left="1275" w:right="1275"/>
          <w:pgNumType w:start="1"/>
        </w:sectPr>
      </w:pPr>
    </w:p>
    <w:p>
      <w:pPr>
        <w:pStyle w:val="BodyText"/>
        <w:spacing w:line="235" w:lineRule="auto" w:before="110"/>
        <w:ind w:left="165"/>
      </w:pPr>
      <w:r>
        <w:rPr/>
        <w:t>has</w:t>
      </w:r>
      <w:r>
        <w:rPr>
          <w:spacing w:val="31"/>
        </w:rPr>
        <w:t> </w:t>
      </w:r>
      <w:r>
        <w:rPr/>
        <w:t>been</w:t>
      </w:r>
      <w:r>
        <w:rPr>
          <w:spacing w:val="31"/>
        </w:rPr>
        <w:t> </w:t>
      </w:r>
      <w:r>
        <w:rPr/>
        <w:t>enacted</w:t>
      </w:r>
      <w:r>
        <w:rPr>
          <w:spacing w:val="31"/>
        </w:rPr>
        <w:t> </w:t>
      </w:r>
      <w:r>
        <w:rPr/>
        <w:t>as</w:t>
      </w:r>
      <w:r>
        <w:rPr>
          <w:spacing w:val="31"/>
        </w:rPr>
        <w:t> </w:t>
      </w:r>
      <w:r>
        <w:rPr/>
        <w:t>secondary</w:t>
      </w:r>
      <w:r>
        <w:rPr>
          <w:spacing w:val="31"/>
        </w:rPr>
        <w:t> </w:t>
      </w:r>
      <w:r>
        <w:rPr/>
        <w:t>legislation</w:t>
      </w:r>
      <w:r>
        <w:rPr>
          <w:spacing w:val="31"/>
        </w:rPr>
        <w:t> </w:t>
      </w:r>
      <w:r>
        <w:rPr/>
        <w:t>under</w:t>
      </w:r>
      <w:r>
        <w:rPr>
          <w:spacing w:val="31"/>
        </w:rPr>
        <w:t> </w:t>
      </w:r>
      <w:r>
        <w:rPr/>
        <w:t>the</w:t>
      </w:r>
      <w:r>
        <w:rPr>
          <w:spacing w:val="31"/>
        </w:rPr>
        <w:t> </w:t>
      </w:r>
      <w:r>
        <w:rPr/>
        <w:t>European</w:t>
      </w:r>
      <w:r>
        <w:rPr>
          <w:spacing w:val="31"/>
        </w:rPr>
        <w:t> </w:t>
      </w:r>
      <w:r>
        <w:rPr/>
        <w:t>Communities</w:t>
      </w:r>
      <w:r>
        <w:rPr>
          <w:spacing w:val="31"/>
        </w:rPr>
        <w:t> </w:t>
      </w:r>
      <w:r>
        <w:rPr/>
        <w:t>Act</w:t>
      </w:r>
      <w:r>
        <w:rPr>
          <w:spacing w:val="31"/>
        </w:rPr>
        <w:t> </w:t>
      </w:r>
      <w:r>
        <w:rPr/>
        <w:t>1972,</w:t>
      </w:r>
      <w:r>
        <w:rPr>
          <w:spacing w:val="31"/>
        </w:rPr>
        <w:t> </w:t>
      </w:r>
      <w:r>
        <w:rPr/>
        <w:t>as</w:t>
      </w:r>
      <w:r>
        <w:rPr>
          <w:spacing w:val="31"/>
        </w:rPr>
        <w:t> </w:t>
      </w:r>
      <w:r>
        <w:rPr/>
        <w:t>in</w:t>
      </w:r>
      <w:r>
        <w:rPr>
          <w:spacing w:val="31"/>
        </w:rPr>
        <w:t> </w:t>
      </w:r>
      <w:r>
        <w:rPr/>
        <w:t>the </w:t>
      </w:r>
      <w:bookmarkStart w:name="_bookmark174" w:id="176"/>
      <w:bookmarkEnd w:id="176"/>
      <w:r>
        <w:rPr/>
        <w:t>case</w:t>
      </w:r>
      <w:r>
        <w:rPr>
          <w:spacing w:val="49"/>
        </w:rPr>
        <w:t> </w:t>
      </w:r>
      <w:r>
        <w:rPr/>
        <w:t>of</w:t>
      </w:r>
      <w:r>
        <w:rPr>
          <w:spacing w:val="49"/>
        </w:rPr>
        <w:t> </w:t>
      </w:r>
      <w:r>
        <w:rPr/>
        <w:t>the</w:t>
      </w:r>
      <w:r>
        <w:rPr>
          <w:spacing w:val="49"/>
        </w:rPr>
        <w:t> </w:t>
      </w:r>
      <w:r>
        <w:rPr/>
        <w:t>Consumer</w:t>
      </w:r>
      <w:r>
        <w:rPr>
          <w:spacing w:val="49"/>
        </w:rPr>
        <w:t> </w:t>
      </w:r>
      <w:r>
        <w:rPr/>
        <w:t>Contracts</w:t>
      </w:r>
      <w:r>
        <w:rPr>
          <w:spacing w:val="49"/>
        </w:rPr>
        <w:t> </w:t>
      </w:r>
      <w:r>
        <w:rPr/>
        <w:t>(Information,</w:t>
      </w:r>
      <w:r>
        <w:rPr>
          <w:spacing w:val="49"/>
        </w:rPr>
        <w:t> </w:t>
      </w:r>
      <w:r>
        <w:rPr/>
        <w:t>Cancellation</w:t>
      </w:r>
      <w:r>
        <w:rPr>
          <w:spacing w:val="49"/>
        </w:rPr>
        <w:t> </w:t>
      </w:r>
      <w:r>
        <w:rPr/>
        <w:t>and</w:t>
      </w:r>
      <w:r>
        <w:rPr>
          <w:spacing w:val="49"/>
        </w:rPr>
        <w:t> </w:t>
      </w:r>
      <w:r>
        <w:rPr/>
        <w:t>Additional</w:t>
      </w:r>
      <w:r>
        <w:rPr>
          <w:spacing w:val="49"/>
        </w:rPr>
        <w:t> </w:t>
      </w:r>
      <w:r>
        <w:rPr/>
        <w:t>Charges)</w:t>
      </w:r>
      <w:r>
        <w:rPr>
          <w:spacing w:val="49"/>
        </w:rPr>
        <w:t> </w:t>
      </w:r>
      <w:r>
        <w:rPr>
          <w:spacing w:val="-2"/>
        </w:rPr>
        <w:t>Regulations</w:t>
      </w:r>
    </w:p>
    <w:p>
      <w:pPr>
        <w:pStyle w:val="BodyText"/>
        <w:tabs>
          <w:tab w:pos="1125" w:val="left" w:leader="none"/>
          <w:tab w:pos="5264" w:val="left" w:leader="none"/>
          <w:tab w:pos="9009" w:val="left" w:leader="none"/>
        </w:tabs>
        <w:spacing w:line="340" w:lineRule="atLeast" w:before="126"/>
        <w:ind w:left="165" w:right="168"/>
        <w:rPr>
          <w:position w:val="-2"/>
        </w:rPr>
      </w:pPr>
      <w:bookmarkStart w:name="_bookmark175" w:id="177"/>
      <w:bookmarkEnd w:id="177"/>
      <w:r>
        <w:rPr/>
      </w:r>
      <w:bookmarkStart w:name="_bookmark176" w:id="178"/>
      <w:bookmarkEnd w:id="178"/>
      <w:r>
        <w:rPr/>
      </w:r>
      <w:r>
        <w:rPr/>
        <w:t>2013 </w:t>
      </w:r>
      <w:r>
        <w:rPr>
          <w:color w:val="005DA1"/>
          <w:u w:val="single" w:color="005DA1"/>
          <w:vertAlign w:val="superscript"/>
        </w:rPr>
        <w:t>101</w:t>
      </w:r>
      <w:r>
        <w:rPr>
          <w:color w:val="005DA1"/>
          <w:vertAlign w:val="baseline"/>
        </w:rPr>
        <w:tab/>
      </w:r>
      <w:r>
        <w:rPr>
          <w:color w:val="005DA1"/>
          <w:position w:val="-2"/>
          <w:vertAlign w:val="baseline"/>
        </w:rPr>
        <w:drawing>
          <wp:inline distT="0" distB="0" distL="0" distR="0">
            <wp:extent cx="107988" cy="10798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40"/>
          <w:vertAlign w:val="baseline"/>
        </w:rPr>
        <w:t> </w:t>
      </w:r>
      <w:r>
        <w:rPr>
          <w:vertAlign w:val="baseline"/>
        </w:rPr>
        <w:t>and the Timeshare Regulations 2010 </w:t>
      </w:r>
      <w:r>
        <w:rPr>
          <w:color w:val="005DA1"/>
          <w:u w:val="single" w:color="005DA1"/>
          <w:vertAlign w:val="superscript"/>
        </w:rPr>
        <w:t>102</w:t>
      </w:r>
      <w:r>
        <w:rPr>
          <w:color w:val="005DA1"/>
          <w:vertAlign w:val="baseline"/>
        </w:rPr>
        <w:tab/>
      </w:r>
      <w:r>
        <w:rPr>
          <w:color w:val="005DA1"/>
          <w:position w:val="-2"/>
          <w:vertAlign w:val="baseline"/>
        </w:rPr>
        <w:drawing>
          <wp:inline distT="0" distB="0" distL="0" distR="0">
            <wp:extent cx="107988" cy="107988"/>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4"/>
          <w:vertAlign w:val="baseline"/>
        </w:rPr>
        <w:t> </w:t>
      </w:r>
      <w:r>
        <w:rPr>
          <w:vertAlign w:val="baseline"/>
        </w:rPr>
        <w:t>in the field of consumer contracts or </w:t>
      </w:r>
      <w:r>
        <w:rPr>
          <w:vertAlign w:val="baseline"/>
        </w:rPr>
        <w:t>the Commercial</w:t>
      </w:r>
      <w:r>
        <w:rPr>
          <w:spacing w:val="23"/>
          <w:vertAlign w:val="baseline"/>
        </w:rPr>
        <w:t> </w:t>
      </w:r>
      <w:r>
        <w:rPr>
          <w:vertAlign w:val="baseline"/>
        </w:rPr>
        <w:t>Agents</w:t>
      </w:r>
      <w:r>
        <w:rPr>
          <w:spacing w:val="23"/>
          <w:vertAlign w:val="baseline"/>
        </w:rPr>
        <w:t> </w:t>
      </w:r>
      <w:r>
        <w:rPr>
          <w:vertAlign w:val="baseline"/>
        </w:rPr>
        <w:t>(Council</w:t>
      </w:r>
      <w:r>
        <w:rPr>
          <w:spacing w:val="23"/>
          <w:vertAlign w:val="baseline"/>
        </w:rPr>
        <w:t> </w:t>
      </w:r>
      <w:r>
        <w:rPr>
          <w:vertAlign w:val="baseline"/>
        </w:rPr>
        <w:t>Directive)</w:t>
      </w:r>
      <w:r>
        <w:rPr>
          <w:spacing w:val="23"/>
          <w:vertAlign w:val="baseline"/>
        </w:rPr>
        <w:t> </w:t>
      </w:r>
      <w:r>
        <w:rPr>
          <w:vertAlign w:val="baseline"/>
        </w:rPr>
        <w:t>Regulations</w:t>
      </w:r>
      <w:r>
        <w:rPr>
          <w:spacing w:val="23"/>
          <w:vertAlign w:val="baseline"/>
        </w:rPr>
        <w:t> </w:t>
      </w:r>
      <w:r>
        <w:rPr>
          <w:vertAlign w:val="baseline"/>
        </w:rPr>
        <w:t>1993</w:t>
      </w:r>
      <w:r>
        <w:rPr>
          <w:spacing w:val="23"/>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field</w:t>
      </w:r>
      <w:r>
        <w:rPr>
          <w:spacing w:val="23"/>
          <w:vertAlign w:val="baseline"/>
        </w:rPr>
        <w:t> </w:t>
      </w:r>
      <w:r>
        <w:rPr>
          <w:vertAlign w:val="baseline"/>
        </w:rPr>
        <w:t>of</w:t>
      </w:r>
      <w:r>
        <w:rPr>
          <w:spacing w:val="23"/>
          <w:vertAlign w:val="baseline"/>
        </w:rPr>
        <w:t> </w:t>
      </w:r>
      <w:r>
        <w:rPr>
          <w:vertAlign w:val="baseline"/>
        </w:rPr>
        <w:t>commercial</w:t>
      </w:r>
      <w:r>
        <w:rPr>
          <w:spacing w:val="23"/>
          <w:vertAlign w:val="baseline"/>
        </w:rPr>
        <w:t> </w:t>
      </w:r>
      <w:r>
        <w:rPr>
          <w:vertAlign w:val="baseline"/>
        </w:rPr>
        <w:t>agency.</w:t>
      </w:r>
      <w:r>
        <w:rPr>
          <w:spacing w:val="22"/>
          <w:vertAlign w:val="baseline"/>
        </w:rPr>
        <w:t> </w:t>
      </w:r>
      <w:r>
        <w:rPr>
          <w:color w:val="005DA1"/>
          <w:spacing w:val="-5"/>
          <w:u w:val="single" w:color="005DA1"/>
          <w:vertAlign w:val="superscript"/>
        </w:rPr>
        <w:t>103</w:t>
      </w:r>
      <w:r>
        <w:rPr>
          <w:color w:val="005DA1"/>
          <w:vertAlign w:val="baseline"/>
        </w:rPr>
        <w:tab/>
      </w:r>
      <w:r>
        <w:rPr>
          <w:color w:val="005DA1"/>
          <w:position w:val="-2"/>
          <w:vertAlign w:val="baseline"/>
        </w:rPr>
        <w:drawing>
          <wp:inline distT="0" distB="0" distL="0" distR="0">
            <wp:extent cx="107988" cy="107988"/>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ind w:left="165"/>
      </w:pPr>
      <w:bookmarkStart w:name="_bookmark177" w:id="179"/>
      <w:bookmarkEnd w:id="179"/>
      <w:r>
        <w:rPr/>
      </w:r>
      <w:r>
        <w:rPr/>
        <w:t>Secondly,</w:t>
      </w:r>
      <w:r>
        <w:rPr>
          <w:spacing w:val="46"/>
        </w:rPr>
        <w:t> </w:t>
      </w:r>
      <w:r>
        <w:rPr/>
        <w:t>“[d]irect</w:t>
      </w:r>
      <w:r>
        <w:rPr>
          <w:spacing w:val="46"/>
        </w:rPr>
        <w:t> </w:t>
      </w:r>
      <w:r>
        <w:rPr/>
        <w:t>EU</w:t>
      </w:r>
      <w:r>
        <w:rPr>
          <w:spacing w:val="46"/>
        </w:rPr>
        <w:t> </w:t>
      </w:r>
      <w:r>
        <w:rPr/>
        <w:t>legislation,</w:t>
      </w:r>
      <w:r>
        <w:rPr>
          <w:spacing w:val="46"/>
        </w:rPr>
        <w:t> </w:t>
      </w:r>
      <w:r>
        <w:rPr/>
        <w:t>so</w:t>
      </w:r>
      <w:r>
        <w:rPr>
          <w:spacing w:val="46"/>
        </w:rPr>
        <w:t> </w:t>
      </w:r>
      <w:r>
        <w:rPr/>
        <w:t>far</w:t>
      </w:r>
      <w:r>
        <w:rPr>
          <w:spacing w:val="46"/>
        </w:rPr>
        <w:t> </w:t>
      </w:r>
      <w:r>
        <w:rPr/>
        <w:t>as</w:t>
      </w:r>
      <w:r>
        <w:rPr>
          <w:spacing w:val="46"/>
        </w:rPr>
        <w:t> </w:t>
      </w:r>
      <w:r>
        <w:rPr/>
        <w:t>operative</w:t>
      </w:r>
      <w:r>
        <w:rPr>
          <w:spacing w:val="46"/>
        </w:rPr>
        <w:t> </w:t>
      </w:r>
      <w:r>
        <w:rPr/>
        <w:t>immediately</w:t>
      </w:r>
      <w:r>
        <w:rPr>
          <w:spacing w:val="46"/>
        </w:rPr>
        <w:t> </w:t>
      </w:r>
      <w:r>
        <w:rPr/>
        <w:t>before</w:t>
      </w:r>
      <w:r>
        <w:rPr>
          <w:spacing w:val="46"/>
        </w:rPr>
        <w:t> </w:t>
      </w:r>
      <w:r>
        <w:rPr/>
        <w:t>exit</w:t>
      </w:r>
      <w:r>
        <w:rPr>
          <w:spacing w:val="46"/>
        </w:rPr>
        <w:t> </w:t>
      </w:r>
      <w:r>
        <w:rPr/>
        <w:t>day,</w:t>
      </w:r>
      <w:r>
        <w:rPr>
          <w:spacing w:val="46"/>
        </w:rPr>
        <w:t> </w:t>
      </w:r>
      <w:r>
        <w:rPr/>
        <w:t>forms</w:t>
      </w:r>
      <w:r>
        <w:rPr>
          <w:spacing w:val="46"/>
        </w:rPr>
        <w:t> </w:t>
      </w:r>
      <w:r>
        <w:rPr/>
        <w:t>part</w:t>
      </w:r>
      <w:r>
        <w:rPr>
          <w:spacing w:val="46"/>
        </w:rPr>
        <w:t> </w:t>
      </w:r>
      <w:r>
        <w:rPr>
          <w:spacing w:val="-5"/>
        </w:rPr>
        <w:t>of</w:t>
      </w:r>
    </w:p>
    <w:p>
      <w:pPr>
        <w:pStyle w:val="BodyText"/>
        <w:spacing w:before="5"/>
      </w:pPr>
    </w:p>
    <w:p>
      <w:pPr>
        <w:pStyle w:val="BodyText"/>
        <w:tabs>
          <w:tab w:pos="3743" w:val="left" w:leader="none"/>
          <w:tab w:pos="9008" w:val="left" w:leader="none"/>
        </w:tabs>
        <w:spacing w:line="227" w:lineRule="exact"/>
        <w:ind w:left="165"/>
        <w:rPr>
          <w:position w:val="-2"/>
        </w:rPr>
      </w:pPr>
      <w:bookmarkStart w:name="_bookmark178" w:id="180"/>
      <w:bookmarkEnd w:id="180"/>
      <w:r>
        <w:rPr/>
      </w:r>
      <w:bookmarkStart w:name="_bookmark179" w:id="181"/>
      <w:bookmarkEnd w:id="181"/>
      <w:r>
        <w:rPr/>
      </w:r>
      <w:r>
        <w:rPr/>
        <w:t>domestic</w:t>
      </w:r>
      <w:r>
        <w:rPr>
          <w:spacing w:val="16"/>
        </w:rPr>
        <w:t> </w:t>
      </w:r>
      <w:r>
        <w:rPr/>
        <w:t>law</w:t>
      </w:r>
      <w:r>
        <w:rPr>
          <w:spacing w:val="16"/>
        </w:rPr>
        <w:t> </w:t>
      </w:r>
      <w:r>
        <w:rPr/>
        <w:t>on</w:t>
      </w:r>
      <w:r>
        <w:rPr>
          <w:spacing w:val="16"/>
        </w:rPr>
        <w:t> </w:t>
      </w:r>
      <w:r>
        <w:rPr/>
        <w:t>or</w:t>
      </w:r>
      <w:r>
        <w:rPr>
          <w:spacing w:val="16"/>
        </w:rPr>
        <w:t> </w:t>
      </w:r>
      <w:r>
        <w:rPr/>
        <w:t>after</w:t>
      </w:r>
      <w:r>
        <w:rPr>
          <w:spacing w:val="16"/>
        </w:rPr>
        <w:t> </w:t>
      </w:r>
      <w:r>
        <w:rPr/>
        <w:t>exit</w:t>
      </w:r>
      <w:r>
        <w:rPr>
          <w:spacing w:val="16"/>
        </w:rPr>
        <w:t> </w:t>
      </w:r>
      <w:r>
        <w:rPr/>
        <w:t>day”.</w:t>
      </w:r>
      <w:r>
        <w:rPr>
          <w:spacing w:val="16"/>
        </w:rPr>
        <w:t> </w:t>
      </w:r>
      <w:r>
        <w:rPr>
          <w:color w:val="005DA1"/>
          <w:spacing w:val="-5"/>
          <w:u w:val="single" w:color="005DA1"/>
          <w:vertAlign w:val="superscript"/>
        </w:rPr>
        <w:t>104</w:t>
      </w:r>
      <w:r>
        <w:rPr>
          <w:color w:val="005DA1"/>
          <w:vertAlign w:val="baseline"/>
        </w:rPr>
        <w:tab/>
      </w:r>
      <w:r>
        <w:rPr>
          <w:color w:val="005DA1"/>
          <w:position w:val="-2"/>
          <w:vertAlign w:val="baseline"/>
        </w:rPr>
        <w:drawing>
          <wp:inline distT="0" distB="0" distL="0" distR="0">
            <wp:extent cx="107988" cy="107988"/>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26"/>
          <w:vertAlign w:val="baseline"/>
        </w:rPr>
        <w:t> </w:t>
      </w:r>
      <w:r>
        <w:rPr>
          <w:vertAlign w:val="baseline"/>
        </w:rPr>
        <w:t>Such</w:t>
      </w:r>
      <w:r>
        <w:rPr>
          <w:spacing w:val="19"/>
          <w:vertAlign w:val="baseline"/>
        </w:rPr>
        <w:t> </w:t>
      </w:r>
      <w:r>
        <w:rPr>
          <w:vertAlign w:val="baseline"/>
        </w:rPr>
        <w:t>direct</w:t>
      </w:r>
      <w:r>
        <w:rPr>
          <w:spacing w:val="19"/>
          <w:vertAlign w:val="baseline"/>
        </w:rPr>
        <w:t> </w:t>
      </w:r>
      <w:r>
        <w:rPr>
          <w:vertAlign w:val="baseline"/>
        </w:rPr>
        <w:t>EU</w:t>
      </w:r>
      <w:r>
        <w:rPr>
          <w:spacing w:val="19"/>
          <w:vertAlign w:val="baseline"/>
        </w:rPr>
        <w:t> </w:t>
      </w:r>
      <w:r>
        <w:rPr>
          <w:vertAlign w:val="baseline"/>
        </w:rPr>
        <w:t>legislation</w:t>
      </w:r>
      <w:r>
        <w:rPr>
          <w:spacing w:val="19"/>
          <w:vertAlign w:val="baseline"/>
        </w:rPr>
        <w:t> </w:t>
      </w:r>
      <w:r>
        <w:rPr>
          <w:vertAlign w:val="baseline"/>
        </w:rPr>
        <w:t>includes</w:t>
      </w:r>
      <w:r>
        <w:rPr>
          <w:spacing w:val="19"/>
          <w:vertAlign w:val="baseline"/>
        </w:rPr>
        <w:t> </w:t>
      </w:r>
      <w:r>
        <w:rPr>
          <w:vertAlign w:val="baseline"/>
        </w:rPr>
        <w:t>EU</w:t>
      </w:r>
      <w:r>
        <w:rPr>
          <w:spacing w:val="19"/>
          <w:vertAlign w:val="baseline"/>
        </w:rPr>
        <w:t> </w:t>
      </w:r>
      <w:r>
        <w:rPr>
          <w:vertAlign w:val="baseline"/>
        </w:rPr>
        <w:t>regulations</w:t>
      </w:r>
      <w:r>
        <w:rPr>
          <w:spacing w:val="18"/>
          <w:vertAlign w:val="baseline"/>
        </w:rPr>
        <w:t> </w:t>
      </w:r>
      <w:r>
        <w:rPr>
          <w:color w:val="005DA1"/>
          <w:u w:val="single" w:color="005DA1"/>
          <w:vertAlign w:val="superscript"/>
        </w:rPr>
        <w:t>105</w:t>
      </w:r>
      <w:r>
        <w:rPr>
          <w:color w:val="005DA1"/>
          <w:vertAlign w:val="baseline"/>
        </w:rPr>
        <w:tab/>
      </w:r>
      <w:r>
        <w:rPr>
          <w:color w:val="005DA1"/>
          <w:position w:val="-2"/>
          <w:vertAlign w:val="baseline"/>
        </w:rPr>
        <w:drawing>
          <wp:inline distT="0" distB="0" distL="0" distR="0">
            <wp:extent cx="107988" cy="10798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line="227" w:lineRule="exact"/>
        <w:ind w:left="165"/>
      </w:pPr>
      <w:r>
        <w:rPr/>
        <w:t>and</w:t>
      </w:r>
      <w:r>
        <w:rPr>
          <w:spacing w:val="13"/>
        </w:rPr>
        <w:t> </w:t>
      </w:r>
      <w:r>
        <w:rPr/>
        <w:t>would</w:t>
      </w:r>
      <w:r>
        <w:rPr>
          <w:spacing w:val="13"/>
        </w:rPr>
        <w:t> </w:t>
      </w:r>
      <w:r>
        <w:rPr/>
        <w:t>therefore</w:t>
      </w:r>
      <w:r>
        <w:rPr>
          <w:spacing w:val="13"/>
        </w:rPr>
        <w:t> </w:t>
      </w:r>
      <w:r>
        <w:rPr/>
        <w:t>concern</w:t>
      </w:r>
      <w:r>
        <w:rPr>
          <w:spacing w:val="13"/>
        </w:rPr>
        <w:t> </w:t>
      </w:r>
      <w:r>
        <w:rPr/>
        <w:t>such</w:t>
      </w:r>
      <w:r>
        <w:rPr>
          <w:spacing w:val="13"/>
        </w:rPr>
        <w:t> </w:t>
      </w:r>
      <w:r>
        <w:rPr/>
        <w:t>instruments</w:t>
      </w:r>
      <w:r>
        <w:rPr>
          <w:spacing w:val="13"/>
        </w:rPr>
        <w:t> </w:t>
      </w:r>
      <w:r>
        <w:rPr/>
        <w:t>affecting</w:t>
      </w:r>
      <w:r>
        <w:rPr>
          <w:spacing w:val="13"/>
        </w:rPr>
        <w:t> </w:t>
      </w:r>
      <w:r>
        <w:rPr/>
        <w:t>contract</w:t>
      </w:r>
      <w:r>
        <w:rPr>
          <w:spacing w:val="13"/>
        </w:rPr>
        <w:t> </w:t>
      </w:r>
      <w:r>
        <w:rPr/>
        <w:t>law</w:t>
      </w:r>
      <w:r>
        <w:rPr>
          <w:spacing w:val="13"/>
        </w:rPr>
        <w:t> </w:t>
      </w:r>
      <w:r>
        <w:rPr/>
        <w:t>as</w:t>
      </w:r>
      <w:r>
        <w:rPr>
          <w:spacing w:val="13"/>
        </w:rPr>
        <w:t> </w:t>
      </w:r>
      <w:r>
        <w:rPr/>
        <w:t>the</w:t>
      </w:r>
      <w:r>
        <w:rPr>
          <w:spacing w:val="13"/>
        </w:rPr>
        <w:t> </w:t>
      </w:r>
      <w:r>
        <w:rPr/>
        <w:t>Brussels</w:t>
      </w:r>
      <w:r>
        <w:rPr>
          <w:spacing w:val="13"/>
        </w:rPr>
        <w:t> </w:t>
      </w:r>
      <w:r>
        <w:rPr/>
        <w:t>Ibis</w:t>
      </w:r>
      <w:r>
        <w:rPr>
          <w:spacing w:val="13"/>
        </w:rPr>
        <w:t> </w:t>
      </w:r>
      <w:r>
        <w:rPr>
          <w:spacing w:val="-2"/>
        </w:rPr>
        <w:t>Regulation</w:t>
      </w:r>
    </w:p>
    <w:p>
      <w:pPr>
        <w:pStyle w:val="BodyText"/>
        <w:spacing w:before="5"/>
      </w:pPr>
    </w:p>
    <w:p>
      <w:pPr>
        <w:pStyle w:val="BodyText"/>
        <w:tabs>
          <w:tab w:pos="635" w:val="left" w:leader="none"/>
          <w:tab w:pos="3817" w:val="left" w:leader="none"/>
        </w:tabs>
        <w:ind w:left="164"/>
      </w:pPr>
      <w:bookmarkStart w:name="_bookmark180" w:id="182"/>
      <w:bookmarkEnd w:id="182"/>
      <w:r>
        <w:rPr/>
      </w:r>
      <w:r>
        <w:rPr>
          <w:color w:val="005DA1"/>
          <w:spacing w:val="-5"/>
          <w:u w:val="single" w:color="005DA1"/>
          <w:vertAlign w:val="superscript"/>
        </w:rPr>
        <w:t>106</w:t>
      </w:r>
      <w:r>
        <w:rPr>
          <w:color w:val="005DA1"/>
          <w:vertAlign w:val="baseline"/>
        </w:rPr>
        <w:tab/>
      </w:r>
      <w:r>
        <w:rPr>
          <w:color w:val="005DA1"/>
          <w:position w:val="-2"/>
          <w:vertAlign w:val="baseline"/>
        </w:rPr>
        <w:drawing>
          <wp:inline distT="0" distB="0" distL="0" distR="0">
            <wp:extent cx="107988" cy="10798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40"/>
          <w:vertAlign w:val="baseline"/>
        </w:rPr>
        <w:t> </w:t>
      </w:r>
      <w:bookmarkStart w:name="_bookmark181" w:id="183"/>
      <w:bookmarkEnd w:id="183"/>
      <w:r>
        <w:rPr>
          <w:rFonts w:ascii="Times New Roman"/>
          <w:color w:val="005DA1"/>
          <w:spacing w:val="-10"/>
          <w:vertAlign w:val="baseline"/>
        </w:rPr>
      </w:r>
      <w:r>
        <w:rPr>
          <w:vertAlign w:val="baseline"/>
        </w:rPr>
        <w:t>or</w:t>
      </w:r>
      <w:r>
        <w:rPr>
          <w:spacing w:val="40"/>
          <w:vertAlign w:val="baseline"/>
        </w:rPr>
        <w:t> </w:t>
      </w:r>
      <w:r>
        <w:rPr>
          <w:vertAlign w:val="baseline"/>
        </w:rPr>
        <w:t>the</w:t>
      </w:r>
      <w:r>
        <w:rPr>
          <w:spacing w:val="40"/>
          <w:vertAlign w:val="baseline"/>
        </w:rPr>
        <w:t> </w:t>
      </w:r>
      <w:r>
        <w:rPr>
          <w:vertAlign w:val="baseline"/>
        </w:rPr>
        <w:t>Rome</w:t>
      </w:r>
      <w:r>
        <w:rPr>
          <w:spacing w:val="40"/>
          <w:vertAlign w:val="baseline"/>
        </w:rPr>
        <w:t> </w:t>
      </w:r>
      <w:r>
        <w:rPr>
          <w:vertAlign w:val="baseline"/>
        </w:rPr>
        <w:t>I</w:t>
      </w:r>
      <w:r>
        <w:rPr>
          <w:spacing w:val="40"/>
          <w:vertAlign w:val="baseline"/>
        </w:rPr>
        <w:t> </w:t>
      </w:r>
      <w:r>
        <w:rPr>
          <w:vertAlign w:val="baseline"/>
        </w:rPr>
        <w:t>Regulation</w:t>
      </w:r>
      <w:r>
        <w:rPr>
          <w:spacing w:val="40"/>
          <w:vertAlign w:val="baseline"/>
        </w:rPr>
        <w:t> </w:t>
      </w:r>
      <w:r>
        <w:rPr>
          <w:color w:val="005DA1"/>
          <w:u w:val="single" w:color="005DA1"/>
          <w:vertAlign w:val="superscript"/>
        </w:rPr>
        <w:t>107</w:t>
      </w:r>
      <w:r>
        <w:rPr>
          <w:color w:val="005DA1"/>
          <w:vertAlign w:val="baseline"/>
        </w:rPr>
        <w:tab/>
      </w:r>
      <w:r>
        <w:rPr>
          <w:color w:val="005DA1"/>
          <w:position w:val="-2"/>
          <w:vertAlign w:val="baseline"/>
        </w:rPr>
        <w:drawing>
          <wp:inline distT="0" distB="0" distL="0" distR="0">
            <wp:extent cx="107988" cy="107988"/>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40"/>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area</w:t>
      </w:r>
      <w:r>
        <w:rPr>
          <w:spacing w:val="37"/>
          <w:vertAlign w:val="baseline"/>
        </w:rPr>
        <w:t> </w:t>
      </w:r>
      <w:r>
        <w:rPr>
          <w:vertAlign w:val="baseline"/>
        </w:rPr>
        <w:t>of</w:t>
      </w:r>
      <w:r>
        <w:rPr>
          <w:spacing w:val="37"/>
          <w:vertAlign w:val="baseline"/>
        </w:rPr>
        <w:t> </w:t>
      </w:r>
      <w:r>
        <w:rPr>
          <w:vertAlign w:val="baseline"/>
        </w:rPr>
        <w:t>private</w:t>
      </w:r>
      <w:r>
        <w:rPr>
          <w:spacing w:val="37"/>
          <w:vertAlign w:val="baseline"/>
        </w:rPr>
        <w:t> </w:t>
      </w:r>
      <w:r>
        <w:rPr>
          <w:vertAlign w:val="baseline"/>
        </w:rPr>
        <w:t>international</w:t>
      </w:r>
      <w:r>
        <w:rPr>
          <w:spacing w:val="37"/>
          <w:vertAlign w:val="baseline"/>
        </w:rPr>
        <w:t> </w:t>
      </w:r>
      <w:r>
        <w:rPr>
          <w:vertAlign w:val="baseline"/>
        </w:rPr>
        <w:t>law,</w:t>
      </w:r>
      <w:r>
        <w:rPr>
          <w:spacing w:val="37"/>
          <w:vertAlign w:val="baseline"/>
        </w:rPr>
        <w:t> </w:t>
      </w:r>
      <w:r>
        <w:rPr>
          <w:vertAlign w:val="baseline"/>
        </w:rPr>
        <w:t>and</w:t>
      </w:r>
      <w:r>
        <w:rPr>
          <w:spacing w:val="37"/>
          <w:vertAlign w:val="baseline"/>
        </w:rPr>
        <w:t> </w:t>
      </w:r>
      <w:r>
        <w:rPr>
          <w:vertAlign w:val="baseline"/>
        </w:rPr>
        <w:t>the</w:t>
      </w:r>
      <w:r>
        <w:rPr>
          <w:spacing w:val="37"/>
          <w:vertAlign w:val="baseline"/>
        </w:rPr>
        <w:t> </w:t>
      </w:r>
      <w:r>
        <w:rPr>
          <w:vertAlign w:val="baseline"/>
        </w:rPr>
        <w:t>Denied</w:t>
      </w:r>
    </w:p>
    <w:p>
      <w:pPr>
        <w:pStyle w:val="BodyText"/>
        <w:spacing w:line="235" w:lineRule="auto" w:before="119"/>
        <w:ind w:left="165" w:right="167"/>
        <w:jc w:val="both"/>
      </w:pPr>
      <w:r>
        <w:rPr/>
        <w:t>Boarding Regulation in the area of consumer protection </w:t>
      </w:r>
      <w:r>
        <w:rPr>
          <w:color w:val="005DA1"/>
          <w:u w:val="single" w:color="005DA1"/>
          <w:vertAlign w:val="superscript"/>
        </w:rPr>
        <w:t>108</w:t>
      </w:r>
      <w:r>
        <w:rPr>
          <w:color w:val="005DA1"/>
          <w:spacing w:val="80"/>
          <w:w w:val="150"/>
          <w:vertAlign w:val="baseline"/>
        </w:rPr>
        <w:t> </w:t>
      </w:r>
      <w:r>
        <w:rPr>
          <w:color w:val="005DA1"/>
          <w:spacing w:val="-7"/>
          <w:position w:val="-2"/>
          <w:vertAlign w:val="baseline"/>
        </w:rPr>
        <w:drawing>
          <wp:inline distT="0" distB="0" distL="0" distR="0">
            <wp:extent cx="107988" cy="107988"/>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spacing w:val="40"/>
          <w:vertAlign w:val="baseline"/>
        </w:rPr>
        <w:t> </w:t>
      </w:r>
      <w:r>
        <w:rPr>
          <w:vertAlign w:val="baseline"/>
        </w:rPr>
        <w:t>Thirdly, the 2017 Bill </w:t>
      </w:r>
      <w:r>
        <w:rPr>
          <w:vertAlign w:val="baseline"/>
        </w:rPr>
        <w:t>contains </w:t>
      </w:r>
      <w:bookmarkStart w:name="_bookmark182" w:id="184"/>
      <w:bookmarkEnd w:id="184"/>
      <w:r>
        <w:rPr>
          <w:vertAlign w:val="baseline"/>
        </w:rPr>
        <w:t>provision</w:t>
      </w:r>
      <w:r>
        <w:rPr>
          <w:spacing w:val="17"/>
          <w:vertAlign w:val="baseline"/>
        </w:rPr>
        <w:t> </w:t>
      </w:r>
      <w:r>
        <w:rPr>
          <w:vertAlign w:val="baseline"/>
        </w:rPr>
        <w:t>for</w:t>
      </w:r>
      <w:r>
        <w:rPr>
          <w:spacing w:val="17"/>
          <w:vertAlign w:val="baseline"/>
        </w:rPr>
        <w:t> </w:t>
      </w:r>
      <w:r>
        <w:rPr>
          <w:vertAlign w:val="baseline"/>
        </w:rPr>
        <w:t>the</w:t>
      </w:r>
      <w:r>
        <w:rPr>
          <w:spacing w:val="17"/>
          <w:vertAlign w:val="baseline"/>
        </w:rPr>
        <w:t> </w:t>
      </w:r>
      <w:r>
        <w:rPr>
          <w:vertAlign w:val="baseline"/>
        </w:rPr>
        <w:t>preservation</w:t>
      </w:r>
      <w:r>
        <w:rPr>
          <w:spacing w:val="17"/>
          <w:vertAlign w:val="baseline"/>
        </w:rPr>
        <w:t> </w:t>
      </w:r>
      <w:r>
        <w:rPr>
          <w:vertAlign w:val="baseline"/>
        </w:rPr>
        <w:t>of</w:t>
      </w:r>
      <w:r>
        <w:rPr>
          <w:spacing w:val="17"/>
          <w:vertAlign w:val="baseline"/>
        </w:rPr>
        <w:t> </w:t>
      </w:r>
      <w:r>
        <w:rPr>
          <w:vertAlign w:val="baseline"/>
        </w:rPr>
        <w:t>UK</w:t>
      </w:r>
      <w:r>
        <w:rPr>
          <w:spacing w:val="17"/>
          <w:vertAlign w:val="baseline"/>
        </w:rPr>
        <w:t> </w:t>
      </w:r>
      <w:r>
        <w:rPr>
          <w:vertAlign w:val="baseline"/>
        </w:rPr>
        <w:t>primary</w:t>
      </w:r>
      <w:r>
        <w:rPr>
          <w:spacing w:val="17"/>
          <w:vertAlign w:val="baseline"/>
        </w:rPr>
        <w:t> </w:t>
      </w:r>
      <w:r>
        <w:rPr>
          <w:vertAlign w:val="baseline"/>
        </w:rPr>
        <w:t>legislation</w:t>
      </w:r>
      <w:r>
        <w:rPr>
          <w:spacing w:val="17"/>
          <w:vertAlign w:val="baseline"/>
        </w:rPr>
        <w:t> </w:t>
      </w:r>
      <w:r>
        <w:rPr>
          <w:vertAlign w:val="baseline"/>
        </w:rPr>
        <w:t>enacted</w:t>
      </w:r>
      <w:r>
        <w:rPr>
          <w:spacing w:val="17"/>
          <w:vertAlign w:val="baseline"/>
        </w:rPr>
        <w:t> </w:t>
      </w:r>
      <w:r>
        <w:rPr>
          <w:vertAlign w:val="baseline"/>
        </w:rPr>
        <w:t>for</w:t>
      </w:r>
      <w:r>
        <w:rPr>
          <w:spacing w:val="17"/>
          <w:vertAlign w:val="baseline"/>
        </w:rPr>
        <w:t> </w:t>
      </w:r>
      <w:r>
        <w:rPr>
          <w:vertAlign w:val="baseline"/>
        </w:rPr>
        <w:t>the</w:t>
      </w:r>
      <w:r>
        <w:rPr>
          <w:spacing w:val="17"/>
          <w:vertAlign w:val="baseline"/>
        </w:rPr>
        <w:t> </w:t>
      </w:r>
      <w:r>
        <w:rPr>
          <w:vertAlign w:val="baseline"/>
        </w:rPr>
        <w:t>purpose</w:t>
      </w:r>
      <w:r>
        <w:rPr>
          <w:spacing w:val="17"/>
          <w:vertAlign w:val="baseline"/>
        </w:rPr>
        <w:t> </w:t>
      </w:r>
      <w:r>
        <w:rPr>
          <w:vertAlign w:val="baseline"/>
        </w:rPr>
        <w:t>of</w:t>
      </w:r>
      <w:r>
        <w:rPr>
          <w:spacing w:val="17"/>
          <w:vertAlign w:val="baseline"/>
        </w:rPr>
        <w:t> </w:t>
      </w:r>
      <w:r>
        <w:rPr>
          <w:vertAlign w:val="baseline"/>
        </w:rPr>
        <w:t>implementing</w:t>
      </w:r>
      <w:r>
        <w:rPr>
          <w:spacing w:val="17"/>
          <w:vertAlign w:val="baseline"/>
        </w:rPr>
        <w:t> </w:t>
      </w:r>
      <w:r>
        <w:rPr>
          <w:spacing w:val="-5"/>
          <w:vertAlign w:val="baseline"/>
        </w:rPr>
        <w:t>EU</w:t>
      </w:r>
    </w:p>
    <w:p>
      <w:pPr>
        <w:pStyle w:val="BodyText"/>
        <w:spacing w:line="360" w:lineRule="auto" w:before="115"/>
        <w:ind w:left="165" w:right="168"/>
        <w:jc w:val="both"/>
        <w:rPr>
          <w:position w:val="-2"/>
        </w:rPr>
      </w:pPr>
      <w:bookmarkStart w:name="_bookmark183" w:id="185"/>
      <w:bookmarkEnd w:id="185"/>
      <w:r>
        <w:rPr/>
      </w:r>
      <w:r>
        <w:rPr/>
        <w:t>obligations (such as the Consumer Rights Act 2015 </w:t>
      </w:r>
      <w:r>
        <w:rPr>
          <w:color w:val="005DA1"/>
          <w:u w:val="single" w:color="005DA1"/>
          <w:vertAlign w:val="superscript"/>
        </w:rPr>
        <w:t>109</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vertAlign w:val="baseline"/>
        </w:rPr>
        <w:t>) or secondary legislation with the </w:t>
      </w:r>
      <w:r>
        <w:rPr>
          <w:vertAlign w:val="baseline"/>
        </w:rPr>
        <w:t>same </w:t>
      </w:r>
      <w:bookmarkStart w:name="_bookmark184" w:id="186"/>
      <w:bookmarkEnd w:id="186"/>
      <w:r>
        <w:rPr>
          <w:vertAlign w:val="baseline"/>
        </w:rPr>
        <w:t>purpose</w:t>
      </w:r>
      <w:r>
        <w:rPr>
          <w:vertAlign w:val="baseline"/>
        </w:rPr>
        <w:t> but made under statutory powers other than those contained in s.2(2) of the 1972 Act. </w:t>
      </w:r>
      <w:r>
        <w:rPr>
          <w:color w:val="005DA1"/>
          <w:u w:val="single" w:color="005DA1"/>
          <w:vertAlign w:val="superscript"/>
        </w:rPr>
        <w:t>110</w:t>
      </w:r>
      <w:r>
        <w:rPr>
          <w:color w:val="005DA1"/>
          <w:spacing w:val="73"/>
          <w:w w:val="150"/>
          <w:vertAlign w:val="baseline"/>
        </w:rPr>
        <w:t> </w:t>
      </w:r>
      <w:r>
        <w:rPr>
          <w:color w:val="005DA1"/>
          <w:spacing w:val="9"/>
          <w:position w:val="-2"/>
          <w:vertAlign w:val="baseline"/>
        </w:rPr>
        <w:drawing>
          <wp:inline distT="0" distB="0" distL="0" distR="0">
            <wp:extent cx="107988" cy="107988"/>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p>
    <w:p>
      <w:pPr>
        <w:pStyle w:val="BodyText"/>
        <w:spacing w:line="235" w:lineRule="auto" w:before="4"/>
        <w:ind w:left="165" w:right="167"/>
        <w:jc w:val="both"/>
      </w:pPr>
      <w:r>
        <w:rPr/>
        <w:t>Taken</w:t>
      </w:r>
      <w:r>
        <w:rPr>
          <w:spacing w:val="-3"/>
        </w:rPr>
        <w:t> </w:t>
      </w:r>
      <w:r>
        <w:rPr/>
        <w:t>together,</w:t>
      </w:r>
      <w:r>
        <w:rPr>
          <w:spacing w:val="-3"/>
        </w:rPr>
        <w:t> </w:t>
      </w:r>
      <w:r>
        <w:rPr/>
        <w:t>these</w:t>
      </w:r>
      <w:r>
        <w:rPr>
          <w:spacing w:val="-3"/>
        </w:rPr>
        <w:t> </w:t>
      </w:r>
      <w:r>
        <w:rPr/>
        <w:t>laws</w:t>
      </w:r>
      <w:r>
        <w:rPr>
          <w:spacing w:val="-3"/>
        </w:rPr>
        <w:t> </w:t>
      </w:r>
      <w:r>
        <w:rPr/>
        <w:t>are</w:t>
      </w:r>
      <w:r>
        <w:rPr>
          <w:spacing w:val="-3"/>
        </w:rPr>
        <w:t> </w:t>
      </w:r>
      <w:r>
        <w:rPr/>
        <w:t>referred</w:t>
      </w:r>
      <w:r>
        <w:rPr>
          <w:spacing w:val="-3"/>
        </w:rPr>
        <w:t> </w:t>
      </w:r>
      <w:r>
        <w:rPr/>
        <w:t>to</w:t>
      </w:r>
      <w:r>
        <w:rPr>
          <w:spacing w:val="-3"/>
        </w:rPr>
        <w:t> </w:t>
      </w:r>
      <w:r>
        <w:rPr/>
        <w:t>as</w:t>
      </w:r>
      <w:r>
        <w:rPr>
          <w:spacing w:val="-3"/>
        </w:rPr>
        <w:t> </w:t>
      </w:r>
      <w:r>
        <w:rPr/>
        <w:t>“retained</w:t>
      </w:r>
      <w:r>
        <w:rPr>
          <w:spacing w:val="-3"/>
        </w:rPr>
        <w:t> </w:t>
      </w:r>
      <w:r>
        <w:rPr/>
        <w:t>EU</w:t>
      </w:r>
      <w:r>
        <w:rPr>
          <w:spacing w:val="-3"/>
        </w:rPr>
        <w:t> </w:t>
      </w:r>
      <w:r>
        <w:rPr/>
        <w:t>law”</w:t>
      </w:r>
      <w:r>
        <w:rPr>
          <w:spacing w:val="-3"/>
        </w:rPr>
        <w:t> </w:t>
      </w:r>
      <w:r>
        <w:rPr/>
        <w:t>by</w:t>
      </w:r>
      <w:r>
        <w:rPr>
          <w:spacing w:val="-3"/>
        </w:rPr>
        <w:t> </w:t>
      </w:r>
      <w:r>
        <w:rPr/>
        <w:t>the</w:t>
      </w:r>
      <w:r>
        <w:rPr>
          <w:spacing w:val="-3"/>
        </w:rPr>
        <w:t> </w:t>
      </w:r>
      <w:r>
        <w:rPr/>
        <w:t>Bill.</w:t>
      </w:r>
      <w:r>
        <w:rPr>
          <w:spacing w:val="-4"/>
        </w:rPr>
        <w:t> </w:t>
      </w:r>
      <w:r>
        <w:rPr>
          <w:color w:val="005DA1"/>
          <w:u w:val="single" w:color="005DA1"/>
          <w:vertAlign w:val="superscript"/>
        </w:rPr>
        <w:t>111</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There</w:t>
      </w:r>
      <w:r>
        <w:rPr>
          <w:spacing w:val="-3"/>
          <w:vertAlign w:val="baseline"/>
        </w:rPr>
        <w:t> </w:t>
      </w:r>
      <w:r>
        <w:rPr>
          <w:vertAlign w:val="baseline"/>
        </w:rPr>
        <w:t>are,</w:t>
      </w:r>
      <w:r>
        <w:rPr>
          <w:spacing w:val="-3"/>
          <w:vertAlign w:val="baseline"/>
        </w:rPr>
        <w:t> </w:t>
      </w:r>
      <w:r>
        <w:rPr>
          <w:vertAlign w:val="baseline"/>
        </w:rPr>
        <w:t>however, two types of qualifications on the resulting preservation in UK law of the EU legislative acquis as the Bill itself sets out certain exceptions for this purpose, and also provides for the later amendment or repeal of legislation (primary or secondary) whose source is in EU legislation either by </w:t>
      </w:r>
      <w:r>
        <w:rPr>
          <w:vertAlign w:val="baseline"/>
        </w:rPr>
        <w:t>secondary </w:t>
      </w:r>
      <w:bookmarkStart w:name="_bookmark185" w:id="187"/>
      <w:bookmarkEnd w:id="187"/>
      <w:r>
        <w:rPr>
          <w:vertAlign w:val="baseline"/>
        </w:rPr>
        <w:t>legislation</w:t>
      </w:r>
      <w:r>
        <w:rPr>
          <w:spacing w:val="57"/>
          <w:vertAlign w:val="baseline"/>
        </w:rPr>
        <w:t> </w:t>
      </w:r>
      <w:r>
        <w:rPr>
          <w:vertAlign w:val="baseline"/>
        </w:rPr>
        <w:t>made</w:t>
      </w:r>
      <w:r>
        <w:rPr>
          <w:spacing w:val="57"/>
          <w:vertAlign w:val="baseline"/>
        </w:rPr>
        <w:t> </w:t>
      </w:r>
      <w:r>
        <w:rPr>
          <w:vertAlign w:val="baseline"/>
        </w:rPr>
        <w:t>by</w:t>
      </w:r>
      <w:r>
        <w:rPr>
          <w:spacing w:val="57"/>
          <w:vertAlign w:val="baseline"/>
        </w:rPr>
        <w:t> </w:t>
      </w:r>
      <w:r>
        <w:rPr>
          <w:vertAlign w:val="baseline"/>
        </w:rPr>
        <w:t>a</w:t>
      </w:r>
      <w:r>
        <w:rPr>
          <w:spacing w:val="57"/>
          <w:vertAlign w:val="baseline"/>
        </w:rPr>
        <w:t> </w:t>
      </w:r>
      <w:r>
        <w:rPr>
          <w:vertAlign w:val="baseline"/>
        </w:rPr>
        <w:t>Minister</w:t>
      </w:r>
      <w:r>
        <w:rPr>
          <w:spacing w:val="57"/>
          <w:vertAlign w:val="baseline"/>
        </w:rPr>
        <w:t> </w:t>
      </w:r>
      <w:r>
        <w:rPr>
          <w:vertAlign w:val="baseline"/>
        </w:rPr>
        <w:t>of</w:t>
      </w:r>
      <w:r>
        <w:rPr>
          <w:spacing w:val="57"/>
          <w:vertAlign w:val="baseline"/>
        </w:rPr>
        <w:t> </w:t>
      </w:r>
      <w:r>
        <w:rPr>
          <w:vertAlign w:val="baseline"/>
        </w:rPr>
        <w:t>the</w:t>
      </w:r>
      <w:r>
        <w:rPr>
          <w:spacing w:val="57"/>
          <w:vertAlign w:val="baseline"/>
        </w:rPr>
        <w:t> </w:t>
      </w:r>
      <w:r>
        <w:rPr>
          <w:vertAlign w:val="baseline"/>
        </w:rPr>
        <w:t>Crown</w:t>
      </w:r>
      <w:r>
        <w:rPr>
          <w:spacing w:val="57"/>
          <w:vertAlign w:val="baseline"/>
        </w:rPr>
        <w:t> </w:t>
      </w:r>
      <w:r>
        <w:rPr>
          <w:vertAlign w:val="baseline"/>
        </w:rPr>
        <w:t>or</w:t>
      </w:r>
      <w:r>
        <w:rPr>
          <w:spacing w:val="57"/>
          <w:vertAlign w:val="baseline"/>
        </w:rPr>
        <w:t> </w:t>
      </w:r>
      <w:r>
        <w:rPr>
          <w:vertAlign w:val="baseline"/>
        </w:rPr>
        <w:t>by</w:t>
      </w:r>
      <w:r>
        <w:rPr>
          <w:spacing w:val="57"/>
          <w:vertAlign w:val="baseline"/>
        </w:rPr>
        <w:t> </w:t>
      </w:r>
      <w:r>
        <w:rPr>
          <w:vertAlign w:val="baseline"/>
        </w:rPr>
        <w:t>a</w:t>
      </w:r>
      <w:r>
        <w:rPr>
          <w:spacing w:val="57"/>
          <w:vertAlign w:val="baseline"/>
        </w:rPr>
        <w:t> </w:t>
      </w:r>
      <w:r>
        <w:rPr>
          <w:vertAlign w:val="baseline"/>
        </w:rPr>
        <w:t>devolved</w:t>
      </w:r>
      <w:r>
        <w:rPr>
          <w:spacing w:val="57"/>
          <w:vertAlign w:val="baseline"/>
        </w:rPr>
        <w:t> </w:t>
      </w:r>
      <w:r>
        <w:rPr>
          <w:vertAlign w:val="baseline"/>
        </w:rPr>
        <w:t>authority</w:t>
      </w:r>
      <w:r>
        <w:rPr>
          <w:spacing w:val="57"/>
          <w:vertAlign w:val="baseline"/>
        </w:rPr>
        <w:t> </w:t>
      </w:r>
      <w:r>
        <w:rPr>
          <w:vertAlign w:val="baseline"/>
        </w:rPr>
        <w:t>(such</w:t>
      </w:r>
      <w:r>
        <w:rPr>
          <w:spacing w:val="57"/>
          <w:vertAlign w:val="baseline"/>
        </w:rPr>
        <w:t> </w:t>
      </w:r>
      <w:r>
        <w:rPr>
          <w:vertAlign w:val="baseline"/>
        </w:rPr>
        <w:t>as</w:t>
      </w:r>
      <w:r>
        <w:rPr>
          <w:spacing w:val="57"/>
          <w:vertAlign w:val="baseline"/>
        </w:rPr>
        <w:t> </w:t>
      </w:r>
      <w:r>
        <w:rPr>
          <w:vertAlign w:val="baseline"/>
        </w:rPr>
        <w:t>the</w:t>
      </w:r>
      <w:r>
        <w:rPr>
          <w:spacing w:val="57"/>
          <w:vertAlign w:val="baseline"/>
        </w:rPr>
        <w:t> </w:t>
      </w:r>
      <w:r>
        <w:rPr>
          <w:spacing w:val="-2"/>
          <w:vertAlign w:val="baseline"/>
        </w:rPr>
        <w:t>Scottish</w:t>
      </w:r>
    </w:p>
    <w:p>
      <w:pPr>
        <w:pStyle w:val="BodyText"/>
        <w:spacing w:before="114"/>
        <w:ind w:left="165"/>
        <w:jc w:val="both"/>
        <w:rPr>
          <w:position w:val="-2"/>
        </w:rPr>
      </w:pPr>
      <w:r>
        <w:rPr/>
        <w:t>Ministers), this being referred to as “dealing with deficiencies arising from withdrawal”. </w:t>
      </w:r>
      <w:r>
        <w:rPr>
          <w:color w:val="005DA1"/>
          <w:u w:val="single" w:color="005DA1"/>
          <w:vertAlign w:val="superscript"/>
        </w:rPr>
        <w:t>112</w:t>
      </w:r>
      <w:r>
        <w:rPr>
          <w:color w:val="005DA1"/>
          <w:spacing w:val="80"/>
          <w:w w:val="150"/>
          <w:vertAlign w:val="baseline"/>
        </w:rPr>
        <w:t> </w:t>
      </w:r>
      <w:r>
        <w:rPr>
          <w:color w:val="005DA1"/>
          <w:position w:val="-2"/>
          <w:vertAlign w:val="baseline"/>
        </w:rPr>
        <w:drawing>
          <wp:inline distT="0" distB="0" distL="0" distR="0">
            <wp:extent cx="107988" cy="107988"/>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165" w:right="0" w:firstLine="0"/>
        <w:jc w:val="left"/>
        <w:rPr>
          <w:rFonts w:ascii="Arial"/>
          <w:b/>
          <w:sz w:val="18"/>
        </w:rPr>
      </w:pPr>
      <w:r>
        <w:rPr>
          <w:rFonts w:ascii="Arial"/>
          <w:b/>
          <w:sz w:val="18"/>
        </w:rPr>
        <w:t>Further issues arising from </w:t>
      </w:r>
      <w:r>
        <w:rPr>
          <w:rFonts w:ascii="Arial"/>
          <w:b/>
          <w:spacing w:val="-2"/>
          <w:sz w:val="18"/>
        </w:rPr>
        <w:t>Brexit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4"/>
          <w:sz w:val="24"/>
        </w:rPr>
        <w:t>013D</w:t>
      </w:r>
    </w:p>
    <w:p>
      <w:pPr>
        <w:pStyle w:val="BodyText"/>
        <w:spacing w:line="340" w:lineRule="atLeast" w:before="209"/>
        <w:ind w:left="165" w:right="167"/>
        <w:jc w:val="both"/>
        <w:rPr>
          <w:position w:val="-2"/>
        </w:rPr>
      </w:pPr>
      <w:r>
        <w:rPr>
          <w:position w:val="-2"/>
        </w:rPr>
        <w:drawing>
          <wp:inline distT="0" distB="0" distL="0" distR="0">
            <wp:extent cx="107988" cy="107988"/>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86" w:id="188"/>
      <w:bookmarkEnd w:id="188"/>
      <w:r>
        <w:rPr>
          <w:rFonts w:ascii="Times New Roman"/>
          <w:spacing w:val="-24"/>
        </w:rPr>
      </w:r>
      <w:r>
        <w:rPr/>
        <w:t>Three further issues in particular should be noted. First, the 2017 Bill makes provision to </w:t>
      </w:r>
      <w:r>
        <w:rPr/>
        <w:t>ensure</w:t>
      </w:r>
      <w:r>
        <w:rPr>
          <w:spacing w:val="40"/>
        </w:rPr>
        <w:t> </w:t>
      </w:r>
      <w:r>
        <w:rPr/>
        <w:t>that any remaining EU rights and obligations which are not preserved in the way just explained </w:t>
      </w:r>
      <w:r>
        <w:rPr>
          <w:color w:val="005DA1"/>
          <w:u w:val="single" w:color="005DA1"/>
          <w:vertAlign w:val="superscript"/>
        </w:rPr>
        <w:t>113</w:t>
      </w:r>
      <w:r>
        <w:rPr>
          <w:color w:val="005DA1"/>
          <w:spacing w:val="30"/>
          <w:vertAlign w:val="baseline"/>
        </w:rPr>
        <w:t>  </w:t>
      </w:r>
      <w:r>
        <w:rPr>
          <w:color w:val="005DA1"/>
          <w:spacing w:val="11"/>
          <w:position w:val="-2"/>
          <w:vertAlign w:val="baseline"/>
        </w:rPr>
        <w:drawing>
          <wp:inline distT="0" distB="0" distL="0" distR="0">
            <wp:extent cx="107988" cy="107988"/>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p>
    <w:p>
      <w:pPr>
        <w:pStyle w:val="BodyText"/>
        <w:ind w:left="165"/>
        <w:jc w:val="both"/>
      </w:pPr>
      <w:bookmarkStart w:name="_bookmark187" w:id="189"/>
      <w:bookmarkEnd w:id="189"/>
      <w:r>
        <w:rPr/>
      </w:r>
      <w:r>
        <w:rPr/>
        <w:t>continue</w:t>
      </w:r>
      <w:r>
        <w:rPr>
          <w:spacing w:val="1"/>
        </w:rPr>
        <w:t> </w:t>
      </w:r>
      <w:r>
        <w:rPr/>
        <w:t>to</w:t>
      </w:r>
      <w:r>
        <w:rPr>
          <w:spacing w:val="1"/>
        </w:rPr>
        <w:t> </w:t>
      </w:r>
      <w:r>
        <w:rPr/>
        <w:t>be</w:t>
      </w:r>
      <w:r>
        <w:rPr>
          <w:spacing w:val="1"/>
        </w:rPr>
        <w:t> </w:t>
      </w:r>
      <w:r>
        <w:rPr/>
        <w:t>recognised</w:t>
      </w:r>
      <w:r>
        <w:rPr>
          <w:spacing w:val="1"/>
        </w:rPr>
        <w:t> </w:t>
      </w:r>
      <w:r>
        <w:rPr/>
        <w:t>and</w:t>
      </w:r>
      <w:r>
        <w:rPr>
          <w:spacing w:val="1"/>
        </w:rPr>
        <w:t> </w:t>
      </w:r>
      <w:r>
        <w:rPr/>
        <w:t>available</w:t>
      </w:r>
      <w:r>
        <w:rPr>
          <w:spacing w:val="1"/>
        </w:rPr>
        <w:t> </w:t>
      </w:r>
      <w:r>
        <w:rPr/>
        <w:t>in</w:t>
      </w:r>
      <w:r>
        <w:rPr>
          <w:spacing w:val="1"/>
        </w:rPr>
        <w:t> </w:t>
      </w:r>
      <w:r>
        <w:rPr/>
        <w:t>domestic</w:t>
      </w:r>
      <w:r>
        <w:rPr>
          <w:spacing w:val="1"/>
        </w:rPr>
        <w:t> </w:t>
      </w:r>
      <w:r>
        <w:rPr/>
        <w:t>law</w:t>
      </w:r>
      <w:r>
        <w:rPr>
          <w:spacing w:val="1"/>
        </w:rPr>
        <w:t> </w:t>
      </w:r>
      <w:r>
        <w:rPr/>
        <w:t>after</w:t>
      </w:r>
      <w:r>
        <w:rPr>
          <w:spacing w:val="1"/>
        </w:rPr>
        <w:t> </w:t>
      </w:r>
      <w:r>
        <w:rPr/>
        <w:t>the</w:t>
      </w:r>
      <w:r>
        <w:rPr>
          <w:spacing w:val="1"/>
        </w:rPr>
        <w:t> </w:t>
      </w:r>
      <w:r>
        <w:rPr/>
        <w:t>UK</w:t>
      </w:r>
      <w:r>
        <w:rPr>
          <w:spacing w:val="1"/>
        </w:rPr>
        <w:t> </w:t>
      </w:r>
      <w:r>
        <w:rPr/>
        <w:t>leaves</w:t>
      </w:r>
      <w:r>
        <w:rPr>
          <w:spacing w:val="1"/>
        </w:rPr>
        <w:t> </w:t>
      </w:r>
      <w:r>
        <w:rPr/>
        <w:t>the</w:t>
      </w:r>
      <w:r>
        <w:rPr>
          <w:spacing w:val="1"/>
        </w:rPr>
        <w:t> </w:t>
      </w:r>
      <w:r>
        <w:rPr/>
        <w:t>EU</w:t>
      </w:r>
      <w:r>
        <w:rPr>
          <w:spacing w:val="1"/>
        </w:rPr>
        <w:t> </w:t>
      </w:r>
      <w:r>
        <w:rPr/>
        <w:t>and</w:t>
      </w:r>
      <w:r>
        <w:rPr>
          <w:spacing w:val="1"/>
        </w:rPr>
        <w:t> </w:t>
      </w:r>
      <w:r>
        <w:rPr/>
        <w:t>these</w:t>
      </w:r>
      <w:r>
        <w:rPr>
          <w:spacing w:val="1"/>
        </w:rPr>
        <w:t> </w:t>
      </w:r>
      <w:r>
        <w:rPr>
          <w:spacing w:val="-2"/>
        </w:rPr>
        <w:t>include</w:t>
      </w:r>
    </w:p>
    <w:p>
      <w:pPr>
        <w:pStyle w:val="BodyText"/>
        <w:spacing w:line="235" w:lineRule="auto" w:before="119"/>
        <w:ind w:left="165" w:right="167"/>
        <w:jc w:val="both"/>
      </w:pPr>
      <w:r>
        <w:rPr/>
        <w:t>directly effective rights contained in the European Treaties themselves. </w:t>
      </w:r>
      <w:r>
        <w:rPr>
          <w:color w:val="005DA1"/>
          <w:u w:val="single" w:color="005DA1"/>
          <w:vertAlign w:val="superscript"/>
        </w:rPr>
        <w:t>114</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24"/>
          <w:vertAlign w:val="baseline"/>
        </w:rPr>
        <w:t> </w:t>
      </w:r>
      <w:r>
        <w:rPr>
          <w:vertAlign w:val="baseline"/>
        </w:rPr>
        <w:t>Secondly, on </w:t>
      </w:r>
      <w:r>
        <w:rPr>
          <w:vertAlign w:val="baseline"/>
        </w:rPr>
        <w:t>leaving the EU, the 2017 Bill would end the general supremacy of EU law, but this would take effect only </w:t>
      </w:r>
      <w:bookmarkStart w:name="_bookmark188" w:id="190"/>
      <w:bookmarkEnd w:id="190"/>
      <w:r>
        <w:rPr>
          <w:vertAlign w:val="baseline"/>
        </w:rPr>
        <w:t>prospectively</w:t>
      </w:r>
      <w:r>
        <w:rPr>
          <w:spacing w:val="39"/>
          <w:vertAlign w:val="baseline"/>
        </w:rPr>
        <w:t> </w:t>
      </w:r>
      <w:r>
        <w:rPr>
          <w:vertAlign w:val="baseline"/>
        </w:rPr>
        <w:t>in</w:t>
      </w:r>
      <w:r>
        <w:rPr>
          <w:spacing w:val="39"/>
          <w:vertAlign w:val="baseline"/>
        </w:rPr>
        <w:t> </w:t>
      </w:r>
      <w:r>
        <w:rPr>
          <w:vertAlign w:val="baseline"/>
        </w:rPr>
        <w:t>the</w:t>
      </w:r>
      <w:r>
        <w:rPr>
          <w:spacing w:val="39"/>
          <w:vertAlign w:val="baseline"/>
        </w:rPr>
        <w:t> </w:t>
      </w:r>
      <w:r>
        <w:rPr>
          <w:vertAlign w:val="baseline"/>
        </w:rPr>
        <w:t>sense</w:t>
      </w:r>
      <w:r>
        <w:rPr>
          <w:spacing w:val="39"/>
          <w:vertAlign w:val="baseline"/>
        </w:rPr>
        <w:t> </w:t>
      </w:r>
      <w:r>
        <w:rPr>
          <w:vertAlign w:val="baseline"/>
        </w:rPr>
        <w:t>that</w:t>
      </w:r>
      <w:r>
        <w:rPr>
          <w:spacing w:val="39"/>
          <w:vertAlign w:val="baseline"/>
        </w:rPr>
        <w:t> </w:t>
      </w:r>
      <w:r>
        <w:rPr>
          <w:vertAlign w:val="baseline"/>
        </w:rPr>
        <w:t>any</w:t>
      </w:r>
      <w:r>
        <w:rPr>
          <w:spacing w:val="39"/>
          <w:vertAlign w:val="baseline"/>
        </w:rPr>
        <w:t> </w:t>
      </w:r>
      <w:r>
        <w:rPr>
          <w:vertAlign w:val="baseline"/>
        </w:rPr>
        <w:t>conflict</w:t>
      </w:r>
      <w:r>
        <w:rPr>
          <w:spacing w:val="39"/>
          <w:vertAlign w:val="baseline"/>
        </w:rPr>
        <w:t> </w:t>
      </w:r>
      <w:r>
        <w:rPr>
          <w:vertAlign w:val="baseline"/>
        </w:rPr>
        <w:t>between</w:t>
      </w:r>
      <w:r>
        <w:rPr>
          <w:spacing w:val="39"/>
          <w:vertAlign w:val="baseline"/>
        </w:rPr>
        <w:t> </w:t>
      </w:r>
      <w:r>
        <w:rPr>
          <w:vertAlign w:val="baseline"/>
        </w:rPr>
        <w:t>two</w:t>
      </w:r>
      <w:r>
        <w:rPr>
          <w:spacing w:val="39"/>
          <w:vertAlign w:val="baseline"/>
        </w:rPr>
        <w:t> </w:t>
      </w:r>
      <w:r>
        <w:rPr>
          <w:vertAlign w:val="baseline"/>
        </w:rPr>
        <w:t>pre-exit</w:t>
      </w:r>
      <w:r>
        <w:rPr>
          <w:spacing w:val="39"/>
          <w:vertAlign w:val="baseline"/>
        </w:rPr>
        <w:t> </w:t>
      </w:r>
      <w:r>
        <w:rPr>
          <w:vertAlign w:val="baseline"/>
        </w:rPr>
        <w:t>laws</w:t>
      </w:r>
      <w:r>
        <w:rPr>
          <w:spacing w:val="39"/>
          <w:vertAlign w:val="baseline"/>
        </w:rPr>
        <w:t> </w:t>
      </w:r>
      <w:r>
        <w:rPr>
          <w:vertAlign w:val="baseline"/>
        </w:rPr>
        <w:t>(one</w:t>
      </w:r>
      <w:r>
        <w:rPr>
          <w:spacing w:val="39"/>
          <w:vertAlign w:val="baseline"/>
        </w:rPr>
        <w:t> </w:t>
      </w:r>
      <w:r>
        <w:rPr>
          <w:vertAlign w:val="baseline"/>
        </w:rPr>
        <w:t>EU-derived,</w:t>
      </w:r>
      <w:r>
        <w:rPr>
          <w:spacing w:val="39"/>
          <w:vertAlign w:val="baseline"/>
        </w:rPr>
        <w:t> </w:t>
      </w:r>
      <w:r>
        <w:rPr>
          <w:vertAlign w:val="baseline"/>
        </w:rPr>
        <w:t>one</w:t>
      </w:r>
      <w:r>
        <w:rPr>
          <w:spacing w:val="39"/>
          <w:vertAlign w:val="baseline"/>
        </w:rPr>
        <w:t> </w:t>
      </w:r>
      <w:r>
        <w:rPr>
          <w:spacing w:val="-4"/>
          <w:vertAlign w:val="baseline"/>
        </w:rPr>
        <w:t>not)</w:t>
      </w:r>
    </w:p>
    <w:p>
      <w:pPr>
        <w:pStyle w:val="BodyText"/>
        <w:spacing w:line="235" w:lineRule="auto" w:before="118"/>
        <w:ind w:left="165" w:right="167"/>
        <w:jc w:val="both"/>
      </w:pPr>
      <w:r>
        <w:rPr/>
        <w:t>would be resolved in favour of the EU-derived law. </w:t>
      </w:r>
      <w:r>
        <w:rPr>
          <w:color w:val="005DA1"/>
          <w:u w:val="single" w:color="005DA1"/>
          <w:vertAlign w:val="superscript"/>
        </w:rPr>
        <w:t>115</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12"/>
          <w:vertAlign w:val="baseline"/>
        </w:rPr>
        <w:t> </w:t>
      </w:r>
      <w:r>
        <w:rPr>
          <w:vertAlign w:val="baseline"/>
        </w:rPr>
        <w:t>Thirdly, provision is made for the future authoritative interpretation of the UK legislation whose source is EU legislation before and after </w:t>
      </w:r>
      <w:r>
        <w:rPr>
          <w:vertAlign w:val="baseline"/>
        </w:rPr>
        <w:t>the</w:t>
      </w:r>
      <w:r>
        <w:rPr>
          <w:spacing w:val="40"/>
          <w:vertAlign w:val="baseline"/>
        </w:rPr>
        <w:t> </w:t>
      </w:r>
      <w:r>
        <w:rPr>
          <w:vertAlign w:val="baseline"/>
        </w:rPr>
        <w:t>UK has left the EU (“exit day”). For this purpose a distinction is drawn between the case-law of, or </w:t>
      </w:r>
      <w:bookmarkStart w:name="_bookmark189" w:id="191"/>
      <w:bookmarkEnd w:id="191"/>
      <w:r>
        <w:rPr>
          <w:vertAlign w:val="baseline"/>
        </w:rPr>
        <w:t>principles</w:t>
      </w:r>
      <w:r>
        <w:rPr>
          <w:spacing w:val="15"/>
          <w:vertAlign w:val="baseline"/>
        </w:rPr>
        <w:t> </w:t>
      </w:r>
      <w:r>
        <w:rPr>
          <w:vertAlign w:val="baseline"/>
        </w:rPr>
        <w:t>laid</w:t>
      </w:r>
      <w:r>
        <w:rPr>
          <w:spacing w:val="15"/>
          <w:vertAlign w:val="baseline"/>
        </w:rPr>
        <w:t> </w:t>
      </w:r>
      <w:r>
        <w:rPr>
          <w:vertAlign w:val="baseline"/>
        </w:rPr>
        <w:t>down</w:t>
      </w:r>
      <w:r>
        <w:rPr>
          <w:spacing w:val="15"/>
          <w:vertAlign w:val="baseline"/>
        </w:rPr>
        <w:t> </w:t>
      </w:r>
      <w:r>
        <w:rPr>
          <w:vertAlign w:val="baseline"/>
        </w:rPr>
        <w:t>by,</w:t>
      </w:r>
      <w:r>
        <w:rPr>
          <w:spacing w:val="15"/>
          <w:vertAlign w:val="baseline"/>
        </w:rPr>
        <w:t> </w:t>
      </w:r>
      <w:r>
        <w:rPr>
          <w:vertAlign w:val="baseline"/>
        </w:rPr>
        <w:t>the</w:t>
      </w:r>
      <w:r>
        <w:rPr>
          <w:spacing w:val="15"/>
          <w:vertAlign w:val="baseline"/>
        </w:rPr>
        <w:t> </w:t>
      </w:r>
      <w:r>
        <w:rPr>
          <w:vertAlign w:val="baseline"/>
        </w:rPr>
        <w:t>Court</w:t>
      </w:r>
      <w:r>
        <w:rPr>
          <w:spacing w:val="15"/>
          <w:vertAlign w:val="baseline"/>
        </w:rPr>
        <w:t> </w:t>
      </w:r>
      <w:r>
        <w:rPr>
          <w:vertAlign w:val="baseline"/>
        </w:rPr>
        <w:t>of</w:t>
      </w:r>
      <w:r>
        <w:rPr>
          <w:spacing w:val="15"/>
          <w:vertAlign w:val="baseline"/>
        </w:rPr>
        <w:t> </w:t>
      </w:r>
      <w:r>
        <w:rPr>
          <w:vertAlign w:val="baseline"/>
        </w:rPr>
        <w:t>Justice</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EU</w:t>
      </w:r>
      <w:r>
        <w:rPr>
          <w:spacing w:val="15"/>
          <w:vertAlign w:val="baseline"/>
        </w:rPr>
        <w:t> </w:t>
      </w:r>
      <w:r>
        <w:rPr>
          <w:rFonts w:ascii="Arial" w:hAnsi="Arial"/>
          <w:i/>
          <w:vertAlign w:val="baseline"/>
        </w:rPr>
        <w:t>before</w:t>
      </w:r>
      <w:r>
        <w:rPr>
          <w:rFonts w:ascii="Arial" w:hAnsi="Arial"/>
          <w:i/>
          <w:spacing w:val="15"/>
          <w:vertAlign w:val="baseline"/>
        </w:rPr>
        <w:t> </w:t>
      </w:r>
      <w:r>
        <w:rPr>
          <w:vertAlign w:val="baseline"/>
        </w:rPr>
        <w:t>and</w:t>
      </w:r>
      <w:r>
        <w:rPr>
          <w:spacing w:val="15"/>
          <w:vertAlign w:val="baseline"/>
        </w:rPr>
        <w:t> </w:t>
      </w:r>
      <w:r>
        <w:rPr>
          <w:rFonts w:ascii="Arial" w:hAnsi="Arial"/>
          <w:i/>
          <w:vertAlign w:val="baseline"/>
        </w:rPr>
        <w:t>after</w:t>
      </w:r>
      <w:r>
        <w:rPr>
          <w:rFonts w:ascii="Arial" w:hAnsi="Arial"/>
          <w:i/>
          <w:spacing w:val="15"/>
          <w:vertAlign w:val="baseline"/>
        </w:rPr>
        <w:t> </w:t>
      </w:r>
      <w:r>
        <w:rPr>
          <w:vertAlign w:val="baseline"/>
        </w:rPr>
        <w:t>the</w:t>
      </w:r>
      <w:r>
        <w:rPr>
          <w:spacing w:val="15"/>
          <w:vertAlign w:val="baseline"/>
        </w:rPr>
        <w:t> </w:t>
      </w:r>
      <w:r>
        <w:rPr>
          <w:vertAlign w:val="baseline"/>
        </w:rPr>
        <w:t>UK’s</w:t>
      </w:r>
      <w:r>
        <w:rPr>
          <w:spacing w:val="15"/>
          <w:vertAlign w:val="baseline"/>
        </w:rPr>
        <w:t> </w:t>
      </w:r>
      <w:r>
        <w:rPr>
          <w:vertAlign w:val="baseline"/>
        </w:rPr>
        <w:t>leaving</w:t>
      </w:r>
      <w:r>
        <w:rPr>
          <w:spacing w:val="15"/>
          <w:vertAlign w:val="baseline"/>
        </w:rPr>
        <w:t> </w:t>
      </w:r>
      <w:r>
        <w:rPr>
          <w:vertAlign w:val="baseline"/>
        </w:rPr>
        <w:t>the</w:t>
      </w:r>
      <w:r>
        <w:rPr>
          <w:spacing w:val="15"/>
          <w:vertAlign w:val="baseline"/>
        </w:rPr>
        <w:t> </w:t>
      </w:r>
      <w:r>
        <w:rPr>
          <w:vertAlign w:val="baseline"/>
        </w:rPr>
        <w:t>EU.</w:t>
      </w:r>
      <w:r>
        <w:rPr>
          <w:spacing w:val="15"/>
          <w:vertAlign w:val="baseline"/>
        </w:rPr>
        <w:t> </w:t>
      </w:r>
      <w:r>
        <w:rPr>
          <w:spacing w:val="-5"/>
          <w:vertAlign w:val="baseline"/>
        </w:rPr>
        <w:t>As</w:t>
      </w:r>
    </w:p>
    <w:p>
      <w:pPr>
        <w:pStyle w:val="BodyText"/>
        <w:spacing w:line="360" w:lineRule="auto" w:before="115"/>
        <w:ind w:left="165" w:right="167"/>
        <w:jc w:val="both"/>
      </w:pPr>
      <w:bookmarkStart w:name="_bookmark190" w:id="192"/>
      <w:bookmarkEnd w:id="192"/>
      <w:r>
        <w:rPr/>
      </w:r>
      <w:r>
        <w:rPr/>
        <w:t>regards the former, “retained EU law” </w:t>
      </w:r>
      <w:r>
        <w:rPr>
          <w:color w:val="005DA1"/>
          <w:u w:val="single" w:color="005DA1"/>
          <w:vertAlign w:val="superscript"/>
        </w:rPr>
        <w:t>116</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32"/>
          <w:vertAlign w:val="baseline"/>
        </w:rPr>
        <w:t> </w:t>
      </w:r>
      <w:r>
        <w:rPr>
          <w:vertAlign w:val="baseline"/>
        </w:rPr>
        <w:t>is in principle to be interpreted “in accordance with </w:t>
      </w:r>
      <w:r>
        <w:rPr>
          <w:vertAlign w:val="baseline"/>
        </w:rPr>
        <w:t>any </w:t>
      </w:r>
      <w:bookmarkStart w:name="_bookmark191" w:id="193"/>
      <w:bookmarkEnd w:id="193"/>
      <w:r>
        <w:rPr>
          <w:vertAlign w:val="baseline"/>
        </w:rPr>
        <w:t>retained</w:t>
      </w:r>
      <w:r>
        <w:rPr>
          <w:vertAlign w:val="baseline"/>
        </w:rPr>
        <w:t> case law and any retained general principles of EU law, </w:t>
      </w:r>
      <w:r>
        <w:rPr>
          <w:color w:val="005DA1"/>
          <w:u w:val="single" w:color="005DA1"/>
          <w:vertAlign w:val="superscript"/>
        </w:rPr>
        <w:t>117</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vertAlign w:val="baseline"/>
        </w:rPr>
        <w:t> </w:t>
      </w:r>
      <w:r>
        <w:rPr>
          <w:vertAlign w:val="baseline"/>
        </w:rPr>
        <w:t>and, having regard (among </w:t>
      </w:r>
      <w:bookmarkStart w:name="_bookmark192" w:id="194"/>
      <w:bookmarkEnd w:id="194"/>
      <w:r>
        <w:rPr>
          <w:vertAlign w:val="baseline"/>
        </w:rPr>
        <w:t>other</w:t>
      </w:r>
      <w:r>
        <w:rPr>
          <w:spacing w:val="7"/>
          <w:vertAlign w:val="baseline"/>
        </w:rPr>
        <w:t> </w:t>
      </w:r>
      <w:r>
        <w:rPr>
          <w:vertAlign w:val="baseline"/>
        </w:rPr>
        <w:t>things)</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limits,</w:t>
      </w:r>
      <w:r>
        <w:rPr>
          <w:spacing w:val="8"/>
          <w:vertAlign w:val="baseline"/>
        </w:rPr>
        <w:t> </w:t>
      </w:r>
      <w:r>
        <w:rPr>
          <w:vertAlign w:val="baseline"/>
        </w:rPr>
        <w:t>immediately</w:t>
      </w:r>
      <w:r>
        <w:rPr>
          <w:spacing w:val="8"/>
          <w:vertAlign w:val="baseline"/>
        </w:rPr>
        <w:t> </w:t>
      </w:r>
      <w:r>
        <w:rPr>
          <w:vertAlign w:val="baseline"/>
        </w:rPr>
        <w:t>before</w:t>
      </w:r>
      <w:r>
        <w:rPr>
          <w:spacing w:val="8"/>
          <w:vertAlign w:val="baseline"/>
        </w:rPr>
        <w:t> </w:t>
      </w:r>
      <w:r>
        <w:rPr>
          <w:vertAlign w:val="baseline"/>
        </w:rPr>
        <w:t>exit</w:t>
      </w:r>
      <w:r>
        <w:rPr>
          <w:spacing w:val="8"/>
          <w:vertAlign w:val="baseline"/>
        </w:rPr>
        <w:t> </w:t>
      </w:r>
      <w:r>
        <w:rPr>
          <w:vertAlign w:val="baseline"/>
        </w:rPr>
        <w:t>day,</w:t>
      </w:r>
      <w:r>
        <w:rPr>
          <w:spacing w:val="8"/>
          <w:vertAlign w:val="baseline"/>
        </w:rPr>
        <w:t> </w:t>
      </w:r>
      <w:r>
        <w:rPr>
          <w:vertAlign w:val="baseline"/>
        </w:rPr>
        <w:t>of</w:t>
      </w:r>
      <w:r>
        <w:rPr>
          <w:spacing w:val="8"/>
          <w:vertAlign w:val="baseline"/>
        </w:rPr>
        <w:t> </w:t>
      </w:r>
      <w:r>
        <w:rPr>
          <w:vertAlign w:val="baseline"/>
        </w:rPr>
        <w:t>EU</w:t>
      </w:r>
      <w:r>
        <w:rPr>
          <w:spacing w:val="8"/>
          <w:vertAlign w:val="baseline"/>
        </w:rPr>
        <w:t> </w:t>
      </w:r>
      <w:r>
        <w:rPr>
          <w:vertAlign w:val="baseline"/>
        </w:rPr>
        <w:t>competences”.</w:t>
      </w:r>
      <w:r>
        <w:rPr>
          <w:spacing w:val="7"/>
          <w:vertAlign w:val="baseline"/>
        </w:rPr>
        <w:t> </w:t>
      </w:r>
      <w:r>
        <w:rPr>
          <w:color w:val="005DA1"/>
          <w:u w:val="single" w:color="005DA1"/>
          <w:vertAlign w:val="superscript"/>
        </w:rPr>
        <w:t>118</w:t>
      </w:r>
      <w:r>
        <w:rPr>
          <w:color w:val="005DA1"/>
          <w:spacing w:val="40"/>
          <w:vertAlign w:val="baseline"/>
        </w:rPr>
        <w:t>  </w:t>
      </w:r>
      <w:r>
        <w:rPr>
          <w:color w:val="005DA1"/>
          <w:spacing w:val="27"/>
          <w:position w:val="-2"/>
          <w:vertAlign w:val="baseline"/>
        </w:rPr>
        <w:drawing>
          <wp:inline distT="0" distB="0" distL="0" distR="0">
            <wp:extent cx="107988" cy="10798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13"/>
          <w:vertAlign w:val="baseline"/>
        </w:rPr>
        <w:t> </w:t>
      </w:r>
      <w:r>
        <w:rPr>
          <w:vertAlign w:val="baseline"/>
        </w:rPr>
        <w:t>However,</w:t>
      </w:r>
      <w:r>
        <w:rPr>
          <w:spacing w:val="8"/>
          <w:vertAlign w:val="baseline"/>
        </w:rPr>
        <w:t> </w:t>
      </w:r>
      <w:r>
        <w:rPr>
          <w:vertAlign w:val="baseline"/>
        </w:rPr>
        <w:t>the</w:t>
      </w:r>
      <w:r>
        <w:rPr>
          <w:spacing w:val="8"/>
          <w:vertAlign w:val="baseline"/>
        </w:rPr>
        <w:t> </w:t>
      </w:r>
      <w:r>
        <w:rPr>
          <w:spacing w:val="-4"/>
          <w:vertAlign w:val="baseline"/>
        </w:rPr>
        <w:t>Bill</w:t>
      </w:r>
    </w:p>
    <w:p>
      <w:pPr>
        <w:pStyle w:val="BodyText"/>
        <w:spacing w:line="235" w:lineRule="auto" w:before="4"/>
        <w:ind w:left="165" w:right="167"/>
        <w:jc w:val="both"/>
      </w:pPr>
      <w:r>
        <w:rPr/>
        <w:t>then provides that “the Supreme Court is not bound by any retained EU case law” </w:t>
      </w:r>
      <w:r>
        <w:rPr>
          <w:color w:val="005DA1"/>
          <w:u w:val="single" w:color="005DA1"/>
          <w:vertAlign w:val="superscript"/>
        </w:rPr>
        <w:t>119</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and then </w:t>
      </w:r>
      <w:bookmarkStart w:name="_bookmark193" w:id="195"/>
      <w:bookmarkEnd w:id="195"/>
      <w:r>
        <w:rPr>
          <w:vertAlign w:val="baseline"/>
        </w:rPr>
        <w:t>explains</w:t>
      </w:r>
      <w:r>
        <w:rPr>
          <w:spacing w:val="15"/>
          <w:vertAlign w:val="baseline"/>
        </w:rPr>
        <w:t> </w:t>
      </w:r>
      <w:r>
        <w:rPr>
          <w:vertAlign w:val="baseline"/>
        </w:rPr>
        <w:t>that</w:t>
      </w:r>
      <w:r>
        <w:rPr>
          <w:spacing w:val="15"/>
          <w:vertAlign w:val="baseline"/>
        </w:rPr>
        <w:t> </w:t>
      </w:r>
      <w:r>
        <w:rPr>
          <w:vertAlign w:val="baseline"/>
        </w:rPr>
        <w:t>“[i]n</w:t>
      </w:r>
      <w:r>
        <w:rPr>
          <w:spacing w:val="15"/>
          <w:vertAlign w:val="baseline"/>
        </w:rPr>
        <w:t> </w:t>
      </w:r>
      <w:r>
        <w:rPr>
          <w:vertAlign w:val="baseline"/>
        </w:rPr>
        <w:t>deciding</w:t>
      </w:r>
      <w:r>
        <w:rPr>
          <w:spacing w:val="15"/>
          <w:vertAlign w:val="baseline"/>
        </w:rPr>
        <w:t> </w:t>
      </w:r>
      <w:r>
        <w:rPr>
          <w:vertAlign w:val="baseline"/>
        </w:rPr>
        <w:t>whether</w:t>
      </w:r>
      <w:r>
        <w:rPr>
          <w:spacing w:val="15"/>
          <w:vertAlign w:val="baseline"/>
        </w:rPr>
        <w:t> </w:t>
      </w:r>
      <w:r>
        <w:rPr>
          <w:vertAlign w:val="baseline"/>
        </w:rPr>
        <w:t>to</w:t>
      </w:r>
      <w:r>
        <w:rPr>
          <w:spacing w:val="15"/>
          <w:vertAlign w:val="baseline"/>
        </w:rPr>
        <w:t> </w:t>
      </w:r>
      <w:r>
        <w:rPr>
          <w:vertAlign w:val="baseline"/>
        </w:rPr>
        <w:t>depart</w:t>
      </w:r>
      <w:r>
        <w:rPr>
          <w:spacing w:val="15"/>
          <w:vertAlign w:val="baseline"/>
        </w:rPr>
        <w:t> </w:t>
      </w:r>
      <w:r>
        <w:rPr>
          <w:vertAlign w:val="baseline"/>
        </w:rPr>
        <w:t>from</w:t>
      </w:r>
      <w:r>
        <w:rPr>
          <w:spacing w:val="15"/>
          <w:vertAlign w:val="baseline"/>
        </w:rPr>
        <w:t> </w:t>
      </w:r>
      <w:r>
        <w:rPr>
          <w:vertAlign w:val="baseline"/>
        </w:rPr>
        <w:t>any</w:t>
      </w:r>
      <w:r>
        <w:rPr>
          <w:spacing w:val="15"/>
          <w:vertAlign w:val="baseline"/>
        </w:rPr>
        <w:t> </w:t>
      </w:r>
      <w:r>
        <w:rPr>
          <w:vertAlign w:val="baseline"/>
        </w:rPr>
        <w:t>retained</w:t>
      </w:r>
      <w:r>
        <w:rPr>
          <w:spacing w:val="15"/>
          <w:vertAlign w:val="baseline"/>
        </w:rPr>
        <w:t> </w:t>
      </w:r>
      <w:r>
        <w:rPr>
          <w:vertAlign w:val="baseline"/>
        </w:rPr>
        <w:t>EU</w:t>
      </w:r>
      <w:r>
        <w:rPr>
          <w:spacing w:val="15"/>
          <w:vertAlign w:val="baseline"/>
        </w:rPr>
        <w:t> </w:t>
      </w:r>
      <w:r>
        <w:rPr>
          <w:vertAlign w:val="baseline"/>
        </w:rPr>
        <w:t>case</w:t>
      </w:r>
      <w:r>
        <w:rPr>
          <w:spacing w:val="15"/>
          <w:vertAlign w:val="baseline"/>
        </w:rPr>
        <w:t> </w:t>
      </w:r>
      <w:r>
        <w:rPr>
          <w:vertAlign w:val="baseline"/>
        </w:rPr>
        <w:t>law,</w:t>
      </w:r>
      <w:r>
        <w:rPr>
          <w:spacing w:val="15"/>
          <w:vertAlign w:val="baseline"/>
        </w:rPr>
        <w:t> </w:t>
      </w:r>
      <w:r>
        <w:rPr>
          <w:vertAlign w:val="baseline"/>
        </w:rPr>
        <w:t>the</w:t>
      </w:r>
      <w:r>
        <w:rPr>
          <w:spacing w:val="15"/>
          <w:vertAlign w:val="baseline"/>
        </w:rPr>
        <w:t> </w:t>
      </w:r>
      <w:r>
        <w:rPr>
          <w:vertAlign w:val="baseline"/>
        </w:rPr>
        <w:t>Supreme</w:t>
      </w:r>
      <w:r>
        <w:rPr>
          <w:spacing w:val="15"/>
          <w:vertAlign w:val="baseline"/>
        </w:rPr>
        <w:t> </w:t>
      </w:r>
      <w:r>
        <w:rPr>
          <w:vertAlign w:val="baseline"/>
        </w:rPr>
        <w:t>Court</w:t>
      </w:r>
      <w:r>
        <w:rPr>
          <w:spacing w:val="15"/>
          <w:vertAlign w:val="baseline"/>
        </w:rPr>
        <w:t> </w:t>
      </w:r>
      <w:r>
        <w:rPr>
          <w:spacing w:val="-10"/>
          <w:vertAlign w:val="baseline"/>
        </w:rPr>
        <w:t>…</w:t>
      </w:r>
    </w:p>
    <w:p>
      <w:pPr>
        <w:pStyle w:val="BodyText"/>
        <w:spacing w:line="235" w:lineRule="auto" w:before="119"/>
        <w:ind w:left="165" w:right="167"/>
      </w:pPr>
      <w:r>
        <w:rPr/>
        <w:t>must</w:t>
      </w:r>
      <w:r>
        <w:rPr>
          <w:spacing w:val="12"/>
        </w:rPr>
        <w:t> </w:t>
      </w:r>
      <w:r>
        <w:rPr/>
        <w:t>apply</w:t>
      </w:r>
      <w:r>
        <w:rPr>
          <w:spacing w:val="12"/>
        </w:rPr>
        <w:t> </w:t>
      </w:r>
      <w:r>
        <w:rPr/>
        <w:t>the</w:t>
      </w:r>
      <w:r>
        <w:rPr>
          <w:spacing w:val="12"/>
        </w:rPr>
        <w:t> </w:t>
      </w:r>
      <w:r>
        <w:rPr/>
        <w:t>same</w:t>
      </w:r>
      <w:r>
        <w:rPr>
          <w:spacing w:val="12"/>
        </w:rPr>
        <w:t> </w:t>
      </w:r>
      <w:r>
        <w:rPr/>
        <w:t>test</w:t>
      </w:r>
      <w:r>
        <w:rPr>
          <w:spacing w:val="12"/>
        </w:rPr>
        <w:t> </w:t>
      </w:r>
      <w:r>
        <w:rPr/>
        <w:t>as</w:t>
      </w:r>
      <w:r>
        <w:rPr>
          <w:spacing w:val="12"/>
        </w:rPr>
        <w:t> </w:t>
      </w:r>
      <w:r>
        <w:rPr/>
        <w:t>it</w:t>
      </w:r>
      <w:r>
        <w:rPr>
          <w:spacing w:val="12"/>
        </w:rPr>
        <w:t> </w:t>
      </w:r>
      <w:r>
        <w:rPr/>
        <w:t>would</w:t>
      </w:r>
      <w:r>
        <w:rPr>
          <w:spacing w:val="12"/>
        </w:rPr>
        <w:t> </w:t>
      </w:r>
      <w:r>
        <w:rPr/>
        <w:t>apply</w:t>
      </w:r>
      <w:r>
        <w:rPr>
          <w:spacing w:val="12"/>
        </w:rPr>
        <w:t> </w:t>
      </w:r>
      <w:r>
        <w:rPr/>
        <w:t>in</w:t>
      </w:r>
      <w:r>
        <w:rPr>
          <w:spacing w:val="12"/>
        </w:rPr>
        <w:t> </w:t>
      </w:r>
      <w:r>
        <w:rPr/>
        <w:t>deciding</w:t>
      </w:r>
      <w:r>
        <w:rPr>
          <w:spacing w:val="12"/>
        </w:rPr>
        <w:t> </w:t>
      </w:r>
      <w:r>
        <w:rPr/>
        <w:t>whether</w:t>
      </w:r>
      <w:r>
        <w:rPr>
          <w:spacing w:val="12"/>
        </w:rPr>
        <w:t> </w:t>
      </w:r>
      <w:r>
        <w:rPr/>
        <w:t>to</w:t>
      </w:r>
      <w:r>
        <w:rPr>
          <w:spacing w:val="12"/>
        </w:rPr>
        <w:t> </w:t>
      </w:r>
      <w:r>
        <w:rPr/>
        <w:t>depart</w:t>
      </w:r>
      <w:r>
        <w:rPr>
          <w:spacing w:val="12"/>
        </w:rPr>
        <w:t> </w:t>
      </w:r>
      <w:r>
        <w:rPr/>
        <w:t>from</w:t>
      </w:r>
      <w:r>
        <w:rPr>
          <w:spacing w:val="12"/>
        </w:rPr>
        <w:t> </w:t>
      </w:r>
      <w:r>
        <w:rPr/>
        <w:t>its</w:t>
      </w:r>
      <w:r>
        <w:rPr>
          <w:spacing w:val="12"/>
        </w:rPr>
        <w:t> </w:t>
      </w:r>
      <w:r>
        <w:rPr/>
        <w:t>own</w:t>
      </w:r>
      <w:r>
        <w:rPr>
          <w:spacing w:val="12"/>
        </w:rPr>
        <w:t> </w:t>
      </w:r>
      <w:r>
        <w:rPr/>
        <w:t>case</w:t>
      </w:r>
      <w:r>
        <w:rPr>
          <w:spacing w:val="12"/>
        </w:rPr>
        <w:t> </w:t>
      </w:r>
      <w:r>
        <w:rPr/>
        <w:t>law”. </w:t>
      </w:r>
      <w:r>
        <w:rPr>
          <w:color w:val="005DA1"/>
          <w:u w:val="single" w:color="005DA1"/>
          <w:vertAlign w:val="superscript"/>
        </w:rPr>
        <w:t>120</w:t>
      </w:r>
      <w:r>
        <w:rPr>
          <w:color w:val="005DA1"/>
          <w:vertAlign w:val="baseline"/>
        </w:rPr>
        <w:t> </w:t>
      </w:r>
      <w:r>
        <w:rPr>
          <w:color w:val="005DA1"/>
          <w:position w:val="-2"/>
          <w:vertAlign w:val="baseline"/>
        </w:rPr>
        <w:drawing>
          <wp:inline distT="0" distB="0" distL="0" distR="0">
            <wp:extent cx="107988" cy="107988"/>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21"/>
          <w:vertAlign w:val="baseline"/>
        </w:rPr>
        <w:t> </w:t>
      </w:r>
      <w:r>
        <w:rPr>
          <w:vertAlign w:val="baseline"/>
        </w:rPr>
        <w:t>As the Government’s second white paper earlier foresaw, this would therefore treat “retained EU</w:t>
      </w:r>
      <w:r>
        <w:rPr>
          <w:spacing w:val="40"/>
          <w:vertAlign w:val="baseline"/>
        </w:rPr>
        <w:t> </w:t>
      </w:r>
      <w:bookmarkStart w:name="_bookmark194" w:id="196"/>
      <w:bookmarkEnd w:id="196"/>
      <w:r>
        <w:rPr>
          <w:vertAlign w:val="baseline"/>
        </w:rPr>
        <w:t>case</w:t>
      </w:r>
      <w:r>
        <w:rPr>
          <w:spacing w:val="41"/>
          <w:vertAlign w:val="baseline"/>
        </w:rPr>
        <w:t> </w:t>
      </w:r>
      <w:r>
        <w:rPr>
          <w:vertAlign w:val="baseline"/>
        </w:rPr>
        <w:t>law”</w:t>
      </w:r>
      <w:r>
        <w:rPr>
          <w:spacing w:val="41"/>
          <w:vertAlign w:val="baseline"/>
        </w:rPr>
        <w:t> </w:t>
      </w:r>
      <w:r>
        <w:rPr>
          <w:vertAlign w:val="baseline"/>
        </w:rPr>
        <w:t>as</w:t>
      </w:r>
      <w:r>
        <w:rPr>
          <w:spacing w:val="41"/>
          <w:vertAlign w:val="baseline"/>
        </w:rPr>
        <w:t> </w:t>
      </w:r>
      <w:r>
        <w:rPr>
          <w:vertAlign w:val="baseline"/>
        </w:rPr>
        <w:t>“normally</w:t>
      </w:r>
      <w:r>
        <w:rPr>
          <w:spacing w:val="41"/>
          <w:vertAlign w:val="baseline"/>
        </w:rPr>
        <w:t> </w:t>
      </w:r>
      <w:r>
        <w:rPr>
          <w:vertAlign w:val="baseline"/>
        </w:rPr>
        <w:t>binding”</w:t>
      </w:r>
      <w:r>
        <w:rPr>
          <w:spacing w:val="41"/>
          <w:vertAlign w:val="baseline"/>
        </w:rPr>
        <w:t> </w:t>
      </w:r>
      <w:r>
        <w:rPr>
          <w:vertAlign w:val="baseline"/>
        </w:rPr>
        <w:t>but</w:t>
      </w:r>
      <w:r>
        <w:rPr>
          <w:spacing w:val="41"/>
          <w:vertAlign w:val="baseline"/>
        </w:rPr>
        <w:t> </w:t>
      </w:r>
      <w:r>
        <w:rPr>
          <w:vertAlign w:val="baseline"/>
        </w:rPr>
        <w:t>it</w:t>
      </w:r>
      <w:r>
        <w:rPr>
          <w:spacing w:val="41"/>
          <w:vertAlign w:val="baseline"/>
        </w:rPr>
        <w:t> </w:t>
      </w:r>
      <w:r>
        <w:rPr>
          <w:vertAlign w:val="baseline"/>
        </w:rPr>
        <w:t>would</w:t>
      </w:r>
      <w:r>
        <w:rPr>
          <w:spacing w:val="41"/>
          <w:vertAlign w:val="baseline"/>
        </w:rPr>
        <w:t> </w:t>
      </w:r>
      <w:r>
        <w:rPr>
          <w:vertAlign w:val="baseline"/>
        </w:rPr>
        <w:t>allow</w:t>
      </w:r>
      <w:r>
        <w:rPr>
          <w:spacing w:val="41"/>
          <w:vertAlign w:val="baseline"/>
        </w:rPr>
        <w:t> </w:t>
      </w:r>
      <w:r>
        <w:rPr>
          <w:vertAlign w:val="baseline"/>
        </w:rPr>
        <w:t>the</w:t>
      </w:r>
      <w:r>
        <w:rPr>
          <w:spacing w:val="41"/>
          <w:vertAlign w:val="baseline"/>
        </w:rPr>
        <w:t> </w:t>
      </w:r>
      <w:r>
        <w:rPr>
          <w:vertAlign w:val="baseline"/>
        </w:rPr>
        <w:t>Supreme</w:t>
      </w:r>
      <w:r>
        <w:rPr>
          <w:spacing w:val="41"/>
          <w:vertAlign w:val="baseline"/>
        </w:rPr>
        <w:t> </w:t>
      </w:r>
      <w:r>
        <w:rPr>
          <w:vertAlign w:val="baseline"/>
        </w:rPr>
        <w:t>Court</w:t>
      </w:r>
      <w:r>
        <w:rPr>
          <w:spacing w:val="41"/>
          <w:vertAlign w:val="baseline"/>
        </w:rPr>
        <w:t> </w:t>
      </w:r>
      <w:r>
        <w:rPr>
          <w:vertAlign w:val="baseline"/>
        </w:rPr>
        <w:t>to</w:t>
      </w:r>
      <w:r>
        <w:rPr>
          <w:spacing w:val="41"/>
          <w:vertAlign w:val="baseline"/>
        </w:rPr>
        <w:t> </w:t>
      </w:r>
      <w:r>
        <w:rPr>
          <w:vertAlign w:val="baseline"/>
        </w:rPr>
        <w:t>depart</w:t>
      </w:r>
      <w:r>
        <w:rPr>
          <w:spacing w:val="41"/>
          <w:vertAlign w:val="baseline"/>
        </w:rPr>
        <w:t> </w:t>
      </w:r>
      <w:r>
        <w:rPr>
          <w:vertAlign w:val="baseline"/>
        </w:rPr>
        <w:t>from</w:t>
      </w:r>
      <w:r>
        <w:rPr>
          <w:spacing w:val="41"/>
          <w:vertAlign w:val="baseline"/>
        </w:rPr>
        <w:t> </w:t>
      </w:r>
      <w:r>
        <w:rPr>
          <w:vertAlign w:val="baseline"/>
        </w:rPr>
        <w:t>it</w:t>
      </w:r>
      <w:r>
        <w:rPr>
          <w:spacing w:val="41"/>
          <w:vertAlign w:val="baseline"/>
        </w:rPr>
        <w:t> </w:t>
      </w:r>
      <w:r>
        <w:rPr>
          <w:vertAlign w:val="baseline"/>
        </w:rPr>
        <w:t>“when</w:t>
      </w:r>
      <w:r>
        <w:rPr>
          <w:spacing w:val="41"/>
          <w:vertAlign w:val="baseline"/>
        </w:rPr>
        <w:t> </w:t>
      </w:r>
      <w:r>
        <w:rPr>
          <w:spacing w:val="-5"/>
          <w:vertAlign w:val="baseline"/>
        </w:rPr>
        <w:t>it</w:t>
      </w:r>
    </w:p>
    <w:p>
      <w:pPr>
        <w:pStyle w:val="BodyText"/>
        <w:spacing w:line="235" w:lineRule="auto" w:before="119"/>
        <w:ind w:left="165" w:right="167"/>
      </w:pPr>
      <w:r>
        <w:rPr/>
        <w:t>appears right to do so”. </w:t>
      </w:r>
      <w:r>
        <w:rPr>
          <w:color w:val="005DA1"/>
          <w:u w:val="single" w:color="005DA1"/>
          <w:vertAlign w:val="superscript"/>
        </w:rPr>
        <w:t>121</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3"/>
          <w:vertAlign w:val="baseline"/>
        </w:rPr>
        <w:t> </w:t>
      </w:r>
      <w:r>
        <w:rPr>
          <w:vertAlign w:val="baseline"/>
        </w:rPr>
        <w:t>As regards the position of EU case law and principles </w:t>
      </w:r>
      <w:r>
        <w:rPr>
          <w:rFonts w:ascii="Arial" w:hAnsi="Arial"/>
          <w:i/>
          <w:vertAlign w:val="baseline"/>
        </w:rPr>
        <w:t>after </w:t>
      </w:r>
      <w:r>
        <w:rPr>
          <w:vertAlign w:val="baseline"/>
        </w:rPr>
        <w:t>the UK has </w:t>
      </w:r>
      <w:bookmarkStart w:name="_bookmark195" w:id="197"/>
      <w:bookmarkEnd w:id="197"/>
      <w:r>
        <w:rPr>
          <w:vertAlign w:val="baseline"/>
        </w:rPr>
        <w:t>left</w:t>
      </w:r>
      <w:r>
        <w:rPr>
          <w:spacing w:val="10"/>
          <w:vertAlign w:val="baseline"/>
        </w:rPr>
        <w:t> </w:t>
      </w:r>
      <w:r>
        <w:rPr>
          <w:vertAlign w:val="baseline"/>
        </w:rPr>
        <w:t>the</w:t>
      </w:r>
      <w:r>
        <w:rPr>
          <w:spacing w:val="12"/>
          <w:vertAlign w:val="baseline"/>
        </w:rPr>
        <w:t> </w:t>
      </w:r>
      <w:r>
        <w:rPr>
          <w:vertAlign w:val="baseline"/>
        </w:rPr>
        <w:t>EU,</w:t>
      </w:r>
      <w:r>
        <w:rPr>
          <w:spacing w:val="12"/>
          <w:vertAlign w:val="baseline"/>
        </w:rPr>
        <w:t> </w:t>
      </w:r>
      <w:r>
        <w:rPr>
          <w:vertAlign w:val="baseline"/>
        </w:rPr>
        <w:t>the</w:t>
      </w:r>
      <w:r>
        <w:rPr>
          <w:spacing w:val="12"/>
          <w:vertAlign w:val="baseline"/>
        </w:rPr>
        <w:t> </w:t>
      </w:r>
      <w:r>
        <w:rPr>
          <w:vertAlign w:val="baseline"/>
        </w:rPr>
        <w:t>Bill</w:t>
      </w:r>
      <w:r>
        <w:rPr>
          <w:spacing w:val="12"/>
          <w:vertAlign w:val="baseline"/>
        </w:rPr>
        <w:t> </w:t>
      </w:r>
      <w:r>
        <w:rPr>
          <w:vertAlign w:val="baseline"/>
        </w:rPr>
        <w:t>provides</w:t>
      </w:r>
      <w:r>
        <w:rPr>
          <w:spacing w:val="12"/>
          <w:vertAlign w:val="baseline"/>
        </w:rPr>
        <w:t> </w:t>
      </w:r>
      <w:r>
        <w:rPr>
          <w:vertAlign w:val="baseline"/>
        </w:rPr>
        <w:t>that</w:t>
      </w:r>
      <w:r>
        <w:rPr>
          <w:spacing w:val="12"/>
          <w:vertAlign w:val="baseline"/>
        </w:rPr>
        <w:t> </w:t>
      </w:r>
      <w:r>
        <w:rPr>
          <w:vertAlign w:val="baseline"/>
        </w:rPr>
        <w:t>“[a]</w:t>
      </w:r>
      <w:r>
        <w:rPr>
          <w:spacing w:val="12"/>
          <w:vertAlign w:val="baseline"/>
        </w:rPr>
        <w:t> </w:t>
      </w:r>
      <w:r>
        <w:rPr>
          <w:vertAlign w:val="baseline"/>
        </w:rPr>
        <w:t>court</w:t>
      </w:r>
      <w:r>
        <w:rPr>
          <w:spacing w:val="12"/>
          <w:vertAlign w:val="baseline"/>
        </w:rPr>
        <w:t> </w:t>
      </w:r>
      <w:r>
        <w:rPr>
          <w:vertAlign w:val="baseline"/>
        </w:rPr>
        <w:t>or</w:t>
      </w:r>
      <w:r>
        <w:rPr>
          <w:spacing w:val="12"/>
          <w:vertAlign w:val="baseline"/>
        </w:rPr>
        <w:t> </w:t>
      </w:r>
      <w:r>
        <w:rPr>
          <w:vertAlign w:val="baseline"/>
        </w:rPr>
        <w:t>tribunal</w:t>
      </w:r>
      <w:r>
        <w:rPr>
          <w:spacing w:val="12"/>
          <w:vertAlign w:val="baseline"/>
        </w:rPr>
        <w:t> </w:t>
      </w:r>
      <w:r>
        <w:rPr>
          <w:vertAlign w:val="baseline"/>
        </w:rPr>
        <w:t>…</w:t>
      </w:r>
      <w:r>
        <w:rPr>
          <w:spacing w:val="12"/>
          <w:vertAlign w:val="baseline"/>
        </w:rPr>
        <w:t> </w:t>
      </w:r>
      <w:r>
        <w:rPr>
          <w:vertAlign w:val="baseline"/>
        </w:rPr>
        <w:t>is</w:t>
      </w:r>
      <w:r>
        <w:rPr>
          <w:spacing w:val="12"/>
          <w:vertAlign w:val="baseline"/>
        </w:rPr>
        <w:t> </w:t>
      </w:r>
      <w:r>
        <w:rPr>
          <w:vertAlign w:val="baseline"/>
        </w:rPr>
        <w:t>not</w:t>
      </w:r>
      <w:r>
        <w:rPr>
          <w:spacing w:val="12"/>
          <w:vertAlign w:val="baseline"/>
        </w:rPr>
        <w:t> </w:t>
      </w:r>
      <w:r>
        <w:rPr>
          <w:vertAlign w:val="baseline"/>
        </w:rPr>
        <w:t>bound</w:t>
      </w:r>
      <w:r>
        <w:rPr>
          <w:spacing w:val="12"/>
          <w:vertAlign w:val="baseline"/>
        </w:rPr>
        <w:t> </w:t>
      </w:r>
      <w:r>
        <w:rPr>
          <w:vertAlign w:val="baseline"/>
        </w:rPr>
        <w:t>by</w:t>
      </w:r>
      <w:r>
        <w:rPr>
          <w:spacing w:val="12"/>
          <w:vertAlign w:val="baseline"/>
        </w:rPr>
        <w:t> </w:t>
      </w:r>
      <w:r>
        <w:rPr>
          <w:vertAlign w:val="baseline"/>
        </w:rPr>
        <w:t>any</w:t>
      </w:r>
      <w:r>
        <w:rPr>
          <w:spacing w:val="12"/>
          <w:vertAlign w:val="baseline"/>
        </w:rPr>
        <w:t> </w:t>
      </w:r>
      <w:r>
        <w:rPr>
          <w:vertAlign w:val="baseline"/>
        </w:rPr>
        <w:t>principles</w:t>
      </w:r>
      <w:r>
        <w:rPr>
          <w:spacing w:val="12"/>
          <w:vertAlign w:val="baseline"/>
        </w:rPr>
        <w:t> </w:t>
      </w:r>
      <w:r>
        <w:rPr>
          <w:vertAlign w:val="baseline"/>
        </w:rPr>
        <w:t>laid</w:t>
      </w:r>
      <w:r>
        <w:rPr>
          <w:spacing w:val="12"/>
          <w:vertAlign w:val="baseline"/>
        </w:rPr>
        <w:t> </w:t>
      </w:r>
      <w:r>
        <w:rPr>
          <w:vertAlign w:val="baseline"/>
        </w:rPr>
        <w:t>down,</w:t>
      </w:r>
      <w:r>
        <w:rPr>
          <w:spacing w:val="12"/>
          <w:vertAlign w:val="baseline"/>
        </w:rPr>
        <w:t> </w:t>
      </w:r>
      <w:r>
        <w:rPr>
          <w:spacing w:val="-7"/>
          <w:vertAlign w:val="baseline"/>
        </w:rPr>
        <w:t>or</w:t>
      </w:r>
    </w:p>
    <w:p>
      <w:pPr>
        <w:pStyle w:val="BodyText"/>
        <w:tabs>
          <w:tab w:pos="6547" w:val="left" w:leader="none"/>
        </w:tabs>
        <w:spacing w:line="235" w:lineRule="auto" w:before="119"/>
        <w:ind w:left="165" w:right="167"/>
      </w:pPr>
      <w:r>
        <w:rPr/>
        <w:t>any decisions made, on or after exit day by the European Court” </w:t>
      </w:r>
      <w:r>
        <w:rPr>
          <w:color w:val="005DA1"/>
          <w:u w:val="single" w:color="005DA1"/>
          <w:vertAlign w:val="superscript"/>
        </w:rPr>
        <w:t>122</w:t>
      </w:r>
      <w:r>
        <w:rPr>
          <w:color w:val="005DA1"/>
          <w:vertAlign w:val="baseline"/>
        </w:rPr>
        <w:tab/>
      </w:r>
      <w:r>
        <w:rPr>
          <w:color w:val="005DA1"/>
          <w:position w:val="-2"/>
          <w:vertAlign w:val="baseline"/>
        </w:rPr>
        <w:drawing>
          <wp:inline distT="0" distB="0" distL="0" distR="0">
            <wp:extent cx="107988" cy="107988"/>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and adds that “[a] court </w:t>
      </w:r>
      <w:r>
        <w:rPr>
          <w:vertAlign w:val="baseline"/>
        </w:rPr>
        <w:t>or </w:t>
      </w:r>
      <w:bookmarkStart w:name="_bookmark196" w:id="198"/>
      <w:bookmarkEnd w:id="198"/>
      <w:r>
        <w:rPr>
          <w:vertAlign w:val="baseline"/>
        </w:rPr>
        <w:t>tribunal</w:t>
      </w:r>
      <w:r>
        <w:rPr>
          <w:spacing w:val="17"/>
          <w:vertAlign w:val="baseline"/>
        </w:rPr>
        <w:t> </w:t>
      </w:r>
      <w:r>
        <w:rPr>
          <w:vertAlign w:val="baseline"/>
        </w:rPr>
        <w:t>need</w:t>
      </w:r>
      <w:r>
        <w:rPr>
          <w:spacing w:val="17"/>
          <w:vertAlign w:val="baseline"/>
        </w:rPr>
        <w:t> </w:t>
      </w:r>
      <w:r>
        <w:rPr>
          <w:vertAlign w:val="baseline"/>
        </w:rPr>
        <w:t>not</w:t>
      </w:r>
      <w:r>
        <w:rPr>
          <w:spacing w:val="17"/>
          <w:vertAlign w:val="baseline"/>
        </w:rPr>
        <w:t> </w:t>
      </w:r>
      <w:r>
        <w:rPr>
          <w:vertAlign w:val="baseline"/>
        </w:rPr>
        <w:t>have</w:t>
      </w:r>
      <w:r>
        <w:rPr>
          <w:spacing w:val="17"/>
          <w:vertAlign w:val="baseline"/>
        </w:rPr>
        <w:t> </w:t>
      </w:r>
      <w:r>
        <w:rPr>
          <w:vertAlign w:val="baseline"/>
        </w:rPr>
        <w:t>regard</w:t>
      </w:r>
      <w:r>
        <w:rPr>
          <w:spacing w:val="17"/>
          <w:vertAlign w:val="baseline"/>
        </w:rPr>
        <w:t> </w:t>
      </w:r>
      <w:r>
        <w:rPr>
          <w:vertAlign w:val="baseline"/>
        </w:rPr>
        <w:t>to</w:t>
      </w:r>
      <w:r>
        <w:rPr>
          <w:spacing w:val="17"/>
          <w:vertAlign w:val="baseline"/>
        </w:rPr>
        <w:t> </w:t>
      </w:r>
      <w:r>
        <w:rPr>
          <w:vertAlign w:val="baseline"/>
        </w:rPr>
        <w:t>anything</w:t>
      </w:r>
      <w:r>
        <w:rPr>
          <w:spacing w:val="17"/>
          <w:vertAlign w:val="baseline"/>
        </w:rPr>
        <w:t> </w:t>
      </w:r>
      <w:r>
        <w:rPr>
          <w:vertAlign w:val="baseline"/>
        </w:rPr>
        <w:t>done</w:t>
      </w:r>
      <w:r>
        <w:rPr>
          <w:spacing w:val="17"/>
          <w:vertAlign w:val="baseline"/>
        </w:rPr>
        <w:t> </w:t>
      </w:r>
      <w:r>
        <w:rPr>
          <w:vertAlign w:val="baseline"/>
        </w:rPr>
        <w:t>on</w:t>
      </w:r>
      <w:r>
        <w:rPr>
          <w:spacing w:val="17"/>
          <w:vertAlign w:val="baseline"/>
        </w:rPr>
        <w:t> </w:t>
      </w:r>
      <w:r>
        <w:rPr>
          <w:vertAlign w:val="baseline"/>
        </w:rPr>
        <w:t>or</w:t>
      </w:r>
      <w:r>
        <w:rPr>
          <w:spacing w:val="17"/>
          <w:vertAlign w:val="baseline"/>
        </w:rPr>
        <w:t> </w:t>
      </w:r>
      <w:r>
        <w:rPr>
          <w:vertAlign w:val="baseline"/>
        </w:rPr>
        <w:t>after</w:t>
      </w:r>
      <w:r>
        <w:rPr>
          <w:spacing w:val="17"/>
          <w:vertAlign w:val="baseline"/>
        </w:rPr>
        <w:t> </w:t>
      </w:r>
      <w:r>
        <w:rPr>
          <w:vertAlign w:val="baseline"/>
        </w:rPr>
        <w:t>exit</w:t>
      </w:r>
      <w:r>
        <w:rPr>
          <w:spacing w:val="17"/>
          <w:vertAlign w:val="baseline"/>
        </w:rPr>
        <w:t> </w:t>
      </w:r>
      <w:r>
        <w:rPr>
          <w:vertAlign w:val="baseline"/>
        </w:rPr>
        <w:t>day</w:t>
      </w:r>
      <w:r>
        <w:rPr>
          <w:spacing w:val="17"/>
          <w:vertAlign w:val="baseline"/>
        </w:rPr>
        <w:t> </w:t>
      </w:r>
      <w:r>
        <w:rPr>
          <w:vertAlign w:val="baseline"/>
        </w:rPr>
        <w:t>by</w:t>
      </w:r>
      <w:r>
        <w:rPr>
          <w:spacing w:val="17"/>
          <w:vertAlign w:val="baseline"/>
        </w:rPr>
        <w:t> </w:t>
      </w:r>
      <w:r>
        <w:rPr>
          <w:vertAlign w:val="baseline"/>
        </w:rPr>
        <w:t>the</w:t>
      </w:r>
      <w:r>
        <w:rPr>
          <w:spacing w:val="17"/>
          <w:vertAlign w:val="baseline"/>
        </w:rPr>
        <w:t> </w:t>
      </w:r>
      <w:r>
        <w:rPr>
          <w:vertAlign w:val="baseline"/>
        </w:rPr>
        <w:t>European</w:t>
      </w:r>
      <w:r>
        <w:rPr>
          <w:spacing w:val="17"/>
          <w:vertAlign w:val="baseline"/>
        </w:rPr>
        <w:t> </w:t>
      </w:r>
      <w:r>
        <w:rPr>
          <w:vertAlign w:val="baseline"/>
        </w:rPr>
        <w:t>Court,</w:t>
      </w:r>
      <w:r>
        <w:rPr>
          <w:spacing w:val="17"/>
          <w:vertAlign w:val="baseline"/>
        </w:rPr>
        <w:t> </w:t>
      </w:r>
      <w:r>
        <w:rPr>
          <w:spacing w:val="-2"/>
          <w:vertAlign w:val="baseline"/>
        </w:rPr>
        <w:t>another</w:t>
      </w:r>
    </w:p>
    <w:p>
      <w:pPr>
        <w:pStyle w:val="BodyText"/>
        <w:tabs>
          <w:tab w:pos="7212" w:val="left" w:leader="none"/>
        </w:tabs>
        <w:spacing w:line="235" w:lineRule="auto" w:before="120"/>
        <w:ind w:left="165" w:right="168"/>
      </w:pPr>
      <w:r>
        <w:rPr/>
        <w:t>EU entity or the EU but may do so if it considers it appropriate to do so”. </w:t>
      </w:r>
      <w:r>
        <w:rPr>
          <w:color w:val="005DA1"/>
          <w:u w:val="single" w:color="005DA1"/>
          <w:vertAlign w:val="superscript"/>
        </w:rPr>
        <w:t>123</w:t>
      </w:r>
      <w:r>
        <w:rPr>
          <w:color w:val="005DA1"/>
          <w:vertAlign w:val="baseline"/>
        </w:rPr>
        <w:tab/>
      </w:r>
      <w:r>
        <w:rPr>
          <w:color w:val="005DA1"/>
          <w:position w:val="-2"/>
          <w:vertAlign w:val="baseline"/>
        </w:rPr>
        <w:drawing>
          <wp:inline distT="0" distB="0" distL="0" distR="0">
            <wp:extent cx="107988" cy="107988"/>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This position </w:t>
      </w:r>
      <w:r>
        <w:rPr>
          <w:vertAlign w:val="baseline"/>
        </w:rPr>
        <w:t>would therefore</w:t>
      </w:r>
      <w:r>
        <w:rPr>
          <w:spacing w:val="39"/>
          <w:vertAlign w:val="baseline"/>
        </w:rPr>
        <w:t> </w:t>
      </w:r>
      <w:r>
        <w:rPr>
          <w:vertAlign w:val="baseline"/>
        </w:rPr>
        <w:t>mean</w:t>
      </w:r>
      <w:r>
        <w:rPr>
          <w:spacing w:val="39"/>
          <w:vertAlign w:val="baseline"/>
        </w:rPr>
        <w:t> </w:t>
      </w:r>
      <w:r>
        <w:rPr>
          <w:vertAlign w:val="baseline"/>
        </w:rPr>
        <w:t>that</w:t>
      </w:r>
      <w:r>
        <w:rPr>
          <w:spacing w:val="39"/>
          <w:vertAlign w:val="baseline"/>
        </w:rPr>
        <w:t> </w:t>
      </w:r>
      <w:r>
        <w:rPr>
          <w:vertAlign w:val="baseline"/>
        </w:rPr>
        <w:t>UK</w:t>
      </w:r>
      <w:r>
        <w:rPr>
          <w:spacing w:val="39"/>
          <w:vertAlign w:val="baseline"/>
        </w:rPr>
        <w:t> </w:t>
      </w:r>
      <w:r>
        <w:rPr>
          <w:vertAlign w:val="baseline"/>
        </w:rPr>
        <w:t>courts</w:t>
      </w:r>
      <w:r>
        <w:rPr>
          <w:spacing w:val="39"/>
          <w:vertAlign w:val="baseline"/>
        </w:rPr>
        <w:t> </w:t>
      </w:r>
      <w:r>
        <w:rPr>
          <w:vertAlign w:val="baseline"/>
        </w:rPr>
        <w:t>would</w:t>
      </w:r>
      <w:r>
        <w:rPr>
          <w:spacing w:val="39"/>
          <w:vertAlign w:val="baseline"/>
        </w:rPr>
        <w:t> </w:t>
      </w:r>
      <w:r>
        <w:rPr>
          <w:vertAlign w:val="baseline"/>
        </w:rPr>
        <w:t>not</w:t>
      </w:r>
      <w:r>
        <w:rPr>
          <w:spacing w:val="39"/>
          <w:vertAlign w:val="baseline"/>
        </w:rPr>
        <w:t> </w:t>
      </w:r>
      <w:r>
        <w:rPr>
          <w:vertAlign w:val="baseline"/>
        </w:rPr>
        <w:t>be</w:t>
      </w:r>
      <w:r>
        <w:rPr>
          <w:spacing w:val="39"/>
          <w:vertAlign w:val="baseline"/>
        </w:rPr>
        <w:t> </w:t>
      </w:r>
      <w:r>
        <w:rPr>
          <w:vertAlign w:val="baseline"/>
        </w:rPr>
        <w:t>required</w:t>
      </w:r>
      <w:r>
        <w:rPr>
          <w:spacing w:val="39"/>
          <w:vertAlign w:val="baseline"/>
        </w:rPr>
        <w:t> </w:t>
      </w:r>
      <w:r>
        <w:rPr>
          <w:vertAlign w:val="baseline"/>
        </w:rPr>
        <w:t>even</w:t>
      </w:r>
      <w:r>
        <w:rPr>
          <w:spacing w:val="39"/>
          <w:vertAlign w:val="baseline"/>
        </w:rPr>
        <w:t> </w:t>
      </w:r>
      <w:r>
        <w:rPr>
          <w:vertAlign w:val="baseline"/>
        </w:rPr>
        <w:t>to</w:t>
      </w:r>
      <w:r>
        <w:rPr>
          <w:spacing w:val="38"/>
          <w:vertAlign w:val="baseline"/>
        </w:rPr>
        <w:t> </w:t>
      </w:r>
      <w:r>
        <w:rPr>
          <w:rFonts w:ascii="Arial" w:hAnsi="Arial"/>
          <w:i/>
          <w:vertAlign w:val="baseline"/>
        </w:rPr>
        <w:t>consider</w:t>
      </w:r>
      <w:r>
        <w:rPr>
          <w:rFonts w:ascii="Arial" w:hAnsi="Arial"/>
          <w:i/>
          <w:spacing w:val="39"/>
          <w:vertAlign w:val="baseline"/>
        </w:rPr>
        <w:t> </w:t>
      </w:r>
      <w:r>
        <w:rPr>
          <w:vertAlign w:val="baseline"/>
        </w:rPr>
        <w:t>case</w:t>
      </w:r>
      <w:r>
        <w:rPr>
          <w:spacing w:val="39"/>
          <w:vertAlign w:val="baseline"/>
        </w:rPr>
        <w:t> </w:t>
      </w:r>
      <w:r>
        <w:rPr>
          <w:vertAlign w:val="baseline"/>
        </w:rPr>
        <w:t>law</w:t>
      </w:r>
      <w:r>
        <w:rPr>
          <w:spacing w:val="39"/>
          <w:vertAlign w:val="baseline"/>
        </w:rPr>
        <w:t> </w:t>
      </w:r>
      <w:r>
        <w:rPr>
          <w:vertAlign w:val="baseline"/>
        </w:rPr>
        <w:t>of</w:t>
      </w:r>
      <w:r>
        <w:rPr>
          <w:spacing w:val="39"/>
          <w:vertAlign w:val="baseline"/>
        </w:rPr>
        <w:t> </w:t>
      </w:r>
      <w:r>
        <w:rPr>
          <w:vertAlign w:val="baseline"/>
        </w:rPr>
        <w:t>the</w:t>
      </w:r>
      <w:r>
        <w:rPr>
          <w:spacing w:val="39"/>
          <w:vertAlign w:val="baseline"/>
        </w:rPr>
        <w:t> </w:t>
      </w:r>
      <w:r>
        <w:rPr>
          <w:vertAlign w:val="baseline"/>
        </w:rPr>
        <w:t>Court</w:t>
      </w:r>
      <w:r>
        <w:rPr>
          <w:spacing w:val="39"/>
          <w:vertAlign w:val="baseline"/>
        </w:rPr>
        <w:t> </w:t>
      </w:r>
      <w:r>
        <w:rPr>
          <w:spacing w:val="-5"/>
          <w:vertAlign w:val="baseline"/>
        </w:rPr>
        <w:t>of</w:t>
      </w:r>
    </w:p>
    <w:p>
      <w:pPr>
        <w:pStyle w:val="BodyText"/>
        <w:spacing w:after="0" w:line="235" w:lineRule="auto"/>
        <w:sectPr>
          <w:pgSz w:w="11900" w:h="16840"/>
          <w:pgMar w:header="971" w:footer="0" w:top="1300" w:bottom="280" w:left="1275" w:right="1275"/>
        </w:sectPr>
      </w:pPr>
    </w:p>
    <w:p>
      <w:pPr>
        <w:pStyle w:val="BodyText"/>
      </w:pPr>
    </w:p>
    <w:p>
      <w:pPr>
        <w:pStyle w:val="BodyText"/>
        <w:spacing w:line="235" w:lineRule="auto"/>
        <w:ind w:left="165" w:right="167"/>
        <w:jc w:val="both"/>
      </w:pPr>
      <w:bookmarkStart w:name="_bookmark197" w:id="199"/>
      <w:bookmarkEnd w:id="199"/>
      <w:r>
        <w:rPr/>
      </w:r>
      <w:r>
        <w:rPr/>
        <w:t>Justice made after exit day, though they may do so if they consider it appropriate. </w:t>
      </w:r>
      <w:r>
        <w:rPr>
          <w:color w:val="005DA1"/>
          <w:u w:val="single" w:color="005DA1"/>
          <w:vertAlign w:val="superscript"/>
        </w:rPr>
        <w:t>124</w:t>
      </w:r>
      <w:r>
        <w:rPr>
          <w:color w:val="005DA1"/>
          <w:spacing w:val="80"/>
          <w:w w:val="150"/>
          <w:vertAlign w:val="baseline"/>
        </w:rPr>
        <w:t> </w:t>
      </w:r>
      <w:r>
        <w:rPr>
          <w:color w:val="005DA1"/>
          <w:spacing w:val="-16"/>
          <w:position w:val="-2"/>
          <w:vertAlign w:val="baseline"/>
        </w:rPr>
        <w:drawing>
          <wp:inline distT="0" distB="0" distL="0" distR="0">
            <wp:extent cx="107988" cy="107988"/>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40"/>
          <w:vertAlign w:val="baseline"/>
        </w:rPr>
        <w:t> </w:t>
      </w:r>
      <w:r>
        <w:rPr>
          <w:vertAlign w:val="baseline"/>
        </w:rPr>
        <w:t>In </w:t>
      </w:r>
      <w:r>
        <w:rPr>
          <w:vertAlign w:val="baseline"/>
        </w:rPr>
        <w:t>this respect, the position would differ from the duty of UK courts under the Human Rights Act 1998 s.2(1) of which provides that in determining a question which has arisen in connection with a right under the European Convention on Human Rights a court “must take into account any … judgment, decision, declaration or advisory opinion of the European Court of Human Rights”.</w:t>
      </w:r>
    </w:p>
    <w:p>
      <w:pPr>
        <w:pStyle w:val="BodyText"/>
      </w:pPr>
    </w:p>
    <w:p>
      <w:pPr>
        <w:pStyle w:val="BodyText"/>
        <w:spacing w:before="37"/>
      </w:pPr>
    </w:p>
    <w:p>
      <w:pPr>
        <w:spacing w:before="0"/>
        <w:ind w:left="165" w:right="0" w:firstLine="0"/>
        <w:jc w:val="both"/>
        <w:rPr>
          <w:rFonts w:ascii="Arial"/>
          <w:b/>
          <w:sz w:val="18"/>
        </w:rPr>
      </w:pPr>
      <w:r>
        <w:rPr>
          <w:rFonts w:ascii="Arial"/>
          <w:b/>
          <w:sz w:val="18"/>
        </w:rPr>
        <w:t>Present </w:t>
      </w:r>
      <w:r>
        <w:rPr>
          <w:rFonts w:ascii="Arial"/>
          <w:b/>
          <w:spacing w:val="-2"/>
          <w:sz w:val="18"/>
        </w:rPr>
        <w:t>position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4"/>
          <w:sz w:val="24"/>
        </w:rPr>
        <w:t>013E</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However, until the UK leaves the EU (whether two years after March 29, 2017 when the </w:t>
      </w:r>
      <w:r>
        <w:rPr/>
        <w:t>Prime Minister gave the EU notice under art.50 TEU or at some later date with the agreement of the European Council), the UK remains a full member of the EU and the status of EU law remains the </w:t>
      </w:r>
      <w:bookmarkStart w:name="_bookmark198" w:id="200"/>
      <w:bookmarkEnd w:id="200"/>
      <w:r>
        <w:rPr/>
        <w:t>same</w:t>
      </w:r>
      <w:r>
        <w:rPr>
          <w:spacing w:val="27"/>
        </w:rPr>
        <w:t> </w:t>
      </w:r>
      <w:r>
        <w:rPr/>
        <w:t>as</w:t>
      </w:r>
      <w:r>
        <w:rPr>
          <w:spacing w:val="27"/>
        </w:rPr>
        <w:t> </w:t>
      </w:r>
      <w:r>
        <w:rPr/>
        <w:t>it</w:t>
      </w:r>
      <w:r>
        <w:rPr>
          <w:spacing w:val="27"/>
        </w:rPr>
        <w:t> </w:t>
      </w:r>
      <w:r>
        <w:rPr/>
        <w:t>has</w:t>
      </w:r>
      <w:r>
        <w:rPr>
          <w:spacing w:val="27"/>
        </w:rPr>
        <w:t> </w:t>
      </w:r>
      <w:r>
        <w:rPr/>
        <w:t>been</w:t>
      </w:r>
      <w:r>
        <w:rPr>
          <w:spacing w:val="27"/>
        </w:rPr>
        <w:t> </w:t>
      </w:r>
      <w:r>
        <w:rPr/>
        <w:t>since</w:t>
      </w:r>
      <w:r>
        <w:rPr>
          <w:spacing w:val="27"/>
        </w:rPr>
        <w:t> </w:t>
      </w:r>
      <w:r>
        <w:rPr/>
        <w:t>the</w:t>
      </w:r>
      <w:r>
        <w:rPr>
          <w:spacing w:val="27"/>
        </w:rPr>
        <w:t> </w:t>
      </w:r>
      <w:r>
        <w:rPr/>
        <w:t>UK’s</w:t>
      </w:r>
      <w:r>
        <w:rPr>
          <w:spacing w:val="27"/>
        </w:rPr>
        <w:t> </w:t>
      </w:r>
      <w:r>
        <w:rPr/>
        <w:t>becoming</w:t>
      </w:r>
      <w:r>
        <w:rPr>
          <w:spacing w:val="27"/>
        </w:rPr>
        <w:t> </w:t>
      </w:r>
      <w:r>
        <w:rPr/>
        <w:t>a</w:t>
      </w:r>
      <w:r>
        <w:rPr>
          <w:spacing w:val="27"/>
        </w:rPr>
        <w:t> </w:t>
      </w:r>
      <w:r>
        <w:rPr/>
        <w:t>Member</w:t>
      </w:r>
      <w:r>
        <w:rPr>
          <w:spacing w:val="27"/>
        </w:rPr>
        <w:t> </w:t>
      </w:r>
      <w:r>
        <w:rPr/>
        <w:t>State</w:t>
      </w:r>
      <w:r>
        <w:rPr>
          <w:spacing w:val="27"/>
        </w:rPr>
        <w:t> </w:t>
      </w:r>
      <w:r>
        <w:rPr/>
        <w:t>in</w:t>
      </w:r>
      <w:r>
        <w:rPr>
          <w:spacing w:val="27"/>
        </w:rPr>
        <w:t> </w:t>
      </w:r>
      <w:r>
        <w:rPr/>
        <w:t>1972</w:t>
      </w:r>
      <w:r>
        <w:rPr>
          <w:spacing w:val="27"/>
        </w:rPr>
        <w:t> </w:t>
      </w:r>
      <w:r>
        <w:rPr/>
        <w:t>and</w:t>
      </w:r>
      <w:r>
        <w:rPr>
          <w:spacing w:val="27"/>
        </w:rPr>
        <w:t> </w:t>
      </w:r>
      <w:r>
        <w:rPr/>
        <w:t>the</w:t>
      </w:r>
      <w:r>
        <w:rPr>
          <w:spacing w:val="27"/>
        </w:rPr>
        <w:t> </w:t>
      </w:r>
      <w:r>
        <w:rPr/>
        <w:t>enactment</w:t>
      </w:r>
      <w:r>
        <w:rPr>
          <w:spacing w:val="27"/>
        </w:rPr>
        <w:t> </w:t>
      </w:r>
      <w:r>
        <w:rPr/>
        <w:t>of</w:t>
      </w:r>
      <w:r>
        <w:rPr>
          <w:spacing w:val="27"/>
        </w:rPr>
        <w:t> </w:t>
      </w:r>
      <w:r>
        <w:rPr>
          <w:spacing w:val="-5"/>
        </w:rPr>
        <w:t>the</w:t>
      </w:r>
    </w:p>
    <w:p>
      <w:pPr>
        <w:pStyle w:val="BodyText"/>
        <w:spacing w:line="235" w:lineRule="auto" w:before="118"/>
        <w:ind w:left="165" w:right="167"/>
        <w:jc w:val="both"/>
      </w:pPr>
      <w:r>
        <w:rPr/>
        <w:t>European Communities Act. </w:t>
      </w:r>
      <w:r>
        <w:rPr>
          <w:color w:val="005DA1"/>
          <w:u w:val="single" w:color="005DA1"/>
          <w:vertAlign w:val="superscript"/>
        </w:rPr>
        <w:t>125</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12"/>
          <w:vertAlign w:val="baseline"/>
        </w:rPr>
        <w:t> </w:t>
      </w:r>
      <w:r>
        <w:rPr>
          <w:vertAlign w:val="baseline"/>
        </w:rPr>
        <w:t>The text of this Supplement continues, therefore, to be written on the premise that the UK is a Member of the EU and that the status of EU law in the UK remains the same until such time as the European Union (Withdrawal) Bill is enacted, the UK leaves the EU and a Minister of the Crown therefore designates “exit day” as presently foreseen by the Bill.</w:t>
      </w:r>
    </w:p>
    <w:p>
      <w:pPr>
        <w:pStyle w:val="BodyText"/>
      </w:pPr>
    </w:p>
    <w:p>
      <w:pPr>
        <w:pStyle w:val="BodyText"/>
        <w:spacing w:before="39"/>
      </w:pPr>
      <w:r>
        <w:rPr/>
        <mc:AlternateContent>
          <mc:Choice Requires="wps">
            <w:drawing>
              <wp:anchor distT="0" distB="0" distL="0" distR="0" allowOverlap="1" layoutInCell="1" locked="0" behindDoc="1" simplePos="0" relativeHeight="487618048">
                <wp:simplePos x="0" y="0"/>
                <wp:positionH relativeFrom="page">
                  <wp:posOffset>914400</wp:posOffset>
                </wp:positionH>
                <wp:positionV relativeFrom="paragraph">
                  <wp:posOffset>186104</wp:posOffset>
                </wp:positionV>
                <wp:extent cx="5724525" cy="127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3894pt;width:450.75pt;height:.1pt;mso-position-horizontal-relative:page;mso-position-vertical-relative:paragraph;z-index:-15698432;mso-wrap-distance-left:0;mso-wrap-distance-right:0" id="docshape15" coordorigin="1440,293" coordsize="9015,0" path="m1440,293l10454,293e" filled="false" stroked="true" strokeweight="1pt" strokecolor="#000000">
                <v:path arrowok="t"/>
                <v:stroke dashstyle="solid"/>
                <w10:wrap type="topAndBottom"/>
              </v:shape>
            </w:pict>
          </mc:Fallback>
        </mc:AlternateContent>
      </w:r>
    </w:p>
    <w:p>
      <w:pPr>
        <w:pStyle w:val="BodyText"/>
        <w:spacing w:before="9"/>
      </w:pPr>
    </w:p>
    <w:p>
      <w:pPr>
        <w:pStyle w:val="BodyText"/>
        <w:spacing w:after="0"/>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9360">
            <wp:simplePos x="0" y="0"/>
            <wp:positionH relativeFrom="page">
              <wp:posOffset>1257846</wp:posOffset>
            </wp:positionH>
            <wp:positionV relativeFrom="paragraph">
              <wp:posOffset>160286</wp:posOffset>
            </wp:positionV>
            <wp:extent cx="107988" cy="107988"/>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99" w:id="201"/>
      <w:bookmarkEnd w:id="201"/>
      <w:r>
        <w:rPr/>
      </w:r>
      <w:hyperlink w:history="true" w:anchor="_bookmark167">
        <w:r>
          <w:rPr>
            <w:color w:val="005DA1"/>
            <w:spacing w:val="-5"/>
            <w:sz w:val="14"/>
            <w:u w:val="single" w:color="005DA1"/>
          </w:rPr>
          <w:t>94</w:t>
        </w:r>
      </w:hyperlink>
      <w:r>
        <w:rPr>
          <w:spacing w:val="-5"/>
          <w:sz w:val="14"/>
        </w:rPr>
        <w:t>.</w:t>
      </w:r>
    </w:p>
    <w:p>
      <w:pPr>
        <w:pStyle w:val="BodyText"/>
        <w:spacing w:line="235" w:lineRule="auto" w:before="212"/>
        <w:ind w:left="165" w:firstLine="170"/>
      </w:pPr>
      <w:r>
        <w:rPr/>
        <w:br w:type="column"/>
      </w:r>
      <w:r>
        <w:rPr/>
        <w:t>The</w:t>
      </w:r>
      <w:r>
        <w:rPr>
          <w:spacing w:val="33"/>
        </w:rPr>
        <w:t> </w:t>
      </w:r>
      <w:r>
        <w:rPr/>
        <w:t>Prime</w:t>
      </w:r>
      <w:r>
        <w:rPr>
          <w:spacing w:val="33"/>
        </w:rPr>
        <w:t> </w:t>
      </w:r>
      <w:r>
        <w:rPr/>
        <w:t>Minister’s</w:t>
      </w:r>
      <w:r>
        <w:rPr>
          <w:spacing w:val="33"/>
        </w:rPr>
        <w:t> </w:t>
      </w:r>
      <w:r>
        <w:rPr/>
        <w:t>authority</w:t>
      </w:r>
      <w:r>
        <w:rPr>
          <w:spacing w:val="33"/>
        </w:rPr>
        <w:t> </w:t>
      </w:r>
      <w:r>
        <w:rPr/>
        <w:t>to</w:t>
      </w:r>
      <w:r>
        <w:rPr>
          <w:spacing w:val="33"/>
        </w:rPr>
        <w:t> </w:t>
      </w:r>
      <w:r>
        <w:rPr/>
        <w:t>do</w:t>
      </w:r>
      <w:r>
        <w:rPr>
          <w:spacing w:val="33"/>
        </w:rPr>
        <w:t> </w:t>
      </w:r>
      <w:r>
        <w:rPr/>
        <w:t>so</w:t>
      </w:r>
      <w:r>
        <w:rPr>
          <w:spacing w:val="33"/>
        </w:rPr>
        <w:t> </w:t>
      </w:r>
      <w:r>
        <w:rPr/>
        <w:t>was</w:t>
      </w:r>
      <w:r>
        <w:rPr>
          <w:spacing w:val="33"/>
        </w:rPr>
        <w:t> </w:t>
      </w:r>
      <w:r>
        <w:rPr/>
        <w:t>given</w:t>
      </w:r>
      <w:r>
        <w:rPr>
          <w:spacing w:val="33"/>
        </w:rPr>
        <w:t> </w:t>
      </w:r>
      <w:r>
        <w:rPr/>
        <w:t>by</w:t>
      </w:r>
      <w:r>
        <w:rPr>
          <w:spacing w:val="33"/>
        </w:rPr>
        <w:t> </w:t>
      </w:r>
      <w:r>
        <w:rPr/>
        <w:t>the</w:t>
      </w:r>
      <w:r>
        <w:rPr>
          <w:spacing w:val="33"/>
        </w:rPr>
        <w:t> </w:t>
      </w:r>
      <w:r>
        <w:rPr/>
        <w:t>European</w:t>
      </w:r>
      <w:r>
        <w:rPr>
          <w:spacing w:val="33"/>
        </w:rPr>
        <w:t> </w:t>
      </w:r>
      <w:r>
        <w:rPr/>
        <w:t>Union</w:t>
      </w:r>
      <w:r>
        <w:rPr>
          <w:spacing w:val="33"/>
        </w:rPr>
        <w:t> </w:t>
      </w:r>
      <w:r>
        <w:rPr/>
        <w:t>(Notification</w:t>
      </w:r>
      <w:r>
        <w:rPr>
          <w:spacing w:val="33"/>
        </w:rPr>
        <w:t> </w:t>
      </w:r>
      <w:r>
        <w:rPr/>
        <w:t>of Withdrawal) Act 2017 s.1.</w:t>
      </w:r>
    </w:p>
    <w:p>
      <w:pPr>
        <w:pStyle w:val="BodyText"/>
        <w:spacing w:after="0" w:line="235" w:lineRule="auto"/>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200" w:id="202"/>
      <w:bookmarkEnd w:id="202"/>
      <w:r>
        <w:rPr/>
      </w:r>
      <w:hyperlink w:history="true" w:anchor="_bookmark168">
        <w:r>
          <w:rPr>
            <w:color w:val="005DA1"/>
            <w:spacing w:val="-5"/>
            <w:sz w:val="14"/>
            <w:u w:val="single" w:color="005DA1"/>
          </w:rPr>
          <w:t>95</w:t>
        </w:r>
      </w:hyperlink>
      <w:r>
        <w:rPr>
          <w:spacing w:val="-5"/>
          <w:sz w:val="14"/>
        </w:rPr>
        <w:t>.</w:t>
      </w:r>
    </w:p>
    <w:p>
      <w:pPr>
        <w:pStyle w:val="BodyText"/>
        <w:spacing w:before="208"/>
        <w:ind w:left="335"/>
      </w:pPr>
      <w:r>
        <w:rPr/>
        <w:br w:type="column"/>
      </w:r>
      <w:r>
        <w:rPr/>
        <w:t>Department for Exiting the European Union, Cm.9417 (February </w:t>
      </w:r>
      <w:r>
        <w:rPr>
          <w:spacing w:val="-2"/>
        </w:rPr>
        <w:t>2017).</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9872">
            <wp:simplePos x="0" y="0"/>
            <wp:positionH relativeFrom="page">
              <wp:posOffset>1257846</wp:posOffset>
            </wp:positionH>
            <wp:positionV relativeFrom="paragraph">
              <wp:posOffset>-211010</wp:posOffset>
            </wp:positionV>
            <wp:extent cx="107988" cy="107988"/>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01" w:id="203"/>
      <w:bookmarkEnd w:id="203"/>
      <w:r>
        <w:rPr/>
      </w:r>
      <w:hyperlink w:history="true" w:anchor="_bookmark169">
        <w:r>
          <w:rPr>
            <w:color w:val="005DA1"/>
            <w:spacing w:val="-5"/>
            <w:sz w:val="14"/>
            <w:u w:val="single" w:color="005DA1"/>
          </w:rPr>
          <w:t>96</w:t>
        </w:r>
      </w:hyperlink>
      <w:r>
        <w:rPr>
          <w:spacing w:val="-5"/>
          <w:sz w:val="14"/>
        </w:rPr>
        <w:t>.</w:t>
      </w:r>
    </w:p>
    <w:p>
      <w:pPr>
        <w:pStyle w:val="BodyText"/>
        <w:spacing w:before="208"/>
        <w:ind w:left="335"/>
      </w:pPr>
      <w:r>
        <w:rPr/>
        <w:br w:type="column"/>
      </w:r>
      <w:r>
        <w:rPr/>
        <w:t>Department for Exiting the European Union, Cm.9446 (March </w:t>
      </w:r>
      <w:r>
        <w:rPr>
          <w:spacing w:val="-2"/>
        </w:rPr>
        <w:t>2017).</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0384">
            <wp:simplePos x="0" y="0"/>
            <wp:positionH relativeFrom="page">
              <wp:posOffset>1257846</wp:posOffset>
            </wp:positionH>
            <wp:positionV relativeFrom="paragraph">
              <wp:posOffset>-210990</wp:posOffset>
            </wp:positionV>
            <wp:extent cx="107988" cy="107988"/>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02" w:id="204"/>
      <w:bookmarkEnd w:id="204"/>
      <w:r>
        <w:rPr/>
      </w:r>
      <w:hyperlink w:history="true" w:anchor="_bookmark170">
        <w:r>
          <w:rPr>
            <w:color w:val="005DA1"/>
            <w:spacing w:val="-5"/>
            <w:sz w:val="14"/>
            <w:u w:val="single" w:color="005DA1"/>
          </w:rPr>
          <w:t>97</w:t>
        </w:r>
      </w:hyperlink>
      <w:r>
        <w:rPr>
          <w:spacing w:val="-5"/>
          <w:sz w:val="14"/>
        </w:rPr>
        <w:t>.</w:t>
      </w:r>
    </w:p>
    <w:p>
      <w:pPr>
        <w:pStyle w:val="BodyText"/>
        <w:spacing w:before="208"/>
        <w:ind w:left="335"/>
      </w:pPr>
      <w:r>
        <w:rPr/>
        <w:br w:type="column"/>
      </w:r>
      <w:r>
        <w:rPr/>
        <w:t>See</w:t>
      </w:r>
      <w:r>
        <w:rPr>
          <w:spacing w:val="-3"/>
        </w:rPr>
        <w:t> </w:t>
      </w:r>
      <w:hyperlink r:id="rId15">
        <w:r>
          <w:rPr>
            <w:color w:val="005DA1"/>
            <w:u w:val="single" w:color="005DA1"/>
          </w:rPr>
          <w:t>http://services.parliament.uk/bills/2017-</w:t>
        </w:r>
        <w:r>
          <w:rPr>
            <w:color w:val="005DA1"/>
            <w:spacing w:val="-2"/>
            <w:u w:val="single" w:color="005DA1"/>
          </w:rPr>
          <w:t>19/europeanunionwithdrawal.html</w:t>
        </w:r>
      </w:hyperlink>
      <w:r>
        <w:rPr>
          <w:spacing w:val="-2"/>
        </w:rPr>
        <w:t>.</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0896">
            <wp:simplePos x="0" y="0"/>
            <wp:positionH relativeFrom="page">
              <wp:posOffset>1257846</wp:posOffset>
            </wp:positionH>
            <wp:positionV relativeFrom="paragraph">
              <wp:posOffset>-210970</wp:posOffset>
            </wp:positionV>
            <wp:extent cx="107988" cy="107988"/>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03" w:id="205"/>
      <w:bookmarkEnd w:id="205"/>
      <w:r>
        <w:rPr/>
      </w:r>
      <w:hyperlink w:history="true" w:anchor="_bookmark171">
        <w:r>
          <w:rPr>
            <w:color w:val="005DA1"/>
            <w:spacing w:val="-5"/>
            <w:sz w:val="14"/>
            <w:u w:val="single" w:color="005DA1"/>
          </w:rPr>
          <w:t>98</w:t>
        </w:r>
      </w:hyperlink>
      <w:r>
        <w:rPr>
          <w:spacing w:val="-5"/>
          <w:sz w:val="14"/>
        </w:rPr>
        <w:t>.</w:t>
      </w:r>
    </w:p>
    <w:p>
      <w:pPr>
        <w:pStyle w:val="BodyText"/>
        <w:spacing w:before="208"/>
        <w:ind w:left="335"/>
      </w:pPr>
      <w:r>
        <w:rPr/>
        <w:br w:type="column"/>
      </w:r>
      <w:r>
        <w:rPr/>
        <w:t>European Union (Withdrawal) Bill 2017 (“2017 Bill”) </w:t>
      </w:r>
      <w:r>
        <w:rPr>
          <w:spacing w:val="-2"/>
        </w:rPr>
        <w:t>cl.1.</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1408">
            <wp:simplePos x="0" y="0"/>
            <wp:positionH relativeFrom="page">
              <wp:posOffset>1257846</wp:posOffset>
            </wp:positionH>
            <wp:positionV relativeFrom="paragraph">
              <wp:posOffset>-210950</wp:posOffset>
            </wp:positionV>
            <wp:extent cx="107988" cy="107988"/>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04" w:id="206"/>
      <w:bookmarkEnd w:id="206"/>
      <w:r>
        <w:rPr/>
      </w:r>
      <w:hyperlink w:history="true" w:anchor="_bookmark172">
        <w:r>
          <w:rPr>
            <w:color w:val="005DA1"/>
            <w:spacing w:val="-5"/>
            <w:sz w:val="14"/>
            <w:u w:val="single" w:color="005DA1"/>
          </w:rPr>
          <w:t>99</w:t>
        </w:r>
      </w:hyperlink>
      <w:r>
        <w:rPr>
          <w:spacing w:val="-5"/>
          <w:sz w:val="14"/>
        </w:rPr>
        <w:t>.</w:t>
      </w:r>
    </w:p>
    <w:p>
      <w:pPr>
        <w:pStyle w:val="BodyText"/>
        <w:spacing w:before="208"/>
        <w:ind w:left="335"/>
      </w:pPr>
      <w:r>
        <w:rPr/>
        <w:br w:type="column"/>
      </w:r>
      <w:r>
        <w:rPr/>
        <w:t>2017 Bill cl.14(1) “exit day”, itself referring to cl.14(2) as regards the time of </w:t>
      </w:r>
      <w:r>
        <w:rPr>
          <w:spacing w:val="-4"/>
        </w:rPr>
        <w:t>day.</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1920">
            <wp:simplePos x="0" y="0"/>
            <wp:positionH relativeFrom="page">
              <wp:posOffset>1257846</wp:posOffset>
            </wp:positionH>
            <wp:positionV relativeFrom="paragraph">
              <wp:posOffset>-210930</wp:posOffset>
            </wp:positionV>
            <wp:extent cx="107988" cy="107988"/>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62432">
            <wp:simplePos x="0" y="0"/>
            <wp:positionH relativeFrom="page">
              <wp:posOffset>1257846</wp:posOffset>
            </wp:positionH>
            <wp:positionV relativeFrom="paragraph">
              <wp:posOffset>160544</wp:posOffset>
            </wp:positionV>
            <wp:extent cx="107988" cy="107988"/>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05" w:id="207"/>
      <w:bookmarkEnd w:id="207"/>
      <w:r>
        <w:rPr/>
      </w:r>
      <w:hyperlink w:history="true" w:anchor="_bookmark173">
        <w:r>
          <w:rPr>
            <w:color w:val="005DA1"/>
            <w:spacing w:val="-4"/>
            <w:sz w:val="14"/>
            <w:u w:val="single" w:color="005DA1"/>
          </w:rPr>
          <w:t>100</w:t>
        </w:r>
      </w:hyperlink>
      <w:r>
        <w:rPr>
          <w:spacing w:val="-4"/>
          <w:sz w:val="14"/>
        </w:rPr>
        <w:t>.</w:t>
      </w:r>
    </w:p>
    <w:p>
      <w:pPr>
        <w:pStyle w:val="BodyText"/>
        <w:spacing w:line="235" w:lineRule="auto" w:before="212"/>
        <w:ind w:left="165" w:right="167" w:firstLine="170"/>
        <w:jc w:val="both"/>
      </w:pPr>
      <w:r>
        <w:rPr/>
        <w:br w:type="column"/>
      </w:r>
      <w:r>
        <w:rPr/>
        <w:t>2017 Bill cl.2(1). Clause 2(2) defines “EU-derived domestic legislation” to include, </w:t>
      </w:r>
      <w:r>
        <w:rPr/>
        <w:t>in</w:t>
      </w:r>
      <w:r>
        <w:rPr>
          <w:spacing w:val="40"/>
        </w:rPr>
        <w:t> </w:t>
      </w:r>
      <w:r>
        <w:rPr/>
        <w:t>particular, any enactment made under s.2(2) of the European Communities Act 1972. The exceptions to this general position are set out by cl.5 and Sch.1.</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2944">
            <wp:simplePos x="0" y="0"/>
            <wp:positionH relativeFrom="page">
              <wp:posOffset>1257846</wp:posOffset>
            </wp:positionH>
            <wp:positionV relativeFrom="paragraph">
              <wp:posOffset>160461</wp:posOffset>
            </wp:positionV>
            <wp:extent cx="107988" cy="107988"/>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06" w:id="208"/>
      <w:bookmarkEnd w:id="208"/>
      <w:r>
        <w:rPr/>
      </w:r>
      <w:hyperlink w:history="true" w:anchor="_bookmark174">
        <w:r>
          <w:rPr>
            <w:color w:val="005DA1"/>
            <w:spacing w:val="-4"/>
            <w:sz w:val="14"/>
            <w:u w:val="single" w:color="005DA1"/>
          </w:rPr>
          <w:t>101</w:t>
        </w:r>
      </w:hyperlink>
      <w:r>
        <w:rPr>
          <w:spacing w:val="-4"/>
          <w:sz w:val="14"/>
        </w:rPr>
        <w:t>.</w:t>
      </w:r>
    </w:p>
    <w:p>
      <w:pPr>
        <w:pStyle w:val="BodyText"/>
        <w:spacing w:line="235" w:lineRule="auto" w:before="212"/>
        <w:ind w:left="165" w:firstLine="170"/>
      </w:pPr>
      <w:r>
        <w:rPr/>
        <w:br w:type="column"/>
      </w:r>
      <w:r>
        <w:rPr/>
        <w:t>SI 2013/3134 implementing Directive 2011/83/EU on consumer rights [2011] O.J. L304/64 </w:t>
      </w:r>
      <w:r>
        <w:rPr/>
        <w:t>on which see Main Work, Vol.I, paras 38-057 et seq.</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207" w:id="209"/>
      <w:bookmarkEnd w:id="209"/>
      <w:r>
        <w:rPr/>
      </w:r>
      <w:hyperlink w:history="true" w:anchor="_bookmark175">
        <w:r>
          <w:rPr>
            <w:color w:val="005DA1"/>
            <w:spacing w:val="-4"/>
            <w:sz w:val="14"/>
            <w:u w:val="single" w:color="005DA1"/>
          </w:rPr>
          <w:t>102</w:t>
        </w:r>
      </w:hyperlink>
      <w:r>
        <w:rPr>
          <w:spacing w:val="-4"/>
          <w:sz w:val="14"/>
        </w:rPr>
        <w:t>.</w:t>
      </w:r>
    </w:p>
    <w:p>
      <w:pPr>
        <w:pStyle w:val="BodyText"/>
        <w:spacing w:line="235" w:lineRule="auto" w:before="212"/>
        <w:ind w:left="165" w:right="167" w:firstLine="170"/>
        <w:jc w:val="both"/>
      </w:pPr>
      <w:r>
        <w:rPr/>
        <w:br w:type="column"/>
      </w:r>
      <w:r>
        <w:rPr/>
        <w:t>Timeshare, Holiday Products, Resale and Exchange Contracts Regulations 2010 </w:t>
      </w:r>
      <w:r>
        <w:rPr/>
        <w:t>(SI 2010/2960) implementing Directive 2008/122/EC on the protection of consumers in respect of certain</w:t>
      </w:r>
      <w:r>
        <w:rPr>
          <w:spacing w:val="14"/>
        </w:rPr>
        <w:t> </w:t>
      </w:r>
      <w:r>
        <w:rPr/>
        <w:t>aspects</w:t>
      </w:r>
      <w:r>
        <w:rPr>
          <w:spacing w:val="14"/>
        </w:rPr>
        <w:t> </w:t>
      </w:r>
      <w:r>
        <w:rPr/>
        <w:t>of</w:t>
      </w:r>
      <w:r>
        <w:rPr>
          <w:spacing w:val="14"/>
        </w:rPr>
        <w:t> </w:t>
      </w:r>
      <w:r>
        <w:rPr/>
        <w:t>timeshare,</w:t>
      </w:r>
      <w:r>
        <w:rPr>
          <w:spacing w:val="14"/>
        </w:rPr>
        <w:t> </w:t>
      </w:r>
      <w:r>
        <w:rPr/>
        <w:t>long-term</w:t>
      </w:r>
      <w:r>
        <w:rPr>
          <w:spacing w:val="14"/>
        </w:rPr>
        <w:t> </w:t>
      </w:r>
      <w:r>
        <w:rPr/>
        <w:t>holiday</w:t>
      </w:r>
      <w:r>
        <w:rPr>
          <w:spacing w:val="14"/>
        </w:rPr>
        <w:t> </w:t>
      </w:r>
      <w:r>
        <w:rPr/>
        <w:t>product,</w:t>
      </w:r>
      <w:r>
        <w:rPr>
          <w:spacing w:val="14"/>
        </w:rPr>
        <w:t> </w:t>
      </w:r>
      <w:r>
        <w:rPr/>
        <w:t>resale</w:t>
      </w:r>
      <w:r>
        <w:rPr>
          <w:spacing w:val="14"/>
        </w:rPr>
        <w:t> </w:t>
      </w:r>
      <w:r>
        <w:rPr/>
        <w:t>and</w:t>
      </w:r>
      <w:r>
        <w:rPr>
          <w:spacing w:val="14"/>
        </w:rPr>
        <w:t> </w:t>
      </w:r>
      <w:r>
        <w:rPr/>
        <w:t>exchange</w:t>
      </w:r>
      <w:r>
        <w:rPr>
          <w:spacing w:val="14"/>
        </w:rPr>
        <w:t> </w:t>
      </w:r>
      <w:r>
        <w:rPr/>
        <w:t>contracts</w:t>
      </w:r>
      <w:r>
        <w:rPr>
          <w:spacing w:val="14"/>
        </w:rPr>
        <w:t> </w:t>
      </w:r>
      <w:r>
        <w:rPr>
          <w:spacing w:val="-2"/>
        </w:rPr>
        <w:t>[2009]</w:t>
      </w:r>
    </w:p>
    <w:p>
      <w:pPr>
        <w:pStyle w:val="BodyText"/>
        <w:spacing w:line="225" w:lineRule="exact"/>
        <w:ind w:left="165"/>
        <w:jc w:val="both"/>
      </w:pPr>
      <w:r>
        <w:rPr/>
        <w:drawing>
          <wp:anchor distT="0" distB="0" distL="0" distR="0" allowOverlap="1" layoutInCell="1" locked="0" behindDoc="0" simplePos="0" relativeHeight="15763456">
            <wp:simplePos x="0" y="0"/>
            <wp:positionH relativeFrom="page">
              <wp:posOffset>1257846</wp:posOffset>
            </wp:positionH>
            <wp:positionV relativeFrom="paragraph">
              <wp:posOffset>-403350</wp:posOffset>
            </wp:positionV>
            <wp:extent cx="107988" cy="107988"/>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6" cstate="print"/>
                    <a:stretch>
                      <a:fillRect/>
                    </a:stretch>
                  </pic:blipFill>
                  <pic:spPr>
                    <a:xfrm>
                      <a:off x="0" y="0"/>
                      <a:ext cx="107988" cy="107988"/>
                    </a:xfrm>
                    <a:prstGeom prst="rect">
                      <a:avLst/>
                    </a:prstGeom>
                  </pic:spPr>
                </pic:pic>
              </a:graphicData>
            </a:graphic>
          </wp:anchor>
        </w:drawing>
      </w:r>
      <w:r>
        <w:rPr/>
        <w:t>O.J. L33/30, on which see Vol.II, paras 38-136—38-</w:t>
      </w:r>
      <w:r>
        <w:rPr>
          <w:spacing w:val="-4"/>
        </w:rPr>
        <w:t>142.</w:t>
      </w:r>
    </w:p>
    <w:p>
      <w:pPr>
        <w:pStyle w:val="BodyText"/>
        <w:spacing w:after="0" w:line="225" w:lineRule="exact"/>
        <w:jc w:val="both"/>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3968">
            <wp:simplePos x="0" y="0"/>
            <wp:positionH relativeFrom="page">
              <wp:posOffset>1257846</wp:posOffset>
            </wp:positionH>
            <wp:positionV relativeFrom="paragraph">
              <wp:posOffset>160482</wp:posOffset>
            </wp:positionV>
            <wp:extent cx="107988" cy="107988"/>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08" w:id="210"/>
      <w:bookmarkEnd w:id="210"/>
      <w:r>
        <w:rPr/>
      </w:r>
      <w:hyperlink w:history="true" w:anchor="_bookmark176">
        <w:r>
          <w:rPr>
            <w:color w:val="005DA1"/>
            <w:spacing w:val="-4"/>
            <w:sz w:val="14"/>
            <w:u w:val="single" w:color="005DA1"/>
          </w:rPr>
          <w:t>103</w:t>
        </w:r>
      </w:hyperlink>
      <w:r>
        <w:rPr>
          <w:spacing w:val="-4"/>
          <w:sz w:val="14"/>
        </w:rPr>
        <w:t>.</w:t>
      </w:r>
    </w:p>
    <w:p>
      <w:pPr>
        <w:pStyle w:val="BodyText"/>
        <w:spacing w:line="235" w:lineRule="auto" w:before="212"/>
        <w:ind w:left="165" w:right="167" w:firstLine="170"/>
        <w:jc w:val="both"/>
      </w:pPr>
      <w:r>
        <w:rPr/>
        <w:br w:type="column"/>
      </w:r>
      <w:r>
        <w:rPr/>
        <w:t>SI 1993/3053 implementing Directive 86/653 on the co-ordination of the laws of the </w:t>
      </w:r>
      <w:r>
        <w:rPr/>
        <w:t>Member States relating to self-employed commercial agents [1986] O.J. L382/17, on which see Main Work, Vol.II, paras 31-017—31-020.</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4480">
            <wp:simplePos x="0" y="0"/>
            <wp:positionH relativeFrom="page">
              <wp:posOffset>1257846</wp:posOffset>
            </wp:positionH>
            <wp:positionV relativeFrom="paragraph">
              <wp:posOffset>160399</wp:posOffset>
            </wp:positionV>
            <wp:extent cx="107988" cy="107988"/>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09" w:id="211"/>
      <w:bookmarkEnd w:id="211"/>
      <w:r>
        <w:rPr/>
      </w:r>
      <w:hyperlink w:history="true" w:anchor="_bookmark177">
        <w:r>
          <w:rPr>
            <w:color w:val="005DA1"/>
            <w:spacing w:val="-4"/>
            <w:sz w:val="14"/>
            <w:u w:val="single" w:color="005DA1"/>
          </w:rPr>
          <w:t>104</w:t>
        </w:r>
      </w:hyperlink>
      <w:r>
        <w:rPr>
          <w:spacing w:val="-4"/>
          <w:sz w:val="14"/>
        </w:rPr>
        <w:t>.</w:t>
      </w:r>
    </w:p>
    <w:p>
      <w:pPr>
        <w:pStyle w:val="BodyText"/>
        <w:spacing w:before="208"/>
        <w:ind w:left="335"/>
      </w:pPr>
      <w:r>
        <w:rPr/>
        <w:br w:type="column"/>
      </w:r>
      <w:r>
        <w:rPr/>
        <w:t>2017 Bill </w:t>
      </w:r>
      <w:r>
        <w:rPr>
          <w:spacing w:val="-2"/>
        </w:rPr>
        <w:t>cl.3(1).</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178">
        <w:r>
          <w:rPr>
            <w:color w:val="005DA1"/>
            <w:spacing w:val="-4"/>
            <w:sz w:val="14"/>
            <w:u w:val="single" w:color="005DA1"/>
          </w:rPr>
          <w:t>105</w:t>
        </w:r>
      </w:hyperlink>
      <w:r>
        <w:rPr>
          <w:spacing w:val="-4"/>
          <w:sz w:val="14"/>
        </w:rPr>
        <w:t>.</w:t>
      </w:r>
    </w:p>
    <w:p>
      <w:pPr>
        <w:spacing w:line="240" w:lineRule="auto" w:before="56"/>
        <w:rPr>
          <w:sz w:val="20"/>
        </w:rPr>
      </w:pPr>
      <w:r>
        <w:rPr/>
        <w:br w:type="column"/>
      </w:r>
      <w:r>
        <w:rPr>
          <w:sz w:val="20"/>
        </w:rPr>
      </w:r>
    </w:p>
    <w:p>
      <w:pPr>
        <w:pStyle w:val="BodyText"/>
        <w:ind w:left="335"/>
      </w:pPr>
      <w:r>
        <w:rPr/>
        <w:drawing>
          <wp:anchor distT="0" distB="0" distL="0" distR="0" allowOverlap="1" layoutInCell="1" locked="0" behindDoc="0" simplePos="0" relativeHeight="15764992">
            <wp:simplePos x="0" y="0"/>
            <wp:positionH relativeFrom="page">
              <wp:posOffset>1257846</wp:posOffset>
            </wp:positionH>
            <wp:positionV relativeFrom="paragraph">
              <wp:posOffset>28443</wp:posOffset>
            </wp:positionV>
            <wp:extent cx="107988" cy="107988"/>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6" cstate="print"/>
                    <a:stretch>
                      <a:fillRect/>
                    </a:stretch>
                  </pic:blipFill>
                  <pic:spPr>
                    <a:xfrm>
                      <a:off x="0" y="0"/>
                      <a:ext cx="107988" cy="107988"/>
                    </a:xfrm>
                    <a:prstGeom prst="rect">
                      <a:avLst/>
                    </a:prstGeom>
                  </pic:spPr>
                </pic:pic>
              </a:graphicData>
            </a:graphic>
          </wp:anchor>
        </w:drawing>
      </w:r>
      <w:r>
        <w:rPr/>
        <w:t>2017 Bill </w:t>
      </w:r>
      <w:r>
        <w:rPr>
          <w:spacing w:val="-2"/>
        </w:rPr>
        <w:t>cl.3(2).</w:t>
      </w:r>
    </w:p>
    <w:p>
      <w:pPr>
        <w:pStyle w:val="BodyText"/>
        <w:spacing w:after="0"/>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5504">
            <wp:simplePos x="0" y="0"/>
            <wp:positionH relativeFrom="page">
              <wp:posOffset>1257846</wp:posOffset>
            </wp:positionH>
            <wp:positionV relativeFrom="paragraph">
              <wp:posOffset>160542</wp:posOffset>
            </wp:positionV>
            <wp:extent cx="107988" cy="107988"/>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0" w:id="212"/>
      <w:bookmarkEnd w:id="212"/>
      <w:r>
        <w:rPr/>
      </w:r>
      <w:hyperlink w:history="true" w:anchor="_bookmark179">
        <w:r>
          <w:rPr>
            <w:color w:val="005DA1"/>
            <w:spacing w:val="-4"/>
            <w:sz w:val="14"/>
            <w:u w:val="single" w:color="005DA1"/>
          </w:rPr>
          <w:t>106</w:t>
        </w:r>
      </w:hyperlink>
      <w:r>
        <w:rPr>
          <w:spacing w:val="-4"/>
          <w:sz w:val="14"/>
        </w:rPr>
        <w:t>.</w:t>
      </w:r>
    </w:p>
    <w:p>
      <w:pPr>
        <w:pStyle w:val="BodyText"/>
        <w:spacing w:line="235" w:lineRule="auto" w:before="212"/>
        <w:ind w:left="165" w:firstLine="170"/>
      </w:pPr>
      <w:r>
        <w:rPr/>
        <w:br w:type="column"/>
      </w:r>
      <w:r>
        <w:rPr/>
        <w:t>Regulation</w:t>
      </w:r>
      <w:r>
        <w:rPr>
          <w:spacing w:val="32"/>
        </w:rPr>
        <w:t> </w:t>
      </w:r>
      <w:r>
        <w:rPr/>
        <w:t>(EU)</w:t>
      </w:r>
      <w:r>
        <w:rPr>
          <w:spacing w:val="31"/>
        </w:rPr>
        <w:t> </w:t>
      </w:r>
      <w:r>
        <w:rPr/>
        <w:t>1215/2012</w:t>
      </w:r>
      <w:r>
        <w:rPr>
          <w:spacing w:val="32"/>
        </w:rPr>
        <w:t> </w:t>
      </w:r>
      <w:r>
        <w:rPr/>
        <w:t>of</w:t>
      </w:r>
      <w:r>
        <w:rPr>
          <w:spacing w:val="31"/>
        </w:rPr>
        <w:t> </w:t>
      </w:r>
      <w:r>
        <w:rPr/>
        <w:t>December</w:t>
      </w:r>
      <w:r>
        <w:rPr>
          <w:spacing w:val="32"/>
        </w:rPr>
        <w:t> </w:t>
      </w:r>
      <w:r>
        <w:rPr/>
        <w:t>12,</w:t>
      </w:r>
      <w:r>
        <w:rPr>
          <w:spacing w:val="31"/>
        </w:rPr>
        <w:t> </w:t>
      </w:r>
      <w:r>
        <w:rPr/>
        <w:t>2012</w:t>
      </w:r>
      <w:r>
        <w:rPr>
          <w:spacing w:val="32"/>
        </w:rPr>
        <w:t> </w:t>
      </w:r>
      <w:r>
        <w:rPr/>
        <w:t>on</w:t>
      </w:r>
      <w:r>
        <w:rPr>
          <w:spacing w:val="31"/>
        </w:rPr>
        <w:t> </w:t>
      </w:r>
      <w:r>
        <w:rPr/>
        <w:t>jurisdiction</w:t>
      </w:r>
      <w:r>
        <w:rPr>
          <w:spacing w:val="32"/>
        </w:rPr>
        <w:t> </w:t>
      </w:r>
      <w:r>
        <w:rPr/>
        <w:t>and</w:t>
      </w:r>
      <w:r>
        <w:rPr>
          <w:spacing w:val="31"/>
        </w:rPr>
        <w:t> </w:t>
      </w:r>
      <w:r>
        <w:rPr/>
        <w:t>the</w:t>
      </w:r>
      <w:r>
        <w:rPr>
          <w:spacing w:val="32"/>
        </w:rPr>
        <w:t> </w:t>
      </w:r>
      <w:r>
        <w:rPr/>
        <w:t>recognition</w:t>
      </w:r>
      <w:r>
        <w:rPr>
          <w:spacing w:val="31"/>
        </w:rPr>
        <w:t> </w:t>
      </w:r>
      <w:r>
        <w:rPr/>
        <w:t>and enforcement of judgments in civil and commercial matters (recast) [2012] O.J. L351/1.</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6016">
            <wp:simplePos x="0" y="0"/>
            <wp:positionH relativeFrom="page">
              <wp:posOffset>1257846</wp:posOffset>
            </wp:positionH>
            <wp:positionV relativeFrom="paragraph">
              <wp:posOffset>160701</wp:posOffset>
            </wp:positionV>
            <wp:extent cx="107988" cy="107988"/>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1" w:id="213"/>
      <w:bookmarkEnd w:id="213"/>
      <w:r>
        <w:rPr/>
      </w:r>
      <w:hyperlink w:history="true" w:anchor="_bookmark180">
        <w:r>
          <w:rPr>
            <w:color w:val="005DA1"/>
            <w:spacing w:val="-4"/>
            <w:sz w:val="14"/>
            <w:u w:val="single" w:color="005DA1"/>
          </w:rPr>
          <w:t>107</w:t>
        </w:r>
      </w:hyperlink>
      <w:r>
        <w:rPr>
          <w:spacing w:val="-4"/>
          <w:sz w:val="14"/>
        </w:rPr>
        <w:t>.</w:t>
      </w:r>
    </w:p>
    <w:p>
      <w:pPr>
        <w:pStyle w:val="BodyText"/>
        <w:spacing w:line="235" w:lineRule="auto" w:before="213"/>
        <w:ind w:left="165" w:firstLine="170"/>
      </w:pPr>
      <w:r>
        <w:rPr/>
        <w:br w:type="column"/>
      </w:r>
      <w:r>
        <w:rPr/>
        <w:t>Regulation 593/2008 on the law applicable to contractual obligations (“Rome I”) [2008] </w:t>
      </w:r>
      <w:r>
        <w:rPr/>
        <w:t>O.J.</w:t>
      </w:r>
      <w:r>
        <w:rPr>
          <w:spacing w:val="40"/>
        </w:rPr>
        <w:t> </w:t>
      </w:r>
      <w:r>
        <w:rPr/>
        <w:t>L177/6, on which see Main Work, Vol.I, paras 30-129 et seq.</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212" w:id="214"/>
      <w:bookmarkEnd w:id="214"/>
      <w:r>
        <w:rPr/>
      </w:r>
      <w:hyperlink w:history="true" w:anchor="_bookmark181">
        <w:r>
          <w:rPr>
            <w:color w:val="005DA1"/>
            <w:spacing w:val="-4"/>
            <w:sz w:val="14"/>
            <w:u w:val="single" w:color="005DA1"/>
          </w:rPr>
          <w:t>108</w:t>
        </w:r>
      </w:hyperlink>
      <w:r>
        <w:rPr>
          <w:spacing w:val="-4"/>
          <w:sz w:val="14"/>
        </w:rPr>
        <w:t>.</w:t>
      </w:r>
    </w:p>
    <w:p>
      <w:pPr>
        <w:pStyle w:val="BodyText"/>
        <w:spacing w:line="235" w:lineRule="auto" w:before="212"/>
        <w:ind w:left="165" w:right="163" w:firstLine="170"/>
      </w:pPr>
      <w:r>
        <w:rPr/>
        <w:br w:type="column"/>
      </w:r>
      <w:r>
        <w:rPr/>
        <w:t>Regulation</w:t>
      </w:r>
      <w:r>
        <w:rPr>
          <w:spacing w:val="34"/>
        </w:rPr>
        <w:t> </w:t>
      </w:r>
      <w:r>
        <w:rPr/>
        <w:t>(EC)</w:t>
      </w:r>
      <w:r>
        <w:rPr>
          <w:spacing w:val="33"/>
        </w:rPr>
        <w:t> </w:t>
      </w:r>
      <w:r>
        <w:rPr/>
        <w:t>261/2004</w:t>
      </w:r>
      <w:r>
        <w:rPr>
          <w:spacing w:val="34"/>
        </w:rPr>
        <w:t> </w:t>
      </w:r>
      <w:r>
        <w:rPr/>
        <w:t>establishing</w:t>
      </w:r>
      <w:r>
        <w:rPr>
          <w:spacing w:val="33"/>
        </w:rPr>
        <w:t> </w:t>
      </w:r>
      <w:r>
        <w:rPr/>
        <w:t>common</w:t>
      </w:r>
      <w:r>
        <w:rPr>
          <w:spacing w:val="34"/>
        </w:rPr>
        <w:t> </w:t>
      </w:r>
      <w:r>
        <w:rPr/>
        <w:t>rules</w:t>
      </w:r>
      <w:r>
        <w:rPr>
          <w:spacing w:val="33"/>
        </w:rPr>
        <w:t> </w:t>
      </w:r>
      <w:r>
        <w:rPr/>
        <w:t>on</w:t>
      </w:r>
      <w:r>
        <w:rPr>
          <w:spacing w:val="34"/>
        </w:rPr>
        <w:t> </w:t>
      </w:r>
      <w:r>
        <w:rPr/>
        <w:t>compensation</w:t>
      </w:r>
      <w:r>
        <w:rPr>
          <w:spacing w:val="33"/>
        </w:rPr>
        <w:t> </w:t>
      </w:r>
      <w:r>
        <w:rPr/>
        <w:t>and</w:t>
      </w:r>
      <w:r>
        <w:rPr>
          <w:spacing w:val="34"/>
        </w:rPr>
        <w:t> </w:t>
      </w:r>
      <w:r>
        <w:rPr/>
        <w:t>assistance</w:t>
      </w:r>
      <w:r>
        <w:rPr>
          <w:spacing w:val="33"/>
        </w:rPr>
        <w:t> </w:t>
      </w:r>
      <w:r>
        <w:rPr/>
        <w:t>to passengers</w:t>
      </w:r>
      <w:r>
        <w:rPr>
          <w:spacing w:val="20"/>
        </w:rPr>
        <w:t> </w:t>
      </w:r>
      <w:r>
        <w:rPr/>
        <w:t>in</w:t>
      </w:r>
      <w:r>
        <w:rPr>
          <w:spacing w:val="20"/>
        </w:rPr>
        <w:t> </w:t>
      </w:r>
      <w:r>
        <w:rPr/>
        <w:t>the</w:t>
      </w:r>
      <w:r>
        <w:rPr>
          <w:spacing w:val="20"/>
        </w:rPr>
        <w:t> </w:t>
      </w:r>
      <w:r>
        <w:rPr/>
        <w:t>event</w:t>
      </w:r>
      <w:r>
        <w:rPr>
          <w:spacing w:val="20"/>
        </w:rPr>
        <w:t> </w:t>
      </w:r>
      <w:r>
        <w:rPr/>
        <w:t>of</w:t>
      </w:r>
      <w:r>
        <w:rPr>
          <w:spacing w:val="20"/>
        </w:rPr>
        <w:t> </w:t>
      </w:r>
      <w:r>
        <w:rPr/>
        <w:t>denied</w:t>
      </w:r>
      <w:r>
        <w:rPr>
          <w:spacing w:val="20"/>
        </w:rPr>
        <w:t> </w:t>
      </w:r>
      <w:r>
        <w:rPr/>
        <w:t>boarding</w:t>
      </w:r>
      <w:r>
        <w:rPr>
          <w:spacing w:val="20"/>
        </w:rPr>
        <w:t> </w:t>
      </w:r>
      <w:r>
        <w:rPr/>
        <w:t>and</w:t>
      </w:r>
      <w:r>
        <w:rPr>
          <w:spacing w:val="20"/>
        </w:rPr>
        <w:t> </w:t>
      </w:r>
      <w:r>
        <w:rPr/>
        <w:t>of</w:t>
      </w:r>
      <w:r>
        <w:rPr>
          <w:spacing w:val="20"/>
        </w:rPr>
        <w:t> </w:t>
      </w:r>
      <w:r>
        <w:rPr/>
        <w:t>cancellation</w:t>
      </w:r>
      <w:r>
        <w:rPr>
          <w:spacing w:val="20"/>
        </w:rPr>
        <w:t> </w:t>
      </w:r>
      <w:r>
        <w:rPr/>
        <w:t>or</w:t>
      </w:r>
      <w:r>
        <w:rPr>
          <w:spacing w:val="20"/>
        </w:rPr>
        <w:t> </w:t>
      </w:r>
      <w:r>
        <w:rPr/>
        <w:t>long</w:t>
      </w:r>
      <w:r>
        <w:rPr>
          <w:spacing w:val="20"/>
        </w:rPr>
        <w:t> </w:t>
      </w:r>
      <w:r>
        <w:rPr/>
        <w:t>delay</w:t>
      </w:r>
      <w:r>
        <w:rPr>
          <w:spacing w:val="20"/>
        </w:rPr>
        <w:t> </w:t>
      </w:r>
      <w:r>
        <w:rPr/>
        <w:t>of</w:t>
      </w:r>
      <w:r>
        <w:rPr>
          <w:spacing w:val="20"/>
        </w:rPr>
        <w:t> </w:t>
      </w:r>
      <w:r>
        <w:rPr/>
        <w:t>flights</w:t>
      </w:r>
      <w:r>
        <w:rPr>
          <w:spacing w:val="20"/>
        </w:rPr>
        <w:t> </w:t>
      </w:r>
      <w:r>
        <w:rPr>
          <w:spacing w:val="-2"/>
        </w:rPr>
        <w:t>[2004]</w:t>
      </w:r>
    </w:p>
    <w:p>
      <w:pPr>
        <w:pStyle w:val="BodyText"/>
        <w:spacing w:line="225" w:lineRule="exact"/>
        <w:ind w:left="165"/>
      </w:pPr>
      <w:r>
        <w:rPr/>
        <w:drawing>
          <wp:anchor distT="0" distB="0" distL="0" distR="0" allowOverlap="1" layoutInCell="1" locked="0" behindDoc="0" simplePos="0" relativeHeight="15766528">
            <wp:simplePos x="0" y="0"/>
            <wp:positionH relativeFrom="page">
              <wp:posOffset>1257846</wp:posOffset>
            </wp:positionH>
            <wp:positionV relativeFrom="paragraph">
              <wp:posOffset>-260628</wp:posOffset>
            </wp:positionV>
            <wp:extent cx="107988" cy="107988"/>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6" cstate="print"/>
                    <a:stretch>
                      <a:fillRect/>
                    </a:stretch>
                  </pic:blipFill>
                  <pic:spPr>
                    <a:xfrm>
                      <a:off x="0" y="0"/>
                      <a:ext cx="107988" cy="107988"/>
                    </a:xfrm>
                    <a:prstGeom prst="rect">
                      <a:avLst/>
                    </a:prstGeom>
                  </pic:spPr>
                </pic:pic>
              </a:graphicData>
            </a:graphic>
          </wp:anchor>
        </w:drawing>
      </w:r>
      <w:r>
        <w:rPr/>
        <w:t>O.J. L46/1 on which see Main Work, Vol.II, paras 35-071—35-</w:t>
      </w:r>
      <w:r>
        <w:rPr>
          <w:spacing w:val="-4"/>
        </w:rPr>
        <w:t>073.</w:t>
      </w:r>
    </w:p>
    <w:p>
      <w:pPr>
        <w:pStyle w:val="BodyText"/>
        <w:spacing w:after="0" w:line="225" w:lineRule="exact"/>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213" w:id="215"/>
      <w:bookmarkEnd w:id="215"/>
      <w:r>
        <w:rPr/>
      </w:r>
      <w:hyperlink w:history="true" w:anchor="_bookmark182">
        <w:r>
          <w:rPr>
            <w:color w:val="005DA1"/>
            <w:spacing w:val="-4"/>
            <w:sz w:val="14"/>
            <w:u w:val="single" w:color="005DA1"/>
          </w:rPr>
          <w:t>109</w:t>
        </w:r>
      </w:hyperlink>
      <w:r>
        <w:rPr>
          <w:spacing w:val="-4"/>
          <w:sz w:val="14"/>
        </w:rPr>
        <w:t>.</w:t>
      </w:r>
    </w:p>
    <w:p>
      <w:pPr>
        <w:pStyle w:val="BodyText"/>
        <w:spacing w:line="235" w:lineRule="auto" w:before="213"/>
        <w:ind w:left="165" w:right="167" w:firstLine="170"/>
        <w:jc w:val="both"/>
      </w:pPr>
      <w:r>
        <w:rPr/>
        <w:br w:type="column"/>
      </w:r>
      <w:r>
        <w:rPr/>
        <w:t>The 2015 Act implements Directive 1999/44/EC on certain aspects of the sale of </w:t>
      </w:r>
      <w:r>
        <w:rPr/>
        <w:t>consumer goods and associated guarantees [1999] O.J. L171/12 (principally in Pt 1, Ch.2 of the Act); the Directive 93/13/EEC of April 5, 1993 on unfair terms in consumer contracts [1993] O.J. L95/29 (principally in Pt 2 of the Act) and certain aspects of Directive 2011/83/EU on consumer rights [2011]</w:t>
      </w:r>
      <w:r>
        <w:rPr>
          <w:spacing w:val="9"/>
        </w:rPr>
        <w:t> </w:t>
      </w:r>
      <w:r>
        <w:rPr/>
        <w:t>O.J.</w:t>
      </w:r>
      <w:r>
        <w:rPr>
          <w:spacing w:val="9"/>
        </w:rPr>
        <w:t> </w:t>
      </w:r>
      <w:r>
        <w:rPr/>
        <w:t>L304/64</w:t>
      </w:r>
      <w:r>
        <w:rPr>
          <w:spacing w:val="9"/>
        </w:rPr>
        <w:t> </w:t>
      </w:r>
      <w:r>
        <w:rPr/>
        <w:t>(ss.11(4)–(6),</w:t>
      </w:r>
      <w:r>
        <w:rPr>
          <w:spacing w:val="9"/>
        </w:rPr>
        <w:t> </w:t>
      </w:r>
      <w:r>
        <w:rPr/>
        <w:t>12;</w:t>
      </w:r>
      <w:r>
        <w:rPr>
          <w:spacing w:val="9"/>
        </w:rPr>
        <w:t> </w:t>
      </w:r>
      <w:r>
        <w:rPr/>
        <w:t>ss.36(3)–(4)</w:t>
      </w:r>
      <w:r>
        <w:rPr>
          <w:spacing w:val="9"/>
        </w:rPr>
        <w:t> </w:t>
      </w:r>
      <w:r>
        <w:rPr/>
        <w:t>and</w:t>
      </w:r>
      <w:r>
        <w:rPr>
          <w:spacing w:val="9"/>
        </w:rPr>
        <w:t> </w:t>
      </w:r>
      <w:r>
        <w:rPr/>
        <w:t>37;</w:t>
      </w:r>
      <w:r>
        <w:rPr>
          <w:spacing w:val="9"/>
        </w:rPr>
        <w:t> </w:t>
      </w:r>
      <w:r>
        <w:rPr/>
        <w:t>and</w:t>
      </w:r>
      <w:r>
        <w:rPr>
          <w:spacing w:val="9"/>
        </w:rPr>
        <w:t> </w:t>
      </w:r>
      <w:r>
        <w:rPr/>
        <w:t>s.50(3)–(4)</w:t>
      </w:r>
      <w:r>
        <w:rPr>
          <w:spacing w:val="9"/>
        </w:rPr>
        <w:t> </w:t>
      </w:r>
      <w:r>
        <w:rPr/>
        <w:t>of</w:t>
      </w:r>
      <w:r>
        <w:rPr>
          <w:spacing w:val="9"/>
        </w:rPr>
        <w:t> </w:t>
      </w:r>
      <w:r>
        <w:rPr/>
        <w:t>the</w:t>
      </w:r>
      <w:r>
        <w:rPr>
          <w:spacing w:val="9"/>
        </w:rPr>
        <w:t> </w:t>
      </w:r>
      <w:r>
        <w:rPr/>
        <w:t>Act).</w:t>
      </w:r>
      <w:r>
        <w:rPr>
          <w:spacing w:val="9"/>
        </w:rPr>
        <w:t> </w:t>
      </w:r>
      <w:r>
        <w:rPr/>
        <w:t>On</w:t>
      </w:r>
      <w:r>
        <w:rPr>
          <w:spacing w:val="9"/>
        </w:rPr>
        <w:t> </w:t>
      </w:r>
      <w:r>
        <w:rPr>
          <w:spacing w:val="-4"/>
        </w:rPr>
        <w:t>this</w:t>
      </w:r>
    </w:p>
    <w:p>
      <w:pPr>
        <w:pStyle w:val="BodyText"/>
        <w:spacing w:line="224" w:lineRule="exact"/>
        <w:ind w:left="165"/>
        <w:jc w:val="both"/>
      </w:pPr>
      <w:r>
        <w:rPr/>
        <w:drawing>
          <wp:anchor distT="0" distB="0" distL="0" distR="0" allowOverlap="1" layoutInCell="1" locked="0" behindDoc="0" simplePos="0" relativeHeight="15767040">
            <wp:simplePos x="0" y="0"/>
            <wp:positionH relativeFrom="page">
              <wp:posOffset>1257846</wp:posOffset>
            </wp:positionH>
            <wp:positionV relativeFrom="paragraph">
              <wp:posOffset>-690116</wp:posOffset>
            </wp:positionV>
            <wp:extent cx="107988" cy="107988"/>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6" cstate="print"/>
                    <a:stretch>
                      <a:fillRect/>
                    </a:stretch>
                  </pic:blipFill>
                  <pic:spPr>
                    <a:xfrm>
                      <a:off x="0" y="0"/>
                      <a:ext cx="107988" cy="107988"/>
                    </a:xfrm>
                    <a:prstGeom prst="rect">
                      <a:avLst/>
                    </a:prstGeom>
                  </pic:spPr>
                </pic:pic>
              </a:graphicData>
            </a:graphic>
          </wp:anchor>
        </w:drawing>
      </w:r>
      <w:r>
        <w:rPr/>
        <w:t>see Main Work, Vol.II, paras 38-345 et seq. and 38-402, 38-431 et </w:t>
      </w:r>
      <w:r>
        <w:rPr>
          <w:spacing w:val="-4"/>
        </w:rPr>
        <w:t>seq.</w:t>
      </w:r>
    </w:p>
    <w:p>
      <w:pPr>
        <w:pStyle w:val="BodyText"/>
        <w:spacing w:after="0" w:line="224" w:lineRule="exact"/>
        <w:jc w:val="both"/>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7552">
            <wp:simplePos x="0" y="0"/>
            <wp:positionH relativeFrom="page">
              <wp:posOffset>1257846</wp:posOffset>
            </wp:positionH>
            <wp:positionV relativeFrom="paragraph">
              <wp:posOffset>160585</wp:posOffset>
            </wp:positionV>
            <wp:extent cx="107988" cy="107988"/>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4" w:id="216"/>
      <w:bookmarkEnd w:id="216"/>
      <w:r>
        <w:rPr/>
      </w:r>
      <w:hyperlink w:history="true" w:anchor="_bookmark183">
        <w:r>
          <w:rPr>
            <w:color w:val="005DA1"/>
            <w:spacing w:val="-4"/>
            <w:sz w:val="14"/>
            <w:u w:val="single" w:color="005DA1"/>
          </w:rPr>
          <w:t>110</w:t>
        </w:r>
      </w:hyperlink>
      <w:r>
        <w:rPr>
          <w:spacing w:val="-4"/>
          <w:sz w:val="14"/>
        </w:rPr>
        <w:t>.</w:t>
      </w:r>
    </w:p>
    <w:p>
      <w:pPr>
        <w:pStyle w:val="BodyText"/>
        <w:spacing w:line="235" w:lineRule="auto" w:before="212"/>
        <w:ind w:left="165" w:right="167" w:firstLine="170"/>
        <w:jc w:val="both"/>
      </w:pPr>
      <w:r>
        <w:rPr/>
        <w:br w:type="column"/>
      </w:r>
      <w:r>
        <w:rPr/>
        <w:t>2017 Bill cl.2(2) and see Explanatory Memorandum para.74, which gives as an example domestic health and safety law implementing EU obligations made under powers in the </w:t>
      </w:r>
      <w:r>
        <w:rPr/>
        <w:t>Health and Safety at Work etc. Act 1974 rather than the European Communities Act 1972.</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8064">
            <wp:simplePos x="0" y="0"/>
            <wp:positionH relativeFrom="page">
              <wp:posOffset>1257846</wp:posOffset>
            </wp:positionH>
            <wp:positionV relativeFrom="paragraph">
              <wp:posOffset>160502</wp:posOffset>
            </wp:positionV>
            <wp:extent cx="107988" cy="107988"/>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5" w:id="217"/>
      <w:bookmarkEnd w:id="217"/>
      <w:r>
        <w:rPr/>
      </w:r>
      <w:hyperlink w:history="true" w:anchor="_bookmark184">
        <w:r>
          <w:rPr>
            <w:color w:val="005DA1"/>
            <w:spacing w:val="-4"/>
            <w:sz w:val="14"/>
            <w:u w:val="single" w:color="005DA1"/>
          </w:rPr>
          <w:t>111</w:t>
        </w:r>
      </w:hyperlink>
      <w:r>
        <w:rPr>
          <w:spacing w:val="-4"/>
          <w:sz w:val="14"/>
        </w:rPr>
        <w:t>.</w:t>
      </w:r>
    </w:p>
    <w:p>
      <w:pPr>
        <w:pStyle w:val="BodyText"/>
        <w:spacing w:line="235" w:lineRule="auto" w:before="212"/>
        <w:ind w:left="165" w:right="167" w:firstLine="170"/>
        <w:jc w:val="both"/>
      </w:pPr>
      <w:r>
        <w:rPr/>
        <w:br w:type="column"/>
      </w:r>
      <w:r>
        <w:rPr/>
        <w:t>2017 Bill cl.6(7) defining “retained EU law” by reference to “anything which, on or after </w:t>
      </w:r>
      <w:r>
        <w:rPr/>
        <w:t>exit day, continues to be, or forms part of, domestic law by virtue of” cls 2, 3, 4 or 6(3) or (6) of the Bill, “as that body of law is added to or otherwise modified by or under [the Bill] or by other domestic law from time to time”.</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8576">
            <wp:simplePos x="0" y="0"/>
            <wp:positionH relativeFrom="page">
              <wp:posOffset>1257846</wp:posOffset>
            </wp:positionH>
            <wp:positionV relativeFrom="paragraph">
              <wp:posOffset>160177</wp:posOffset>
            </wp:positionV>
            <wp:extent cx="107988" cy="107988"/>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6" w:id="218"/>
      <w:bookmarkEnd w:id="218"/>
      <w:r>
        <w:rPr/>
      </w:r>
      <w:hyperlink w:history="true" w:anchor="_bookmark185">
        <w:r>
          <w:rPr>
            <w:color w:val="005DA1"/>
            <w:spacing w:val="-4"/>
            <w:sz w:val="14"/>
            <w:u w:val="single" w:color="005DA1"/>
          </w:rPr>
          <w:t>112</w:t>
        </w:r>
      </w:hyperlink>
      <w:r>
        <w:rPr>
          <w:spacing w:val="-4"/>
          <w:sz w:val="14"/>
        </w:rPr>
        <w:t>.</w:t>
      </w:r>
    </w:p>
    <w:p>
      <w:pPr>
        <w:pStyle w:val="BodyText"/>
        <w:spacing w:line="235" w:lineRule="auto" w:before="212"/>
        <w:ind w:left="165" w:right="225" w:firstLine="170"/>
      </w:pPr>
      <w:r>
        <w:rPr/>
        <w:br w:type="column"/>
      </w:r>
      <w:r>
        <w:rPr/>
        <w:t>2017 Bill heading of cl.7 and Sch.2 Pt 1; Cm.9446 (March 2017) paras 1.14–1.16. and </w:t>
      </w:r>
      <w:r>
        <w:rPr/>
        <w:t>Ch.3. The definition of “devolved authority” is contained in cl.14(1) of the 2017 Bill.</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217" w:id="219"/>
      <w:bookmarkEnd w:id="219"/>
      <w:r>
        <w:rPr/>
      </w:r>
      <w:hyperlink w:history="true" w:anchor="_bookmark186">
        <w:r>
          <w:rPr>
            <w:color w:val="005DA1"/>
            <w:spacing w:val="-4"/>
            <w:sz w:val="14"/>
            <w:u w:val="single" w:color="005DA1"/>
          </w:rPr>
          <w:t>113</w:t>
        </w:r>
      </w:hyperlink>
      <w:r>
        <w:rPr>
          <w:spacing w:val="-4"/>
          <w:sz w:val="14"/>
        </w:rPr>
        <w:t>.</w:t>
      </w:r>
    </w:p>
    <w:p>
      <w:pPr>
        <w:pStyle w:val="BodyText"/>
        <w:spacing w:before="208"/>
        <w:ind w:left="335"/>
      </w:pPr>
      <w:r>
        <w:rPr/>
        <w:br w:type="column"/>
      </w:r>
      <w:r>
        <w:rPr/>
        <w:t>Above, para.1-</w:t>
      </w:r>
      <w:r>
        <w:rPr>
          <w:spacing w:val="-2"/>
        </w:rPr>
        <w:t>013C.</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9088">
            <wp:simplePos x="0" y="0"/>
            <wp:positionH relativeFrom="page">
              <wp:posOffset>1257846</wp:posOffset>
            </wp:positionH>
            <wp:positionV relativeFrom="paragraph">
              <wp:posOffset>-211119</wp:posOffset>
            </wp:positionV>
            <wp:extent cx="107988" cy="107988"/>
            <wp:effectExtent l="0" t="0" r="0" b="0"/>
            <wp:wrapNone/>
            <wp:docPr id="164" name="Image 164"/>
            <wp:cNvGraphicFramePr>
              <a:graphicFrameLocks/>
            </wp:cNvGraphicFramePr>
            <a:graphic>
              <a:graphicData uri="http://schemas.openxmlformats.org/drawingml/2006/picture">
                <pic:pic>
                  <pic:nvPicPr>
                    <pic:cNvPr id="164" name="Image 16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8" w:id="220"/>
      <w:bookmarkEnd w:id="220"/>
      <w:r>
        <w:rPr/>
      </w:r>
      <w:hyperlink w:history="true" w:anchor="_bookmark187">
        <w:r>
          <w:rPr>
            <w:color w:val="005DA1"/>
            <w:spacing w:val="-4"/>
            <w:sz w:val="14"/>
            <w:u w:val="single" w:color="005DA1"/>
          </w:rPr>
          <w:t>114</w:t>
        </w:r>
      </w:hyperlink>
      <w:r>
        <w:rPr>
          <w:spacing w:val="-4"/>
          <w:sz w:val="14"/>
        </w:rPr>
        <w:t>.</w:t>
      </w:r>
    </w:p>
    <w:p>
      <w:pPr>
        <w:pStyle w:val="BodyText"/>
        <w:spacing w:before="208"/>
        <w:ind w:left="335"/>
      </w:pPr>
      <w:r>
        <w:rPr/>
        <w:br w:type="column"/>
      </w:r>
      <w:r>
        <w:rPr/>
        <w:t>2017 Bill cl.4 and Explanatory Notes to 2017 Bill, paras 87 et </w:t>
      </w:r>
      <w:r>
        <w:rPr>
          <w:spacing w:val="-4"/>
        </w:rPr>
        <w:t>seq.</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9600">
            <wp:simplePos x="0" y="0"/>
            <wp:positionH relativeFrom="page">
              <wp:posOffset>1257846</wp:posOffset>
            </wp:positionH>
            <wp:positionV relativeFrom="paragraph">
              <wp:posOffset>-211099</wp:posOffset>
            </wp:positionV>
            <wp:extent cx="107988" cy="107988"/>
            <wp:effectExtent l="0" t="0" r="0" b="0"/>
            <wp:wrapNone/>
            <wp:docPr id="165" name="Image 165"/>
            <wp:cNvGraphicFramePr>
              <a:graphicFrameLocks/>
            </wp:cNvGraphicFramePr>
            <a:graphic>
              <a:graphicData uri="http://schemas.openxmlformats.org/drawingml/2006/picture">
                <pic:pic>
                  <pic:nvPicPr>
                    <pic:cNvPr id="165" name="Image 16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9" w:id="221"/>
      <w:bookmarkEnd w:id="221"/>
      <w:r>
        <w:rPr/>
      </w:r>
      <w:hyperlink w:history="true" w:anchor="_bookmark188">
        <w:r>
          <w:rPr>
            <w:color w:val="005DA1"/>
            <w:spacing w:val="-4"/>
            <w:sz w:val="14"/>
            <w:u w:val="single" w:color="005DA1"/>
          </w:rPr>
          <w:t>115</w:t>
        </w:r>
      </w:hyperlink>
      <w:r>
        <w:rPr>
          <w:spacing w:val="-4"/>
          <w:sz w:val="14"/>
        </w:rPr>
        <w:t>.</w:t>
      </w:r>
    </w:p>
    <w:p>
      <w:pPr>
        <w:pStyle w:val="BodyText"/>
        <w:spacing w:before="208"/>
        <w:ind w:left="335"/>
      </w:pPr>
      <w:r>
        <w:rPr/>
        <w:br w:type="column"/>
      </w:r>
      <w:r>
        <w:rPr/>
        <w:t>2017 Bill cl.5; Cm 9446 (March 2017) paras </w:t>
      </w:r>
      <w:r>
        <w:rPr>
          <w:spacing w:val="-2"/>
        </w:rPr>
        <w:t>2.19–2.20.</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0112">
            <wp:simplePos x="0" y="0"/>
            <wp:positionH relativeFrom="page">
              <wp:posOffset>1257846</wp:posOffset>
            </wp:positionH>
            <wp:positionV relativeFrom="paragraph">
              <wp:posOffset>-211079</wp:posOffset>
            </wp:positionV>
            <wp:extent cx="107988" cy="107988"/>
            <wp:effectExtent l="0" t="0" r="0" b="0"/>
            <wp:wrapNone/>
            <wp:docPr id="166" name="Image 166"/>
            <wp:cNvGraphicFramePr>
              <a:graphicFrameLocks/>
            </wp:cNvGraphicFramePr>
            <a:graphic>
              <a:graphicData uri="http://schemas.openxmlformats.org/drawingml/2006/picture">
                <pic:pic>
                  <pic:nvPicPr>
                    <pic:cNvPr id="166" name="Image 16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20" w:id="222"/>
      <w:bookmarkEnd w:id="222"/>
      <w:r>
        <w:rPr/>
      </w:r>
      <w:hyperlink w:history="true" w:anchor="_bookmark189">
        <w:r>
          <w:rPr>
            <w:color w:val="005DA1"/>
            <w:spacing w:val="-4"/>
            <w:sz w:val="14"/>
            <w:u w:val="single" w:color="005DA1"/>
          </w:rPr>
          <w:t>116</w:t>
        </w:r>
      </w:hyperlink>
      <w:r>
        <w:rPr>
          <w:spacing w:val="-4"/>
          <w:sz w:val="14"/>
        </w:rPr>
        <w:t>.</w:t>
      </w:r>
    </w:p>
    <w:p>
      <w:pPr>
        <w:pStyle w:val="BodyText"/>
        <w:spacing w:before="208"/>
        <w:ind w:left="335"/>
      </w:pPr>
      <w:r>
        <w:rPr/>
        <w:br w:type="column"/>
      </w:r>
      <w:r>
        <w:rPr/>
        <w:t>See above, </w:t>
      </w:r>
      <w:r>
        <w:rPr>
          <w:spacing w:val="-2"/>
        </w:rPr>
        <w:t>n.92.</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0624">
            <wp:simplePos x="0" y="0"/>
            <wp:positionH relativeFrom="page">
              <wp:posOffset>1257846</wp:posOffset>
            </wp:positionH>
            <wp:positionV relativeFrom="paragraph">
              <wp:posOffset>-211059</wp:posOffset>
            </wp:positionV>
            <wp:extent cx="107988" cy="107988"/>
            <wp:effectExtent l="0" t="0" r="0" b="0"/>
            <wp:wrapNone/>
            <wp:docPr id="167" name="Image 167"/>
            <wp:cNvGraphicFramePr>
              <a:graphicFrameLocks/>
            </wp:cNvGraphicFramePr>
            <a:graphic>
              <a:graphicData uri="http://schemas.openxmlformats.org/drawingml/2006/picture">
                <pic:pic>
                  <pic:nvPicPr>
                    <pic:cNvPr id="167" name="Image 167"/>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71136">
            <wp:simplePos x="0" y="0"/>
            <wp:positionH relativeFrom="page">
              <wp:posOffset>1257846</wp:posOffset>
            </wp:positionH>
            <wp:positionV relativeFrom="paragraph">
              <wp:posOffset>160415</wp:posOffset>
            </wp:positionV>
            <wp:extent cx="107988" cy="107988"/>
            <wp:effectExtent l="0" t="0" r="0" b="0"/>
            <wp:wrapNone/>
            <wp:docPr id="168" name="Image 168"/>
            <wp:cNvGraphicFramePr>
              <a:graphicFrameLocks/>
            </wp:cNvGraphicFramePr>
            <a:graphic>
              <a:graphicData uri="http://schemas.openxmlformats.org/drawingml/2006/picture">
                <pic:pic>
                  <pic:nvPicPr>
                    <pic:cNvPr id="168" name="Image 16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21" w:id="223"/>
      <w:bookmarkEnd w:id="223"/>
      <w:r>
        <w:rPr/>
      </w:r>
      <w:hyperlink w:history="true" w:anchor="_bookmark190">
        <w:r>
          <w:rPr>
            <w:color w:val="005DA1"/>
            <w:spacing w:val="-4"/>
            <w:sz w:val="14"/>
            <w:u w:val="single" w:color="005DA1"/>
          </w:rPr>
          <w:t>117</w:t>
        </w:r>
      </w:hyperlink>
      <w:r>
        <w:rPr>
          <w:spacing w:val="-4"/>
          <w:sz w:val="14"/>
        </w:rPr>
        <w:t>.</w:t>
      </w:r>
    </w:p>
    <w:p>
      <w:pPr>
        <w:pStyle w:val="BodyText"/>
        <w:spacing w:line="235" w:lineRule="auto" w:before="212"/>
        <w:ind w:left="165" w:right="167" w:firstLine="170"/>
        <w:jc w:val="both"/>
      </w:pPr>
      <w:r>
        <w:rPr/>
        <w:br w:type="column"/>
      </w:r>
      <w:r>
        <w:rPr/>
        <w:t>Defined in terms of temporal origin by cl.6(7) of the 2017 Bill as those which are made or </w:t>
      </w:r>
      <w:r>
        <w:rPr/>
        <w:t>laid down immediately before exit day: cl.6(7) “retained EU case law” and “retained general principles of EU law”.</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222" w:id="224"/>
      <w:bookmarkEnd w:id="224"/>
      <w:r>
        <w:rPr/>
      </w:r>
      <w:hyperlink w:history="true" w:anchor="_bookmark191">
        <w:r>
          <w:rPr>
            <w:color w:val="005DA1"/>
            <w:spacing w:val="-4"/>
            <w:sz w:val="14"/>
            <w:u w:val="single" w:color="005DA1"/>
          </w:rPr>
          <w:t>118</w:t>
        </w:r>
      </w:hyperlink>
      <w:r>
        <w:rPr>
          <w:spacing w:val="-4"/>
          <w:sz w:val="14"/>
        </w:rPr>
        <w:t>.</w:t>
      </w:r>
    </w:p>
    <w:p>
      <w:pPr>
        <w:pStyle w:val="BodyText"/>
        <w:spacing w:before="208"/>
        <w:ind w:left="335"/>
      </w:pPr>
      <w:r>
        <w:rPr/>
        <w:br w:type="column"/>
      </w:r>
      <w:r>
        <w:rPr/>
        <w:t>2017 Bill </w:t>
      </w:r>
      <w:r>
        <w:rPr>
          <w:spacing w:val="-2"/>
        </w:rPr>
        <w:t>cl.6(3).</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1648">
            <wp:simplePos x="0" y="0"/>
            <wp:positionH relativeFrom="page">
              <wp:posOffset>1257846</wp:posOffset>
            </wp:positionH>
            <wp:positionV relativeFrom="paragraph">
              <wp:posOffset>-211123</wp:posOffset>
            </wp:positionV>
            <wp:extent cx="107988" cy="107988"/>
            <wp:effectExtent l="0" t="0" r="0" b="0"/>
            <wp:wrapNone/>
            <wp:docPr id="169" name="Image 169"/>
            <wp:cNvGraphicFramePr>
              <a:graphicFrameLocks/>
            </wp:cNvGraphicFramePr>
            <a:graphic>
              <a:graphicData uri="http://schemas.openxmlformats.org/drawingml/2006/picture">
                <pic:pic>
                  <pic:nvPicPr>
                    <pic:cNvPr id="169" name="Image 169"/>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72160">
            <wp:simplePos x="0" y="0"/>
            <wp:positionH relativeFrom="page">
              <wp:posOffset>1257846</wp:posOffset>
            </wp:positionH>
            <wp:positionV relativeFrom="paragraph">
              <wp:posOffset>160351</wp:posOffset>
            </wp:positionV>
            <wp:extent cx="107988" cy="107988"/>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23" w:id="225"/>
      <w:bookmarkEnd w:id="225"/>
      <w:r>
        <w:rPr/>
      </w:r>
      <w:hyperlink w:history="true" w:anchor="_bookmark192">
        <w:r>
          <w:rPr>
            <w:color w:val="005DA1"/>
            <w:spacing w:val="-4"/>
            <w:sz w:val="14"/>
            <w:u w:val="single" w:color="005DA1"/>
          </w:rPr>
          <w:t>119</w:t>
        </w:r>
      </w:hyperlink>
      <w:r>
        <w:rPr>
          <w:spacing w:val="-4"/>
          <w:sz w:val="14"/>
        </w:rPr>
        <w:t>.</w:t>
      </w:r>
    </w:p>
    <w:p>
      <w:pPr>
        <w:pStyle w:val="BodyText"/>
        <w:spacing w:line="235" w:lineRule="auto" w:before="212"/>
        <w:ind w:left="165" w:firstLine="170"/>
      </w:pPr>
      <w:r>
        <w:rPr/>
        <w:br w:type="column"/>
      </w:r>
      <w:r>
        <w:rPr/>
        <w:t>2017</w:t>
      </w:r>
      <w:r>
        <w:rPr>
          <w:spacing w:val="62"/>
        </w:rPr>
        <w:t> </w:t>
      </w:r>
      <w:r>
        <w:rPr/>
        <w:t>Bill</w:t>
      </w:r>
      <w:r>
        <w:rPr>
          <w:spacing w:val="62"/>
        </w:rPr>
        <w:t> </w:t>
      </w:r>
      <w:r>
        <w:rPr/>
        <w:t>cl.6(4)(a).</w:t>
      </w:r>
      <w:r>
        <w:rPr>
          <w:spacing w:val="62"/>
        </w:rPr>
        <w:t> </w:t>
      </w:r>
      <w:r>
        <w:rPr/>
        <w:t>Further</w:t>
      </w:r>
      <w:r>
        <w:rPr>
          <w:spacing w:val="62"/>
        </w:rPr>
        <w:t> </w:t>
      </w:r>
      <w:r>
        <w:rPr/>
        <w:t>provision</w:t>
      </w:r>
      <w:r>
        <w:rPr>
          <w:spacing w:val="62"/>
        </w:rPr>
        <w:t> </w:t>
      </w:r>
      <w:r>
        <w:rPr/>
        <w:t>is</w:t>
      </w:r>
      <w:r>
        <w:rPr>
          <w:spacing w:val="62"/>
        </w:rPr>
        <w:t> </w:t>
      </w:r>
      <w:r>
        <w:rPr/>
        <w:t>made</w:t>
      </w:r>
      <w:r>
        <w:rPr>
          <w:spacing w:val="62"/>
        </w:rPr>
        <w:t> </w:t>
      </w:r>
      <w:r>
        <w:rPr/>
        <w:t>as</w:t>
      </w:r>
      <w:r>
        <w:rPr>
          <w:spacing w:val="62"/>
        </w:rPr>
        <w:t> </w:t>
      </w:r>
      <w:r>
        <w:rPr/>
        <w:t>regards</w:t>
      </w:r>
      <w:r>
        <w:rPr>
          <w:spacing w:val="62"/>
        </w:rPr>
        <w:t> </w:t>
      </w:r>
      <w:r>
        <w:rPr/>
        <w:t>the</w:t>
      </w:r>
      <w:r>
        <w:rPr>
          <w:spacing w:val="62"/>
        </w:rPr>
        <w:t> </w:t>
      </w:r>
      <w:r>
        <w:rPr/>
        <w:t>(Scottish)</w:t>
      </w:r>
      <w:r>
        <w:rPr>
          <w:spacing w:val="62"/>
        </w:rPr>
        <w:t> </w:t>
      </w:r>
      <w:r>
        <w:rPr/>
        <w:t>High</w:t>
      </w:r>
      <w:r>
        <w:rPr>
          <w:spacing w:val="62"/>
        </w:rPr>
        <w:t> </w:t>
      </w:r>
      <w:r>
        <w:rPr/>
        <w:t>Court</w:t>
      </w:r>
      <w:r>
        <w:rPr>
          <w:spacing w:val="62"/>
        </w:rPr>
        <w:t> </w:t>
      </w:r>
      <w:r>
        <w:rPr/>
        <w:t>of </w:t>
      </w:r>
      <w:r>
        <w:rPr>
          <w:spacing w:val="-2"/>
        </w:rPr>
        <w:t>Justiciary.</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224" w:id="226"/>
      <w:bookmarkEnd w:id="226"/>
      <w:r>
        <w:rPr/>
      </w:r>
      <w:hyperlink w:history="true" w:anchor="_bookmark193">
        <w:r>
          <w:rPr>
            <w:color w:val="005DA1"/>
            <w:spacing w:val="-4"/>
            <w:sz w:val="14"/>
            <w:u w:val="single" w:color="005DA1"/>
          </w:rPr>
          <w:t>120</w:t>
        </w:r>
      </w:hyperlink>
      <w:r>
        <w:rPr>
          <w:spacing w:val="-4"/>
          <w:sz w:val="14"/>
        </w:rPr>
        <w:t>.</w:t>
      </w:r>
    </w:p>
    <w:p>
      <w:pPr>
        <w:pStyle w:val="BodyText"/>
        <w:spacing w:before="208"/>
        <w:ind w:left="335"/>
      </w:pPr>
      <w:r>
        <w:rPr/>
        <w:br w:type="column"/>
      </w:r>
      <w:r>
        <w:rPr/>
        <w:t>2017 Bill </w:t>
      </w:r>
      <w:r>
        <w:rPr>
          <w:spacing w:val="-2"/>
        </w:rPr>
        <w:t>cl.6(5).</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2672">
            <wp:simplePos x="0" y="0"/>
            <wp:positionH relativeFrom="page">
              <wp:posOffset>1257846</wp:posOffset>
            </wp:positionH>
            <wp:positionV relativeFrom="paragraph">
              <wp:posOffset>-210944</wp:posOffset>
            </wp:positionV>
            <wp:extent cx="107988" cy="107988"/>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73184">
            <wp:simplePos x="0" y="0"/>
            <wp:positionH relativeFrom="page">
              <wp:posOffset>1257846</wp:posOffset>
            </wp:positionH>
            <wp:positionV relativeFrom="paragraph">
              <wp:posOffset>160530</wp:posOffset>
            </wp:positionV>
            <wp:extent cx="107988" cy="107988"/>
            <wp:effectExtent l="0" t="0" r="0" b="0"/>
            <wp:wrapNone/>
            <wp:docPr id="172" name="Image 172"/>
            <wp:cNvGraphicFramePr>
              <a:graphicFrameLocks/>
            </wp:cNvGraphicFramePr>
            <a:graphic>
              <a:graphicData uri="http://schemas.openxmlformats.org/drawingml/2006/picture">
                <pic:pic>
                  <pic:nvPicPr>
                    <pic:cNvPr id="172" name="Image 17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25" w:id="227"/>
      <w:bookmarkEnd w:id="227"/>
      <w:r>
        <w:rPr/>
      </w:r>
      <w:hyperlink w:history="true" w:anchor="_bookmark194">
        <w:r>
          <w:rPr>
            <w:color w:val="005DA1"/>
            <w:spacing w:val="-4"/>
            <w:sz w:val="14"/>
            <w:u w:val="single" w:color="005DA1"/>
          </w:rPr>
          <w:t>121</w:t>
        </w:r>
      </w:hyperlink>
      <w:r>
        <w:rPr>
          <w:spacing w:val="-4"/>
          <w:sz w:val="14"/>
        </w:rPr>
        <w:t>.</w:t>
      </w:r>
    </w:p>
    <w:p>
      <w:pPr>
        <w:pStyle w:val="BodyText"/>
        <w:spacing w:before="209"/>
        <w:ind w:left="335"/>
      </w:pPr>
      <w:r>
        <w:rPr/>
        <w:br w:type="column"/>
      </w:r>
      <w:r>
        <w:rPr/>
        <w:t>Cm</w:t>
      </w:r>
      <w:r>
        <w:rPr>
          <w:spacing w:val="29"/>
        </w:rPr>
        <w:t> </w:t>
      </w:r>
      <w:r>
        <w:rPr/>
        <w:t>9446</w:t>
      </w:r>
      <w:r>
        <w:rPr>
          <w:spacing w:val="29"/>
        </w:rPr>
        <w:t> </w:t>
      </w:r>
      <w:r>
        <w:rPr/>
        <w:t>(March</w:t>
      </w:r>
      <w:r>
        <w:rPr>
          <w:spacing w:val="29"/>
        </w:rPr>
        <w:t> </w:t>
      </w:r>
      <w:r>
        <w:rPr/>
        <w:t>2017)</w:t>
      </w:r>
      <w:r>
        <w:rPr>
          <w:spacing w:val="29"/>
        </w:rPr>
        <w:t> </w:t>
      </w:r>
      <w:r>
        <w:rPr/>
        <w:t>para.2.16</w:t>
      </w:r>
      <w:r>
        <w:rPr>
          <w:spacing w:val="29"/>
        </w:rPr>
        <w:t> </w:t>
      </w:r>
      <w:r>
        <w:rPr/>
        <w:t>quoting</w:t>
      </w:r>
      <w:r>
        <w:rPr>
          <w:spacing w:val="29"/>
        </w:rPr>
        <w:t> </w:t>
      </w:r>
      <w:r>
        <w:rPr/>
        <w:t>the</w:t>
      </w:r>
      <w:r>
        <w:rPr>
          <w:spacing w:val="29"/>
        </w:rPr>
        <w:t> </w:t>
      </w:r>
      <w:r>
        <w:rPr/>
        <w:t>House</w:t>
      </w:r>
      <w:r>
        <w:rPr>
          <w:spacing w:val="29"/>
        </w:rPr>
        <w:t> </w:t>
      </w:r>
      <w:r>
        <w:rPr/>
        <w:t>of</w:t>
      </w:r>
      <w:r>
        <w:rPr>
          <w:spacing w:val="29"/>
        </w:rPr>
        <w:t> </w:t>
      </w:r>
      <w:r>
        <w:rPr/>
        <w:t>Lords</w:t>
      </w:r>
      <w:r>
        <w:rPr>
          <w:spacing w:val="29"/>
        </w:rPr>
        <w:t> </w:t>
      </w:r>
      <w:r>
        <w:rPr/>
        <w:t>Practice</w:t>
      </w:r>
      <w:r>
        <w:rPr>
          <w:spacing w:val="29"/>
        </w:rPr>
        <w:t> </w:t>
      </w:r>
      <w:r>
        <w:rPr/>
        <w:t>Statement</w:t>
      </w:r>
      <w:r>
        <w:rPr>
          <w:spacing w:val="29"/>
        </w:rPr>
        <w:t> </w:t>
      </w:r>
      <w:r>
        <w:rPr>
          <w:spacing w:val="-2"/>
        </w:rPr>
        <w:t>(Judicial</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line="235" w:lineRule="auto" w:before="110"/>
        <w:ind w:left="705"/>
      </w:pPr>
      <w:r>
        <w:rPr/>
        <w:t>Precedent)</w:t>
      </w:r>
      <w:r>
        <w:rPr>
          <w:spacing w:val="40"/>
        </w:rPr>
        <w:t> </w:t>
      </w:r>
      <w:r>
        <w:rPr/>
        <w:t>of</w:t>
      </w:r>
      <w:r>
        <w:rPr>
          <w:spacing w:val="40"/>
        </w:rPr>
        <w:t> </w:t>
      </w:r>
      <w:r>
        <w:rPr/>
        <w:t>1966,</w:t>
      </w:r>
      <w:r>
        <w:rPr>
          <w:spacing w:val="40"/>
        </w:rPr>
        <w:t> </w:t>
      </w:r>
      <w:r>
        <w:rPr/>
        <w:t>[1966]</w:t>
      </w:r>
      <w:r>
        <w:rPr>
          <w:spacing w:val="40"/>
        </w:rPr>
        <w:t> </w:t>
      </w:r>
      <w:r>
        <w:rPr/>
        <w:t>1</w:t>
      </w:r>
      <w:r>
        <w:rPr>
          <w:spacing w:val="40"/>
        </w:rPr>
        <w:t> </w:t>
      </w:r>
      <w:r>
        <w:rPr/>
        <w:t>W.L.R.</w:t>
      </w:r>
      <w:r>
        <w:rPr>
          <w:spacing w:val="40"/>
        </w:rPr>
        <w:t> </w:t>
      </w:r>
      <w:r>
        <w:rPr/>
        <w:t>1234;</w:t>
      </w:r>
      <w:r>
        <w:rPr>
          <w:spacing w:val="40"/>
        </w:rPr>
        <w:t> </w:t>
      </w:r>
      <w:r>
        <w:rPr/>
        <w:t>and</w:t>
      </w:r>
      <w:r>
        <w:rPr>
          <w:spacing w:val="40"/>
        </w:rPr>
        <w:t> </w:t>
      </w:r>
      <w:r>
        <w:rPr/>
        <w:t>see</w:t>
      </w:r>
      <w:r>
        <w:rPr>
          <w:spacing w:val="40"/>
        </w:rPr>
        <w:t> </w:t>
      </w:r>
      <w:r>
        <w:rPr/>
        <w:t>also</w:t>
      </w:r>
      <w:r>
        <w:rPr>
          <w:spacing w:val="40"/>
        </w:rPr>
        <w:t> </w:t>
      </w:r>
      <w:r>
        <w:rPr/>
        <w:t>Explanatory</w:t>
      </w:r>
      <w:r>
        <w:rPr>
          <w:spacing w:val="40"/>
        </w:rPr>
        <w:t> </w:t>
      </w:r>
      <w:r>
        <w:rPr/>
        <w:t>Notes</w:t>
      </w:r>
      <w:r>
        <w:rPr>
          <w:spacing w:val="40"/>
        </w:rPr>
        <w:t> </w:t>
      </w:r>
      <w:r>
        <w:rPr/>
        <w:t>to</w:t>
      </w:r>
      <w:r>
        <w:rPr>
          <w:spacing w:val="40"/>
        </w:rPr>
        <w:t> </w:t>
      </w:r>
      <w:r>
        <w:rPr/>
        <w:t>2017</w:t>
      </w:r>
      <w:r>
        <w:rPr>
          <w:spacing w:val="40"/>
        </w:rPr>
        <w:t> </w:t>
      </w:r>
      <w:r>
        <w:rPr/>
        <w:t>Bill, </w:t>
      </w:r>
      <w:r>
        <w:rPr>
          <w:spacing w:val="-2"/>
        </w:rPr>
        <w:t>para.107.</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226" w:id="228"/>
      <w:bookmarkEnd w:id="228"/>
      <w:r>
        <w:rPr/>
      </w:r>
      <w:hyperlink w:history="true" w:anchor="_bookmark195">
        <w:r>
          <w:rPr>
            <w:color w:val="005DA1"/>
            <w:spacing w:val="-4"/>
            <w:sz w:val="14"/>
            <w:u w:val="single" w:color="005DA1"/>
          </w:rPr>
          <w:t>122</w:t>
        </w:r>
      </w:hyperlink>
      <w:r>
        <w:rPr>
          <w:spacing w:val="-4"/>
          <w:sz w:val="14"/>
        </w:rPr>
        <w:t>.</w:t>
      </w:r>
    </w:p>
    <w:p>
      <w:pPr>
        <w:pStyle w:val="BodyText"/>
        <w:spacing w:before="209"/>
        <w:ind w:left="335"/>
      </w:pPr>
      <w:r>
        <w:rPr/>
        <w:br w:type="column"/>
      </w:r>
      <w:r>
        <w:rPr/>
        <w:t>2017 Bill </w:t>
      </w:r>
      <w:r>
        <w:rPr>
          <w:spacing w:val="-2"/>
        </w:rPr>
        <w:t>cl.6(1)(a).</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3696">
            <wp:simplePos x="0" y="0"/>
            <wp:positionH relativeFrom="page">
              <wp:posOffset>1257846</wp:posOffset>
            </wp:positionH>
            <wp:positionV relativeFrom="paragraph">
              <wp:posOffset>-210785</wp:posOffset>
            </wp:positionV>
            <wp:extent cx="107988" cy="107988"/>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27" w:id="229"/>
      <w:bookmarkEnd w:id="229"/>
      <w:r>
        <w:rPr/>
      </w:r>
      <w:hyperlink w:history="true" w:anchor="_bookmark196">
        <w:r>
          <w:rPr>
            <w:color w:val="005DA1"/>
            <w:spacing w:val="-4"/>
            <w:sz w:val="14"/>
            <w:u w:val="single" w:color="005DA1"/>
          </w:rPr>
          <w:t>123</w:t>
        </w:r>
      </w:hyperlink>
      <w:r>
        <w:rPr>
          <w:spacing w:val="-4"/>
          <w:sz w:val="14"/>
        </w:rPr>
        <w:t>.</w:t>
      </w:r>
    </w:p>
    <w:p>
      <w:pPr>
        <w:pStyle w:val="BodyText"/>
        <w:spacing w:before="209"/>
        <w:ind w:left="335"/>
      </w:pPr>
      <w:r>
        <w:rPr/>
        <w:br w:type="column"/>
      </w:r>
      <w:r>
        <w:rPr/>
        <w:t>2017 Bill </w:t>
      </w:r>
      <w:r>
        <w:rPr>
          <w:spacing w:val="-2"/>
        </w:rPr>
        <w:t>cl.6(2).</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4208">
            <wp:simplePos x="0" y="0"/>
            <wp:positionH relativeFrom="page">
              <wp:posOffset>1257846</wp:posOffset>
            </wp:positionH>
            <wp:positionV relativeFrom="paragraph">
              <wp:posOffset>-210765</wp:posOffset>
            </wp:positionV>
            <wp:extent cx="107988" cy="107988"/>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28" w:id="230"/>
      <w:bookmarkEnd w:id="230"/>
      <w:r>
        <w:rPr/>
      </w:r>
      <w:hyperlink w:history="true" w:anchor="_bookmark197">
        <w:r>
          <w:rPr>
            <w:color w:val="005DA1"/>
            <w:spacing w:val="-4"/>
            <w:sz w:val="14"/>
            <w:u w:val="single" w:color="005DA1"/>
          </w:rPr>
          <w:t>124</w:t>
        </w:r>
      </w:hyperlink>
      <w:r>
        <w:rPr>
          <w:spacing w:val="-4"/>
          <w:sz w:val="14"/>
        </w:rPr>
        <w:t>.</w:t>
      </w:r>
    </w:p>
    <w:p>
      <w:pPr>
        <w:pStyle w:val="BodyText"/>
        <w:spacing w:before="209"/>
        <w:ind w:left="335"/>
      </w:pPr>
      <w:r>
        <w:rPr/>
        <w:br w:type="column"/>
      </w:r>
      <w:r>
        <w:rPr/>
        <w:t>Explanatory Notes to 2017 Bill, paras 103-</w:t>
      </w:r>
      <w:r>
        <w:rPr>
          <w:spacing w:val="-4"/>
        </w:rPr>
        <w:t>104.</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4720">
            <wp:simplePos x="0" y="0"/>
            <wp:positionH relativeFrom="page">
              <wp:posOffset>1257846</wp:posOffset>
            </wp:positionH>
            <wp:positionV relativeFrom="paragraph">
              <wp:posOffset>-210745</wp:posOffset>
            </wp:positionV>
            <wp:extent cx="107988" cy="107988"/>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29" w:id="231"/>
      <w:bookmarkEnd w:id="231"/>
      <w:r>
        <w:rPr/>
      </w:r>
      <w:hyperlink w:history="true" w:anchor="_bookmark198">
        <w:r>
          <w:rPr>
            <w:color w:val="005DA1"/>
            <w:spacing w:val="-4"/>
            <w:sz w:val="14"/>
            <w:u w:val="single" w:color="005DA1"/>
          </w:rPr>
          <w:t>125</w:t>
        </w:r>
      </w:hyperlink>
      <w:r>
        <w:rPr>
          <w:spacing w:val="-4"/>
          <w:sz w:val="14"/>
        </w:rPr>
        <w:t>.</w:t>
      </w:r>
    </w:p>
    <w:p>
      <w:pPr>
        <w:pStyle w:val="BodyText"/>
        <w:spacing w:line="235" w:lineRule="auto" w:before="213"/>
        <w:ind w:left="165" w:firstLine="170"/>
      </w:pPr>
      <w:r>
        <w:rPr/>
        <w:br w:type="column"/>
      </w:r>
      <w:r>
        <w:rPr/>
        <w:t>This</w:t>
      </w:r>
      <w:r>
        <w:rPr>
          <w:spacing w:val="40"/>
        </w:rPr>
        <w:t> </w:t>
      </w:r>
      <w:r>
        <w:rPr/>
        <w:t>follows</w:t>
      </w:r>
      <w:r>
        <w:rPr>
          <w:spacing w:val="40"/>
        </w:rPr>
        <w:t> </w:t>
      </w:r>
      <w:r>
        <w:rPr/>
        <w:t>from</w:t>
      </w:r>
      <w:r>
        <w:rPr>
          <w:spacing w:val="40"/>
        </w:rPr>
        <w:t> </w:t>
      </w:r>
      <w:r>
        <w:rPr/>
        <w:t>the</w:t>
      </w:r>
      <w:r>
        <w:rPr>
          <w:spacing w:val="40"/>
        </w:rPr>
        <w:t> </w:t>
      </w:r>
      <w:r>
        <w:rPr/>
        <w:t>remaining</w:t>
      </w:r>
      <w:r>
        <w:rPr>
          <w:spacing w:val="40"/>
        </w:rPr>
        <w:t> </w:t>
      </w:r>
      <w:r>
        <w:rPr/>
        <w:t>in</w:t>
      </w:r>
      <w:r>
        <w:rPr>
          <w:spacing w:val="40"/>
        </w:rPr>
        <w:t> </w:t>
      </w:r>
      <w:r>
        <w:rPr/>
        <w:t>force</w:t>
      </w:r>
      <w:r>
        <w:rPr>
          <w:spacing w:val="40"/>
        </w:rPr>
        <w:t> </w:t>
      </w:r>
      <w:r>
        <w:rPr/>
        <w:t>of</w:t>
      </w:r>
      <w:r>
        <w:rPr>
          <w:spacing w:val="40"/>
        </w:rPr>
        <w:t> </w:t>
      </w:r>
      <w:r>
        <w:rPr/>
        <w:t>the</w:t>
      </w:r>
      <w:r>
        <w:rPr>
          <w:spacing w:val="40"/>
        </w:rPr>
        <w:t> </w:t>
      </w:r>
      <w:r>
        <w:rPr/>
        <w:t>European</w:t>
      </w:r>
      <w:r>
        <w:rPr>
          <w:spacing w:val="40"/>
        </w:rPr>
        <w:t> </w:t>
      </w:r>
      <w:r>
        <w:rPr/>
        <w:t>Communities</w:t>
      </w:r>
      <w:r>
        <w:rPr>
          <w:spacing w:val="40"/>
        </w:rPr>
        <w:t> </w:t>
      </w:r>
      <w:r>
        <w:rPr/>
        <w:t>Act</w:t>
      </w:r>
      <w:r>
        <w:rPr>
          <w:spacing w:val="40"/>
        </w:rPr>
        <w:t> </w:t>
      </w:r>
      <w:r>
        <w:rPr/>
        <w:t>1972</w:t>
      </w:r>
      <w:r>
        <w:rPr>
          <w:spacing w:val="40"/>
        </w:rPr>
        <w:t> </w:t>
      </w:r>
      <w:r>
        <w:rPr/>
        <w:t>and</w:t>
      </w:r>
      <w:r>
        <w:rPr>
          <w:spacing w:val="40"/>
        </w:rPr>
        <w:t> </w:t>
      </w:r>
      <w:r>
        <w:rPr/>
        <w:t>is acknowledged by Cm.9446 (March 2017) para.1.10.</w:t>
      </w:r>
    </w:p>
    <w:p>
      <w:pPr>
        <w:pStyle w:val="BodyText"/>
        <w:spacing w:before="192"/>
      </w:pPr>
    </w:p>
    <w:p>
      <w:pPr>
        <w:spacing w:before="0"/>
        <w:ind w:left="0" w:right="544" w:firstLine="0"/>
        <w:jc w:val="center"/>
        <w:rPr>
          <w:sz w:val="14"/>
        </w:rPr>
      </w:pPr>
      <w:r>
        <w:rPr>
          <w:sz w:val="14"/>
        </w:rPr>
        <w:drawing>
          <wp:anchor distT="0" distB="0" distL="0" distR="0" allowOverlap="1" layoutInCell="1" locked="0" behindDoc="0" simplePos="0" relativeHeight="15775232">
            <wp:simplePos x="0" y="0"/>
            <wp:positionH relativeFrom="page">
              <wp:posOffset>1257846</wp:posOffset>
            </wp:positionH>
            <wp:positionV relativeFrom="paragraph">
              <wp:posOffset>-528717</wp:posOffset>
            </wp:positionV>
            <wp:extent cx="107988" cy="107988"/>
            <wp:effectExtent l="0" t="0" r="0" b="0"/>
            <wp:wrapNone/>
            <wp:docPr id="176" name="Image 176"/>
            <wp:cNvGraphicFramePr>
              <a:graphicFrameLocks/>
            </wp:cNvGraphicFramePr>
            <a:graphic>
              <a:graphicData uri="http://schemas.openxmlformats.org/drawingml/2006/picture">
                <pic:pic>
                  <pic:nvPicPr>
                    <pic:cNvPr id="176" name="Image 176"/>
                    <pic:cNvPicPr/>
                  </pic:nvPicPr>
                  <pic:blipFill>
                    <a:blip r:embed="rId6"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2. - Definitions of </w:t>
      </w:r>
      <w:r>
        <w:rPr>
          <w:rFonts w:ascii="Arial"/>
          <w:b/>
          <w:spacing w:val="-2"/>
          <w:sz w:val="24"/>
        </w:rPr>
        <w:t>Contract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Competing definitions of </w:t>
      </w:r>
      <w:r>
        <w:rPr>
          <w:rFonts w:ascii="Arial"/>
          <w:b/>
          <w:spacing w:val="-2"/>
          <w:sz w:val="18"/>
        </w:rPr>
        <w:t>contract</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1-</w:t>
      </w:r>
      <w:r>
        <w:rPr>
          <w:rFonts w:ascii="Arial"/>
          <w:b/>
          <w:spacing w:val="-5"/>
          <w:sz w:val="24"/>
        </w:rPr>
        <w:t>014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230" w:id="232"/>
      <w:bookmarkEnd w:id="232"/>
      <w:r>
        <w:rPr>
          <w:rFonts w:ascii="Times New Roman"/>
          <w:spacing w:val="12"/>
        </w:rPr>
      </w:r>
      <w:r>
        <w:rPr/>
        <w:t>There are two main competing definitions of a contract in the common law. </w:t>
      </w:r>
      <w:r>
        <w:rPr>
          <w:color w:val="005DA1"/>
          <w:u w:val="single" w:color="005DA1"/>
          <w:vertAlign w:val="superscript"/>
        </w:rPr>
        <w:t>126</w:t>
      </w:r>
      <w:r>
        <w:rPr>
          <w:color w:val="005DA1"/>
          <w:vertAlign w:val="baseline"/>
        </w:rPr>
        <w:t> </w:t>
      </w:r>
      <w:r>
        <w:rPr>
          <w:vertAlign w:val="baseline"/>
        </w:rPr>
        <w:t>The first, which </w:t>
      </w:r>
      <w:r>
        <w:rPr>
          <w:vertAlign w:val="baseline"/>
        </w:rPr>
        <w:t>was </w:t>
      </w:r>
      <w:bookmarkStart w:name="_bookmark231" w:id="233"/>
      <w:bookmarkEnd w:id="233"/>
      <w:r>
        <w:rPr>
          <w:vertAlign w:val="baseline"/>
        </w:rPr>
        <w:t>adopted</w:t>
      </w:r>
      <w:r>
        <w:rPr>
          <w:vertAlign w:val="baseline"/>
        </w:rPr>
        <w:t> by the 26th edition of this work, defines a contract as a promise or set of promises which the </w:t>
      </w:r>
      <w:bookmarkStart w:name="_bookmark232" w:id="234"/>
      <w:bookmarkEnd w:id="234"/>
      <w:r>
        <w:rPr>
          <w:vertAlign w:val="baseline"/>
        </w:rPr>
        <w:t>law</w:t>
      </w:r>
      <w:r>
        <w:rPr>
          <w:spacing w:val="6"/>
          <w:vertAlign w:val="baseline"/>
        </w:rPr>
        <w:t> </w:t>
      </w:r>
      <w:r>
        <w:rPr>
          <w:vertAlign w:val="baseline"/>
        </w:rPr>
        <w:t>will</w:t>
      </w:r>
      <w:r>
        <w:rPr>
          <w:spacing w:val="6"/>
          <w:vertAlign w:val="baseline"/>
        </w:rPr>
        <w:t> </w:t>
      </w:r>
      <w:r>
        <w:rPr>
          <w:vertAlign w:val="baseline"/>
        </w:rPr>
        <w:t>enforce.</w:t>
      </w:r>
      <w:r>
        <w:rPr>
          <w:spacing w:val="6"/>
          <w:vertAlign w:val="baseline"/>
        </w:rPr>
        <w:t> </w:t>
      </w:r>
      <w:r>
        <w:rPr>
          <w:color w:val="005DA1"/>
          <w:u w:val="single" w:color="005DA1"/>
          <w:vertAlign w:val="superscript"/>
        </w:rPr>
        <w:t>127</w:t>
      </w:r>
      <w:r>
        <w:rPr>
          <w:color w:val="005DA1"/>
          <w:spacing w:val="7"/>
          <w:vertAlign w:val="baseline"/>
        </w:rPr>
        <w:t> </w:t>
      </w:r>
      <w:r>
        <w:rPr>
          <w:vertAlign w:val="baseline"/>
        </w:rPr>
        <w:t>The</w:t>
      </w:r>
      <w:r>
        <w:rPr>
          <w:spacing w:val="6"/>
          <w:vertAlign w:val="baseline"/>
        </w:rPr>
        <w:t> </w:t>
      </w:r>
      <w:r>
        <w:rPr>
          <w:vertAlign w:val="baseline"/>
        </w:rPr>
        <w:t>competing</w:t>
      </w:r>
      <w:r>
        <w:rPr>
          <w:spacing w:val="6"/>
          <w:vertAlign w:val="baseline"/>
        </w:rPr>
        <w:t> </w:t>
      </w:r>
      <w:r>
        <w:rPr>
          <w:vertAlign w:val="baseline"/>
        </w:rPr>
        <w:t>view,</w:t>
      </w:r>
      <w:r>
        <w:rPr>
          <w:spacing w:val="6"/>
          <w:vertAlign w:val="baseline"/>
        </w:rPr>
        <w:t> </w:t>
      </w:r>
      <w:r>
        <w:rPr>
          <w:vertAlign w:val="baseline"/>
        </w:rPr>
        <w:t>which</w:t>
      </w:r>
      <w:r>
        <w:rPr>
          <w:spacing w:val="7"/>
          <w:vertAlign w:val="baseline"/>
        </w:rPr>
        <w:t> </w:t>
      </w:r>
      <w:r>
        <w:rPr>
          <w:vertAlign w:val="baseline"/>
        </w:rPr>
        <w:t>was</w:t>
      </w:r>
      <w:r>
        <w:rPr>
          <w:spacing w:val="6"/>
          <w:vertAlign w:val="baseline"/>
        </w:rPr>
        <w:t> </w:t>
      </w:r>
      <w:r>
        <w:rPr>
          <w:vertAlign w:val="baseline"/>
        </w:rPr>
        <w:t>taken</w:t>
      </w:r>
      <w:r>
        <w:rPr>
          <w:spacing w:val="6"/>
          <w:vertAlign w:val="baseline"/>
        </w:rPr>
        <w:t> </w:t>
      </w:r>
      <w:r>
        <w:rPr>
          <w:vertAlign w:val="baseline"/>
        </w:rPr>
        <w:t>by</w:t>
      </w:r>
      <w:r>
        <w:rPr>
          <w:spacing w:val="6"/>
          <w:vertAlign w:val="baseline"/>
        </w:rPr>
        <w:t> </w:t>
      </w:r>
      <w:r>
        <w:rPr>
          <w:vertAlign w:val="baseline"/>
        </w:rPr>
        <w:t>the</w:t>
      </w:r>
      <w:r>
        <w:rPr>
          <w:spacing w:val="7"/>
          <w:vertAlign w:val="baseline"/>
        </w:rPr>
        <w:t> </w:t>
      </w:r>
      <w:r>
        <w:rPr>
          <w:vertAlign w:val="baseline"/>
        </w:rPr>
        <w:t>2nd</w:t>
      </w:r>
      <w:r>
        <w:rPr>
          <w:spacing w:val="6"/>
          <w:vertAlign w:val="baseline"/>
        </w:rPr>
        <w:t> </w:t>
      </w:r>
      <w:r>
        <w:rPr>
          <w:vertAlign w:val="baseline"/>
        </w:rPr>
        <w:t>edition</w:t>
      </w:r>
      <w:r>
        <w:rPr>
          <w:spacing w:val="6"/>
          <w:vertAlign w:val="baseline"/>
        </w:rPr>
        <w:t> </w:t>
      </w:r>
      <w:r>
        <w:rPr>
          <w:vertAlign w:val="baseline"/>
        </w:rPr>
        <w:t>of</w:t>
      </w:r>
      <w:r>
        <w:rPr>
          <w:spacing w:val="6"/>
          <w:vertAlign w:val="baseline"/>
        </w:rPr>
        <w:t> </w:t>
      </w:r>
      <w:r>
        <w:rPr>
          <w:vertAlign w:val="baseline"/>
        </w:rPr>
        <w:t>this</w:t>
      </w:r>
      <w:r>
        <w:rPr>
          <w:spacing w:val="7"/>
          <w:vertAlign w:val="baseline"/>
        </w:rPr>
        <w:t> </w:t>
      </w:r>
      <w:r>
        <w:rPr>
          <w:vertAlign w:val="baseline"/>
        </w:rPr>
        <w:t>work,</w:t>
      </w:r>
      <w:r>
        <w:rPr>
          <w:spacing w:val="5"/>
          <w:vertAlign w:val="baseline"/>
        </w:rPr>
        <w:t> </w:t>
      </w:r>
      <w:r>
        <w:rPr>
          <w:color w:val="005DA1"/>
          <w:u w:val="single" w:color="005DA1"/>
          <w:vertAlign w:val="superscript"/>
        </w:rPr>
        <w:t>128</w:t>
      </w:r>
      <w:r>
        <w:rPr>
          <w:color w:val="005DA1"/>
          <w:spacing w:val="6"/>
          <w:vertAlign w:val="baseline"/>
        </w:rPr>
        <w:t> </w:t>
      </w:r>
      <w:r>
        <w:rPr>
          <w:vertAlign w:val="baseline"/>
        </w:rPr>
        <w:t>is</w:t>
      </w:r>
      <w:r>
        <w:rPr>
          <w:spacing w:val="7"/>
          <w:vertAlign w:val="baseline"/>
        </w:rPr>
        <w:t> </w:t>
      </w:r>
      <w:r>
        <w:rPr>
          <w:vertAlign w:val="baseline"/>
        </w:rPr>
        <w:t>that</w:t>
      </w:r>
      <w:r>
        <w:rPr>
          <w:spacing w:val="6"/>
          <w:vertAlign w:val="baseline"/>
        </w:rPr>
        <w:t> </w:t>
      </w:r>
      <w:r>
        <w:rPr>
          <w:spacing w:val="-12"/>
          <w:vertAlign w:val="baseline"/>
        </w:rPr>
        <w:t>a</w:t>
      </w:r>
    </w:p>
    <w:p>
      <w:pPr>
        <w:pStyle w:val="BodyText"/>
        <w:spacing w:before="115"/>
        <w:ind w:left="165"/>
        <w:jc w:val="both"/>
        <w:rPr>
          <w:position w:val="-2"/>
        </w:rPr>
      </w:pPr>
      <w:r>
        <w:rPr/>
        <w:t>“contract is an agreement giving rise to obligations which are enforced or recognised by law”. </w:t>
      </w:r>
      <w:r>
        <w:rPr>
          <w:color w:val="005DA1"/>
          <w:u w:val="single" w:color="005DA1"/>
          <w:vertAlign w:val="superscript"/>
        </w:rPr>
        <w:t>129</w:t>
      </w:r>
      <w:r>
        <w:rPr>
          <w:color w:val="005DA1"/>
          <w:spacing w:val="80"/>
          <w:w w:val="150"/>
          <w:vertAlign w:val="baseline"/>
        </w:rPr>
        <w:t> </w:t>
      </w:r>
      <w:r>
        <w:rPr>
          <w:color w:val="005DA1"/>
          <w:position w:val="-2"/>
          <w:vertAlign w:val="baseline"/>
        </w:rPr>
        <w:drawing>
          <wp:inline distT="0" distB="0" distL="0" distR="0">
            <wp:extent cx="107988" cy="107988"/>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89"/>
      </w:pPr>
    </w:p>
    <w:p>
      <w:pPr>
        <w:pStyle w:val="BodyText"/>
        <w:spacing w:line="235" w:lineRule="auto"/>
        <w:ind w:left="165" w:right="167"/>
        <w:jc w:val="both"/>
      </w:pPr>
      <w:r>
        <w:rPr/>
        <w:t>There are two main arguments in favour of the definition of contract in terms of promise. First, the</w:t>
      </w:r>
      <w:r>
        <w:rPr>
          <w:spacing w:val="40"/>
        </w:rPr>
        <w:t> </w:t>
      </w:r>
      <w:bookmarkStart w:name="_bookmark233" w:id="235"/>
      <w:bookmarkEnd w:id="235"/>
      <w:r>
        <w:rPr/>
        <w:t>idea</w:t>
      </w:r>
      <w:r>
        <w:rPr/>
        <w:t> of contracts as being based on agreement was introduced into English legal discussions only </w:t>
      </w:r>
      <w:r>
        <w:rPr/>
        <w:t>in the nineteenth century, in particular under the influence of Pothier, </w:t>
      </w:r>
      <w:r>
        <w:rPr>
          <w:rFonts w:ascii="Arial" w:hAnsi="Arial"/>
          <w:i/>
        </w:rPr>
        <w:t>Treatise on Obligations </w:t>
      </w:r>
      <w:r>
        <w:rPr>
          <w:color w:val="005DA1"/>
          <w:u w:val="single" w:color="005DA1"/>
          <w:vertAlign w:val="superscript"/>
        </w:rPr>
        <w:t>130</w:t>
      </w:r>
      <w:r>
        <w:rPr>
          <w:color w:val="005DA1"/>
          <w:vertAlign w:val="baseline"/>
        </w:rPr>
        <w:t> </w:t>
      </w:r>
      <w:r>
        <w:rPr>
          <w:vertAlign w:val="baseline"/>
        </w:rPr>
        <w:t>and </w:t>
      </w:r>
      <w:bookmarkStart w:name="_bookmark234" w:id="236"/>
      <w:bookmarkEnd w:id="236"/>
      <w:r>
        <w:rPr>
          <w:vertAlign w:val="baseline"/>
        </w:rPr>
        <w:t>does</w:t>
      </w:r>
      <w:r>
        <w:rPr>
          <w:vertAlign w:val="baseline"/>
        </w:rPr>
        <w:t> not accord with the raw material of the common law, in particular in relation to the requirement</w:t>
      </w:r>
      <w:r>
        <w:rPr>
          <w:spacing w:val="80"/>
          <w:vertAlign w:val="baseline"/>
        </w:rPr>
        <w:t> </w:t>
      </w:r>
      <w:r>
        <w:rPr>
          <w:vertAlign w:val="baseline"/>
        </w:rPr>
        <w:t>of consideration. </w:t>
      </w:r>
      <w:r>
        <w:rPr>
          <w:color w:val="005DA1"/>
          <w:u w:val="single" w:color="005DA1"/>
          <w:vertAlign w:val="superscript"/>
        </w:rPr>
        <w:t>131</w:t>
      </w:r>
      <w:r>
        <w:rPr>
          <w:color w:val="005DA1"/>
          <w:vertAlign w:val="baseline"/>
        </w:rPr>
        <w:t> </w:t>
      </w:r>
      <w:r>
        <w:rPr>
          <w:vertAlign w:val="baseline"/>
        </w:rPr>
        <w:t>For English law does not in general enforce gratuitous promises, the element of </w:t>
      </w:r>
      <w:bookmarkStart w:name="_bookmark235" w:id="237"/>
      <w:bookmarkEnd w:id="237"/>
      <w:r>
        <w:rPr>
          <w:vertAlign w:val="baseline"/>
        </w:rPr>
        <w:t>non</w:t>
      </w:r>
      <w:r>
        <w:rPr>
          <w:vertAlign w:val="baseline"/>
        </w:rPr>
        <w:t>-gratuity being expressed technically by the requirement that some consideration must move from the promisee and in lay terms that it enforces bargains rather than agreements. </w:t>
      </w:r>
      <w:r>
        <w:rPr>
          <w:color w:val="005DA1"/>
          <w:u w:val="single" w:color="005DA1"/>
          <w:vertAlign w:val="superscript"/>
        </w:rPr>
        <w:t>132</w:t>
      </w:r>
      <w:r>
        <w:rPr>
          <w:color w:val="005DA1"/>
          <w:vertAlign w:val="baseline"/>
        </w:rPr>
        <w:t> </w:t>
      </w:r>
      <w:r>
        <w:rPr>
          <w:vertAlign w:val="baseline"/>
        </w:rPr>
        <w:t>Moreover, it is in relation to the requirement of consideration that modern usage most readily relies on the language of </w:t>
      </w:r>
      <w:bookmarkStart w:name="_bookmark236" w:id="238"/>
      <w:bookmarkEnd w:id="238"/>
      <w:r>
        <w:rPr>
          <w:vertAlign w:val="baseline"/>
        </w:rPr>
        <w:t>promise:</w:t>
      </w:r>
      <w:r>
        <w:rPr>
          <w:vertAlign w:val="baseline"/>
        </w:rPr>
        <w:t> what is required is consideration for a party’s </w:t>
      </w:r>
      <w:r>
        <w:rPr>
          <w:rFonts w:ascii="Arial" w:hAnsi="Arial"/>
          <w:i/>
          <w:vertAlign w:val="baseline"/>
        </w:rPr>
        <w:t>promise</w:t>
      </w:r>
      <w:r>
        <w:rPr>
          <w:vertAlign w:val="baseline"/>
        </w:rPr>
        <w:t>, not consideration for the parties’ </w:t>
      </w:r>
      <w:bookmarkStart w:name="_bookmark237" w:id="239"/>
      <w:bookmarkEnd w:id="239"/>
      <w:r>
        <w:rPr>
          <w:vertAlign w:val="baseline"/>
        </w:rPr>
      </w:r>
      <w:r>
        <w:rPr>
          <w:rFonts w:ascii="Arial" w:hAnsi="Arial"/>
          <w:i/>
          <w:vertAlign w:val="baseline"/>
        </w:rPr>
        <w:t>agreement</w:t>
      </w:r>
      <w:r>
        <w:rPr>
          <w:vertAlign w:val="baseline"/>
        </w:rPr>
        <w:t>. </w:t>
      </w:r>
      <w:r>
        <w:rPr>
          <w:color w:val="005DA1"/>
          <w:u w:val="single" w:color="005DA1"/>
          <w:vertAlign w:val="superscript"/>
        </w:rPr>
        <w:t>133</w:t>
      </w:r>
      <w:r>
        <w:rPr>
          <w:color w:val="005DA1"/>
          <w:vertAlign w:val="baseline"/>
        </w:rPr>
        <w:t> </w:t>
      </w:r>
      <w:r>
        <w:rPr>
          <w:vertAlign w:val="baseline"/>
        </w:rPr>
        <w:t>Finally, one of the justifications for the enforcement of contracts is said to lie in the moral obligation of a party to perform his promise. </w:t>
      </w:r>
      <w:r>
        <w:rPr>
          <w:color w:val="005DA1"/>
          <w:u w:val="single" w:color="005DA1"/>
          <w:vertAlign w:val="superscript"/>
        </w:rPr>
        <w:t>134</w:t>
      </w:r>
    </w:p>
    <w:p>
      <w:pPr>
        <w:pStyle w:val="BodyText"/>
      </w:pPr>
    </w:p>
    <w:p>
      <w:pPr>
        <w:pStyle w:val="BodyText"/>
        <w:spacing w:before="34"/>
      </w:pPr>
    </w:p>
    <w:p>
      <w:pPr>
        <w:spacing w:before="1"/>
        <w:ind w:left="165" w:right="0" w:firstLine="0"/>
        <w:jc w:val="both"/>
        <w:rPr>
          <w:rFonts w:ascii="Arial" w:hAnsi="Arial"/>
          <w:b/>
          <w:sz w:val="18"/>
        </w:rPr>
      </w:pPr>
      <w:r>
        <w:rPr>
          <w:rFonts w:ascii="Arial" w:hAnsi="Arial"/>
          <w:b/>
          <w:sz w:val="18"/>
        </w:rPr>
        <w:t>Difficulties with “contract as </w:t>
      </w:r>
      <w:r>
        <w:rPr>
          <w:rFonts w:ascii="Arial" w:hAnsi="Arial"/>
          <w:b/>
          <w:spacing w:val="-2"/>
          <w:sz w:val="18"/>
        </w:rPr>
        <w:t>promise”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015</w:t>
      </w:r>
    </w:p>
    <w:p>
      <w:pPr>
        <w:pStyle w:val="BodyText"/>
        <w:spacing w:before="92"/>
        <w:rPr>
          <w:rFonts w:ascii="Arial"/>
          <w:b/>
        </w:rPr>
      </w:pPr>
    </w:p>
    <w:p>
      <w:pPr>
        <w:pStyle w:val="BodyText"/>
        <w:spacing w:line="235" w:lineRule="auto" w:before="1"/>
        <w:ind w:left="165" w:right="167"/>
        <w:jc w:val="both"/>
        <w:rPr>
          <w:rFonts w:ascii="Arial" w:hAnsi="Arial"/>
          <w:i/>
        </w:rPr>
      </w:pPr>
      <w:r>
        <w:rPr>
          <w:position w:val="-2"/>
        </w:rPr>
        <w:drawing>
          <wp:inline distT="0" distB="0" distL="0" distR="0">
            <wp:extent cx="107988" cy="107988"/>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However, analysis of contracts in terms of an enforceable promise or sets of enforceable </w:t>
      </w:r>
      <w:r>
        <w:rPr/>
        <w:t>promises is not entirely satisfactory. First, outside the context of consideration, in general neither courts nor parties to contracts describe the relationships which they create in terms of promises, but rather in </w:t>
      </w:r>
      <w:bookmarkStart w:name="_bookmark238" w:id="240"/>
      <w:bookmarkEnd w:id="240"/>
      <w:r>
        <w:rPr/>
        <w:t>terms</w:t>
      </w:r>
      <w:r>
        <w:rPr/>
        <w:t> of agreements, and for the courts this is clearest in the context of the rules as to offer and acceptance which when satisfied form that agreement. </w:t>
      </w:r>
      <w:r>
        <w:rPr>
          <w:color w:val="005DA1"/>
          <w:u w:val="single" w:color="005DA1"/>
          <w:vertAlign w:val="superscript"/>
        </w:rPr>
        <w:t>135</w:t>
      </w:r>
      <w:r>
        <w:rPr>
          <w:color w:val="005DA1"/>
          <w:vertAlign w:val="baseline"/>
        </w:rPr>
        <w:t> </w:t>
      </w:r>
      <w:r>
        <w:rPr>
          <w:vertAlign w:val="baseline"/>
        </w:rPr>
        <w:t>Moreover, as will be described later, the doctrine</w:t>
      </w:r>
      <w:r>
        <w:rPr>
          <w:spacing w:val="-2"/>
          <w:vertAlign w:val="baseline"/>
        </w:rPr>
        <w:t> </w:t>
      </w:r>
      <w:r>
        <w:rPr>
          <w:vertAlign w:val="baseline"/>
        </w:rPr>
        <w:t>of</w:t>
      </w:r>
      <w:r>
        <w:rPr>
          <w:spacing w:val="-2"/>
          <w:vertAlign w:val="baseline"/>
        </w:rPr>
        <w:t> </w:t>
      </w:r>
      <w:r>
        <w:rPr>
          <w:vertAlign w:val="baseline"/>
        </w:rPr>
        <w:t>consideration</w:t>
      </w:r>
      <w:r>
        <w:rPr>
          <w:spacing w:val="-2"/>
          <w:vertAlign w:val="baseline"/>
        </w:rPr>
        <w:t> </w:t>
      </w:r>
      <w:r>
        <w:rPr>
          <w:vertAlign w:val="baseline"/>
        </w:rPr>
        <w:t>to</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“promise</w:t>
      </w:r>
      <w:r>
        <w:rPr>
          <w:spacing w:val="-2"/>
          <w:vertAlign w:val="baseline"/>
        </w:rPr>
        <w:t> </w:t>
      </w:r>
      <w:r>
        <w:rPr>
          <w:vertAlign w:val="baseline"/>
        </w:rPr>
        <w:t>theory”</w:t>
      </w:r>
      <w:r>
        <w:rPr>
          <w:spacing w:val="-2"/>
          <w:vertAlign w:val="baseline"/>
        </w:rPr>
        <w:t> </w:t>
      </w:r>
      <w:r>
        <w:rPr>
          <w:vertAlign w:val="baseline"/>
        </w:rPr>
        <w:t>is</w:t>
      </w:r>
      <w:r>
        <w:rPr>
          <w:spacing w:val="-2"/>
          <w:vertAlign w:val="baseline"/>
        </w:rPr>
        <w:t> </w:t>
      </w:r>
      <w:r>
        <w:rPr>
          <w:vertAlign w:val="baseline"/>
        </w:rPr>
        <w:t>so</w:t>
      </w:r>
      <w:r>
        <w:rPr>
          <w:spacing w:val="-2"/>
          <w:vertAlign w:val="baseline"/>
        </w:rPr>
        <w:t> </w:t>
      </w:r>
      <w:r>
        <w:rPr>
          <w:vertAlign w:val="baseline"/>
        </w:rPr>
        <w:t>closely</w:t>
      </w:r>
      <w:r>
        <w:rPr>
          <w:spacing w:val="-2"/>
          <w:vertAlign w:val="baseline"/>
        </w:rPr>
        <w:t> </w:t>
      </w:r>
      <w:r>
        <w:rPr>
          <w:vertAlign w:val="baseline"/>
        </w:rPr>
        <w:t>related,</w:t>
      </w:r>
      <w:r>
        <w:rPr>
          <w:spacing w:val="-2"/>
          <w:vertAlign w:val="baseline"/>
        </w:rPr>
        <w:t> </w:t>
      </w:r>
      <w:r>
        <w:rPr>
          <w:vertAlign w:val="baseline"/>
        </w:rPr>
        <w:t>is</w:t>
      </w:r>
      <w:r>
        <w:rPr>
          <w:spacing w:val="-2"/>
          <w:vertAlign w:val="baseline"/>
        </w:rPr>
        <w:t> </w:t>
      </w:r>
      <w:r>
        <w:rPr>
          <w:vertAlign w:val="baseline"/>
        </w:rPr>
        <w:t>somewhat</w:t>
      </w:r>
      <w:r>
        <w:rPr>
          <w:spacing w:val="-2"/>
          <w:vertAlign w:val="baseline"/>
        </w:rPr>
        <w:t> </w:t>
      </w:r>
      <w:r>
        <w:rPr>
          <w:vertAlign w:val="baseline"/>
        </w:rPr>
        <w:t>under</w:t>
      </w:r>
      <w:r>
        <w:rPr>
          <w:spacing w:val="-2"/>
          <w:vertAlign w:val="baseline"/>
        </w:rPr>
        <w:t> </w:t>
      </w:r>
      <w:r>
        <w:rPr>
          <w:vertAlign w:val="baseline"/>
        </w:rPr>
        <w:t>siege: </w:t>
      </w:r>
      <w:bookmarkStart w:name="_bookmark239" w:id="241"/>
      <w:bookmarkEnd w:id="241"/>
      <w:r>
        <w:rPr>
          <w:vertAlign w:val="baseline"/>
        </w:rPr>
        <w:t>from</w:t>
      </w:r>
      <w:r>
        <w:rPr>
          <w:vertAlign w:val="baseline"/>
        </w:rPr>
        <w:t> the legislature, since the enactment of the Contracts (Rights of Third Parties) Act 1999 has </w:t>
      </w:r>
      <w:bookmarkStart w:name="_bookmark240" w:id="242"/>
      <w:bookmarkEnd w:id="242"/>
      <w:r>
        <w:rPr>
          <w:vertAlign w:val="baseline"/>
        </w:rPr>
        <w:t>limited</w:t>
      </w:r>
      <w:r>
        <w:rPr>
          <w:spacing w:val="3"/>
          <w:vertAlign w:val="baseline"/>
        </w:rPr>
        <w:t> </w:t>
      </w:r>
      <w:r>
        <w:rPr>
          <w:vertAlign w:val="baseline"/>
        </w:rPr>
        <w:t>its</w:t>
      </w:r>
      <w:r>
        <w:rPr>
          <w:spacing w:val="4"/>
          <w:vertAlign w:val="baseline"/>
        </w:rPr>
        <w:t> </w:t>
      </w:r>
      <w:r>
        <w:rPr>
          <w:vertAlign w:val="baseline"/>
        </w:rPr>
        <w:t>traditional</w:t>
      </w:r>
      <w:r>
        <w:rPr>
          <w:spacing w:val="4"/>
          <w:vertAlign w:val="baseline"/>
        </w:rPr>
        <w:t> </w:t>
      </w:r>
      <w:r>
        <w:rPr>
          <w:vertAlign w:val="baseline"/>
        </w:rPr>
        <w:t>domain,</w:t>
      </w:r>
      <w:r>
        <w:rPr>
          <w:spacing w:val="4"/>
          <w:vertAlign w:val="baseline"/>
        </w:rPr>
        <w:t> </w:t>
      </w:r>
      <w:r>
        <w:rPr>
          <w:color w:val="005DA1"/>
          <w:u w:val="single" w:color="005DA1"/>
          <w:vertAlign w:val="superscript"/>
        </w:rPr>
        <w:t>136</w:t>
      </w:r>
      <w:r>
        <w:rPr>
          <w:color w:val="005DA1"/>
          <w:spacing w:val="4"/>
          <w:vertAlign w:val="baseline"/>
        </w:rPr>
        <w:t> </w:t>
      </w:r>
      <w:r>
        <w:rPr>
          <w:vertAlign w:val="baseline"/>
        </w:rPr>
        <w:t>and</w:t>
      </w:r>
      <w:r>
        <w:rPr>
          <w:spacing w:val="4"/>
          <w:vertAlign w:val="baseline"/>
        </w:rPr>
        <w:t> </w:t>
      </w:r>
      <w:r>
        <w:rPr>
          <w:vertAlign w:val="baseline"/>
        </w:rPr>
        <w:t>from</w:t>
      </w:r>
      <w:r>
        <w:rPr>
          <w:spacing w:val="4"/>
          <w:vertAlign w:val="baseline"/>
        </w:rPr>
        <w:t> </w:t>
      </w:r>
      <w:r>
        <w:rPr>
          <w:vertAlign w:val="baseline"/>
        </w:rPr>
        <w:t>the</w:t>
      </w:r>
      <w:r>
        <w:rPr>
          <w:spacing w:val="4"/>
          <w:vertAlign w:val="baseline"/>
        </w:rPr>
        <w:t> </w:t>
      </w:r>
      <w:r>
        <w:rPr>
          <w:vertAlign w:val="baseline"/>
        </w:rPr>
        <w:t>courts,</w:t>
      </w:r>
      <w:r>
        <w:rPr>
          <w:spacing w:val="4"/>
          <w:vertAlign w:val="baseline"/>
        </w:rPr>
        <w:t> </w:t>
      </w:r>
      <w:r>
        <w:rPr>
          <w:vertAlign w:val="baseline"/>
        </w:rPr>
        <w:t>notably</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decision</w:t>
      </w:r>
      <w:r>
        <w:rPr>
          <w:spacing w:val="4"/>
          <w:vertAlign w:val="baseline"/>
        </w:rPr>
        <w:t> </w:t>
      </w:r>
      <w:r>
        <w:rPr>
          <w:vertAlign w:val="baseline"/>
        </w:rPr>
        <w:t>in</w:t>
      </w:r>
      <w:r>
        <w:rPr>
          <w:spacing w:val="4"/>
          <w:vertAlign w:val="baseline"/>
        </w:rPr>
        <w:t> </w:t>
      </w:r>
      <w:r>
        <w:rPr>
          <w:rFonts w:ascii="Arial" w:hAnsi="Arial"/>
          <w:i/>
          <w:vertAlign w:val="baseline"/>
        </w:rPr>
        <w:t>Williams</w:t>
      </w:r>
      <w:r>
        <w:rPr>
          <w:rFonts w:ascii="Arial" w:hAnsi="Arial"/>
          <w:i/>
          <w:spacing w:val="4"/>
          <w:vertAlign w:val="baseline"/>
        </w:rPr>
        <w:t> </w:t>
      </w:r>
      <w:r>
        <w:rPr>
          <w:rFonts w:ascii="Arial" w:hAnsi="Arial"/>
          <w:i/>
          <w:vertAlign w:val="baseline"/>
        </w:rPr>
        <w:t>v</w:t>
      </w:r>
      <w:r>
        <w:rPr>
          <w:rFonts w:ascii="Arial" w:hAnsi="Arial"/>
          <w:i/>
          <w:spacing w:val="4"/>
          <w:vertAlign w:val="baseline"/>
        </w:rPr>
        <w:t> </w:t>
      </w:r>
      <w:r>
        <w:rPr>
          <w:rFonts w:ascii="Arial" w:hAnsi="Arial"/>
          <w:i/>
          <w:vertAlign w:val="baseline"/>
        </w:rPr>
        <w:t>Roffey</w:t>
      </w:r>
      <w:r>
        <w:rPr>
          <w:rFonts w:ascii="Arial" w:hAnsi="Arial"/>
          <w:i/>
          <w:spacing w:val="4"/>
          <w:vertAlign w:val="baseline"/>
        </w:rPr>
        <w:t> </w:t>
      </w:r>
      <w:r>
        <w:rPr>
          <w:rFonts w:ascii="Arial" w:hAnsi="Arial"/>
          <w:i/>
          <w:spacing w:val="-4"/>
          <w:vertAlign w:val="baseline"/>
        </w:rPr>
        <w:t>Bros</w:t>
      </w:r>
    </w:p>
    <w:p>
      <w:pPr>
        <w:pStyle w:val="BodyText"/>
        <w:spacing w:line="235" w:lineRule="auto" w:before="117"/>
        <w:ind w:left="165" w:right="167"/>
        <w:jc w:val="both"/>
      </w:pPr>
      <w:r>
        <w:rPr>
          <w:rFonts w:ascii="Arial"/>
          <w:i/>
        </w:rPr>
        <w:t>&amp; Nicholls (Contractors) Ltd</w:t>
      </w:r>
      <w:r>
        <w:rPr/>
        <w:t>. </w:t>
      </w:r>
      <w:r>
        <w:rPr>
          <w:color w:val="005DA1"/>
          <w:u w:val="single" w:color="005DA1"/>
          <w:vertAlign w:val="superscript"/>
        </w:rPr>
        <w:t>137</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2"/>
          <w:vertAlign w:val="baseline"/>
        </w:rPr>
        <w:t> </w:t>
      </w:r>
      <w:r>
        <w:rPr>
          <w:vertAlign w:val="baseline"/>
        </w:rPr>
        <w:t>Secondly, definition of contracts in terms of sets of promises does </w:t>
      </w:r>
      <w:bookmarkStart w:name="_bookmark241" w:id="243"/>
      <w:bookmarkEnd w:id="243"/>
      <w:r>
        <w:rPr>
          <w:vertAlign w:val="baseline"/>
        </w:rPr>
        <w:t>not</w:t>
      </w:r>
      <w:r>
        <w:rPr>
          <w:vertAlign w:val="baseline"/>
        </w:rPr>
        <w:t> give full force to the interrelationship of the obligations of the parties which exists in </w:t>
      </w:r>
      <w:r>
        <w:rPr>
          <w:vertAlign w:val="baseline"/>
        </w:rPr>
        <w:t>many contracts, </w:t>
      </w:r>
      <w:r>
        <w:rPr>
          <w:color w:val="005DA1"/>
          <w:u w:val="single" w:color="005DA1"/>
          <w:vertAlign w:val="superscript"/>
        </w:rPr>
        <w:t>138</w:t>
      </w:r>
      <w:r>
        <w:rPr>
          <w:color w:val="005DA1"/>
          <w:vertAlign w:val="baseline"/>
        </w:rPr>
        <w:t> </w:t>
      </w:r>
      <w:r>
        <w:rPr>
          <w:vertAlign w:val="baseline"/>
        </w:rPr>
        <w:t>an interrelationship which can be seen particularly in the availability of the remedy of </w:t>
      </w:r>
      <w:bookmarkStart w:name="_bookmark242" w:id="244"/>
      <w:bookmarkEnd w:id="244"/>
      <w:r>
        <w:rPr>
          <w:vertAlign w:val="baseline"/>
        </w:rPr>
        <w:t>termination</w:t>
      </w:r>
      <w:r>
        <w:rPr>
          <w:vertAlign w:val="baseline"/>
        </w:rPr>
        <w:t> for substantial failure in performance, by which an injured party may terminate his own obligations by reason of the failure of the other party to perform his side of the bargain. </w:t>
      </w:r>
      <w:r>
        <w:rPr>
          <w:color w:val="005DA1"/>
          <w:u w:val="single" w:color="005DA1"/>
          <w:vertAlign w:val="superscript"/>
        </w:rPr>
        <w:t>139</w:t>
      </w:r>
    </w:p>
    <w:p>
      <w:pPr>
        <w:pStyle w:val="BodyText"/>
      </w:pPr>
    </w:p>
    <w:p>
      <w:pPr>
        <w:pStyle w:val="BodyText"/>
        <w:spacing w:before="36"/>
      </w:pPr>
    </w:p>
    <w:p>
      <w:pPr>
        <w:spacing w:before="0"/>
        <w:ind w:left="165" w:right="0" w:firstLine="0"/>
        <w:jc w:val="both"/>
        <w:rPr>
          <w:rFonts w:ascii="Arial" w:hAnsi="Arial"/>
          <w:b/>
          <w:sz w:val="18"/>
        </w:rPr>
      </w:pPr>
      <w:r>
        <w:rPr>
          <w:rFonts w:ascii="Arial" w:hAnsi="Arial"/>
          <w:b/>
          <w:sz w:val="18"/>
        </w:rPr>
        <w:t>Difficulties with “contract as </w:t>
      </w:r>
      <w:r>
        <w:rPr>
          <w:rFonts w:ascii="Arial" w:hAnsi="Arial"/>
          <w:b/>
          <w:spacing w:val="-2"/>
          <w:sz w:val="18"/>
        </w:rPr>
        <w:t>agreement”</w:t>
      </w:r>
    </w:p>
    <w:p>
      <w:pPr>
        <w:spacing w:after="0"/>
        <w:jc w:val="both"/>
        <w:rPr>
          <w:rFonts w:ascii="Arial" w:hAnsi="Arial"/>
          <w:b/>
          <w:sz w:val="18"/>
        </w:rPr>
        <w:sectPr>
          <w:headerReference w:type="default" r:id="rId16"/>
          <w:pgSz w:w="11900" w:h="16840"/>
          <w:pgMar w:header="971" w:footer="0" w:top="1300" w:bottom="280" w:left="1275" w:right="1275"/>
          <w:pgNumType w:start="1"/>
        </w:sectPr>
      </w:pPr>
    </w:p>
    <w:p>
      <w:pPr>
        <w:spacing w:before="262"/>
        <w:ind w:left="165" w:right="0" w:firstLine="0"/>
        <w:jc w:val="left"/>
        <w:rPr>
          <w:rFonts w:ascii="Arial"/>
          <w:b/>
          <w:sz w:val="24"/>
        </w:rPr>
      </w:pPr>
      <w:r>
        <w:rPr>
          <w:rFonts w:ascii="Arial"/>
          <w:b/>
          <w:sz w:val="24"/>
        </w:rPr>
        <w:t>1-</w:t>
      </w:r>
      <w:r>
        <w:rPr>
          <w:rFonts w:ascii="Arial"/>
          <w:b/>
          <w:spacing w:val="-5"/>
          <w:sz w:val="24"/>
        </w:rPr>
        <w:t>016</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43" w:id="245"/>
      <w:bookmarkEnd w:id="245"/>
      <w:r>
        <w:rPr>
          <w:rFonts w:ascii="Times New Roman" w:hAnsi="Times New Roman"/>
          <w:spacing w:val="10"/>
        </w:rPr>
      </w:r>
      <w:r>
        <w:rPr/>
        <w:t>However, an understanding of modern contracts as agreements does not fit easily with two recognised types of contract. First, in the case of a unilateral contract </w:t>
      </w:r>
      <w:r>
        <w:rPr>
          <w:color w:val="005DA1"/>
          <w:u w:val="single" w:color="005DA1"/>
          <w:vertAlign w:val="superscript"/>
        </w:rPr>
        <w:t>140</w:t>
      </w:r>
      <w:r>
        <w:rPr>
          <w:color w:val="005DA1"/>
          <w:vertAlign w:val="baseline"/>
        </w:rPr>
        <w:t> </w:t>
      </w:r>
      <w:r>
        <w:rPr>
          <w:vertAlign w:val="baseline"/>
        </w:rPr>
        <w:t>where A promises to do something if B does something else, the performance by B of the condition is enough for A to be </w:t>
      </w:r>
      <w:bookmarkStart w:name="_bookmark244" w:id="246"/>
      <w:bookmarkEnd w:id="246"/>
      <w:r>
        <w:rPr>
          <w:vertAlign w:val="baseline"/>
        </w:rPr>
        <w:t>bound.</w:t>
      </w:r>
      <w:r>
        <w:rPr>
          <w:vertAlign w:val="baseline"/>
        </w:rPr>
        <w:t> Here, analysis in terms of doing something of value in return for a promise fits more naturally </w:t>
      </w:r>
      <w:bookmarkStart w:name="_bookmark245" w:id="247"/>
      <w:bookmarkEnd w:id="247"/>
      <w:r>
        <w:rPr>
          <w:vertAlign w:val="baseline"/>
        </w:rPr>
        <w:t>than</w:t>
      </w:r>
      <w:r>
        <w:rPr>
          <w:vertAlign w:val="baseline"/>
        </w:rPr>
        <w:t> does the construction of an acceptance by B’s performance of the condition of A’s promise. </w:t>
      </w:r>
      <w:r>
        <w:rPr>
          <w:color w:val="005DA1"/>
          <w:u w:val="single" w:color="005DA1"/>
          <w:vertAlign w:val="superscript"/>
        </w:rPr>
        <w:t>141</w:t>
      </w:r>
      <w:r>
        <w:rPr>
          <w:color w:val="005DA1"/>
          <w:vertAlign w:val="baseline"/>
        </w:rPr>
        <w:t> </w:t>
      </w:r>
      <w:bookmarkStart w:name="_bookmark246" w:id="248"/>
      <w:bookmarkEnd w:id="248"/>
      <w:r>
        <w:rPr>
          <w:color w:val="005DA1"/>
          <w:w w:val="92"/>
          <w:vertAlign w:val="baseline"/>
        </w:rPr>
      </w:r>
      <w:r>
        <w:rPr>
          <w:vertAlign w:val="baseline"/>
        </w:rPr>
        <w:t>Secondly, promises contained in deeds </w:t>
      </w:r>
      <w:r>
        <w:rPr>
          <w:color w:val="005DA1"/>
          <w:u w:val="single" w:color="005DA1"/>
          <w:vertAlign w:val="superscript"/>
        </w:rPr>
        <w:t>142</w:t>
      </w:r>
      <w:r>
        <w:rPr>
          <w:color w:val="005DA1"/>
          <w:vertAlign w:val="baseline"/>
        </w:rPr>
        <w:t> </w:t>
      </w:r>
      <w:r>
        <w:rPr>
          <w:vertAlign w:val="baseline"/>
        </w:rPr>
        <w:t>are enforceable by the person in whose favour they </w:t>
      </w:r>
      <w:r>
        <w:rPr>
          <w:vertAlign w:val="baseline"/>
        </w:rPr>
        <w:t>are made, whether or not that person is aware of them</w:t>
      </w:r>
      <w:r>
        <w:rPr>
          <w:spacing w:val="-1"/>
          <w:vertAlign w:val="baseline"/>
        </w:rPr>
        <w:t> </w:t>
      </w:r>
      <w:r>
        <w:rPr>
          <w:color w:val="005DA1"/>
          <w:u w:val="single" w:color="005DA1"/>
          <w:vertAlign w:val="superscript"/>
        </w:rPr>
        <w:t>143</w:t>
      </w:r>
      <w:r>
        <w:rPr>
          <w:color w:val="005DA1"/>
          <w:vertAlign w:val="baseline"/>
        </w:rPr>
        <w:t> </w:t>
      </w:r>
      <w:r>
        <w:rPr>
          <w:vertAlign w:val="baseline"/>
        </w:rPr>
        <w:t>and so while a deed may give contractual force to an agreement, agreement is unnecessary for the enforcement of the promises which it contains. </w:t>
      </w:r>
      <w:bookmarkStart w:name="_bookmark247" w:id="249"/>
      <w:bookmarkEnd w:id="249"/>
      <w:r>
        <w:rPr>
          <w:vertAlign w:val="baseline"/>
        </w:rPr>
        <w:t>And,</w:t>
      </w:r>
      <w:r>
        <w:rPr>
          <w:vertAlign w:val="baseline"/>
        </w:rPr>
        <w:t> for Pollock, writing in 1885, the position of contracts under seal made it difficult for him to accept that “proposal and acceptance [form] part of the general conception of contract”. </w:t>
      </w:r>
      <w:r>
        <w:rPr>
          <w:color w:val="005DA1"/>
          <w:u w:val="single" w:color="005DA1"/>
          <w:vertAlign w:val="superscript"/>
        </w:rPr>
        <w:t>144</w:t>
      </w:r>
      <w:r>
        <w:rPr>
          <w:color w:val="005DA1"/>
          <w:vertAlign w:val="baseline"/>
        </w:rPr>
        <w:t> </w:t>
      </w:r>
      <w:r>
        <w:rPr>
          <w:vertAlign w:val="baseline"/>
        </w:rPr>
        <w:t>For other writers, </w:t>
      </w:r>
      <w:bookmarkStart w:name="_bookmark248" w:id="250"/>
      <w:bookmarkEnd w:id="250"/>
      <w:r>
        <w:rPr>
          <w:vertAlign w:val="baseline"/>
        </w:rPr>
        <w:t>however,</w:t>
      </w:r>
      <w:r>
        <w:rPr>
          <w:spacing w:val="31"/>
          <w:vertAlign w:val="baseline"/>
        </w:rPr>
        <w:t> </w:t>
      </w:r>
      <w:r>
        <w:rPr>
          <w:vertAlign w:val="baseline"/>
        </w:rPr>
        <w:t>it</w:t>
      </w:r>
      <w:r>
        <w:rPr>
          <w:spacing w:val="31"/>
          <w:vertAlign w:val="baseline"/>
        </w:rPr>
        <w:t> </w:t>
      </w:r>
      <w:r>
        <w:rPr>
          <w:vertAlign w:val="baseline"/>
        </w:rPr>
        <w:t>has</w:t>
      </w:r>
      <w:r>
        <w:rPr>
          <w:spacing w:val="31"/>
          <w:vertAlign w:val="baseline"/>
        </w:rPr>
        <w:t> </w:t>
      </w:r>
      <w:r>
        <w:rPr>
          <w:vertAlign w:val="baseline"/>
        </w:rPr>
        <w:t>led</w:t>
      </w:r>
      <w:r>
        <w:rPr>
          <w:spacing w:val="31"/>
          <w:vertAlign w:val="baseline"/>
        </w:rPr>
        <w:t> </w:t>
      </w:r>
      <w:r>
        <w:rPr>
          <w:vertAlign w:val="baseline"/>
        </w:rPr>
        <w:t>instead</w:t>
      </w:r>
      <w:r>
        <w:rPr>
          <w:spacing w:val="31"/>
          <w:vertAlign w:val="baseline"/>
        </w:rPr>
        <w:t> </w:t>
      </w:r>
      <w:r>
        <w:rPr>
          <w:vertAlign w:val="baseline"/>
        </w:rPr>
        <w:t>to</w:t>
      </w:r>
      <w:r>
        <w:rPr>
          <w:spacing w:val="31"/>
          <w:vertAlign w:val="baseline"/>
        </w:rPr>
        <w:t> </w:t>
      </w:r>
      <w:r>
        <w:rPr>
          <w:vertAlign w:val="baseline"/>
        </w:rPr>
        <w:t>a</w:t>
      </w:r>
      <w:r>
        <w:rPr>
          <w:spacing w:val="31"/>
          <w:vertAlign w:val="baseline"/>
        </w:rPr>
        <w:t> </w:t>
      </w:r>
      <w:r>
        <w:rPr>
          <w:vertAlign w:val="baseline"/>
        </w:rPr>
        <w:t>denial</w:t>
      </w:r>
      <w:r>
        <w:rPr>
          <w:spacing w:val="31"/>
          <w:vertAlign w:val="baseline"/>
        </w:rPr>
        <w:t> </w:t>
      </w:r>
      <w:r>
        <w:rPr>
          <w:vertAlign w:val="baseline"/>
        </w:rPr>
        <w:t>that</w:t>
      </w:r>
      <w:r>
        <w:rPr>
          <w:spacing w:val="31"/>
          <w:vertAlign w:val="baseline"/>
        </w:rPr>
        <w:t> </w:t>
      </w:r>
      <w:r>
        <w:rPr>
          <w:vertAlign w:val="baseline"/>
        </w:rPr>
        <w:t>the</w:t>
      </w:r>
      <w:r>
        <w:rPr>
          <w:spacing w:val="31"/>
          <w:vertAlign w:val="baseline"/>
        </w:rPr>
        <w:t> </w:t>
      </w:r>
      <w:r>
        <w:rPr>
          <w:vertAlign w:val="baseline"/>
        </w:rPr>
        <w:t>binding</w:t>
      </w:r>
      <w:r>
        <w:rPr>
          <w:spacing w:val="31"/>
          <w:vertAlign w:val="baseline"/>
        </w:rPr>
        <w:t> </w:t>
      </w:r>
      <w:r>
        <w:rPr>
          <w:vertAlign w:val="baseline"/>
        </w:rPr>
        <w:t>force</w:t>
      </w:r>
      <w:r>
        <w:rPr>
          <w:spacing w:val="31"/>
          <w:vertAlign w:val="baseline"/>
        </w:rPr>
        <w:t> </w:t>
      </w:r>
      <w:r>
        <w:rPr>
          <w:vertAlign w:val="baseline"/>
        </w:rPr>
        <w:t>of</w:t>
      </w:r>
      <w:r>
        <w:rPr>
          <w:spacing w:val="31"/>
          <w:vertAlign w:val="baseline"/>
        </w:rPr>
        <w:t> </w:t>
      </w:r>
      <w:r>
        <w:rPr>
          <w:vertAlign w:val="baseline"/>
        </w:rPr>
        <w:t>a</w:t>
      </w:r>
      <w:r>
        <w:rPr>
          <w:spacing w:val="31"/>
          <w:vertAlign w:val="baseline"/>
        </w:rPr>
        <w:t> </w:t>
      </w:r>
      <w:r>
        <w:rPr>
          <w:vertAlign w:val="baseline"/>
        </w:rPr>
        <w:t>promise</w:t>
      </w:r>
      <w:r>
        <w:rPr>
          <w:spacing w:val="31"/>
          <w:vertAlign w:val="baseline"/>
        </w:rPr>
        <w:t> </w:t>
      </w:r>
      <w:r>
        <w:rPr>
          <w:vertAlign w:val="baseline"/>
        </w:rPr>
        <w:t>in</w:t>
      </w:r>
      <w:r>
        <w:rPr>
          <w:spacing w:val="31"/>
          <w:vertAlign w:val="baseline"/>
        </w:rPr>
        <w:t> </w:t>
      </w:r>
      <w:r>
        <w:rPr>
          <w:vertAlign w:val="baseline"/>
        </w:rPr>
        <w:t>a</w:t>
      </w:r>
      <w:r>
        <w:rPr>
          <w:spacing w:val="31"/>
          <w:vertAlign w:val="baseline"/>
        </w:rPr>
        <w:t> </w:t>
      </w:r>
      <w:r>
        <w:rPr>
          <w:vertAlign w:val="baseline"/>
        </w:rPr>
        <w:t>deed</w:t>
      </w:r>
      <w:r>
        <w:rPr>
          <w:spacing w:val="31"/>
          <w:vertAlign w:val="baseline"/>
        </w:rPr>
        <w:t> </w:t>
      </w:r>
      <w:r>
        <w:rPr>
          <w:vertAlign w:val="baseline"/>
        </w:rPr>
        <w:t>depends</w:t>
      </w:r>
      <w:r>
        <w:rPr>
          <w:spacing w:val="31"/>
          <w:vertAlign w:val="baseline"/>
        </w:rPr>
        <w:t> </w:t>
      </w:r>
      <w:r>
        <w:rPr>
          <w:spacing w:val="-5"/>
          <w:vertAlign w:val="baseline"/>
        </w:rPr>
        <w:t>on</w:t>
      </w:r>
    </w:p>
    <w:p>
      <w:pPr>
        <w:pStyle w:val="BodyText"/>
        <w:spacing w:line="235" w:lineRule="auto" w:before="116"/>
        <w:ind w:left="164" w:right="167"/>
        <w:jc w:val="both"/>
      </w:pPr>
      <w:bookmarkStart w:name="_bookmark249" w:id="251"/>
      <w:bookmarkEnd w:id="251"/>
      <w:r>
        <w:rPr/>
      </w:r>
      <w:r>
        <w:rPr/>
        <w:t>contract at all. </w:t>
      </w:r>
      <w:r>
        <w:rPr>
          <w:color w:val="005DA1"/>
          <w:u w:val="single" w:color="005DA1"/>
          <w:vertAlign w:val="superscript"/>
        </w:rPr>
        <w:t>145</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12"/>
          <w:vertAlign w:val="baseline"/>
        </w:rPr>
        <w:t> </w:t>
      </w:r>
      <w:r>
        <w:rPr>
          <w:vertAlign w:val="baseline"/>
        </w:rPr>
        <w:t>Certainly, although it is true that the action to enforce promises made under seal, the action of covenant, was traditionally classified as arising ex contractu, </w:t>
      </w:r>
      <w:r>
        <w:rPr>
          <w:color w:val="005DA1"/>
          <w:u w:val="single" w:color="005DA1"/>
          <w:vertAlign w:val="superscript"/>
        </w:rPr>
        <w:t>146</w:t>
      </w:r>
      <w:r>
        <w:rPr>
          <w:color w:val="005DA1"/>
          <w:vertAlign w:val="baseline"/>
        </w:rPr>
        <w:t> </w:t>
      </w:r>
      <w:r>
        <w:rPr>
          <w:vertAlign w:val="baseline"/>
        </w:rPr>
        <w:t>this classification cannot be treated as conclusive as to whether promises in deeds should be considered contractual, given that at the time other actions which are clearly not so considered were also included within this </w:t>
      </w:r>
      <w:bookmarkStart w:name="_bookmark250" w:id="252"/>
      <w:bookmarkEnd w:id="252"/>
      <w:r>
        <w:rPr>
          <w:vertAlign w:val="baseline"/>
        </w:rPr>
        <w:t>category</w:t>
      </w:r>
      <w:r>
        <w:rPr>
          <w:vertAlign w:val="baseline"/>
        </w:rPr>
        <w:t> (notably, actions for money had and received, which would now be understood as restitutionary</w:t>
      </w:r>
      <w:r>
        <w:rPr>
          <w:spacing w:val="5"/>
          <w:vertAlign w:val="baseline"/>
        </w:rPr>
        <w:t> </w:t>
      </w:r>
      <w:r>
        <w:rPr>
          <w:color w:val="005DA1"/>
          <w:u w:val="single" w:color="005DA1"/>
          <w:vertAlign w:val="superscript"/>
        </w:rPr>
        <w:t>147</w:t>
      </w:r>
      <w:r>
        <w:rPr>
          <w:color w:val="005DA1"/>
          <w:spacing w:val="6"/>
          <w:vertAlign w:val="baseline"/>
        </w:rPr>
        <w:t> </w:t>
      </w:r>
      <w:r>
        <w:rPr>
          <w:vertAlign w:val="baseline"/>
        </w:rPr>
        <w:t>and</w:t>
      </w:r>
      <w:r>
        <w:rPr>
          <w:spacing w:val="6"/>
          <w:vertAlign w:val="baseline"/>
        </w:rPr>
        <w:t> </w:t>
      </w:r>
      <w:r>
        <w:rPr>
          <w:vertAlign w:val="baseline"/>
        </w:rPr>
        <w:t>actions</w:t>
      </w:r>
      <w:r>
        <w:rPr>
          <w:spacing w:val="5"/>
          <w:vertAlign w:val="baseline"/>
        </w:rPr>
        <w:t> </w:t>
      </w:r>
      <w:r>
        <w:rPr>
          <w:vertAlign w:val="baseline"/>
        </w:rPr>
        <w:t>for</w:t>
      </w:r>
      <w:r>
        <w:rPr>
          <w:spacing w:val="6"/>
          <w:vertAlign w:val="baseline"/>
        </w:rPr>
        <w:t> </w:t>
      </w:r>
      <w:r>
        <w:rPr>
          <w:vertAlign w:val="baseline"/>
        </w:rPr>
        <w:t>detinue</w:t>
      </w:r>
      <w:r>
        <w:rPr>
          <w:spacing w:val="6"/>
          <w:vertAlign w:val="baseline"/>
        </w:rPr>
        <w:t> </w:t>
      </w:r>
      <w:r>
        <w:rPr>
          <w:vertAlign w:val="baseline"/>
        </w:rPr>
        <w:t>whose</w:t>
      </w:r>
      <w:r>
        <w:rPr>
          <w:spacing w:val="5"/>
          <w:vertAlign w:val="baseline"/>
        </w:rPr>
        <w:t> </w:t>
      </w:r>
      <w:r>
        <w:rPr>
          <w:vertAlign w:val="baseline"/>
        </w:rPr>
        <w:t>function</w:t>
      </w:r>
      <w:r>
        <w:rPr>
          <w:spacing w:val="6"/>
          <w:vertAlign w:val="baseline"/>
        </w:rPr>
        <w:t> </w:t>
      </w:r>
      <w:r>
        <w:rPr>
          <w:vertAlign w:val="baseline"/>
        </w:rPr>
        <w:t>before</w:t>
      </w:r>
      <w:r>
        <w:rPr>
          <w:spacing w:val="5"/>
          <w:vertAlign w:val="baseline"/>
        </w:rPr>
        <w:t> </w:t>
      </w:r>
      <w:r>
        <w:rPr>
          <w:vertAlign w:val="baseline"/>
        </w:rPr>
        <w:t>their</w:t>
      </w:r>
      <w:r>
        <w:rPr>
          <w:spacing w:val="6"/>
          <w:vertAlign w:val="baseline"/>
        </w:rPr>
        <w:t> </w:t>
      </w:r>
      <w:r>
        <w:rPr>
          <w:vertAlign w:val="baseline"/>
        </w:rPr>
        <w:t>abolition</w:t>
      </w:r>
      <w:r>
        <w:rPr>
          <w:spacing w:val="6"/>
          <w:vertAlign w:val="baseline"/>
        </w:rPr>
        <w:t> </w:t>
      </w:r>
      <w:r>
        <w:rPr>
          <w:vertAlign w:val="baseline"/>
        </w:rPr>
        <w:t>was</w:t>
      </w:r>
      <w:r>
        <w:rPr>
          <w:spacing w:val="5"/>
          <w:vertAlign w:val="baseline"/>
        </w:rPr>
        <w:t> </w:t>
      </w:r>
      <w:r>
        <w:rPr>
          <w:vertAlign w:val="baseline"/>
        </w:rPr>
        <w:t>clearly</w:t>
      </w:r>
      <w:r>
        <w:rPr>
          <w:spacing w:val="6"/>
          <w:vertAlign w:val="baseline"/>
        </w:rPr>
        <w:t> </w:t>
      </w:r>
      <w:r>
        <w:rPr>
          <w:spacing w:val="-2"/>
          <w:vertAlign w:val="baseline"/>
        </w:rPr>
        <w:t>proprietary).</w:t>
      </w:r>
    </w:p>
    <w:p>
      <w:pPr>
        <w:spacing w:line="111" w:lineRule="exact" w:before="0"/>
        <w:ind w:left="165" w:right="0" w:firstLine="0"/>
        <w:jc w:val="left"/>
        <w:rPr>
          <w:sz w:val="12"/>
        </w:rPr>
      </w:pPr>
      <w:r>
        <w:rPr>
          <w:color w:val="005DA1"/>
          <w:spacing w:val="-5"/>
          <w:sz w:val="12"/>
          <w:u w:val="single" w:color="005DA1"/>
        </w:rPr>
        <w:t>148</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Actual agreement not </w:t>
      </w:r>
      <w:r>
        <w:rPr>
          <w:rFonts w:ascii="Arial"/>
          <w:b/>
          <w:spacing w:val="-2"/>
          <w:sz w:val="18"/>
        </w:rPr>
        <w:t>required</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017</w:t>
      </w:r>
    </w:p>
    <w:p>
      <w:pPr>
        <w:pStyle w:val="BodyText"/>
        <w:spacing w:line="235" w:lineRule="auto" w:before="202"/>
        <w:ind w:left="165" w:right="167"/>
        <w:jc w:val="both"/>
      </w:pPr>
      <w:r>
        <w:rPr/>
        <w:t>Moreover, even though it is true that the existence of an agreement is in the vast majority of cases </w:t>
      </w:r>
      <w:r>
        <w:rPr/>
        <w:t>a condition for the existence of a contract not contained in a deed, this statement ought to be treated with some caution. First, the existence of an agreement is not an issue merely of fact, to be found by</w:t>
      </w:r>
      <w:r>
        <w:rPr>
          <w:spacing w:val="40"/>
        </w:rPr>
        <w:t> </w:t>
      </w:r>
      <w:bookmarkStart w:name="_bookmark251" w:id="253"/>
      <w:bookmarkEnd w:id="253"/>
      <w:r>
        <w:rPr/>
        <w:t>a</w:t>
      </w:r>
      <w:r>
        <w:rPr/>
        <w:t> psychological investigation of the parties at the time of its alleged origin: English law takes an </w:t>
      </w:r>
      <w:bookmarkStart w:name="_bookmark252" w:id="254"/>
      <w:bookmarkEnd w:id="254"/>
      <w:r>
        <w:rPr/>
        <w:t>“objective”</w:t>
      </w:r>
      <w:r>
        <w:rPr/>
        <w:t> rather than a “subjective” view of the existence of agreement </w:t>
      </w:r>
      <w:r>
        <w:rPr>
          <w:color w:val="005DA1"/>
          <w:u w:val="single" w:color="005DA1"/>
          <w:vertAlign w:val="superscript"/>
        </w:rPr>
        <w:t>149</w:t>
      </w:r>
      <w:r>
        <w:rPr>
          <w:color w:val="005DA1"/>
          <w:vertAlign w:val="baseline"/>
        </w:rPr>
        <w:t> </w:t>
      </w:r>
      <w:r>
        <w:rPr>
          <w:vertAlign w:val="baseline"/>
        </w:rPr>
        <w:t>and so its starting point is the manifestation of mutual assent by two or more persons to one another </w:t>
      </w:r>
      <w:r>
        <w:rPr>
          <w:color w:val="005DA1"/>
          <w:u w:val="single" w:color="005DA1"/>
          <w:vertAlign w:val="superscript"/>
        </w:rPr>
        <w:t>150</w:t>
      </w:r>
      <w:r>
        <w:rPr>
          <w:vertAlign w:val="baseline"/>
        </w:rPr>
        <w:t>:</w:t>
      </w:r>
    </w:p>
    <w:p>
      <w:pPr>
        <w:pStyle w:val="BodyText"/>
      </w:pPr>
    </w:p>
    <w:p>
      <w:pPr>
        <w:pStyle w:val="BodyText"/>
        <w:spacing w:before="124"/>
      </w:pPr>
    </w:p>
    <w:p>
      <w:pPr>
        <w:pStyle w:val="BodyText"/>
        <w:spacing w:line="235" w:lineRule="auto" w:before="1"/>
        <w:ind w:left="1245" w:right="167"/>
        <w:jc w:val="both"/>
      </w:pPr>
      <w:r>
        <w:rPr/>
        <w:t>“Agreement is not a mental state but an act, and, as an act, is a matter of inference from </w:t>
      </w:r>
      <w:bookmarkStart w:name="_bookmark253" w:id="255"/>
      <w:bookmarkEnd w:id="255"/>
      <w:r>
        <w:rPr/>
        <w:t>conduct.</w:t>
      </w:r>
      <w:r>
        <w:rPr/>
        <w:t> The parties are to be judged, not by what is in their minds, but by what </w:t>
      </w:r>
      <w:r>
        <w:rPr/>
        <w:t>they</w:t>
      </w:r>
      <w:r>
        <w:rPr>
          <w:spacing w:val="40"/>
        </w:rPr>
        <w:t> </w:t>
      </w:r>
      <w:r>
        <w:rPr/>
        <w:t>have said or written or done.” </w:t>
      </w:r>
      <w:r>
        <w:rPr>
          <w:color w:val="005DA1"/>
          <w:u w:val="single" w:color="005DA1"/>
          <w:vertAlign w:val="superscript"/>
        </w:rPr>
        <w:t>151</w:t>
      </w:r>
    </w:p>
    <w:p>
      <w:pPr>
        <w:pStyle w:val="BodyText"/>
        <w:spacing w:before="115"/>
      </w:pPr>
    </w:p>
    <w:p>
      <w:pPr>
        <w:pStyle w:val="BodyText"/>
        <w:spacing w:line="235" w:lineRule="auto"/>
        <w:ind w:left="164" w:right="167"/>
        <w:jc w:val="both"/>
      </w:pPr>
      <w:r>
        <w:rPr/>
        <w:t>Furthermore,</w:t>
      </w:r>
      <w:r>
        <w:rPr>
          <w:spacing w:val="-2"/>
        </w:rPr>
        <w:t> </w:t>
      </w:r>
      <w:r>
        <w:rPr/>
        <w:t>for</w:t>
      </w:r>
      <w:r>
        <w:rPr>
          <w:spacing w:val="-2"/>
        </w:rPr>
        <w:t> </w:t>
      </w:r>
      <w:r>
        <w:rPr/>
        <w:t>reasons</w:t>
      </w:r>
      <w:r>
        <w:rPr>
          <w:spacing w:val="-2"/>
        </w:rPr>
        <w:t> </w:t>
      </w:r>
      <w:r>
        <w:rPr/>
        <w:t>of</w:t>
      </w:r>
      <w:r>
        <w:rPr>
          <w:spacing w:val="-2"/>
        </w:rPr>
        <w:t> </w:t>
      </w:r>
      <w:r>
        <w:rPr/>
        <w:t>commercial</w:t>
      </w:r>
      <w:r>
        <w:rPr>
          <w:spacing w:val="-2"/>
        </w:rPr>
        <w:t> </w:t>
      </w:r>
      <w:r>
        <w:rPr/>
        <w:t>convenience,</w:t>
      </w:r>
      <w:r>
        <w:rPr>
          <w:spacing w:val="-2"/>
        </w:rPr>
        <w:t> </w:t>
      </w:r>
      <w:r>
        <w:rPr/>
        <w:t>the</w:t>
      </w:r>
      <w:r>
        <w:rPr>
          <w:spacing w:val="-2"/>
        </w:rPr>
        <w:t> </w:t>
      </w:r>
      <w:r>
        <w:rPr/>
        <w:t>common</w:t>
      </w:r>
      <w:r>
        <w:rPr>
          <w:spacing w:val="-2"/>
        </w:rPr>
        <w:t> </w:t>
      </w:r>
      <w:r>
        <w:rPr/>
        <w:t>law</w:t>
      </w:r>
      <w:r>
        <w:rPr>
          <w:spacing w:val="-2"/>
        </w:rPr>
        <w:t> </w:t>
      </w:r>
      <w:r>
        <w:rPr/>
        <w:t>regulates</w:t>
      </w:r>
      <w:r>
        <w:rPr>
          <w:spacing w:val="-2"/>
        </w:rPr>
        <w:t> </w:t>
      </w:r>
      <w:r>
        <w:rPr/>
        <w:t>what</w:t>
      </w:r>
      <w:r>
        <w:rPr>
          <w:spacing w:val="-2"/>
        </w:rPr>
        <w:t> </w:t>
      </w:r>
      <w:r>
        <w:rPr/>
        <w:t>is</w:t>
      </w:r>
      <w:r>
        <w:rPr>
          <w:spacing w:val="-2"/>
        </w:rPr>
        <w:t> </w:t>
      </w:r>
      <w:r>
        <w:rPr/>
        <w:t>to</w:t>
      </w:r>
      <w:r>
        <w:rPr>
          <w:spacing w:val="-2"/>
        </w:rPr>
        <w:t> </w:t>
      </w:r>
      <w:r>
        <w:rPr/>
        <w:t>be</w:t>
      </w:r>
      <w:r>
        <w:rPr>
          <w:spacing w:val="-2"/>
        </w:rPr>
        <w:t> </w:t>
      </w:r>
      <w:r>
        <w:rPr/>
        <w:t>treated </w:t>
      </w:r>
      <w:bookmarkStart w:name="_bookmark254" w:id="256"/>
      <w:bookmarkEnd w:id="256"/>
      <w:r>
        <w:rPr/>
        <w:t>as</w:t>
      </w:r>
      <w:r>
        <w:rPr/>
        <w:t> a manifestation of assent capable of giving rise to a contract in its rules relating to offer </w:t>
      </w:r>
      <w:r>
        <w:rPr/>
        <w:t>and acceptance. </w:t>
      </w:r>
      <w:r>
        <w:rPr>
          <w:color w:val="005DA1"/>
          <w:u w:val="single" w:color="005DA1"/>
          <w:vertAlign w:val="superscript"/>
        </w:rPr>
        <w:t>152</w:t>
      </w:r>
      <w:r>
        <w:rPr>
          <w:color w:val="005DA1"/>
          <w:vertAlign w:val="baseline"/>
        </w:rPr>
        <w:t> </w:t>
      </w:r>
      <w:r>
        <w:rPr>
          <w:vertAlign w:val="baseline"/>
        </w:rPr>
        <w:t>For example, a posted acceptance of an offer is said to conclude a contract on </w:t>
      </w:r>
      <w:bookmarkStart w:name="_bookmark255" w:id="257"/>
      <w:bookmarkEnd w:id="257"/>
      <w:r>
        <w:rPr>
          <w:vertAlign w:val="baseline"/>
        </w:rPr>
        <w:t>posting,</w:t>
      </w:r>
      <w:r>
        <w:rPr>
          <w:vertAlign w:val="baseline"/>
        </w:rPr>
        <w:t> rather than on communication to the offeror, and so an acceptance lost in the post will bind the offeror. </w:t>
      </w:r>
      <w:r>
        <w:rPr>
          <w:color w:val="005DA1"/>
          <w:u w:val="single" w:color="005DA1"/>
          <w:vertAlign w:val="superscript"/>
        </w:rPr>
        <w:t>153</w:t>
      </w:r>
      <w:r>
        <w:rPr>
          <w:color w:val="005DA1"/>
          <w:vertAlign w:val="baseline"/>
        </w:rPr>
        <w:t> </w:t>
      </w:r>
      <w:r>
        <w:rPr>
          <w:vertAlign w:val="baseline"/>
        </w:rPr>
        <w:t>Similarly, if A sends an offer to B by post, and then changes his mind and sends a</w:t>
      </w:r>
      <w:r>
        <w:rPr>
          <w:spacing w:val="40"/>
          <w:vertAlign w:val="baseline"/>
        </w:rPr>
        <w:t> </w:t>
      </w:r>
      <w:bookmarkStart w:name="_bookmark256" w:id="258"/>
      <w:bookmarkEnd w:id="258"/>
      <w:r>
        <w:rPr>
          <w:vertAlign w:val="baseline"/>
        </w:rPr>
        <w:t>letter</w:t>
      </w:r>
      <w:r>
        <w:rPr>
          <w:vertAlign w:val="baseline"/>
        </w:rPr>
        <w:t> revoking his offer, but B posts an acceptance of the offer after A posted his letter of revocation, but before B received it, there may be a contract, though the parties were never ad idem. </w:t>
      </w:r>
      <w:r>
        <w:rPr>
          <w:color w:val="005DA1"/>
          <w:u w:val="single" w:color="005DA1"/>
          <w:vertAlign w:val="superscript"/>
        </w:rPr>
        <w:t>154</w:t>
      </w:r>
      <w:r>
        <w:rPr>
          <w:color w:val="005DA1"/>
          <w:vertAlign w:val="baseline"/>
        </w:rPr>
        <w:t> </w:t>
      </w:r>
      <w:r>
        <w:rPr>
          <w:vertAlign w:val="baseline"/>
        </w:rPr>
        <w:t>Another </w:t>
      </w:r>
      <w:bookmarkStart w:name="_bookmark257" w:id="259"/>
      <w:bookmarkEnd w:id="259"/>
      <w:r>
        <w:rPr>
          <w:vertAlign w:val="baseline"/>
        </w:rPr>
        <w:t>example</w:t>
      </w:r>
      <w:r>
        <w:rPr>
          <w:vertAlign w:val="baseline"/>
        </w:rPr>
        <w:t> of common law regulation of what constitutes an agreement may be found in the general</w:t>
      </w:r>
      <w:r>
        <w:rPr>
          <w:spacing w:val="80"/>
          <w:vertAlign w:val="baseline"/>
        </w:rPr>
        <w:t> </w:t>
      </w:r>
      <w:r>
        <w:rPr>
          <w:vertAlign w:val="baseline"/>
        </w:rPr>
        <w:t>rule that silence in an offeree cannot be treated as acceptance. </w:t>
      </w:r>
      <w:r>
        <w:rPr>
          <w:color w:val="005DA1"/>
          <w:u w:val="single" w:color="005DA1"/>
          <w:vertAlign w:val="superscript"/>
        </w:rPr>
        <w:t>155</w:t>
      </w:r>
      <w:r>
        <w:rPr>
          <w:color w:val="005DA1"/>
          <w:vertAlign w:val="baseline"/>
        </w:rPr>
        <w:t> </w:t>
      </w:r>
      <w:r>
        <w:rPr>
          <w:vertAlign w:val="baseline"/>
        </w:rPr>
        <w:t>And it has been held that the traditional analysis in battle of forms cases will not be displaced unless it is shown that it was the </w:t>
      </w:r>
      <w:bookmarkStart w:name="_bookmark258" w:id="260"/>
      <w:bookmarkEnd w:id="260"/>
      <w:r>
        <w:rPr>
          <w:vertAlign w:val="baseline"/>
        </w:rPr>
        <w:t>parties’</w:t>
      </w:r>
      <w:r>
        <w:rPr>
          <w:vertAlign w:val="baseline"/>
        </w:rPr>
        <w:t> common intention (as objectively construed from their words or conduct) that some other terms were intended to prevail. </w:t>
      </w:r>
      <w:r>
        <w:rPr>
          <w:color w:val="005DA1"/>
          <w:u w:val="single" w:color="005DA1"/>
          <w:vertAlign w:val="superscript"/>
        </w:rPr>
        <w:t>156</w:t>
      </w:r>
    </w:p>
    <w:p>
      <w:pPr>
        <w:pStyle w:val="BodyText"/>
      </w:pPr>
    </w:p>
    <w:p>
      <w:pPr>
        <w:pStyle w:val="BodyText"/>
        <w:spacing w:before="34"/>
      </w:pPr>
    </w:p>
    <w:p>
      <w:pPr>
        <w:spacing w:before="0"/>
        <w:ind w:left="165" w:right="0" w:firstLine="0"/>
        <w:jc w:val="left"/>
        <w:rPr>
          <w:rFonts w:ascii="Arial"/>
          <w:b/>
          <w:sz w:val="18"/>
        </w:rPr>
      </w:pPr>
      <w:r>
        <w:rPr>
          <w:rFonts w:ascii="Arial"/>
          <w:b/>
          <w:sz w:val="18"/>
        </w:rPr>
        <w:t>Agreement and consideration not </w:t>
      </w:r>
      <w:r>
        <w:rPr>
          <w:rFonts w:ascii="Arial"/>
          <w:b/>
          <w:spacing w:val="-2"/>
          <w:sz w:val="18"/>
        </w:rPr>
        <w:t>sufficient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018</w:t>
      </w:r>
    </w:p>
    <w:p>
      <w:pPr>
        <w:pStyle w:val="BodyText"/>
        <w:spacing w:line="235" w:lineRule="auto" w:before="202"/>
        <w:ind w:left="165" w:right="167"/>
        <w:jc w:val="both"/>
      </w:pPr>
      <w:r>
        <w:rPr/>
        <w:t>Secondly, the presence of an agreement supported by consideration is not always sufficient </w:t>
      </w:r>
      <w:r>
        <w:rPr/>
        <w:t>to establish</w:t>
      </w:r>
      <w:r>
        <w:rPr>
          <w:spacing w:val="56"/>
          <w:w w:val="150"/>
        </w:rPr>
        <w:t> </w:t>
      </w:r>
      <w:r>
        <w:rPr/>
        <w:t>the</w:t>
      </w:r>
      <w:r>
        <w:rPr>
          <w:spacing w:val="56"/>
          <w:w w:val="150"/>
        </w:rPr>
        <w:t> </w:t>
      </w:r>
      <w:r>
        <w:rPr/>
        <w:t>existence</w:t>
      </w:r>
      <w:r>
        <w:rPr>
          <w:spacing w:val="56"/>
          <w:w w:val="150"/>
        </w:rPr>
        <w:t> </w:t>
      </w:r>
      <w:r>
        <w:rPr/>
        <w:t>of</w:t>
      </w:r>
      <w:r>
        <w:rPr>
          <w:spacing w:val="56"/>
          <w:w w:val="150"/>
        </w:rPr>
        <w:t> </w:t>
      </w:r>
      <w:r>
        <w:rPr/>
        <w:t>a</w:t>
      </w:r>
      <w:r>
        <w:rPr>
          <w:spacing w:val="57"/>
          <w:w w:val="150"/>
        </w:rPr>
        <w:t> </w:t>
      </w:r>
      <w:r>
        <w:rPr/>
        <w:t>contract.</w:t>
      </w:r>
      <w:r>
        <w:rPr>
          <w:spacing w:val="56"/>
          <w:w w:val="150"/>
        </w:rPr>
        <w:t> </w:t>
      </w:r>
      <w:r>
        <w:rPr/>
        <w:t>This</w:t>
      </w:r>
      <w:r>
        <w:rPr>
          <w:spacing w:val="56"/>
          <w:w w:val="150"/>
        </w:rPr>
        <w:t> </w:t>
      </w:r>
      <w:r>
        <w:rPr/>
        <w:t>is</w:t>
      </w:r>
      <w:r>
        <w:rPr>
          <w:spacing w:val="56"/>
          <w:w w:val="150"/>
        </w:rPr>
        <w:t> </w:t>
      </w:r>
      <w:r>
        <w:rPr/>
        <w:t>notably</w:t>
      </w:r>
      <w:r>
        <w:rPr>
          <w:spacing w:val="56"/>
          <w:w w:val="150"/>
        </w:rPr>
        <w:t> </w:t>
      </w:r>
      <w:r>
        <w:rPr/>
        <w:t>the</w:t>
      </w:r>
      <w:r>
        <w:rPr>
          <w:spacing w:val="57"/>
          <w:w w:val="150"/>
        </w:rPr>
        <w:t> </w:t>
      </w:r>
      <w:r>
        <w:rPr/>
        <w:t>case</w:t>
      </w:r>
      <w:r>
        <w:rPr>
          <w:spacing w:val="56"/>
          <w:w w:val="150"/>
        </w:rPr>
        <w:t> </w:t>
      </w:r>
      <w:r>
        <w:rPr/>
        <w:t>where</w:t>
      </w:r>
      <w:r>
        <w:rPr>
          <w:spacing w:val="56"/>
          <w:w w:val="150"/>
        </w:rPr>
        <w:t> </w:t>
      </w:r>
      <w:r>
        <w:rPr/>
        <w:t>the</w:t>
      </w:r>
      <w:r>
        <w:rPr>
          <w:spacing w:val="56"/>
          <w:w w:val="150"/>
        </w:rPr>
        <w:t> </w:t>
      </w:r>
      <w:r>
        <w:rPr/>
        <w:t>parties</w:t>
      </w:r>
      <w:r>
        <w:rPr>
          <w:spacing w:val="57"/>
          <w:w w:val="150"/>
        </w:rPr>
        <w:t> </w:t>
      </w:r>
      <w:r>
        <w:rPr/>
        <w:t>agree</w:t>
      </w:r>
      <w:r>
        <w:rPr>
          <w:spacing w:val="56"/>
          <w:w w:val="150"/>
        </w:rPr>
        <w:t> </w:t>
      </w:r>
      <w:r>
        <w:rPr>
          <w:spacing w:val="-5"/>
        </w:rPr>
        <w:t>in</w:t>
      </w:r>
    </w:p>
    <w:p>
      <w:pPr>
        <w:pStyle w:val="BodyText"/>
        <w:spacing w:after="0" w:line="235" w:lineRule="auto"/>
        <w:jc w:val="both"/>
        <w:sectPr>
          <w:pgSz w:w="11900" w:h="16840"/>
          <w:pgMar w:header="971" w:footer="0" w:top="1300" w:bottom="280" w:left="1275" w:right="1275"/>
        </w:sectPr>
      </w:pPr>
    </w:p>
    <w:p>
      <w:pPr>
        <w:pStyle w:val="BodyText"/>
        <w:spacing w:line="235" w:lineRule="auto" w:before="210"/>
        <w:ind w:left="165" w:right="167"/>
        <w:jc w:val="both"/>
      </w:pPr>
      <w:r>
        <w:rPr/>
        <w:t>circumstances in which it is considered inappropriate for the law to impose legal obligations, </w:t>
      </w:r>
      <w:r>
        <w:rPr/>
        <w:t>for </w:t>
      </w:r>
      <w:bookmarkStart w:name="_bookmark259" w:id="261"/>
      <w:bookmarkEnd w:id="261"/>
      <w:r>
        <w:rPr/>
        <w:t>example,</w:t>
      </w:r>
      <w:r>
        <w:rPr/>
        <w:t> in a social or domestic context, and is justified on the basis that the parties cannot be considered to have intended to create a legal relationship. </w:t>
      </w:r>
      <w:r>
        <w:rPr>
          <w:color w:val="005DA1"/>
          <w:u w:val="single" w:color="005DA1"/>
          <w:vertAlign w:val="superscript"/>
        </w:rPr>
        <w:t>157</w:t>
      </w:r>
      <w:r>
        <w:rPr>
          <w:color w:val="005DA1"/>
          <w:vertAlign w:val="baseline"/>
        </w:rPr>
        <w:t> </w:t>
      </w:r>
      <w:r>
        <w:rPr>
          <w:vertAlign w:val="baseline"/>
        </w:rPr>
        <w:t>However, the courts have used the </w:t>
      </w:r>
      <w:bookmarkStart w:name="_bookmark260" w:id="262"/>
      <w:bookmarkEnd w:id="262"/>
      <w:r>
        <w:rPr>
          <w:vertAlign w:val="baseline"/>
        </w:rPr>
        <w:t>requirement</w:t>
      </w:r>
      <w:r>
        <w:rPr>
          <w:vertAlign w:val="baseline"/>
        </w:rPr>
        <w:t> that the parties must possess an intention to create legal relations to exclude other types of nongratuitous agreement from the domain of contract. </w:t>
      </w:r>
      <w:r>
        <w:rPr>
          <w:color w:val="005DA1"/>
          <w:u w:val="single" w:color="005DA1"/>
          <w:vertAlign w:val="superscript"/>
        </w:rPr>
        <w:t>158</w:t>
      </w:r>
      <w:r>
        <w:rPr>
          <w:color w:val="005DA1"/>
          <w:vertAlign w:val="baseline"/>
        </w:rPr>
        <w:t> </w:t>
      </w:r>
      <w:r>
        <w:rPr>
          <w:vertAlign w:val="baseline"/>
        </w:rPr>
        <w:t>Furthermore, even if a transaction fulfils </w:t>
      </w:r>
      <w:bookmarkStart w:name="_bookmark261" w:id="263"/>
      <w:bookmarkEnd w:id="263"/>
      <w:r>
        <w:rPr>
          <w:vertAlign w:val="baseline"/>
        </w:rPr>
        <w:t>these</w:t>
      </w:r>
      <w:r>
        <w:rPr>
          <w:vertAlign w:val="baseline"/>
        </w:rPr>
        <w:t> three conditions of agreement, consideration and an intention to create legal relations, it may</w:t>
      </w:r>
      <w:r>
        <w:rPr>
          <w:spacing w:val="80"/>
          <w:vertAlign w:val="baseline"/>
        </w:rPr>
        <w:t> </w:t>
      </w:r>
      <w:bookmarkStart w:name="_bookmark262" w:id="264"/>
      <w:bookmarkEnd w:id="264"/>
      <w:r>
        <w:rPr>
          <w:vertAlign w:val="baseline"/>
        </w:rPr>
        <w:t>be</w:t>
      </w:r>
      <w:r>
        <w:rPr>
          <w:vertAlign w:val="baseline"/>
        </w:rPr>
        <w:t> defeated by the presence of other factors such as the absence of a particular form, </w:t>
      </w:r>
      <w:r>
        <w:rPr>
          <w:color w:val="005DA1"/>
          <w:u w:val="single" w:color="005DA1"/>
          <w:vertAlign w:val="superscript"/>
        </w:rPr>
        <w:t>159</w:t>
      </w:r>
      <w:r>
        <w:rPr>
          <w:color w:val="005DA1"/>
          <w:vertAlign w:val="baseline"/>
        </w:rPr>
        <w:t> </w:t>
      </w:r>
      <w:r>
        <w:rPr>
          <w:vertAlign w:val="baseline"/>
        </w:rPr>
        <w:t>mistake, </w:t>
      </w:r>
      <w:r>
        <w:rPr>
          <w:color w:val="005DA1"/>
          <w:u w:val="single" w:color="005DA1"/>
          <w:vertAlign w:val="superscript"/>
        </w:rPr>
        <w:t>160</w:t>
      </w:r>
      <w:r>
        <w:rPr>
          <w:color w:val="005DA1"/>
          <w:vertAlign w:val="baseline"/>
        </w:rPr>
        <w:t> </w:t>
      </w:r>
      <w:bookmarkStart w:name="_bookmark263" w:id="265"/>
      <w:bookmarkEnd w:id="265"/>
      <w:r>
        <w:rPr>
          <w:color w:val="005DA1"/>
          <w:w w:val="92"/>
          <w:vertAlign w:val="baseline"/>
        </w:rPr>
      </w:r>
      <w:r>
        <w:rPr>
          <w:vertAlign w:val="baseline"/>
        </w:rPr>
        <w:t>misrepresentation, </w:t>
      </w:r>
      <w:r>
        <w:rPr>
          <w:color w:val="005DA1"/>
          <w:u w:val="single" w:color="005DA1"/>
          <w:vertAlign w:val="superscript"/>
        </w:rPr>
        <w:t>161</w:t>
      </w:r>
      <w:r>
        <w:rPr>
          <w:color w:val="005DA1"/>
          <w:vertAlign w:val="baseline"/>
        </w:rPr>
        <w:t> </w:t>
      </w:r>
      <w:r>
        <w:rPr>
          <w:vertAlign w:val="baseline"/>
        </w:rPr>
        <w:t>duress, </w:t>
      </w:r>
      <w:r>
        <w:rPr>
          <w:color w:val="005DA1"/>
          <w:u w:val="single" w:color="005DA1"/>
          <w:vertAlign w:val="superscript"/>
        </w:rPr>
        <w:t>162</w:t>
      </w:r>
      <w:r>
        <w:rPr>
          <w:color w:val="005DA1"/>
          <w:vertAlign w:val="baseline"/>
        </w:rPr>
        <w:t> </w:t>
      </w:r>
      <w:r>
        <w:rPr>
          <w:vertAlign w:val="baseline"/>
        </w:rPr>
        <w:t>undue influence, </w:t>
      </w:r>
      <w:r>
        <w:rPr>
          <w:color w:val="005DA1"/>
          <w:u w:val="single" w:color="005DA1"/>
          <w:vertAlign w:val="superscript"/>
        </w:rPr>
        <w:t>163</w:t>
      </w:r>
      <w:r>
        <w:rPr>
          <w:color w:val="005DA1"/>
          <w:vertAlign w:val="baseline"/>
        </w:rPr>
        <w:t> </w:t>
      </w:r>
      <w:r>
        <w:rPr>
          <w:vertAlign w:val="baseline"/>
        </w:rPr>
        <w:t>incapacity </w:t>
      </w:r>
      <w:r>
        <w:rPr>
          <w:color w:val="005DA1"/>
          <w:u w:val="single" w:color="005DA1"/>
          <w:vertAlign w:val="superscript"/>
        </w:rPr>
        <w:t>164</w:t>
      </w:r>
      <w:r>
        <w:rPr>
          <w:color w:val="005DA1"/>
          <w:vertAlign w:val="baseline"/>
        </w:rPr>
        <w:t> </w:t>
      </w:r>
      <w:r>
        <w:rPr>
          <w:vertAlign w:val="baseline"/>
        </w:rPr>
        <w:t>or illegality. </w:t>
      </w:r>
      <w:r>
        <w:rPr>
          <w:color w:val="005DA1"/>
          <w:u w:val="single" w:color="005DA1"/>
          <w:vertAlign w:val="superscript"/>
        </w:rPr>
        <w:t>165</w:t>
      </w:r>
      <w:r>
        <w:rPr>
          <w:color w:val="005DA1"/>
          <w:vertAlign w:val="baseline"/>
        </w:rPr>
        <w:t> </w:t>
      </w:r>
      <w:r>
        <w:rPr>
          <w:vertAlign w:val="baseline"/>
        </w:rPr>
        <w:t>Some of these </w:t>
      </w:r>
      <w:bookmarkStart w:name="_bookmark264" w:id="266"/>
      <w:bookmarkEnd w:id="266"/>
      <w:r>
        <w:rPr>
          <w:vertAlign w:val="baseline"/>
        </w:rPr>
        <w:t>factors</w:t>
      </w:r>
      <w:r>
        <w:rPr>
          <w:vertAlign w:val="baseline"/>
        </w:rPr>
        <w:t> will render the contract void, </w:t>
      </w:r>
      <w:r>
        <w:rPr>
          <w:color w:val="005DA1"/>
          <w:u w:val="single" w:color="005DA1"/>
          <w:vertAlign w:val="superscript"/>
        </w:rPr>
        <w:t>166</w:t>
      </w:r>
      <w:r>
        <w:rPr>
          <w:color w:val="005DA1"/>
          <w:vertAlign w:val="baseline"/>
        </w:rPr>
        <w:t> </w:t>
      </w:r>
      <w:r>
        <w:rPr>
          <w:vertAlign w:val="baseline"/>
        </w:rPr>
        <w:t>others voidable, </w:t>
      </w:r>
      <w:r>
        <w:rPr>
          <w:color w:val="005DA1"/>
          <w:u w:val="single" w:color="005DA1"/>
          <w:vertAlign w:val="superscript"/>
        </w:rPr>
        <w:t>167</w:t>
      </w:r>
      <w:r>
        <w:rPr>
          <w:color w:val="005DA1"/>
          <w:vertAlign w:val="baseline"/>
        </w:rPr>
        <w:t> </w:t>
      </w:r>
      <w:r>
        <w:rPr>
          <w:vertAlign w:val="baseline"/>
        </w:rPr>
        <w:t>and others still will render it unenforceable against one or both contracting parties. </w:t>
      </w:r>
      <w:r>
        <w:rPr>
          <w:color w:val="005DA1"/>
          <w:u w:val="single" w:color="005DA1"/>
          <w:vertAlign w:val="superscript"/>
        </w:rPr>
        <w:t>168</w:t>
      </w:r>
    </w:p>
    <w:p>
      <w:pPr>
        <w:pStyle w:val="BodyText"/>
      </w:pPr>
    </w:p>
    <w:p>
      <w:pPr>
        <w:pStyle w:val="BodyText"/>
        <w:spacing w:before="35"/>
      </w:pPr>
    </w:p>
    <w:p>
      <w:pPr>
        <w:spacing w:before="0"/>
        <w:ind w:left="165" w:right="0" w:firstLine="0"/>
        <w:jc w:val="both"/>
        <w:rPr>
          <w:rFonts w:ascii="Arial"/>
          <w:b/>
          <w:sz w:val="18"/>
        </w:rPr>
      </w:pPr>
      <w:r>
        <w:rPr>
          <w:rFonts w:ascii="Arial"/>
          <w:b/>
          <w:sz w:val="18"/>
        </w:rPr>
        <w:t>Enforcement of agreements under other </w:t>
      </w:r>
      <w:r>
        <w:rPr>
          <w:rFonts w:ascii="Arial"/>
          <w:b/>
          <w:spacing w:val="-2"/>
          <w:sz w:val="18"/>
        </w:rPr>
        <w:t>rules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019</w:t>
      </w:r>
    </w:p>
    <w:p>
      <w:pPr>
        <w:pStyle w:val="BodyText"/>
        <w:spacing w:line="235" w:lineRule="auto" w:before="203"/>
        <w:ind w:left="165" w:right="167"/>
        <w:jc w:val="both"/>
      </w:pPr>
      <w:r>
        <w:rPr/>
        <w:t>Thirdly,</w:t>
      </w:r>
      <w:r>
        <w:rPr>
          <w:spacing w:val="-1"/>
        </w:rPr>
        <w:t> </w:t>
      </w:r>
      <w:r>
        <w:rPr/>
        <w:t>even</w:t>
      </w:r>
      <w:r>
        <w:rPr>
          <w:spacing w:val="-1"/>
        </w:rPr>
        <w:t> </w:t>
      </w:r>
      <w:r>
        <w:rPr/>
        <w:t>though</w:t>
      </w:r>
      <w:r>
        <w:rPr>
          <w:spacing w:val="-1"/>
        </w:rPr>
        <w:t> </w:t>
      </w:r>
      <w:r>
        <w:rPr/>
        <w:t>contracts</w:t>
      </w:r>
      <w:r>
        <w:rPr>
          <w:spacing w:val="-1"/>
        </w:rPr>
        <w:t> </w:t>
      </w:r>
      <w:r>
        <w:rPr/>
        <w:t>are</w:t>
      </w:r>
      <w:r>
        <w:rPr>
          <w:spacing w:val="-1"/>
        </w:rPr>
        <w:t> </w:t>
      </w:r>
      <w:r>
        <w:rPr/>
        <w:t>in</w:t>
      </w:r>
      <w:r>
        <w:rPr>
          <w:spacing w:val="-1"/>
        </w:rPr>
        <w:t> </w:t>
      </w:r>
      <w:r>
        <w:rPr/>
        <w:t>general</w:t>
      </w:r>
      <w:r>
        <w:rPr>
          <w:spacing w:val="-1"/>
        </w:rPr>
        <w:t> </w:t>
      </w:r>
      <w:r>
        <w:rPr/>
        <w:t>to</w:t>
      </w:r>
      <w:r>
        <w:rPr>
          <w:spacing w:val="-1"/>
        </w:rPr>
        <w:t> </w:t>
      </w:r>
      <w:r>
        <w:rPr/>
        <w:t>be</w:t>
      </w:r>
      <w:r>
        <w:rPr>
          <w:spacing w:val="-1"/>
        </w:rPr>
        <w:t> </w:t>
      </w:r>
      <w:r>
        <w:rPr/>
        <w:t>defined</w:t>
      </w:r>
      <w:r>
        <w:rPr>
          <w:spacing w:val="-1"/>
        </w:rPr>
        <w:t> </w:t>
      </w:r>
      <w:r>
        <w:rPr/>
        <w:t>as</w:t>
      </w:r>
      <w:r>
        <w:rPr>
          <w:spacing w:val="-1"/>
        </w:rPr>
        <w:t> </w:t>
      </w:r>
      <w:r>
        <w:rPr/>
        <w:t>agreements,</w:t>
      </w:r>
      <w:r>
        <w:rPr>
          <w:spacing w:val="-1"/>
        </w:rPr>
        <w:t> </w:t>
      </w:r>
      <w:r>
        <w:rPr/>
        <w:t>this</w:t>
      </w:r>
      <w:r>
        <w:rPr>
          <w:spacing w:val="-1"/>
        </w:rPr>
        <w:t> </w:t>
      </w:r>
      <w:r>
        <w:rPr/>
        <w:t>does</w:t>
      </w:r>
      <w:r>
        <w:rPr>
          <w:spacing w:val="-1"/>
        </w:rPr>
        <w:t> </w:t>
      </w:r>
      <w:r>
        <w:rPr/>
        <w:t>not</w:t>
      </w:r>
      <w:r>
        <w:rPr>
          <w:spacing w:val="-1"/>
        </w:rPr>
        <w:t> </w:t>
      </w:r>
      <w:r>
        <w:rPr/>
        <w:t>mean</w:t>
      </w:r>
      <w:r>
        <w:rPr>
          <w:spacing w:val="-1"/>
        </w:rPr>
        <w:t> </w:t>
      </w:r>
      <w:r>
        <w:rPr/>
        <w:t>that</w:t>
      </w:r>
      <w:r>
        <w:rPr>
          <w:spacing w:val="-1"/>
        </w:rPr>
        <w:t> </w:t>
      </w:r>
      <w:r>
        <w:rPr/>
        <w:t>all enforceable agreements (or enforceable promises) are contracts. This is particularly noticeable in relation to promissory and proprietary estoppel and constructive trust. In the case of promissory </w:t>
      </w:r>
      <w:bookmarkStart w:name="_bookmark265" w:id="267"/>
      <w:bookmarkEnd w:id="267"/>
      <w:r>
        <w:rPr/>
        <w:t>estoppel,</w:t>
      </w:r>
      <w:r>
        <w:rPr/>
        <w:t> A may be prevented from going back on a promise not to rely on his legal rights against B, subject to the condition that B has relied on A’s promise (possibly, to B’s detriment). </w:t>
      </w:r>
      <w:r>
        <w:rPr>
          <w:color w:val="005DA1"/>
          <w:u w:val="single" w:color="005DA1"/>
          <w:vertAlign w:val="superscript"/>
        </w:rPr>
        <w:t>169</w:t>
      </w:r>
      <w:r>
        <w:rPr>
          <w:color w:val="005DA1"/>
          <w:vertAlign w:val="baseline"/>
        </w:rPr>
        <w:t> </w:t>
      </w:r>
      <w:r>
        <w:rPr>
          <w:vertAlign w:val="baseline"/>
        </w:rPr>
        <w:t>B does not need to furnish consideration for A’s promise for it to be enforceable under this doctrine and although </w:t>
      </w:r>
      <w:bookmarkStart w:name="_bookmark266" w:id="268"/>
      <w:bookmarkEnd w:id="268"/>
      <w:r>
        <w:rPr>
          <w:vertAlign w:val="baseline"/>
        </w:rPr>
        <w:t>the</w:t>
      </w:r>
      <w:r>
        <w:rPr>
          <w:vertAlign w:val="baseline"/>
        </w:rPr>
        <w:t> requirement of reliance by B suggests some element of acceptance on the latter’s part of the benefit of the promise, there is no need for this to be communicated to or known by A. </w:t>
      </w:r>
      <w:r>
        <w:rPr>
          <w:color w:val="005DA1"/>
          <w:u w:val="single" w:color="005DA1"/>
          <w:vertAlign w:val="superscript"/>
        </w:rPr>
        <w:t>170</w:t>
      </w:r>
      <w:r>
        <w:rPr>
          <w:color w:val="005DA1"/>
          <w:vertAlign w:val="baseline"/>
        </w:rPr>
        <w:t> </w:t>
      </w:r>
      <w:r>
        <w:rPr>
          <w:vertAlign w:val="baseline"/>
        </w:rPr>
        <w:t>The doctrines of proprietary estoppel and constructive trust may also enforce promises or agreements, </w:t>
      </w:r>
      <w:bookmarkStart w:name="_bookmark267" w:id="269"/>
      <w:bookmarkEnd w:id="269"/>
      <w:r>
        <w:rPr>
          <w:vertAlign w:val="baseline"/>
        </w:rPr>
        <w:t>even</w:t>
      </w:r>
      <w:r>
        <w:rPr>
          <w:vertAlign w:val="baseline"/>
        </w:rPr>
        <w:t> though these elements form merely part of the factual circumstances which attract their application.</w:t>
      </w:r>
      <w:r>
        <w:rPr>
          <w:spacing w:val="-2"/>
          <w:vertAlign w:val="baseline"/>
        </w:rPr>
        <w:t> </w:t>
      </w:r>
      <w:r>
        <w:rPr>
          <w:vertAlign w:val="baseline"/>
        </w:rPr>
        <w:t>For</w:t>
      </w:r>
      <w:r>
        <w:rPr>
          <w:spacing w:val="-2"/>
          <w:vertAlign w:val="baseline"/>
        </w:rPr>
        <w:t> </w:t>
      </w:r>
      <w:r>
        <w:rPr>
          <w:vertAlign w:val="baseline"/>
        </w:rPr>
        <w:t>example,</w:t>
      </w:r>
      <w:r>
        <w:rPr>
          <w:spacing w:val="-2"/>
          <w:vertAlign w:val="baseline"/>
        </w:rPr>
        <w:t> </w:t>
      </w:r>
      <w:r>
        <w:rPr>
          <w:vertAlign w:val="baseline"/>
        </w:rPr>
        <w:t>in</w:t>
      </w:r>
      <w:r>
        <w:rPr>
          <w:spacing w:val="-3"/>
          <w:vertAlign w:val="baseline"/>
        </w:rPr>
        <w:t> </w:t>
      </w:r>
      <w:r>
        <w:rPr>
          <w:rFonts w:ascii="Arial" w:hAnsi="Arial"/>
          <w:i/>
          <w:vertAlign w:val="baseline"/>
        </w:rPr>
        <w:t>Crabb</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Arun</w:t>
      </w:r>
      <w:r>
        <w:rPr>
          <w:rFonts w:ascii="Arial" w:hAnsi="Arial"/>
          <w:i/>
          <w:spacing w:val="-2"/>
          <w:vertAlign w:val="baseline"/>
        </w:rPr>
        <w:t> </w:t>
      </w:r>
      <w:r>
        <w:rPr>
          <w:rFonts w:ascii="Arial" w:hAnsi="Arial"/>
          <w:i/>
          <w:vertAlign w:val="baseline"/>
        </w:rPr>
        <w:t>DC</w:t>
      </w:r>
      <w:r>
        <w:rPr>
          <w:vertAlign w:val="baseline"/>
        </w:rPr>
        <w:t>,</w:t>
      </w:r>
      <w:r>
        <w:rPr>
          <w:spacing w:val="-2"/>
          <w:vertAlign w:val="baseline"/>
        </w:rPr>
        <w:t> </w:t>
      </w:r>
      <w:r>
        <w:rPr>
          <w:color w:val="005DA1"/>
          <w:u w:val="single" w:color="005DA1"/>
          <w:vertAlign w:val="superscript"/>
        </w:rPr>
        <w:t>171</w:t>
      </w:r>
      <w:r>
        <w:rPr>
          <w:color w:val="005DA1"/>
          <w:spacing w:val="-2"/>
          <w:vertAlign w:val="baseline"/>
        </w:rPr>
        <w:t> </w:t>
      </w:r>
      <w:r>
        <w:rPr>
          <w:vertAlign w:val="baseline"/>
        </w:rPr>
        <w:t>A</w:t>
      </w:r>
      <w:r>
        <w:rPr>
          <w:spacing w:val="-2"/>
          <w:vertAlign w:val="baseline"/>
        </w:rPr>
        <w:t> </w:t>
      </w:r>
      <w:r>
        <w:rPr>
          <w:vertAlign w:val="baseline"/>
        </w:rPr>
        <w:t>made</w:t>
      </w:r>
      <w:r>
        <w:rPr>
          <w:spacing w:val="-2"/>
          <w:vertAlign w:val="baseline"/>
        </w:rPr>
        <w:t> </w:t>
      </w:r>
      <w:r>
        <w:rPr>
          <w:vertAlign w:val="baseline"/>
        </w:rPr>
        <w:t>an</w:t>
      </w:r>
      <w:r>
        <w:rPr>
          <w:spacing w:val="-2"/>
          <w:vertAlign w:val="baseline"/>
        </w:rPr>
        <w:t> </w:t>
      </w:r>
      <w:r>
        <w:rPr>
          <w:vertAlign w:val="baseline"/>
        </w:rPr>
        <w:t>assurance</w:t>
      </w:r>
      <w:r>
        <w:rPr>
          <w:spacing w:val="-2"/>
          <w:vertAlign w:val="baseline"/>
        </w:rPr>
        <w:t> </w:t>
      </w:r>
      <w:r>
        <w:rPr>
          <w:vertAlign w:val="baseline"/>
        </w:rPr>
        <w:t>to</w:t>
      </w:r>
      <w:r>
        <w:rPr>
          <w:spacing w:val="-2"/>
          <w:vertAlign w:val="baseline"/>
        </w:rPr>
        <w:t> </w:t>
      </w:r>
      <w:r>
        <w:rPr>
          <w:vertAlign w:val="baseline"/>
        </w:rPr>
        <w:t>B</w:t>
      </w:r>
      <w:r>
        <w:rPr>
          <w:spacing w:val="-2"/>
          <w:vertAlign w:val="baseline"/>
        </w:rPr>
        <w:t> </w:t>
      </w:r>
      <w:r>
        <w:rPr>
          <w:vertAlign w:val="baseline"/>
        </w:rPr>
        <w:t>that</w:t>
      </w:r>
      <w:r>
        <w:rPr>
          <w:spacing w:val="-2"/>
          <w:vertAlign w:val="baseline"/>
        </w:rPr>
        <w:t> </w:t>
      </w:r>
      <w:r>
        <w:rPr>
          <w:vertAlign w:val="baseline"/>
        </w:rPr>
        <w:t>it</w:t>
      </w:r>
      <w:r>
        <w:rPr>
          <w:spacing w:val="-2"/>
          <w:vertAlign w:val="baseline"/>
        </w:rPr>
        <w:t> </w:t>
      </w:r>
      <w:r>
        <w:rPr>
          <w:vertAlign w:val="baseline"/>
        </w:rPr>
        <w:t>would</w:t>
      </w:r>
      <w:r>
        <w:rPr>
          <w:spacing w:val="-2"/>
          <w:vertAlign w:val="baseline"/>
        </w:rPr>
        <w:t> </w:t>
      </w:r>
      <w:r>
        <w:rPr>
          <w:vertAlign w:val="baseline"/>
        </w:rPr>
        <w:t>grant</w:t>
      </w:r>
      <w:r>
        <w:rPr>
          <w:spacing w:val="-2"/>
          <w:vertAlign w:val="baseline"/>
        </w:rPr>
        <w:t> </w:t>
      </w:r>
      <w:r>
        <w:rPr>
          <w:vertAlign w:val="baseline"/>
        </w:rPr>
        <w:t>a</w:t>
      </w:r>
      <w:r>
        <w:rPr>
          <w:spacing w:val="-2"/>
          <w:vertAlign w:val="baseline"/>
        </w:rPr>
        <w:t> </w:t>
      </w:r>
      <w:r>
        <w:rPr>
          <w:vertAlign w:val="baseline"/>
        </w:rPr>
        <w:t>right of way to B over its land to and from B’s land and B acted in reliance on this assurance. B’s claim for</w:t>
      </w:r>
      <w:r>
        <w:rPr>
          <w:spacing w:val="40"/>
          <w:vertAlign w:val="baseline"/>
        </w:rPr>
        <w:t> </w:t>
      </w:r>
      <w:bookmarkStart w:name="_bookmark268" w:id="270"/>
      <w:bookmarkEnd w:id="270"/>
      <w:r>
        <w:rPr>
          <w:vertAlign w:val="baseline"/>
        </w:rPr>
        <w:t>a</w:t>
      </w:r>
      <w:r>
        <w:rPr>
          <w:vertAlign w:val="baseline"/>
        </w:rPr>
        <w:t> declaration that he was entitled to the right of access succeeded by way of estoppel, even though apparently</w:t>
      </w:r>
      <w:r>
        <w:rPr>
          <w:spacing w:val="13"/>
          <w:vertAlign w:val="baseline"/>
        </w:rPr>
        <w:t> </w:t>
      </w:r>
      <w:r>
        <w:rPr>
          <w:vertAlign w:val="baseline"/>
        </w:rPr>
        <w:t>B</w:t>
      </w:r>
      <w:r>
        <w:rPr>
          <w:spacing w:val="13"/>
          <w:vertAlign w:val="baseline"/>
        </w:rPr>
        <w:t> </w:t>
      </w:r>
      <w:r>
        <w:rPr>
          <w:vertAlign w:val="baseline"/>
        </w:rPr>
        <w:t>could</w:t>
      </w:r>
      <w:r>
        <w:rPr>
          <w:spacing w:val="13"/>
          <w:vertAlign w:val="baseline"/>
        </w:rPr>
        <w:t> </w:t>
      </w:r>
      <w:r>
        <w:rPr>
          <w:vertAlign w:val="baseline"/>
        </w:rPr>
        <w:t>not</w:t>
      </w:r>
      <w:r>
        <w:rPr>
          <w:spacing w:val="13"/>
          <w:vertAlign w:val="baseline"/>
        </w:rPr>
        <w:t> </w:t>
      </w:r>
      <w:r>
        <w:rPr>
          <w:vertAlign w:val="baseline"/>
        </w:rPr>
        <w:t>have</w:t>
      </w:r>
      <w:r>
        <w:rPr>
          <w:spacing w:val="13"/>
          <w:vertAlign w:val="baseline"/>
        </w:rPr>
        <w:t> </w:t>
      </w:r>
      <w:r>
        <w:rPr>
          <w:vertAlign w:val="baseline"/>
        </w:rPr>
        <w:t>established</w:t>
      </w:r>
      <w:r>
        <w:rPr>
          <w:spacing w:val="13"/>
          <w:vertAlign w:val="baseline"/>
        </w:rPr>
        <w:t> </w:t>
      </w:r>
      <w:r>
        <w:rPr>
          <w:vertAlign w:val="baseline"/>
        </w:rPr>
        <w:t>the</w:t>
      </w:r>
      <w:r>
        <w:rPr>
          <w:spacing w:val="13"/>
          <w:vertAlign w:val="baseline"/>
        </w:rPr>
        <w:t> </w:t>
      </w:r>
      <w:r>
        <w:rPr>
          <w:vertAlign w:val="baseline"/>
        </w:rPr>
        <w:t>existence</w:t>
      </w:r>
      <w:r>
        <w:rPr>
          <w:spacing w:val="13"/>
          <w:vertAlign w:val="baseline"/>
        </w:rPr>
        <w:t> </w:t>
      </w:r>
      <w:r>
        <w:rPr>
          <w:vertAlign w:val="baseline"/>
        </w:rPr>
        <w:t>of</w:t>
      </w:r>
      <w:r>
        <w:rPr>
          <w:spacing w:val="13"/>
          <w:vertAlign w:val="baseline"/>
        </w:rPr>
        <w:t> </w:t>
      </w:r>
      <w:r>
        <w:rPr>
          <w:vertAlign w:val="baseline"/>
        </w:rPr>
        <w:t>a</w:t>
      </w:r>
      <w:r>
        <w:rPr>
          <w:spacing w:val="13"/>
          <w:vertAlign w:val="baseline"/>
        </w:rPr>
        <w:t> </w:t>
      </w:r>
      <w:r>
        <w:rPr>
          <w:vertAlign w:val="baseline"/>
        </w:rPr>
        <w:t>contract</w:t>
      </w:r>
      <w:r>
        <w:rPr>
          <w:spacing w:val="13"/>
          <w:vertAlign w:val="baseline"/>
        </w:rPr>
        <w:t> </w:t>
      </w:r>
      <w:r>
        <w:rPr>
          <w:vertAlign w:val="baseline"/>
        </w:rPr>
        <w:t>on</w:t>
      </w:r>
      <w:r>
        <w:rPr>
          <w:spacing w:val="13"/>
          <w:vertAlign w:val="baseline"/>
        </w:rPr>
        <w:t> </w:t>
      </w:r>
      <w:r>
        <w:rPr>
          <w:vertAlign w:val="baseline"/>
        </w:rPr>
        <w:t>the</w:t>
      </w:r>
      <w:r>
        <w:rPr>
          <w:spacing w:val="13"/>
          <w:vertAlign w:val="baseline"/>
        </w:rPr>
        <w:t> </w:t>
      </w:r>
      <w:r>
        <w:rPr>
          <w:vertAlign w:val="baseline"/>
        </w:rPr>
        <w:t>ground</w:t>
      </w:r>
      <w:r>
        <w:rPr>
          <w:spacing w:val="13"/>
          <w:vertAlign w:val="baseline"/>
        </w:rPr>
        <w:t> </w:t>
      </w:r>
      <w:r>
        <w:rPr>
          <w:vertAlign w:val="baseline"/>
        </w:rPr>
        <w:t>of</w:t>
      </w:r>
      <w:r>
        <w:rPr>
          <w:spacing w:val="13"/>
          <w:vertAlign w:val="baseline"/>
        </w:rPr>
        <w:t> </w:t>
      </w:r>
      <w:r>
        <w:rPr>
          <w:vertAlign w:val="baseline"/>
        </w:rPr>
        <w:t>its</w:t>
      </w:r>
      <w:r>
        <w:rPr>
          <w:spacing w:val="13"/>
          <w:vertAlign w:val="baseline"/>
        </w:rPr>
        <w:t> </w:t>
      </w:r>
      <w:r>
        <w:rPr>
          <w:spacing w:val="-2"/>
          <w:vertAlign w:val="baseline"/>
        </w:rPr>
        <w:t>uncertainty.</w:t>
      </w:r>
    </w:p>
    <w:p>
      <w:pPr>
        <w:pStyle w:val="BodyText"/>
        <w:spacing w:line="235" w:lineRule="auto"/>
        <w:ind w:left="165" w:right="167"/>
        <w:jc w:val="both"/>
      </w:pPr>
      <w:r>
        <w:rPr>
          <w:color w:val="005DA1"/>
          <w:u w:val="single" w:color="005DA1"/>
          <w:vertAlign w:val="superscript"/>
        </w:rPr>
        <w:t>172</w:t>
      </w:r>
      <w:r>
        <w:rPr>
          <w:color w:val="005DA1"/>
          <w:vertAlign w:val="baseline"/>
        </w:rPr>
        <w:t> </w:t>
      </w:r>
      <w:r>
        <w:rPr>
          <w:vertAlign w:val="baseline"/>
        </w:rPr>
        <w:t>So too, as will be seen, constructive trust, and possibly also proprietary estoppel, can be used by </w:t>
      </w:r>
      <w:bookmarkStart w:name="_bookmark269" w:id="271"/>
      <w:bookmarkEnd w:id="271"/>
      <w:r>
        <w:rPr>
          <w:vertAlign w:val="baseline"/>
        </w:rPr>
        <w:t>the</w:t>
      </w:r>
      <w:r>
        <w:rPr>
          <w:vertAlign w:val="baseline"/>
        </w:rPr>
        <w:t> courts to give some legal effect to agreements for the sale or other disposition of an interest in land which do not constitute contracts for lack of the proper form. </w:t>
      </w:r>
      <w:r>
        <w:rPr>
          <w:color w:val="005DA1"/>
          <w:u w:val="single" w:color="005DA1"/>
          <w:vertAlign w:val="superscript"/>
        </w:rPr>
        <w:t>173</w:t>
      </w:r>
      <w:r>
        <w:rPr>
          <w:color w:val="005DA1"/>
          <w:vertAlign w:val="baseline"/>
        </w:rPr>
        <w:t> </w:t>
      </w:r>
      <w:r>
        <w:rPr>
          <w:vertAlign w:val="baseline"/>
        </w:rPr>
        <w:t>On the other hand, </w:t>
      </w:r>
      <w:r>
        <w:rPr>
          <w:vertAlign w:val="baseline"/>
        </w:rPr>
        <w:t>sometimes constructive trust is used not so as to allow an agreement not counting as a contract to be enforced </w:t>
      </w:r>
      <w:bookmarkStart w:name="_bookmark270" w:id="272"/>
      <w:bookmarkEnd w:id="272"/>
      <w:r>
        <w:rPr>
          <w:vertAlign w:val="baseline"/>
        </w:rPr>
        <w:t>between</w:t>
      </w:r>
      <w:r>
        <w:rPr>
          <w:vertAlign w:val="baseline"/>
        </w:rPr>
        <w:t> its parties but rather so as to allow it to affect the position of third parties. For example, in </w:t>
      </w:r>
      <w:r>
        <w:rPr>
          <w:rFonts w:ascii="Arial" w:hAnsi="Arial"/>
          <w:i/>
          <w:vertAlign w:val="baseline"/>
        </w:rPr>
        <w:t>Binions v Evans</w:t>
      </w:r>
      <w:r>
        <w:rPr>
          <w:vertAlign w:val="baseline"/>
        </w:rPr>
        <w:t>, </w:t>
      </w:r>
      <w:r>
        <w:rPr>
          <w:color w:val="005DA1"/>
          <w:u w:val="single" w:color="005DA1"/>
          <w:vertAlign w:val="superscript"/>
        </w:rPr>
        <w:t>174</w:t>
      </w:r>
      <w:r>
        <w:rPr>
          <w:color w:val="005DA1"/>
          <w:vertAlign w:val="baseline"/>
        </w:rPr>
        <w:t> </w:t>
      </w:r>
      <w:r>
        <w:rPr>
          <w:vertAlign w:val="baseline"/>
        </w:rPr>
        <w:t>A had been given permission by B to occupy a cottage on B’s land for the rest of </w:t>
      </w:r>
      <w:bookmarkStart w:name="_bookmark271" w:id="273"/>
      <w:bookmarkEnd w:id="273"/>
      <w:r>
        <w:rPr>
          <w:vertAlign w:val="baseline"/>
        </w:rPr>
        <w:t>her</w:t>
      </w:r>
      <w:r>
        <w:rPr>
          <w:vertAlign w:val="baseline"/>
        </w:rPr>
        <w:t> life. B sold the land to C expressly subject to A’s tenancy of the cottage, but a few months later C gave A notice to quit. It was accepted by the majority of the Court of Appeal </w:t>
      </w:r>
      <w:r>
        <w:rPr>
          <w:color w:val="005DA1"/>
          <w:u w:val="single" w:color="005DA1"/>
          <w:vertAlign w:val="superscript"/>
        </w:rPr>
        <w:t>175</w:t>
      </w:r>
      <w:r>
        <w:rPr>
          <w:color w:val="005DA1"/>
          <w:vertAlign w:val="baseline"/>
        </w:rPr>
        <w:t> </w:t>
      </w:r>
      <w:r>
        <w:rPr>
          <w:vertAlign w:val="baseline"/>
        </w:rPr>
        <w:t>that the agreement </w:t>
      </w:r>
      <w:bookmarkStart w:name="_bookmark272" w:id="274"/>
      <w:bookmarkEnd w:id="274"/>
      <w:r>
        <w:rPr>
          <w:vertAlign w:val="baseline"/>
        </w:rPr>
        <w:t>between</w:t>
      </w:r>
      <w:r>
        <w:rPr>
          <w:spacing w:val="-1"/>
          <w:vertAlign w:val="baseline"/>
        </w:rPr>
        <w:t> </w:t>
      </w:r>
      <w:r>
        <w:rPr>
          <w:vertAlign w:val="baseline"/>
        </w:rPr>
        <w:t>A</w:t>
      </w:r>
      <w:r>
        <w:rPr>
          <w:spacing w:val="-1"/>
          <w:vertAlign w:val="baseline"/>
        </w:rPr>
        <w:t> </w:t>
      </w:r>
      <w:r>
        <w:rPr>
          <w:vertAlign w:val="baseline"/>
        </w:rPr>
        <w:t>and</w:t>
      </w:r>
      <w:r>
        <w:rPr>
          <w:spacing w:val="-1"/>
          <w:vertAlign w:val="baseline"/>
        </w:rPr>
        <w:t> </w:t>
      </w:r>
      <w:r>
        <w:rPr>
          <w:vertAlign w:val="baseline"/>
        </w:rPr>
        <w:t>B</w:t>
      </w:r>
      <w:r>
        <w:rPr>
          <w:spacing w:val="-1"/>
          <w:vertAlign w:val="baseline"/>
        </w:rPr>
        <w:t> </w:t>
      </w:r>
      <w:r>
        <w:rPr>
          <w:vertAlign w:val="baseline"/>
        </w:rPr>
        <w:t>had</w:t>
      </w:r>
      <w:r>
        <w:rPr>
          <w:spacing w:val="-1"/>
          <w:vertAlign w:val="baseline"/>
        </w:rPr>
        <w:t> </w:t>
      </w:r>
      <w:r>
        <w:rPr>
          <w:vertAlign w:val="baseline"/>
        </w:rPr>
        <w:t>contractual</w:t>
      </w:r>
      <w:r>
        <w:rPr>
          <w:spacing w:val="-1"/>
          <w:vertAlign w:val="baseline"/>
        </w:rPr>
        <w:t> </w:t>
      </w:r>
      <w:r>
        <w:rPr>
          <w:vertAlign w:val="baseline"/>
        </w:rPr>
        <w:t>force,</w:t>
      </w:r>
      <w:r>
        <w:rPr>
          <w:spacing w:val="-1"/>
          <w:vertAlign w:val="baseline"/>
        </w:rPr>
        <w:t> </w:t>
      </w:r>
      <w:r>
        <w:rPr>
          <w:vertAlign w:val="baseline"/>
        </w:rPr>
        <w:t>but</w:t>
      </w:r>
      <w:r>
        <w:rPr>
          <w:spacing w:val="-1"/>
          <w:vertAlign w:val="baseline"/>
        </w:rPr>
        <w:t> </w:t>
      </w:r>
      <w:r>
        <w:rPr>
          <w:vertAlign w:val="baseline"/>
        </w:rPr>
        <w:t>for</w:t>
      </w:r>
      <w:r>
        <w:rPr>
          <w:spacing w:val="-1"/>
          <w:vertAlign w:val="baseline"/>
        </w:rPr>
        <w:t> </w:t>
      </w:r>
      <w:r>
        <w:rPr>
          <w:vertAlign w:val="baseline"/>
        </w:rPr>
        <w:t>Lord</w:t>
      </w:r>
      <w:r>
        <w:rPr>
          <w:spacing w:val="-1"/>
          <w:vertAlign w:val="baseline"/>
        </w:rPr>
        <w:t> </w:t>
      </w:r>
      <w:r>
        <w:rPr>
          <w:vertAlign w:val="baseline"/>
        </w:rPr>
        <w:t>Denning,</w:t>
      </w:r>
      <w:r>
        <w:rPr>
          <w:spacing w:val="-1"/>
          <w:vertAlign w:val="baseline"/>
        </w:rPr>
        <w:t> </w:t>
      </w:r>
      <w:r>
        <w:rPr>
          <w:vertAlign w:val="baseline"/>
        </w:rPr>
        <w:t>M.R.</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circumstances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it would also give rise to a constructive trust so as to bind C. </w:t>
      </w:r>
      <w:r>
        <w:rPr>
          <w:color w:val="005DA1"/>
          <w:u w:val="single" w:color="005DA1"/>
          <w:vertAlign w:val="superscript"/>
        </w:rPr>
        <w:t>176</w:t>
      </w:r>
    </w:p>
    <w:p>
      <w:pPr>
        <w:pStyle w:val="BodyText"/>
      </w:pPr>
    </w:p>
    <w:p>
      <w:pPr>
        <w:pStyle w:val="BodyText"/>
        <w:spacing w:before="29"/>
      </w:pPr>
    </w:p>
    <w:p>
      <w:pPr>
        <w:spacing w:before="1"/>
        <w:ind w:left="165" w:right="0" w:firstLine="0"/>
        <w:jc w:val="left"/>
        <w:rPr>
          <w:rFonts w:ascii="Arial"/>
          <w:b/>
          <w:sz w:val="18"/>
        </w:rPr>
      </w:pPr>
      <w:r>
        <w:rPr>
          <w:rFonts w:ascii="Arial"/>
          <w:b/>
          <w:sz w:val="18"/>
        </w:rPr>
        <w:t>EU law definitions of </w:t>
      </w:r>
      <w:r>
        <w:rPr>
          <w:rFonts w:ascii="Arial"/>
          <w:b/>
          <w:spacing w:val="-2"/>
          <w:sz w:val="18"/>
        </w:rPr>
        <w:t>contract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020</w:t>
      </w:r>
    </w:p>
    <w:p>
      <w:pPr>
        <w:pStyle w:val="BodyText"/>
        <w:spacing w:line="235" w:lineRule="auto" w:before="202"/>
        <w:ind w:left="165" w:right="167"/>
        <w:jc w:val="both"/>
      </w:pPr>
      <w:r>
        <w:rPr/>
        <w:t>The definitions which we have so far discussed have been those which have arisen from analysis of </w:t>
      </w:r>
      <w:bookmarkStart w:name="_bookmark273" w:id="275"/>
      <w:bookmarkEnd w:id="275"/>
      <w:r>
        <w:rPr/>
        <w:t>the</w:t>
      </w:r>
      <w:r>
        <w:rPr/>
        <w:t> common law, equitable and statutory material native to English law or the legal systems </w:t>
      </w:r>
      <w:r>
        <w:rPr/>
        <w:t>which have developed from it. However, as earlier noted, </w:t>
      </w:r>
      <w:r>
        <w:rPr>
          <w:color w:val="005DA1"/>
          <w:u w:val="single" w:color="005DA1"/>
          <w:vertAlign w:val="superscript"/>
        </w:rPr>
        <w:t>177</w:t>
      </w:r>
      <w:r>
        <w:rPr>
          <w:color w:val="005DA1"/>
          <w:vertAlign w:val="baseline"/>
        </w:rPr>
        <w:t> </w:t>
      </w:r>
      <w:r>
        <w:rPr>
          <w:vertAlign w:val="baseline"/>
        </w:rPr>
        <w:t>legislation of the EU has now had a very considerable effect on the law governing English contracts. In these areas, the relevant EU legislation often makes the application of legislation contingent on the existence of a contract, but the question arises whether this notion should be interpreted according to the understanding of the various</w:t>
      </w:r>
      <w:r>
        <w:rPr>
          <w:spacing w:val="40"/>
          <w:vertAlign w:val="baseline"/>
        </w:rPr>
        <w:t> </w:t>
      </w:r>
      <w:r>
        <w:rPr>
          <w:vertAlign w:val="baseline"/>
        </w:rPr>
        <w:t>Member State laws or instead on the basis of an “autonomous” definition to be formulated by the Court of Justice of the EU. It is submitted that there is not likely to be any single answer to be given to this question and that different answers may be given according to the context of the legislation in question, these turning on a variety of considerations, but particularly on the degree of juristic integration</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Justice</w:t>
      </w:r>
      <w:r>
        <w:rPr>
          <w:spacing w:val="-2"/>
          <w:vertAlign w:val="baseline"/>
        </w:rPr>
        <w:t> </w:t>
      </w:r>
      <w:r>
        <w:rPr>
          <w:vertAlign w:val="baseline"/>
        </w:rPr>
        <w:t>thinks</w:t>
      </w:r>
      <w:r>
        <w:rPr>
          <w:spacing w:val="-2"/>
          <w:vertAlign w:val="baseline"/>
        </w:rPr>
        <w:t> </w:t>
      </w:r>
      <w:r>
        <w:rPr>
          <w:vertAlign w:val="baseline"/>
        </w:rPr>
        <w:t>desirable</w:t>
      </w:r>
      <w:r>
        <w:rPr>
          <w:spacing w:val="-2"/>
          <w:vertAlign w:val="baseline"/>
        </w:rPr>
        <w:t> </w:t>
      </w:r>
      <w:r>
        <w:rPr>
          <w:vertAlign w:val="baseline"/>
        </w:rPr>
        <w:t>and</w:t>
      </w:r>
      <w:r>
        <w:rPr>
          <w:spacing w:val="-2"/>
          <w:vertAlign w:val="baseline"/>
        </w:rPr>
        <w:t> </w:t>
      </w:r>
      <w:r>
        <w:rPr>
          <w:vertAlign w:val="baseline"/>
        </w:rPr>
        <w:t>practicable</w:t>
      </w:r>
      <w:r>
        <w:rPr>
          <w:spacing w:val="-2"/>
          <w:vertAlign w:val="baseline"/>
        </w:rPr>
        <w:t> </w:t>
      </w:r>
      <w:r>
        <w:rPr>
          <w:vertAlign w:val="baseline"/>
        </w:rPr>
        <w:t>in</w:t>
      </w:r>
      <w:r>
        <w:rPr>
          <w:spacing w:val="-2"/>
          <w:vertAlign w:val="baseline"/>
        </w:rPr>
        <w:t> </w:t>
      </w:r>
      <w:r>
        <w:rPr>
          <w:vertAlign w:val="baseline"/>
        </w:rPr>
        <w:t>that</w:t>
      </w:r>
      <w:r>
        <w:rPr>
          <w:spacing w:val="-2"/>
          <w:vertAlign w:val="baseline"/>
        </w:rPr>
        <w:t> </w:t>
      </w:r>
      <w:r>
        <w:rPr>
          <w:vertAlign w:val="baseline"/>
        </w:rPr>
        <w:t>context.</w:t>
      </w:r>
      <w:r>
        <w:rPr>
          <w:spacing w:val="-2"/>
          <w:vertAlign w:val="baseline"/>
        </w:rPr>
        <w:t> </w:t>
      </w:r>
      <w:r>
        <w:rPr>
          <w:vertAlign w:val="baseline"/>
        </w:rPr>
        <w:t>However,</w:t>
      </w:r>
      <w:r>
        <w:rPr>
          <w:spacing w:val="-2"/>
          <w:vertAlign w:val="baseline"/>
        </w:rPr>
        <w:t> </w:t>
      </w:r>
      <w:r>
        <w:rPr>
          <w:vertAlign w:val="baseline"/>
        </w:rPr>
        <w:t>where the Court of Justice considers it right to take an autonomous view of “contract” for the purposes of EU legislation, it may well take as its starting-point the definition of contract set out in the Proposed Regulation</w:t>
      </w:r>
      <w:r>
        <w:rPr>
          <w:spacing w:val="13"/>
          <w:vertAlign w:val="baseline"/>
        </w:rPr>
        <w:t> </w:t>
      </w:r>
      <w:r>
        <w:rPr>
          <w:vertAlign w:val="baseline"/>
        </w:rPr>
        <w:t>on</w:t>
      </w:r>
      <w:r>
        <w:rPr>
          <w:spacing w:val="13"/>
          <w:vertAlign w:val="baseline"/>
        </w:rPr>
        <w:t> </w:t>
      </w:r>
      <w:r>
        <w:rPr>
          <w:vertAlign w:val="baseline"/>
        </w:rPr>
        <w:t>a</w:t>
      </w:r>
      <w:r>
        <w:rPr>
          <w:spacing w:val="13"/>
          <w:vertAlign w:val="baseline"/>
        </w:rPr>
        <w:t> </w:t>
      </w:r>
      <w:r>
        <w:rPr>
          <w:vertAlign w:val="baseline"/>
        </w:rPr>
        <w:t>Common</w:t>
      </w:r>
      <w:r>
        <w:rPr>
          <w:spacing w:val="13"/>
          <w:vertAlign w:val="baseline"/>
        </w:rPr>
        <w:t> </w:t>
      </w:r>
      <w:r>
        <w:rPr>
          <w:vertAlign w:val="baseline"/>
        </w:rPr>
        <w:t>European</w:t>
      </w:r>
      <w:r>
        <w:rPr>
          <w:spacing w:val="13"/>
          <w:vertAlign w:val="baseline"/>
        </w:rPr>
        <w:t> </w:t>
      </w:r>
      <w:r>
        <w:rPr>
          <w:vertAlign w:val="baseline"/>
        </w:rPr>
        <w:t>Sales</w:t>
      </w:r>
      <w:r>
        <w:rPr>
          <w:spacing w:val="13"/>
          <w:vertAlign w:val="baseline"/>
        </w:rPr>
        <w:t> </w:t>
      </w:r>
      <w:r>
        <w:rPr>
          <w:vertAlign w:val="baseline"/>
        </w:rPr>
        <w:t>Law,</w:t>
      </w:r>
      <w:r>
        <w:rPr>
          <w:spacing w:val="13"/>
          <w:vertAlign w:val="baseline"/>
        </w:rPr>
        <w:t> </w:t>
      </w:r>
      <w:r>
        <w:rPr>
          <w:vertAlign w:val="baseline"/>
        </w:rPr>
        <w:t>which</w:t>
      </w:r>
      <w:r>
        <w:rPr>
          <w:spacing w:val="13"/>
          <w:vertAlign w:val="baseline"/>
        </w:rPr>
        <w:t> </w:t>
      </w:r>
      <w:r>
        <w:rPr>
          <w:vertAlign w:val="baseline"/>
        </w:rPr>
        <w:t>defines</w:t>
      </w:r>
      <w:r>
        <w:rPr>
          <w:spacing w:val="13"/>
          <w:vertAlign w:val="baseline"/>
        </w:rPr>
        <w:t> </w:t>
      </w:r>
      <w:r>
        <w:rPr>
          <w:vertAlign w:val="baseline"/>
        </w:rPr>
        <w:t>“contract”</w:t>
      </w:r>
      <w:r>
        <w:rPr>
          <w:spacing w:val="13"/>
          <w:vertAlign w:val="baseline"/>
        </w:rPr>
        <w:t> </w:t>
      </w:r>
      <w:r>
        <w:rPr>
          <w:vertAlign w:val="baseline"/>
        </w:rPr>
        <w:t>as</w:t>
      </w:r>
      <w:r>
        <w:rPr>
          <w:spacing w:val="13"/>
          <w:vertAlign w:val="baseline"/>
        </w:rPr>
        <w:t> </w:t>
      </w:r>
      <w:r>
        <w:rPr>
          <w:vertAlign w:val="baseline"/>
        </w:rPr>
        <w:t>“an</w:t>
      </w:r>
      <w:r>
        <w:rPr>
          <w:spacing w:val="13"/>
          <w:vertAlign w:val="baseline"/>
        </w:rPr>
        <w:t> </w:t>
      </w:r>
      <w:r>
        <w:rPr>
          <w:vertAlign w:val="baseline"/>
        </w:rPr>
        <w:t>agreement</w:t>
      </w:r>
      <w:r>
        <w:rPr>
          <w:spacing w:val="13"/>
          <w:vertAlign w:val="baseline"/>
        </w:rPr>
        <w:t> </w:t>
      </w:r>
      <w:r>
        <w:rPr>
          <w:spacing w:val="-2"/>
          <w:vertAlign w:val="baseline"/>
        </w:rPr>
        <w:t>intended</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274" w:id="276"/>
      <w:bookmarkEnd w:id="276"/>
      <w:r>
        <w:rPr/>
      </w:r>
      <w:r>
        <w:rPr/>
        <w:t>to give rise to obligations or other legal effects”. </w:t>
      </w:r>
      <w:r>
        <w:rPr>
          <w:color w:val="005DA1"/>
          <w:u w:val="single" w:color="005DA1"/>
          <w:vertAlign w:val="superscript"/>
        </w:rPr>
        <w:t>178</w:t>
      </w:r>
      <w:r>
        <w:rPr>
          <w:color w:val="005DA1"/>
          <w:vertAlign w:val="baseline"/>
        </w:rPr>
        <w:t> </w:t>
      </w:r>
      <w:r>
        <w:rPr>
          <w:vertAlign w:val="baseline"/>
        </w:rPr>
        <w:t>It is to be noticed, in particular, that this definition </w:t>
      </w:r>
      <w:bookmarkStart w:name="_bookmark275" w:id="277"/>
      <w:bookmarkEnd w:id="277"/>
      <w:r>
        <w:rPr>
          <w:vertAlign w:val="baseline"/>
        </w:rPr>
        <w:t>makes</w:t>
      </w:r>
      <w:r>
        <w:rPr>
          <w:vertAlign w:val="baseline"/>
        </w:rPr>
        <w:t> no requirement of reciprocity or provision of value such as is found in the doctrine </w:t>
      </w:r>
      <w:r>
        <w:rPr>
          <w:vertAlign w:val="baseline"/>
        </w:rPr>
        <w:t>of consideration</w:t>
      </w:r>
      <w:r>
        <w:rPr>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result</w:t>
      </w:r>
      <w:r>
        <w:rPr>
          <w:spacing w:val="4"/>
          <w:vertAlign w:val="baseline"/>
        </w:rPr>
        <w:t> </w:t>
      </w:r>
      <w:r>
        <w:rPr>
          <w:vertAlign w:val="baseline"/>
        </w:rPr>
        <w:t>that,</w:t>
      </w:r>
      <w:r>
        <w:rPr>
          <w:spacing w:val="4"/>
          <w:vertAlign w:val="baseline"/>
        </w:rPr>
        <w:t> </w:t>
      </w:r>
      <w:r>
        <w:rPr>
          <w:vertAlign w:val="baseline"/>
        </w:rPr>
        <w:t>in</w:t>
      </w:r>
      <w:r>
        <w:rPr>
          <w:spacing w:val="4"/>
          <w:vertAlign w:val="baseline"/>
        </w:rPr>
        <w:t> </w:t>
      </w:r>
      <w:r>
        <w:rPr>
          <w:vertAlign w:val="baseline"/>
        </w:rPr>
        <w:t>principle,</w:t>
      </w:r>
      <w:r>
        <w:rPr>
          <w:spacing w:val="4"/>
          <w:vertAlign w:val="baseline"/>
        </w:rPr>
        <w:t> </w:t>
      </w:r>
      <w:r>
        <w:rPr>
          <w:vertAlign w:val="baseline"/>
        </w:rPr>
        <w:t>purely</w:t>
      </w:r>
      <w:r>
        <w:rPr>
          <w:spacing w:val="4"/>
          <w:vertAlign w:val="baseline"/>
        </w:rPr>
        <w:t> </w:t>
      </w:r>
      <w:r>
        <w:rPr>
          <w:vertAlign w:val="baseline"/>
        </w:rPr>
        <w:t>gratuitous</w:t>
      </w:r>
      <w:r>
        <w:rPr>
          <w:spacing w:val="4"/>
          <w:vertAlign w:val="baseline"/>
        </w:rPr>
        <w:t> </w:t>
      </w:r>
      <w:r>
        <w:rPr>
          <w:vertAlign w:val="baseline"/>
        </w:rPr>
        <w:t>agreements</w:t>
      </w:r>
      <w:r>
        <w:rPr>
          <w:spacing w:val="4"/>
          <w:vertAlign w:val="baseline"/>
        </w:rPr>
        <w:t> </w:t>
      </w:r>
      <w:r>
        <w:rPr>
          <w:vertAlign w:val="baseline"/>
        </w:rPr>
        <w:t>could</w:t>
      </w:r>
      <w:r>
        <w:rPr>
          <w:spacing w:val="4"/>
          <w:vertAlign w:val="baseline"/>
        </w:rPr>
        <w:t> </w:t>
      </w:r>
      <w:r>
        <w:rPr>
          <w:vertAlign w:val="baseline"/>
        </w:rPr>
        <w:t>fall</w:t>
      </w:r>
      <w:r>
        <w:rPr>
          <w:spacing w:val="4"/>
          <w:vertAlign w:val="baseline"/>
        </w:rPr>
        <w:t> </w:t>
      </w:r>
      <w:r>
        <w:rPr>
          <w:vertAlign w:val="baseline"/>
        </w:rPr>
        <w:t>within</w:t>
      </w:r>
      <w:r>
        <w:rPr>
          <w:spacing w:val="4"/>
          <w:vertAlign w:val="baseline"/>
        </w:rPr>
        <w:t> </w:t>
      </w:r>
      <w:r>
        <w:rPr>
          <w:vertAlign w:val="baseline"/>
        </w:rPr>
        <w:t>its</w:t>
      </w:r>
      <w:r>
        <w:rPr>
          <w:spacing w:val="4"/>
          <w:vertAlign w:val="baseline"/>
        </w:rPr>
        <w:t> </w:t>
      </w:r>
      <w:r>
        <w:rPr>
          <w:spacing w:val="-2"/>
          <w:vertAlign w:val="baseline"/>
        </w:rPr>
        <w:t>scope.</w:t>
      </w:r>
    </w:p>
    <w:p>
      <w:pPr>
        <w:pStyle w:val="BodyText"/>
        <w:spacing w:line="235" w:lineRule="auto"/>
        <w:ind w:left="165" w:right="167"/>
        <w:jc w:val="both"/>
      </w:pPr>
      <w:r>
        <w:rPr>
          <w:color w:val="005DA1"/>
          <w:u w:val="single" w:color="005DA1"/>
          <w:vertAlign w:val="superscript"/>
        </w:rPr>
        <w:t>179</w:t>
      </w:r>
      <w:r>
        <w:rPr>
          <w:color w:val="005DA1"/>
          <w:vertAlign w:val="baseline"/>
        </w:rPr>
        <w:t> </w:t>
      </w:r>
      <w:r>
        <w:rPr>
          <w:vertAlign w:val="baseline"/>
        </w:rPr>
        <w:t>The following paragraphs consider the approach to definitions of “contract” following existing </w:t>
      </w:r>
      <w:r>
        <w:rPr>
          <w:vertAlign w:val="baseline"/>
        </w:rPr>
        <w:t>case law of the European Court.</w:t>
      </w:r>
    </w:p>
    <w:p>
      <w:pPr>
        <w:pStyle w:val="BodyText"/>
      </w:pPr>
    </w:p>
    <w:p>
      <w:pPr>
        <w:pStyle w:val="BodyText"/>
        <w:spacing w:before="37"/>
      </w:pPr>
    </w:p>
    <w:p>
      <w:pPr>
        <w:spacing w:before="0"/>
        <w:ind w:left="165" w:right="0" w:firstLine="0"/>
        <w:jc w:val="both"/>
        <w:rPr>
          <w:rFonts w:ascii="Arial"/>
          <w:b/>
          <w:sz w:val="18"/>
        </w:rPr>
      </w:pPr>
      <w:r>
        <w:rPr>
          <w:rFonts w:ascii="Arial"/>
          <w:b/>
          <w:sz w:val="18"/>
        </w:rPr>
        <w:t>EU private international </w:t>
      </w:r>
      <w:r>
        <w:rPr>
          <w:rFonts w:ascii="Arial"/>
          <w:b/>
          <w:spacing w:val="-5"/>
          <w:sz w:val="18"/>
        </w:rPr>
        <w:t>law</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021</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w:t>
      </w:r>
      <w:r>
        <w:rPr>
          <w:spacing w:val="-2"/>
        </w:rPr>
        <w:t> </w:t>
      </w:r>
      <w:r>
        <w:rPr/>
        <w:t>Court</w:t>
      </w:r>
      <w:r>
        <w:rPr>
          <w:spacing w:val="-2"/>
        </w:rPr>
        <w:t> </w:t>
      </w:r>
      <w:r>
        <w:rPr/>
        <w:t>of</w:t>
      </w:r>
      <w:r>
        <w:rPr>
          <w:spacing w:val="-2"/>
        </w:rPr>
        <w:t> </w:t>
      </w:r>
      <w:r>
        <w:rPr/>
        <w:t>Justice</w:t>
      </w:r>
      <w:r>
        <w:rPr>
          <w:spacing w:val="-2"/>
        </w:rPr>
        <w:t> </w:t>
      </w:r>
      <w:r>
        <w:rPr/>
        <w:t>itself</w:t>
      </w:r>
      <w:r>
        <w:rPr>
          <w:spacing w:val="-2"/>
        </w:rPr>
        <w:t> </w:t>
      </w:r>
      <w:r>
        <w:rPr/>
        <w:t>has</w:t>
      </w:r>
      <w:r>
        <w:rPr>
          <w:spacing w:val="-2"/>
        </w:rPr>
        <w:t> </w:t>
      </w:r>
      <w:r>
        <w:rPr/>
        <w:t>had</w:t>
      </w:r>
      <w:r>
        <w:rPr>
          <w:spacing w:val="-2"/>
        </w:rPr>
        <w:t> </w:t>
      </w:r>
      <w:r>
        <w:rPr/>
        <w:t>occasion</w:t>
      </w:r>
      <w:r>
        <w:rPr>
          <w:spacing w:val="-2"/>
        </w:rPr>
        <w:t> </w:t>
      </w:r>
      <w:r>
        <w:rPr/>
        <w:t>to</w:t>
      </w:r>
      <w:r>
        <w:rPr>
          <w:spacing w:val="-2"/>
        </w:rPr>
        <w:t> </w:t>
      </w:r>
      <w:r>
        <w:rPr/>
        <w:t>hold</w:t>
      </w:r>
      <w:r>
        <w:rPr>
          <w:spacing w:val="-2"/>
        </w:rPr>
        <w:t> </w:t>
      </w:r>
      <w:r>
        <w:rPr/>
        <w:t>that</w:t>
      </w:r>
      <w:r>
        <w:rPr>
          <w:spacing w:val="-2"/>
        </w:rPr>
        <w:t> </w:t>
      </w:r>
      <w:r>
        <w:rPr/>
        <w:t>a</w:t>
      </w:r>
      <w:r>
        <w:rPr>
          <w:spacing w:val="-2"/>
        </w:rPr>
        <w:t> </w:t>
      </w:r>
      <w:r>
        <w:rPr/>
        <w:t>European</w:t>
      </w:r>
      <w:r>
        <w:rPr>
          <w:spacing w:val="-2"/>
        </w:rPr>
        <w:t> </w:t>
      </w:r>
      <w:r>
        <w:rPr/>
        <w:t>and</w:t>
      </w:r>
      <w:r>
        <w:rPr>
          <w:spacing w:val="-2"/>
        </w:rPr>
        <w:t> </w:t>
      </w:r>
      <w:r>
        <w:rPr/>
        <w:t>“autonomous”</w:t>
      </w:r>
      <w:r>
        <w:rPr>
          <w:spacing w:val="-2"/>
        </w:rPr>
        <w:t> </w:t>
      </w:r>
      <w:r>
        <w:rPr/>
        <w:t>view</w:t>
      </w:r>
      <w:r>
        <w:rPr>
          <w:spacing w:val="-2"/>
        </w:rPr>
        <w:t> </w:t>
      </w:r>
      <w:r>
        <w:rPr/>
        <w:t>should be taken of the understanding of what constitutes a contractual as opposed to an extra-contractual </w:t>
      </w:r>
      <w:bookmarkStart w:name="_bookmark276" w:id="278"/>
      <w:bookmarkEnd w:id="278"/>
      <w:r>
        <w:rPr/>
        <w:t>action</w:t>
      </w:r>
      <w:r>
        <w:rPr>
          <w:spacing w:val="14"/>
        </w:rPr>
        <w:t> </w:t>
      </w:r>
      <w:r>
        <w:rPr/>
        <w:t>for</w:t>
      </w:r>
      <w:r>
        <w:rPr>
          <w:spacing w:val="14"/>
        </w:rPr>
        <w:t> </w:t>
      </w:r>
      <w:r>
        <w:rPr/>
        <w:t>the</w:t>
      </w:r>
      <w:r>
        <w:rPr>
          <w:spacing w:val="14"/>
        </w:rPr>
        <w:t> </w:t>
      </w:r>
      <w:r>
        <w:rPr/>
        <w:t>purposes</w:t>
      </w:r>
      <w:r>
        <w:rPr>
          <w:spacing w:val="14"/>
        </w:rPr>
        <w:t> </w:t>
      </w:r>
      <w:r>
        <w:rPr/>
        <w:t>of</w:t>
      </w:r>
      <w:r>
        <w:rPr>
          <w:spacing w:val="14"/>
        </w:rPr>
        <w:t> </w:t>
      </w:r>
      <w:r>
        <w:rPr/>
        <w:t>jurisdictional</w:t>
      </w:r>
      <w:r>
        <w:rPr>
          <w:spacing w:val="14"/>
        </w:rPr>
        <w:t> </w:t>
      </w:r>
      <w:r>
        <w:rPr/>
        <w:t>rules</w:t>
      </w:r>
      <w:r>
        <w:rPr>
          <w:spacing w:val="14"/>
        </w:rPr>
        <w:t> </w:t>
      </w:r>
      <w:r>
        <w:rPr/>
        <w:t>under</w:t>
      </w:r>
      <w:r>
        <w:rPr>
          <w:spacing w:val="14"/>
        </w:rPr>
        <w:t> </w:t>
      </w:r>
      <w:r>
        <w:rPr/>
        <w:t>the</w:t>
      </w:r>
      <w:r>
        <w:rPr>
          <w:spacing w:val="14"/>
        </w:rPr>
        <w:t> </w:t>
      </w:r>
      <w:r>
        <w:rPr/>
        <w:t>Brussels</w:t>
      </w:r>
      <w:r>
        <w:rPr>
          <w:spacing w:val="14"/>
        </w:rPr>
        <w:t> </w:t>
      </w:r>
      <w:r>
        <w:rPr/>
        <w:t>Convention</w:t>
      </w:r>
      <w:r>
        <w:rPr>
          <w:spacing w:val="14"/>
        </w:rPr>
        <w:t> </w:t>
      </w:r>
      <w:r>
        <w:rPr/>
        <w:t>(now</w:t>
      </w:r>
      <w:r>
        <w:rPr>
          <w:spacing w:val="14"/>
        </w:rPr>
        <w:t> </w:t>
      </w:r>
      <w:r>
        <w:rPr/>
        <w:t>brought</w:t>
      </w:r>
      <w:r>
        <w:rPr>
          <w:spacing w:val="14"/>
        </w:rPr>
        <w:t> </w:t>
      </w:r>
      <w:r>
        <w:rPr/>
        <w:t>within</w:t>
      </w:r>
      <w:r>
        <w:rPr>
          <w:spacing w:val="14"/>
        </w:rPr>
        <w:t> </w:t>
      </w:r>
      <w:r>
        <w:rPr>
          <w:spacing w:val="-5"/>
        </w:rPr>
        <w:t>EU</w:t>
      </w:r>
    </w:p>
    <w:p>
      <w:pPr>
        <w:pStyle w:val="BodyText"/>
        <w:spacing w:line="235" w:lineRule="auto" w:before="119"/>
        <w:ind w:left="165" w:right="168"/>
        <w:jc w:val="both"/>
      </w:pPr>
      <w:bookmarkStart w:name="_bookmark277" w:id="279"/>
      <w:bookmarkEnd w:id="279"/>
      <w:r>
        <w:rPr/>
      </w:r>
      <w:r>
        <w:rPr/>
        <w:t>law as the Brussels Ibis Regulation), </w:t>
      </w:r>
      <w:r>
        <w:rPr>
          <w:color w:val="005DA1"/>
          <w:u w:val="single" w:color="005DA1"/>
          <w:vertAlign w:val="superscript"/>
        </w:rPr>
        <w:t>180</w:t>
      </w:r>
      <w:r>
        <w:rPr>
          <w:color w:val="005DA1"/>
          <w:spacing w:val="80"/>
          <w:w w:val="150"/>
          <w:vertAlign w:val="baseline"/>
        </w:rPr>
        <w:t> </w:t>
      </w:r>
      <w:r>
        <w:rPr>
          <w:color w:val="005DA1"/>
          <w:spacing w:val="2"/>
          <w:position w:val="-2"/>
          <w:vertAlign w:val="baseline"/>
        </w:rPr>
        <w:drawing>
          <wp:inline distT="0" distB="0" distL="0" distR="0">
            <wp:extent cx="107988" cy="107988"/>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
          <w:vertAlign w:val="baseline"/>
        </w:rPr>
        <w:t> </w:t>
      </w:r>
      <w:r>
        <w:rPr>
          <w:vertAlign w:val="baseline"/>
        </w:rPr>
        <w:t>and this has meant that an action classified in </w:t>
      </w:r>
      <w:r>
        <w:rPr>
          <w:vertAlign w:val="baseline"/>
        </w:rPr>
        <w:t>one Member State (France) as contractual has been held extra-contractual for these purposes. </w:t>
      </w:r>
      <w:r>
        <w:rPr>
          <w:color w:val="005DA1"/>
          <w:u w:val="single" w:color="005DA1"/>
          <w:vertAlign w:val="superscript"/>
        </w:rPr>
        <w:t>181</w:t>
      </w:r>
      <w:r>
        <w:rPr>
          <w:color w:val="005DA1"/>
          <w:vertAlign w:val="baseline"/>
        </w:rPr>
        <w:t> </w:t>
      </w:r>
      <w:r>
        <w:rPr>
          <w:vertAlign w:val="baseline"/>
        </w:rPr>
        <w:t>The European Court decided that:</w:t>
      </w:r>
    </w:p>
    <w:p>
      <w:pPr>
        <w:pStyle w:val="BodyText"/>
      </w:pPr>
    </w:p>
    <w:p>
      <w:pPr>
        <w:pStyle w:val="BodyText"/>
        <w:spacing w:before="125"/>
      </w:pPr>
    </w:p>
    <w:p>
      <w:pPr>
        <w:pStyle w:val="BodyText"/>
        <w:spacing w:line="235" w:lineRule="auto"/>
        <w:ind w:left="1245" w:right="167"/>
        <w:jc w:val="both"/>
      </w:pPr>
      <w:r>
        <w:rPr/>
        <w:t>“… the phrase ‘matters relating to a contract’ within the meaning of Article 5(1) of </w:t>
      </w:r>
      <w:r>
        <w:rPr/>
        <w:t>the Convention should not be understood to cover a situation where there is no obligation freely</w:t>
      </w:r>
      <w:r>
        <w:rPr>
          <w:spacing w:val="-2"/>
        </w:rPr>
        <w:t> </w:t>
      </w:r>
      <w:r>
        <w:rPr/>
        <w:t>entered</w:t>
      </w:r>
      <w:r>
        <w:rPr>
          <w:spacing w:val="-2"/>
        </w:rPr>
        <w:t> </w:t>
      </w:r>
      <w:r>
        <w:rPr/>
        <w:t>into</w:t>
      </w:r>
      <w:r>
        <w:rPr>
          <w:spacing w:val="-2"/>
        </w:rPr>
        <w:t> </w:t>
      </w:r>
      <w:r>
        <w:rPr/>
        <w:t>by</w:t>
      </w:r>
      <w:r>
        <w:rPr>
          <w:spacing w:val="-2"/>
        </w:rPr>
        <w:t> </w:t>
      </w:r>
      <w:r>
        <w:rPr/>
        <w:t>one</w:t>
      </w:r>
      <w:r>
        <w:rPr>
          <w:spacing w:val="-2"/>
        </w:rPr>
        <w:t> </w:t>
      </w:r>
      <w:r>
        <w:rPr/>
        <w:t>party</w:t>
      </w:r>
      <w:r>
        <w:rPr>
          <w:spacing w:val="-2"/>
        </w:rPr>
        <w:t> </w:t>
      </w:r>
      <w:r>
        <w:rPr/>
        <w:t>to</w:t>
      </w:r>
      <w:r>
        <w:rPr>
          <w:spacing w:val="-2"/>
        </w:rPr>
        <w:t> </w:t>
      </w:r>
      <w:r>
        <w:rPr/>
        <w:t>another.</w:t>
      </w:r>
      <w:r>
        <w:rPr>
          <w:spacing w:val="-2"/>
        </w:rPr>
        <w:t> </w:t>
      </w:r>
      <w:r>
        <w:rPr/>
        <w:t>Where</w:t>
      </w:r>
      <w:r>
        <w:rPr>
          <w:spacing w:val="-2"/>
        </w:rPr>
        <w:t> </w:t>
      </w:r>
      <w:r>
        <w:rPr/>
        <w:t>a</w:t>
      </w:r>
      <w:r>
        <w:rPr>
          <w:spacing w:val="-2"/>
        </w:rPr>
        <w:t> </w:t>
      </w:r>
      <w:r>
        <w:rPr/>
        <w:t>sub-buyer</w:t>
      </w:r>
      <w:r>
        <w:rPr>
          <w:spacing w:val="-2"/>
        </w:rPr>
        <w:t> </w:t>
      </w:r>
      <w:r>
        <w:rPr/>
        <w:t>of</w:t>
      </w:r>
      <w:r>
        <w:rPr>
          <w:spacing w:val="-2"/>
        </w:rPr>
        <w:t> </w:t>
      </w:r>
      <w:r>
        <w:rPr/>
        <w:t>goods</w:t>
      </w:r>
      <w:r>
        <w:rPr>
          <w:spacing w:val="-2"/>
        </w:rPr>
        <w:t> </w:t>
      </w:r>
      <w:r>
        <w:rPr/>
        <w:t>which</w:t>
      </w:r>
      <w:r>
        <w:rPr>
          <w:spacing w:val="-2"/>
        </w:rPr>
        <w:t> </w:t>
      </w:r>
      <w:r>
        <w:rPr/>
        <w:t>are</w:t>
      </w:r>
      <w:r>
        <w:rPr>
          <w:spacing w:val="-2"/>
        </w:rPr>
        <w:t> </w:t>
      </w:r>
      <w:r>
        <w:rPr/>
        <w:t>bought from an intermediate seller brings an action against a manufacturer for damages on the sole</w:t>
      </w:r>
      <w:r>
        <w:rPr>
          <w:spacing w:val="-1"/>
        </w:rPr>
        <w:t> </w:t>
      </w:r>
      <w:r>
        <w:rPr/>
        <w:t>ground</w:t>
      </w:r>
      <w:r>
        <w:rPr>
          <w:spacing w:val="-1"/>
        </w:rPr>
        <w:t> </w:t>
      </w:r>
      <w:r>
        <w:rPr/>
        <w:t>that</w:t>
      </w:r>
      <w:r>
        <w:rPr>
          <w:spacing w:val="-1"/>
        </w:rPr>
        <w:t> </w:t>
      </w:r>
      <w:r>
        <w:rPr/>
        <w:t>the</w:t>
      </w:r>
      <w:r>
        <w:rPr>
          <w:spacing w:val="-1"/>
        </w:rPr>
        <w:t> </w:t>
      </w:r>
      <w:r>
        <w:rPr/>
        <w:t>goods</w:t>
      </w:r>
      <w:r>
        <w:rPr>
          <w:spacing w:val="-1"/>
        </w:rPr>
        <w:t> </w:t>
      </w:r>
      <w:r>
        <w:rPr/>
        <w:t>are</w:t>
      </w:r>
      <w:r>
        <w:rPr>
          <w:spacing w:val="-1"/>
        </w:rPr>
        <w:t> </w:t>
      </w:r>
      <w:r>
        <w:rPr/>
        <w:t>not</w:t>
      </w:r>
      <w:r>
        <w:rPr>
          <w:spacing w:val="-1"/>
        </w:rPr>
        <w:t> </w:t>
      </w:r>
      <w:r>
        <w:rPr/>
        <w:t>in</w:t>
      </w:r>
      <w:r>
        <w:rPr>
          <w:spacing w:val="-1"/>
        </w:rPr>
        <w:t> </w:t>
      </w:r>
      <w:r>
        <w:rPr/>
        <w:t>conformity,</w:t>
      </w:r>
      <w:r>
        <w:rPr>
          <w:spacing w:val="-1"/>
        </w:rPr>
        <w:t> </w:t>
      </w:r>
      <w:r>
        <w:rPr/>
        <w:t>it</w:t>
      </w:r>
      <w:r>
        <w:rPr>
          <w:spacing w:val="-1"/>
        </w:rPr>
        <w:t> </w:t>
      </w:r>
      <w:r>
        <w:rPr/>
        <w:t>is</w:t>
      </w:r>
      <w:r>
        <w:rPr>
          <w:spacing w:val="-1"/>
        </w:rPr>
        <w:t> </w:t>
      </w:r>
      <w:r>
        <w:rPr/>
        <w:t>important</w:t>
      </w:r>
      <w:r>
        <w:rPr>
          <w:spacing w:val="-1"/>
        </w:rPr>
        <w:t> </w:t>
      </w:r>
      <w:r>
        <w:rPr/>
        <w:t>to</w:t>
      </w:r>
      <w:r>
        <w:rPr>
          <w:spacing w:val="-1"/>
        </w:rPr>
        <w:t> </w:t>
      </w:r>
      <w:r>
        <w:rPr/>
        <w:t>observe</w:t>
      </w:r>
      <w:r>
        <w:rPr>
          <w:spacing w:val="-1"/>
        </w:rPr>
        <w:t> </w:t>
      </w:r>
      <w:r>
        <w:rPr/>
        <w:t>that</w:t>
      </w:r>
      <w:r>
        <w:rPr>
          <w:spacing w:val="-1"/>
        </w:rPr>
        <w:t> </w:t>
      </w:r>
      <w:r>
        <w:rPr/>
        <w:t>there</w:t>
      </w:r>
      <w:r>
        <w:rPr>
          <w:spacing w:val="-1"/>
        </w:rPr>
        <w:t> </w:t>
      </w:r>
      <w:r>
        <w:rPr/>
        <w:t>is</w:t>
      </w:r>
      <w:r>
        <w:rPr>
          <w:spacing w:val="-1"/>
        </w:rPr>
        <w:t> </w:t>
      </w:r>
      <w:r>
        <w:rPr/>
        <w:t>no </w:t>
      </w:r>
      <w:bookmarkStart w:name="_bookmark278" w:id="280"/>
      <w:bookmarkEnd w:id="280"/>
      <w:r>
        <w:rPr/>
        <w:t>contractual</w:t>
      </w:r>
      <w:r>
        <w:rPr/>
        <w:t> link between the sub-buyer and the manufacturer because the latter has not undertaken a contractual obligation of any kind to the former.” </w:t>
      </w:r>
      <w:r>
        <w:rPr>
          <w:color w:val="005DA1"/>
          <w:u w:val="single" w:color="005DA1"/>
          <w:vertAlign w:val="superscript"/>
        </w:rPr>
        <w:t>182</w:t>
      </w:r>
    </w:p>
    <w:p>
      <w:pPr>
        <w:pStyle w:val="BodyText"/>
        <w:spacing w:before="114"/>
      </w:pPr>
    </w:p>
    <w:p>
      <w:pPr>
        <w:pStyle w:val="BodyText"/>
        <w:spacing w:line="235" w:lineRule="auto" w:before="1"/>
        <w:ind w:left="165" w:right="166"/>
        <w:jc w:val="both"/>
      </w:pPr>
      <w:r>
        <w:rPr/>
        <w:t>As regards the EU instruments governing applicable law, the Rome II Regulation on the </w:t>
      </w:r>
      <w:r>
        <w:rPr/>
        <w:t>law</w:t>
      </w:r>
      <w:r>
        <w:rPr>
          <w:spacing w:val="40"/>
        </w:rPr>
        <w:t> </w:t>
      </w:r>
      <w:bookmarkStart w:name="_bookmark279" w:id="281"/>
      <w:bookmarkEnd w:id="281"/>
      <w:r>
        <w:rPr/>
        <w:t>applicable</w:t>
      </w:r>
      <w:r>
        <w:rPr/>
        <w:t> to non-contractual obligations specifies that “the concept of non-contractual obligation” must be understood as an “autonomous concept” </w:t>
      </w:r>
      <w:r>
        <w:rPr>
          <w:color w:val="005DA1"/>
          <w:u w:val="single" w:color="005DA1"/>
          <w:vertAlign w:val="superscript"/>
        </w:rPr>
        <w:t>183</w:t>
      </w:r>
      <w:r>
        <w:rPr>
          <w:color w:val="005DA1"/>
          <w:vertAlign w:val="baseline"/>
        </w:rPr>
        <w:t> </w:t>
      </w:r>
      <w:r>
        <w:rPr>
          <w:vertAlign w:val="baseline"/>
        </w:rPr>
        <w:t>and includes certain areas of law (notably, </w:t>
      </w:r>
      <w:bookmarkStart w:name="_bookmark280" w:id="282"/>
      <w:bookmarkEnd w:id="282"/>
      <w:r>
        <w:rPr>
          <w:vertAlign w:val="baseline"/>
        </w:rPr>
        <w:t>“product</w:t>
      </w:r>
      <w:r>
        <w:rPr>
          <w:vertAlign w:val="baseline"/>
        </w:rPr>
        <w:t> liability” and precontractual liability (“culpa in contrahendo”)) which in some national laws fall within</w:t>
      </w:r>
      <w:r>
        <w:rPr>
          <w:spacing w:val="-2"/>
          <w:vertAlign w:val="baseline"/>
        </w:rPr>
        <w:t> </w:t>
      </w:r>
      <w:r>
        <w:rPr>
          <w:vertAlign w:val="baseline"/>
        </w:rPr>
        <w:t>contract</w:t>
      </w:r>
      <w:r>
        <w:rPr>
          <w:spacing w:val="-2"/>
          <w:vertAlign w:val="baseline"/>
        </w:rPr>
        <w:t> </w:t>
      </w:r>
      <w:r>
        <w:rPr>
          <w:vertAlign w:val="baseline"/>
        </w:rPr>
        <w:t>and</w:t>
      </w:r>
      <w:r>
        <w:rPr>
          <w:spacing w:val="-2"/>
          <w:vertAlign w:val="baseline"/>
        </w:rPr>
        <w:t> </w:t>
      </w:r>
      <w:r>
        <w:rPr>
          <w:vertAlign w:val="baseline"/>
        </w:rPr>
        <w:t>sometimes</w:t>
      </w:r>
      <w:r>
        <w:rPr>
          <w:spacing w:val="-2"/>
          <w:vertAlign w:val="baseline"/>
        </w:rPr>
        <w:t> </w:t>
      </w:r>
      <w:r>
        <w:rPr>
          <w:vertAlign w:val="baseline"/>
        </w:rPr>
        <w:t>outside</w:t>
      </w:r>
      <w:r>
        <w:rPr>
          <w:spacing w:val="-2"/>
          <w:vertAlign w:val="baseline"/>
        </w:rPr>
        <w:t> </w:t>
      </w:r>
      <w:r>
        <w:rPr>
          <w:vertAlign w:val="baseline"/>
        </w:rPr>
        <w:t>it.</w:t>
      </w:r>
      <w:r>
        <w:rPr>
          <w:spacing w:val="-3"/>
          <w:vertAlign w:val="baseline"/>
        </w:rPr>
        <w:t> </w:t>
      </w:r>
      <w:r>
        <w:rPr>
          <w:color w:val="005DA1"/>
          <w:u w:val="single" w:color="005DA1"/>
          <w:vertAlign w:val="superscript"/>
        </w:rPr>
        <w:t>184</w:t>
      </w:r>
      <w:r>
        <w:rPr>
          <w:color w:val="005DA1"/>
          <w:spacing w:val="-2"/>
          <w:vertAlign w:val="baseline"/>
        </w:rPr>
        <w:t> </w:t>
      </w:r>
      <w:r>
        <w:rPr>
          <w:vertAlign w:val="baseline"/>
        </w:rPr>
        <w:t>The</w:t>
      </w:r>
      <w:r>
        <w:rPr>
          <w:spacing w:val="-2"/>
          <w:vertAlign w:val="baseline"/>
        </w:rPr>
        <w:t> </w:t>
      </w:r>
      <w:r>
        <w:rPr>
          <w:vertAlign w:val="baseline"/>
        </w:rPr>
        <w:t>scope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Rome</w:t>
      </w:r>
      <w:r>
        <w:rPr>
          <w:spacing w:val="-2"/>
          <w:vertAlign w:val="baseline"/>
        </w:rPr>
        <w:t> </w:t>
      </w:r>
      <w:r>
        <w:rPr>
          <w:vertAlign w:val="baseline"/>
        </w:rPr>
        <w:t>I</w:t>
      </w:r>
      <w:r>
        <w:rPr>
          <w:spacing w:val="-2"/>
          <w:vertAlign w:val="baseline"/>
        </w:rPr>
        <w:t> </w:t>
      </w:r>
      <w:r>
        <w:rPr>
          <w:vertAlign w:val="baseline"/>
        </w:rPr>
        <w:t>Regulation</w:t>
      </w:r>
      <w:r>
        <w:rPr>
          <w:spacing w:val="-2"/>
          <w:vertAlign w:val="baseline"/>
        </w:rPr>
        <w:t> </w:t>
      </w:r>
      <w:r>
        <w:rPr>
          <w:vertAlign w:val="baseline"/>
        </w:rPr>
        <w:t>(replacing</w:t>
      </w:r>
      <w:r>
        <w:rPr>
          <w:spacing w:val="-2"/>
          <w:vertAlign w:val="baseline"/>
        </w:rPr>
        <w:t> </w:t>
      </w:r>
      <w:r>
        <w:rPr>
          <w:vertAlign w:val="baseline"/>
        </w:rPr>
        <w:t>the</w:t>
      </w:r>
      <w:r>
        <w:rPr>
          <w:spacing w:val="-2"/>
          <w:vertAlign w:val="baseline"/>
        </w:rPr>
        <w:t> </w:t>
      </w:r>
      <w:r>
        <w:rPr>
          <w:vertAlign w:val="baseline"/>
        </w:rPr>
        <w:t>earlier </w:t>
      </w:r>
      <w:bookmarkStart w:name="_bookmark281" w:id="283"/>
      <w:bookmarkEnd w:id="283"/>
      <w:r>
        <w:rPr>
          <w:vertAlign w:val="baseline"/>
        </w:rPr>
        <w:t>Rome</w:t>
      </w:r>
      <w:r>
        <w:rPr>
          <w:vertAlign w:val="baseline"/>
        </w:rPr>
        <w:t> Convention) on the law applicable to </w:t>
      </w:r>
      <w:r>
        <w:rPr>
          <w:rFonts w:ascii="Arial" w:hAnsi="Arial"/>
          <w:i/>
          <w:vertAlign w:val="baseline"/>
        </w:rPr>
        <w:t>contractual </w:t>
      </w:r>
      <w:r>
        <w:rPr>
          <w:vertAlign w:val="baseline"/>
        </w:rPr>
        <w:t>obligations is to be interpreted in a way consistent with the earlier Rome II Regulation. </w:t>
      </w:r>
      <w:r>
        <w:rPr>
          <w:color w:val="005DA1"/>
          <w:u w:val="single" w:color="005DA1"/>
          <w:vertAlign w:val="superscript"/>
        </w:rPr>
        <w:t>185</w:t>
      </w:r>
      <w:r>
        <w:rPr>
          <w:color w:val="005DA1"/>
          <w:vertAlign w:val="baseline"/>
        </w:rPr>
        <w:t> </w:t>
      </w:r>
      <w:r>
        <w:rPr>
          <w:vertAlign w:val="baseline"/>
        </w:rPr>
        <w:t>For this purpose, the Court of Justice of the EU has </w:t>
      </w:r>
      <w:bookmarkStart w:name="_bookmark282" w:id="284"/>
      <w:bookmarkEnd w:id="284"/>
      <w:r>
        <w:rPr>
          <w:vertAlign w:val="baseline"/>
        </w:rPr>
        <w:t>held</w:t>
      </w:r>
      <w:r>
        <w:rPr>
          <w:spacing w:val="31"/>
          <w:vertAlign w:val="baseline"/>
        </w:rPr>
        <w:t> </w:t>
      </w:r>
      <w:r>
        <w:rPr>
          <w:vertAlign w:val="baseline"/>
        </w:rPr>
        <w:t>that</w:t>
      </w:r>
      <w:r>
        <w:rPr>
          <w:spacing w:val="31"/>
          <w:vertAlign w:val="baseline"/>
        </w:rPr>
        <w:t> </w:t>
      </w:r>
      <w:r>
        <w:rPr>
          <w:vertAlign w:val="baseline"/>
        </w:rPr>
        <w:t>“the</w:t>
      </w:r>
      <w:r>
        <w:rPr>
          <w:spacing w:val="31"/>
          <w:vertAlign w:val="baseline"/>
        </w:rPr>
        <w:t> </w:t>
      </w:r>
      <w:r>
        <w:rPr>
          <w:vertAlign w:val="baseline"/>
        </w:rPr>
        <w:t>concept</w:t>
      </w:r>
      <w:r>
        <w:rPr>
          <w:spacing w:val="31"/>
          <w:vertAlign w:val="baseline"/>
        </w:rPr>
        <w:t> </w:t>
      </w:r>
      <w:r>
        <w:rPr>
          <w:vertAlign w:val="baseline"/>
        </w:rPr>
        <w:t>of</w:t>
      </w:r>
      <w:r>
        <w:rPr>
          <w:spacing w:val="31"/>
          <w:vertAlign w:val="baseline"/>
        </w:rPr>
        <w:t> </w:t>
      </w:r>
      <w:r>
        <w:rPr>
          <w:vertAlign w:val="baseline"/>
        </w:rPr>
        <w:t>‘contractual</w:t>
      </w:r>
      <w:r>
        <w:rPr>
          <w:spacing w:val="31"/>
          <w:vertAlign w:val="baseline"/>
        </w:rPr>
        <w:t> </w:t>
      </w:r>
      <w:r>
        <w:rPr>
          <w:vertAlign w:val="baseline"/>
        </w:rPr>
        <w:t>obligation’</w:t>
      </w:r>
      <w:r>
        <w:rPr>
          <w:spacing w:val="31"/>
          <w:vertAlign w:val="baseline"/>
        </w:rPr>
        <w:t> </w:t>
      </w:r>
      <w:r>
        <w:rPr>
          <w:vertAlign w:val="baseline"/>
        </w:rPr>
        <w:t>[under</w:t>
      </w:r>
      <w:r>
        <w:rPr>
          <w:spacing w:val="31"/>
          <w:vertAlign w:val="baseline"/>
        </w:rPr>
        <w:t> </w:t>
      </w:r>
      <w:r>
        <w:rPr>
          <w:vertAlign w:val="baseline"/>
        </w:rPr>
        <w:t>the</w:t>
      </w:r>
      <w:r>
        <w:rPr>
          <w:spacing w:val="31"/>
          <w:vertAlign w:val="baseline"/>
        </w:rPr>
        <w:t> </w:t>
      </w:r>
      <w:r>
        <w:rPr>
          <w:vertAlign w:val="baseline"/>
        </w:rPr>
        <w:t>Rome</w:t>
      </w:r>
      <w:r>
        <w:rPr>
          <w:spacing w:val="31"/>
          <w:vertAlign w:val="baseline"/>
        </w:rPr>
        <w:t> </w:t>
      </w:r>
      <w:r>
        <w:rPr>
          <w:vertAlign w:val="baseline"/>
        </w:rPr>
        <w:t>I</w:t>
      </w:r>
      <w:r>
        <w:rPr>
          <w:spacing w:val="31"/>
          <w:vertAlign w:val="baseline"/>
        </w:rPr>
        <w:t> </w:t>
      </w:r>
      <w:r>
        <w:rPr>
          <w:vertAlign w:val="baseline"/>
        </w:rPr>
        <w:t>Regulation]</w:t>
      </w:r>
      <w:r>
        <w:rPr>
          <w:spacing w:val="31"/>
          <w:vertAlign w:val="baseline"/>
        </w:rPr>
        <w:t> </w:t>
      </w:r>
      <w:r>
        <w:rPr>
          <w:vertAlign w:val="baseline"/>
        </w:rPr>
        <w:t>designates</w:t>
      </w:r>
      <w:r>
        <w:rPr>
          <w:spacing w:val="31"/>
          <w:vertAlign w:val="baseline"/>
        </w:rPr>
        <w:t> </w:t>
      </w:r>
      <w:r>
        <w:rPr>
          <w:vertAlign w:val="baseline"/>
        </w:rPr>
        <w:t>a</w:t>
      </w:r>
      <w:r>
        <w:rPr>
          <w:spacing w:val="31"/>
          <w:vertAlign w:val="baseline"/>
        </w:rPr>
        <w:t> </w:t>
      </w:r>
      <w:r>
        <w:rPr>
          <w:spacing w:val="-2"/>
          <w:vertAlign w:val="baseline"/>
        </w:rPr>
        <w:t>legal</w:t>
      </w:r>
    </w:p>
    <w:p>
      <w:pPr>
        <w:pStyle w:val="BodyText"/>
        <w:spacing w:before="113"/>
        <w:ind w:left="165"/>
        <w:jc w:val="both"/>
        <w:rPr>
          <w:position w:val="-2"/>
        </w:rPr>
      </w:pPr>
      <w:r>
        <w:rPr/>
        <w:t>obligation freely consented to by one person towards another”. </w:t>
      </w:r>
      <w:r>
        <w:rPr>
          <w:color w:val="005DA1"/>
          <w:u w:val="single" w:color="005DA1"/>
          <w:vertAlign w:val="superscript"/>
        </w:rPr>
        <w:t>186</w:t>
      </w:r>
      <w:r>
        <w:rPr>
          <w:color w:val="005DA1"/>
          <w:spacing w:val="80"/>
          <w:w w:val="150"/>
          <w:vertAlign w:val="baseline"/>
        </w:rPr>
        <w:t> </w:t>
      </w:r>
      <w:r>
        <w:rPr>
          <w:color w:val="005DA1"/>
          <w:position w:val="-2"/>
          <w:vertAlign w:val="baseline"/>
        </w:rPr>
        <w:drawing>
          <wp:inline distT="0" distB="0" distL="0" distR="0">
            <wp:extent cx="107988" cy="107988"/>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hAnsi="Arial"/>
          <w:b/>
          <w:sz w:val="18"/>
        </w:rPr>
      </w:pPr>
      <w:r>
        <w:rPr>
          <w:rFonts w:ascii="Arial" w:hAnsi="Arial"/>
          <w:b/>
          <w:sz w:val="18"/>
        </w:rPr>
        <w:t>European definition of </w:t>
      </w:r>
      <w:r>
        <w:rPr>
          <w:rFonts w:ascii="Arial" w:hAnsi="Arial"/>
          <w:b/>
          <w:spacing w:val="-2"/>
          <w:sz w:val="18"/>
        </w:rPr>
        <w:t>“worker”</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022</w:t>
      </w:r>
    </w:p>
    <w:p>
      <w:pPr>
        <w:pStyle w:val="BodyText"/>
        <w:spacing w:line="235" w:lineRule="auto" w:before="202"/>
        <w:ind w:left="165" w:right="167"/>
        <w:jc w:val="both"/>
      </w:pPr>
      <w:r>
        <w:rPr/>
        <w:t>As to the various legislative provisions governing contracts of employment and contracts under which “workers” act, clearly their concern is not with “contract”, but rather with “employment contract” </w:t>
      </w:r>
      <w:r>
        <w:rPr/>
        <w:t>or “worker”, but in this respect some of the EU legislation clearly invites the courts of the Member States to refer to a conception of contract drawn from their own legal system, while other provisions have attracted a European conception. So, for example, Directive 91/533 which makes certain</w:t>
      </w:r>
      <w:r>
        <w:rPr>
          <w:spacing w:val="40"/>
        </w:rPr>
        <w:t> </w:t>
      </w:r>
      <w:r>
        <w:rPr/>
        <w:t>requirements</w:t>
      </w:r>
      <w:r>
        <w:rPr>
          <w:spacing w:val="-2"/>
        </w:rPr>
        <w:t> </w:t>
      </w:r>
      <w:r>
        <w:rPr/>
        <w:t>as</w:t>
      </w:r>
      <w:r>
        <w:rPr>
          <w:spacing w:val="-2"/>
        </w:rPr>
        <w:t> </w:t>
      </w:r>
      <w:r>
        <w:rPr/>
        <w:t>to</w:t>
      </w:r>
      <w:r>
        <w:rPr>
          <w:spacing w:val="-2"/>
        </w:rPr>
        <w:t> </w:t>
      </w:r>
      <w:r>
        <w:rPr/>
        <w:t>the</w:t>
      </w:r>
      <w:r>
        <w:rPr>
          <w:spacing w:val="-2"/>
        </w:rPr>
        <w:t> </w:t>
      </w:r>
      <w:r>
        <w:rPr/>
        <w:t>information</w:t>
      </w:r>
      <w:r>
        <w:rPr>
          <w:spacing w:val="-2"/>
        </w:rPr>
        <w:t> </w:t>
      </w:r>
      <w:r>
        <w:rPr/>
        <w:t>to</w:t>
      </w:r>
      <w:r>
        <w:rPr>
          <w:spacing w:val="-2"/>
        </w:rPr>
        <w:t> </w:t>
      </w:r>
      <w:r>
        <w:rPr/>
        <w:t>be</w:t>
      </w:r>
      <w:r>
        <w:rPr>
          <w:spacing w:val="-2"/>
        </w:rPr>
        <w:t> </w:t>
      </w:r>
      <w:r>
        <w:rPr/>
        <w:t>given</w:t>
      </w:r>
      <w:r>
        <w:rPr>
          <w:spacing w:val="-2"/>
        </w:rPr>
        <w:t> </w:t>
      </w:r>
      <w:r>
        <w:rPr/>
        <w:t>by</w:t>
      </w:r>
      <w:r>
        <w:rPr>
          <w:spacing w:val="-2"/>
        </w:rPr>
        <w:t> </w:t>
      </w:r>
      <w:r>
        <w:rPr/>
        <w:t>employers</w:t>
      </w:r>
      <w:r>
        <w:rPr>
          <w:spacing w:val="-2"/>
        </w:rPr>
        <w:t> </w:t>
      </w:r>
      <w:r>
        <w:rPr/>
        <w:t>to</w:t>
      </w:r>
      <w:r>
        <w:rPr>
          <w:spacing w:val="-2"/>
        </w:rPr>
        <w:t> </w:t>
      </w:r>
      <w:r>
        <w:rPr/>
        <w:t>their</w:t>
      </w:r>
      <w:r>
        <w:rPr>
          <w:spacing w:val="-2"/>
        </w:rPr>
        <w:t> </w:t>
      </w:r>
      <w:r>
        <w:rPr/>
        <w:t>employees</w:t>
      </w:r>
      <w:r>
        <w:rPr>
          <w:spacing w:val="-2"/>
        </w:rPr>
        <w:t> </w:t>
      </w:r>
      <w:r>
        <w:rPr/>
        <w:t>as</w:t>
      </w:r>
      <w:r>
        <w:rPr>
          <w:spacing w:val="-2"/>
        </w:rPr>
        <w:t> </w:t>
      </w:r>
      <w:r>
        <w:rPr/>
        <w:t>to</w:t>
      </w:r>
      <w:r>
        <w:rPr>
          <w:spacing w:val="-2"/>
        </w:rPr>
        <w:t> </w:t>
      </w:r>
      <w:r>
        <w:rPr/>
        <w:t>the</w:t>
      </w:r>
      <w:r>
        <w:rPr>
          <w:spacing w:val="-2"/>
        </w:rPr>
        <w:t> </w:t>
      </w:r>
      <w:r>
        <w:rPr/>
        <w:t>conditions</w:t>
      </w:r>
      <w:r>
        <w:rPr>
          <w:spacing w:val="-2"/>
        </w:rPr>
        <w:t> </w:t>
      </w:r>
      <w:r>
        <w:rPr/>
        <w:t>of </w:t>
      </w:r>
      <w:bookmarkStart w:name="_bookmark283" w:id="285"/>
      <w:bookmarkEnd w:id="285"/>
      <w:r>
        <w:rPr/>
        <w:t>employment</w:t>
      </w:r>
      <w:r>
        <w:rPr/>
        <w:t> expressly provides that it shall apply “to every paid employee having a contract or employment relationship defined by the law in force in a Member State”. </w:t>
      </w:r>
      <w:r>
        <w:rPr>
          <w:color w:val="005DA1"/>
          <w:u w:val="single" w:color="005DA1"/>
          <w:vertAlign w:val="superscript"/>
        </w:rPr>
        <w:t>187</w:t>
      </w:r>
      <w:r>
        <w:rPr>
          <w:color w:val="005DA1"/>
          <w:vertAlign w:val="baseline"/>
        </w:rPr>
        <w:t> </w:t>
      </w:r>
      <w:r>
        <w:rPr>
          <w:vertAlign w:val="baseline"/>
        </w:rPr>
        <w:t>On the other hand, the European Court of Justice made clear as early as 1964 that “worker” for the purposes of the principle </w:t>
      </w:r>
      <w:bookmarkStart w:name="_bookmark284" w:id="286"/>
      <w:bookmarkEnd w:id="286"/>
      <w:r>
        <w:rPr>
          <w:vertAlign w:val="baseline"/>
        </w:rPr>
        <w:t>of</w:t>
      </w:r>
      <w:r>
        <w:rPr>
          <w:vertAlign w:val="baseline"/>
        </w:rPr>
        <w:t> freedom of movement of workers contained in art.48 (later art.39) of the EC Treaty (now art.45 </w:t>
      </w:r>
      <w:bookmarkStart w:name="_bookmark285" w:id="287"/>
      <w:bookmarkEnd w:id="287"/>
      <w:r>
        <w:rPr>
          <w:vertAlign w:val="baseline"/>
        </w:rPr>
        <w:t>TFEU)</w:t>
      </w:r>
      <w:r>
        <w:rPr>
          <w:vertAlign w:val="baseline"/>
        </w:rPr>
        <w:t> must be given a European understanding </w:t>
      </w:r>
      <w:r>
        <w:rPr>
          <w:color w:val="005DA1"/>
          <w:u w:val="single" w:color="005DA1"/>
          <w:vertAlign w:val="superscript"/>
        </w:rPr>
        <w:t>188</w:t>
      </w:r>
      <w:r>
        <w:rPr>
          <w:color w:val="005DA1"/>
          <w:vertAlign w:val="baseline"/>
        </w:rPr>
        <w:t> </w:t>
      </w:r>
      <w:r>
        <w:rPr>
          <w:vertAlign w:val="baseline"/>
        </w:rPr>
        <w:t>the fleshing out of this being the matter for a series of subsequent judgments. </w:t>
      </w:r>
      <w:r>
        <w:rPr>
          <w:color w:val="005DA1"/>
          <w:u w:val="single" w:color="005DA1"/>
          <w:vertAlign w:val="superscript"/>
        </w:rPr>
        <w:t>189</w:t>
      </w:r>
    </w:p>
    <w:p>
      <w:pPr>
        <w:pStyle w:val="BodyText"/>
      </w:pPr>
    </w:p>
    <w:p>
      <w:pPr>
        <w:pStyle w:val="BodyText"/>
        <w:spacing w:before="34"/>
      </w:pPr>
    </w:p>
    <w:p>
      <w:pPr>
        <w:spacing w:before="0"/>
        <w:ind w:left="165" w:right="0" w:firstLine="0"/>
        <w:jc w:val="both"/>
        <w:rPr>
          <w:rFonts w:ascii="Arial" w:hAnsi="Arial"/>
          <w:b/>
          <w:sz w:val="18"/>
        </w:rPr>
      </w:pPr>
      <w:r>
        <w:rPr>
          <w:rFonts w:ascii="Arial" w:hAnsi="Arial"/>
          <w:b/>
          <w:sz w:val="18"/>
        </w:rPr>
        <w:t>“Consumer </w:t>
      </w:r>
      <w:r>
        <w:rPr>
          <w:rFonts w:ascii="Arial" w:hAnsi="Arial"/>
          <w:b/>
          <w:spacing w:val="-2"/>
          <w:sz w:val="18"/>
        </w:rPr>
        <w:t>contract”</w:t>
      </w:r>
    </w:p>
    <w:p>
      <w:pPr>
        <w:spacing w:after="0"/>
        <w:jc w:val="both"/>
        <w:rPr>
          <w:rFonts w:ascii="Arial" w:hAns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1-</w:t>
      </w:r>
      <w:r>
        <w:rPr>
          <w:rFonts w:ascii="Arial"/>
          <w:b/>
          <w:spacing w:val="-5"/>
          <w:sz w:val="24"/>
        </w:rPr>
        <w:t>023</w:t>
      </w:r>
    </w:p>
    <w:p>
      <w:pPr>
        <w:pStyle w:val="BodyText"/>
        <w:spacing w:line="235" w:lineRule="auto" w:before="202"/>
        <w:ind w:left="165" w:right="167"/>
        <w:jc w:val="both"/>
      </w:pPr>
      <w:bookmarkStart w:name="_bookmark286" w:id="288"/>
      <w:bookmarkEnd w:id="288"/>
      <w:r>
        <w:rPr/>
      </w:r>
      <w:r>
        <w:rPr/>
        <w:t>Finally, while it is clear that certain aspects of the notion of “consumer contract” for the purposes of</w:t>
      </w:r>
      <w:r>
        <w:rPr>
          <w:spacing w:val="40"/>
        </w:rPr>
        <w:t> </w:t>
      </w:r>
      <w:r>
        <w:rPr/>
        <w:t>the Directive on Unfair Terms in Consumer Contracts 1993 </w:t>
      </w:r>
      <w:r>
        <w:rPr>
          <w:color w:val="005DA1"/>
          <w:u w:val="single" w:color="005DA1"/>
          <w:vertAlign w:val="superscript"/>
        </w:rPr>
        <w:t>190</w:t>
      </w:r>
      <w:r>
        <w:rPr>
          <w:color w:val="005DA1"/>
          <w:vertAlign w:val="baseline"/>
        </w:rPr>
        <w:t> </w:t>
      </w:r>
      <w:r>
        <w:rPr>
          <w:vertAlign w:val="baseline"/>
        </w:rPr>
        <w:t>are to be interpreted “autonomously”, it </w:t>
      </w:r>
      <w:bookmarkStart w:name="_bookmark287" w:id="289"/>
      <w:bookmarkEnd w:id="289"/>
      <w:r>
        <w:rPr>
          <w:vertAlign w:val="baseline"/>
        </w:rPr>
        <w:t>is</w:t>
      </w:r>
      <w:r>
        <w:rPr>
          <w:vertAlign w:val="baseline"/>
        </w:rPr>
        <w:t> less clear whether the notion of “contract” itself will also be so interpreted by the Court of Justice </w:t>
      </w:r>
      <w:r>
        <w:rPr>
          <w:vertAlign w:val="baseline"/>
        </w:rPr>
        <w:t>of the EU or will instead fall to be governed by the legislation or case law of the Member States. </w:t>
      </w:r>
      <w:r>
        <w:rPr>
          <w:color w:val="005DA1"/>
          <w:u w:val="single" w:color="005DA1"/>
          <w:vertAlign w:val="superscript"/>
        </w:rPr>
        <w:t>191</w:t>
      </w:r>
      <w:r>
        <w:rPr>
          <w:color w:val="005DA1"/>
          <w:vertAlign w:val="baseline"/>
        </w:rPr>
        <w:t> </w:t>
      </w:r>
      <w:r>
        <w:rPr>
          <w:vertAlign w:val="baseline"/>
        </w:rPr>
        <w:t>If it were interpreted autonomously, then the significance of “contract” may well differ from that given by English law, notably as regards the latter’s requirement of consideration, a requirement which is not shared by the other Member States except the Republic of Ireland. Furthermore, in coming to a view </w:t>
      </w:r>
      <w:bookmarkStart w:name="_bookmark288" w:id="290"/>
      <w:bookmarkEnd w:id="290"/>
      <w:r>
        <w:rPr>
          <w:vertAlign w:val="baseline"/>
        </w:rPr>
        <w:t>as</w:t>
      </w:r>
      <w:r>
        <w:rPr>
          <w:vertAlign w:val="baseline"/>
        </w:rPr>
        <w:t> to what constitutes “a contract” for this purpose, the Court of Justice is likely to be inspired by the definition already noted in the Proposal for a Regulation on a common European sales law. </w:t>
      </w:r>
      <w:r>
        <w:rPr>
          <w:color w:val="005DA1"/>
          <w:u w:val="single" w:color="005DA1"/>
          <w:vertAlign w:val="superscript"/>
        </w:rPr>
        <w:t>192</w:t>
      </w:r>
    </w:p>
    <w:p>
      <w:pPr>
        <w:pStyle w:val="BodyText"/>
      </w:pPr>
    </w:p>
    <w:p>
      <w:pPr>
        <w:pStyle w:val="BodyText"/>
        <w:spacing w:before="35"/>
      </w:pPr>
    </w:p>
    <w:p>
      <w:pPr>
        <w:spacing w:before="1"/>
        <w:ind w:left="165" w:right="0" w:firstLine="0"/>
        <w:jc w:val="both"/>
        <w:rPr>
          <w:rFonts w:ascii="Arial" w:hAnsi="Arial"/>
          <w:b/>
          <w:sz w:val="18"/>
        </w:rPr>
      </w:pPr>
      <w:r>
        <w:rPr>
          <w:rFonts w:ascii="Arial" w:hAnsi="Arial"/>
          <w:b/>
          <w:sz w:val="18"/>
        </w:rPr>
        <w:t>“Contract” in EU public procurement </w:t>
      </w:r>
      <w:r>
        <w:rPr>
          <w:rFonts w:ascii="Arial" w:hAnsi="Arial"/>
          <w:b/>
          <w:spacing w:val="-5"/>
          <w:sz w:val="18"/>
        </w:rPr>
        <w:t>law</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024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89" w:id="291"/>
      <w:bookmarkEnd w:id="291"/>
      <w:r>
        <w:rPr>
          <w:rFonts w:ascii="Times New Roman" w:hAnsi="Times New Roman"/>
          <w:spacing w:val="17"/>
        </w:rPr>
      </w:r>
      <w:r>
        <w:rPr/>
        <w:t>The Court of Justice has adopted an autonomous European view of “contract” for the purposes of the public procurement directives. In </w:t>
      </w:r>
      <w:r>
        <w:rPr>
          <w:rFonts w:ascii="Arial" w:hAnsi="Arial"/>
          <w:i/>
        </w:rPr>
        <w:t>Teckal Srl v Comune di Viano </w:t>
      </w:r>
      <w:r>
        <w:rPr>
          <w:color w:val="005DA1"/>
          <w:u w:val="single" w:color="005DA1"/>
          <w:vertAlign w:val="superscript"/>
        </w:rPr>
        <w:t>193</w:t>
      </w:r>
      <w:r>
        <w:rPr>
          <w:color w:val="005DA1"/>
          <w:vertAlign w:val="baseline"/>
        </w:rPr>
        <w:t> </w:t>
      </w:r>
      <w:r>
        <w:rPr>
          <w:vertAlign w:val="baseline"/>
        </w:rPr>
        <w:t>the Court recognised that the </w:t>
      </w:r>
      <w:bookmarkStart w:name="_bookmark290" w:id="292"/>
      <w:bookmarkEnd w:id="292"/>
      <w:r>
        <w:rPr>
          <w:vertAlign w:val="baseline"/>
        </w:rPr>
        <w:t>conclusion</w:t>
      </w:r>
      <w:r>
        <w:rPr>
          <w:vertAlign w:val="baseline"/>
        </w:rPr>
        <w:t> of an agreement by a public authority and a company which, although a separate entity, </w:t>
      </w:r>
      <w:r>
        <w:rPr>
          <w:vertAlign w:val="baseline"/>
        </w:rPr>
        <w:t>is in substance a department of the authority falls outside the requirements of these directives. </w:t>
      </w:r>
      <w:r>
        <w:rPr>
          <w:color w:val="005DA1"/>
          <w:u w:val="single" w:color="005DA1"/>
          <w:vertAlign w:val="superscript"/>
        </w:rPr>
        <w:t>194</w:t>
      </w:r>
      <w:r>
        <w:rPr>
          <w:color w:val="005DA1"/>
          <w:vertAlign w:val="baseline"/>
        </w:rPr>
        <w:t> </w:t>
      </w:r>
      <w:r>
        <w:rPr>
          <w:vertAlign w:val="baseline"/>
        </w:rPr>
        <w:t>According to the Court:</w:t>
      </w:r>
    </w:p>
    <w:p>
      <w:pPr>
        <w:pStyle w:val="BodyText"/>
      </w:pPr>
    </w:p>
    <w:p>
      <w:pPr>
        <w:pStyle w:val="BodyText"/>
        <w:spacing w:before="125"/>
      </w:pPr>
    </w:p>
    <w:p>
      <w:pPr>
        <w:pStyle w:val="BodyText"/>
        <w:spacing w:line="235" w:lineRule="auto"/>
        <w:ind w:left="1245" w:right="167"/>
        <w:jc w:val="both"/>
      </w:pPr>
      <w:r>
        <w:rPr/>
        <w:t>“As to whether there is a contract, the national court must determine whether there has been an agreement between two separate persons.</w:t>
      </w:r>
    </w:p>
    <w:p>
      <w:pPr>
        <w:pStyle w:val="BodyText"/>
        <w:spacing w:before="223"/>
      </w:pPr>
    </w:p>
    <w:p>
      <w:pPr>
        <w:pStyle w:val="BodyText"/>
        <w:spacing w:line="235" w:lineRule="auto"/>
        <w:ind w:left="1245" w:right="167"/>
        <w:jc w:val="both"/>
      </w:pPr>
      <w:r>
        <w:rPr/>
        <w:t>In that regard, … it is, in principle, sufficient if the contract was concluded between, </w:t>
      </w:r>
      <w:r>
        <w:rPr/>
        <w:t>on</w:t>
      </w:r>
      <w:r>
        <w:rPr>
          <w:spacing w:val="80"/>
        </w:rPr>
        <w:t> </w:t>
      </w:r>
      <w:r>
        <w:rPr/>
        <w:t>the one hand, a local authority and, on the other, a person legally distinct from that local authority. The position can be otherwise only in the case where the local authority exercises over the person concerned a control which is similar to that which it exercises </w:t>
      </w:r>
      <w:bookmarkStart w:name="_bookmark291" w:id="293"/>
      <w:bookmarkEnd w:id="293"/>
      <w:r>
        <w:rPr/>
        <w:t>over</w:t>
      </w:r>
      <w:r>
        <w:rPr/>
        <w:t> its own departments and, at the same time, that person carries out the essential part of its activities with the controlling local authority or authorities.” </w:t>
      </w:r>
      <w:r>
        <w:rPr>
          <w:color w:val="005DA1"/>
          <w:u w:val="single" w:color="005DA1"/>
          <w:vertAlign w:val="superscript"/>
        </w:rPr>
        <w:t>195</w:t>
      </w:r>
    </w:p>
    <w:p>
      <w:pPr>
        <w:pStyle w:val="BodyText"/>
        <w:spacing w:before="114"/>
      </w:pPr>
    </w:p>
    <w:p>
      <w:pPr>
        <w:pStyle w:val="BodyText"/>
        <w:spacing w:line="235" w:lineRule="auto" w:before="1"/>
        <w:ind w:left="164" w:right="167"/>
        <w:jc w:val="both"/>
      </w:pPr>
      <w:bookmarkStart w:name="_bookmark292" w:id="294"/>
      <w:bookmarkEnd w:id="294"/>
      <w:r>
        <w:rPr/>
      </w:r>
      <w:r>
        <w:rPr/>
        <w:t>As A.G. Stix-Hackl observed in the </w:t>
      </w:r>
      <w:r>
        <w:rPr>
          <w:rFonts w:ascii="Arial" w:hAnsi="Arial"/>
          <w:i/>
        </w:rPr>
        <w:t>TREA Leuna Case</w:t>
      </w:r>
      <w:r>
        <w:rPr/>
        <w:t>, “in </w:t>
      </w:r>
      <w:r>
        <w:rPr>
          <w:rFonts w:ascii="Arial" w:hAnsi="Arial"/>
          <w:i/>
        </w:rPr>
        <w:t>Teckal </w:t>
      </w:r>
      <w:r>
        <w:rPr/>
        <w:t>the court … narrowed the </w:t>
      </w:r>
      <w:r>
        <w:rPr/>
        <w:t>concept of “contract” by interpreting it teleologically”. </w:t>
      </w:r>
      <w:r>
        <w:rPr>
          <w:color w:val="005DA1"/>
          <w:u w:val="single" w:color="005DA1"/>
          <w:vertAlign w:val="superscript"/>
        </w:rPr>
        <w:t>196</w:t>
      </w:r>
      <w:r>
        <w:rPr>
          <w:color w:val="005DA1"/>
          <w:vertAlign w:val="baseline"/>
        </w:rPr>
        <w:t> </w:t>
      </w:r>
      <w:r>
        <w:rPr>
          <w:vertAlign w:val="baseline"/>
        </w:rPr>
        <w:t>Subsequent case law in the European Court (as reviewed by the Supreme Court in </w:t>
      </w:r>
      <w:r>
        <w:rPr>
          <w:rFonts w:ascii="Arial" w:hAnsi="Arial"/>
          <w:i/>
          <w:vertAlign w:val="baseline"/>
        </w:rPr>
        <w:t>Risk Management Partners Ltd v Brent LBC</w:t>
      </w:r>
      <w:r>
        <w:rPr>
          <w:vertAlign w:val="baseline"/>
        </w:rPr>
        <w:t>) makes clear that the “</w:t>
      </w:r>
      <w:r>
        <w:rPr>
          <w:rFonts w:ascii="Arial" w:hAnsi="Arial"/>
          <w:i/>
          <w:vertAlign w:val="baseline"/>
        </w:rPr>
        <w:t>Teckal </w:t>
      </w:r>
      <w:r>
        <w:rPr>
          <w:vertAlign w:val="baseline"/>
        </w:rPr>
        <w:t>exception” does not “depend on the meaning to be given to particular words or phrases in the </w:t>
      </w:r>
      <w:bookmarkStart w:name="_bookmark293" w:id="295"/>
      <w:bookmarkEnd w:id="295"/>
      <w:r>
        <w:rPr>
          <w:vertAlign w:val="baseline"/>
        </w:rPr>
        <w:t>Directive,</w:t>
      </w:r>
      <w:r>
        <w:rPr>
          <w:spacing w:val="9"/>
          <w:vertAlign w:val="baseline"/>
        </w:rPr>
        <w:t> </w:t>
      </w:r>
      <w:r>
        <w:rPr>
          <w:vertAlign w:val="baseline"/>
        </w:rPr>
        <w:t>such</w:t>
      </w:r>
      <w:r>
        <w:rPr>
          <w:spacing w:val="9"/>
          <w:vertAlign w:val="baseline"/>
        </w:rPr>
        <w:t> </w:t>
      </w:r>
      <w:r>
        <w:rPr>
          <w:vertAlign w:val="baseline"/>
        </w:rPr>
        <w:t>as</w:t>
      </w:r>
      <w:r>
        <w:rPr>
          <w:spacing w:val="9"/>
          <w:vertAlign w:val="baseline"/>
        </w:rPr>
        <w:t> </w:t>
      </w:r>
      <w:r>
        <w:rPr>
          <w:vertAlign w:val="baseline"/>
        </w:rPr>
        <w:t>those</w:t>
      </w:r>
      <w:r>
        <w:rPr>
          <w:spacing w:val="9"/>
          <w:vertAlign w:val="baseline"/>
        </w:rPr>
        <w:t> </w:t>
      </w:r>
      <w:r>
        <w:rPr>
          <w:vertAlign w:val="baseline"/>
        </w:rPr>
        <w:t>to</w:t>
      </w:r>
      <w:r>
        <w:rPr>
          <w:spacing w:val="9"/>
          <w:vertAlign w:val="baseline"/>
        </w:rPr>
        <w:t> </w:t>
      </w:r>
      <w:r>
        <w:rPr>
          <w:vertAlign w:val="baseline"/>
        </w:rPr>
        <w:t>be</w:t>
      </w:r>
      <w:r>
        <w:rPr>
          <w:spacing w:val="9"/>
          <w:vertAlign w:val="baseline"/>
        </w:rPr>
        <w:t> </w:t>
      </w:r>
      <w:r>
        <w:rPr>
          <w:vertAlign w:val="baseline"/>
        </w:rPr>
        <w:t>found</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definition</w:t>
      </w:r>
      <w:r>
        <w:rPr>
          <w:spacing w:val="9"/>
          <w:vertAlign w:val="baseline"/>
        </w:rPr>
        <w:t> </w:t>
      </w:r>
      <w:r>
        <w:rPr>
          <w:vertAlign w:val="baseline"/>
        </w:rPr>
        <w:t>of</w:t>
      </w:r>
      <w:r>
        <w:rPr>
          <w:spacing w:val="9"/>
          <w:vertAlign w:val="baseline"/>
        </w:rPr>
        <w:t> </w:t>
      </w:r>
      <w:r>
        <w:rPr>
          <w:vertAlign w:val="baseline"/>
        </w:rPr>
        <w:t>‘public</w:t>
      </w:r>
      <w:r>
        <w:rPr>
          <w:spacing w:val="9"/>
          <w:vertAlign w:val="baseline"/>
        </w:rPr>
        <w:t> </w:t>
      </w:r>
      <w:r>
        <w:rPr>
          <w:vertAlign w:val="baseline"/>
        </w:rPr>
        <w:t>contracts’</w:t>
      </w:r>
      <w:r>
        <w:rPr>
          <w:spacing w:val="9"/>
          <w:vertAlign w:val="baseline"/>
        </w:rPr>
        <w:t> </w:t>
      </w:r>
      <w:r>
        <w:rPr>
          <w:vertAlign w:val="baseline"/>
        </w:rPr>
        <w:t>”,</w:t>
      </w:r>
      <w:r>
        <w:rPr>
          <w:spacing w:val="9"/>
          <w:vertAlign w:val="baseline"/>
        </w:rPr>
        <w:t> </w:t>
      </w:r>
      <w:r>
        <w:rPr>
          <w:vertAlign w:val="baseline"/>
        </w:rPr>
        <w:t>but</w:t>
      </w:r>
      <w:r>
        <w:rPr>
          <w:spacing w:val="9"/>
          <w:vertAlign w:val="baseline"/>
        </w:rPr>
        <w:t> </w:t>
      </w:r>
      <w:r>
        <w:rPr>
          <w:vertAlign w:val="baseline"/>
        </w:rPr>
        <w:t>rather</w:t>
      </w:r>
      <w:r>
        <w:rPr>
          <w:spacing w:val="9"/>
          <w:vertAlign w:val="baseline"/>
        </w:rPr>
        <w:t> </w:t>
      </w:r>
      <w:r>
        <w:rPr>
          <w:vertAlign w:val="baseline"/>
        </w:rPr>
        <w:t>on</w:t>
      </w:r>
      <w:r>
        <w:rPr>
          <w:spacing w:val="9"/>
          <w:vertAlign w:val="baseline"/>
        </w:rPr>
        <w:t> </w:t>
      </w:r>
      <w:r>
        <w:rPr>
          <w:spacing w:val="-2"/>
          <w:vertAlign w:val="baseline"/>
        </w:rPr>
        <w:t>fundamental</w:t>
      </w:r>
    </w:p>
    <w:p>
      <w:pPr>
        <w:pStyle w:val="BodyText"/>
        <w:spacing w:before="114"/>
        <w:ind w:left="165"/>
        <w:jc w:val="both"/>
        <w:rPr>
          <w:position w:val="-2"/>
        </w:rPr>
      </w:pPr>
      <w:r>
        <w:rPr/>
        <w:t>policies pursued both by the procurement directives and by the EC Treaty itself. </w:t>
      </w:r>
      <w:r>
        <w:rPr>
          <w:color w:val="005DA1"/>
          <w:u w:val="single" w:color="005DA1"/>
          <w:vertAlign w:val="superscript"/>
        </w:rPr>
        <w:t>197</w:t>
      </w:r>
      <w:r>
        <w:rPr>
          <w:color w:val="005DA1"/>
          <w:spacing w:val="80"/>
          <w:w w:val="150"/>
          <w:vertAlign w:val="baseline"/>
        </w:rPr>
        <w:t> </w:t>
      </w:r>
      <w:r>
        <w:rPr>
          <w:color w:val="005DA1"/>
          <w:position w:val="-2"/>
          <w:vertAlign w:val="baseline"/>
        </w:rPr>
        <w:drawing>
          <wp:inline distT="0" distB="0" distL="0" distR="0">
            <wp:extent cx="107988" cy="107988"/>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8"/>
      </w:pPr>
      <w:r>
        <w:rPr/>
        <mc:AlternateContent>
          <mc:Choice Requires="wps">
            <w:drawing>
              <wp:anchor distT="0" distB="0" distL="0" distR="0" allowOverlap="1" layoutInCell="1" locked="0" behindDoc="1" simplePos="0" relativeHeight="487634944">
                <wp:simplePos x="0" y="0"/>
                <wp:positionH relativeFrom="page">
                  <wp:posOffset>914400</wp:posOffset>
                </wp:positionH>
                <wp:positionV relativeFrom="paragraph">
                  <wp:posOffset>185983</wp:posOffset>
                </wp:positionV>
                <wp:extent cx="5724525" cy="1270"/>
                <wp:effectExtent l="0" t="0" r="0" b="0"/>
                <wp:wrapTopAndBottom/>
                <wp:docPr id="189" name="Graphic 189"/>
                <wp:cNvGraphicFramePr>
                  <a:graphicFrameLocks/>
                </wp:cNvGraphicFramePr>
                <a:graphic>
                  <a:graphicData uri="http://schemas.microsoft.com/office/word/2010/wordprocessingShape">
                    <wps:wsp>
                      <wps:cNvPr id="189" name="Graphic 18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4371pt;width:450.75pt;height:.1pt;mso-position-horizontal-relative:page;mso-position-vertical-relative:paragraph;z-index:-15681536;mso-wrap-distance-left:0;mso-wrap-distance-right:0" id="docshape17"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bookmarkStart w:name="_bookmark294" w:id="296"/>
      <w:bookmarkEnd w:id="296"/>
      <w:r>
        <w:rPr/>
      </w:r>
      <w:hyperlink w:history="true" w:anchor="_bookmark230">
        <w:r>
          <w:rPr>
            <w:color w:val="005DA1"/>
            <w:spacing w:val="-4"/>
            <w:position w:val="5"/>
            <w:sz w:val="14"/>
            <w:u w:val="single" w:color="005DA1"/>
          </w:rPr>
          <w:t>126</w:t>
        </w:r>
      </w:hyperlink>
      <w:r>
        <w:rPr>
          <w:spacing w:val="-4"/>
          <w:position w:val="5"/>
          <w:sz w:val="14"/>
        </w:rPr>
        <w:t>.</w:t>
      </w:r>
      <w:r>
        <w:rPr>
          <w:position w:val="5"/>
          <w:sz w:val="14"/>
        </w:rPr>
        <w:tab/>
      </w:r>
      <w:r>
        <w:rPr>
          <w:sz w:val="20"/>
        </w:rPr>
        <w:t>This sentence was referred to with apparent approval in </w:t>
      </w:r>
      <w:r>
        <w:rPr>
          <w:rFonts w:ascii="Arial"/>
          <w:i/>
          <w:sz w:val="20"/>
        </w:rPr>
        <w:t>Engel v Joint Committee for Parking</w:t>
      </w:r>
      <w:r>
        <w:rPr>
          <w:rFonts w:ascii="Arial"/>
          <w:i/>
          <w:spacing w:val="80"/>
          <w:sz w:val="20"/>
        </w:rPr>
        <w:t> </w:t>
      </w:r>
      <w:r>
        <w:rPr>
          <w:rFonts w:ascii="Arial"/>
          <w:i/>
          <w:sz w:val="20"/>
        </w:rPr>
        <w:t>and Traffic Regulation Outside London [2013] I.C.R. 1086, [2013] I.R.L.R. 787 </w:t>
      </w:r>
      <w:r>
        <w:rPr>
          <w:sz w:val="20"/>
        </w:rPr>
        <w:t>at [6].</w:t>
      </w:r>
    </w:p>
    <w:p>
      <w:pPr>
        <w:pStyle w:val="BodyText"/>
        <w:spacing w:before="9"/>
      </w:pPr>
    </w:p>
    <w:p>
      <w:pPr>
        <w:spacing w:line="235" w:lineRule="auto" w:before="0"/>
        <w:ind w:left="705" w:right="167" w:hanging="541"/>
        <w:jc w:val="both"/>
        <w:rPr>
          <w:sz w:val="20"/>
        </w:rPr>
      </w:pPr>
      <w:bookmarkStart w:name="_bookmark295" w:id="297"/>
      <w:bookmarkEnd w:id="297"/>
      <w:r>
        <w:rPr/>
      </w:r>
      <w:hyperlink w:history="true" w:anchor="_bookmark231">
        <w:r>
          <w:rPr>
            <w:color w:val="005DA1"/>
            <w:position w:val="5"/>
            <w:sz w:val="14"/>
            <w:u w:val="single" w:color="005DA1"/>
          </w:rPr>
          <w:t>127</w:t>
        </w:r>
      </w:hyperlink>
      <w:r>
        <w:rPr>
          <w:position w:val="5"/>
          <w:sz w:val="14"/>
        </w:rPr>
        <w:t>.</w:t>
      </w:r>
      <w:r>
        <w:rPr>
          <w:spacing w:val="80"/>
          <w:w w:val="150"/>
          <w:position w:val="5"/>
          <w:sz w:val="14"/>
        </w:rPr>
        <w:t> </w:t>
      </w:r>
      <w:r>
        <w:rPr>
          <w:sz w:val="20"/>
        </w:rPr>
        <w:t>Chitty on Contracts, 26th edn (1989), Vol.I, para.1; Pollock, </w:t>
      </w:r>
      <w:r>
        <w:rPr>
          <w:rFonts w:ascii="Arial" w:hAnsi="Arial"/>
          <w:i/>
          <w:sz w:val="20"/>
        </w:rPr>
        <w:t>Principles of Contract</w:t>
      </w:r>
      <w:r>
        <w:rPr>
          <w:sz w:val="20"/>
        </w:rPr>
        <w:t>, 13th edn (1950), p.1; cf. Pollock, </w:t>
      </w:r>
      <w:r>
        <w:rPr>
          <w:rFonts w:ascii="Arial" w:hAnsi="Arial"/>
          <w:i/>
          <w:sz w:val="20"/>
        </w:rPr>
        <w:t>Principles of Contract at Law and in Equity</w:t>
      </w:r>
      <w:r>
        <w:rPr>
          <w:sz w:val="20"/>
        </w:rPr>
        <w:t>, 1st edn (1876), p.5. </w:t>
      </w:r>
      <w:r>
        <w:rPr>
          <w:sz w:val="20"/>
        </w:rPr>
        <w:t>The American Law Institute’s Restatement of Contracts, 2nd edn, para.1, adopts substantially the same definition.</w:t>
      </w:r>
    </w:p>
    <w:p>
      <w:pPr>
        <w:pStyle w:val="BodyText"/>
        <w:spacing w:before="5"/>
      </w:pPr>
    </w:p>
    <w:p>
      <w:pPr>
        <w:tabs>
          <w:tab w:pos="705" w:val="left" w:leader="none"/>
        </w:tabs>
        <w:spacing w:before="0"/>
        <w:ind w:left="165" w:right="0" w:firstLine="0"/>
        <w:jc w:val="left"/>
        <w:rPr>
          <w:sz w:val="20"/>
        </w:rPr>
      </w:pPr>
      <w:bookmarkStart w:name="_bookmark296" w:id="298"/>
      <w:bookmarkEnd w:id="298"/>
      <w:r>
        <w:rPr/>
      </w:r>
      <w:hyperlink w:history="true" w:anchor="_bookmark231">
        <w:r>
          <w:rPr>
            <w:color w:val="005DA1"/>
            <w:spacing w:val="-4"/>
            <w:position w:val="5"/>
            <w:sz w:val="14"/>
            <w:u w:val="single" w:color="005DA1"/>
          </w:rPr>
          <w:t>128</w:t>
        </w:r>
      </w:hyperlink>
      <w:r>
        <w:rPr>
          <w:spacing w:val="-4"/>
          <w:position w:val="5"/>
          <w:sz w:val="14"/>
        </w:rPr>
        <w:t>.</w:t>
      </w:r>
      <w:r>
        <w:rPr>
          <w:position w:val="5"/>
          <w:sz w:val="14"/>
        </w:rPr>
        <w:tab/>
      </w:r>
      <w:r>
        <w:rPr>
          <w:sz w:val="20"/>
        </w:rPr>
        <w:t>Chitty, </w:t>
      </w:r>
      <w:r>
        <w:rPr>
          <w:rFonts w:ascii="Arial" w:hAnsi="Arial"/>
          <w:i/>
          <w:sz w:val="20"/>
        </w:rPr>
        <w:t>A Practical Treatise on the Law of Contracts</w:t>
      </w:r>
      <w:r>
        <w:rPr>
          <w:rFonts w:ascii="Arial" w:hAnsi="Arial"/>
          <w:i/>
          <w:spacing w:val="-1"/>
          <w:sz w:val="20"/>
        </w:rPr>
        <w:t> </w:t>
      </w:r>
      <w:r>
        <w:rPr>
          <w:sz w:val="20"/>
        </w:rPr>
        <w:t>(1834), </w:t>
      </w:r>
      <w:r>
        <w:rPr>
          <w:spacing w:val="-2"/>
          <w:sz w:val="20"/>
        </w:rPr>
        <w:t>pp.1–2.</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6256">
            <wp:simplePos x="0" y="0"/>
            <wp:positionH relativeFrom="page">
              <wp:posOffset>1257846</wp:posOffset>
            </wp:positionH>
            <wp:positionV relativeFrom="paragraph">
              <wp:posOffset>160784</wp:posOffset>
            </wp:positionV>
            <wp:extent cx="107988" cy="107988"/>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97" w:id="299"/>
      <w:bookmarkEnd w:id="299"/>
      <w:r>
        <w:rPr/>
      </w:r>
      <w:hyperlink w:history="true" w:anchor="_bookmark232">
        <w:r>
          <w:rPr>
            <w:color w:val="005DA1"/>
            <w:spacing w:val="-4"/>
            <w:sz w:val="14"/>
            <w:u w:val="single" w:color="005DA1"/>
          </w:rPr>
          <w:t>129</w:t>
        </w:r>
      </w:hyperlink>
      <w:r>
        <w:rPr>
          <w:spacing w:val="-4"/>
          <w:sz w:val="14"/>
        </w:rPr>
        <w:t>.</w:t>
      </w:r>
    </w:p>
    <w:p>
      <w:pPr>
        <w:spacing w:line="235" w:lineRule="auto" w:before="213"/>
        <w:ind w:left="165" w:right="0" w:firstLine="170"/>
        <w:jc w:val="left"/>
        <w:rPr>
          <w:sz w:val="20"/>
        </w:rPr>
      </w:pPr>
      <w:r>
        <w:rPr/>
        <w:br w:type="column"/>
      </w:r>
      <w:r>
        <w:rPr>
          <w:sz w:val="20"/>
        </w:rPr>
        <w:t>Peel,</w:t>
      </w:r>
      <w:r>
        <w:rPr>
          <w:spacing w:val="80"/>
          <w:sz w:val="20"/>
        </w:rPr>
        <w:t> </w:t>
      </w:r>
      <w:r>
        <w:rPr>
          <w:rFonts w:ascii="Arial" w:hAnsi="Arial"/>
          <w:i/>
          <w:sz w:val="20"/>
        </w:rPr>
        <w:t>Treitel</w:t>
      </w:r>
      <w:r>
        <w:rPr>
          <w:rFonts w:ascii="Arial" w:hAnsi="Arial"/>
          <w:i/>
          <w:spacing w:val="80"/>
          <w:sz w:val="20"/>
        </w:rPr>
        <w:t> </w:t>
      </w:r>
      <w:r>
        <w:rPr>
          <w:rFonts w:ascii="Arial" w:hAnsi="Arial"/>
          <w:i/>
          <w:sz w:val="20"/>
        </w:rPr>
        <w:t>on</w:t>
      </w:r>
      <w:r>
        <w:rPr>
          <w:rFonts w:ascii="Arial" w:hAnsi="Arial"/>
          <w:i/>
          <w:spacing w:val="80"/>
          <w:sz w:val="20"/>
        </w:rPr>
        <w:t> </w:t>
      </w:r>
      <w:r>
        <w:rPr>
          <w:rFonts w:ascii="Arial" w:hAnsi="Arial"/>
          <w:i/>
          <w:sz w:val="20"/>
        </w:rPr>
        <w:t>The</w:t>
      </w:r>
      <w:r>
        <w:rPr>
          <w:rFonts w:ascii="Arial" w:hAnsi="Arial"/>
          <w:i/>
          <w:spacing w:val="80"/>
          <w:sz w:val="20"/>
        </w:rPr>
        <w:t> </w:t>
      </w:r>
      <w:r>
        <w:rPr>
          <w:rFonts w:ascii="Arial" w:hAnsi="Arial"/>
          <w:i/>
          <w:sz w:val="20"/>
        </w:rPr>
        <w:t>Law</w:t>
      </w:r>
      <w:r>
        <w:rPr>
          <w:rFonts w:ascii="Arial" w:hAnsi="Arial"/>
          <w:i/>
          <w:spacing w:val="80"/>
          <w:sz w:val="20"/>
        </w:rPr>
        <w:t> </w:t>
      </w:r>
      <w:r>
        <w:rPr>
          <w:rFonts w:ascii="Arial" w:hAnsi="Arial"/>
          <w:i/>
          <w:sz w:val="20"/>
        </w:rPr>
        <w:t>of</w:t>
      </w:r>
      <w:r>
        <w:rPr>
          <w:rFonts w:ascii="Arial" w:hAnsi="Arial"/>
          <w:i/>
          <w:spacing w:val="80"/>
          <w:sz w:val="20"/>
        </w:rPr>
        <w:t> </w:t>
      </w:r>
      <w:r>
        <w:rPr>
          <w:rFonts w:ascii="Arial" w:hAnsi="Arial"/>
          <w:i/>
          <w:sz w:val="20"/>
        </w:rPr>
        <w:t>Contract</w:t>
      </w:r>
      <w:r>
        <w:rPr>
          <w:rFonts w:ascii="Arial" w:hAnsi="Arial"/>
          <w:i/>
          <w:spacing w:val="80"/>
          <w:sz w:val="20"/>
        </w:rPr>
        <w:t> </w:t>
      </w:r>
      <w:r>
        <w:rPr>
          <w:sz w:val="20"/>
        </w:rPr>
        <w:t>14th</w:t>
      </w:r>
      <w:r>
        <w:rPr>
          <w:spacing w:val="80"/>
          <w:sz w:val="20"/>
        </w:rPr>
        <w:t> </w:t>
      </w:r>
      <w:r>
        <w:rPr>
          <w:sz w:val="20"/>
        </w:rPr>
        <w:t>edn</w:t>
      </w:r>
      <w:r>
        <w:rPr>
          <w:spacing w:val="80"/>
          <w:sz w:val="20"/>
        </w:rPr>
        <w:t> </w:t>
      </w:r>
      <w:r>
        <w:rPr>
          <w:sz w:val="20"/>
        </w:rPr>
        <w:t>(2015),</w:t>
      </w:r>
      <w:r>
        <w:rPr>
          <w:spacing w:val="80"/>
          <w:sz w:val="20"/>
        </w:rPr>
        <w:t> </w:t>
      </w:r>
      <w:r>
        <w:rPr>
          <w:sz w:val="20"/>
        </w:rPr>
        <w:t>para.1–001.</w:t>
      </w:r>
      <w:r>
        <w:rPr>
          <w:spacing w:val="80"/>
          <w:sz w:val="20"/>
        </w:rPr>
        <w:t> </w:t>
      </w:r>
      <w:r>
        <w:rPr>
          <w:sz w:val="20"/>
        </w:rPr>
        <w:t>cf.</w:t>
      </w:r>
      <w:r>
        <w:rPr>
          <w:spacing w:val="80"/>
          <w:sz w:val="20"/>
        </w:rPr>
        <w:t> </w:t>
      </w:r>
      <w:r>
        <w:rPr>
          <w:sz w:val="20"/>
        </w:rPr>
        <w:t>Burrows,</w:t>
      </w:r>
      <w:r>
        <w:rPr>
          <w:spacing w:val="80"/>
          <w:sz w:val="20"/>
        </w:rPr>
        <w:t> </w:t>
      </w:r>
      <w:r>
        <w:rPr>
          <w:rFonts w:ascii="Arial" w:hAnsi="Arial"/>
          <w:i/>
          <w:sz w:val="20"/>
        </w:rPr>
        <w:t>A Restatement</w:t>
      </w:r>
      <w:r>
        <w:rPr>
          <w:rFonts w:ascii="Arial" w:hAnsi="Arial"/>
          <w:i/>
          <w:spacing w:val="45"/>
          <w:sz w:val="20"/>
        </w:rPr>
        <w:t> </w:t>
      </w:r>
      <w:r>
        <w:rPr>
          <w:rFonts w:ascii="Arial" w:hAnsi="Arial"/>
          <w:i/>
          <w:sz w:val="20"/>
        </w:rPr>
        <w:t>of</w:t>
      </w:r>
      <w:r>
        <w:rPr>
          <w:rFonts w:ascii="Arial" w:hAnsi="Arial"/>
          <w:i/>
          <w:spacing w:val="45"/>
          <w:sz w:val="20"/>
        </w:rPr>
        <w:t> </w:t>
      </w:r>
      <w:r>
        <w:rPr>
          <w:rFonts w:ascii="Arial" w:hAnsi="Arial"/>
          <w:i/>
          <w:sz w:val="20"/>
        </w:rPr>
        <w:t>the</w:t>
      </w:r>
      <w:r>
        <w:rPr>
          <w:rFonts w:ascii="Arial" w:hAnsi="Arial"/>
          <w:i/>
          <w:spacing w:val="45"/>
          <w:sz w:val="20"/>
        </w:rPr>
        <w:t> </w:t>
      </w:r>
      <w:r>
        <w:rPr>
          <w:rFonts w:ascii="Arial" w:hAnsi="Arial"/>
          <w:i/>
          <w:sz w:val="20"/>
        </w:rPr>
        <w:t>English</w:t>
      </w:r>
      <w:r>
        <w:rPr>
          <w:rFonts w:ascii="Arial" w:hAnsi="Arial"/>
          <w:i/>
          <w:spacing w:val="45"/>
          <w:sz w:val="20"/>
        </w:rPr>
        <w:t> </w:t>
      </w:r>
      <w:r>
        <w:rPr>
          <w:rFonts w:ascii="Arial" w:hAnsi="Arial"/>
          <w:i/>
          <w:sz w:val="20"/>
        </w:rPr>
        <w:t>Law</w:t>
      </w:r>
      <w:r>
        <w:rPr>
          <w:rFonts w:ascii="Arial" w:hAnsi="Arial"/>
          <w:i/>
          <w:spacing w:val="45"/>
          <w:sz w:val="20"/>
        </w:rPr>
        <w:t> </w:t>
      </w:r>
      <w:r>
        <w:rPr>
          <w:rFonts w:ascii="Arial" w:hAnsi="Arial"/>
          <w:i/>
          <w:sz w:val="20"/>
        </w:rPr>
        <w:t>of</w:t>
      </w:r>
      <w:r>
        <w:rPr>
          <w:rFonts w:ascii="Arial" w:hAnsi="Arial"/>
          <w:i/>
          <w:spacing w:val="45"/>
          <w:sz w:val="20"/>
        </w:rPr>
        <w:t> </w:t>
      </w:r>
      <w:r>
        <w:rPr>
          <w:rFonts w:ascii="Arial" w:hAnsi="Arial"/>
          <w:i/>
          <w:sz w:val="20"/>
        </w:rPr>
        <w:t>Contract</w:t>
      </w:r>
      <w:r>
        <w:rPr>
          <w:rFonts w:ascii="Arial" w:hAnsi="Arial"/>
          <w:i/>
          <w:spacing w:val="44"/>
          <w:sz w:val="20"/>
        </w:rPr>
        <w:t> </w:t>
      </w:r>
      <w:r>
        <w:rPr>
          <w:sz w:val="20"/>
        </w:rPr>
        <w:t>(2016),</w:t>
      </w:r>
      <w:r>
        <w:rPr>
          <w:spacing w:val="45"/>
          <w:sz w:val="20"/>
        </w:rPr>
        <w:t> </w:t>
      </w:r>
      <w:r>
        <w:rPr>
          <w:sz w:val="20"/>
        </w:rPr>
        <w:t>para.2</w:t>
      </w:r>
      <w:r>
        <w:rPr>
          <w:spacing w:val="45"/>
          <w:sz w:val="20"/>
        </w:rPr>
        <w:t> </w:t>
      </w:r>
      <w:r>
        <w:rPr>
          <w:sz w:val="20"/>
        </w:rPr>
        <w:t>which</w:t>
      </w:r>
      <w:r>
        <w:rPr>
          <w:spacing w:val="45"/>
          <w:sz w:val="20"/>
        </w:rPr>
        <w:t> </w:t>
      </w:r>
      <w:r>
        <w:rPr>
          <w:sz w:val="20"/>
        </w:rPr>
        <w:t>defines</w:t>
      </w:r>
      <w:r>
        <w:rPr>
          <w:spacing w:val="45"/>
          <w:sz w:val="20"/>
        </w:rPr>
        <w:t> </w:t>
      </w:r>
      <w:r>
        <w:rPr>
          <w:sz w:val="20"/>
        </w:rPr>
        <w:t>“contract”</w:t>
      </w:r>
      <w:r>
        <w:rPr>
          <w:spacing w:val="45"/>
          <w:sz w:val="20"/>
        </w:rPr>
        <w:t> </w:t>
      </w:r>
      <w:r>
        <w:rPr>
          <w:sz w:val="20"/>
        </w:rPr>
        <w:t>as</w:t>
      </w:r>
      <w:r>
        <w:rPr>
          <w:spacing w:val="45"/>
          <w:sz w:val="20"/>
        </w:rPr>
        <w:t> </w:t>
      </w:r>
      <w:r>
        <w:rPr>
          <w:spacing w:val="-5"/>
          <w:sz w:val="20"/>
        </w:rPr>
        <w:t>an</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line="235" w:lineRule="auto" w:before="110"/>
        <w:ind w:left="705" w:right="167"/>
        <w:jc w:val="both"/>
      </w:pPr>
      <w:r>
        <w:rPr/>
        <w:t>agreement that is legally binding because it is supported by consideration or made by </w:t>
      </w:r>
      <w:r>
        <w:rPr/>
        <w:t>deed, certain and complete, made with the intention to create legal relations, and complies with any formal requirement needed for the agreement to be legally binding; and see the commentary at </w:t>
      </w:r>
      <w:r>
        <w:rPr>
          <w:spacing w:val="-2"/>
        </w:rPr>
        <w:t>pp.44–55.</w:t>
      </w:r>
    </w:p>
    <w:p>
      <w:pPr>
        <w:pStyle w:val="BodyText"/>
        <w:spacing w:before="9"/>
      </w:pPr>
    </w:p>
    <w:p>
      <w:pPr>
        <w:spacing w:line="235" w:lineRule="auto" w:before="0"/>
        <w:ind w:left="705" w:right="168" w:hanging="541"/>
        <w:jc w:val="both"/>
        <w:rPr>
          <w:sz w:val="20"/>
        </w:rPr>
      </w:pPr>
      <w:bookmarkStart w:name="_bookmark298" w:id="300"/>
      <w:bookmarkEnd w:id="300"/>
      <w:r>
        <w:rPr/>
      </w:r>
      <w:hyperlink w:history="true" w:anchor="_bookmark233">
        <w:r>
          <w:rPr>
            <w:color w:val="005DA1"/>
            <w:position w:val="5"/>
            <w:sz w:val="14"/>
            <w:u w:val="single" w:color="005DA1"/>
          </w:rPr>
          <w:t>130</w:t>
        </w:r>
      </w:hyperlink>
      <w:r>
        <w:rPr>
          <w:position w:val="5"/>
          <w:sz w:val="14"/>
        </w:rPr>
        <w:t>.</w:t>
      </w:r>
      <w:r>
        <w:rPr>
          <w:spacing w:val="80"/>
          <w:w w:val="150"/>
          <w:position w:val="5"/>
          <w:sz w:val="14"/>
        </w:rPr>
        <w:t> </w:t>
      </w:r>
      <w:r>
        <w:rPr>
          <w:sz w:val="20"/>
        </w:rPr>
        <w:t>Pothier, </w:t>
      </w:r>
      <w:r>
        <w:rPr>
          <w:rFonts w:ascii="Arial" w:hAnsi="Arial"/>
          <w:i/>
          <w:sz w:val="20"/>
        </w:rPr>
        <w:t>Treatise on Obligations </w:t>
      </w:r>
      <w:r>
        <w:rPr>
          <w:sz w:val="20"/>
        </w:rPr>
        <w:t>(trans. Evans, 1806) and see Simpson (1975) 91 L.Q.R. </w:t>
      </w:r>
      <w:r>
        <w:rPr>
          <w:sz w:val="20"/>
        </w:rPr>
        <w:t>247, 257–262; Atiyah, </w:t>
      </w:r>
      <w:r>
        <w:rPr>
          <w:rFonts w:ascii="Arial" w:hAnsi="Arial"/>
          <w:i/>
          <w:sz w:val="20"/>
        </w:rPr>
        <w:t>The Rise and Fall of Freedom of Contract </w:t>
      </w:r>
      <w:r>
        <w:rPr>
          <w:sz w:val="20"/>
        </w:rPr>
        <w:t>(1979), p.399; Gordley, </w:t>
      </w:r>
      <w:r>
        <w:rPr>
          <w:rFonts w:ascii="Arial" w:hAnsi="Arial"/>
          <w:i/>
          <w:sz w:val="20"/>
        </w:rPr>
        <w:t>The Philosophical Origins of Modern Contract Doctrine </w:t>
      </w:r>
      <w:r>
        <w:rPr>
          <w:sz w:val="20"/>
        </w:rPr>
        <w:t>(1991), Ch.6.</w:t>
      </w:r>
    </w:p>
    <w:p>
      <w:pPr>
        <w:pStyle w:val="BodyText"/>
        <w:spacing w:before="5"/>
      </w:pPr>
    </w:p>
    <w:p>
      <w:pPr>
        <w:tabs>
          <w:tab w:pos="705" w:val="left" w:leader="none"/>
        </w:tabs>
        <w:spacing w:before="0"/>
        <w:ind w:left="165" w:right="0" w:firstLine="0"/>
        <w:jc w:val="left"/>
        <w:rPr>
          <w:sz w:val="20"/>
        </w:rPr>
      </w:pPr>
      <w:bookmarkStart w:name="_bookmark299" w:id="301"/>
      <w:bookmarkEnd w:id="301"/>
      <w:r>
        <w:rPr/>
      </w:r>
      <w:hyperlink w:history="true" w:anchor="_bookmark234">
        <w:r>
          <w:rPr>
            <w:color w:val="005DA1"/>
            <w:spacing w:val="-4"/>
            <w:position w:val="5"/>
            <w:sz w:val="14"/>
            <w:u w:val="single" w:color="005DA1"/>
          </w:rPr>
          <w:t>131</w:t>
        </w:r>
      </w:hyperlink>
      <w:r>
        <w:rPr>
          <w:spacing w:val="-4"/>
          <w:position w:val="5"/>
          <w:sz w:val="14"/>
        </w:rPr>
        <w:t>.</w:t>
      </w:r>
      <w:r>
        <w:rPr>
          <w:position w:val="5"/>
          <w:sz w:val="14"/>
        </w:rPr>
        <w:tab/>
      </w:r>
      <w:r>
        <w:rPr>
          <w:sz w:val="20"/>
        </w:rPr>
        <w:t>cf.</w:t>
      </w:r>
      <w:r>
        <w:rPr>
          <w:spacing w:val="-1"/>
          <w:sz w:val="20"/>
        </w:rPr>
        <w:t> </w:t>
      </w:r>
      <w:r>
        <w:rPr>
          <w:sz w:val="20"/>
        </w:rPr>
        <w:t>Nicholas,</w:t>
      </w:r>
      <w:r>
        <w:rPr>
          <w:spacing w:val="-1"/>
          <w:sz w:val="20"/>
        </w:rPr>
        <w:t> </w:t>
      </w:r>
      <w:r>
        <w:rPr>
          <w:rFonts w:ascii="Arial"/>
          <w:i/>
          <w:sz w:val="20"/>
        </w:rPr>
        <w:t>The French Law of Contract</w:t>
      </w:r>
      <w:r>
        <w:rPr>
          <w:sz w:val="20"/>
        </w:rPr>
        <w:t>, 2nd edn (1992), </w:t>
      </w:r>
      <w:r>
        <w:rPr>
          <w:spacing w:val="-2"/>
          <w:sz w:val="20"/>
        </w:rPr>
        <w:t>p.144.</w:t>
      </w:r>
    </w:p>
    <w:p>
      <w:pPr>
        <w:pStyle w:val="BodyText"/>
        <w:spacing w:before="8"/>
      </w:pPr>
    </w:p>
    <w:p>
      <w:pPr>
        <w:pStyle w:val="BodyText"/>
        <w:spacing w:line="235" w:lineRule="auto" w:before="1"/>
        <w:ind w:left="705" w:right="167" w:hanging="541"/>
        <w:jc w:val="both"/>
      </w:pPr>
      <w:bookmarkStart w:name="_bookmark300" w:id="302"/>
      <w:bookmarkEnd w:id="302"/>
      <w:r>
        <w:rPr/>
      </w:r>
      <w:hyperlink w:history="true" w:anchor="_bookmark235">
        <w:r>
          <w:rPr>
            <w:color w:val="005DA1"/>
            <w:position w:val="5"/>
            <w:sz w:val="14"/>
            <w:u w:val="single" w:color="005DA1"/>
          </w:rPr>
          <w:t>132</w:t>
        </w:r>
      </w:hyperlink>
      <w:r>
        <w:rPr>
          <w:position w:val="5"/>
          <w:sz w:val="14"/>
        </w:rPr>
        <w:t>.</w:t>
      </w:r>
      <w:r>
        <w:rPr>
          <w:spacing w:val="80"/>
          <w:position w:val="5"/>
          <w:sz w:val="14"/>
        </w:rPr>
        <w:t>  </w:t>
      </w:r>
      <w:r>
        <w:rPr/>
        <w:t>According to the Restatement of Contracts at para.3, a bargain is an agreement, whereby two</w:t>
      </w:r>
      <w:r>
        <w:rPr>
          <w:spacing w:val="40"/>
        </w:rPr>
        <w:t> </w:t>
      </w:r>
      <w:r>
        <w:rPr/>
        <w:t>or more persons exchange promises, or exchange a promise for a performance. However, </w:t>
      </w:r>
      <w:r>
        <w:rPr/>
        <w:t>the word “bargain” is seldom used in any technical sense in the law of contract: Atiyah, </w:t>
      </w:r>
      <w:r>
        <w:rPr>
          <w:rFonts w:ascii="Arial" w:hAnsi="Arial"/>
          <w:i/>
        </w:rPr>
        <w:t>Essays on Contract </w:t>
      </w:r>
      <w:r>
        <w:rPr/>
        <w:t>(1986), Essay 8, p.207; and see Eisenberg (1982) 95 H.L.R. 741. It is sometimes said that the requirement of consideration means that contracts are </w:t>
      </w:r>
      <w:r>
        <w:rPr>
          <w:rFonts w:ascii="Arial" w:hAnsi="Arial"/>
          <w:i/>
        </w:rPr>
        <w:t>exchanges</w:t>
      </w:r>
      <w:r>
        <w:rPr/>
        <w:t>. This suggests some element of reciprocity between the parties to the contract and while this is often the case, a promise</w:t>
      </w:r>
      <w:r>
        <w:rPr>
          <w:spacing w:val="39"/>
        </w:rPr>
        <w:t> </w:t>
      </w:r>
      <w:r>
        <w:rPr/>
        <w:t>by</w:t>
      </w:r>
      <w:r>
        <w:rPr>
          <w:spacing w:val="39"/>
        </w:rPr>
        <w:t> </w:t>
      </w:r>
      <w:r>
        <w:rPr/>
        <w:t>A</w:t>
      </w:r>
      <w:r>
        <w:rPr>
          <w:spacing w:val="39"/>
        </w:rPr>
        <w:t> </w:t>
      </w:r>
      <w:r>
        <w:rPr/>
        <w:t>to</w:t>
      </w:r>
      <w:r>
        <w:rPr>
          <w:spacing w:val="39"/>
        </w:rPr>
        <w:t> </w:t>
      </w:r>
      <w:r>
        <w:rPr/>
        <w:t>do</w:t>
      </w:r>
      <w:r>
        <w:rPr>
          <w:spacing w:val="39"/>
        </w:rPr>
        <w:t> </w:t>
      </w:r>
      <w:r>
        <w:rPr/>
        <w:t>work</w:t>
      </w:r>
      <w:r>
        <w:rPr>
          <w:spacing w:val="39"/>
        </w:rPr>
        <w:t> </w:t>
      </w:r>
      <w:r>
        <w:rPr/>
        <w:t>for</w:t>
      </w:r>
      <w:r>
        <w:rPr>
          <w:spacing w:val="39"/>
        </w:rPr>
        <w:t> </w:t>
      </w:r>
      <w:r>
        <w:rPr/>
        <w:t>B</w:t>
      </w:r>
      <w:r>
        <w:rPr>
          <w:spacing w:val="39"/>
        </w:rPr>
        <w:t> </w:t>
      </w:r>
      <w:r>
        <w:rPr/>
        <w:t>can</w:t>
      </w:r>
      <w:r>
        <w:rPr>
          <w:spacing w:val="39"/>
        </w:rPr>
        <w:t> </w:t>
      </w:r>
      <w:r>
        <w:rPr/>
        <w:t>support</w:t>
      </w:r>
      <w:r>
        <w:rPr>
          <w:spacing w:val="39"/>
        </w:rPr>
        <w:t> </w:t>
      </w:r>
      <w:r>
        <w:rPr/>
        <w:t>a</w:t>
      </w:r>
      <w:r>
        <w:rPr>
          <w:spacing w:val="39"/>
        </w:rPr>
        <w:t> </w:t>
      </w:r>
      <w:r>
        <w:rPr/>
        <w:t>promise</w:t>
      </w:r>
      <w:r>
        <w:rPr>
          <w:spacing w:val="39"/>
        </w:rPr>
        <w:t> </w:t>
      </w:r>
      <w:r>
        <w:rPr/>
        <w:t>by</w:t>
      </w:r>
      <w:r>
        <w:rPr>
          <w:spacing w:val="39"/>
        </w:rPr>
        <w:t> </w:t>
      </w:r>
      <w:r>
        <w:rPr/>
        <w:t>C</w:t>
      </w:r>
      <w:r>
        <w:rPr>
          <w:spacing w:val="39"/>
        </w:rPr>
        <w:t> </w:t>
      </w:r>
      <w:r>
        <w:rPr/>
        <w:t>of</w:t>
      </w:r>
      <w:r>
        <w:rPr>
          <w:spacing w:val="39"/>
        </w:rPr>
        <w:t> </w:t>
      </w:r>
      <w:r>
        <w:rPr/>
        <w:t>payment</w:t>
      </w:r>
      <w:r>
        <w:rPr>
          <w:spacing w:val="39"/>
        </w:rPr>
        <w:t> </w:t>
      </w:r>
      <w:r>
        <w:rPr/>
        <w:t>for</w:t>
      </w:r>
      <w:r>
        <w:rPr>
          <w:spacing w:val="39"/>
        </w:rPr>
        <w:t> </w:t>
      </w:r>
      <w:r>
        <w:rPr/>
        <w:t>it:</w:t>
      </w:r>
      <w:r>
        <w:rPr>
          <w:spacing w:val="39"/>
        </w:rPr>
        <w:t> </w:t>
      </w:r>
      <w:r>
        <w:rPr/>
        <w:t>see</w:t>
      </w:r>
      <w:r>
        <w:rPr>
          <w:spacing w:val="39"/>
        </w:rPr>
        <w:t> </w:t>
      </w:r>
      <w:r>
        <w:rPr/>
        <w:t>below, para.4-005. According to Gordley above, n.97 at pp.137–139, the systematisation of the doctrine of consideration took place at the same time as the acceptance of civilian theories of contract and was intended to act as a control device on the ambit of contract.</w:t>
      </w:r>
    </w:p>
    <w:p>
      <w:pPr>
        <w:pStyle w:val="BodyText"/>
        <w:spacing w:before="2"/>
      </w:pPr>
    </w:p>
    <w:p>
      <w:pPr>
        <w:pStyle w:val="BodyText"/>
        <w:tabs>
          <w:tab w:pos="705" w:val="left" w:leader="none"/>
        </w:tabs>
        <w:ind w:left="165"/>
      </w:pPr>
      <w:bookmarkStart w:name="_bookmark301" w:id="303"/>
      <w:bookmarkEnd w:id="303"/>
      <w:r>
        <w:rPr/>
      </w:r>
      <w:hyperlink w:history="true" w:anchor="_bookmark236">
        <w:r>
          <w:rPr>
            <w:color w:val="005DA1"/>
            <w:spacing w:val="-4"/>
            <w:position w:val="5"/>
            <w:sz w:val="14"/>
            <w:u w:val="single" w:color="005DA1"/>
          </w:rPr>
          <w:t>133</w:t>
        </w:r>
      </w:hyperlink>
      <w:r>
        <w:rPr>
          <w:spacing w:val="-4"/>
          <w:position w:val="5"/>
          <w:sz w:val="14"/>
        </w:rPr>
        <w:t>.</w:t>
      </w:r>
      <w:r>
        <w:rPr>
          <w:position w:val="5"/>
          <w:sz w:val="14"/>
        </w:rPr>
        <w:tab/>
      </w:r>
      <w:r>
        <w:rPr/>
        <w:t>See</w:t>
      </w:r>
      <w:r>
        <w:rPr>
          <w:spacing w:val="-2"/>
        </w:rPr>
        <w:t> </w:t>
      </w:r>
      <w:r>
        <w:rPr/>
        <w:t>below, para.4-</w:t>
      </w:r>
      <w:r>
        <w:rPr>
          <w:spacing w:val="-4"/>
        </w:rPr>
        <w:t>001.</w:t>
      </w:r>
    </w:p>
    <w:p>
      <w:pPr>
        <w:pStyle w:val="BodyText"/>
        <w:spacing w:before="9"/>
      </w:pPr>
    </w:p>
    <w:p>
      <w:pPr>
        <w:tabs>
          <w:tab w:pos="705" w:val="left" w:leader="none"/>
        </w:tabs>
        <w:spacing w:line="235" w:lineRule="auto" w:before="0"/>
        <w:ind w:left="705" w:right="168" w:hanging="541"/>
        <w:jc w:val="left"/>
        <w:rPr>
          <w:sz w:val="20"/>
        </w:rPr>
      </w:pPr>
      <w:bookmarkStart w:name="_bookmark302" w:id="304"/>
      <w:bookmarkEnd w:id="304"/>
      <w:r>
        <w:rPr/>
      </w:r>
      <w:hyperlink w:history="true" w:anchor="_bookmark237">
        <w:r>
          <w:rPr>
            <w:color w:val="005DA1"/>
            <w:spacing w:val="-4"/>
            <w:position w:val="5"/>
            <w:sz w:val="14"/>
            <w:u w:val="single" w:color="005DA1"/>
          </w:rPr>
          <w:t>134</w:t>
        </w:r>
      </w:hyperlink>
      <w:r>
        <w:rPr>
          <w:spacing w:val="-4"/>
          <w:position w:val="5"/>
          <w:sz w:val="14"/>
        </w:rPr>
        <w:t>.</w:t>
      </w:r>
      <w:r>
        <w:rPr>
          <w:position w:val="5"/>
          <w:sz w:val="14"/>
        </w:rPr>
        <w:tab/>
      </w:r>
      <w:r>
        <w:rPr>
          <w:sz w:val="20"/>
        </w:rPr>
        <w:t>Goodhart,</w:t>
      </w:r>
      <w:r>
        <w:rPr>
          <w:spacing w:val="22"/>
          <w:sz w:val="20"/>
        </w:rPr>
        <w:t> </w:t>
      </w:r>
      <w:r>
        <w:rPr>
          <w:rFonts w:ascii="Arial"/>
          <w:i/>
          <w:sz w:val="20"/>
        </w:rPr>
        <w:t>English</w:t>
      </w:r>
      <w:r>
        <w:rPr>
          <w:rFonts w:ascii="Arial"/>
          <w:i/>
          <w:spacing w:val="22"/>
          <w:sz w:val="20"/>
        </w:rPr>
        <w:t> </w:t>
      </w:r>
      <w:r>
        <w:rPr>
          <w:rFonts w:ascii="Arial"/>
          <w:i/>
          <w:sz w:val="20"/>
        </w:rPr>
        <w:t>Law</w:t>
      </w:r>
      <w:r>
        <w:rPr>
          <w:rFonts w:ascii="Arial"/>
          <w:i/>
          <w:spacing w:val="22"/>
          <w:sz w:val="20"/>
        </w:rPr>
        <w:t> </w:t>
      </w:r>
      <w:r>
        <w:rPr>
          <w:rFonts w:ascii="Arial"/>
          <w:i/>
          <w:sz w:val="20"/>
        </w:rPr>
        <w:t>and</w:t>
      </w:r>
      <w:r>
        <w:rPr>
          <w:rFonts w:ascii="Arial"/>
          <w:i/>
          <w:spacing w:val="22"/>
          <w:sz w:val="20"/>
        </w:rPr>
        <w:t> </w:t>
      </w:r>
      <w:r>
        <w:rPr>
          <w:rFonts w:ascii="Arial"/>
          <w:i/>
          <w:sz w:val="20"/>
        </w:rPr>
        <w:t>the</w:t>
      </w:r>
      <w:r>
        <w:rPr>
          <w:rFonts w:ascii="Arial"/>
          <w:i/>
          <w:spacing w:val="22"/>
          <w:sz w:val="20"/>
        </w:rPr>
        <w:t> </w:t>
      </w:r>
      <w:r>
        <w:rPr>
          <w:rFonts w:ascii="Arial"/>
          <w:i/>
          <w:sz w:val="20"/>
        </w:rPr>
        <w:t>Moral</w:t>
      </w:r>
      <w:r>
        <w:rPr>
          <w:rFonts w:ascii="Arial"/>
          <w:i/>
          <w:spacing w:val="22"/>
          <w:sz w:val="20"/>
        </w:rPr>
        <w:t> </w:t>
      </w:r>
      <w:r>
        <w:rPr>
          <w:rFonts w:ascii="Arial"/>
          <w:i/>
          <w:sz w:val="20"/>
        </w:rPr>
        <w:t>Law</w:t>
      </w:r>
      <w:r>
        <w:rPr>
          <w:rFonts w:ascii="Arial"/>
          <w:i/>
          <w:spacing w:val="21"/>
          <w:sz w:val="20"/>
        </w:rPr>
        <w:t> </w:t>
      </w:r>
      <w:r>
        <w:rPr>
          <w:sz w:val="20"/>
        </w:rPr>
        <w:t>(1953),</w:t>
      </w:r>
      <w:r>
        <w:rPr>
          <w:spacing w:val="22"/>
          <w:sz w:val="20"/>
        </w:rPr>
        <w:t> </w:t>
      </w:r>
      <w:r>
        <w:rPr>
          <w:sz w:val="20"/>
        </w:rPr>
        <w:t>p.101;</w:t>
      </w:r>
      <w:r>
        <w:rPr>
          <w:spacing w:val="22"/>
          <w:sz w:val="20"/>
        </w:rPr>
        <w:t> </w:t>
      </w:r>
      <w:r>
        <w:rPr>
          <w:sz w:val="20"/>
        </w:rPr>
        <w:t>Fried,</w:t>
      </w:r>
      <w:r>
        <w:rPr>
          <w:spacing w:val="21"/>
          <w:sz w:val="20"/>
        </w:rPr>
        <w:t> </w:t>
      </w:r>
      <w:r>
        <w:rPr>
          <w:rFonts w:ascii="Arial"/>
          <w:i/>
          <w:sz w:val="20"/>
        </w:rPr>
        <w:t>Contract</w:t>
      </w:r>
      <w:r>
        <w:rPr>
          <w:rFonts w:ascii="Arial"/>
          <w:i/>
          <w:spacing w:val="22"/>
          <w:sz w:val="20"/>
        </w:rPr>
        <w:t> </w:t>
      </w:r>
      <w:r>
        <w:rPr>
          <w:rFonts w:ascii="Arial"/>
          <w:i/>
          <w:sz w:val="20"/>
        </w:rPr>
        <w:t>as</w:t>
      </w:r>
      <w:r>
        <w:rPr>
          <w:rFonts w:ascii="Arial"/>
          <w:i/>
          <w:spacing w:val="22"/>
          <w:sz w:val="20"/>
        </w:rPr>
        <w:t> </w:t>
      </w:r>
      <w:r>
        <w:rPr>
          <w:rFonts w:ascii="Arial"/>
          <w:i/>
          <w:sz w:val="20"/>
        </w:rPr>
        <w:t>Promise</w:t>
      </w:r>
      <w:r>
        <w:rPr>
          <w:rFonts w:ascii="Arial"/>
          <w:i/>
          <w:spacing w:val="21"/>
          <w:sz w:val="20"/>
        </w:rPr>
        <w:t> </w:t>
      </w:r>
      <w:r>
        <w:rPr>
          <w:sz w:val="20"/>
        </w:rPr>
        <w:t>(1983); Harris</w:t>
      </w:r>
      <w:r>
        <w:rPr>
          <w:spacing w:val="34"/>
          <w:sz w:val="20"/>
        </w:rPr>
        <w:t> </w:t>
      </w:r>
      <w:r>
        <w:rPr>
          <w:sz w:val="20"/>
        </w:rPr>
        <w:t>(1983)</w:t>
      </w:r>
      <w:r>
        <w:rPr>
          <w:spacing w:val="34"/>
          <w:sz w:val="20"/>
        </w:rPr>
        <w:t> </w:t>
      </w:r>
      <w:r>
        <w:rPr>
          <w:sz w:val="20"/>
        </w:rPr>
        <w:t>3</w:t>
      </w:r>
      <w:r>
        <w:rPr>
          <w:spacing w:val="34"/>
          <w:sz w:val="20"/>
        </w:rPr>
        <w:t> </w:t>
      </w:r>
      <w:r>
        <w:rPr>
          <w:sz w:val="20"/>
        </w:rPr>
        <w:t>Int.</w:t>
      </w:r>
      <w:r>
        <w:rPr>
          <w:spacing w:val="34"/>
          <w:sz w:val="20"/>
        </w:rPr>
        <w:t> </w:t>
      </w:r>
      <w:r>
        <w:rPr>
          <w:sz w:val="20"/>
        </w:rPr>
        <w:t>Rev.</w:t>
      </w:r>
      <w:r>
        <w:rPr>
          <w:spacing w:val="34"/>
          <w:sz w:val="20"/>
        </w:rPr>
        <w:t> </w:t>
      </w:r>
      <w:r>
        <w:rPr>
          <w:sz w:val="20"/>
        </w:rPr>
        <w:t>Law</w:t>
      </w:r>
      <w:r>
        <w:rPr>
          <w:spacing w:val="34"/>
          <w:sz w:val="20"/>
        </w:rPr>
        <w:t> </w:t>
      </w:r>
      <w:r>
        <w:rPr>
          <w:sz w:val="20"/>
        </w:rPr>
        <w:t>&amp;</w:t>
      </w:r>
      <w:r>
        <w:rPr>
          <w:spacing w:val="34"/>
          <w:sz w:val="20"/>
        </w:rPr>
        <w:t> </w:t>
      </w:r>
      <w:r>
        <w:rPr>
          <w:sz w:val="20"/>
        </w:rPr>
        <w:t>Econ.</w:t>
      </w:r>
      <w:r>
        <w:rPr>
          <w:spacing w:val="34"/>
          <w:sz w:val="20"/>
        </w:rPr>
        <w:t> </w:t>
      </w:r>
      <w:r>
        <w:rPr>
          <w:sz w:val="20"/>
        </w:rPr>
        <w:t>69;</w:t>
      </w:r>
      <w:r>
        <w:rPr>
          <w:spacing w:val="34"/>
          <w:sz w:val="20"/>
        </w:rPr>
        <w:t> </w:t>
      </w:r>
      <w:r>
        <w:rPr>
          <w:sz w:val="20"/>
        </w:rPr>
        <w:t>Burrows</w:t>
      </w:r>
      <w:r>
        <w:rPr>
          <w:spacing w:val="34"/>
          <w:sz w:val="20"/>
        </w:rPr>
        <w:t> </w:t>
      </w:r>
      <w:r>
        <w:rPr>
          <w:sz w:val="20"/>
        </w:rPr>
        <w:t>(1985)</w:t>
      </w:r>
      <w:r>
        <w:rPr>
          <w:spacing w:val="34"/>
          <w:sz w:val="20"/>
        </w:rPr>
        <w:t> </w:t>
      </w:r>
      <w:r>
        <w:rPr>
          <w:sz w:val="20"/>
        </w:rPr>
        <w:t>C.L.P.</w:t>
      </w:r>
      <w:r>
        <w:rPr>
          <w:spacing w:val="34"/>
          <w:sz w:val="20"/>
        </w:rPr>
        <w:t> </w:t>
      </w:r>
      <w:r>
        <w:rPr>
          <w:sz w:val="20"/>
        </w:rPr>
        <w:t>141.</w:t>
      </w:r>
      <w:r>
        <w:rPr>
          <w:spacing w:val="34"/>
          <w:sz w:val="20"/>
        </w:rPr>
        <w:t> </w:t>
      </w:r>
      <w:r>
        <w:rPr>
          <w:sz w:val="20"/>
        </w:rPr>
        <w:t>cf.</w:t>
      </w:r>
      <w:r>
        <w:rPr>
          <w:spacing w:val="34"/>
          <w:sz w:val="20"/>
        </w:rPr>
        <w:t> </w:t>
      </w:r>
      <w:r>
        <w:rPr>
          <w:sz w:val="20"/>
        </w:rPr>
        <w:t>Atiyah</w:t>
      </w:r>
      <w:r>
        <w:rPr>
          <w:spacing w:val="34"/>
          <w:sz w:val="20"/>
        </w:rPr>
        <w:t> </w:t>
      </w:r>
      <w:r>
        <w:rPr>
          <w:sz w:val="20"/>
        </w:rPr>
        <w:t>(1978)</w:t>
      </w:r>
      <w:r>
        <w:rPr>
          <w:spacing w:val="34"/>
          <w:sz w:val="20"/>
        </w:rPr>
        <w:t> </w:t>
      </w:r>
      <w:r>
        <w:rPr>
          <w:spacing w:val="-5"/>
          <w:sz w:val="20"/>
        </w:rPr>
        <w:t>94</w:t>
      </w:r>
    </w:p>
    <w:p>
      <w:pPr>
        <w:spacing w:line="235" w:lineRule="auto" w:before="0"/>
        <w:ind w:left="705" w:right="0" w:firstLine="0"/>
        <w:jc w:val="left"/>
        <w:rPr>
          <w:sz w:val="20"/>
        </w:rPr>
      </w:pPr>
      <w:r>
        <w:rPr>
          <w:sz w:val="20"/>
        </w:rPr>
        <w:t>L.Q.R.</w:t>
      </w:r>
      <w:r>
        <w:rPr>
          <w:spacing w:val="25"/>
          <w:sz w:val="20"/>
        </w:rPr>
        <w:t> </w:t>
      </w:r>
      <w:r>
        <w:rPr>
          <w:sz w:val="20"/>
        </w:rPr>
        <w:t>193;</w:t>
      </w:r>
      <w:r>
        <w:rPr>
          <w:spacing w:val="25"/>
          <w:sz w:val="20"/>
        </w:rPr>
        <w:t> </w:t>
      </w:r>
      <w:r>
        <w:rPr>
          <w:sz w:val="20"/>
        </w:rPr>
        <w:t>Promises,</w:t>
      </w:r>
      <w:r>
        <w:rPr>
          <w:spacing w:val="25"/>
          <w:sz w:val="20"/>
        </w:rPr>
        <w:t> </w:t>
      </w:r>
      <w:r>
        <w:rPr>
          <w:sz w:val="20"/>
        </w:rPr>
        <w:t>Morals</w:t>
      </w:r>
      <w:r>
        <w:rPr>
          <w:spacing w:val="25"/>
          <w:sz w:val="20"/>
        </w:rPr>
        <w:t> </w:t>
      </w:r>
      <w:r>
        <w:rPr>
          <w:sz w:val="20"/>
        </w:rPr>
        <w:t>and</w:t>
      </w:r>
      <w:r>
        <w:rPr>
          <w:spacing w:val="25"/>
          <w:sz w:val="20"/>
        </w:rPr>
        <w:t> </w:t>
      </w:r>
      <w:r>
        <w:rPr>
          <w:sz w:val="20"/>
        </w:rPr>
        <w:t>Law</w:t>
      </w:r>
      <w:r>
        <w:rPr>
          <w:spacing w:val="25"/>
          <w:sz w:val="20"/>
        </w:rPr>
        <w:t> </w:t>
      </w:r>
      <w:r>
        <w:rPr>
          <w:sz w:val="20"/>
        </w:rPr>
        <w:t>(1981);</w:t>
      </w:r>
      <w:r>
        <w:rPr>
          <w:spacing w:val="25"/>
          <w:sz w:val="20"/>
        </w:rPr>
        <w:t> </w:t>
      </w:r>
      <w:r>
        <w:rPr>
          <w:sz w:val="20"/>
        </w:rPr>
        <w:t>Essays</w:t>
      </w:r>
      <w:r>
        <w:rPr>
          <w:spacing w:val="25"/>
          <w:sz w:val="20"/>
        </w:rPr>
        <w:t> </w:t>
      </w:r>
      <w:r>
        <w:rPr>
          <w:sz w:val="20"/>
        </w:rPr>
        <w:t>on</w:t>
      </w:r>
      <w:r>
        <w:rPr>
          <w:spacing w:val="25"/>
          <w:sz w:val="20"/>
        </w:rPr>
        <w:t> </w:t>
      </w:r>
      <w:r>
        <w:rPr>
          <w:sz w:val="20"/>
        </w:rPr>
        <w:t>Contract</w:t>
      </w:r>
      <w:r>
        <w:rPr>
          <w:spacing w:val="25"/>
          <w:sz w:val="20"/>
        </w:rPr>
        <w:t> </w:t>
      </w:r>
      <w:r>
        <w:rPr>
          <w:sz w:val="20"/>
        </w:rPr>
        <w:t>(1986),</w:t>
      </w:r>
      <w:r>
        <w:rPr>
          <w:spacing w:val="25"/>
          <w:sz w:val="20"/>
        </w:rPr>
        <w:t> </w:t>
      </w:r>
      <w:r>
        <w:rPr>
          <w:sz w:val="20"/>
        </w:rPr>
        <w:t>Essays</w:t>
      </w:r>
      <w:r>
        <w:rPr>
          <w:spacing w:val="25"/>
          <w:sz w:val="20"/>
        </w:rPr>
        <w:t> </w:t>
      </w:r>
      <w:r>
        <w:rPr>
          <w:sz w:val="20"/>
        </w:rPr>
        <w:t>2</w:t>
      </w:r>
      <w:r>
        <w:rPr>
          <w:spacing w:val="25"/>
          <w:sz w:val="20"/>
        </w:rPr>
        <w:t> </w:t>
      </w:r>
      <w:r>
        <w:rPr>
          <w:sz w:val="20"/>
        </w:rPr>
        <w:t>and</w:t>
      </w:r>
      <w:r>
        <w:rPr>
          <w:spacing w:val="25"/>
          <w:sz w:val="20"/>
        </w:rPr>
        <w:t> </w:t>
      </w:r>
      <w:r>
        <w:rPr>
          <w:sz w:val="20"/>
        </w:rPr>
        <w:t>6; Raz, </w:t>
      </w:r>
      <w:r>
        <w:rPr>
          <w:rFonts w:ascii="Arial" w:hAnsi="Arial"/>
          <w:i/>
          <w:sz w:val="20"/>
        </w:rPr>
        <w:t>Law, Morality and Society </w:t>
      </w:r>
      <w:r>
        <w:rPr>
          <w:sz w:val="20"/>
        </w:rPr>
        <w:t>(1977), Ch.12; Smith, </w:t>
      </w:r>
      <w:r>
        <w:rPr>
          <w:rFonts w:ascii="Arial" w:hAnsi="Arial"/>
          <w:i/>
          <w:sz w:val="20"/>
        </w:rPr>
        <w:t>Contract Theory </w:t>
      </w:r>
      <w:r>
        <w:rPr>
          <w:sz w:val="20"/>
        </w:rPr>
        <w:t>(2004), Chs 2–4.</w:t>
      </w:r>
    </w:p>
    <w:p>
      <w:pPr>
        <w:pStyle w:val="BodyText"/>
        <w:spacing w:before="4"/>
      </w:pPr>
    </w:p>
    <w:p>
      <w:pPr>
        <w:tabs>
          <w:tab w:pos="705" w:val="left" w:leader="none"/>
        </w:tabs>
        <w:spacing w:before="1"/>
        <w:ind w:left="165" w:right="0" w:firstLine="0"/>
        <w:jc w:val="left"/>
        <w:rPr>
          <w:sz w:val="20"/>
        </w:rPr>
      </w:pPr>
      <w:bookmarkStart w:name="_bookmark303" w:id="305"/>
      <w:bookmarkEnd w:id="305"/>
      <w:r>
        <w:rPr/>
      </w:r>
      <w:hyperlink w:history="true" w:anchor="_bookmark238">
        <w:r>
          <w:rPr>
            <w:color w:val="005DA1"/>
            <w:spacing w:val="-4"/>
            <w:position w:val="5"/>
            <w:sz w:val="14"/>
            <w:u w:val="single" w:color="005DA1"/>
          </w:rPr>
          <w:t>135</w:t>
        </w:r>
      </w:hyperlink>
      <w:r>
        <w:rPr>
          <w:spacing w:val="-4"/>
          <w:position w:val="5"/>
          <w:sz w:val="14"/>
        </w:rPr>
        <w:t>.</w:t>
      </w:r>
      <w:r>
        <w:rPr>
          <w:position w:val="5"/>
          <w:sz w:val="14"/>
        </w:rPr>
        <w:tab/>
      </w:r>
      <w:r>
        <w:rPr>
          <w:sz w:val="20"/>
        </w:rPr>
        <w:t>See below, </w:t>
      </w:r>
      <w:r>
        <w:rPr>
          <w:spacing w:val="-2"/>
          <w:sz w:val="20"/>
        </w:rPr>
        <w:t>Ch.2.</w:t>
      </w:r>
    </w:p>
    <w:p>
      <w:pPr>
        <w:pStyle w:val="BodyText"/>
        <w:spacing w:before="8"/>
      </w:pPr>
    </w:p>
    <w:p>
      <w:pPr>
        <w:pStyle w:val="BodyText"/>
        <w:tabs>
          <w:tab w:pos="705" w:val="left" w:leader="none"/>
        </w:tabs>
        <w:spacing w:line="235" w:lineRule="auto"/>
        <w:ind w:left="705" w:right="168" w:hanging="541"/>
      </w:pPr>
      <w:bookmarkStart w:name="_bookmark304" w:id="306"/>
      <w:bookmarkEnd w:id="306"/>
      <w:r>
        <w:rPr/>
      </w:r>
      <w:hyperlink w:history="true" w:anchor="_bookmark239">
        <w:r>
          <w:rPr>
            <w:color w:val="005DA1"/>
            <w:spacing w:val="-4"/>
            <w:position w:val="5"/>
            <w:sz w:val="14"/>
            <w:u w:val="single" w:color="005DA1"/>
          </w:rPr>
          <w:t>136</w:t>
        </w:r>
      </w:hyperlink>
      <w:r>
        <w:rPr>
          <w:spacing w:val="-4"/>
          <w:position w:val="5"/>
          <w:sz w:val="14"/>
        </w:rPr>
        <w:t>.</w:t>
      </w:r>
      <w:r>
        <w:rPr>
          <w:position w:val="5"/>
          <w:sz w:val="14"/>
        </w:rPr>
        <w:tab/>
      </w:r>
      <w:r>
        <w:rPr/>
        <w:t>And</w:t>
      </w:r>
      <w:r>
        <w:rPr>
          <w:spacing w:val="21"/>
        </w:rPr>
        <w:t> </w:t>
      </w:r>
      <w:r>
        <w:rPr/>
        <w:t>see</w:t>
      </w:r>
      <w:r>
        <w:rPr>
          <w:spacing w:val="21"/>
        </w:rPr>
        <w:t> </w:t>
      </w:r>
      <w:r>
        <w:rPr/>
        <w:t>The</w:t>
      </w:r>
      <w:r>
        <w:rPr>
          <w:spacing w:val="21"/>
        </w:rPr>
        <w:t> </w:t>
      </w:r>
      <w:r>
        <w:rPr/>
        <w:t>Law</w:t>
      </w:r>
      <w:r>
        <w:rPr>
          <w:spacing w:val="21"/>
        </w:rPr>
        <w:t> </w:t>
      </w:r>
      <w:r>
        <w:rPr/>
        <w:t>Commission,</w:t>
      </w:r>
      <w:r>
        <w:rPr>
          <w:spacing w:val="21"/>
        </w:rPr>
        <w:t> </w:t>
      </w:r>
      <w:r>
        <w:rPr/>
        <w:t>Privity</w:t>
      </w:r>
      <w:r>
        <w:rPr>
          <w:spacing w:val="21"/>
        </w:rPr>
        <w:t> </w:t>
      </w:r>
      <w:r>
        <w:rPr/>
        <w:t>of</w:t>
      </w:r>
      <w:r>
        <w:rPr>
          <w:spacing w:val="21"/>
        </w:rPr>
        <w:t> </w:t>
      </w:r>
      <w:r>
        <w:rPr/>
        <w:t>Contract:</w:t>
      </w:r>
      <w:r>
        <w:rPr>
          <w:spacing w:val="21"/>
        </w:rPr>
        <w:t> </w:t>
      </w:r>
      <w:r>
        <w:rPr/>
        <w:t>Contracts</w:t>
      </w:r>
      <w:r>
        <w:rPr>
          <w:spacing w:val="21"/>
        </w:rPr>
        <w:t> </w:t>
      </w:r>
      <w:r>
        <w:rPr/>
        <w:t>for</w:t>
      </w:r>
      <w:r>
        <w:rPr>
          <w:spacing w:val="21"/>
        </w:rPr>
        <w:t> </w:t>
      </w:r>
      <w:r>
        <w:rPr/>
        <w:t>the</w:t>
      </w:r>
      <w:r>
        <w:rPr>
          <w:spacing w:val="21"/>
        </w:rPr>
        <w:t> </w:t>
      </w:r>
      <w:r>
        <w:rPr/>
        <w:t>Benefit</w:t>
      </w:r>
      <w:r>
        <w:rPr>
          <w:spacing w:val="21"/>
        </w:rPr>
        <w:t> </w:t>
      </w:r>
      <w:r>
        <w:rPr/>
        <w:t>of</w:t>
      </w:r>
      <w:r>
        <w:rPr>
          <w:spacing w:val="21"/>
        </w:rPr>
        <w:t> </w:t>
      </w:r>
      <w:r>
        <w:rPr/>
        <w:t>Third</w:t>
      </w:r>
      <w:r>
        <w:rPr>
          <w:spacing w:val="21"/>
        </w:rPr>
        <w:t> </w:t>
      </w:r>
      <w:r>
        <w:rPr/>
        <w:t>Parties, Law Com. No.242 (1996), para.6.8 and below, Ch.18.</w:t>
      </w:r>
    </w:p>
    <w:p>
      <w:pPr>
        <w:pStyle w:val="BodyText"/>
        <w:spacing w:before="10"/>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6768">
            <wp:simplePos x="0" y="0"/>
            <wp:positionH relativeFrom="page">
              <wp:posOffset>1257846</wp:posOffset>
            </wp:positionH>
            <wp:positionV relativeFrom="paragraph">
              <wp:posOffset>160159</wp:posOffset>
            </wp:positionV>
            <wp:extent cx="107988" cy="107988"/>
            <wp:effectExtent l="0" t="0" r="0" b="0"/>
            <wp:wrapNone/>
            <wp:docPr id="191" name="Image 191"/>
            <wp:cNvGraphicFramePr>
              <a:graphicFrameLocks/>
            </wp:cNvGraphicFramePr>
            <a:graphic>
              <a:graphicData uri="http://schemas.openxmlformats.org/drawingml/2006/picture">
                <pic:pic>
                  <pic:nvPicPr>
                    <pic:cNvPr id="191" name="Image 19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5" w:id="307"/>
      <w:bookmarkEnd w:id="307"/>
      <w:r>
        <w:rPr/>
      </w:r>
      <w:hyperlink w:history="true" w:anchor="_bookmark240">
        <w:r>
          <w:rPr>
            <w:color w:val="005DA1"/>
            <w:spacing w:val="-4"/>
            <w:sz w:val="14"/>
            <w:u w:val="single" w:color="005DA1"/>
          </w:rPr>
          <w:t>137</w:t>
        </w:r>
      </w:hyperlink>
      <w:r>
        <w:rPr>
          <w:spacing w:val="-4"/>
          <w:sz w:val="14"/>
        </w:rPr>
        <w:t>.</w:t>
      </w:r>
    </w:p>
    <w:p>
      <w:pPr>
        <w:spacing w:line="235" w:lineRule="auto" w:before="212"/>
        <w:ind w:left="165" w:right="167" w:firstLine="170"/>
        <w:jc w:val="both"/>
        <w:rPr>
          <w:sz w:val="20"/>
        </w:rPr>
      </w:pPr>
      <w:r>
        <w:rPr/>
        <w:br w:type="column"/>
      </w:r>
      <w:r>
        <w:rPr>
          <w:rFonts w:ascii="Arial"/>
          <w:i/>
          <w:sz w:val="20"/>
        </w:rPr>
        <w:t>Williams v Roffey Bros Nicholls (Contractors) Ltd [1991] 1 Q.B. 1 </w:t>
      </w:r>
      <w:r>
        <w:rPr>
          <w:sz w:val="20"/>
        </w:rPr>
        <w:t>and see below, para.4-</w:t>
      </w:r>
      <w:r>
        <w:rPr>
          <w:sz w:val="20"/>
        </w:rPr>
        <w:t>069. See also </w:t>
      </w:r>
      <w:r>
        <w:rPr>
          <w:rFonts w:ascii="Arial"/>
          <w:i/>
          <w:sz w:val="20"/>
        </w:rPr>
        <w:t>MWB Business Exchange Centres Ltd v Rock Advertising Ltd [2016] EWCA Civ 553, [2017] Q.B. 604 </w:t>
      </w:r>
      <w:r>
        <w:rPr>
          <w:sz w:val="20"/>
        </w:rPr>
        <w:t>(appeal to SC pending) on which see below, para.4-119A.</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306" w:id="308"/>
      <w:bookmarkEnd w:id="308"/>
      <w:r>
        <w:rPr/>
      </w:r>
      <w:hyperlink w:history="true" w:anchor="_bookmark241">
        <w:r>
          <w:rPr>
            <w:color w:val="005DA1"/>
            <w:spacing w:val="-4"/>
            <w:position w:val="5"/>
            <w:sz w:val="14"/>
            <w:u w:val="single" w:color="005DA1"/>
          </w:rPr>
          <w:t>138</w:t>
        </w:r>
      </w:hyperlink>
      <w:r>
        <w:rPr>
          <w:spacing w:val="-4"/>
          <w:position w:val="5"/>
          <w:sz w:val="14"/>
        </w:rPr>
        <w:t>.</w:t>
      </w:r>
      <w:r>
        <w:rPr>
          <w:position w:val="5"/>
          <w:sz w:val="14"/>
        </w:rPr>
        <w:tab/>
      </w:r>
      <w:r>
        <w:rPr>
          <w:sz w:val="20"/>
        </w:rPr>
        <w:t>cf.</w:t>
      </w:r>
      <w:r>
        <w:rPr>
          <w:spacing w:val="-1"/>
          <w:sz w:val="20"/>
        </w:rPr>
        <w:t> </w:t>
      </w:r>
      <w:r>
        <w:rPr>
          <w:sz w:val="20"/>
        </w:rPr>
        <w:t>Atiyah, </w:t>
      </w:r>
      <w:r>
        <w:rPr>
          <w:rFonts w:ascii="Arial" w:hAnsi="Arial"/>
          <w:i/>
          <w:sz w:val="20"/>
        </w:rPr>
        <w:t>An Introduction to the Law of Contract</w:t>
      </w:r>
      <w:r>
        <w:rPr>
          <w:sz w:val="20"/>
        </w:rPr>
        <w:t>, 5th edn (1995), </w:t>
      </w:r>
      <w:r>
        <w:rPr>
          <w:spacing w:val="-2"/>
          <w:sz w:val="20"/>
        </w:rPr>
        <w:t>pp.38–39.</w:t>
      </w:r>
    </w:p>
    <w:p>
      <w:pPr>
        <w:pStyle w:val="BodyText"/>
        <w:spacing w:before="8"/>
      </w:pPr>
    </w:p>
    <w:p>
      <w:pPr>
        <w:pStyle w:val="BodyText"/>
        <w:spacing w:line="235" w:lineRule="auto" w:before="1"/>
        <w:ind w:left="705" w:right="167" w:hanging="541"/>
        <w:jc w:val="both"/>
      </w:pPr>
      <w:bookmarkStart w:name="_bookmark307" w:id="309"/>
      <w:bookmarkEnd w:id="309"/>
      <w:r>
        <w:rPr/>
      </w:r>
      <w:hyperlink w:history="true" w:anchor="_bookmark242">
        <w:r>
          <w:rPr>
            <w:color w:val="005DA1"/>
            <w:position w:val="5"/>
            <w:sz w:val="14"/>
            <w:u w:val="single" w:color="005DA1"/>
          </w:rPr>
          <w:t>139</w:t>
        </w:r>
      </w:hyperlink>
      <w:r>
        <w:rPr>
          <w:position w:val="5"/>
          <w:sz w:val="14"/>
        </w:rPr>
        <w:t>.</w:t>
      </w:r>
      <w:r>
        <w:rPr>
          <w:spacing w:val="80"/>
          <w:position w:val="5"/>
          <w:sz w:val="14"/>
        </w:rPr>
        <w:t>  </w:t>
      </w:r>
      <w:r>
        <w:rPr/>
        <w:t>See below, paras 24-035—24-048. This is not to say that the availability of this remedy cannot be expressed in terms of independent or dependent promises, but the term “promise” here is used synonymously with that of obligation and can apply to obligations imposed on a </w:t>
      </w:r>
      <w:r>
        <w:rPr/>
        <w:t>contractor by law, which are not a matter of “promise” at all. Thus, a buyer of goods can terminate the contract, and thereby extinguish his own obligation to pay the price, for breach of the term that they</w:t>
      </w:r>
      <w:r>
        <w:rPr>
          <w:spacing w:val="-2"/>
        </w:rPr>
        <w:t> </w:t>
      </w:r>
      <w:r>
        <w:rPr/>
        <w:t>are</w:t>
      </w:r>
      <w:r>
        <w:rPr>
          <w:spacing w:val="-2"/>
        </w:rPr>
        <w:t> </w:t>
      </w:r>
      <w:r>
        <w:rPr/>
        <w:t>of</w:t>
      </w:r>
      <w:r>
        <w:rPr>
          <w:spacing w:val="-2"/>
        </w:rPr>
        <w:t> </w:t>
      </w:r>
      <w:r>
        <w:rPr/>
        <w:t>satisfactory</w:t>
      </w:r>
      <w:r>
        <w:rPr>
          <w:spacing w:val="-2"/>
        </w:rPr>
        <w:t> </w:t>
      </w:r>
      <w:r>
        <w:rPr/>
        <w:t>quality,</w:t>
      </w:r>
      <w:r>
        <w:rPr>
          <w:spacing w:val="-2"/>
        </w:rPr>
        <w:t> </w:t>
      </w:r>
      <w:r>
        <w:rPr/>
        <w:t>a</w:t>
      </w:r>
      <w:r>
        <w:rPr>
          <w:spacing w:val="-2"/>
        </w:rPr>
        <w:t> </w:t>
      </w:r>
      <w:r>
        <w:rPr/>
        <w:t>term</w:t>
      </w:r>
      <w:r>
        <w:rPr>
          <w:spacing w:val="-2"/>
        </w:rPr>
        <w:t> </w:t>
      </w:r>
      <w:r>
        <w:rPr/>
        <w:t>imposed</w:t>
      </w:r>
      <w:r>
        <w:rPr>
          <w:spacing w:val="-2"/>
        </w:rPr>
        <w:t> </w:t>
      </w:r>
      <w:r>
        <w:rPr/>
        <w:t>by</w:t>
      </w:r>
      <w:r>
        <w:rPr>
          <w:spacing w:val="-2"/>
        </w:rPr>
        <w:t> </w:t>
      </w:r>
      <w:r>
        <w:rPr/>
        <w:t>s.14</w:t>
      </w:r>
      <w:r>
        <w:rPr>
          <w:spacing w:val="-2"/>
        </w:rPr>
        <w:t> </w:t>
      </w:r>
      <w:r>
        <w:rPr/>
        <w:t>of</w:t>
      </w:r>
      <w:r>
        <w:rPr>
          <w:spacing w:val="-2"/>
        </w:rPr>
        <w:t> </w:t>
      </w:r>
      <w:r>
        <w:rPr/>
        <w:t>the</w:t>
      </w:r>
      <w:r>
        <w:rPr>
          <w:spacing w:val="-2"/>
        </w:rPr>
        <w:t> </w:t>
      </w:r>
      <w:r>
        <w:rPr/>
        <w:t>Sale</w:t>
      </w:r>
      <w:r>
        <w:rPr>
          <w:spacing w:val="-2"/>
        </w:rPr>
        <w:t> </w:t>
      </w:r>
      <w:r>
        <w:rPr/>
        <w:t>of</w:t>
      </w:r>
      <w:r>
        <w:rPr>
          <w:spacing w:val="-2"/>
        </w:rPr>
        <w:t> </w:t>
      </w:r>
      <w:r>
        <w:rPr/>
        <w:t>Goods</w:t>
      </w:r>
      <w:r>
        <w:rPr>
          <w:spacing w:val="-2"/>
        </w:rPr>
        <w:t> </w:t>
      </w:r>
      <w:r>
        <w:rPr/>
        <w:t>Act</w:t>
      </w:r>
      <w:r>
        <w:rPr>
          <w:spacing w:val="-2"/>
        </w:rPr>
        <w:t> </w:t>
      </w:r>
      <w:r>
        <w:rPr/>
        <w:t>1979</w:t>
      </w:r>
      <w:r>
        <w:rPr>
          <w:spacing w:val="-2"/>
        </w:rPr>
        <w:t> </w:t>
      </w:r>
      <w:r>
        <w:rPr/>
        <w:t>on</w:t>
      </w:r>
      <w:r>
        <w:rPr>
          <w:spacing w:val="-2"/>
        </w:rPr>
        <w:t> </w:t>
      </w:r>
      <w:r>
        <w:rPr/>
        <w:t>sellers selling goods in the course of business, and see Vol.II, paras 44-066 and 44-093.</w:t>
      </w:r>
    </w:p>
    <w:p>
      <w:pPr>
        <w:pStyle w:val="BodyText"/>
        <w:spacing w:before="3"/>
      </w:pPr>
    </w:p>
    <w:p>
      <w:pPr>
        <w:pStyle w:val="BodyText"/>
        <w:tabs>
          <w:tab w:pos="705" w:val="left" w:leader="none"/>
        </w:tabs>
        <w:ind w:left="165"/>
      </w:pPr>
      <w:bookmarkStart w:name="_bookmark308" w:id="310"/>
      <w:bookmarkEnd w:id="310"/>
      <w:r>
        <w:rPr/>
      </w:r>
      <w:hyperlink w:history="true" w:anchor="_bookmark243">
        <w:r>
          <w:rPr>
            <w:color w:val="005DA1"/>
            <w:spacing w:val="-4"/>
            <w:position w:val="5"/>
            <w:sz w:val="14"/>
            <w:u w:val="single" w:color="005DA1"/>
          </w:rPr>
          <w:t>140</w:t>
        </w:r>
      </w:hyperlink>
      <w:r>
        <w:rPr>
          <w:spacing w:val="-4"/>
          <w:position w:val="5"/>
          <w:sz w:val="14"/>
        </w:rPr>
        <w:t>.</w:t>
      </w:r>
      <w:r>
        <w:rPr>
          <w:position w:val="5"/>
          <w:sz w:val="14"/>
        </w:rPr>
        <w:tab/>
      </w:r>
      <w:r>
        <w:rPr/>
        <w:t>See</w:t>
      </w:r>
      <w:r>
        <w:rPr>
          <w:spacing w:val="-2"/>
        </w:rPr>
        <w:t> </w:t>
      </w:r>
      <w:r>
        <w:rPr/>
        <w:t>below, para.1-</w:t>
      </w:r>
      <w:r>
        <w:rPr>
          <w:spacing w:val="-4"/>
        </w:rPr>
        <w:t>107.</w:t>
      </w:r>
    </w:p>
    <w:p>
      <w:pPr>
        <w:pStyle w:val="BodyText"/>
        <w:spacing w:before="9"/>
      </w:pPr>
    </w:p>
    <w:p>
      <w:pPr>
        <w:pStyle w:val="BodyText"/>
        <w:spacing w:line="235" w:lineRule="auto"/>
        <w:ind w:left="705" w:right="167" w:hanging="541"/>
        <w:jc w:val="both"/>
      </w:pPr>
      <w:bookmarkStart w:name="_bookmark309" w:id="311"/>
      <w:bookmarkEnd w:id="311"/>
      <w:r>
        <w:rPr/>
      </w:r>
      <w:hyperlink w:history="true" w:anchor="_bookmark244">
        <w:r>
          <w:rPr>
            <w:color w:val="005DA1"/>
            <w:position w:val="5"/>
            <w:sz w:val="14"/>
            <w:u w:val="single" w:color="005DA1"/>
          </w:rPr>
          <w:t>141</w:t>
        </w:r>
      </w:hyperlink>
      <w:r>
        <w:rPr>
          <w:position w:val="5"/>
          <w:sz w:val="14"/>
        </w:rPr>
        <w:t>.</w:t>
      </w:r>
      <w:r>
        <w:rPr>
          <w:spacing w:val="80"/>
          <w:position w:val="5"/>
          <w:sz w:val="14"/>
        </w:rPr>
        <w:t>  </w:t>
      </w:r>
      <w:r>
        <w:rPr/>
        <w:t>There</w:t>
      </w:r>
      <w:r>
        <w:rPr>
          <w:spacing w:val="-1"/>
        </w:rPr>
        <w:t> </w:t>
      </w:r>
      <w:r>
        <w:rPr/>
        <w:t>is</w:t>
      </w:r>
      <w:r>
        <w:rPr>
          <w:spacing w:val="-1"/>
        </w:rPr>
        <w:t> </w:t>
      </w:r>
      <w:r>
        <w:rPr/>
        <w:t>some</w:t>
      </w:r>
      <w:r>
        <w:rPr>
          <w:spacing w:val="-1"/>
        </w:rPr>
        <w:t> </w:t>
      </w:r>
      <w:r>
        <w:rPr/>
        <w:t>doubt</w:t>
      </w:r>
      <w:r>
        <w:rPr>
          <w:spacing w:val="-1"/>
        </w:rPr>
        <w:t> </w:t>
      </w:r>
      <w:r>
        <w:rPr/>
        <w:t>as</w:t>
      </w:r>
      <w:r>
        <w:rPr>
          <w:spacing w:val="-1"/>
        </w:rPr>
        <w:t> </w:t>
      </w:r>
      <w:r>
        <w:rPr/>
        <w:t>to</w:t>
      </w:r>
      <w:r>
        <w:rPr>
          <w:spacing w:val="-1"/>
        </w:rPr>
        <w:t> </w:t>
      </w:r>
      <w:r>
        <w:rPr/>
        <w:t>whether</w:t>
      </w:r>
      <w:r>
        <w:rPr>
          <w:spacing w:val="-1"/>
        </w:rPr>
        <w:t> </w:t>
      </w:r>
      <w:r>
        <w:rPr/>
        <w:t>an</w:t>
      </w:r>
      <w:r>
        <w:rPr>
          <w:spacing w:val="-1"/>
        </w:rPr>
        <w:t> </w:t>
      </w:r>
      <w:r>
        <w:rPr/>
        <w:t>offeree</w:t>
      </w:r>
      <w:r>
        <w:rPr>
          <w:spacing w:val="-1"/>
        </w:rPr>
        <w:t> </w:t>
      </w:r>
      <w:r>
        <w:rPr/>
        <w:t>of</w:t>
      </w:r>
      <w:r>
        <w:rPr>
          <w:spacing w:val="-1"/>
        </w:rPr>
        <w:t> </w:t>
      </w:r>
      <w:r>
        <w:rPr/>
        <w:t>a</w:t>
      </w:r>
      <w:r>
        <w:rPr>
          <w:spacing w:val="-1"/>
        </w:rPr>
        <w:t> </w:t>
      </w:r>
      <w:r>
        <w:rPr/>
        <w:t>unilateral</w:t>
      </w:r>
      <w:r>
        <w:rPr>
          <w:spacing w:val="-1"/>
        </w:rPr>
        <w:t> </w:t>
      </w:r>
      <w:r>
        <w:rPr/>
        <w:t>offer</w:t>
      </w:r>
      <w:r>
        <w:rPr>
          <w:spacing w:val="-1"/>
        </w:rPr>
        <w:t> </w:t>
      </w:r>
      <w:r>
        <w:rPr/>
        <w:t>must</w:t>
      </w:r>
      <w:r>
        <w:rPr>
          <w:spacing w:val="-1"/>
        </w:rPr>
        <w:t> </w:t>
      </w:r>
      <w:r>
        <w:rPr/>
        <w:t>be</w:t>
      </w:r>
      <w:r>
        <w:rPr>
          <w:spacing w:val="-1"/>
        </w:rPr>
        <w:t> </w:t>
      </w:r>
      <w:r>
        <w:rPr/>
        <w:t>aware</w:t>
      </w:r>
      <w:r>
        <w:rPr>
          <w:spacing w:val="-1"/>
        </w:rPr>
        <w:t> </w:t>
      </w:r>
      <w:r>
        <w:rPr/>
        <w:t>of</w:t>
      </w:r>
      <w:r>
        <w:rPr>
          <w:spacing w:val="-1"/>
        </w:rPr>
        <w:t> </w:t>
      </w:r>
      <w:r>
        <w:rPr/>
        <w:t>that</w:t>
      </w:r>
      <w:r>
        <w:rPr>
          <w:spacing w:val="-1"/>
        </w:rPr>
        <w:t> </w:t>
      </w:r>
      <w:r>
        <w:rPr/>
        <w:t>offer</w:t>
      </w:r>
      <w:r>
        <w:rPr>
          <w:spacing w:val="-1"/>
        </w:rPr>
        <w:t> </w:t>
      </w:r>
      <w:r>
        <w:rPr/>
        <w:t>on performance of the condition for a contract to arise: see below, para.2-040. If the offeree </w:t>
      </w:r>
      <w:r>
        <w:rPr/>
        <w:t>need not be so aware, then no agreement can be constructed from performance of the condition. It is clear that the offeree of a unilateral offer does not in general have to communicate his acceptance to the offeror before he fulfills the condition and the contract arises: </w:t>
      </w:r>
      <w:r>
        <w:rPr>
          <w:rFonts w:ascii="Arial"/>
          <w:i/>
        </w:rPr>
        <w:t>Carlill v</w:t>
      </w:r>
      <w:r>
        <w:rPr>
          <w:rFonts w:ascii="Arial"/>
          <w:i/>
          <w:spacing w:val="40"/>
        </w:rPr>
        <w:t> </w:t>
      </w:r>
      <w:r>
        <w:rPr>
          <w:rFonts w:ascii="Arial"/>
          <w:i/>
        </w:rPr>
        <w:t>Carbolic Smoke Ball Co [1893] 1 Q.B. 256</w:t>
      </w:r>
      <w:r>
        <w:rPr/>
        <w:t>, and see below, para.2-046.</w:t>
      </w:r>
    </w:p>
    <w:p>
      <w:pPr>
        <w:pStyle w:val="BodyText"/>
        <w:spacing w:before="8"/>
      </w:pPr>
    </w:p>
    <w:p>
      <w:pPr>
        <w:pStyle w:val="BodyText"/>
        <w:spacing w:line="235" w:lineRule="auto"/>
        <w:ind w:left="705" w:right="167" w:hanging="541"/>
        <w:jc w:val="both"/>
      </w:pPr>
      <w:bookmarkStart w:name="_bookmark310" w:id="312"/>
      <w:bookmarkEnd w:id="312"/>
      <w:r>
        <w:rPr/>
      </w:r>
      <w:hyperlink w:history="true" w:anchor="_bookmark245">
        <w:r>
          <w:rPr>
            <w:color w:val="005DA1"/>
            <w:position w:val="5"/>
            <w:sz w:val="14"/>
            <w:u w:val="single" w:color="005DA1"/>
          </w:rPr>
          <w:t>142</w:t>
        </w:r>
      </w:hyperlink>
      <w:r>
        <w:rPr>
          <w:position w:val="5"/>
          <w:sz w:val="14"/>
        </w:rPr>
        <w:t>.</w:t>
      </w:r>
      <w:r>
        <w:rPr>
          <w:spacing w:val="80"/>
          <w:position w:val="5"/>
          <w:sz w:val="14"/>
        </w:rPr>
        <w:t> </w:t>
      </w:r>
      <w:r>
        <w:rPr/>
        <w:t>After the abolition by the Law of Property (Miscellaneous Provisions) Act 1989 s.1(1) of </w:t>
      </w:r>
      <w:r>
        <w:rPr/>
        <w:t>the requirement of sealing for the validity of deeds made by individuals, it is more appropriate to refer</w:t>
      </w:r>
      <w:r>
        <w:rPr>
          <w:spacing w:val="39"/>
        </w:rPr>
        <w:t> </w:t>
      </w:r>
      <w:r>
        <w:rPr/>
        <w:t>to</w:t>
      </w:r>
      <w:r>
        <w:rPr>
          <w:spacing w:val="39"/>
        </w:rPr>
        <w:t> </w:t>
      </w:r>
      <w:r>
        <w:rPr/>
        <w:t>promises</w:t>
      </w:r>
      <w:r>
        <w:rPr>
          <w:spacing w:val="39"/>
        </w:rPr>
        <w:t> </w:t>
      </w:r>
      <w:r>
        <w:rPr/>
        <w:t>in</w:t>
      </w:r>
      <w:r>
        <w:rPr>
          <w:spacing w:val="39"/>
        </w:rPr>
        <w:t> </w:t>
      </w:r>
      <w:r>
        <w:rPr/>
        <w:t>deeds</w:t>
      </w:r>
      <w:r>
        <w:rPr>
          <w:spacing w:val="39"/>
        </w:rPr>
        <w:t> </w:t>
      </w:r>
      <w:r>
        <w:rPr/>
        <w:t>rather</w:t>
      </w:r>
      <w:r>
        <w:rPr>
          <w:spacing w:val="39"/>
        </w:rPr>
        <w:t> </w:t>
      </w:r>
      <w:r>
        <w:rPr/>
        <w:t>than</w:t>
      </w:r>
      <w:r>
        <w:rPr>
          <w:spacing w:val="39"/>
        </w:rPr>
        <w:t> </w:t>
      </w:r>
      <w:r>
        <w:rPr/>
        <w:t>the</w:t>
      </w:r>
      <w:r>
        <w:rPr>
          <w:spacing w:val="39"/>
        </w:rPr>
        <w:t> </w:t>
      </w:r>
      <w:r>
        <w:rPr/>
        <w:t>former</w:t>
      </w:r>
      <w:r>
        <w:rPr>
          <w:spacing w:val="39"/>
        </w:rPr>
        <w:t> </w:t>
      </w:r>
      <w:r>
        <w:rPr/>
        <w:t>“promises</w:t>
      </w:r>
      <w:r>
        <w:rPr>
          <w:spacing w:val="39"/>
        </w:rPr>
        <w:t> </w:t>
      </w:r>
      <w:r>
        <w:rPr/>
        <w:t>under</w:t>
      </w:r>
      <w:r>
        <w:rPr>
          <w:spacing w:val="39"/>
        </w:rPr>
        <w:t> </w:t>
      </w:r>
      <w:r>
        <w:rPr/>
        <w:t>seal”:</w:t>
      </w:r>
      <w:r>
        <w:rPr>
          <w:spacing w:val="39"/>
        </w:rPr>
        <w:t> </w:t>
      </w:r>
      <w:r>
        <w:rPr/>
        <w:t>see</w:t>
      </w:r>
      <w:r>
        <w:rPr>
          <w:spacing w:val="39"/>
        </w:rPr>
        <w:t> </w:t>
      </w:r>
      <w:r>
        <w:rPr/>
        <w:t>below,</w:t>
      </w:r>
      <w:r>
        <w:rPr>
          <w:spacing w:val="39"/>
        </w:rPr>
        <w:t> </w:t>
      </w:r>
      <w:r>
        <w:rPr>
          <w:spacing w:val="-2"/>
        </w:rPr>
        <w:t>paras</w:t>
      </w:r>
    </w:p>
    <w:p>
      <w:pPr>
        <w:pStyle w:val="BodyText"/>
        <w:spacing w:after="0" w:line="235" w:lineRule="auto"/>
        <w:jc w:val="both"/>
        <w:sectPr>
          <w:type w:val="continuous"/>
          <w:pgSz w:w="11900" w:h="16840"/>
          <w:pgMar w:header="971" w:footer="0" w:top="1300" w:bottom="280" w:left="1275" w:right="1275"/>
        </w:sectPr>
      </w:pPr>
    </w:p>
    <w:p>
      <w:pPr>
        <w:pStyle w:val="BodyText"/>
        <w:spacing w:before="166"/>
        <w:ind w:left="705"/>
      </w:pPr>
      <w:r>
        <w:rPr/>
        <w:t>1-114 et </w:t>
      </w:r>
      <w:r>
        <w:rPr>
          <w:spacing w:val="-4"/>
        </w:rPr>
        <w:t>seq.</w:t>
      </w:r>
    </w:p>
    <w:p>
      <w:pPr>
        <w:pStyle w:val="BodyText"/>
        <w:spacing w:before="5"/>
      </w:pPr>
    </w:p>
    <w:p>
      <w:pPr>
        <w:tabs>
          <w:tab w:pos="705" w:val="left" w:leader="none"/>
        </w:tabs>
        <w:spacing w:before="1"/>
        <w:ind w:left="165" w:right="0" w:firstLine="0"/>
        <w:jc w:val="left"/>
        <w:rPr>
          <w:sz w:val="20"/>
        </w:rPr>
      </w:pPr>
      <w:bookmarkStart w:name="_bookmark311" w:id="313"/>
      <w:bookmarkEnd w:id="313"/>
      <w:r>
        <w:rPr/>
      </w:r>
      <w:hyperlink w:history="true" w:anchor="_bookmark246">
        <w:r>
          <w:rPr>
            <w:color w:val="005DA1"/>
            <w:spacing w:val="-4"/>
            <w:position w:val="5"/>
            <w:sz w:val="14"/>
            <w:u w:val="single" w:color="005DA1"/>
          </w:rPr>
          <w:t>143</w:t>
        </w:r>
      </w:hyperlink>
      <w:r>
        <w:rPr>
          <w:spacing w:val="-4"/>
          <w:position w:val="5"/>
          <w:sz w:val="14"/>
        </w:rPr>
        <w:t>.</w:t>
      </w:r>
      <w:r>
        <w:rPr>
          <w:position w:val="5"/>
          <w:sz w:val="14"/>
        </w:rPr>
        <w:tab/>
      </w:r>
      <w:r>
        <w:rPr>
          <w:rFonts w:ascii="Arial"/>
          <w:i/>
          <w:sz w:val="20"/>
        </w:rPr>
        <w:t>Xenos</w:t>
      </w:r>
      <w:r>
        <w:rPr>
          <w:rFonts w:ascii="Arial"/>
          <w:i/>
          <w:spacing w:val="-1"/>
          <w:sz w:val="20"/>
        </w:rPr>
        <w:t> </w:t>
      </w:r>
      <w:r>
        <w:rPr>
          <w:rFonts w:ascii="Arial"/>
          <w:i/>
          <w:sz w:val="20"/>
        </w:rPr>
        <w:t>v Wickham (1866) L.R. 2 H.L. 296, 312</w:t>
      </w:r>
      <w:r>
        <w:rPr>
          <w:sz w:val="20"/>
        </w:rPr>
        <w:t>; </w:t>
      </w:r>
      <w:r>
        <w:rPr>
          <w:rFonts w:ascii="Arial"/>
          <w:i/>
          <w:sz w:val="20"/>
        </w:rPr>
        <w:t>Macedo v Stroud [1922] 2 A.C. </w:t>
      </w:r>
      <w:r>
        <w:rPr>
          <w:rFonts w:ascii="Arial"/>
          <w:i/>
          <w:spacing w:val="-4"/>
          <w:sz w:val="20"/>
        </w:rPr>
        <w:t>330</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312" w:id="314"/>
      <w:bookmarkEnd w:id="314"/>
      <w:r>
        <w:rPr/>
      </w:r>
      <w:hyperlink w:history="true" w:anchor="_bookmark247">
        <w:r>
          <w:rPr>
            <w:color w:val="005DA1"/>
            <w:spacing w:val="-4"/>
            <w:position w:val="5"/>
            <w:sz w:val="14"/>
            <w:u w:val="single" w:color="005DA1"/>
          </w:rPr>
          <w:t>144</w:t>
        </w:r>
      </w:hyperlink>
      <w:r>
        <w:rPr>
          <w:spacing w:val="-4"/>
          <w:position w:val="5"/>
          <w:sz w:val="14"/>
        </w:rPr>
        <w:t>.</w:t>
      </w:r>
      <w:r>
        <w:rPr>
          <w:position w:val="5"/>
          <w:sz w:val="14"/>
        </w:rPr>
        <w:tab/>
      </w:r>
      <w:r>
        <w:rPr>
          <w:sz w:val="20"/>
        </w:rPr>
        <w:t>Pollock,</w:t>
      </w:r>
      <w:r>
        <w:rPr>
          <w:spacing w:val="-2"/>
          <w:sz w:val="20"/>
        </w:rPr>
        <w:t> </w:t>
      </w:r>
      <w:r>
        <w:rPr>
          <w:rFonts w:ascii="Arial"/>
          <w:i/>
          <w:sz w:val="20"/>
        </w:rPr>
        <w:t>Principles of Contract at Law and in Equity</w:t>
      </w:r>
      <w:r>
        <w:rPr>
          <w:sz w:val="20"/>
        </w:rPr>
        <w:t>, 4th edn (1885), p.9 and cf. </w:t>
      </w:r>
      <w:r>
        <w:rPr>
          <w:spacing w:val="-4"/>
          <w:sz w:val="20"/>
        </w:rPr>
        <w:t>p.5.</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7280">
            <wp:simplePos x="0" y="0"/>
            <wp:positionH relativeFrom="page">
              <wp:posOffset>1257846</wp:posOffset>
            </wp:positionH>
            <wp:positionV relativeFrom="paragraph">
              <wp:posOffset>160580</wp:posOffset>
            </wp:positionV>
            <wp:extent cx="107988" cy="107988"/>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3" w:id="315"/>
      <w:bookmarkEnd w:id="315"/>
      <w:r>
        <w:rPr/>
      </w:r>
      <w:hyperlink w:history="true" w:anchor="_bookmark248">
        <w:r>
          <w:rPr>
            <w:color w:val="005DA1"/>
            <w:spacing w:val="-4"/>
            <w:sz w:val="14"/>
            <w:u w:val="single" w:color="005DA1"/>
          </w:rPr>
          <w:t>145</w:t>
        </w:r>
      </w:hyperlink>
      <w:r>
        <w:rPr>
          <w:spacing w:val="-4"/>
          <w:sz w:val="14"/>
        </w:rPr>
        <w:t>.</w:t>
      </w:r>
    </w:p>
    <w:p>
      <w:pPr>
        <w:spacing w:line="235" w:lineRule="auto" w:before="212"/>
        <w:ind w:left="165" w:right="167" w:firstLine="170"/>
        <w:jc w:val="both"/>
        <w:rPr>
          <w:sz w:val="20"/>
        </w:rPr>
      </w:pPr>
      <w:r>
        <w:rPr/>
        <w:br w:type="column"/>
      </w:r>
      <w:r>
        <w:rPr>
          <w:sz w:val="20"/>
        </w:rPr>
        <w:t>Peel, </w:t>
      </w:r>
      <w:r>
        <w:rPr>
          <w:rFonts w:ascii="Arial" w:hAnsi="Arial"/>
          <w:i/>
          <w:sz w:val="20"/>
        </w:rPr>
        <w:t>Treitel on The Law of Contract</w:t>
      </w:r>
      <w:r>
        <w:rPr>
          <w:sz w:val="20"/>
        </w:rPr>
        <w:t>, 14th edn (2015), para.3–170. cf. Burrows, </w:t>
      </w:r>
      <w:r>
        <w:rPr>
          <w:rFonts w:ascii="Arial" w:hAnsi="Arial"/>
          <w:i/>
          <w:sz w:val="20"/>
        </w:rPr>
        <w:t>A Restatement of the English Law of Contract </w:t>
      </w:r>
      <w:r>
        <w:rPr>
          <w:sz w:val="20"/>
        </w:rPr>
        <w:t>(2016), paras 2 and 8(1), commentary on</w:t>
      </w:r>
      <w:r>
        <w:rPr>
          <w:spacing w:val="40"/>
          <w:sz w:val="20"/>
        </w:rPr>
        <w:t> </w:t>
      </w:r>
      <w:r>
        <w:rPr>
          <w:sz w:val="20"/>
        </w:rPr>
        <w:t>pp.63–64, which includes agreements supported by a deed within its definition of contract, but distinguishes deeds which contain agreements and those which do not (deeds poll).</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bookmarkStart w:name="_bookmark314" w:id="316"/>
      <w:bookmarkEnd w:id="316"/>
      <w:r>
        <w:rPr/>
      </w:r>
      <w:hyperlink w:history="true" w:anchor="_bookmark249">
        <w:r>
          <w:rPr>
            <w:color w:val="005DA1"/>
            <w:position w:val="5"/>
            <w:sz w:val="14"/>
            <w:u w:val="single" w:color="005DA1"/>
          </w:rPr>
          <w:t>146</w:t>
        </w:r>
      </w:hyperlink>
      <w:r>
        <w:rPr>
          <w:position w:val="5"/>
          <w:sz w:val="14"/>
        </w:rPr>
        <w:t>.</w:t>
      </w:r>
      <w:r>
        <w:rPr>
          <w:spacing w:val="80"/>
          <w:w w:val="150"/>
          <w:position w:val="5"/>
          <w:sz w:val="14"/>
        </w:rPr>
        <w:t> </w:t>
      </w:r>
      <w:r>
        <w:rPr>
          <w:sz w:val="20"/>
        </w:rPr>
        <w:t>Bacon, </w:t>
      </w:r>
      <w:r>
        <w:rPr>
          <w:rFonts w:ascii="Arial" w:hAnsi="Arial"/>
          <w:i/>
          <w:sz w:val="20"/>
        </w:rPr>
        <w:t>A New Abridgment of the Law</w:t>
      </w:r>
      <w:r>
        <w:rPr>
          <w:sz w:val="20"/>
        </w:rPr>
        <w:t>, 7th edn (1832), Vol.I, p.55 included debt, detinue,</w:t>
      </w:r>
      <w:r>
        <w:rPr>
          <w:spacing w:val="40"/>
          <w:sz w:val="20"/>
        </w:rPr>
        <w:t> </w:t>
      </w:r>
      <w:r>
        <w:rPr>
          <w:sz w:val="20"/>
        </w:rPr>
        <w:t>account,</w:t>
      </w:r>
      <w:r>
        <w:rPr>
          <w:spacing w:val="-2"/>
          <w:sz w:val="20"/>
        </w:rPr>
        <w:t> </w:t>
      </w:r>
      <w:r>
        <w:rPr>
          <w:sz w:val="20"/>
        </w:rPr>
        <w:t>covenant,</w:t>
      </w:r>
      <w:r>
        <w:rPr>
          <w:spacing w:val="-2"/>
          <w:sz w:val="20"/>
        </w:rPr>
        <w:t> </w:t>
      </w:r>
      <w:r>
        <w:rPr>
          <w:sz w:val="20"/>
        </w:rPr>
        <w:t>assumpsit,</w:t>
      </w:r>
      <w:r>
        <w:rPr>
          <w:spacing w:val="-2"/>
          <w:sz w:val="20"/>
        </w:rPr>
        <w:t> </w:t>
      </w:r>
      <w:r>
        <w:rPr>
          <w:sz w:val="20"/>
        </w:rPr>
        <w:t>quantum</w:t>
      </w:r>
      <w:r>
        <w:rPr>
          <w:spacing w:val="-2"/>
          <w:sz w:val="20"/>
        </w:rPr>
        <w:t> </w:t>
      </w:r>
      <w:r>
        <w:rPr>
          <w:sz w:val="20"/>
        </w:rPr>
        <w:t>meruit,</w:t>
      </w:r>
      <w:r>
        <w:rPr>
          <w:spacing w:val="-2"/>
          <w:sz w:val="20"/>
        </w:rPr>
        <w:t> </w:t>
      </w:r>
      <w:r>
        <w:rPr>
          <w:sz w:val="20"/>
        </w:rPr>
        <w:t>quantum</w:t>
      </w:r>
      <w:r>
        <w:rPr>
          <w:spacing w:val="-2"/>
          <w:sz w:val="20"/>
        </w:rPr>
        <w:t> </w:t>
      </w:r>
      <w:r>
        <w:rPr>
          <w:sz w:val="20"/>
        </w:rPr>
        <w:t>valebat</w:t>
      </w:r>
      <w:r>
        <w:rPr>
          <w:spacing w:val="-2"/>
          <w:sz w:val="20"/>
        </w:rPr>
        <w:t> </w:t>
      </w:r>
      <w:r>
        <w:rPr>
          <w:sz w:val="20"/>
        </w:rPr>
        <w:t>and</w:t>
      </w:r>
      <w:r>
        <w:rPr>
          <w:spacing w:val="-2"/>
          <w:sz w:val="20"/>
        </w:rPr>
        <w:t> </w:t>
      </w:r>
      <w:r>
        <w:rPr>
          <w:sz w:val="20"/>
        </w:rPr>
        <w:t>annuity</w:t>
      </w:r>
      <w:r>
        <w:rPr>
          <w:spacing w:val="-2"/>
          <w:sz w:val="20"/>
        </w:rPr>
        <w:t> </w:t>
      </w:r>
      <w:r>
        <w:rPr>
          <w:sz w:val="20"/>
        </w:rPr>
        <w:t>in</w:t>
      </w:r>
      <w:r>
        <w:rPr>
          <w:spacing w:val="-2"/>
          <w:sz w:val="20"/>
        </w:rPr>
        <w:t> </w:t>
      </w:r>
      <w:r>
        <w:rPr>
          <w:sz w:val="20"/>
        </w:rPr>
        <w:t>his</w:t>
      </w:r>
      <w:r>
        <w:rPr>
          <w:spacing w:val="-2"/>
          <w:sz w:val="20"/>
        </w:rPr>
        <w:t> </w:t>
      </w:r>
      <w:r>
        <w:rPr>
          <w:sz w:val="20"/>
        </w:rPr>
        <w:t>treatment</w:t>
      </w:r>
      <w:r>
        <w:rPr>
          <w:spacing w:val="-2"/>
          <w:sz w:val="20"/>
        </w:rPr>
        <w:t> </w:t>
      </w:r>
      <w:r>
        <w:rPr>
          <w:sz w:val="20"/>
        </w:rPr>
        <w:t>of actions ex contractu. cf. Chitty and Chitty, </w:t>
      </w:r>
      <w:r>
        <w:rPr>
          <w:rFonts w:ascii="Arial" w:hAnsi="Arial"/>
          <w:i/>
          <w:sz w:val="20"/>
        </w:rPr>
        <w:t>A Treatise on the Parties to Actions and on Pleading</w:t>
      </w:r>
      <w:r>
        <w:rPr>
          <w:sz w:val="20"/>
        </w:rPr>
        <w:t>, 6th edn (1836), pp.98–125.</w:t>
      </w:r>
    </w:p>
    <w:p>
      <w:pPr>
        <w:pStyle w:val="BodyText"/>
        <w:spacing w:before="4"/>
      </w:pPr>
    </w:p>
    <w:p>
      <w:pPr>
        <w:tabs>
          <w:tab w:pos="705" w:val="left" w:leader="none"/>
        </w:tabs>
        <w:spacing w:before="1"/>
        <w:ind w:left="165" w:right="0" w:firstLine="0"/>
        <w:jc w:val="left"/>
        <w:rPr>
          <w:sz w:val="20"/>
        </w:rPr>
      </w:pPr>
      <w:bookmarkStart w:name="_bookmark315" w:id="317"/>
      <w:bookmarkEnd w:id="317"/>
      <w:r>
        <w:rPr/>
      </w:r>
      <w:hyperlink w:history="true" w:anchor="_bookmark250">
        <w:r>
          <w:rPr>
            <w:color w:val="005DA1"/>
            <w:spacing w:val="-4"/>
            <w:position w:val="5"/>
            <w:sz w:val="14"/>
            <w:u w:val="single" w:color="005DA1"/>
          </w:rPr>
          <w:t>147</w:t>
        </w:r>
      </w:hyperlink>
      <w:r>
        <w:rPr>
          <w:spacing w:val="-4"/>
          <w:position w:val="5"/>
          <w:sz w:val="14"/>
        </w:rPr>
        <w:t>.</w:t>
      </w:r>
      <w:r>
        <w:rPr>
          <w:position w:val="5"/>
          <w:sz w:val="14"/>
        </w:rPr>
        <w:tab/>
      </w:r>
      <w:r>
        <w:rPr>
          <w:sz w:val="20"/>
        </w:rPr>
        <w:t>See below, para.29-006; Birks,</w:t>
      </w:r>
      <w:r>
        <w:rPr>
          <w:spacing w:val="-1"/>
          <w:sz w:val="20"/>
        </w:rPr>
        <w:t> </w:t>
      </w:r>
      <w:r>
        <w:rPr>
          <w:rFonts w:ascii="Arial" w:hAnsi="Arial"/>
          <w:i/>
          <w:sz w:val="20"/>
        </w:rPr>
        <w:t>An Introduction to the Law of Restitution</w:t>
      </w:r>
      <w:r>
        <w:rPr>
          <w:rFonts w:ascii="Arial" w:hAnsi="Arial"/>
          <w:i/>
          <w:spacing w:val="-1"/>
          <w:sz w:val="20"/>
        </w:rPr>
        <w:t> </w:t>
      </w:r>
      <w:r>
        <w:rPr>
          <w:sz w:val="20"/>
        </w:rPr>
        <w:t>(1985), </w:t>
      </w:r>
      <w:r>
        <w:rPr>
          <w:spacing w:val="-2"/>
          <w:sz w:val="20"/>
        </w:rPr>
        <w:t>pp.29–39.</w:t>
      </w:r>
    </w:p>
    <w:p>
      <w:pPr>
        <w:pStyle w:val="BodyText"/>
        <w:spacing w:before="8"/>
      </w:pPr>
    </w:p>
    <w:p>
      <w:pPr>
        <w:pStyle w:val="BodyText"/>
        <w:spacing w:line="235" w:lineRule="auto"/>
        <w:ind w:left="705" w:right="167" w:hanging="541"/>
        <w:jc w:val="both"/>
      </w:pPr>
      <w:bookmarkStart w:name="_bookmark316" w:id="318"/>
      <w:bookmarkEnd w:id="318"/>
      <w:r>
        <w:rPr/>
      </w:r>
      <w:hyperlink w:history="true" w:anchor="_bookmark250">
        <w:r>
          <w:rPr>
            <w:color w:val="005DA1"/>
            <w:position w:val="5"/>
            <w:sz w:val="14"/>
            <w:u w:val="single" w:color="005DA1"/>
          </w:rPr>
          <w:t>148</w:t>
        </w:r>
      </w:hyperlink>
      <w:r>
        <w:rPr>
          <w:position w:val="5"/>
          <w:sz w:val="14"/>
        </w:rPr>
        <w:t>.</w:t>
      </w:r>
      <w:r>
        <w:rPr>
          <w:spacing w:val="40"/>
          <w:position w:val="5"/>
          <w:sz w:val="14"/>
        </w:rPr>
        <w:t>  </w:t>
      </w:r>
      <w:r>
        <w:rPr/>
        <w:t>Technically, detinue protected the plaintiff’s right to possession of personal property. For </w:t>
      </w:r>
      <w:r>
        <w:rPr/>
        <w:t>further discussion of the classification of actions at common law, see below, para.1-146. Detinue was abolished by the Torts (Interference with Goods) Act 1977 s.2.</w:t>
      </w:r>
    </w:p>
    <w:p>
      <w:pPr>
        <w:pStyle w:val="BodyText"/>
        <w:spacing w:before="5"/>
      </w:pPr>
    </w:p>
    <w:p>
      <w:pPr>
        <w:pStyle w:val="BodyText"/>
        <w:tabs>
          <w:tab w:pos="705" w:val="left" w:leader="none"/>
        </w:tabs>
        <w:spacing w:line="227" w:lineRule="exact"/>
        <w:ind w:left="165"/>
      </w:pPr>
      <w:bookmarkStart w:name="_bookmark317" w:id="319"/>
      <w:bookmarkEnd w:id="319"/>
      <w:r>
        <w:rPr/>
      </w:r>
      <w:hyperlink w:history="true" w:anchor="_bookmark251">
        <w:r>
          <w:rPr>
            <w:color w:val="005DA1"/>
            <w:spacing w:val="-4"/>
            <w:position w:val="5"/>
            <w:sz w:val="14"/>
            <w:u w:val="single" w:color="005DA1"/>
          </w:rPr>
          <w:t>149</w:t>
        </w:r>
      </w:hyperlink>
      <w:r>
        <w:rPr>
          <w:spacing w:val="-4"/>
          <w:position w:val="5"/>
          <w:sz w:val="14"/>
        </w:rPr>
        <w:t>.</w:t>
      </w:r>
      <w:r>
        <w:rPr>
          <w:position w:val="5"/>
          <w:sz w:val="14"/>
        </w:rPr>
        <w:tab/>
      </w:r>
      <w:r>
        <w:rPr/>
        <w:t>Howarth (1984) 100 L.Q.R. 265 and 528; Vorster (1987) 103 L.Q.R. 274; Goddard (1987) 7 </w:t>
      </w:r>
      <w:r>
        <w:rPr>
          <w:spacing w:val="-4"/>
        </w:rPr>
        <w:t>L.S.</w:t>
      </w:r>
    </w:p>
    <w:p>
      <w:pPr>
        <w:spacing w:line="225" w:lineRule="exact" w:before="0"/>
        <w:ind w:left="705" w:right="0" w:firstLine="0"/>
        <w:jc w:val="left"/>
        <w:rPr>
          <w:rFonts w:ascii="Arial"/>
          <w:i/>
          <w:sz w:val="20"/>
        </w:rPr>
      </w:pPr>
      <w:r>
        <w:rPr>
          <w:sz w:val="20"/>
        </w:rPr>
        <w:t>263;</w:t>
      </w:r>
      <w:r>
        <w:rPr>
          <w:spacing w:val="11"/>
          <w:sz w:val="20"/>
        </w:rPr>
        <w:t> </w:t>
      </w:r>
      <w:r>
        <w:rPr>
          <w:sz w:val="20"/>
        </w:rPr>
        <w:t>de</w:t>
      </w:r>
      <w:r>
        <w:rPr>
          <w:spacing w:val="12"/>
          <w:sz w:val="20"/>
        </w:rPr>
        <w:t> </w:t>
      </w:r>
      <w:r>
        <w:rPr>
          <w:sz w:val="20"/>
        </w:rPr>
        <w:t>Moor</w:t>
      </w:r>
      <w:r>
        <w:rPr>
          <w:spacing w:val="12"/>
          <w:sz w:val="20"/>
        </w:rPr>
        <w:t> </w:t>
      </w:r>
      <w:r>
        <w:rPr>
          <w:sz w:val="20"/>
        </w:rPr>
        <w:t>(1990)</w:t>
      </w:r>
      <w:r>
        <w:rPr>
          <w:spacing w:val="12"/>
          <w:sz w:val="20"/>
        </w:rPr>
        <w:t> </w:t>
      </w:r>
      <w:r>
        <w:rPr>
          <w:sz w:val="20"/>
        </w:rPr>
        <w:t>106</w:t>
      </w:r>
      <w:r>
        <w:rPr>
          <w:spacing w:val="12"/>
          <w:sz w:val="20"/>
        </w:rPr>
        <w:t> </w:t>
      </w:r>
      <w:r>
        <w:rPr>
          <w:sz w:val="20"/>
        </w:rPr>
        <w:t>L.Q.R.</w:t>
      </w:r>
      <w:r>
        <w:rPr>
          <w:spacing w:val="12"/>
          <w:sz w:val="20"/>
        </w:rPr>
        <w:t> </w:t>
      </w:r>
      <w:r>
        <w:rPr>
          <w:sz w:val="20"/>
        </w:rPr>
        <w:t>632</w:t>
      </w:r>
      <w:r>
        <w:rPr>
          <w:spacing w:val="12"/>
          <w:sz w:val="20"/>
        </w:rPr>
        <w:t> </w:t>
      </w:r>
      <w:r>
        <w:rPr>
          <w:sz w:val="20"/>
        </w:rPr>
        <w:t>and</w:t>
      </w:r>
      <w:r>
        <w:rPr>
          <w:spacing w:val="12"/>
          <w:sz w:val="20"/>
        </w:rPr>
        <w:t> </w:t>
      </w:r>
      <w:r>
        <w:rPr>
          <w:sz w:val="20"/>
        </w:rPr>
        <w:t>see</w:t>
      </w:r>
      <w:r>
        <w:rPr>
          <w:spacing w:val="12"/>
          <w:sz w:val="20"/>
        </w:rPr>
        <w:t> </w:t>
      </w:r>
      <w:r>
        <w:rPr>
          <w:rFonts w:ascii="Arial"/>
          <w:i/>
          <w:sz w:val="20"/>
        </w:rPr>
        <w:t>The</w:t>
      </w:r>
      <w:r>
        <w:rPr>
          <w:rFonts w:ascii="Arial"/>
          <w:i/>
          <w:spacing w:val="12"/>
          <w:sz w:val="20"/>
        </w:rPr>
        <w:t> </w:t>
      </w:r>
      <w:r>
        <w:rPr>
          <w:rFonts w:ascii="Arial"/>
          <w:i/>
          <w:sz w:val="20"/>
        </w:rPr>
        <w:t>Hannah</w:t>
      </w:r>
      <w:r>
        <w:rPr>
          <w:rFonts w:ascii="Arial"/>
          <w:i/>
          <w:spacing w:val="12"/>
          <w:sz w:val="20"/>
        </w:rPr>
        <w:t> </w:t>
      </w:r>
      <w:r>
        <w:rPr>
          <w:rFonts w:ascii="Arial"/>
          <w:i/>
          <w:sz w:val="20"/>
        </w:rPr>
        <w:t>Blumenthal</w:t>
      </w:r>
      <w:r>
        <w:rPr>
          <w:rFonts w:ascii="Arial"/>
          <w:i/>
          <w:spacing w:val="12"/>
          <w:sz w:val="20"/>
        </w:rPr>
        <w:t> </w:t>
      </w:r>
      <w:r>
        <w:rPr>
          <w:rFonts w:ascii="Arial"/>
          <w:i/>
          <w:sz w:val="20"/>
        </w:rPr>
        <w:t>[1983]</w:t>
      </w:r>
      <w:r>
        <w:rPr>
          <w:rFonts w:ascii="Arial"/>
          <w:i/>
          <w:spacing w:val="12"/>
          <w:sz w:val="20"/>
        </w:rPr>
        <w:t> </w:t>
      </w:r>
      <w:r>
        <w:rPr>
          <w:rFonts w:ascii="Arial"/>
          <w:i/>
          <w:sz w:val="20"/>
        </w:rPr>
        <w:t>1</w:t>
      </w:r>
      <w:r>
        <w:rPr>
          <w:rFonts w:ascii="Arial"/>
          <w:i/>
          <w:spacing w:val="12"/>
          <w:sz w:val="20"/>
        </w:rPr>
        <w:t> </w:t>
      </w:r>
      <w:r>
        <w:rPr>
          <w:rFonts w:ascii="Arial"/>
          <w:i/>
          <w:sz w:val="20"/>
        </w:rPr>
        <w:t>A.C.</w:t>
      </w:r>
      <w:r>
        <w:rPr>
          <w:rFonts w:ascii="Arial"/>
          <w:i/>
          <w:spacing w:val="12"/>
          <w:sz w:val="20"/>
        </w:rPr>
        <w:t> </w:t>
      </w:r>
      <w:r>
        <w:rPr>
          <w:rFonts w:ascii="Arial"/>
          <w:i/>
          <w:sz w:val="20"/>
        </w:rPr>
        <w:t>854</w:t>
      </w:r>
      <w:r>
        <w:rPr>
          <w:sz w:val="20"/>
        </w:rPr>
        <w:t>;</w:t>
      </w:r>
      <w:r>
        <w:rPr>
          <w:spacing w:val="12"/>
          <w:sz w:val="20"/>
        </w:rPr>
        <w:t> </w:t>
      </w:r>
      <w:r>
        <w:rPr>
          <w:rFonts w:ascii="Arial"/>
          <w:i/>
          <w:spacing w:val="-5"/>
          <w:sz w:val="20"/>
        </w:rPr>
        <w:t>The</w:t>
      </w:r>
    </w:p>
    <w:p>
      <w:pPr>
        <w:spacing w:line="225" w:lineRule="exact" w:before="0"/>
        <w:ind w:left="705" w:right="0" w:firstLine="0"/>
        <w:jc w:val="left"/>
        <w:rPr>
          <w:sz w:val="20"/>
        </w:rPr>
      </w:pPr>
      <w:r>
        <w:rPr>
          <w:rFonts w:ascii="Arial"/>
          <w:i/>
          <w:sz w:val="20"/>
        </w:rPr>
        <w:t>Leonidas</w:t>
      </w:r>
      <w:r>
        <w:rPr>
          <w:rFonts w:ascii="Arial"/>
          <w:i/>
          <w:spacing w:val="4"/>
          <w:sz w:val="20"/>
        </w:rPr>
        <w:t> </w:t>
      </w:r>
      <w:r>
        <w:rPr>
          <w:rFonts w:ascii="Arial"/>
          <w:i/>
          <w:sz w:val="20"/>
        </w:rPr>
        <w:t>D.</w:t>
      </w:r>
      <w:r>
        <w:rPr>
          <w:rFonts w:ascii="Arial"/>
          <w:i/>
          <w:spacing w:val="5"/>
          <w:sz w:val="20"/>
        </w:rPr>
        <w:t> </w:t>
      </w:r>
      <w:r>
        <w:rPr>
          <w:rFonts w:ascii="Arial"/>
          <w:i/>
          <w:sz w:val="20"/>
        </w:rPr>
        <w:t>[1985]</w:t>
      </w:r>
      <w:r>
        <w:rPr>
          <w:rFonts w:ascii="Arial"/>
          <w:i/>
          <w:spacing w:val="5"/>
          <w:sz w:val="20"/>
        </w:rPr>
        <w:t> </w:t>
      </w:r>
      <w:r>
        <w:rPr>
          <w:rFonts w:ascii="Arial"/>
          <w:i/>
          <w:sz w:val="20"/>
        </w:rPr>
        <w:t>1</w:t>
      </w:r>
      <w:r>
        <w:rPr>
          <w:rFonts w:ascii="Arial"/>
          <w:i/>
          <w:spacing w:val="5"/>
          <w:sz w:val="20"/>
        </w:rPr>
        <w:t> </w:t>
      </w:r>
      <w:r>
        <w:rPr>
          <w:rFonts w:ascii="Arial"/>
          <w:i/>
          <w:sz w:val="20"/>
        </w:rPr>
        <w:t>W.L.R.</w:t>
      </w:r>
      <w:r>
        <w:rPr>
          <w:rFonts w:ascii="Arial"/>
          <w:i/>
          <w:spacing w:val="5"/>
          <w:sz w:val="20"/>
        </w:rPr>
        <w:t> </w:t>
      </w:r>
      <w:r>
        <w:rPr>
          <w:rFonts w:ascii="Arial"/>
          <w:i/>
          <w:sz w:val="20"/>
        </w:rPr>
        <w:t>925</w:t>
      </w:r>
      <w:r>
        <w:rPr>
          <w:sz w:val="20"/>
        </w:rPr>
        <w:t>;</w:t>
      </w:r>
      <w:r>
        <w:rPr>
          <w:spacing w:val="5"/>
          <w:sz w:val="20"/>
        </w:rPr>
        <w:t> </w:t>
      </w:r>
      <w:r>
        <w:rPr>
          <w:sz w:val="20"/>
        </w:rPr>
        <w:t>Beatson</w:t>
      </w:r>
      <w:r>
        <w:rPr>
          <w:spacing w:val="5"/>
          <w:sz w:val="20"/>
        </w:rPr>
        <w:t> </w:t>
      </w:r>
      <w:r>
        <w:rPr>
          <w:sz w:val="20"/>
        </w:rPr>
        <w:t>(1986)</w:t>
      </w:r>
      <w:r>
        <w:rPr>
          <w:spacing w:val="5"/>
          <w:sz w:val="20"/>
        </w:rPr>
        <w:t> </w:t>
      </w:r>
      <w:r>
        <w:rPr>
          <w:sz w:val="20"/>
        </w:rPr>
        <w:t>102</w:t>
      </w:r>
      <w:r>
        <w:rPr>
          <w:spacing w:val="5"/>
          <w:sz w:val="20"/>
        </w:rPr>
        <w:t> </w:t>
      </w:r>
      <w:r>
        <w:rPr>
          <w:sz w:val="20"/>
        </w:rPr>
        <w:t>L.Q.R.</w:t>
      </w:r>
      <w:r>
        <w:rPr>
          <w:spacing w:val="5"/>
          <w:sz w:val="20"/>
        </w:rPr>
        <w:t> </w:t>
      </w:r>
      <w:r>
        <w:rPr>
          <w:sz w:val="20"/>
        </w:rPr>
        <w:t>19;</w:t>
      </w:r>
      <w:r>
        <w:rPr>
          <w:spacing w:val="5"/>
          <w:sz w:val="20"/>
        </w:rPr>
        <w:t> </w:t>
      </w:r>
      <w:r>
        <w:rPr>
          <w:sz w:val="20"/>
        </w:rPr>
        <w:t>Atiyah</w:t>
      </w:r>
      <w:r>
        <w:rPr>
          <w:spacing w:val="5"/>
          <w:sz w:val="20"/>
        </w:rPr>
        <w:t> </w:t>
      </w:r>
      <w:r>
        <w:rPr>
          <w:sz w:val="20"/>
        </w:rPr>
        <w:t>(1986)</w:t>
      </w:r>
      <w:r>
        <w:rPr>
          <w:spacing w:val="5"/>
          <w:sz w:val="20"/>
        </w:rPr>
        <w:t> </w:t>
      </w:r>
      <w:r>
        <w:rPr>
          <w:sz w:val="20"/>
        </w:rPr>
        <w:t>102</w:t>
      </w:r>
      <w:r>
        <w:rPr>
          <w:spacing w:val="5"/>
          <w:sz w:val="20"/>
        </w:rPr>
        <w:t> </w:t>
      </w:r>
      <w:r>
        <w:rPr>
          <w:sz w:val="20"/>
        </w:rPr>
        <w:t>L.Q.R.</w:t>
      </w:r>
      <w:r>
        <w:rPr>
          <w:spacing w:val="5"/>
          <w:sz w:val="20"/>
        </w:rPr>
        <w:t> </w:t>
      </w:r>
      <w:r>
        <w:rPr>
          <w:spacing w:val="-5"/>
          <w:sz w:val="20"/>
        </w:rPr>
        <w:t>363</w:t>
      </w:r>
    </w:p>
    <w:p>
      <w:pPr>
        <w:pStyle w:val="BodyText"/>
        <w:spacing w:line="227" w:lineRule="exact"/>
        <w:ind w:left="705"/>
      </w:pPr>
      <w:r>
        <w:rPr/>
        <w:t>and below, para.2-</w:t>
      </w:r>
      <w:r>
        <w:rPr>
          <w:spacing w:val="-4"/>
        </w:rPr>
        <w:t>002.</w:t>
      </w:r>
    </w:p>
    <w:p>
      <w:pPr>
        <w:pStyle w:val="BodyText"/>
        <w:spacing w:before="5"/>
      </w:pPr>
    </w:p>
    <w:p>
      <w:pPr>
        <w:pStyle w:val="BodyText"/>
        <w:tabs>
          <w:tab w:pos="705" w:val="left" w:leader="none"/>
        </w:tabs>
        <w:spacing w:before="1"/>
        <w:ind w:left="165"/>
      </w:pPr>
      <w:bookmarkStart w:name="_bookmark318" w:id="320"/>
      <w:bookmarkEnd w:id="320"/>
      <w:r>
        <w:rPr/>
      </w:r>
      <w:hyperlink w:history="true" w:anchor="_bookmark252">
        <w:r>
          <w:rPr>
            <w:color w:val="005DA1"/>
            <w:spacing w:val="-4"/>
            <w:position w:val="5"/>
            <w:sz w:val="14"/>
            <w:u w:val="single" w:color="005DA1"/>
          </w:rPr>
          <w:t>150</w:t>
        </w:r>
      </w:hyperlink>
      <w:r>
        <w:rPr>
          <w:spacing w:val="-4"/>
          <w:position w:val="5"/>
          <w:sz w:val="14"/>
        </w:rPr>
        <w:t>.</w:t>
      </w:r>
      <w:r>
        <w:rPr>
          <w:position w:val="5"/>
          <w:sz w:val="14"/>
        </w:rPr>
        <w:tab/>
      </w:r>
      <w:r>
        <w:rPr/>
        <w:t>Restatement of Contracts at </w:t>
      </w:r>
      <w:r>
        <w:rPr>
          <w:spacing w:val="-2"/>
        </w:rPr>
        <w:t>para.3.</w:t>
      </w:r>
    </w:p>
    <w:p>
      <w:pPr>
        <w:pStyle w:val="BodyText"/>
        <w:spacing w:before="4"/>
      </w:pPr>
    </w:p>
    <w:p>
      <w:pPr>
        <w:tabs>
          <w:tab w:pos="705" w:val="left" w:leader="none"/>
        </w:tabs>
        <w:spacing w:before="1"/>
        <w:ind w:left="165" w:right="0" w:firstLine="0"/>
        <w:jc w:val="left"/>
        <w:rPr>
          <w:sz w:val="20"/>
        </w:rPr>
      </w:pPr>
      <w:bookmarkStart w:name="_bookmark319" w:id="321"/>
      <w:bookmarkEnd w:id="321"/>
      <w:r>
        <w:rPr/>
      </w:r>
      <w:hyperlink w:history="true" w:anchor="_bookmark253">
        <w:r>
          <w:rPr>
            <w:color w:val="005DA1"/>
            <w:spacing w:val="-4"/>
            <w:position w:val="5"/>
            <w:sz w:val="14"/>
            <w:u w:val="single" w:color="005DA1"/>
          </w:rPr>
          <w:t>151</w:t>
        </w:r>
      </w:hyperlink>
      <w:r>
        <w:rPr>
          <w:spacing w:val="-4"/>
          <w:position w:val="5"/>
          <w:sz w:val="14"/>
        </w:rPr>
        <w:t>.</w:t>
      </w:r>
      <w:r>
        <w:rPr>
          <w:position w:val="5"/>
          <w:sz w:val="14"/>
        </w:rPr>
        <w:tab/>
      </w:r>
      <w:r>
        <w:rPr>
          <w:sz w:val="20"/>
        </w:rPr>
        <w:t>Furmston,</w:t>
      </w:r>
      <w:r>
        <w:rPr>
          <w:spacing w:val="-1"/>
          <w:sz w:val="20"/>
        </w:rPr>
        <w:t> </w:t>
      </w:r>
      <w:r>
        <w:rPr>
          <w:rFonts w:ascii="Arial" w:hAnsi="Arial"/>
          <w:i/>
          <w:sz w:val="20"/>
        </w:rPr>
        <w:t>Cheshire, Fifoot and Furmston’s Law of Contract</w:t>
      </w:r>
      <w:r>
        <w:rPr>
          <w:sz w:val="20"/>
        </w:rPr>
        <w:t>, 15th edn (2007), </w:t>
      </w:r>
      <w:r>
        <w:rPr>
          <w:spacing w:val="-2"/>
          <w:sz w:val="20"/>
        </w:rPr>
        <w:t>p.38.</w:t>
      </w:r>
    </w:p>
    <w:p>
      <w:pPr>
        <w:pStyle w:val="BodyText"/>
        <w:spacing w:before="4"/>
      </w:pPr>
    </w:p>
    <w:p>
      <w:pPr>
        <w:pStyle w:val="BodyText"/>
        <w:tabs>
          <w:tab w:pos="705" w:val="left" w:leader="none"/>
        </w:tabs>
        <w:spacing w:before="1"/>
        <w:ind w:left="165"/>
      </w:pPr>
      <w:bookmarkStart w:name="_bookmark320" w:id="322"/>
      <w:bookmarkEnd w:id="322"/>
      <w:r>
        <w:rPr/>
      </w:r>
      <w:hyperlink w:history="true" w:anchor="_bookmark254">
        <w:r>
          <w:rPr>
            <w:color w:val="005DA1"/>
            <w:spacing w:val="-4"/>
            <w:position w:val="5"/>
            <w:sz w:val="14"/>
            <w:u w:val="single" w:color="005DA1"/>
          </w:rPr>
          <w:t>152</w:t>
        </w:r>
      </w:hyperlink>
      <w:r>
        <w:rPr>
          <w:spacing w:val="-4"/>
          <w:position w:val="5"/>
          <w:sz w:val="14"/>
        </w:rPr>
        <w:t>.</w:t>
      </w:r>
      <w:r>
        <w:rPr>
          <w:position w:val="5"/>
          <w:sz w:val="14"/>
        </w:rPr>
        <w:tab/>
      </w:r>
      <w:r>
        <w:rPr/>
        <w:t>See below, paras 2-003 et </w:t>
      </w:r>
      <w:r>
        <w:rPr>
          <w:spacing w:val="-4"/>
        </w:rPr>
        <w:t>seq.</w:t>
      </w:r>
    </w:p>
    <w:p>
      <w:pPr>
        <w:pStyle w:val="BodyText"/>
        <w:spacing w:before="8"/>
      </w:pPr>
    </w:p>
    <w:p>
      <w:pPr>
        <w:tabs>
          <w:tab w:pos="705" w:val="left" w:leader="none"/>
        </w:tabs>
        <w:spacing w:line="235" w:lineRule="auto" w:before="0"/>
        <w:ind w:left="705" w:right="168" w:hanging="541"/>
        <w:jc w:val="left"/>
        <w:rPr>
          <w:sz w:val="20"/>
        </w:rPr>
      </w:pPr>
      <w:bookmarkStart w:name="_bookmark321" w:id="323"/>
      <w:bookmarkEnd w:id="323"/>
      <w:r>
        <w:rPr/>
      </w:r>
      <w:hyperlink w:history="true" w:anchor="_bookmark255">
        <w:r>
          <w:rPr>
            <w:color w:val="005DA1"/>
            <w:spacing w:val="-4"/>
            <w:position w:val="5"/>
            <w:sz w:val="14"/>
            <w:u w:val="single" w:color="005DA1"/>
          </w:rPr>
          <w:t>153</w:t>
        </w:r>
      </w:hyperlink>
      <w:r>
        <w:rPr>
          <w:spacing w:val="-4"/>
          <w:position w:val="5"/>
          <w:sz w:val="14"/>
        </w:rPr>
        <w:t>.</w:t>
      </w:r>
      <w:r>
        <w:rPr>
          <w:position w:val="5"/>
          <w:sz w:val="14"/>
        </w:rPr>
        <w:tab/>
      </w:r>
      <w:r>
        <w:rPr>
          <w:rFonts w:ascii="Arial"/>
          <w:i/>
          <w:sz w:val="20"/>
        </w:rPr>
        <w:t>Household</w:t>
      </w:r>
      <w:r>
        <w:rPr>
          <w:rFonts w:ascii="Arial"/>
          <w:i/>
          <w:spacing w:val="31"/>
          <w:sz w:val="20"/>
        </w:rPr>
        <w:t> </w:t>
      </w:r>
      <w:r>
        <w:rPr>
          <w:rFonts w:ascii="Arial"/>
          <w:i/>
          <w:sz w:val="20"/>
        </w:rPr>
        <w:t>Fire</w:t>
      </w:r>
      <w:r>
        <w:rPr>
          <w:rFonts w:ascii="Arial"/>
          <w:i/>
          <w:spacing w:val="31"/>
          <w:sz w:val="20"/>
        </w:rPr>
        <w:t> </w:t>
      </w:r>
      <w:r>
        <w:rPr>
          <w:rFonts w:ascii="Arial"/>
          <w:i/>
          <w:sz w:val="20"/>
        </w:rPr>
        <w:t>Insurance</w:t>
      </w:r>
      <w:r>
        <w:rPr>
          <w:rFonts w:ascii="Arial"/>
          <w:i/>
          <w:spacing w:val="31"/>
          <w:sz w:val="20"/>
        </w:rPr>
        <w:t> </w:t>
      </w:r>
      <w:r>
        <w:rPr>
          <w:rFonts w:ascii="Arial"/>
          <w:i/>
          <w:sz w:val="20"/>
        </w:rPr>
        <w:t>Co</w:t>
      </w:r>
      <w:r>
        <w:rPr>
          <w:rFonts w:ascii="Arial"/>
          <w:i/>
          <w:spacing w:val="31"/>
          <w:sz w:val="20"/>
        </w:rPr>
        <w:t> </w:t>
      </w:r>
      <w:r>
        <w:rPr>
          <w:rFonts w:ascii="Arial"/>
          <w:i/>
          <w:sz w:val="20"/>
        </w:rPr>
        <w:t>v</w:t>
      </w:r>
      <w:r>
        <w:rPr>
          <w:rFonts w:ascii="Arial"/>
          <w:i/>
          <w:spacing w:val="31"/>
          <w:sz w:val="20"/>
        </w:rPr>
        <w:t> </w:t>
      </w:r>
      <w:r>
        <w:rPr>
          <w:rFonts w:ascii="Arial"/>
          <w:i/>
          <w:sz w:val="20"/>
        </w:rPr>
        <w:t>Grant</w:t>
      </w:r>
      <w:r>
        <w:rPr>
          <w:rFonts w:ascii="Arial"/>
          <w:i/>
          <w:spacing w:val="31"/>
          <w:sz w:val="20"/>
        </w:rPr>
        <w:t> </w:t>
      </w:r>
      <w:r>
        <w:rPr>
          <w:rFonts w:ascii="Arial"/>
          <w:i/>
          <w:sz w:val="20"/>
        </w:rPr>
        <w:t>(1879)</w:t>
      </w:r>
      <w:r>
        <w:rPr>
          <w:rFonts w:ascii="Arial"/>
          <w:i/>
          <w:spacing w:val="31"/>
          <w:sz w:val="20"/>
        </w:rPr>
        <w:t> </w:t>
      </w:r>
      <w:r>
        <w:rPr>
          <w:rFonts w:ascii="Arial"/>
          <w:i/>
          <w:sz w:val="20"/>
        </w:rPr>
        <w:t>3</w:t>
      </w:r>
      <w:r>
        <w:rPr>
          <w:rFonts w:ascii="Arial"/>
          <w:i/>
          <w:spacing w:val="31"/>
          <w:sz w:val="20"/>
        </w:rPr>
        <w:t> </w:t>
      </w:r>
      <w:r>
        <w:rPr>
          <w:rFonts w:ascii="Arial"/>
          <w:i/>
          <w:sz w:val="20"/>
        </w:rPr>
        <w:t>Ex.</w:t>
      </w:r>
      <w:r>
        <w:rPr>
          <w:rFonts w:ascii="Arial"/>
          <w:i/>
          <w:spacing w:val="31"/>
          <w:sz w:val="20"/>
        </w:rPr>
        <w:t> </w:t>
      </w:r>
      <w:r>
        <w:rPr>
          <w:rFonts w:ascii="Arial"/>
          <w:i/>
          <w:sz w:val="20"/>
        </w:rPr>
        <w:t>D.</w:t>
      </w:r>
      <w:r>
        <w:rPr>
          <w:rFonts w:ascii="Arial"/>
          <w:i/>
          <w:spacing w:val="31"/>
          <w:sz w:val="20"/>
        </w:rPr>
        <w:t> </w:t>
      </w:r>
      <w:r>
        <w:rPr>
          <w:rFonts w:ascii="Arial"/>
          <w:i/>
          <w:sz w:val="20"/>
        </w:rPr>
        <w:t>216</w:t>
      </w:r>
      <w:r>
        <w:rPr>
          <w:sz w:val="20"/>
        </w:rPr>
        <w:t>,</w:t>
      </w:r>
      <w:r>
        <w:rPr>
          <w:spacing w:val="31"/>
          <w:sz w:val="20"/>
        </w:rPr>
        <w:t> </w:t>
      </w:r>
      <w:r>
        <w:rPr>
          <w:sz w:val="20"/>
        </w:rPr>
        <w:t>overruling</w:t>
      </w:r>
      <w:r>
        <w:rPr>
          <w:spacing w:val="31"/>
          <w:sz w:val="20"/>
        </w:rPr>
        <w:t> </w:t>
      </w:r>
      <w:r>
        <w:rPr>
          <w:rFonts w:ascii="Arial"/>
          <w:i/>
          <w:sz w:val="20"/>
        </w:rPr>
        <w:t>British</w:t>
      </w:r>
      <w:r>
        <w:rPr>
          <w:rFonts w:ascii="Arial"/>
          <w:i/>
          <w:spacing w:val="31"/>
          <w:sz w:val="20"/>
        </w:rPr>
        <w:t> </w:t>
      </w:r>
      <w:r>
        <w:rPr>
          <w:rFonts w:ascii="Arial"/>
          <w:i/>
          <w:sz w:val="20"/>
        </w:rPr>
        <w:t>and</w:t>
      </w:r>
      <w:r>
        <w:rPr>
          <w:rFonts w:ascii="Arial"/>
          <w:i/>
          <w:spacing w:val="31"/>
          <w:sz w:val="20"/>
        </w:rPr>
        <w:t> </w:t>
      </w:r>
      <w:r>
        <w:rPr>
          <w:rFonts w:ascii="Arial"/>
          <w:i/>
          <w:sz w:val="20"/>
        </w:rPr>
        <w:t>American Telegraph Co Ltd v Colson (1871) L.R. 6 Ex. 108</w:t>
      </w:r>
      <w:r>
        <w:rPr>
          <w:sz w:val="20"/>
        </w:rPr>
        <w:t>. See below, paras 2-047 et seq.</w:t>
      </w:r>
    </w:p>
    <w:p>
      <w:pPr>
        <w:pStyle w:val="BodyText"/>
        <w:spacing w:before="6"/>
      </w:pPr>
    </w:p>
    <w:p>
      <w:pPr>
        <w:tabs>
          <w:tab w:pos="705" w:val="left" w:leader="none"/>
        </w:tabs>
        <w:spacing w:before="0"/>
        <w:ind w:left="165" w:right="0" w:firstLine="0"/>
        <w:jc w:val="left"/>
        <w:rPr>
          <w:sz w:val="20"/>
        </w:rPr>
      </w:pPr>
      <w:bookmarkStart w:name="_bookmark322" w:id="324"/>
      <w:bookmarkEnd w:id="324"/>
      <w:r>
        <w:rPr/>
      </w:r>
      <w:hyperlink w:history="true" w:anchor="_bookmark256">
        <w:r>
          <w:rPr>
            <w:color w:val="005DA1"/>
            <w:spacing w:val="-4"/>
            <w:position w:val="5"/>
            <w:sz w:val="14"/>
            <w:u w:val="single" w:color="005DA1"/>
          </w:rPr>
          <w:t>154</w:t>
        </w:r>
      </w:hyperlink>
      <w:r>
        <w:rPr>
          <w:spacing w:val="-4"/>
          <w:position w:val="5"/>
          <w:sz w:val="14"/>
        </w:rPr>
        <w:t>.</w:t>
      </w:r>
      <w:r>
        <w:rPr>
          <w:position w:val="5"/>
          <w:sz w:val="14"/>
        </w:rPr>
        <w:tab/>
      </w:r>
      <w:r>
        <w:rPr>
          <w:rFonts w:ascii="Arial"/>
          <w:i/>
          <w:sz w:val="20"/>
        </w:rPr>
        <w:t>Byrne</w:t>
      </w:r>
      <w:r>
        <w:rPr>
          <w:rFonts w:ascii="Arial"/>
          <w:i/>
          <w:spacing w:val="-1"/>
          <w:sz w:val="20"/>
        </w:rPr>
        <w:t> </w:t>
      </w:r>
      <w:r>
        <w:rPr>
          <w:rFonts w:ascii="Arial"/>
          <w:i/>
          <w:sz w:val="20"/>
        </w:rPr>
        <w:t>v Van Tienhoven (1880) 5 C.P.D. 344</w:t>
      </w:r>
      <w:r>
        <w:rPr>
          <w:sz w:val="20"/>
        </w:rPr>
        <w:t>; below, para.2-</w:t>
      </w:r>
      <w:r>
        <w:rPr>
          <w:spacing w:val="-4"/>
          <w:sz w:val="20"/>
        </w:rPr>
        <w:t>094.</w:t>
      </w:r>
    </w:p>
    <w:p>
      <w:pPr>
        <w:pStyle w:val="BodyText"/>
        <w:spacing w:before="5"/>
      </w:pPr>
    </w:p>
    <w:p>
      <w:pPr>
        <w:tabs>
          <w:tab w:pos="705" w:val="left" w:leader="none"/>
        </w:tabs>
        <w:spacing w:line="227" w:lineRule="exact" w:before="0"/>
        <w:ind w:left="165" w:right="0" w:firstLine="0"/>
        <w:jc w:val="left"/>
        <w:rPr>
          <w:sz w:val="20"/>
        </w:rPr>
      </w:pPr>
      <w:bookmarkStart w:name="_bookmark323" w:id="325"/>
      <w:bookmarkEnd w:id="325"/>
      <w:r>
        <w:rPr/>
      </w:r>
      <w:hyperlink w:history="true" w:anchor="_bookmark257">
        <w:r>
          <w:rPr>
            <w:color w:val="005DA1"/>
            <w:spacing w:val="-4"/>
            <w:position w:val="5"/>
            <w:sz w:val="14"/>
            <w:u w:val="single" w:color="005DA1"/>
          </w:rPr>
          <w:t>155</w:t>
        </w:r>
      </w:hyperlink>
      <w:r>
        <w:rPr>
          <w:spacing w:val="-4"/>
          <w:position w:val="5"/>
          <w:sz w:val="14"/>
        </w:rPr>
        <w:t>.</w:t>
      </w:r>
      <w:r>
        <w:rPr>
          <w:position w:val="5"/>
          <w:sz w:val="14"/>
        </w:rPr>
        <w:tab/>
      </w:r>
      <w:r>
        <w:rPr>
          <w:rFonts w:ascii="Arial"/>
          <w:i/>
          <w:sz w:val="20"/>
        </w:rPr>
        <w:t>Felthouse</w:t>
      </w:r>
      <w:r>
        <w:rPr>
          <w:rFonts w:ascii="Arial"/>
          <w:i/>
          <w:spacing w:val="1"/>
          <w:sz w:val="20"/>
        </w:rPr>
        <w:t> </w:t>
      </w:r>
      <w:r>
        <w:rPr>
          <w:rFonts w:ascii="Arial"/>
          <w:i/>
          <w:sz w:val="20"/>
        </w:rPr>
        <w:t>v</w:t>
      </w:r>
      <w:r>
        <w:rPr>
          <w:rFonts w:ascii="Arial"/>
          <w:i/>
          <w:spacing w:val="1"/>
          <w:sz w:val="20"/>
        </w:rPr>
        <w:t> </w:t>
      </w:r>
      <w:r>
        <w:rPr>
          <w:rFonts w:ascii="Arial"/>
          <w:i/>
          <w:sz w:val="20"/>
        </w:rPr>
        <w:t>Bindley</w:t>
      </w:r>
      <w:r>
        <w:rPr>
          <w:rFonts w:ascii="Arial"/>
          <w:i/>
          <w:spacing w:val="1"/>
          <w:sz w:val="20"/>
        </w:rPr>
        <w:t> </w:t>
      </w:r>
      <w:r>
        <w:rPr>
          <w:rFonts w:ascii="Arial"/>
          <w:i/>
          <w:sz w:val="20"/>
        </w:rPr>
        <w:t>(1862)</w:t>
      </w:r>
      <w:r>
        <w:rPr>
          <w:rFonts w:ascii="Arial"/>
          <w:i/>
          <w:spacing w:val="1"/>
          <w:sz w:val="20"/>
        </w:rPr>
        <w:t> </w:t>
      </w:r>
      <w:r>
        <w:rPr>
          <w:rFonts w:ascii="Arial"/>
          <w:i/>
          <w:sz w:val="20"/>
        </w:rPr>
        <w:t>11</w:t>
      </w:r>
      <w:r>
        <w:rPr>
          <w:rFonts w:ascii="Arial"/>
          <w:i/>
          <w:spacing w:val="1"/>
          <w:sz w:val="20"/>
        </w:rPr>
        <w:t> </w:t>
      </w:r>
      <w:r>
        <w:rPr>
          <w:rFonts w:ascii="Arial"/>
          <w:i/>
          <w:sz w:val="20"/>
        </w:rPr>
        <w:t>C.B.(N.S.)</w:t>
      </w:r>
      <w:r>
        <w:rPr>
          <w:rFonts w:ascii="Arial"/>
          <w:i/>
          <w:spacing w:val="1"/>
          <w:sz w:val="20"/>
        </w:rPr>
        <w:t> </w:t>
      </w:r>
      <w:r>
        <w:rPr>
          <w:rFonts w:ascii="Arial"/>
          <w:i/>
          <w:sz w:val="20"/>
        </w:rPr>
        <w:t>869,</w:t>
      </w:r>
      <w:r>
        <w:rPr>
          <w:rFonts w:ascii="Arial"/>
          <w:i/>
          <w:spacing w:val="1"/>
          <w:sz w:val="20"/>
        </w:rPr>
        <w:t> </w:t>
      </w:r>
      <w:r>
        <w:rPr>
          <w:rFonts w:ascii="Arial"/>
          <w:i/>
          <w:sz w:val="20"/>
        </w:rPr>
        <w:t>affirmed</w:t>
      </w:r>
      <w:r>
        <w:rPr>
          <w:rFonts w:ascii="Arial"/>
          <w:i/>
          <w:spacing w:val="1"/>
          <w:sz w:val="20"/>
        </w:rPr>
        <w:t> </w:t>
      </w:r>
      <w:r>
        <w:rPr>
          <w:rFonts w:ascii="Arial"/>
          <w:i/>
          <w:sz w:val="20"/>
        </w:rPr>
        <w:t>(1863)</w:t>
      </w:r>
      <w:r>
        <w:rPr>
          <w:rFonts w:ascii="Arial"/>
          <w:i/>
          <w:spacing w:val="1"/>
          <w:sz w:val="20"/>
        </w:rPr>
        <w:t> </w:t>
      </w:r>
      <w:r>
        <w:rPr>
          <w:rFonts w:ascii="Arial"/>
          <w:i/>
          <w:sz w:val="20"/>
        </w:rPr>
        <w:t>1</w:t>
      </w:r>
      <w:r>
        <w:rPr>
          <w:rFonts w:ascii="Arial"/>
          <w:i/>
          <w:spacing w:val="1"/>
          <w:sz w:val="20"/>
        </w:rPr>
        <w:t> </w:t>
      </w:r>
      <w:r>
        <w:rPr>
          <w:rFonts w:ascii="Arial"/>
          <w:i/>
          <w:sz w:val="20"/>
        </w:rPr>
        <w:t>N.R.</w:t>
      </w:r>
      <w:r>
        <w:rPr>
          <w:rFonts w:ascii="Arial"/>
          <w:i/>
          <w:spacing w:val="1"/>
          <w:sz w:val="20"/>
        </w:rPr>
        <w:t> </w:t>
      </w:r>
      <w:r>
        <w:rPr>
          <w:rFonts w:ascii="Arial"/>
          <w:i/>
          <w:sz w:val="20"/>
        </w:rPr>
        <w:t>401 </w:t>
      </w:r>
      <w:r>
        <w:rPr>
          <w:sz w:val="20"/>
        </w:rPr>
        <w:t>and</w:t>
      </w:r>
      <w:r>
        <w:rPr>
          <w:spacing w:val="1"/>
          <w:sz w:val="20"/>
        </w:rPr>
        <w:t> </w:t>
      </w:r>
      <w:r>
        <w:rPr>
          <w:sz w:val="20"/>
        </w:rPr>
        <w:t>see</w:t>
      </w:r>
      <w:r>
        <w:rPr>
          <w:spacing w:val="1"/>
          <w:sz w:val="20"/>
        </w:rPr>
        <w:t> </w:t>
      </w:r>
      <w:r>
        <w:rPr>
          <w:sz w:val="20"/>
        </w:rPr>
        <w:t>below,</w:t>
      </w:r>
      <w:r>
        <w:rPr>
          <w:spacing w:val="1"/>
          <w:sz w:val="20"/>
        </w:rPr>
        <w:t> </w:t>
      </w:r>
      <w:r>
        <w:rPr>
          <w:spacing w:val="-2"/>
          <w:sz w:val="20"/>
        </w:rPr>
        <w:t>paras</w:t>
      </w:r>
    </w:p>
    <w:p>
      <w:pPr>
        <w:pStyle w:val="BodyText"/>
        <w:spacing w:line="227" w:lineRule="exact"/>
        <w:ind w:left="705"/>
      </w:pPr>
      <w:r>
        <w:rPr/>
        <w:t>2-068 et </w:t>
      </w:r>
      <w:r>
        <w:rPr>
          <w:spacing w:val="-4"/>
        </w:rPr>
        <w:t>seq.</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324" w:id="326"/>
      <w:bookmarkEnd w:id="326"/>
      <w:r>
        <w:rPr/>
      </w:r>
      <w:hyperlink w:history="true" w:anchor="_bookmark258">
        <w:r>
          <w:rPr>
            <w:color w:val="005DA1"/>
            <w:spacing w:val="-4"/>
            <w:position w:val="5"/>
            <w:sz w:val="14"/>
            <w:u w:val="single" w:color="005DA1"/>
          </w:rPr>
          <w:t>156</w:t>
        </w:r>
      </w:hyperlink>
      <w:r>
        <w:rPr>
          <w:spacing w:val="-4"/>
          <w:position w:val="5"/>
          <w:sz w:val="14"/>
        </w:rPr>
        <w:t>.</w:t>
      </w:r>
      <w:r>
        <w:rPr>
          <w:position w:val="5"/>
          <w:sz w:val="14"/>
        </w:rPr>
        <w:tab/>
      </w:r>
      <w:r>
        <w:rPr>
          <w:rFonts w:ascii="Arial" w:hAnsi="Arial"/>
          <w:i/>
          <w:sz w:val="20"/>
        </w:rPr>
        <w:t>Tekdata</w:t>
      </w:r>
      <w:r>
        <w:rPr>
          <w:rFonts w:ascii="Arial" w:hAnsi="Arial"/>
          <w:i/>
          <w:spacing w:val="1"/>
          <w:sz w:val="20"/>
        </w:rPr>
        <w:t> </w:t>
      </w:r>
      <w:r>
        <w:rPr>
          <w:rFonts w:ascii="Arial" w:hAnsi="Arial"/>
          <w:i/>
          <w:sz w:val="20"/>
        </w:rPr>
        <w:t>Interconnections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Amplenol</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[2009]</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1209,</w:t>
      </w:r>
      <w:r>
        <w:rPr>
          <w:rFonts w:ascii="Arial" w:hAnsi="Arial"/>
          <w:i/>
          <w:spacing w:val="1"/>
          <w:sz w:val="20"/>
        </w:rPr>
        <w:t> </w:t>
      </w:r>
      <w:r>
        <w:rPr>
          <w:rFonts w:ascii="Arial" w:hAnsi="Arial"/>
          <w:i/>
          <w:sz w:val="20"/>
        </w:rPr>
        <w:t>[2010]</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pacing w:val="-5"/>
          <w:sz w:val="20"/>
        </w:rPr>
        <w:t>357</w:t>
      </w:r>
    </w:p>
    <w:p>
      <w:pPr>
        <w:pStyle w:val="BodyText"/>
        <w:spacing w:line="227" w:lineRule="exact"/>
        <w:ind w:left="705"/>
      </w:pPr>
      <w:r>
        <w:rPr/>
        <w:t>especially at [11], [21], [25] and </w:t>
      </w:r>
      <w:r>
        <w:rPr>
          <w:spacing w:val="-2"/>
        </w:rPr>
        <w:t>[30].</w:t>
      </w:r>
    </w:p>
    <w:p>
      <w:pPr>
        <w:pStyle w:val="BodyText"/>
        <w:spacing w:before="5"/>
      </w:pPr>
    </w:p>
    <w:p>
      <w:pPr>
        <w:pStyle w:val="BodyText"/>
        <w:tabs>
          <w:tab w:pos="705" w:val="left" w:leader="none"/>
        </w:tabs>
        <w:ind w:left="165"/>
      </w:pPr>
      <w:bookmarkStart w:name="_bookmark325" w:id="327"/>
      <w:bookmarkEnd w:id="327"/>
      <w:r>
        <w:rPr/>
      </w:r>
      <w:hyperlink w:history="true" w:anchor="_bookmark259">
        <w:r>
          <w:rPr>
            <w:color w:val="005DA1"/>
            <w:spacing w:val="-4"/>
            <w:position w:val="5"/>
            <w:sz w:val="14"/>
            <w:u w:val="single" w:color="005DA1"/>
          </w:rPr>
          <w:t>157</w:t>
        </w:r>
      </w:hyperlink>
      <w:r>
        <w:rPr>
          <w:spacing w:val="-4"/>
          <w:position w:val="5"/>
          <w:sz w:val="14"/>
        </w:rPr>
        <w:t>.</w:t>
      </w:r>
      <w:r>
        <w:rPr>
          <w:position w:val="5"/>
          <w:sz w:val="14"/>
        </w:rPr>
        <w:tab/>
      </w:r>
      <w:r>
        <w:rPr/>
        <w:t>See below, paras 2-177—2-</w:t>
      </w:r>
      <w:r>
        <w:rPr>
          <w:spacing w:val="-4"/>
        </w:rPr>
        <w:t>184.</w:t>
      </w:r>
    </w:p>
    <w:p>
      <w:pPr>
        <w:pStyle w:val="BodyText"/>
        <w:spacing w:before="5"/>
      </w:pPr>
    </w:p>
    <w:p>
      <w:pPr>
        <w:pStyle w:val="BodyText"/>
        <w:tabs>
          <w:tab w:pos="705" w:val="left" w:leader="none"/>
        </w:tabs>
        <w:ind w:left="165"/>
      </w:pPr>
      <w:bookmarkStart w:name="_bookmark326" w:id="328"/>
      <w:bookmarkEnd w:id="328"/>
      <w:r>
        <w:rPr/>
      </w:r>
      <w:hyperlink w:history="true" w:anchor="_bookmark260">
        <w:r>
          <w:rPr>
            <w:color w:val="005DA1"/>
            <w:spacing w:val="-4"/>
            <w:position w:val="5"/>
            <w:sz w:val="14"/>
            <w:u w:val="single" w:color="005DA1"/>
          </w:rPr>
          <w:t>158</w:t>
        </w:r>
      </w:hyperlink>
      <w:r>
        <w:rPr>
          <w:spacing w:val="-4"/>
          <w:position w:val="5"/>
          <w:sz w:val="14"/>
        </w:rPr>
        <w:t>.</w:t>
      </w:r>
      <w:r>
        <w:rPr>
          <w:position w:val="5"/>
          <w:sz w:val="14"/>
        </w:rPr>
        <w:tab/>
      </w:r>
      <w:r>
        <w:rPr/>
        <w:t>See below, paras 2-188—2-</w:t>
      </w:r>
      <w:r>
        <w:rPr>
          <w:spacing w:val="-4"/>
        </w:rPr>
        <w:t>193.</w:t>
      </w:r>
    </w:p>
    <w:p>
      <w:pPr>
        <w:pStyle w:val="BodyText"/>
        <w:spacing w:before="5"/>
      </w:pPr>
    </w:p>
    <w:p>
      <w:pPr>
        <w:tabs>
          <w:tab w:pos="705" w:val="left" w:leader="none"/>
        </w:tabs>
        <w:spacing w:before="0"/>
        <w:ind w:left="165" w:right="0" w:firstLine="0"/>
        <w:jc w:val="left"/>
        <w:rPr>
          <w:sz w:val="20"/>
        </w:rPr>
      </w:pPr>
      <w:bookmarkStart w:name="_bookmark327" w:id="329"/>
      <w:bookmarkEnd w:id="329"/>
      <w:r>
        <w:rPr/>
      </w:r>
      <w:hyperlink w:history="true" w:anchor="_bookmark261">
        <w:r>
          <w:rPr>
            <w:color w:val="005DA1"/>
            <w:spacing w:val="-4"/>
            <w:position w:val="5"/>
            <w:sz w:val="14"/>
            <w:u w:val="single" w:color="005DA1"/>
          </w:rPr>
          <w:t>159</w:t>
        </w:r>
      </w:hyperlink>
      <w:r>
        <w:rPr>
          <w:spacing w:val="-4"/>
          <w:position w:val="5"/>
          <w:sz w:val="14"/>
        </w:rPr>
        <w:t>.</w:t>
      </w:r>
      <w:r>
        <w:rPr>
          <w:position w:val="5"/>
          <w:sz w:val="14"/>
        </w:rPr>
        <w:tab/>
      </w:r>
      <w:r>
        <w:rPr>
          <w:sz w:val="20"/>
        </w:rPr>
        <w:t>See below, </w:t>
      </w:r>
      <w:r>
        <w:rPr>
          <w:spacing w:val="-2"/>
          <w:sz w:val="20"/>
        </w:rPr>
        <w:t>Ch.5.</w:t>
      </w:r>
    </w:p>
    <w:p>
      <w:pPr>
        <w:pStyle w:val="BodyText"/>
        <w:spacing w:before="5"/>
      </w:pPr>
    </w:p>
    <w:p>
      <w:pPr>
        <w:pStyle w:val="BodyText"/>
        <w:tabs>
          <w:tab w:pos="705" w:val="left" w:leader="none"/>
        </w:tabs>
        <w:ind w:left="165"/>
      </w:pPr>
      <w:bookmarkStart w:name="_bookmark328" w:id="330"/>
      <w:bookmarkEnd w:id="330"/>
      <w:r>
        <w:rPr/>
      </w:r>
      <w:hyperlink w:history="true" w:anchor="_bookmark261">
        <w:r>
          <w:rPr>
            <w:color w:val="005DA1"/>
            <w:spacing w:val="-4"/>
            <w:position w:val="5"/>
            <w:sz w:val="14"/>
            <w:u w:val="single" w:color="005DA1"/>
          </w:rPr>
          <w:t>160</w:t>
        </w:r>
      </w:hyperlink>
      <w:r>
        <w:rPr>
          <w:spacing w:val="-4"/>
          <w:position w:val="5"/>
          <w:sz w:val="14"/>
        </w:rPr>
        <w:t>.</w:t>
      </w:r>
      <w:r>
        <w:rPr>
          <w:position w:val="5"/>
          <w:sz w:val="14"/>
        </w:rPr>
        <w:tab/>
      </w:r>
      <w:r>
        <w:rPr/>
        <w:t>See below, Chs 3 and </w:t>
      </w:r>
      <w:r>
        <w:rPr>
          <w:spacing w:val="-5"/>
        </w:rPr>
        <w:t>6.</w:t>
      </w:r>
    </w:p>
    <w:p>
      <w:pPr>
        <w:pStyle w:val="BodyText"/>
        <w:spacing w:before="5"/>
      </w:pPr>
    </w:p>
    <w:p>
      <w:pPr>
        <w:tabs>
          <w:tab w:pos="705" w:val="left" w:leader="none"/>
        </w:tabs>
        <w:spacing w:before="0"/>
        <w:ind w:left="165" w:right="0" w:firstLine="0"/>
        <w:jc w:val="left"/>
        <w:rPr>
          <w:sz w:val="20"/>
        </w:rPr>
      </w:pPr>
      <w:bookmarkStart w:name="_bookmark329" w:id="331"/>
      <w:bookmarkEnd w:id="331"/>
      <w:r>
        <w:rPr/>
      </w:r>
      <w:hyperlink w:history="true" w:anchor="_bookmark262">
        <w:r>
          <w:rPr>
            <w:color w:val="005DA1"/>
            <w:spacing w:val="-4"/>
            <w:position w:val="5"/>
            <w:sz w:val="14"/>
            <w:u w:val="single" w:color="005DA1"/>
          </w:rPr>
          <w:t>161</w:t>
        </w:r>
      </w:hyperlink>
      <w:r>
        <w:rPr>
          <w:spacing w:val="-4"/>
          <w:position w:val="5"/>
          <w:sz w:val="14"/>
        </w:rPr>
        <w:t>.</w:t>
      </w:r>
      <w:r>
        <w:rPr>
          <w:position w:val="5"/>
          <w:sz w:val="14"/>
        </w:rPr>
        <w:tab/>
      </w:r>
      <w:r>
        <w:rPr>
          <w:sz w:val="20"/>
        </w:rPr>
        <w:t>See below, </w:t>
      </w:r>
      <w:r>
        <w:rPr>
          <w:spacing w:val="-2"/>
          <w:sz w:val="20"/>
        </w:rPr>
        <w:t>Ch.7.</w:t>
      </w:r>
    </w:p>
    <w:p>
      <w:pPr>
        <w:pStyle w:val="BodyText"/>
        <w:spacing w:before="5"/>
      </w:pPr>
    </w:p>
    <w:p>
      <w:pPr>
        <w:pStyle w:val="BodyText"/>
        <w:tabs>
          <w:tab w:pos="705" w:val="left" w:leader="none"/>
        </w:tabs>
        <w:ind w:left="165"/>
      </w:pPr>
      <w:bookmarkStart w:name="_bookmark330" w:id="332"/>
      <w:bookmarkEnd w:id="332"/>
      <w:r>
        <w:rPr/>
      </w:r>
      <w:hyperlink w:history="true" w:anchor="_bookmark262">
        <w:r>
          <w:rPr>
            <w:color w:val="005DA1"/>
            <w:spacing w:val="-4"/>
            <w:position w:val="5"/>
            <w:sz w:val="14"/>
            <w:u w:val="single" w:color="005DA1"/>
          </w:rPr>
          <w:t>162</w:t>
        </w:r>
      </w:hyperlink>
      <w:r>
        <w:rPr>
          <w:spacing w:val="-4"/>
          <w:position w:val="5"/>
          <w:sz w:val="14"/>
        </w:rPr>
        <w:t>.</w:t>
      </w:r>
      <w:r>
        <w:rPr>
          <w:position w:val="5"/>
          <w:sz w:val="14"/>
        </w:rPr>
        <w:tab/>
      </w:r>
      <w:r>
        <w:rPr/>
        <w:t>See below, paras 8-003—8-</w:t>
      </w:r>
      <w:r>
        <w:rPr>
          <w:spacing w:val="-4"/>
        </w:rPr>
        <w:t>056.</w:t>
      </w:r>
    </w:p>
    <w:p>
      <w:pPr>
        <w:pStyle w:val="BodyText"/>
        <w:spacing w:before="5"/>
      </w:pPr>
    </w:p>
    <w:p>
      <w:pPr>
        <w:pStyle w:val="BodyText"/>
        <w:tabs>
          <w:tab w:pos="705" w:val="left" w:leader="none"/>
        </w:tabs>
        <w:ind w:left="165"/>
      </w:pPr>
      <w:bookmarkStart w:name="_bookmark331" w:id="333"/>
      <w:bookmarkEnd w:id="333"/>
      <w:r>
        <w:rPr/>
      </w:r>
      <w:hyperlink w:history="true" w:anchor="_bookmark262">
        <w:r>
          <w:rPr>
            <w:color w:val="005DA1"/>
            <w:spacing w:val="-4"/>
            <w:position w:val="5"/>
            <w:sz w:val="14"/>
            <w:u w:val="single" w:color="005DA1"/>
          </w:rPr>
          <w:t>163</w:t>
        </w:r>
      </w:hyperlink>
      <w:r>
        <w:rPr>
          <w:spacing w:val="-4"/>
          <w:position w:val="5"/>
          <w:sz w:val="14"/>
        </w:rPr>
        <w:t>.</w:t>
      </w:r>
      <w:r>
        <w:rPr>
          <w:position w:val="5"/>
          <w:sz w:val="14"/>
        </w:rPr>
        <w:tab/>
      </w:r>
      <w:r>
        <w:rPr/>
        <w:t>See below, paras 8-057—8-</w:t>
      </w:r>
      <w:r>
        <w:rPr>
          <w:spacing w:val="-4"/>
        </w:rPr>
        <w:t>129.</w:t>
      </w:r>
    </w:p>
    <w:p>
      <w:pPr>
        <w:pStyle w:val="BodyText"/>
        <w:spacing w:before="5"/>
      </w:pPr>
    </w:p>
    <w:p>
      <w:pPr>
        <w:pStyle w:val="BodyText"/>
        <w:tabs>
          <w:tab w:pos="705" w:val="left" w:leader="none"/>
        </w:tabs>
        <w:ind w:left="165"/>
      </w:pPr>
      <w:bookmarkStart w:name="_bookmark332" w:id="334"/>
      <w:bookmarkEnd w:id="334"/>
      <w:r>
        <w:rPr/>
      </w:r>
      <w:hyperlink w:history="true" w:anchor="_bookmark262">
        <w:r>
          <w:rPr>
            <w:color w:val="005DA1"/>
            <w:spacing w:val="-4"/>
            <w:position w:val="5"/>
            <w:sz w:val="14"/>
            <w:u w:val="single" w:color="005DA1"/>
          </w:rPr>
          <w:t>164</w:t>
        </w:r>
      </w:hyperlink>
      <w:r>
        <w:rPr>
          <w:spacing w:val="-4"/>
          <w:position w:val="5"/>
          <w:sz w:val="14"/>
        </w:rPr>
        <w:t>.</w:t>
      </w:r>
      <w:r>
        <w:rPr>
          <w:position w:val="5"/>
          <w:sz w:val="14"/>
        </w:rPr>
        <w:tab/>
      </w:r>
      <w:r>
        <w:rPr/>
        <w:t>See below, Chs 9 and </w:t>
      </w:r>
      <w:r>
        <w:rPr>
          <w:spacing w:val="-5"/>
        </w:rPr>
        <w:t>10.</w:t>
      </w:r>
    </w:p>
    <w:p>
      <w:pPr>
        <w:pStyle w:val="BodyText"/>
        <w:spacing w:after="0"/>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262">
        <w:r>
          <w:rPr>
            <w:color w:val="005DA1"/>
            <w:spacing w:val="-4"/>
            <w:position w:val="5"/>
            <w:sz w:val="14"/>
            <w:u w:val="single" w:color="005DA1"/>
          </w:rPr>
          <w:t>165</w:t>
        </w:r>
      </w:hyperlink>
      <w:r>
        <w:rPr>
          <w:spacing w:val="-4"/>
          <w:position w:val="5"/>
          <w:sz w:val="14"/>
        </w:rPr>
        <w:t>.</w:t>
      </w:r>
      <w:r>
        <w:rPr>
          <w:position w:val="5"/>
          <w:sz w:val="14"/>
        </w:rPr>
        <w:tab/>
      </w:r>
      <w:r>
        <w:rPr>
          <w:sz w:val="20"/>
        </w:rPr>
        <w:t>See below, </w:t>
      </w:r>
      <w:r>
        <w:rPr>
          <w:spacing w:val="-2"/>
          <w:sz w:val="20"/>
        </w:rPr>
        <w:t>Ch.16.</w:t>
      </w:r>
    </w:p>
    <w:p>
      <w:pPr>
        <w:pStyle w:val="BodyText"/>
        <w:spacing w:before="5"/>
      </w:pPr>
    </w:p>
    <w:p>
      <w:pPr>
        <w:pStyle w:val="BodyText"/>
        <w:tabs>
          <w:tab w:pos="705" w:val="left" w:leader="none"/>
        </w:tabs>
        <w:spacing w:before="1"/>
        <w:ind w:left="165"/>
      </w:pPr>
      <w:bookmarkStart w:name="_bookmark333" w:id="335"/>
      <w:bookmarkEnd w:id="335"/>
      <w:r>
        <w:rPr/>
      </w:r>
      <w:hyperlink w:history="true" w:anchor="_bookmark263">
        <w:r>
          <w:rPr>
            <w:color w:val="005DA1"/>
            <w:spacing w:val="-4"/>
            <w:position w:val="5"/>
            <w:sz w:val="14"/>
            <w:u w:val="single" w:color="005DA1"/>
          </w:rPr>
          <w:t>166</w:t>
        </w:r>
      </w:hyperlink>
      <w:r>
        <w:rPr>
          <w:spacing w:val="-4"/>
          <w:position w:val="5"/>
          <w:sz w:val="14"/>
        </w:rPr>
        <w:t>.</w:t>
      </w:r>
      <w:r>
        <w:rPr>
          <w:position w:val="5"/>
          <w:sz w:val="14"/>
        </w:rPr>
        <w:tab/>
      </w:r>
      <w:r>
        <w:rPr/>
        <w:t>See</w:t>
      </w:r>
      <w:r>
        <w:rPr>
          <w:spacing w:val="-2"/>
        </w:rPr>
        <w:t> </w:t>
      </w:r>
      <w:r>
        <w:rPr/>
        <w:t>below, para.1-</w:t>
      </w:r>
      <w:r>
        <w:rPr>
          <w:spacing w:val="-4"/>
        </w:rPr>
        <w:t>108.</w:t>
      </w:r>
    </w:p>
    <w:p>
      <w:pPr>
        <w:pStyle w:val="BodyText"/>
        <w:spacing w:before="4"/>
      </w:pPr>
    </w:p>
    <w:p>
      <w:pPr>
        <w:pStyle w:val="BodyText"/>
        <w:tabs>
          <w:tab w:pos="705" w:val="left" w:leader="none"/>
        </w:tabs>
        <w:spacing w:before="1"/>
        <w:ind w:left="165"/>
      </w:pPr>
      <w:bookmarkStart w:name="_bookmark334" w:id="336"/>
      <w:bookmarkEnd w:id="336"/>
      <w:r>
        <w:rPr/>
      </w:r>
      <w:hyperlink w:history="true" w:anchor="_bookmark263">
        <w:r>
          <w:rPr>
            <w:color w:val="005DA1"/>
            <w:spacing w:val="-4"/>
            <w:position w:val="5"/>
            <w:sz w:val="14"/>
            <w:u w:val="single" w:color="005DA1"/>
          </w:rPr>
          <w:t>167</w:t>
        </w:r>
      </w:hyperlink>
      <w:r>
        <w:rPr>
          <w:spacing w:val="-4"/>
          <w:position w:val="5"/>
          <w:sz w:val="14"/>
        </w:rPr>
        <w:t>.</w:t>
      </w:r>
      <w:r>
        <w:rPr>
          <w:position w:val="5"/>
          <w:sz w:val="14"/>
        </w:rPr>
        <w:tab/>
      </w:r>
      <w:r>
        <w:rPr/>
        <w:t>See</w:t>
      </w:r>
      <w:r>
        <w:rPr>
          <w:spacing w:val="-2"/>
        </w:rPr>
        <w:t> </w:t>
      </w:r>
      <w:r>
        <w:rPr/>
        <w:t>below, para.1-</w:t>
      </w:r>
      <w:r>
        <w:rPr>
          <w:spacing w:val="-4"/>
        </w:rPr>
        <w:t>110.</w:t>
      </w:r>
    </w:p>
    <w:p>
      <w:pPr>
        <w:pStyle w:val="BodyText"/>
        <w:spacing w:before="4"/>
      </w:pPr>
    </w:p>
    <w:p>
      <w:pPr>
        <w:pStyle w:val="BodyText"/>
        <w:tabs>
          <w:tab w:pos="705" w:val="left" w:leader="none"/>
        </w:tabs>
        <w:spacing w:before="1"/>
        <w:ind w:left="165"/>
      </w:pPr>
      <w:bookmarkStart w:name="_bookmark335" w:id="337"/>
      <w:bookmarkEnd w:id="337"/>
      <w:r>
        <w:rPr/>
      </w:r>
      <w:hyperlink w:history="true" w:anchor="_bookmark264">
        <w:r>
          <w:rPr>
            <w:color w:val="005DA1"/>
            <w:spacing w:val="-4"/>
            <w:position w:val="5"/>
            <w:sz w:val="14"/>
            <w:u w:val="single" w:color="005DA1"/>
          </w:rPr>
          <w:t>168</w:t>
        </w:r>
      </w:hyperlink>
      <w:r>
        <w:rPr>
          <w:spacing w:val="-4"/>
          <w:position w:val="5"/>
          <w:sz w:val="14"/>
        </w:rPr>
        <w:t>.</w:t>
      </w:r>
      <w:r>
        <w:rPr>
          <w:position w:val="5"/>
          <w:sz w:val="14"/>
        </w:rPr>
        <w:tab/>
      </w:r>
      <w:r>
        <w:rPr/>
        <w:t>See</w:t>
      </w:r>
      <w:r>
        <w:rPr>
          <w:spacing w:val="-2"/>
        </w:rPr>
        <w:t> </w:t>
      </w:r>
      <w:r>
        <w:rPr/>
        <w:t>below, para.1-</w:t>
      </w:r>
      <w:r>
        <w:rPr>
          <w:spacing w:val="-4"/>
        </w:rPr>
        <w:t>112.</w:t>
      </w:r>
    </w:p>
    <w:p>
      <w:pPr>
        <w:pStyle w:val="BodyText"/>
        <w:spacing w:before="4"/>
      </w:pPr>
    </w:p>
    <w:p>
      <w:pPr>
        <w:pStyle w:val="BodyText"/>
        <w:tabs>
          <w:tab w:pos="705" w:val="left" w:leader="none"/>
        </w:tabs>
        <w:spacing w:before="1"/>
        <w:ind w:left="165"/>
      </w:pPr>
      <w:bookmarkStart w:name="_bookmark336" w:id="338"/>
      <w:bookmarkEnd w:id="338"/>
      <w:r>
        <w:rPr/>
      </w:r>
      <w:hyperlink w:history="true" w:anchor="_bookmark265">
        <w:r>
          <w:rPr>
            <w:color w:val="005DA1"/>
            <w:spacing w:val="-4"/>
            <w:position w:val="5"/>
            <w:sz w:val="14"/>
            <w:u w:val="single" w:color="005DA1"/>
          </w:rPr>
          <w:t>169</w:t>
        </w:r>
      </w:hyperlink>
      <w:r>
        <w:rPr>
          <w:spacing w:val="-4"/>
          <w:position w:val="5"/>
          <w:sz w:val="14"/>
        </w:rPr>
        <w:t>.</w:t>
      </w:r>
      <w:r>
        <w:rPr>
          <w:position w:val="5"/>
          <w:sz w:val="14"/>
        </w:rPr>
        <w:tab/>
      </w:r>
      <w:r>
        <w:rPr/>
        <w:t>See below, paras 4-130 et </w:t>
      </w:r>
      <w:r>
        <w:rPr>
          <w:spacing w:val="-4"/>
        </w:rPr>
        <w:t>seq.</w:t>
      </w:r>
    </w:p>
    <w:p>
      <w:pPr>
        <w:pStyle w:val="BodyText"/>
        <w:spacing w:before="4"/>
      </w:pPr>
    </w:p>
    <w:p>
      <w:pPr>
        <w:pStyle w:val="BodyText"/>
        <w:tabs>
          <w:tab w:pos="705" w:val="left" w:leader="none"/>
        </w:tabs>
        <w:spacing w:before="1"/>
        <w:ind w:left="165"/>
      </w:pPr>
      <w:bookmarkStart w:name="_bookmark337" w:id="339"/>
      <w:bookmarkEnd w:id="339"/>
      <w:r>
        <w:rPr/>
      </w:r>
      <w:hyperlink w:history="true" w:anchor="_bookmark266">
        <w:r>
          <w:rPr>
            <w:color w:val="005DA1"/>
            <w:spacing w:val="-4"/>
            <w:position w:val="5"/>
            <w:sz w:val="14"/>
            <w:u w:val="single" w:color="005DA1"/>
          </w:rPr>
          <w:t>170</w:t>
        </w:r>
      </w:hyperlink>
      <w:r>
        <w:rPr>
          <w:spacing w:val="-4"/>
          <w:position w:val="5"/>
          <w:sz w:val="14"/>
        </w:rPr>
        <w:t>.</w:t>
      </w:r>
      <w:r>
        <w:rPr>
          <w:position w:val="5"/>
          <w:sz w:val="14"/>
        </w:rPr>
        <w:tab/>
      </w:r>
      <w:r>
        <w:rPr/>
        <w:t>See</w:t>
      </w:r>
      <w:r>
        <w:rPr>
          <w:spacing w:val="-2"/>
        </w:rPr>
        <w:t> </w:t>
      </w:r>
      <w:r>
        <w:rPr/>
        <w:t>below, para.4-</w:t>
      </w:r>
      <w:r>
        <w:rPr>
          <w:spacing w:val="-4"/>
        </w:rPr>
        <w:t>094.</w:t>
      </w:r>
    </w:p>
    <w:p>
      <w:pPr>
        <w:pStyle w:val="BodyText"/>
        <w:spacing w:before="5"/>
      </w:pPr>
    </w:p>
    <w:p>
      <w:pPr>
        <w:tabs>
          <w:tab w:pos="705" w:val="left" w:leader="none"/>
        </w:tabs>
        <w:spacing w:before="0"/>
        <w:ind w:left="165" w:right="0" w:firstLine="0"/>
        <w:jc w:val="left"/>
        <w:rPr>
          <w:sz w:val="20"/>
        </w:rPr>
      </w:pPr>
      <w:bookmarkStart w:name="_bookmark338" w:id="340"/>
      <w:bookmarkEnd w:id="340"/>
      <w:r>
        <w:rPr/>
      </w:r>
      <w:hyperlink w:history="true" w:anchor="_bookmark267">
        <w:r>
          <w:rPr>
            <w:color w:val="005DA1"/>
            <w:spacing w:val="-4"/>
            <w:position w:val="5"/>
            <w:sz w:val="14"/>
            <w:u w:val="single" w:color="005DA1"/>
          </w:rPr>
          <w:t>171</w:t>
        </w:r>
      </w:hyperlink>
      <w:r>
        <w:rPr>
          <w:spacing w:val="-4"/>
          <w:position w:val="5"/>
          <w:sz w:val="14"/>
        </w:rPr>
        <w:t>.</w:t>
      </w:r>
      <w:r>
        <w:rPr>
          <w:position w:val="5"/>
          <w:sz w:val="14"/>
        </w:rPr>
        <w:tab/>
      </w:r>
      <w:r>
        <w:rPr>
          <w:rFonts w:ascii="Arial"/>
          <w:i/>
          <w:sz w:val="20"/>
        </w:rPr>
        <w:t>[1976] Ch. 179</w:t>
      </w:r>
      <w:r>
        <w:rPr>
          <w:rFonts w:ascii="Arial"/>
          <w:i/>
          <w:spacing w:val="-1"/>
          <w:sz w:val="20"/>
        </w:rPr>
        <w:t> </w:t>
      </w:r>
      <w:r>
        <w:rPr>
          <w:sz w:val="20"/>
        </w:rPr>
        <w:t>and see below, para.4-</w:t>
      </w:r>
      <w:r>
        <w:rPr>
          <w:spacing w:val="-4"/>
          <w:sz w:val="20"/>
        </w:rPr>
        <w:t>143.</w:t>
      </w:r>
    </w:p>
    <w:p>
      <w:pPr>
        <w:pStyle w:val="BodyText"/>
        <w:spacing w:before="5"/>
      </w:pPr>
    </w:p>
    <w:p>
      <w:pPr>
        <w:tabs>
          <w:tab w:pos="705" w:val="left" w:leader="none"/>
        </w:tabs>
        <w:spacing w:before="0"/>
        <w:ind w:left="165" w:right="0" w:firstLine="0"/>
        <w:jc w:val="left"/>
        <w:rPr>
          <w:sz w:val="20"/>
        </w:rPr>
      </w:pPr>
      <w:bookmarkStart w:name="_bookmark339" w:id="341"/>
      <w:bookmarkEnd w:id="341"/>
      <w:r>
        <w:rPr/>
      </w:r>
      <w:hyperlink w:history="true" w:anchor="_bookmark268">
        <w:r>
          <w:rPr>
            <w:color w:val="005DA1"/>
            <w:spacing w:val="-4"/>
            <w:position w:val="5"/>
            <w:sz w:val="14"/>
            <w:u w:val="single" w:color="005DA1"/>
          </w:rPr>
          <w:t>172</w:t>
        </w:r>
      </w:hyperlink>
      <w:r>
        <w:rPr>
          <w:spacing w:val="-4"/>
          <w:position w:val="5"/>
          <w:sz w:val="14"/>
        </w:rPr>
        <w:t>.</w:t>
      </w:r>
      <w:r>
        <w:rPr>
          <w:position w:val="5"/>
          <w:sz w:val="14"/>
        </w:rPr>
        <w:tab/>
      </w:r>
      <w:r>
        <w:rPr>
          <w:rFonts w:ascii="Arial"/>
          <w:i/>
          <w:sz w:val="20"/>
        </w:rPr>
        <w:t>[1976] Ch. 179, 195</w:t>
      </w:r>
      <w:r>
        <w:rPr>
          <w:rFonts w:ascii="Arial"/>
          <w:i/>
          <w:spacing w:val="-1"/>
          <w:sz w:val="20"/>
        </w:rPr>
        <w:t> </w:t>
      </w:r>
      <w:r>
        <w:rPr>
          <w:sz w:val="20"/>
        </w:rPr>
        <w:t>and see below, para.4-</w:t>
      </w:r>
      <w:r>
        <w:rPr>
          <w:spacing w:val="-4"/>
          <w:sz w:val="20"/>
        </w:rPr>
        <w:t>143.</w:t>
      </w:r>
    </w:p>
    <w:p>
      <w:pPr>
        <w:pStyle w:val="BodyText"/>
        <w:spacing w:before="8"/>
      </w:pPr>
    </w:p>
    <w:p>
      <w:pPr>
        <w:tabs>
          <w:tab w:pos="705" w:val="left" w:leader="none"/>
        </w:tabs>
        <w:spacing w:line="235" w:lineRule="auto" w:before="1"/>
        <w:ind w:left="705" w:right="168" w:hanging="541"/>
        <w:jc w:val="left"/>
        <w:rPr>
          <w:sz w:val="20"/>
        </w:rPr>
      </w:pPr>
      <w:bookmarkStart w:name="_bookmark340" w:id="342"/>
      <w:bookmarkEnd w:id="342"/>
      <w:r>
        <w:rPr/>
      </w:r>
      <w:hyperlink w:history="true" w:anchor="_bookmark269">
        <w:r>
          <w:rPr>
            <w:color w:val="005DA1"/>
            <w:spacing w:val="-4"/>
            <w:position w:val="5"/>
            <w:sz w:val="14"/>
            <w:u w:val="single" w:color="005DA1"/>
          </w:rPr>
          <w:t>173</w:t>
        </w:r>
      </w:hyperlink>
      <w:r>
        <w:rPr>
          <w:spacing w:val="-4"/>
          <w:position w:val="5"/>
          <w:sz w:val="14"/>
        </w:rPr>
        <w:t>.</w:t>
      </w:r>
      <w:r>
        <w:rPr>
          <w:position w:val="5"/>
          <w:sz w:val="14"/>
        </w:rPr>
        <w:tab/>
      </w:r>
      <w:r>
        <w:rPr>
          <w:sz w:val="20"/>
        </w:rPr>
        <w:t>Below, paras 5-040—5-049 discussing </w:t>
      </w:r>
      <w:r>
        <w:rPr>
          <w:rFonts w:ascii="Arial" w:hAnsi="Arial"/>
          <w:i/>
          <w:sz w:val="20"/>
        </w:rPr>
        <w:t>Cobbe v Yeoman’s Row Management Ltd [2008] </w:t>
      </w:r>
      <w:r>
        <w:rPr>
          <w:rFonts w:ascii="Arial" w:hAnsi="Arial"/>
          <w:i/>
          <w:sz w:val="20"/>
        </w:rPr>
        <w:t>UKHL 55, [2008] 1 W.L.R. 1752 </w:t>
      </w:r>
      <w:r>
        <w:rPr>
          <w:sz w:val="20"/>
        </w:rPr>
        <w:t>and </w:t>
      </w:r>
      <w:r>
        <w:rPr>
          <w:rFonts w:ascii="Arial" w:hAnsi="Arial"/>
          <w:i/>
          <w:sz w:val="20"/>
        </w:rPr>
        <w:t>Thorner v Major [2009] UKHL 18, [2009] 1 W.L.R. 776</w:t>
      </w:r>
      <w:r>
        <w:rPr>
          <w:sz w:val="20"/>
        </w:rPr>
        <w:t>.</w:t>
      </w:r>
    </w:p>
    <w:p>
      <w:pPr>
        <w:pStyle w:val="BodyText"/>
        <w:spacing w:before="5"/>
      </w:pPr>
    </w:p>
    <w:p>
      <w:pPr>
        <w:tabs>
          <w:tab w:pos="705" w:val="left" w:leader="none"/>
        </w:tabs>
        <w:spacing w:before="0"/>
        <w:ind w:left="165" w:right="0" w:firstLine="0"/>
        <w:jc w:val="left"/>
        <w:rPr>
          <w:sz w:val="20"/>
        </w:rPr>
      </w:pPr>
      <w:bookmarkStart w:name="_bookmark341" w:id="343"/>
      <w:bookmarkEnd w:id="343"/>
      <w:r>
        <w:rPr/>
      </w:r>
      <w:hyperlink w:history="true" w:anchor="_bookmark270">
        <w:r>
          <w:rPr>
            <w:color w:val="005DA1"/>
            <w:spacing w:val="-4"/>
            <w:position w:val="5"/>
            <w:sz w:val="14"/>
            <w:u w:val="single" w:color="005DA1"/>
          </w:rPr>
          <w:t>174</w:t>
        </w:r>
      </w:hyperlink>
      <w:r>
        <w:rPr>
          <w:spacing w:val="-4"/>
          <w:position w:val="5"/>
          <w:sz w:val="14"/>
        </w:rPr>
        <w:t>.</w:t>
      </w:r>
      <w:r>
        <w:rPr>
          <w:position w:val="5"/>
          <w:sz w:val="14"/>
        </w:rPr>
        <w:tab/>
      </w:r>
      <w:r>
        <w:rPr>
          <w:rFonts w:ascii="Arial"/>
          <w:i/>
          <w:sz w:val="20"/>
        </w:rPr>
        <w:t>[1972]</w:t>
      </w:r>
      <w:r>
        <w:rPr>
          <w:rFonts w:ascii="Arial"/>
          <w:i/>
          <w:spacing w:val="-2"/>
          <w:sz w:val="20"/>
        </w:rPr>
        <w:t> </w:t>
      </w:r>
      <w:r>
        <w:rPr>
          <w:rFonts w:ascii="Arial"/>
          <w:i/>
          <w:sz w:val="20"/>
        </w:rPr>
        <w:t>Ch. </w:t>
      </w:r>
      <w:r>
        <w:rPr>
          <w:rFonts w:ascii="Arial"/>
          <w:i/>
          <w:spacing w:val="-4"/>
          <w:sz w:val="20"/>
        </w:rPr>
        <w:t>359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42" w:id="344"/>
      <w:bookmarkEnd w:id="344"/>
      <w:r>
        <w:rPr/>
      </w:r>
      <w:hyperlink w:history="true" w:anchor="_bookmark271">
        <w:r>
          <w:rPr>
            <w:color w:val="005DA1"/>
            <w:spacing w:val="-4"/>
            <w:position w:val="5"/>
            <w:sz w:val="14"/>
            <w:u w:val="single" w:color="005DA1"/>
          </w:rPr>
          <w:t>175</w:t>
        </w:r>
      </w:hyperlink>
      <w:r>
        <w:rPr>
          <w:spacing w:val="-4"/>
          <w:position w:val="5"/>
          <w:sz w:val="14"/>
        </w:rPr>
        <w:t>.</w:t>
      </w:r>
      <w:r>
        <w:rPr>
          <w:position w:val="5"/>
          <w:sz w:val="14"/>
        </w:rPr>
        <w:tab/>
      </w:r>
      <w:r>
        <w:rPr>
          <w:rFonts w:ascii="Arial"/>
          <w:i/>
          <w:sz w:val="20"/>
        </w:rPr>
        <w:t>[1972]</w:t>
      </w:r>
      <w:r>
        <w:rPr>
          <w:rFonts w:ascii="Arial"/>
          <w:i/>
          <w:spacing w:val="-2"/>
          <w:sz w:val="20"/>
        </w:rPr>
        <w:t> </w:t>
      </w:r>
      <w:r>
        <w:rPr>
          <w:rFonts w:ascii="Arial"/>
          <w:i/>
          <w:sz w:val="20"/>
        </w:rPr>
        <w:t>Ch. 359</w:t>
      </w:r>
      <w:r>
        <w:rPr>
          <w:rFonts w:ascii="Arial"/>
          <w:i/>
          <w:spacing w:val="-1"/>
          <w:sz w:val="20"/>
        </w:rPr>
        <w:t> </w:t>
      </w:r>
      <w:r>
        <w:rPr>
          <w:sz w:val="20"/>
        </w:rPr>
        <w:t>at 367, </w:t>
      </w:r>
      <w:r>
        <w:rPr>
          <w:spacing w:val="-4"/>
          <w:sz w:val="20"/>
        </w:rPr>
        <w:t>371.</w:t>
      </w:r>
    </w:p>
    <w:p>
      <w:pPr>
        <w:pStyle w:val="BodyText"/>
        <w:spacing w:before="9"/>
      </w:pPr>
    </w:p>
    <w:p>
      <w:pPr>
        <w:pStyle w:val="BodyText"/>
        <w:tabs>
          <w:tab w:pos="705" w:val="left" w:leader="none"/>
        </w:tabs>
        <w:spacing w:line="235" w:lineRule="auto"/>
        <w:ind w:left="705" w:right="168" w:hanging="541"/>
      </w:pPr>
      <w:bookmarkStart w:name="_bookmark343" w:id="345"/>
      <w:bookmarkEnd w:id="345"/>
      <w:r>
        <w:rPr/>
      </w:r>
      <w:hyperlink w:history="true" w:anchor="_bookmark272">
        <w:r>
          <w:rPr>
            <w:color w:val="005DA1"/>
            <w:spacing w:val="-4"/>
            <w:position w:val="5"/>
            <w:sz w:val="14"/>
            <w:u w:val="single" w:color="005DA1"/>
          </w:rPr>
          <w:t>176</w:t>
        </w:r>
      </w:hyperlink>
      <w:r>
        <w:rPr>
          <w:spacing w:val="-4"/>
          <w:position w:val="5"/>
          <w:sz w:val="14"/>
        </w:rPr>
        <w:t>.</w:t>
      </w:r>
      <w:r>
        <w:rPr>
          <w:position w:val="5"/>
          <w:sz w:val="14"/>
        </w:rPr>
        <w:tab/>
      </w:r>
      <w:r>
        <w:rPr>
          <w:rFonts w:ascii="Arial" w:hAnsi="Arial"/>
          <w:i/>
        </w:rPr>
        <w:t>[1972] Ch. 359 </w:t>
      </w:r>
      <w:r>
        <w:rPr/>
        <w:t>at 367–368. Megaw and Stephenson L.JJ. preferred to protect A’s position </w:t>
      </w:r>
      <w:r>
        <w:rPr/>
        <w:t>by</w:t>
      </w:r>
      <w:r>
        <w:rPr>
          <w:spacing w:val="40"/>
        </w:rPr>
        <w:t> </w:t>
      </w:r>
      <w:r>
        <w:rPr/>
        <w:t>holding her to be a tenant for life within the meaning of the Settled Land Act 1925.</w:t>
      </w:r>
    </w:p>
    <w:p>
      <w:pPr>
        <w:pStyle w:val="BodyText"/>
        <w:spacing w:before="5"/>
      </w:pPr>
    </w:p>
    <w:p>
      <w:pPr>
        <w:tabs>
          <w:tab w:pos="705" w:val="left" w:leader="none"/>
        </w:tabs>
        <w:spacing w:before="0"/>
        <w:ind w:left="165" w:right="0" w:firstLine="0"/>
        <w:jc w:val="left"/>
        <w:rPr>
          <w:sz w:val="20"/>
        </w:rPr>
      </w:pPr>
      <w:bookmarkStart w:name="_bookmark344" w:id="346"/>
      <w:bookmarkEnd w:id="346"/>
      <w:r>
        <w:rPr/>
      </w:r>
      <w:hyperlink w:history="true" w:anchor="_bookmark273">
        <w:r>
          <w:rPr>
            <w:color w:val="005DA1"/>
            <w:spacing w:val="-4"/>
            <w:position w:val="5"/>
            <w:sz w:val="14"/>
            <w:u w:val="single" w:color="005DA1"/>
          </w:rPr>
          <w:t>177</w:t>
        </w:r>
      </w:hyperlink>
      <w:r>
        <w:rPr>
          <w:spacing w:val="-4"/>
          <w:position w:val="5"/>
          <w:sz w:val="14"/>
        </w:rPr>
        <w:t>.</w:t>
      </w:r>
      <w:r>
        <w:rPr>
          <w:position w:val="5"/>
          <w:sz w:val="14"/>
        </w:rPr>
        <w:tab/>
      </w:r>
      <w:r>
        <w:rPr>
          <w:sz w:val="20"/>
        </w:rPr>
        <w:t>Above, para.1-</w:t>
      </w:r>
      <w:r>
        <w:rPr>
          <w:spacing w:val="-4"/>
          <w:sz w:val="20"/>
        </w:rPr>
        <w:t>011.</w:t>
      </w:r>
    </w:p>
    <w:p>
      <w:pPr>
        <w:pStyle w:val="BodyText"/>
        <w:spacing w:before="9"/>
      </w:pPr>
    </w:p>
    <w:p>
      <w:pPr>
        <w:pStyle w:val="BodyText"/>
        <w:tabs>
          <w:tab w:pos="705" w:val="left" w:leader="none"/>
        </w:tabs>
        <w:spacing w:line="235" w:lineRule="auto"/>
        <w:ind w:left="705" w:right="168" w:hanging="541"/>
      </w:pPr>
      <w:bookmarkStart w:name="_bookmark345" w:id="347"/>
      <w:bookmarkEnd w:id="347"/>
      <w:r>
        <w:rPr/>
      </w:r>
      <w:hyperlink w:history="true" w:anchor="_bookmark274">
        <w:r>
          <w:rPr>
            <w:color w:val="005DA1"/>
            <w:spacing w:val="-4"/>
            <w:position w:val="5"/>
            <w:sz w:val="14"/>
            <w:u w:val="single" w:color="005DA1"/>
          </w:rPr>
          <w:t>178</w:t>
        </w:r>
      </w:hyperlink>
      <w:r>
        <w:rPr>
          <w:spacing w:val="-4"/>
          <w:position w:val="5"/>
          <w:sz w:val="14"/>
        </w:rPr>
        <w:t>.</w:t>
      </w:r>
      <w:r>
        <w:rPr>
          <w:position w:val="5"/>
          <w:sz w:val="14"/>
        </w:rPr>
        <w:tab/>
      </w:r>
      <w:r>
        <w:rPr/>
        <w:t>Proposal</w:t>
      </w:r>
      <w:r>
        <w:rPr>
          <w:spacing w:val="40"/>
        </w:rPr>
        <w:t> </w:t>
      </w:r>
      <w:r>
        <w:rPr/>
        <w:t>for</w:t>
      </w:r>
      <w:r>
        <w:rPr>
          <w:spacing w:val="40"/>
        </w:rPr>
        <w:t> </w:t>
      </w:r>
      <w:r>
        <w:rPr/>
        <w:t>a</w:t>
      </w:r>
      <w:r>
        <w:rPr>
          <w:spacing w:val="40"/>
        </w:rPr>
        <w:t> </w:t>
      </w:r>
      <w:r>
        <w:rPr/>
        <w:t>Regulation</w:t>
      </w:r>
      <w:r>
        <w:rPr>
          <w:spacing w:val="40"/>
        </w:rPr>
        <w:t> </w:t>
      </w:r>
      <w:r>
        <w:rPr/>
        <w:t>of</w:t>
      </w:r>
      <w:r>
        <w:rPr>
          <w:spacing w:val="40"/>
        </w:rPr>
        <w:t> </w:t>
      </w:r>
      <w:r>
        <w:rPr/>
        <w:t>the</w:t>
      </w:r>
      <w:r>
        <w:rPr>
          <w:spacing w:val="40"/>
        </w:rPr>
        <w:t> </w:t>
      </w:r>
      <w:r>
        <w:rPr/>
        <w:t>European</w:t>
      </w:r>
      <w:r>
        <w:rPr>
          <w:spacing w:val="40"/>
        </w:rPr>
        <w:t> </w:t>
      </w:r>
      <w:r>
        <w:rPr/>
        <w:t>Parliament</w:t>
      </w:r>
      <w:r>
        <w:rPr>
          <w:spacing w:val="40"/>
        </w:rPr>
        <w:t> </w:t>
      </w:r>
      <w:r>
        <w:rPr/>
        <w:t>and</w:t>
      </w:r>
      <w:r>
        <w:rPr>
          <w:spacing w:val="40"/>
        </w:rPr>
        <w:t> </w:t>
      </w:r>
      <w:r>
        <w:rPr/>
        <w:t>of</w:t>
      </w:r>
      <w:r>
        <w:rPr>
          <w:spacing w:val="40"/>
        </w:rPr>
        <w:t> </w:t>
      </w:r>
      <w:r>
        <w:rPr/>
        <w:t>the</w:t>
      </w:r>
      <w:r>
        <w:rPr>
          <w:spacing w:val="40"/>
        </w:rPr>
        <w:t> </w:t>
      </w:r>
      <w:r>
        <w:rPr/>
        <w:t>Council</w:t>
      </w:r>
      <w:r>
        <w:rPr>
          <w:spacing w:val="40"/>
        </w:rPr>
        <w:t> </w:t>
      </w:r>
      <w:r>
        <w:rPr/>
        <w:t>on</w:t>
      </w:r>
      <w:r>
        <w:rPr>
          <w:spacing w:val="40"/>
        </w:rPr>
        <w:t> </w:t>
      </w:r>
      <w:r>
        <w:rPr/>
        <w:t>a</w:t>
      </w:r>
      <w:r>
        <w:rPr>
          <w:spacing w:val="40"/>
        </w:rPr>
        <w:t> </w:t>
      </w:r>
      <w:r>
        <w:rPr/>
        <w:t>Common European Sales, Law Com(2011) 635 final art.2(a). On the Proposal, see above, para.1-013.</w:t>
      </w:r>
    </w:p>
    <w:p>
      <w:pPr>
        <w:pStyle w:val="BodyText"/>
        <w:spacing w:before="9"/>
      </w:pPr>
    </w:p>
    <w:p>
      <w:pPr>
        <w:pStyle w:val="BodyText"/>
        <w:spacing w:line="235" w:lineRule="auto"/>
        <w:ind w:left="705" w:right="167" w:hanging="541"/>
        <w:jc w:val="both"/>
      </w:pPr>
      <w:bookmarkStart w:name="_bookmark346" w:id="348"/>
      <w:bookmarkEnd w:id="348"/>
      <w:r>
        <w:rPr/>
      </w:r>
      <w:hyperlink w:history="true" w:anchor="_bookmark275">
        <w:r>
          <w:rPr>
            <w:color w:val="005DA1"/>
            <w:position w:val="5"/>
            <w:sz w:val="14"/>
            <w:u w:val="single" w:color="005DA1"/>
          </w:rPr>
          <w:t>179</w:t>
        </w:r>
      </w:hyperlink>
      <w:r>
        <w:rPr>
          <w:position w:val="5"/>
          <w:sz w:val="14"/>
        </w:rPr>
        <w:t>.</w:t>
      </w:r>
      <w:r>
        <w:rPr>
          <w:spacing w:val="40"/>
          <w:position w:val="5"/>
          <w:sz w:val="14"/>
        </w:rPr>
        <w:t>  </w:t>
      </w:r>
      <w:r>
        <w:rPr/>
        <w:t>This</w:t>
      </w:r>
      <w:r>
        <w:rPr>
          <w:spacing w:val="-1"/>
        </w:rPr>
        <w:t> </w:t>
      </w:r>
      <w:r>
        <w:rPr/>
        <w:t>is</w:t>
      </w:r>
      <w:r>
        <w:rPr>
          <w:spacing w:val="-1"/>
        </w:rPr>
        <w:t> </w:t>
      </w:r>
      <w:r>
        <w:rPr/>
        <w:t>confirmed</w:t>
      </w:r>
      <w:r>
        <w:rPr>
          <w:spacing w:val="-1"/>
        </w:rPr>
        <w:t> </w:t>
      </w:r>
      <w:r>
        <w:rPr/>
        <w:t>by</w:t>
      </w:r>
      <w:r>
        <w:rPr>
          <w:spacing w:val="-1"/>
        </w:rPr>
        <w:t> </w:t>
      </w:r>
      <w:r>
        <w:rPr/>
        <w:t>the</w:t>
      </w:r>
      <w:r>
        <w:rPr>
          <w:spacing w:val="-1"/>
        </w:rPr>
        <w:t> </w:t>
      </w:r>
      <w:r>
        <w:rPr/>
        <w:t>inclusion</w:t>
      </w:r>
      <w:r>
        <w:rPr>
          <w:spacing w:val="-1"/>
        </w:rPr>
        <w:t> </w:t>
      </w:r>
      <w:r>
        <w:rPr/>
        <w:t>within</w:t>
      </w:r>
      <w:r>
        <w:rPr>
          <w:spacing w:val="-1"/>
        </w:rPr>
        <w:t> </w:t>
      </w:r>
      <w:r>
        <w:rPr/>
        <w:t>those</w:t>
      </w:r>
      <w:r>
        <w:rPr>
          <w:spacing w:val="-1"/>
        </w:rPr>
        <w:t> </w:t>
      </w:r>
      <w:r>
        <w:rPr/>
        <w:t>contracts</w:t>
      </w:r>
      <w:r>
        <w:rPr>
          <w:spacing w:val="-1"/>
        </w:rPr>
        <w:t> </w:t>
      </w:r>
      <w:r>
        <w:rPr/>
        <w:t>for</w:t>
      </w:r>
      <w:r>
        <w:rPr>
          <w:spacing w:val="-1"/>
        </w:rPr>
        <w:t> </w:t>
      </w:r>
      <w:r>
        <w:rPr/>
        <w:t>which</w:t>
      </w:r>
      <w:r>
        <w:rPr>
          <w:spacing w:val="-1"/>
        </w:rPr>
        <w:t> </w:t>
      </w:r>
      <w:r>
        <w:rPr/>
        <w:t>the</w:t>
      </w:r>
      <w:r>
        <w:rPr>
          <w:spacing w:val="-1"/>
        </w:rPr>
        <w:t> </w:t>
      </w:r>
      <w:r>
        <w:rPr/>
        <w:t>Common</w:t>
      </w:r>
      <w:r>
        <w:rPr>
          <w:spacing w:val="-1"/>
        </w:rPr>
        <w:t> </w:t>
      </w:r>
      <w:r>
        <w:rPr/>
        <w:t>European</w:t>
      </w:r>
      <w:r>
        <w:rPr>
          <w:spacing w:val="-1"/>
        </w:rPr>
        <w:t> </w:t>
      </w:r>
      <w:r>
        <w:rPr/>
        <w:t>Sales Law would be available of “contracts for the supply of digital content … irrespective of whether the</w:t>
      </w:r>
      <w:r>
        <w:rPr>
          <w:spacing w:val="-1"/>
        </w:rPr>
        <w:t> </w:t>
      </w:r>
      <w:r>
        <w:rPr/>
        <w:t>digital</w:t>
      </w:r>
      <w:r>
        <w:rPr>
          <w:spacing w:val="-1"/>
        </w:rPr>
        <w:t> </w:t>
      </w:r>
      <w:r>
        <w:rPr/>
        <w:t>content</w:t>
      </w:r>
      <w:r>
        <w:rPr>
          <w:spacing w:val="-1"/>
        </w:rPr>
        <w:t> </w:t>
      </w:r>
      <w:r>
        <w:rPr/>
        <w:t>is</w:t>
      </w:r>
      <w:r>
        <w:rPr>
          <w:spacing w:val="-1"/>
        </w:rPr>
        <w:t> </w:t>
      </w:r>
      <w:r>
        <w:rPr/>
        <w:t>supplied</w:t>
      </w:r>
      <w:r>
        <w:rPr>
          <w:spacing w:val="-1"/>
        </w:rPr>
        <w:t> </w:t>
      </w:r>
      <w:r>
        <w:rPr/>
        <w:t>in</w:t>
      </w:r>
      <w:r>
        <w:rPr>
          <w:spacing w:val="-1"/>
        </w:rPr>
        <w:t> </w:t>
      </w:r>
      <w:r>
        <w:rPr/>
        <w:t>exchange</w:t>
      </w:r>
      <w:r>
        <w:rPr>
          <w:spacing w:val="-1"/>
        </w:rPr>
        <w:t> </w:t>
      </w:r>
      <w:r>
        <w:rPr/>
        <w:t>for</w:t>
      </w:r>
      <w:r>
        <w:rPr>
          <w:spacing w:val="-1"/>
        </w:rPr>
        <w:t> </w:t>
      </w:r>
      <w:r>
        <w:rPr/>
        <w:t>the</w:t>
      </w:r>
      <w:r>
        <w:rPr>
          <w:spacing w:val="-1"/>
        </w:rPr>
        <w:t> </w:t>
      </w:r>
      <w:r>
        <w:rPr/>
        <w:t>payment</w:t>
      </w:r>
      <w:r>
        <w:rPr>
          <w:spacing w:val="-1"/>
        </w:rPr>
        <w:t> </w:t>
      </w:r>
      <w:r>
        <w:rPr/>
        <w:t>of</w:t>
      </w:r>
      <w:r>
        <w:rPr>
          <w:spacing w:val="-1"/>
        </w:rPr>
        <w:t> </w:t>
      </w:r>
      <w:r>
        <w:rPr/>
        <w:t>a</w:t>
      </w:r>
      <w:r>
        <w:rPr>
          <w:spacing w:val="-1"/>
        </w:rPr>
        <w:t> </w:t>
      </w:r>
      <w:r>
        <w:rPr/>
        <w:t>price”:</w:t>
      </w:r>
      <w:r>
        <w:rPr>
          <w:spacing w:val="-1"/>
        </w:rPr>
        <w:t> </w:t>
      </w:r>
      <w:r>
        <w:rPr/>
        <w:t>Proposal</w:t>
      </w:r>
      <w:r>
        <w:rPr>
          <w:spacing w:val="-1"/>
        </w:rPr>
        <w:t> </w:t>
      </w:r>
      <w:r>
        <w:rPr/>
        <w:t>Com(2011)</w:t>
      </w:r>
      <w:r>
        <w:rPr>
          <w:spacing w:val="-1"/>
        </w:rPr>
        <w:t> </w:t>
      </w:r>
      <w:r>
        <w:rPr/>
        <w:t>635 final, art.5(b).</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7792">
            <wp:simplePos x="0" y="0"/>
            <wp:positionH relativeFrom="page">
              <wp:posOffset>1257846</wp:posOffset>
            </wp:positionH>
            <wp:positionV relativeFrom="paragraph">
              <wp:posOffset>160314</wp:posOffset>
            </wp:positionV>
            <wp:extent cx="107988" cy="107988"/>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47" w:id="349"/>
      <w:bookmarkEnd w:id="349"/>
      <w:r>
        <w:rPr/>
      </w:r>
      <w:hyperlink w:history="true" w:anchor="_bookmark276">
        <w:r>
          <w:rPr>
            <w:color w:val="005DA1"/>
            <w:spacing w:val="-4"/>
            <w:sz w:val="14"/>
            <w:u w:val="single" w:color="005DA1"/>
          </w:rPr>
          <w:t>180</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Kalfelis v Schröder (C-189/87) [1988] E.C.R. 5565 </w:t>
      </w:r>
      <w:r>
        <w:rPr>
          <w:sz w:val="20"/>
        </w:rPr>
        <w:t>especially at 5577 (A.G. Darmon), </w:t>
      </w:r>
      <w:r>
        <w:rPr>
          <w:sz w:val="20"/>
        </w:rPr>
        <w:t>5585; </w:t>
      </w:r>
      <w:r>
        <w:rPr>
          <w:rFonts w:ascii="Arial" w:hAnsi="Arial"/>
          <w:i/>
          <w:sz w:val="20"/>
        </w:rPr>
        <w:t>ÖFAB, Östergötlands Fastigheter AB v Koot (C-147/12) July 18, 2013 </w:t>
      </w:r>
      <w:r>
        <w:rPr>
          <w:sz w:val="20"/>
        </w:rPr>
        <w:t>at para.33; </w:t>
      </w:r>
      <w:r>
        <w:rPr>
          <w:rFonts w:ascii="Arial" w:hAnsi="Arial"/>
          <w:i/>
          <w:sz w:val="20"/>
        </w:rPr>
        <w:t>Brogsitter v Fabrication de Montres Normandes EURL (C-548/12) March 13, 2014 </w:t>
      </w:r>
      <w:r>
        <w:rPr>
          <w:sz w:val="20"/>
        </w:rPr>
        <w:t>at para.18; </w:t>
      </w:r>
      <w:r>
        <w:rPr>
          <w:rFonts w:ascii="Arial" w:hAnsi="Arial"/>
          <w:i/>
          <w:sz w:val="20"/>
        </w:rPr>
        <w:t>ERGO Insurance SE v If P&amp;C Insurance AS (Joined Cases C-359/14 and C-475/14) January 21, 2016 </w:t>
      </w:r>
      <w:r>
        <w:rPr>
          <w:sz w:val="20"/>
        </w:rPr>
        <w:t>at para.43; </w:t>
      </w:r>
      <w:r>
        <w:rPr>
          <w:rFonts w:ascii="Arial" w:hAnsi="Arial"/>
          <w:i/>
          <w:sz w:val="20"/>
        </w:rPr>
        <w:t>Kolassa v Barclays Bank Plc (C-375/13) January 28, 2015 </w:t>
      </w:r>
      <w:r>
        <w:rPr>
          <w:sz w:val="20"/>
        </w:rPr>
        <w:t>at para.43; </w:t>
      </w:r>
      <w:r>
        <w:rPr>
          <w:rFonts w:ascii="Arial" w:hAnsi="Arial"/>
          <w:i/>
          <w:sz w:val="20"/>
        </w:rPr>
        <w:t>Granarolo SpA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Ambrosi</w:t>
      </w:r>
      <w:r>
        <w:rPr>
          <w:rFonts w:ascii="Arial" w:hAnsi="Arial"/>
          <w:i/>
          <w:spacing w:val="-1"/>
          <w:sz w:val="20"/>
        </w:rPr>
        <w:t> </w:t>
      </w:r>
      <w:r>
        <w:rPr>
          <w:rFonts w:ascii="Arial" w:hAnsi="Arial"/>
          <w:i/>
          <w:sz w:val="20"/>
        </w:rPr>
        <w:t>Emmi</w:t>
      </w:r>
      <w:r>
        <w:rPr>
          <w:rFonts w:ascii="Arial" w:hAnsi="Arial"/>
          <w:i/>
          <w:spacing w:val="-1"/>
          <w:sz w:val="20"/>
        </w:rPr>
        <w:t> </w:t>
      </w:r>
      <w:r>
        <w:rPr>
          <w:rFonts w:ascii="Arial" w:hAnsi="Arial"/>
          <w:i/>
          <w:sz w:val="20"/>
        </w:rPr>
        <w:t>France</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(C-196/15)</w:t>
      </w:r>
      <w:r>
        <w:rPr>
          <w:rFonts w:ascii="Arial" w:hAnsi="Arial"/>
          <w:i/>
          <w:spacing w:val="-1"/>
          <w:sz w:val="20"/>
        </w:rPr>
        <w:t> </w:t>
      </w:r>
      <w:r>
        <w:rPr>
          <w:rFonts w:ascii="Arial" w:hAnsi="Arial"/>
          <w:i/>
          <w:sz w:val="20"/>
        </w:rPr>
        <w:t>July</w:t>
      </w:r>
      <w:r>
        <w:rPr>
          <w:rFonts w:ascii="Arial" w:hAnsi="Arial"/>
          <w:i/>
          <w:spacing w:val="-1"/>
          <w:sz w:val="20"/>
        </w:rPr>
        <w:t> </w:t>
      </w:r>
      <w:r>
        <w:rPr>
          <w:rFonts w:ascii="Arial" w:hAnsi="Arial"/>
          <w:i/>
          <w:sz w:val="20"/>
        </w:rPr>
        <w:t>14,</w:t>
      </w:r>
      <w:r>
        <w:rPr>
          <w:rFonts w:ascii="Arial" w:hAnsi="Arial"/>
          <w:i/>
          <w:spacing w:val="-1"/>
          <w:sz w:val="20"/>
        </w:rPr>
        <w:t> </w:t>
      </w:r>
      <w:r>
        <w:rPr>
          <w:rFonts w:ascii="Arial" w:hAnsi="Arial"/>
          <w:i/>
          <w:sz w:val="20"/>
        </w:rPr>
        <w:t>2016</w:t>
      </w:r>
      <w:r>
        <w:rPr>
          <w:rFonts w:ascii="Arial" w:hAnsi="Arial"/>
          <w:i/>
          <w:spacing w:val="-1"/>
          <w:sz w:val="20"/>
        </w:rPr>
        <w:t> </w:t>
      </w:r>
      <w:r>
        <w:rPr>
          <w:sz w:val="20"/>
        </w:rPr>
        <w:t>at</w:t>
      </w:r>
      <w:r>
        <w:rPr>
          <w:spacing w:val="-1"/>
          <w:sz w:val="20"/>
        </w:rPr>
        <w:t> </w:t>
      </w:r>
      <w:r>
        <w:rPr>
          <w:sz w:val="20"/>
        </w:rPr>
        <w:t>para.19.</w:t>
      </w:r>
      <w:r>
        <w:rPr>
          <w:spacing w:val="-1"/>
          <w:sz w:val="20"/>
        </w:rPr>
        <w:t> </w:t>
      </w:r>
      <w:r>
        <w:rPr>
          <w:sz w:val="20"/>
        </w:rPr>
        <w:t>The</w:t>
      </w:r>
      <w:r>
        <w:rPr>
          <w:spacing w:val="-1"/>
          <w:sz w:val="20"/>
        </w:rPr>
        <w:t> </w:t>
      </w:r>
      <w:r>
        <w:rPr>
          <w:sz w:val="20"/>
        </w:rPr>
        <w:t>Brussels</w:t>
      </w:r>
      <w:r>
        <w:rPr>
          <w:spacing w:val="-1"/>
          <w:sz w:val="20"/>
        </w:rPr>
        <w:t> </w:t>
      </w:r>
      <w:r>
        <w:rPr>
          <w:sz w:val="20"/>
        </w:rPr>
        <w:t>Convention was replaced as from March 1, 2002 by the Council Regulation 44/2001 on jurisdiction and the recognition and enforcement of judgments in civil and commercial matters [2001] O.J. L012/1 (“Brussels I Regulation”), which is itself replaced as from January 10, 2015 by Regulation (EU) 1215/2012 of 12 December 2012 on jurisdiction and the recognition and enforcement of judgments in civil and commercial matters (recast) (“the Brussels Ibis Regulation”). And see below, para.1-199.</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line="235" w:lineRule="auto" w:before="0"/>
        <w:ind w:left="705" w:right="167" w:hanging="541"/>
        <w:jc w:val="left"/>
        <w:rPr>
          <w:sz w:val="20"/>
        </w:rPr>
      </w:pPr>
      <w:bookmarkStart w:name="_bookmark348" w:id="350"/>
      <w:bookmarkEnd w:id="350"/>
      <w:r>
        <w:rPr/>
      </w:r>
      <w:hyperlink w:history="true" w:anchor="_bookmark277">
        <w:r>
          <w:rPr>
            <w:color w:val="005DA1"/>
            <w:spacing w:val="-4"/>
            <w:position w:val="5"/>
            <w:sz w:val="14"/>
            <w:u w:val="single" w:color="005DA1"/>
          </w:rPr>
          <w:t>181</w:t>
        </w:r>
      </w:hyperlink>
      <w:r>
        <w:rPr>
          <w:spacing w:val="-4"/>
          <w:position w:val="5"/>
          <w:sz w:val="14"/>
        </w:rPr>
        <w:t>.</w:t>
      </w:r>
      <w:r>
        <w:rPr>
          <w:position w:val="5"/>
          <w:sz w:val="14"/>
        </w:rPr>
        <w:tab/>
      </w:r>
      <w:r>
        <w:rPr>
          <w:rFonts w:ascii="Arial" w:hAnsi="Arial"/>
          <w:i/>
          <w:sz w:val="20"/>
        </w:rPr>
        <w:t>Jakob</w:t>
      </w:r>
      <w:r>
        <w:rPr>
          <w:rFonts w:ascii="Arial" w:hAnsi="Arial"/>
          <w:i/>
          <w:spacing w:val="33"/>
          <w:sz w:val="20"/>
        </w:rPr>
        <w:t> </w:t>
      </w:r>
      <w:r>
        <w:rPr>
          <w:rFonts w:ascii="Arial" w:hAnsi="Arial"/>
          <w:i/>
          <w:sz w:val="20"/>
        </w:rPr>
        <w:t>Handte</w:t>
      </w:r>
      <w:r>
        <w:rPr>
          <w:rFonts w:ascii="Arial" w:hAnsi="Arial"/>
          <w:i/>
          <w:spacing w:val="33"/>
          <w:sz w:val="20"/>
        </w:rPr>
        <w:t> </w:t>
      </w:r>
      <w:r>
        <w:rPr>
          <w:rFonts w:ascii="Arial" w:hAnsi="Arial"/>
          <w:i/>
          <w:sz w:val="20"/>
        </w:rPr>
        <w:t>&amp;</w:t>
      </w:r>
      <w:r>
        <w:rPr>
          <w:rFonts w:ascii="Arial" w:hAnsi="Arial"/>
          <w:i/>
          <w:spacing w:val="33"/>
          <w:sz w:val="20"/>
        </w:rPr>
        <w:t> </w:t>
      </w:r>
      <w:r>
        <w:rPr>
          <w:rFonts w:ascii="Arial" w:hAnsi="Arial"/>
          <w:i/>
          <w:sz w:val="20"/>
        </w:rPr>
        <w:t>Co</w:t>
      </w:r>
      <w:r>
        <w:rPr>
          <w:rFonts w:ascii="Arial" w:hAnsi="Arial"/>
          <w:i/>
          <w:spacing w:val="33"/>
          <w:sz w:val="20"/>
        </w:rPr>
        <w:t> </w:t>
      </w:r>
      <w:r>
        <w:rPr>
          <w:rFonts w:ascii="Arial" w:hAnsi="Arial"/>
          <w:i/>
          <w:sz w:val="20"/>
        </w:rPr>
        <w:t>GmbH</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Société</w:t>
      </w:r>
      <w:r>
        <w:rPr>
          <w:rFonts w:ascii="Arial" w:hAnsi="Arial"/>
          <w:i/>
          <w:spacing w:val="33"/>
          <w:sz w:val="20"/>
        </w:rPr>
        <w:t> </w:t>
      </w:r>
      <w:r>
        <w:rPr>
          <w:rFonts w:ascii="Arial" w:hAnsi="Arial"/>
          <w:i/>
          <w:sz w:val="20"/>
        </w:rPr>
        <w:t>Traitements</w:t>
      </w:r>
      <w:r>
        <w:rPr>
          <w:rFonts w:ascii="Arial" w:hAnsi="Arial"/>
          <w:i/>
          <w:spacing w:val="33"/>
          <w:sz w:val="20"/>
        </w:rPr>
        <w:t> </w:t>
      </w:r>
      <w:r>
        <w:rPr>
          <w:rFonts w:ascii="Arial" w:hAnsi="Arial"/>
          <w:i/>
          <w:sz w:val="20"/>
        </w:rPr>
        <w:t>Mécano-chimiques</w:t>
      </w:r>
      <w:r>
        <w:rPr>
          <w:rFonts w:ascii="Arial" w:hAnsi="Arial"/>
          <w:i/>
          <w:spacing w:val="33"/>
          <w:sz w:val="20"/>
        </w:rPr>
        <w:t> </w:t>
      </w:r>
      <w:r>
        <w:rPr>
          <w:rFonts w:ascii="Arial" w:hAnsi="Arial"/>
          <w:i/>
          <w:sz w:val="20"/>
        </w:rPr>
        <w:t>des</w:t>
      </w:r>
      <w:r>
        <w:rPr>
          <w:rFonts w:ascii="Arial" w:hAnsi="Arial"/>
          <w:i/>
          <w:spacing w:val="33"/>
          <w:sz w:val="20"/>
        </w:rPr>
        <w:t> </w:t>
      </w:r>
      <w:r>
        <w:rPr>
          <w:rFonts w:ascii="Arial" w:hAnsi="Arial"/>
          <w:i/>
          <w:sz w:val="20"/>
        </w:rPr>
        <w:t>Surfaces</w:t>
      </w:r>
      <w:r>
        <w:rPr>
          <w:rFonts w:ascii="Arial" w:hAnsi="Arial"/>
          <w:i/>
          <w:spacing w:val="33"/>
          <w:sz w:val="20"/>
        </w:rPr>
        <w:t> </w:t>
      </w:r>
      <w:r>
        <w:rPr>
          <w:rFonts w:ascii="Arial" w:hAnsi="Arial"/>
          <w:i/>
          <w:sz w:val="20"/>
        </w:rPr>
        <w:t>(TMCS) (C-26/91) [1993] I.L.Pr. 5 </w:t>
      </w:r>
      <w:r>
        <w:rPr>
          <w:sz w:val="20"/>
        </w:rPr>
        <w:t>and see below, para.1-199.</w:t>
      </w:r>
    </w:p>
    <w:p>
      <w:pPr>
        <w:pStyle w:val="BodyText"/>
        <w:spacing w:before="6"/>
      </w:pPr>
    </w:p>
    <w:p>
      <w:pPr>
        <w:tabs>
          <w:tab w:pos="705" w:val="left" w:leader="none"/>
        </w:tabs>
        <w:spacing w:before="0"/>
        <w:ind w:left="165" w:right="0" w:firstLine="0"/>
        <w:jc w:val="left"/>
        <w:rPr>
          <w:sz w:val="20"/>
        </w:rPr>
      </w:pPr>
      <w:bookmarkStart w:name="_bookmark349" w:id="351"/>
      <w:bookmarkEnd w:id="351"/>
      <w:r>
        <w:rPr/>
      </w:r>
      <w:hyperlink w:history="true" w:anchor="_bookmark278">
        <w:r>
          <w:rPr>
            <w:color w:val="005DA1"/>
            <w:spacing w:val="-4"/>
            <w:position w:val="5"/>
            <w:sz w:val="14"/>
            <w:u w:val="single" w:color="005DA1"/>
          </w:rPr>
          <w:t>182</w:t>
        </w:r>
      </w:hyperlink>
      <w:r>
        <w:rPr>
          <w:spacing w:val="-4"/>
          <w:position w:val="5"/>
          <w:sz w:val="14"/>
        </w:rPr>
        <w:t>.</w:t>
      </w:r>
      <w:r>
        <w:rPr>
          <w:position w:val="5"/>
          <w:sz w:val="14"/>
        </w:rPr>
        <w:tab/>
      </w:r>
      <w:r>
        <w:rPr>
          <w:rFonts w:ascii="Arial"/>
          <w:i/>
          <w:sz w:val="20"/>
        </w:rPr>
        <w:t>[1993] I.L.Pr. 5 </w:t>
      </w:r>
      <w:r>
        <w:rPr>
          <w:sz w:val="20"/>
        </w:rPr>
        <w:t>at </w:t>
      </w:r>
      <w:r>
        <w:rPr>
          <w:spacing w:val="-5"/>
          <w:sz w:val="20"/>
        </w:rPr>
        <w:t>22.</w:t>
      </w:r>
    </w:p>
    <w:p>
      <w:pPr>
        <w:pStyle w:val="BodyText"/>
        <w:spacing w:before="8"/>
      </w:pPr>
    </w:p>
    <w:p>
      <w:pPr>
        <w:pStyle w:val="BodyText"/>
        <w:tabs>
          <w:tab w:pos="705" w:val="left" w:leader="none"/>
        </w:tabs>
        <w:spacing w:line="235" w:lineRule="auto" w:before="1"/>
        <w:ind w:left="705" w:right="168" w:hanging="541"/>
      </w:pPr>
      <w:bookmarkStart w:name="_bookmark350" w:id="352"/>
      <w:bookmarkEnd w:id="352"/>
      <w:r>
        <w:rPr/>
      </w:r>
      <w:hyperlink w:history="true" w:anchor="_bookmark279">
        <w:r>
          <w:rPr>
            <w:color w:val="005DA1"/>
            <w:spacing w:val="-4"/>
            <w:position w:val="5"/>
            <w:sz w:val="14"/>
            <w:u w:val="single" w:color="005DA1"/>
          </w:rPr>
          <w:t>183</w:t>
        </w:r>
      </w:hyperlink>
      <w:r>
        <w:rPr>
          <w:spacing w:val="-4"/>
          <w:position w:val="5"/>
          <w:sz w:val="14"/>
        </w:rPr>
        <w:t>.</w:t>
      </w:r>
      <w:r>
        <w:rPr>
          <w:position w:val="5"/>
          <w:sz w:val="14"/>
        </w:rPr>
        <w:tab/>
      </w:r>
      <w:r>
        <w:rPr/>
        <w:t>Regulation</w:t>
      </w:r>
      <w:r>
        <w:rPr>
          <w:spacing w:val="74"/>
        </w:rPr>
        <w:t> </w:t>
      </w:r>
      <w:r>
        <w:rPr/>
        <w:t>864/2007</w:t>
      </w:r>
      <w:r>
        <w:rPr>
          <w:spacing w:val="74"/>
        </w:rPr>
        <w:t> </w:t>
      </w:r>
      <w:r>
        <w:rPr/>
        <w:t>of</w:t>
      </w:r>
      <w:r>
        <w:rPr>
          <w:spacing w:val="74"/>
        </w:rPr>
        <w:t> </w:t>
      </w:r>
      <w:r>
        <w:rPr/>
        <w:t>the</w:t>
      </w:r>
      <w:r>
        <w:rPr>
          <w:spacing w:val="74"/>
        </w:rPr>
        <w:t> </w:t>
      </w:r>
      <w:r>
        <w:rPr/>
        <w:t>European</w:t>
      </w:r>
      <w:r>
        <w:rPr>
          <w:spacing w:val="74"/>
        </w:rPr>
        <w:t> </w:t>
      </w:r>
      <w:r>
        <w:rPr/>
        <w:t>Parliament</w:t>
      </w:r>
      <w:r>
        <w:rPr>
          <w:spacing w:val="74"/>
        </w:rPr>
        <w:t> </w:t>
      </w:r>
      <w:r>
        <w:rPr/>
        <w:t>and</w:t>
      </w:r>
      <w:r>
        <w:rPr>
          <w:spacing w:val="74"/>
        </w:rPr>
        <w:t> </w:t>
      </w:r>
      <w:r>
        <w:rPr/>
        <w:t>of</w:t>
      </w:r>
      <w:r>
        <w:rPr>
          <w:spacing w:val="74"/>
        </w:rPr>
        <w:t> </w:t>
      </w:r>
      <w:r>
        <w:rPr/>
        <w:t>the</w:t>
      </w:r>
      <w:r>
        <w:rPr>
          <w:spacing w:val="74"/>
        </w:rPr>
        <w:t> </w:t>
      </w:r>
      <w:r>
        <w:rPr/>
        <w:t>Council</w:t>
      </w:r>
      <w:r>
        <w:rPr>
          <w:spacing w:val="74"/>
        </w:rPr>
        <w:t> </w:t>
      </w:r>
      <w:r>
        <w:rPr/>
        <w:t>law</w:t>
      </w:r>
      <w:r>
        <w:rPr>
          <w:spacing w:val="74"/>
        </w:rPr>
        <w:t> </w:t>
      </w:r>
      <w:r>
        <w:rPr/>
        <w:t>applicable</w:t>
      </w:r>
      <w:r>
        <w:rPr>
          <w:spacing w:val="74"/>
        </w:rPr>
        <w:t> </w:t>
      </w:r>
      <w:r>
        <w:rPr/>
        <w:t>to noncontractual obligations (“Rome II Regulation”) [2007] O.J. L199/40 recital 11.</w:t>
      </w:r>
    </w:p>
    <w:p>
      <w:pPr>
        <w:pStyle w:val="BodyText"/>
        <w:spacing w:before="5"/>
      </w:pPr>
    </w:p>
    <w:p>
      <w:pPr>
        <w:pStyle w:val="BodyText"/>
        <w:tabs>
          <w:tab w:pos="705" w:val="left" w:leader="none"/>
        </w:tabs>
        <w:ind w:left="165"/>
      </w:pPr>
      <w:bookmarkStart w:name="_bookmark351" w:id="353"/>
      <w:bookmarkEnd w:id="353"/>
      <w:r>
        <w:rPr/>
      </w:r>
      <w:hyperlink w:history="true" w:anchor="_bookmark280">
        <w:r>
          <w:rPr>
            <w:color w:val="005DA1"/>
            <w:spacing w:val="-4"/>
            <w:position w:val="5"/>
            <w:sz w:val="14"/>
            <w:u w:val="single" w:color="005DA1"/>
          </w:rPr>
          <w:t>184</w:t>
        </w:r>
      </w:hyperlink>
      <w:r>
        <w:rPr>
          <w:spacing w:val="-4"/>
          <w:position w:val="5"/>
          <w:sz w:val="14"/>
        </w:rPr>
        <w:t>.</w:t>
      </w:r>
      <w:r>
        <w:rPr>
          <w:position w:val="5"/>
          <w:sz w:val="14"/>
        </w:rPr>
        <w:tab/>
      </w:r>
      <w:r>
        <w:rPr/>
        <w:t>Rome II Regulation arts 5 and 12 </w:t>
      </w:r>
      <w:r>
        <w:rPr>
          <w:spacing w:val="-2"/>
        </w:rPr>
        <w:t>respectively.</w:t>
      </w:r>
    </w:p>
    <w:p>
      <w:pPr>
        <w:pStyle w:val="BodyText"/>
        <w:spacing w:after="0"/>
        <w:sectPr>
          <w:type w:val="continuous"/>
          <w:pgSz w:w="11900" w:h="16840"/>
          <w:pgMar w:header="971" w:footer="0" w:top="1300" w:bottom="280" w:left="1275" w:right="1275"/>
        </w:sectPr>
      </w:pPr>
    </w:p>
    <w:p>
      <w:pPr>
        <w:pStyle w:val="BodyText"/>
        <w:tabs>
          <w:tab w:pos="705" w:val="left" w:leader="none"/>
        </w:tabs>
        <w:spacing w:line="227" w:lineRule="exact" w:before="166"/>
        <w:ind w:left="165"/>
      </w:pPr>
      <w:hyperlink w:history="true" w:anchor="_bookmark281">
        <w:r>
          <w:rPr>
            <w:color w:val="005DA1"/>
            <w:spacing w:val="-4"/>
            <w:position w:val="5"/>
            <w:sz w:val="14"/>
            <w:u w:val="single" w:color="005DA1"/>
          </w:rPr>
          <w:t>185</w:t>
        </w:r>
      </w:hyperlink>
      <w:r>
        <w:rPr>
          <w:spacing w:val="-4"/>
          <w:position w:val="5"/>
          <w:sz w:val="14"/>
        </w:rPr>
        <w:t>.</w:t>
      </w:r>
      <w:r>
        <w:rPr>
          <w:position w:val="5"/>
          <w:sz w:val="14"/>
        </w:rPr>
        <w:tab/>
      </w:r>
      <w:r>
        <w:rPr/>
        <w:t>Regulation</w:t>
      </w:r>
      <w:r>
        <w:rPr>
          <w:spacing w:val="32"/>
        </w:rPr>
        <w:t> </w:t>
      </w:r>
      <w:r>
        <w:rPr/>
        <w:t>(EC)</w:t>
      </w:r>
      <w:r>
        <w:rPr>
          <w:spacing w:val="32"/>
        </w:rPr>
        <w:t> </w:t>
      </w:r>
      <w:r>
        <w:rPr/>
        <w:t>593/2008</w:t>
      </w:r>
      <w:r>
        <w:rPr>
          <w:spacing w:val="32"/>
        </w:rPr>
        <w:t> </w:t>
      </w:r>
      <w:r>
        <w:rPr/>
        <w:t>on</w:t>
      </w:r>
      <w:r>
        <w:rPr>
          <w:spacing w:val="32"/>
        </w:rPr>
        <w:t> </w:t>
      </w:r>
      <w:r>
        <w:rPr/>
        <w:t>the</w:t>
      </w:r>
      <w:r>
        <w:rPr>
          <w:spacing w:val="32"/>
        </w:rPr>
        <w:t> </w:t>
      </w:r>
      <w:r>
        <w:rPr/>
        <w:t>law</w:t>
      </w:r>
      <w:r>
        <w:rPr>
          <w:spacing w:val="32"/>
        </w:rPr>
        <w:t> </w:t>
      </w:r>
      <w:r>
        <w:rPr/>
        <w:t>applicable</w:t>
      </w:r>
      <w:r>
        <w:rPr>
          <w:spacing w:val="32"/>
        </w:rPr>
        <w:t> </w:t>
      </w:r>
      <w:r>
        <w:rPr/>
        <w:t>to</w:t>
      </w:r>
      <w:r>
        <w:rPr>
          <w:spacing w:val="32"/>
        </w:rPr>
        <w:t> </w:t>
      </w:r>
      <w:r>
        <w:rPr/>
        <w:t>contractual</w:t>
      </w:r>
      <w:r>
        <w:rPr>
          <w:spacing w:val="32"/>
        </w:rPr>
        <w:t> </w:t>
      </w:r>
      <w:r>
        <w:rPr/>
        <w:t>obligations</w:t>
      </w:r>
      <w:r>
        <w:rPr>
          <w:spacing w:val="32"/>
        </w:rPr>
        <w:t> </w:t>
      </w:r>
      <w:r>
        <w:rPr/>
        <w:t>(“Rome</w:t>
      </w:r>
      <w:r>
        <w:rPr>
          <w:spacing w:val="32"/>
        </w:rPr>
        <w:t> </w:t>
      </w:r>
      <w:r>
        <w:rPr/>
        <w:t>I”)</w:t>
      </w:r>
      <w:r>
        <w:rPr>
          <w:spacing w:val="32"/>
        </w:rPr>
        <w:t> </w:t>
      </w:r>
      <w:r>
        <w:rPr>
          <w:spacing w:val="-2"/>
        </w:rPr>
        <w:t>[2008]</w:t>
      </w:r>
    </w:p>
    <w:p>
      <w:pPr>
        <w:pStyle w:val="BodyText"/>
        <w:spacing w:line="227" w:lineRule="exact"/>
        <w:ind w:left="705"/>
      </w:pPr>
      <w:r>
        <w:rPr/>
        <w:t>O.J. L177/6 recital 7. See below, Ch.30 and especially para.30-</w:t>
      </w:r>
      <w:r>
        <w:rPr>
          <w:spacing w:val="-4"/>
        </w:rPr>
        <w:t>133.</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8304">
            <wp:simplePos x="0" y="0"/>
            <wp:positionH relativeFrom="page">
              <wp:posOffset>1257846</wp:posOffset>
            </wp:positionH>
            <wp:positionV relativeFrom="paragraph">
              <wp:posOffset>160530</wp:posOffset>
            </wp:positionV>
            <wp:extent cx="107988" cy="107988"/>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52" w:id="354"/>
      <w:bookmarkEnd w:id="354"/>
      <w:r>
        <w:rPr/>
      </w:r>
      <w:hyperlink w:history="true" w:anchor="_bookmark282">
        <w:r>
          <w:rPr>
            <w:color w:val="005DA1"/>
            <w:spacing w:val="-4"/>
            <w:sz w:val="14"/>
            <w:u w:val="single" w:color="005DA1"/>
          </w:rPr>
          <w:t>186</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ERGO Insurance SE v If P&amp;C Insurance AS (Joined Cases C-359/14 and C-475/14) January 21, 2016 </w:t>
      </w:r>
      <w:r>
        <w:rPr>
          <w:sz w:val="20"/>
        </w:rPr>
        <w:t>para.44; </w:t>
      </w:r>
      <w:r>
        <w:rPr>
          <w:rFonts w:ascii="Arial" w:hAnsi="Arial"/>
          <w:i/>
          <w:sz w:val="20"/>
        </w:rPr>
        <w:t>Verein für Konsumenteninformation v Amazon EU Sàrl (C-191/15) July </w:t>
      </w:r>
      <w:r>
        <w:rPr>
          <w:rFonts w:ascii="Arial" w:hAnsi="Arial"/>
          <w:i/>
          <w:sz w:val="20"/>
        </w:rPr>
        <w:t>28, 2016 </w:t>
      </w:r>
      <w:r>
        <w:rPr>
          <w:sz w:val="20"/>
        </w:rPr>
        <w:t>esp. at para.60 (action for cessation of use of unfair contract terms falls under Rome II as concerning</w:t>
      </w:r>
      <w:r>
        <w:rPr>
          <w:spacing w:val="-2"/>
          <w:sz w:val="20"/>
        </w:rPr>
        <w:t> </w:t>
      </w:r>
      <w:r>
        <w:rPr>
          <w:sz w:val="20"/>
        </w:rPr>
        <w:t>a</w:t>
      </w:r>
      <w:r>
        <w:rPr>
          <w:spacing w:val="-2"/>
          <w:sz w:val="20"/>
        </w:rPr>
        <w:t> </w:t>
      </w:r>
      <w:r>
        <w:rPr>
          <w:sz w:val="20"/>
        </w:rPr>
        <w:t>non-contractual</w:t>
      </w:r>
      <w:r>
        <w:rPr>
          <w:spacing w:val="-2"/>
          <w:sz w:val="20"/>
        </w:rPr>
        <w:t> </w:t>
      </w:r>
      <w:r>
        <w:rPr>
          <w:sz w:val="20"/>
        </w:rPr>
        <w:t>obligation,</w:t>
      </w:r>
      <w:r>
        <w:rPr>
          <w:spacing w:val="-2"/>
          <w:sz w:val="20"/>
        </w:rPr>
        <w:t> </w:t>
      </w:r>
      <w:r>
        <w:rPr>
          <w:sz w:val="20"/>
        </w:rPr>
        <w:t>though</w:t>
      </w:r>
      <w:r>
        <w:rPr>
          <w:spacing w:val="-2"/>
          <w:sz w:val="20"/>
        </w:rPr>
        <w:t> </w:t>
      </w:r>
      <w:r>
        <w:rPr>
          <w:sz w:val="20"/>
        </w:rPr>
        <w:t>the</w:t>
      </w:r>
      <w:r>
        <w:rPr>
          <w:spacing w:val="-2"/>
          <w:sz w:val="20"/>
        </w:rPr>
        <w:t> </w:t>
      </w:r>
      <w:r>
        <w:rPr>
          <w:sz w:val="20"/>
        </w:rPr>
        <w:t>assessment</w:t>
      </w:r>
      <w:r>
        <w:rPr>
          <w:spacing w:val="-2"/>
          <w:sz w:val="20"/>
        </w:rPr>
        <w:t> </w:t>
      </w:r>
      <w:r>
        <w:rPr>
          <w:sz w:val="20"/>
        </w:rPr>
        <w:t>of</w:t>
      </w:r>
      <w:r>
        <w:rPr>
          <w:spacing w:val="-2"/>
          <w:sz w:val="20"/>
        </w:rPr>
        <w:t> </w:t>
      </w:r>
      <w:r>
        <w:rPr>
          <w:sz w:val="20"/>
        </w:rPr>
        <w:t>the</w:t>
      </w:r>
      <w:r>
        <w:rPr>
          <w:spacing w:val="-2"/>
          <w:sz w:val="20"/>
        </w:rPr>
        <w:t> </w:t>
      </w:r>
      <w:r>
        <w:rPr>
          <w:sz w:val="20"/>
        </w:rPr>
        <w:t>terms</w:t>
      </w:r>
      <w:r>
        <w:rPr>
          <w:spacing w:val="-2"/>
          <w:sz w:val="20"/>
        </w:rPr>
        <w:t> </w:t>
      </w:r>
      <w:r>
        <w:rPr>
          <w:sz w:val="20"/>
        </w:rPr>
        <w:t>falls</w:t>
      </w:r>
      <w:r>
        <w:rPr>
          <w:spacing w:val="-2"/>
          <w:sz w:val="20"/>
        </w:rPr>
        <w:t> </w:t>
      </w:r>
      <w:r>
        <w:rPr>
          <w:sz w:val="20"/>
        </w:rPr>
        <w:t>under</w:t>
      </w:r>
      <w:r>
        <w:rPr>
          <w:spacing w:val="-2"/>
          <w:sz w:val="20"/>
        </w:rPr>
        <w:t> </w:t>
      </w:r>
      <w:r>
        <w:rPr>
          <w:sz w:val="20"/>
        </w:rPr>
        <w:t>Rome</w:t>
      </w:r>
      <w:r>
        <w:rPr>
          <w:spacing w:val="-2"/>
          <w:sz w:val="20"/>
        </w:rPr>
        <w:t> </w:t>
      </w:r>
      <w:r>
        <w:rPr>
          <w:sz w:val="20"/>
        </w:rPr>
        <w:t>I as concerning a contractual obligation following the nature of these terms whether this arises in an action for cessation or in an individual action between a trader and a consumer); </w:t>
      </w:r>
      <w:r>
        <w:rPr>
          <w:rFonts w:ascii="Arial" w:hAnsi="Arial"/>
          <w:i/>
          <w:sz w:val="20"/>
        </w:rPr>
        <w:t>Committeri v Club Mediterranee SA [2016] EWHC 1510 (QB) </w:t>
      </w:r>
      <w:r>
        <w:rPr>
          <w:sz w:val="20"/>
        </w:rPr>
        <w:t>at [45]–[48].</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7"/>
      </w:pPr>
    </w:p>
    <w:p>
      <w:pPr>
        <w:pStyle w:val="BodyText"/>
        <w:spacing w:line="235" w:lineRule="auto" w:before="1"/>
        <w:ind w:left="705" w:right="167" w:hanging="541"/>
        <w:jc w:val="both"/>
      </w:pPr>
      <w:bookmarkStart w:name="_bookmark353" w:id="355"/>
      <w:bookmarkEnd w:id="355"/>
      <w:r>
        <w:rPr/>
      </w:r>
      <w:hyperlink w:history="true" w:anchor="_bookmark283">
        <w:r>
          <w:rPr>
            <w:color w:val="005DA1"/>
            <w:position w:val="5"/>
            <w:sz w:val="14"/>
            <w:u w:val="single" w:color="005DA1"/>
          </w:rPr>
          <w:t>187</w:t>
        </w:r>
      </w:hyperlink>
      <w:r>
        <w:rPr>
          <w:position w:val="5"/>
          <w:sz w:val="14"/>
        </w:rPr>
        <w:t>.</w:t>
      </w:r>
      <w:r>
        <w:rPr>
          <w:spacing w:val="80"/>
          <w:position w:val="5"/>
          <w:sz w:val="14"/>
        </w:rPr>
        <w:t>  </w:t>
      </w:r>
      <w:r>
        <w:rPr/>
        <w:t>Directive</w:t>
      </w:r>
      <w:r>
        <w:rPr>
          <w:spacing w:val="15"/>
        </w:rPr>
        <w:t> </w:t>
      </w:r>
      <w:r>
        <w:rPr/>
        <w:t>91/533</w:t>
      </w:r>
      <w:r>
        <w:rPr>
          <w:spacing w:val="15"/>
        </w:rPr>
        <w:t> </w:t>
      </w:r>
      <w:r>
        <w:rPr/>
        <w:t>on</w:t>
      </w:r>
      <w:r>
        <w:rPr>
          <w:spacing w:val="15"/>
        </w:rPr>
        <w:t> </w:t>
      </w:r>
      <w:r>
        <w:rPr/>
        <w:t>an</w:t>
      </w:r>
      <w:r>
        <w:rPr>
          <w:spacing w:val="15"/>
        </w:rPr>
        <w:t> </w:t>
      </w:r>
      <w:r>
        <w:rPr/>
        <w:t>employer’s</w:t>
      </w:r>
      <w:r>
        <w:rPr>
          <w:spacing w:val="15"/>
        </w:rPr>
        <w:t> </w:t>
      </w:r>
      <w:r>
        <w:rPr/>
        <w:t>obligation</w:t>
      </w:r>
      <w:r>
        <w:rPr>
          <w:spacing w:val="15"/>
        </w:rPr>
        <w:t> </w:t>
      </w:r>
      <w:r>
        <w:rPr/>
        <w:t>to</w:t>
      </w:r>
      <w:r>
        <w:rPr>
          <w:spacing w:val="15"/>
        </w:rPr>
        <w:t> </w:t>
      </w:r>
      <w:r>
        <w:rPr/>
        <w:t>inform</w:t>
      </w:r>
      <w:r>
        <w:rPr>
          <w:spacing w:val="15"/>
        </w:rPr>
        <w:t> </w:t>
      </w:r>
      <w:r>
        <w:rPr/>
        <w:t>employees</w:t>
      </w:r>
      <w:r>
        <w:rPr>
          <w:spacing w:val="15"/>
        </w:rPr>
        <w:t> </w:t>
      </w:r>
      <w:r>
        <w:rPr/>
        <w:t>of</w:t>
      </w:r>
      <w:r>
        <w:rPr>
          <w:spacing w:val="15"/>
        </w:rPr>
        <w:t> </w:t>
      </w:r>
      <w:r>
        <w:rPr/>
        <w:t>the</w:t>
      </w:r>
      <w:r>
        <w:rPr>
          <w:spacing w:val="15"/>
        </w:rPr>
        <w:t> </w:t>
      </w:r>
      <w:r>
        <w:rPr/>
        <w:t>conditions</w:t>
      </w:r>
      <w:r>
        <w:rPr>
          <w:spacing w:val="15"/>
        </w:rPr>
        <w:t> </w:t>
      </w:r>
      <w:r>
        <w:rPr/>
        <w:t>applicable to the contract or employment relationship [1991] O.J. L288/32 art.1(1). Similarly, Framework Agreement on Part-time Work cl.2(1) “[t]his Agreement applies to part-time workers who have an</w:t>
      </w:r>
      <w:r>
        <w:rPr>
          <w:spacing w:val="-3"/>
        </w:rPr>
        <w:t> </w:t>
      </w:r>
      <w:r>
        <w:rPr/>
        <w:t>employment</w:t>
      </w:r>
      <w:r>
        <w:rPr>
          <w:spacing w:val="-3"/>
        </w:rPr>
        <w:t> </w:t>
      </w:r>
      <w:r>
        <w:rPr/>
        <w:t>contract</w:t>
      </w:r>
      <w:r>
        <w:rPr>
          <w:spacing w:val="-3"/>
        </w:rPr>
        <w:t> </w:t>
      </w:r>
      <w:r>
        <w:rPr/>
        <w:t>or</w:t>
      </w:r>
      <w:r>
        <w:rPr>
          <w:spacing w:val="-3"/>
        </w:rPr>
        <w:t> </w:t>
      </w:r>
      <w:r>
        <w:rPr/>
        <w:t>employment</w:t>
      </w:r>
      <w:r>
        <w:rPr>
          <w:spacing w:val="-3"/>
        </w:rPr>
        <w:t> </w:t>
      </w:r>
      <w:r>
        <w:rPr/>
        <w:t>relationship</w:t>
      </w:r>
      <w:r>
        <w:rPr>
          <w:spacing w:val="-3"/>
        </w:rPr>
        <w:t> </w:t>
      </w:r>
      <w:r>
        <w:rPr/>
        <w:t>as</w:t>
      </w:r>
      <w:r>
        <w:rPr>
          <w:spacing w:val="-3"/>
        </w:rPr>
        <w:t> </w:t>
      </w:r>
      <w:r>
        <w:rPr/>
        <w:t>defined</w:t>
      </w:r>
      <w:r>
        <w:rPr>
          <w:spacing w:val="-3"/>
        </w:rPr>
        <w:t> </w:t>
      </w:r>
      <w:r>
        <w:rPr/>
        <w:t>by</w:t>
      </w:r>
      <w:r>
        <w:rPr>
          <w:spacing w:val="-3"/>
        </w:rPr>
        <w:t> </w:t>
      </w:r>
      <w:r>
        <w:rPr/>
        <w:t>the</w:t>
      </w:r>
      <w:r>
        <w:rPr>
          <w:spacing w:val="-3"/>
        </w:rPr>
        <w:t> </w:t>
      </w:r>
      <w:r>
        <w:rPr/>
        <w:t>law,</w:t>
      </w:r>
      <w:r>
        <w:rPr>
          <w:spacing w:val="-3"/>
        </w:rPr>
        <w:t> </w:t>
      </w:r>
      <w:r>
        <w:rPr/>
        <w:t>collective</w:t>
      </w:r>
      <w:r>
        <w:rPr>
          <w:spacing w:val="-3"/>
        </w:rPr>
        <w:t> </w:t>
      </w:r>
      <w:r>
        <w:rPr/>
        <w:t>agreement or practice in force in each Member State”, Annex to Directive 97/81/EC concerning the Framework</w:t>
      </w:r>
      <w:r>
        <w:rPr>
          <w:spacing w:val="27"/>
        </w:rPr>
        <w:t> </w:t>
      </w:r>
      <w:r>
        <w:rPr/>
        <w:t>Agreement</w:t>
      </w:r>
      <w:r>
        <w:rPr>
          <w:spacing w:val="27"/>
        </w:rPr>
        <w:t> </w:t>
      </w:r>
      <w:r>
        <w:rPr/>
        <w:t>on</w:t>
      </w:r>
      <w:r>
        <w:rPr>
          <w:spacing w:val="27"/>
        </w:rPr>
        <w:t> </w:t>
      </w:r>
      <w:r>
        <w:rPr/>
        <w:t>part-time</w:t>
      </w:r>
      <w:r>
        <w:rPr>
          <w:spacing w:val="27"/>
        </w:rPr>
        <w:t> </w:t>
      </w:r>
      <w:r>
        <w:rPr/>
        <w:t>work</w:t>
      </w:r>
      <w:r>
        <w:rPr>
          <w:spacing w:val="27"/>
        </w:rPr>
        <w:t> </w:t>
      </w:r>
      <w:r>
        <w:rPr/>
        <w:t>concluded</w:t>
      </w:r>
      <w:r>
        <w:rPr>
          <w:spacing w:val="27"/>
        </w:rPr>
        <w:t> </w:t>
      </w:r>
      <w:r>
        <w:rPr/>
        <w:t>by</w:t>
      </w:r>
      <w:r>
        <w:rPr>
          <w:spacing w:val="27"/>
        </w:rPr>
        <w:t> </w:t>
      </w:r>
      <w:r>
        <w:rPr/>
        <w:t>UNICE,</w:t>
      </w:r>
      <w:r>
        <w:rPr>
          <w:spacing w:val="27"/>
        </w:rPr>
        <w:t> </w:t>
      </w:r>
      <w:r>
        <w:rPr/>
        <w:t>CEEP</w:t>
      </w:r>
      <w:r>
        <w:rPr>
          <w:spacing w:val="27"/>
        </w:rPr>
        <w:t> </w:t>
      </w:r>
      <w:r>
        <w:rPr/>
        <w:t>and</w:t>
      </w:r>
      <w:r>
        <w:rPr>
          <w:spacing w:val="27"/>
        </w:rPr>
        <w:t> </w:t>
      </w:r>
      <w:r>
        <w:rPr/>
        <w:t>the</w:t>
      </w:r>
      <w:r>
        <w:rPr>
          <w:spacing w:val="27"/>
        </w:rPr>
        <w:t> </w:t>
      </w:r>
      <w:r>
        <w:rPr/>
        <w:t>ETUC</w:t>
      </w:r>
      <w:r>
        <w:rPr>
          <w:spacing w:val="27"/>
        </w:rPr>
        <w:t> </w:t>
      </w:r>
      <w:r>
        <w:rPr>
          <w:spacing w:val="-2"/>
        </w:rPr>
        <w:t>[1998]</w:t>
      </w:r>
    </w:p>
    <w:p>
      <w:pPr>
        <w:pStyle w:val="BodyText"/>
        <w:spacing w:line="224" w:lineRule="exact"/>
        <w:ind w:left="705"/>
        <w:jc w:val="both"/>
      </w:pPr>
      <w:r>
        <w:rPr/>
        <w:t>O.J. </w:t>
      </w:r>
      <w:r>
        <w:rPr>
          <w:spacing w:val="-2"/>
        </w:rPr>
        <w:t>L14/9.</w:t>
      </w:r>
    </w:p>
    <w:p>
      <w:pPr>
        <w:pStyle w:val="BodyText"/>
        <w:spacing w:before="8"/>
      </w:pPr>
    </w:p>
    <w:p>
      <w:pPr>
        <w:tabs>
          <w:tab w:pos="705" w:val="left" w:leader="none"/>
        </w:tabs>
        <w:spacing w:line="235" w:lineRule="auto" w:before="0"/>
        <w:ind w:left="705" w:right="167" w:hanging="541"/>
        <w:jc w:val="left"/>
        <w:rPr>
          <w:sz w:val="20"/>
        </w:rPr>
      </w:pPr>
      <w:bookmarkStart w:name="_bookmark354" w:id="356"/>
      <w:bookmarkEnd w:id="356"/>
      <w:r>
        <w:rPr/>
      </w:r>
      <w:hyperlink w:history="true" w:anchor="_bookmark284">
        <w:r>
          <w:rPr>
            <w:color w:val="005DA1"/>
            <w:spacing w:val="-4"/>
            <w:position w:val="5"/>
            <w:sz w:val="14"/>
            <w:u w:val="single" w:color="005DA1"/>
          </w:rPr>
          <w:t>188</w:t>
        </w:r>
      </w:hyperlink>
      <w:r>
        <w:rPr>
          <w:spacing w:val="-4"/>
          <w:position w:val="5"/>
          <w:sz w:val="14"/>
        </w:rPr>
        <w:t>.</w:t>
      </w:r>
      <w:r>
        <w:rPr>
          <w:position w:val="5"/>
          <w:sz w:val="14"/>
        </w:rPr>
        <w:tab/>
      </w:r>
      <w:r>
        <w:rPr>
          <w:rFonts w:ascii="Arial" w:hAnsi="Arial"/>
          <w:i/>
          <w:sz w:val="20"/>
        </w:rPr>
        <w:t>Hoekstra</w:t>
      </w:r>
      <w:r>
        <w:rPr>
          <w:rFonts w:ascii="Arial" w:hAnsi="Arial"/>
          <w:i/>
          <w:spacing w:val="40"/>
          <w:sz w:val="20"/>
        </w:rPr>
        <w:t> </w:t>
      </w:r>
      <w:r>
        <w:rPr>
          <w:rFonts w:ascii="Arial" w:hAnsi="Arial"/>
          <w:i/>
          <w:sz w:val="20"/>
        </w:rPr>
        <w:t>(née</w:t>
      </w:r>
      <w:r>
        <w:rPr>
          <w:rFonts w:ascii="Arial" w:hAnsi="Arial"/>
          <w:i/>
          <w:spacing w:val="40"/>
          <w:sz w:val="20"/>
        </w:rPr>
        <w:t> </w:t>
      </w:r>
      <w:r>
        <w:rPr>
          <w:rFonts w:ascii="Arial" w:hAnsi="Arial"/>
          <w:i/>
          <w:sz w:val="20"/>
        </w:rPr>
        <w:t>Unger)</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Bestuur</w:t>
      </w:r>
      <w:r>
        <w:rPr>
          <w:rFonts w:ascii="Arial" w:hAnsi="Arial"/>
          <w:i/>
          <w:spacing w:val="40"/>
          <w:sz w:val="20"/>
        </w:rPr>
        <w:t> </w:t>
      </w:r>
      <w:r>
        <w:rPr>
          <w:rFonts w:ascii="Arial" w:hAnsi="Arial"/>
          <w:i/>
          <w:sz w:val="20"/>
        </w:rPr>
        <w:t>der</w:t>
      </w:r>
      <w:r>
        <w:rPr>
          <w:rFonts w:ascii="Arial" w:hAnsi="Arial"/>
          <w:i/>
          <w:spacing w:val="40"/>
          <w:sz w:val="20"/>
        </w:rPr>
        <w:t> </w:t>
      </w:r>
      <w:r>
        <w:rPr>
          <w:rFonts w:ascii="Arial" w:hAnsi="Arial"/>
          <w:i/>
          <w:sz w:val="20"/>
        </w:rPr>
        <w:t>Bedrijfsvereniging</w:t>
      </w:r>
      <w:r>
        <w:rPr>
          <w:rFonts w:ascii="Arial" w:hAnsi="Arial"/>
          <w:i/>
          <w:spacing w:val="40"/>
          <w:sz w:val="20"/>
        </w:rPr>
        <w:t> </w:t>
      </w:r>
      <w:r>
        <w:rPr>
          <w:rFonts w:ascii="Arial" w:hAnsi="Arial"/>
          <w:i/>
          <w:sz w:val="20"/>
        </w:rPr>
        <w:t>voor</w:t>
      </w:r>
      <w:r>
        <w:rPr>
          <w:rFonts w:ascii="Arial" w:hAnsi="Arial"/>
          <w:i/>
          <w:spacing w:val="40"/>
          <w:sz w:val="20"/>
        </w:rPr>
        <w:t> </w:t>
      </w:r>
      <w:r>
        <w:rPr>
          <w:rFonts w:ascii="Arial" w:hAnsi="Arial"/>
          <w:i/>
          <w:sz w:val="20"/>
        </w:rPr>
        <w:t>Detailhandel</w:t>
      </w:r>
      <w:r>
        <w:rPr>
          <w:rFonts w:ascii="Arial" w:hAnsi="Arial"/>
          <w:i/>
          <w:spacing w:val="40"/>
          <w:sz w:val="20"/>
        </w:rPr>
        <w:t> </w:t>
      </w:r>
      <w:r>
        <w:rPr>
          <w:rFonts w:ascii="Arial" w:hAnsi="Arial"/>
          <w:i/>
          <w:sz w:val="20"/>
        </w:rPr>
        <w:t>en</w:t>
      </w:r>
      <w:r>
        <w:rPr>
          <w:rFonts w:ascii="Arial" w:hAnsi="Arial"/>
          <w:i/>
          <w:spacing w:val="40"/>
          <w:sz w:val="20"/>
        </w:rPr>
        <w:t> </w:t>
      </w:r>
      <w:r>
        <w:rPr>
          <w:rFonts w:ascii="Arial" w:hAnsi="Arial"/>
          <w:i/>
          <w:sz w:val="20"/>
        </w:rPr>
        <w:t>Ambachten</w:t>
      </w:r>
      <w:r>
        <w:rPr>
          <w:rFonts w:ascii="Arial" w:hAnsi="Arial"/>
          <w:i/>
          <w:spacing w:val="80"/>
          <w:w w:val="150"/>
          <w:sz w:val="20"/>
        </w:rPr>
        <w:t> </w:t>
      </w:r>
      <w:r>
        <w:rPr>
          <w:rFonts w:ascii="Arial" w:hAnsi="Arial"/>
          <w:i/>
          <w:sz w:val="20"/>
        </w:rPr>
        <w:t>(C-75/63) [1964] E.C.R. 177</w:t>
      </w:r>
      <w:r>
        <w:rPr>
          <w:sz w:val="20"/>
        </w:rPr>
        <w:t>.</w:t>
      </w:r>
    </w:p>
    <w:p>
      <w:pPr>
        <w:pStyle w:val="BodyText"/>
        <w:spacing w:before="6"/>
      </w:pPr>
    </w:p>
    <w:p>
      <w:pPr>
        <w:pStyle w:val="BodyText"/>
        <w:tabs>
          <w:tab w:pos="705" w:val="left" w:leader="none"/>
        </w:tabs>
        <w:ind w:left="165"/>
      </w:pPr>
      <w:bookmarkStart w:name="_bookmark355" w:id="357"/>
      <w:bookmarkEnd w:id="357"/>
      <w:r>
        <w:rPr/>
      </w:r>
      <w:hyperlink w:history="true" w:anchor="_bookmark285">
        <w:r>
          <w:rPr>
            <w:color w:val="005DA1"/>
            <w:spacing w:val="-4"/>
            <w:position w:val="5"/>
            <w:sz w:val="14"/>
            <w:u w:val="single" w:color="005DA1"/>
          </w:rPr>
          <w:t>189</w:t>
        </w:r>
      </w:hyperlink>
      <w:r>
        <w:rPr>
          <w:spacing w:val="-4"/>
          <w:position w:val="5"/>
          <w:sz w:val="14"/>
        </w:rPr>
        <w:t>.</w:t>
      </w:r>
      <w:r>
        <w:rPr>
          <w:position w:val="5"/>
          <w:sz w:val="14"/>
        </w:rPr>
        <w:tab/>
      </w:r>
      <w:r>
        <w:rPr/>
        <w:t>See</w:t>
      </w:r>
      <w:r>
        <w:rPr>
          <w:spacing w:val="-3"/>
        </w:rPr>
        <w:t> </w:t>
      </w:r>
      <w:r>
        <w:rPr/>
        <w:t>Craig and de Búrca,</w:t>
      </w:r>
      <w:r>
        <w:rPr>
          <w:spacing w:val="-1"/>
        </w:rPr>
        <w:t> </w:t>
      </w:r>
      <w:r>
        <w:rPr>
          <w:rFonts w:ascii="Arial" w:hAnsi="Arial"/>
          <w:i/>
        </w:rPr>
        <w:t>EU Law</w:t>
      </w:r>
      <w:r>
        <w:rPr/>
        <w:t>, 6th edn (2015), </w:t>
      </w:r>
      <w:r>
        <w:rPr>
          <w:spacing w:val="-2"/>
        </w:rPr>
        <w:t>Ch.21.</w:t>
      </w:r>
    </w:p>
    <w:p>
      <w:pPr>
        <w:pStyle w:val="BodyText"/>
        <w:spacing w:before="5"/>
      </w:pPr>
    </w:p>
    <w:p>
      <w:pPr>
        <w:pStyle w:val="BodyText"/>
        <w:tabs>
          <w:tab w:pos="705" w:val="left" w:leader="none"/>
        </w:tabs>
        <w:ind w:left="165"/>
      </w:pPr>
      <w:bookmarkStart w:name="_bookmark356" w:id="358"/>
      <w:bookmarkEnd w:id="358"/>
      <w:r>
        <w:rPr/>
      </w:r>
      <w:hyperlink w:history="true" w:anchor="_bookmark286">
        <w:r>
          <w:rPr>
            <w:color w:val="005DA1"/>
            <w:spacing w:val="-4"/>
            <w:position w:val="5"/>
            <w:sz w:val="14"/>
            <w:u w:val="single" w:color="005DA1"/>
          </w:rPr>
          <w:t>190</w:t>
        </w:r>
      </w:hyperlink>
      <w:r>
        <w:rPr>
          <w:spacing w:val="-4"/>
          <w:position w:val="5"/>
          <w:sz w:val="14"/>
        </w:rPr>
        <w:t>.</w:t>
      </w:r>
      <w:r>
        <w:rPr>
          <w:position w:val="5"/>
          <w:sz w:val="14"/>
        </w:rPr>
        <w:tab/>
      </w:r>
      <w:r>
        <w:rPr/>
        <w:t>See Vol.II, paras 38-199—38-</w:t>
      </w:r>
      <w:r>
        <w:rPr>
          <w:spacing w:val="-4"/>
        </w:rPr>
        <w:t>200.</w:t>
      </w:r>
    </w:p>
    <w:p>
      <w:pPr>
        <w:pStyle w:val="BodyText"/>
        <w:spacing w:before="9"/>
      </w:pPr>
    </w:p>
    <w:p>
      <w:pPr>
        <w:pStyle w:val="BodyText"/>
        <w:tabs>
          <w:tab w:pos="705" w:val="left" w:leader="none"/>
        </w:tabs>
        <w:spacing w:line="235" w:lineRule="auto"/>
        <w:ind w:left="705" w:right="168" w:hanging="541"/>
      </w:pPr>
      <w:bookmarkStart w:name="_bookmark357" w:id="359"/>
      <w:bookmarkEnd w:id="359"/>
      <w:r>
        <w:rPr/>
      </w:r>
      <w:hyperlink w:history="true" w:anchor="_bookmark287">
        <w:r>
          <w:rPr>
            <w:color w:val="005DA1"/>
            <w:spacing w:val="-4"/>
            <w:position w:val="5"/>
            <w:sz w:val="14"/>
            <w:u w:val="single" w:color="005DA1"/>
          </w:rPr>
          <w:t>191</w:t>
        </w:r>
      </w:hyperlink>
      <w:r>
        <w:rPr>
          <w:spacing w:val="-4"/>
          <w:position w:val="5"/>
          <w:sz w:val="14"/>
        </w:rPr>
        <w:t>.</w:t>
      </w:r>
      <w:r>
        <w:rPr>
          <w:position w:val="5"/>
          <w:sz w:val="14"/>
        </w:rPr>
        <w:tab/>
      </w:r>
      <w:r>
        <w:rPr/>
        <w:t>Whittaker (2000) 116 L.Q.R. 95 and see Vol.II, paras 38-014, 38-210—38-211. cf. the </w:t>
      </w:r>
      <w:r>
        <w:rPr/>
        <w:t>position under the Consumer Rights Directive 2011 art.6(5), on which see Vol.II, paras 38-059—38-</w:t>
      </w:r>
      <w:r>
        <w:rPr>
          <w:spacing w:val="-4"/>
        </w:rPr>
        <w:t>061.</w:t>
      </w:r>
    </w:p>
    <w:p>
      <w:pPr>
        <w:pStyle w:val="BodyText"/>
        <w:spacing w:before="5"/>
      </w:pPr>
    </w:p>
    <w:p>
      <w:pPr>
        <w:tabs>
          <w:tab w:pos="705" w:val="left" w:leader="none"/>
        </w:tabs>
        <w:spacing w:before="0"/>
        <w:ind w:left="165" w:right="0" w:firstLine="0"/>
        <w:jc w:val="left"/>
        <w:rPr>
          <w:sz w:val="20"/>
        </w:rPr>
      </w:pPr>
      <w:bookmarkStart w:name="_bookmark358" w:id="360"/>
      <w:bookmarkEnd w:id="360"/>
      <w:r>
        <w:rPr/>
      </w:r>
      <w:hyperlink w:history="true" w:anchor="_bookmark288">
        <w:r>
          <w:rPr>
            <w:color w:val="005DA1"/>
            <w:spacing w:val="-4"/>
            <w:position w:val="5"/>
            <w:sz w:val="14"/>
            <w:u w:val="single" w:color="005DA1"/>
          </w:rPr>
          <w:t>192</w:t>
        </w:r>
      </w:hyperlink>
      <w:r>
        <w:rPr>
          <w:spacing w:val="-4"/>
          <w:position w:val="5"/>
          <w:sz w:val="14"/>
        </w:rPr>
        <w:t>.</w:t>
      </w:r>
      <w:r>
        <w:rPr>
          <w:position w:val="5"/>
          <w:sz w:val="14"/>
        </w:rPr>
        <w:tab/>
      </w:r>
      <w:r>
        <w:rPr>
          <w:sz w:val="20"/>
        </w:rPr>
        <w:t>Above, para.1-</w:t>
      </w:r>
      <w:r>
        <w:rPr>
          <w:spacing w:val="-4"/>
          <w:sz w:val="20"/>
        </w:rPr>
        <w:t>020.</w:t>
      </w:r>
    </w:p>
    <w:p>
      <w:pPr>
        <w:pStyle w:val="BodyText"/>
        <w:spacing w:before="5"/>
      </w:pPr>
    </w:p>
    <w:p>
      <w:pPr>
        <w:tabs>
          <w:tab w:pos="705" w:val="left" w:leader="none"/>
        </w:tabs>
        <w:spacing w:before="0"/>
        <w:ind w:left="165" w:right="0" w:firstLine="0"/>
        <w:jc w:val="left"/>
        <w:rPr>
          <w:sz w:val="20"/>
        </w:rPr>
      </w:pPr>
      <w:bookmarkStart w:name="_bookmark359" w:id="361"/>
      <w:bookmarkEnd w:id="361"/>
      <w:r>
        <w:rPr/>
      </w:r>
      <w:hyperlink w:history="true" w:anchor="_bookmark289">
        <w:r>
          <w:rPr>
            <w:color w:val="005DA1"/>
            <w:spacing w:val="-4"/>
            <w:position w:val="5"/>
            <w:sz w:val="14"/>
            <w:u w:val="single" w:color="005DA1"/>
          </w:rPr>
          <w:t>193</w:t>
        </w:r>
      </w:hyperlink>
      <w:r>
        <w:rPr>
          <w:spacing w:val="-4"/>
          <w:position w:val="5"/>
          <w:sz w:val="14"/>
        </w:rPr>
        <w:t>.</w:t>
      </w:r>
      <w:r>
        <w:rPr>
          <w:position w:val="5"/>
          <w:sz w:val="14"/>
        </w:rPr>
        <w:tab/>
      </w:r>
      <w:r>
        <w:rPr>
          <w:rFonts w:ascii="Arial"/>
          <w:i/>
          <w:sz w:val="20"/>
        </w:rPr>
        <w:t>C-107/98 [1999] E.C.R. I-</w:t>
      </w:r>
      <w:r>
        <w:rPr>
          <w:rFonts w:ascii="Arial"/>
          <w:i/>
          <w:spacing w:val="-2"/>
          <w:sz w:val="20"/>
        </w:rPr>
        <w:t>8121</w:t>
      </w:r>
      <w:r>
        <w:rPr>
          <w:spacing w:val="-2"/>
          <w:sz w:val="20"/>
        </w:rPr>
        <w:t>.</w:t>
      </w:r>
    </w:p>
    <w:p>
      <w:pPr>
        <w:pStyle w:val="BodyText"/>
        <w:spacing w:before="9"/>
      </w:pPr>
    </w:p>
    <w:p>
      <w:pPr>
        <w:pStyle w:val="BodyText"/>
        <w:spacing w:line="235" w:lineRule="auto"/>
        <w:ind w:left="705" w:right="167" w:hanging="541"/>
        <w:jc w:val="both"/>
      </w:pPr>
      <w:bookmarkStart w:name="_bookmark360" w:id="362"/>
      <w:bookmarkEnd w:id="362"/>
      <w:r>
        <w:rPr/>
      </w:r>
      <w:hyperlink w:history="true" w:anchor="_bookmark290">
        <w:r>
          <w:rPr>
            <w:color w:val="005DA1"/>
            <w:position w:val="5"/>
            <w:sz w:val="14"/>
            <w:u w:val="single" w:color="005DA1"/>
          </w:rPr>
          <w:t>194</w:t>
        </w:r>
      </w:hyperlink>
      <w:r>
        <w:rPr>
          <w:position w:val="5"/>
          <w:sz w:val="14"/>
        </w:rPr>
        <w:t>.</w:t>
      </w:r>
      <w:r>
        <w:rPr>
          <w:spacing w:val="80"/>
          <w:w w:val="150"/>
          <w:position w:val="5"/>
          <w:sz w:val="14"/>
        </w:rPr>
        <w:t> </w:t>
      </w:r>
      <w:r>
        <w:rPr/>
        <w:t>At the time, Council Directive 1992/50/EEC relating to the co-ordination of procedures for the award of public service contracts; Directive 93/36/EEC of June 14, 1993 co-ordinating procedures for the award of public supply contracts.</w:t>
      </w:r>
    </w:p>
    <w:p>
      <w:pPr>
        <w:pStyle w:val="BodyText"/>
        <w:spacing w:before="5"/>
      </w:pPr>
    </w:p>
    <w:p>
      <w:pPr>
        <w:tabs>
          <w:tab w:pos="705" w:val="left" w:leader="none"/>
        </w:tabs>
        <w:spacing w:before="0"/>
        <w:ind w:left="165" w:right="0" w:firstLine="0"/>
        <w:jc w:val="left"/>
        <w:rPr>
          <w:sz w:val="20"/>
        </w:rPr>
      </w:pPr>
      <w:bookmarkStart w:name="_bookmark361" w:id="363"/>
      <w:bookmarkEnd w:id="363"/>
      <w:r>
        <w:rPr/>
      </w:r>
      <w:hyperlink w:history="true" w:anchor="_bookmark291">
        <w:r>
          <w:rPr>
            <w:color w:val="005DA1"/>
            <w:spacing w:val="-4"/>
            <w:position w:val="5"/>
            <w:sz w:val="14"/>
            <w:u w:val="single" w:color="005DA1"/>
          </w:rPr>
          <w:t>195</w:t>
        </w:r>
      </w:hyperlink>
      <w:r>
        <w:rPr>
          <w:spacing w:val="-4"/>
          <w:position w:val="5"/>
          <w:sz w:val="14"/>
        </w:rPr>
        <w:t>.</w:t>
      </w:r>
      <w:r>
        <w:rPr>
          <w:position w:val="5"/>
          <w:sz w:val="14"/>
        </w:rPr>
        <w:tab/>
      </w:r>
      <w:r>
        <w:rPr>
          <w:rFonts w:ascii="Arial"/>
          <w:i/>
          <w:sz w:val="20"/>
        </w:rPr>
        <w:t>C-107/98 [1999] E.C.R. I-8121</w:t>
      </w:r>
      <w:r>
        <w:rPr>
          <w:rFonts w:ascii="Arial"/>
          <w:i/>
          <w:spacing w:val="-1"/>
          <w:sz w:val="20"/>
        </w:rPr>
        <w:t> </w:t>
      </w:r>
      <w:r>
        <w:rPr>
          <w:sz w:val="20"/>
        </w:rPr>
        <w:t>at paras 49 and </w:t>
      </w:r>
      <w:r>
        <w:rPr>
          <w:spacing w:val="-5"/>
          <w:sz w:val="20"/>
        </w:rPr>
        <w:t>50.</w:t>
      </w:r>
    </w:p>
    <w:p>
      <w:pPr>
        <w:pStyle w:val="BodyText"/>
        <w:spacing w:before="9"/>
      </w:pPr>
    </w:p>
    <w:p>
      <w:pPr>
        <w:tabs>
          <w:tab w:pos="705" w:val="left" w:leader="none"/>
        </w:tabs>
        <w:spacing w:line="235" w:lineRule="auto" w:before="0"/>
        <w:ind w:left="705" w:right="168" w:hanging="541"/>
        <w:jc w:val="left"/>
        <w:rPr>
          <w:sz w:val="20"/>
        </w:rPr>
      </w:pPr>
      <w:bookmarkStart w:name="_bookmark362" w:id="364"/>
      <w:bookmarkEnd w:id="364"/>
      <w:r>
        <w:rPr/>
      </w:r>
      <w:hyperlink w:history="true" w:anchor="_bookmark292">
        <w:r>
          <w:rPr>
            <w:color w:val="005DA1"/>
            <w:spacing w:val="-4"/>
            <w:position w:val="5"/>
            <w:sz w:val="14"/>
            <w:u w:val="single" w:color="005DA1"/>
          </w:rPr>
          <w:t>196</w:t>
        </w:r>
      </w:hyperlink>
      <w:r>
        <w:rPr>
          <w:spacing w:val="-4"/>
          <w:position w:val="5"/>
          <w:sz w:val="14"/>
        </w:rPr>
        <w:t>.</w:t>
      </w:r>
      <w:r>
        <w:rPr>
          <w:position w:val="5"/>
          <w:sz w:val="14"/>
        </w:rPr>
        <w:tab/>
      </w:r>
      <w:r>
        <w:rPr>
          <w:rFonts w:ascii="Arial"/>
          <w:i/>
          <w:sz w:val="20"/>
        </w:rPr>
        <w:t>Stadt Halle &amp; RPL Recyclingpark Lochau GmbH v Arbeitsgemeinschaft Thermische Restabfall und Energierverwertungsanlage (C-26/03) [2005] E.C.R. I-1 </w:t>
      </w:r>
      <w:r>
        <w:rPr>
          <w:sz w:val="20"/>
        </w:rPr>
        <w:t>at [52].</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363" w:id="365"/>
      <w:bookmarkEnd w:id="365"/>
      <w:r>
        <w:rPr/>
      </w:r>
      <w:hyperlink w:history="true" w:anchor="_bookmark293">
        <w:r>
          <w:rPr>
            <w:color w:val="005DA1"/>
            <w:spacing w:val="-4"/>
            <w:sz w:val="14"/>
            <w:u w:val="single" w:color="005DA1"/>
          </w:rPr>
          <w:t>197</w:t>
        </w:r>
      </w:hyperlink>
      <w:r>
        <w:rPr>
          <w:spacing w:val="-4"/>
          <w:sz w:val="14"/>
        </w:rPr>
        <w:t>.</w:t>
      </w:r>
    </w:p>
    <w:p>
      <w:pPr>
        <w:pStyle w:val="BodyText"/>
        <w:spacing w:line="235" w:lineRule="auto" w:before="212"/>
        <w:ind w:left="165" w:right="167" w:firstLine="170"/>
        <w:jc w:val="both"/>
      </w:pPr>
      <w:r>
        <w:rPr/>
        <w:br w:type="column"/>
      </w:r>
      <w:r>
        <w:rPr>
          <w:rFonts w:ascii="Arial"/>
          <w:i/>
        </w:rPr>
        <w:t>Risk Management Partners Ltd v Brent LBC [2011] UKSC 7, [2011] 2 A.C. 34 </w:t>
      </w:r>
      <w:r>
        <w:rPr/>
        <w:t>at [22], per</w:t>
      </w:r>
      <w:r>
        <w:rPr>
          <w:spacing w:val="80"/>
        </w:rPr>
        <w:t> </w:t>
      </w:r>
      <w:r>
        <w:rPr/>
        <w:t>Lord Hope of Craighead D.P.S.C. and see further </w:t>
      </w:r>
      <w:r>
        <w:rPr>
          <w:rFonts w:ascii="Arial"/>
          <w:i/>
        </w:rPr>
        <w:t>[2011] UKSC 7 </w:t>
      </w:r>
      <w:r>
        <w:rPr/>
        <w:t>at [38]. The conclusion of public contracts between entities in the public sector (which forms the context of this case-law) has</w:t>
      </w:r>
      <w:r>
        <w:rPr>
          <w:spacing w:val="-1"/>
        </w:rPr>
        <w:t> </w:t>
      </w:r>
      <w:r>
        <w:rPr/>
        <w:t>been</w:t>
      </w:r>
      <w:r>
        <w:rPr>
          <w:spacing w:val="-1"/>
        </w:rPr>
        <w:t> </w:t>
      </w:r>
      <w:r>
        <w:rPr/>
        <w:t>the</w:t>
      </w:r>
      <w:r>
        <w:rPr>
          <w:spacing w:val="-1"/>
        </w:rPr>
        <w:t> </w:t>
      </w:r>
      <w:r>
        <w:rPr/>
        <w:t>subject</w:t>
      </w:r>
      <w:r>
        <w:rPr>
          <w:spacing w:val="-1"/>
        </w:rPr>
        <w:t> </w:t>
      </w:r>
      <w:r>
        <w:rPr/>
        <w:t>of</w:t>
      </w:r>
      <w:r>
        <w:rPr>
          <w:spacing w:val="-1"/>
        </w:rPr>
        <w:t> </w:t>
      </w:r>
      <w:r>
        <w:rPr/>
        <w:t>regulation</w:t>
      </w:r>
      <w:r>
        <w:rPr>
          <w:spacing w:val="-1"/>
        </w:rPr>
        <w:t> </w:t>
      </w:r>
      <w:r>
        <w:rPr/>
        <w:t>by</w:t>
      </w:r>
      <w:r>
        <w:rPr>
          <w:spacing w:val="-1"/>
        </w:rPr>
        <w:t> </w:t>
      </w:r>
      <w:r>
        <w:rPr/>
        <w:t>the</w:t>
      </w:r>
      <w:r>
        <w:rPr>
          <w:spacing w:val="-1"/>
        </w:rPr>
        <w:t> </w:t>
      </w:r>
      <w:r>
        <w:rPr/>
        <w:t>Public</w:t>
      </w:r>
      <w:r>
        <w:rPr>
          <w:spacing w:val="-1"/>
        </w:rPr>
        <w:t> </w:t>
      </w:r>
      <w:r>
        <w:rPr/>
        <w:t>Contracts</w:t>
      </w:r>
      <w:r>
        <w:rPr>
          <w:spacing w:val="-1"/>
        </w:rPr>
        <w:t> </w:t>
      </w:r>
      <w:r>
        <w:rPr/>
        <w:t>Directive</w:t>
      </w:r>
      <w:r>
        <w:rPr>
          <w:spacing w:val="-1"/>
        </w:rPr>
        <w:t> </w:t>
      </w:r>
      <w:r>
        <w:rPr/>
        <w:t>2014:</w:t>
      </w:r>
      <w:r>
        <w:rPr>
          <w:spacing w:val="-1"/>
        </w:rPr>
        <w:t> </w:t>
      </w:r>
      <w:r>
        <w:rPr/>
        <w:t>Directive</w:t>
      </w:r>
      <w:r>
        <w:rPr>
          <w:spacing w:val="-1"/>
        </w:rPr>
        <w:t> </w:t>
      </w:r>
      <w:r>
        <w:rPr/>
        <w:t>2014/24/EU on public procurement and repealing Directive 2004/18/EC [2014] O.J. L94/65 art.12 </w:t>
      </w:r>
      <w:r>
        <w:rPr/>
        <w:t>and recitals 31 and 32.</w:t>
      </w:r>
    </w:p>
    <w:p>
      <w:pPr>
        <w:pStyle w:val="BodyText"/>
        <w:spacing w:before="191"/>
      </w:pPr>
    </w:p>
    <w:p>
      <w:pPr>
        <w:spacing w:before="0"/>
        <w:ind w:left="0" w:right="544" w:firstLine="0"/>
        <w:jc w:val="center"/>
        <w:rPr>
          <w:sz w:val="14"/>
        </w:rPr>
      </w:pPr>
      <w:r>
        <w:rPr>
          <w:sz w:val="14"/>
        </w:rPr>
        <w:drawing>
          <wp:anchor distT="0" distB="0" distL="0" distR="0" allowOverlap="1" layoutInCell="1" locked="0" behindDoc="0" simplePos="0" relativeHeight="15778816">
            <wp:simplePos x="0" y="0"/>
            <wp:positionH relativeFrom="page">
              <wp:posOffset>1257846</wp:posOffset>
            </wp:positionH>
            <wp:positionV relativeFrom="paragraph">
              <wp:posOffset>-1100124</wp:posOffset>
            </wp:positionV>
            <wp:extent cx="107988" cy="107988"/>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6"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3. - Fundamental Principles of Contract </w:t>
      </w:r>
      <w:r>
        <w:rPr>
          <w:rFonts w:ascii="Arial"/>
          <w:b/>
          <w:spacing w:val="-5"/>
          <w:sz w:val="24"/>
        </w:rPr>
        <w:t>Law</w:t>
      </w:r>
    </w:p>
    <w:p>
      <w:pPr>
        <w:pStyle w:val="BodyText"/>
        <w:rPr>
          <w:rFonts w:ascii="Arial"/>
          <w:b/>
          <w:sz w:val="24"/>
        </w:rPr>
      </w:pPr>
    </w:p>
    <w:p>
      <w:pPr>
        <w:pStyle w:val="BodyText"/>
        <w:spacing w:before="22"/>
        <w:rPr>
          <w:rFonts w:ascii="Arial"/>
          <w:b/>
          <w:sz w:val="24"/>
        </w:rPr>
      </w:pPr>
    </w:p>
    <w:p>
      <w:pPr>
        <w:spacing w:before="0"/>
        <w:ind w:left="164" w:right="0" w:firstLine="0"/>
        <w:jc w:val="left"/>
        <w:rPr>
          <w:rFonts w:ascii="Arial"/>
          <w:b/>
          <w:sz w:val="24"/>
        </w:rPr>
      </w:pPr>
      <w:r>
        <w:rPr>
          <w:rFonts w:ascii="Arial"/>
          <w:b/>
          <w:sz w:val="24"/>
        </w:rPr>
        <w:t>1-</w:t>
      </w:r>
      <w:r>
        <w:rPr>
          <w:rFonts w:ascii="Arial"/>
          <w:b/>
          <w:spacing w:val="-5"/>
          <w:sz w:val="24"/>
        </w:rPr>
        <w:t>025</w:t>
      </w:r>
    </w:p>
    <w:p>
      <w:pPr>
        <w:pStyle w:val="BodyText"/>
        <w:spacing w:line="235" w:lineRule="auto" w:before="203"/>
        <w:ind w:left="164" w:right="166"/>
        <w:jc w:val="both"/>
      </w:pPr>
      <w:r>
        <w:rPr/>
        <w:t>There are a number of norms of the English law of contract of a generality, pervasiveness and importance to have attracted the designation of principle, though such a designation does not have </w:t>
      </w:r>
      <w:r>
        <w:rPr/>
        <w:t>a </w:t>
      </w:r>
      <w:bookmarkStart w:name="_bookmark364" w:id="366"/>
      <w:bookmarkEnd w:id="366"/>
      <w:r>
        <w:rPr/>
        <w:t>technical</w:t>
      </w:r>
      <w:r>
        <w:rPr/>
        <w:t> legal significance. A number of legal norms could be advanced as included within such a </w:t>
      </w:r>
      <w:bookmarkStart w:name="_bookmark365" w:id="367"/>
      <w:bookmarkEnd w:id="367"/>
      <w:r>
        <w:rPr/>
        <w:t>category</w:t>
      </w:r>
      <w:r>
        <w:rPr/>
        <w:t> of principle, including the principle of privity of contract, </w:t>
      </w:r>
      <w:r>
        <w:rPr>
          <w:color w:val="005DA1"/>
          <w:u w:val="single" w:color="005DA1"/>
          <w:vertAlign w:val="superscript"/>
        </w:rPr>
        <w:t>198</w:t>
      </w:r>
      <w:r>
        <w:rPr>
          <w:color w:val="005DA1"/>
          <w:vertAlign w:val="baseline"/>
        </w:rPr>
        <w:t> </w:t>
      </w:r>
      <w:r>
        <w:rPr>
          <w:vertAlign w:val="baseline"/>
        </w:rPr>
        <w:t>the principle of “objectivity” in </w:t>
      </w:r>
      <w:bookmarkStart w:name="_bookmark366" w:id="368"/>
      <w:bookmarkEnd w:id="368"/>
      <w:r>
        <w:rPr>
          <w:vertAlign w:val="baseline"/>
        </w:rPr>
        <w:t>agreement,</w:t>
      </w:r>
      <w:r>
        <w:rPr>
          <w:spacing w:val="-3"/>
          <w:vertAlign w:val="baseline"/>
        </w:rPr>
        <w:t> </w:t>
      </w:r>
      <w:r>
        <w:rPr>
          <w:color w:val="005DA1"/>
          <w:u w:val="single" w:color="005DA1"/>
          <w:vertAlign w:val="superscript"/>
        </w:rPr>
        <w:t>199</w:t>
      </w:r>
      <w:r>
        <w:rPr>
          <w:color w:val="005DA1"/>
          <w:spacing w:val="-3"/>
          <w:vertAlign w:val="baseline"/>
        </w:rPr>
        <w:t> </w:t>
      </w:r>
      <w:r>
        <w:rPr>
          <w:vertAlign w:val="baseline"/>
        </w:rPr>
        <w:t>and</w:t>
      </w:r>
      <w:r>
        <w:rPr>
          <w:spacing w:val="-3"/>
          <w:vertAlign w:val="baseline"/>
        </w:rPr>
        <w:t> </w:t>
      </w:r>
      <w:r>
        <w:rPr>
          <w:vertAlign w:val="baseline"/>
        </w:rPr>
        <w:t>principles</w:t>
      </w:r>
      <w:r>
        <w:rPr>
          <w:spacing w:val="-3"/>
          <w:vertAlign w:val="baseline"/>
        </w:rPr>
        <w:t> </w:t>
      </w:r>
      <w:r>
        <w:rPr>
          <w:vertAlign w:val="baseline"/>
        </w:rPr>
        <w:t>of</w:t>
      </w:r>
      <w:r>
        <w:rPr>
          <w:spacing w:val="-3"/>
          <w:vertAlign w:val="baseline"/>
        </w:rPr>
        <w:t> </w:t>
      </w:r>
      <w:r>
        <w:rPr>
          <w:vertAlign w:val="baseline"/>
        </w:rPr>
        <w:t>contractual</w:t>
      </w:r>
      <w:r>
        <w:rPr>
          <w:spacing w:val="-3"/>
          <w:vertAlign w:val="baseline"/>
        </w:rPr>
        <w:t> </w:t>
      </w:r>
      <w:r>
        <w:rPr>
          <w:vertAlign w:val="baseline"/>
        </w:rPr>
        <w:t>interpretation.</w:t>
      </w:r>
      <w:r>
        <w:rPr>
          <w:spacing w:val="-4"/>
          <w:vertAlign w:val="baseline"/>
        </w:rPr>
        <w:t> </w:t>
      </w:r>
      <w:r>
        <w:rPr>
          <w:color w:val="005DA1"/>
          <w:u w:val="single" w:color="005DA1"/>
          <w:vertAlign w:val="superscript"/>
        </w:rPr>
        <w:t>200</w:t>
      </w:r>
      <w:r>
        <w:rPr>
          <w:color w:val="005DA1"/>
          <w:spacing w:val="-3"/>
          <w:vertAlign w:val="baseline"/>
        </w:rPr>
        <w:t> </w:t>
      </w:r>
      <w:r>
        <w:rPr>
          <w:vertAlign w:val="baseline"/>
        </w:rPr>
        <w:t>However,</w:t>
      </w:r>
      <w:r>
        <w:rPr>
          <w:spacing w:val="-3"/>
          <w:vertAlign w:val="baseline"/>
        </w:rPr>
        <w:t> </w:t>
      </w:r>
      <w:r>
        <w:rPr>
          <w:vertAlign w:val="baseline"/>
        </w:rPr>
        <w:t>two</w:t>
      </w:r>
      <w:r>
        <w:rPr>
          <w:spacing w:val="-3"/>
          <w:vertAlign w:val="baseline"/>
        </w:rPr>
        <w:t> </w:t>
      </w:r>
      <w:r>
        <w:rPr>
          <w:vertAlign w:val="baseline"/>
        </w:rPr>
        <w:t>linked</w:t>
      </w:r>
      <w:r>
        <w:rPr>
          <w:spacing w:val="-3"/>
          <w:vertAlign w:val="baseline"/>
        </w:rPr>
        <w:t> </w:t>
      </w:r>
      <w:r>
        <w:rPr>
          <w:vertAlign w:val="baseline"/>
        </w:rPr>
        <w:t>principles</w:t>
      </w:r>
      <w:r>
        <w:rPr>
          <w:spacing w:val="-3"/>
          <w:vertAlign w:val="baseline"/>
        </w:rPr>
        <w:t> </w:t>
      </w:r>
      <w:r>
        <w:rPr>
          <w:vertAlign w:val="baseline"/>
        </w:rPr>
        <w:t>remain</w:t>
      </w:r>
      <w:r>
        <w:rPr>
          <w:spacing w:val="-3"/>
          <w:vertAlign w:val="baseline"/>
        </w:rPr>
        <w:t> </w:t>
      </w:r>
      <w:r>
        <w:rPr>
          <w:vertAlign w:val="baseline"/>
        </w:rPr>
        <w:t>of fundamental</w:t>
      </w:r>
      <w:r>
        <w:rPr>
          <w:spacing w:val="5"/>
          <w:vertAlign w:val="baseline"/>
        </w:rPr>
        <w:t> </w:t>
      </w:r>
      <w:r>
        <w:rPr>
          <w:vertAlign w:val="baseline"/>
        </w:rPr>
        <w:t>importance,</w:t>
      </w:r>
      <w:r>
        <w:rPr>
          <w:spacing w:val="5"/>
          <w:vertAlign w:val="baseline"/>
        </w:rPr>
        <w:t> </w:t>
      </w:r>
      <w:r>
        <w:rPr>
          <w:vertAlign w:val="baseline"/>
        </w:rPr>
        <w:t>viz</w:t>
      </w:r>
      <w:r>
        <w:rPr>
          <w:spacing w:val="5"/>
          <w:vertAlign w:val="baseline"/>
        </w:rPr>
        <w:t> </w:t>
      </w:r>
      <w:r>
        <w:rPr>
          <w:vertAlign w:val="baseline"/>
        </w:rPr>
        <w:t>the</w:t>
      </w:r>
      <w:r>
        <w:rPr>
          <w:spacing w:val="5"/>
          <w:vertAlign w:val="baseline"/>
        </w:rPr>
        <w:t> </w:t>
      </w:r>
      <w:r>
        <w:rPr>
          <w:vertAlign w:val="baseline"/>
        </w:rPr>
        <w:t>principles</w:t>
      </w:r>
      <w:r>
        <w:rPr>
          <w:spacing w:val="5"/>
          <w:vertAlign w:val="baseline"/>
        </w:rPr>
        <w:t> </w:t>
      </w:r>
      <w:r>
        <w:rPr>
          <w:vertAlign w:val="baseline"/>
        </w:rPr>
        <w:t>of</w:t>
      </w:r>
      <w:r>
        <w:rPr>
          <w:spacing w:val="5"/>
          <w:vertAlign w:val="baseline"/>
        </w:rPr>
        <w:t> </w:t>
      </w:r>
      <w:r>
        <w:rPr>
          <w:vertAlign w:val="baseline"/>
        </w:rPr>
        <w:t>freedom</w:t>
      </w:r>
      <w:r>
        <w:rPr>
          <w:spacing w:val="5"/>
          <w:vertAlign w:val="baseline"/>
        </w:rPr>
        <w:t> </w:t>
      </w:r>
      <w:r>
        <w:rPr>
          <w:vertAlign w:val="baseline"/>
        </w:rPr>
        <w:t>of</w:t>
      </w:r>
      <w:r>
        <w:rPr>
          <w:spacing w:val="5"/>
          <w:vertAlign w:val="baseline"/>
        </w:rPr>
        <w:t> </w:t>
      </w:r>
      <w:r>
        <w:rPr>
          <w:vertAlign w:val="baseline"/>
        </w:rPr>
        <w:t>contract</w:t>
      </w:r>
      <w:r>
        <w:rPr>
          <w:spacing w:val="5"/>
          <w:vertAlign w:val="baseline"/>
        </w:rPr>
        <w:t> </w:t>
      </w:r>
      <w:r>
        <w:rPr>
          <w:vertAlign w:val="baseline"/>
        </w:rPr>
        <w:t>and</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binding</w:t>
      </w:r>
      <w:r>
        <w:rPr>
          <w:spacing w:val="5"/>
          <w:vertAlign w:val="baseline"/>
        </w:rPr>
        <w:t> </w:t>
      </w:r>
      <w:r>
        <w:rPr>
          <w:vertAlign w:val="baseline"/>
        </w:rPr>
        <w:t>force</w:t>
      </w:r>
      <w:r>
        <w:rPr>
          <w:spacing w:val="5"/>
          <w:vertAlign w:val="baseline"/>
        </w:rPr>
        <w:t> </w:t>
      </w:r>
      <w:r>
        <w:rPr>
          <w:vertAlign w:val="baseline"/>
        </w:rPr>
        <w:t>of</w:t>
      </w:r>
      <w:r>
        <w:rPr>
          <w:spacing w:val="5"/>
          <w:vertAlign w:val="baseline"/>
        </w:rPr>
        <w:t> </w:t>
      </w:r>
      <w:r>
        <w:rPr>
          <w:spacing w:val="-2"/>
          <w:vertAlign w:val="baseline"/>
        </w:rPr>
        <w:t>contract.</w:t>
      </w:r>
    </w:p>
    <w:p>
      <w:pPr>
        <w:pStyle w:val="BodyText"/>
        <w:spacing w:line="235" w:lineRule="auto"/>
        <w:ind w:left="165" w:right="167"/>
        <w:jc w:val="both"/>
      </w:pPr>
      <w:r>
        <w:rPr>
          <w:color w:val="005DA1"/>
          <w:u w:val="single" w:color="005DA1"/>
          <w:vertAlign w:val="superscript"/>
        </w:rPr>
        <w:t>201</w:t>
      </w:r>
      <w:r>
        <w:rPr>
          <w:color w:val="005DA1"/>
          <w:vertAlign w:val="baseline"/>
        </w:rPr>
        <w:t> </w:t>
      </w:r>
      <w:r>
        <w:rPr>
          <w:vertAlign w:val="baseline"/>
        </w:rPr>
        <w:t>By these two principles, English law has expressed its attachment to a general vision of contract</w:t>
      </w:r>
      <w:r>
        <w:rPr>
          <w:spacing w:val="40"/>
          <w:vertAlign w:val="baseline"/>
        </w:rPr>
        <w:t> </w:t>
      </w:r>
      <w:r>
        <w:rPr>
          <w:vertAlign w:val="baseline"/>
        </w:rPr>
        <w:t>as the free expression of the choices of the parties which will then be given effect by the law. However, while the modern law still takes these principles as the starting-point of its approach to </w:t>
      </w:r>
      <w:bookmarkStart w:name="_bookmark367" w:id="369"/>
      <w:bookmarkEnd w:id="369"/>
      <w:r>
        <w:rPr>
          <w:vertAlign w:val="baseline"/>
        </w:rPr>
        <w:t>contracts,</w:t>
      </w:r>
      <w:r>
        <w:rPr>
          <w:vertAlign w:val="baseline"/>
        </w:rPr>
        <w:t> it also recognises a host of qualifications on them, some recognised at common law and some created by legislation. </w:t>
      </w:r>
      <w:r>
        <w:rPr>
          <w:color w:val="005DA1"/>
          <w:u w:val="single" w:color="005DA1"/>
          <w:vertAlign w:val="superscript"/>
        </w:rPr>
        <w:t>202</w:t>
      </w:r>
      <w:r>
        <w:rPr>
          <w:color w:val="005DA1"/>
          <w:vertAlign w:val="baseline"/>
        </w:rPr>
        <w:t> </w:t>
      </w:r>
      <w:r>
        <w:rPr>
          <w:vertAlign w:val="baseline"/>
        </w:rPr>
        <w:t>Moreover, some commentators have argued that these </w:t>
      </w:r>
      <w:r>
        <w:rPr>
          <w:vertAlign w:val="baseline"/>
        </w:rPr>
        <w:t>various qualifications should not be seen merely as the expression of particular reasons or considerations of policy special to their context, but should instead be seen as themselves reflecting a further, central </w:t>
      </w:r>
      <w:bookmarkStart w:name="_bookmark368" w:id="370"/>
      <w:bookmarkEnd w:id="370"/>
      <w:r>
        <w:rPr>
          <w:vertAlign w:val="baseline"/>
        </w:rPr>
        <w:t>principle,</w:t>
      </w:r>
      <w:r>
        <w:rPr>
          <w:vertAlign w:val="baseline"/>
        </w:rPr>
        <w:t> sometimes put in terms of a principle of good faith in contract or a principle of contractual fairness. </w:t>
      </w:r>
      <w:r>
        <w:rPr>
          <w:color w:val="005DA1"/>
          <w:u w:val="single" w:color="005DA1"/>
          <w:vertAlign w:val="superscript"/>
        </w:rPr>
        <w:t>203</w:t>
      </w:r>
      <w:r>
        <w:rPr>
          <w:color w:val="005DA1"/>
          <w:vertAlign w:val="baseline"/>
        </w:rPr>
        <w:t> </w:t>
      </w:r>
      <w:r>
        <w:rPr>
          <w:vertAlign w:val="baseline"/>
        </w:rPr>
        <w:t>EU law also recognises the importance of freedom of contract and the binding force of </w:t>
      </w:r>
      <w:bookmarkStart w:name="_bookmark369" w:id="371"/>
      <w:bookmarkEnd w:id="371"/>
      <w:r>
        <w:rPr>
          <w:vertAlign w:val="baseline"/>
        </w:rPr>
        <w:t>contracts,</w:t>
      </w:r>
      <w:r>
        <w:rPr>
          <w:vertAlign w:val="baseline"/>
        </w:rPr>
        <w:t> but, unlike English common law, also appears to be moving towards the recognition of a principle of good faith or “good faith and fair dealing”. </w:t>
      </w:r>
      <w:r>
        <w:rPr>
          <w:color w:val="005DA1"/>
          <w:u w:val="single" w:color="005DA1"/>
          <w:vertAlign w:val="superscript"/>
        </w:rPr>
        <w:t>204</w:t>
      </w:r>
    </w:p>
    <w:p>
      <w:pPr>
        <w:pStyle w:val="BodyText"/>
      </w:pPr>
    </w:p>
    <w:p>
      <w:pPr>
        <w:pStyle w:val="BodyText"/>
        <w:spacing w:before="33"/>
      </w:pPr>
      <w:r>
        <w:rPr/>
        <mc:AlternateContent>
          <mc:Choice Requires="wps">
            <w:drawing>
              <wp:anchor distT="0" distB="0" distL="0" distR="0" allowOverlap="1" layoutInCell="1" locked="0" behindDoc="1" simplePos="0" relativeHeight="487638528">
                <wp:simplePos x="0" y="0"/>
                <wp:positionH relativeFrom="page">
                  <wp:posOffset>914400</wp:posOffset>
                </wp:positionH>
                <wp:positionV relativeFrom="paragraph">
                  <wp:posOffset>182497</wp:posOffset>
                </wp:positionV>
                <wp:extent cx="5724525" cy="1270"/>
                <wp:effectExtent l="0" t="0" r="0" b="0"/>
                <wp:wrapTopAndBottom/>
                <wp:docPr id="197" name="Graphic 197"/>
                <wp:cNvGraphicFramePr>
                  <a:graphicFrameLocks/>
                </wp:cNvGraphicFramePr>
                <a:graphic>
                  <a:graphicData uri="http://schemas.microsoft.com/office/word/2010/wordprocessingShape">
                    <wps:wsp>
                      <wps:cNvPr id="197" name="Graphic 19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6991pt;width:450.75pt;height:.1pt;mso-position-horizontal-relative:page;mso-position-vertical-relative:paragraph;z-index:-15677952;mso-wrap-distance-left:0;mso-wrap-distance-right:0" id="docshape19" coordorigin="1440,287" coordsize="9015,0" path="m1440,287l10454,287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370" w:id="372"/>
      <w:bookmarkEnd w:id="372"/>
      <w:r>
        <w:rPr/>
      </w:r>
      <w:hyperlink w:history="true" w:anchor="_bookmark364">
        <w:r>
          <w:rPr>
            <w:color w:val="005DA1"/>
            <w:spacing w:val="-4"/>
            <w:position w:val="5"/>
            <w:sz w:val="14"/>
            <w:u w:val="single" w:color="005DA1"/>
          </w:rPr>
          <w:t>198</w:t>
        </w:r>
      </w:hyperlink>
      <w:r>
        <w:rPr>
          <w:spacing w:val="-4"/>
          <w:position w:val="5"/>
          <w:sz w:val="14"/>
        </w:rPr>
        <w:t>.</w:t>
      </w:r>
      <w:r>
        <w:rPr>
          <w:position w:val="5"/>
          <w:sz w:val="14"/>
        </w:rPr>
        <w:tab/>
      </w:r>
      <w:r>
        <w:rPr/>
        <w:t>See below, Ch.18, para.18-</w:t>
      </w:r>
      <w:r>
        <w:rPr>
          <w:spacing w:val="-4"/>
        </w:rPr>
        <w:t>003.</w:t>
      </w:r>
    </w:p>
    <w:p>
      <w:pPr>
        <w:pStyle w:val="BodyText"/>
        <w:spacing w:before="5"/>
      </w:pPr>
    </w:p>
    <w:p>
      <w:pPr>
        <w:pStyle w:val="BodyText"/>
        <w:tabs>
          <w:tab w:pos="705" w:val="left" w:leader="none"/>
        </w:tabs>
        <w:ind w:left="165"/>
      </w:pPr>
      <w:bookmarkStart w:name="_bookmark371" w:id="373"/>
      <w:bookmarkEnd w:id="373"/>
      <w:r>
        <w:rPr/>
      </w:r>
      <w:hyperlink w:history="true" w:anchor="_bookmark365">
        <w:r>
          <w:rPr>
            <w:color w:val="005DA1"/>
            <w:spacing w:val="-4"/>
            <w:position w:val="5"/>
            <w:sz w:val="14"/>
            <w:u w:val="single" w:color="005DA1"/>
          </w:rPr>
          <w:t>199</w:t>
        </w:r>
      </w:hyperlink>
      <w:r>
        <w:rPr>
          <w:spacing w:val="-4"/>
          <w:position w:val="5"/>
          <w:sz w:val="14"/>
        </w:rPr>
        <w:t>.</w:t>
      </w:r>
      <w:r>
        <w:rPr>
          <w:position w:val="5"/>
          <w:sz w:val="14"/>
        </w:rPr>
        <w:tab/>
      </w:r>
      <w:r>
        <w:rPr/>
        <w:t>See</w:t>
      </w:r>
      <w:r>
        <w:rPr>
          <w:spacing w:val="-2"/>
        </w:rPr>
        <w:t> </w:t>
      </w:r>
      <w:r>
        <w:rPr/>
        <w:t>below, para.2-</w:t>
      </w:r>
      <w:r>
        <w:rPr>
          <w:spacing w:val="-4"/>
        </w:rPr>
        <w:t>002.</w:t>
      </w:r>
    </w:p>
    <w:p>
      <w:pPr>
        <w:pStyle w:val="BodyText"/>
        <w:spacing w:before="9"/>
      </w:pPr>
    </w:p>
    <w:p>
      <w:pPr>
        <w:tabs>
          <w:tab w:pos="705" w:val="left" w:leader="none"/>
        </w:tabs>
        <w:spacing w:line="235" w:lineRule="auto" w:before="0"/>
        <w:ind w:left="705" w:right="168" w:hanging="541"/>
        <w:jc w:val="left"/>
        <w:rPr>
          <w:sz w:val="20"/>
        </w:rPr>
      </w:pPr>
      <w:bookmarkStart w:name="_bookmark372" w:id="374"/>
      <w:bookmarkEnd w:id="374"/>
      <w:r>
        <w:rPr/>
      </w:r>
      <w:hyperlink w:history="true" w:anchor="_bookmark365">
        <w:r>
          <w:rPr>
            <w:color w:val="005DA1"/>
            <w:spacing w:val="-4"/>
            <w:position w:val="5"/>
            <w:sz w:val="14"/>
            <w:u w:val="single" w:color="005DA1"/>
          </w:rPr>
          <w:t>200</w:t>
        </w:r>
      </w:hyperlink>
      <w:r>
        <w:rPr>
          <w:spacing w:val="-4"/>
          <w:position w:val="5"/>
          <w:sz w:val="14"/>
        </w:rPr>
        <w:t>.</w:t>
      </w:r>
      <w:r>
        <w:rPr>
          <w:position w:val="5"/>
          <w:sz w:val="14"/>
        </w:rPr>
        <w:tab/>
      </w:r>
      <w:r>
        <w:rPr>
          <w:sz w:val="20"/>
        </w:rPr>
        <w:t>See below, paras 13-041 et seq. and especially </w:t>
      </w:r>
      <w:r>
        <w:rPr>
          <w:rFonts w:ascii="Arial" w:hAnsi="Arial"/>
          <w:i/>
          <w:sz w:val="20"/>
        </w:rPr>
        <w:t>Investors Compensation Scheme Ltd v West</w:t>
      </w:r>
      <w:r>
        <w:rPr>
          <w:rFonts w:ascii="Arial" w:hAnsi="Arial"/>
          <w:i/>
          <w:spacing w:val="80"/>
          <w:sz w:val="20"/>
        </w:rPr>
        <w:t> </w:t>
      </w:r>
      <w:r>
        <w:rPr>
          <w:rFonts w:ascii="Arial" w:hAnsi="Arial"/>
          <w:i/>
          <w:sz w:val="20"/>
        </w:rPr>
        <w:t>Bromwich Building Society Ltd [1998] 1 W.L.R. 896 </w:t>
      </w:r>
      <w:r>
        <w:rPr>
          <w:sz w:val="20"/>
        </w:rPr>
        <w:t>at 912–913, per Lord Hoffmann.</w:t>
      </w:r>
    </w:p>
    <w:p>
      <w:pPr>
        <w:pStyle w:val="BodyText"/>
        <w:spacing w:before="5"/>
      </w:pPr>
    </w:p>
    <w:p>
      <w:pPr>
        <w:pStyle w:val="BodyText"/>
        <w:tabs>
          <w:tab w:pos="705" w:val="left" w:leader="none"/>
        </w:tabs>
        <w:ind w:left="165"/>
      </w:pPr>
      <w:bookmarkStart w:name="_bookmark373" w:id="375"/>
      <w:bookmarkEnd w:id="375"/>
      <w:r>
        <w:rPr/>
      </w:r>
      <w:hyperlink w:history="true" w:anchor="_bookmark366">
        <w:r>
          <w:rPr>
            <w:color w:val="005DA1"/>
            <w:spacing w:val="-4"/>
            <w:position w:val="5"/>
            <w:sz w:val="14"/>
            <w:u w:val="single" w:color="005DA1"/>
          </w:rPr>
          <w:t>201</w:t>
        </w:r>
      </w:hyperlink>
      <w:r>
        <w:rPr>
          <w:spacing w:val="-4"/>
          <w:position w:val="5"/>
          <w:sz w:val="14"/>
        </w:rPr>
        <w:t>.</w:t>
      </w:r>
      <w:r>
        <w:rPr>
          <w:position w:val="5"/>
          <w:sz w:val="14"/>
        </w:rPr>
        <w:tab/>
      </w:r>
      <w:r>
        <w:rPr/>
        <w:t>See below, paras 1-026—1-035, 1-036—1-</w:t>
      </w:r>
      <w:r>
        <w:rPr>
          <w:spacing w:val="-4"/>
        </w:rPr>
        <w:t>038.</w:t>
      </w:r>
    </w:p>
    <w:p>
      <w:pPr>
        <w:pStyle w:val="BodyText"/>
        <w:spacing w:before="5"/>
      </w:pPr>
    </w:p>
    <w:p>
      <w:pPr>
        <w:pStyle w:val="BodyText"/>
        <w:tabs>
          <w:tab w:pos="705" w:val="left" w:leader="none"/>
        </w:tabs>
        <w:ind w:left="165"/>
      </w:pPr>
      <w:bookmarkStart w:name="_bookmark374" w:id="376"/>
      <w:bookmarkEnd w:id="376"/>
      <w:r>
        <w:rPr/>
      </w:r>
      <w:hyperlink w:history="true" w:anchor="_bookmark367">
        <w:r>
          <w:rPr>
            <w:color w:val="005DA1"/>
            <w:spacing w:val="-4"/>
            <w:position w:val="5"/>
            <w:sz w:val="14"/>
            <w:u w:val="single" w:color="005DA1"/>
          </w:rPr>
          <w:t>202</w:t>
        </w:r>
      </w:hyperlink>
      <w:r>
        <w:rPr>
          <w:spacing w:val="-4"/>
          <w:position w:val="5"/>
          <w:sz w:val="14"/>
        </w:rPr>
        <w:t>.</w:t>
      </w:r>
      <w:r>
        <w:rPr>
          <w:position w:val="5"/>
          <w:sz w:val="14"/>
        </w:rPr>
        <w:tab/>
      </w:r>
      <w:r>
        <w:rPr/>
        <w:t>See below, paras 1-027, 1-031 et </w:t>
      </w:r>
      <w:r>
        <w:rPr>
          <w:spacing w:val="-4"/>
        </w:rPr>
        <w:t>seq.</w:t>
      </w:r>
    </w:p>
    <w:p>
      <w:pPr>
        <w:pStyle w:val="BodyText"/>
        <w:spacing w:before="5"/>
      </w:pPr>
    </w:p>
    <w:p>
      <w:pPr>
        <w:pStyle w:val="BodyText"/>
        <w:tabs>
          <w:tab w:pos="705" w:val="left" w:leader="none"/>
        </w:tabs>
        <w:spacing w:before="1"/>
        <w:ind w:left="165"/>
      </w:pPr>
      <w:bookmarkStart w:name="_bookmark375" w:id="377"/>
      <w:bookmarkEnd w:id="377"/>
      <w:r>
        <w:rPr/>
      </w:r>
      <w:hyperlink w:history="true" w:anchor="_bookmark368">
        <w:r>
          <w:rPr>
            <w:color w:val="005DA1"/>
            <w:spacing w:val="-4"/>
            <w:position w:val="5"/>
            <w:sz w:val="14"/>
            <w:u w:val="single" w:color="005DA1"/>
          </w:rPr>
          <w:t>203</w:t>
        </w:r>
      </w:hyperlink>
      <w:r>
        <w:rPr>
          <w:spacing w:val="-4"/>
          <w:position w:val="5"/>
          <w:sz w:val="14"/>
        </w:rPr>
        <w:t>.</w:t>
      </w:r>
      <w:r>
        <w:rPr>
          <w:position w:val="5"/>
          <w:sz w:val="14"/>
        </w:rPr>
        <w:tab/>
      </w:r>
      <w:r>
        <w:rPr/>
        <w:t>See below, paras 1-039 et </w:t>
      </w:r>
      <w:r>
        <w:rPr>
          <w:spacing w:val="-4"/>
        </w:rPr>
        <w:t>seq.</w:t>
      </w:r>
    </w:p>
    <w:p>
      <w:pPr>
        <w:pStyle w:val="BodyText"/>
        <w:spacing w:before="4"/>
      </w:pPr>
    </w:p>
    <w:p>
      <w:pPr>
        <w:pStyle w:val="BodyText"/>
        <w:tabs>
          <w:tab w:pos="705" w:val="left" w:leader="none"/>
        </w:tabs>
        <w:spacing w:before="1"/>
        <w:ind w:left="165"/>
      </w:pPr>
      <w:bookmarkStart w:name="_bookmark376" w:id="378"/>
      <w:bookmarkEnd w:id="378"/>
      <w:r>
        <w:rPr/>
      </w:r>
      <w:hyperlink w:history="true" w:anchor="_bookmark369">
        <w:r>
          <w:rPr>
            <w:color w:val="005DA1"/>
            <w:spacing w:val="-4"/>
            <w:position w:val="5"/>
            <w:sz w:val="14"/>
            <w:u w:val="single" w:color="005DA1"/>
          </w:rPr>
          <w:t>204</w:t>
        </w:r>
      </w:hyperlink>
      <w:r>
        <w:rPr>
          <w:spacing w:val="-4"/>
          <w:position w:val="5"/>
          <w:sz w:val="14"/>
        </w:rPr>
        <w:t>.</w:t>
      </w:r>
      <w:r>
        <w:rPr>
          <w:position w:val="5"/>
          <w:sz w:val="14"/>
        </w:rPr>
        <w:tab/>
      </w:r>
      <w:r>
        <w:rPr/>
        <w:t>Below,</w:t>
      </w:r>
      <w:r>
        <w:rPr>
          <w:spacing w:val="-2"/>
        </w:rPr>
        <w:t> </w:t>
      </w:r>
      <w:r>
        <w:rPr/>
        <w:t>paras 1-042—1-</w:t>
      </w:r>
      <w:r>
        <w:rPr>
          <w:spacing w:val="-4"/>
        </w:rPr>
        <w:t>043.</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17"/>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3. - Fundamental Principles of Contract </w:t>
      </w:r>
      <w:r>
        <w:rPr>
          <w:rFonts w:ascii="Arial"/>
          <w:b/>
          <w:spacing w:val="-5"/>
          <w:sz w:val="24"/>
        </w:rPr>
        <w:t>Law</w:t>
      </w:r>
    </w:p>
    <w:p>
      <w:pPr>
        <w:spacing w:before="194"/>
        <w:ind w:left="3238" w:right="0" w:firstLine="0"/>
        <w:jc w:val="left"/>
        <w:rPr>
          <w:rFonts w:ascii="Arial"/>
          <w:b/>
          <w:sz w:val="24"/>
        </w:rPr>
      </w:pPr>
      <w:r>
        <w:rPr>
          <w:rFonts w:ascii="Arial"/>
          <w:b/>
          <w:sz w:val="24"/>
        </w:rPr>
        <w:t>(a) - Freedom of </w:t>
      </w:r>
      <w:r>
        <w:rPr>
          <w:rFonts w:ascii="Arial"/>
          <w:b/>
          <w:spacing w:val="-2"/>
          <w:sz w:val="24"/>
        </w:rPr>
        <w:t>Contract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Freedom of contract in the nineteenth </w:t>
      </w:r>
      <w:r>
        <w:rPr>
          <w:rFonts w:ascii="Arial"/>
          <w:b/>
          <w:spacing w:val="-2"/>
          <w:sz w:val="18"/>
        </w:rPr>
        <w:t>century</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026</w:t>
      </w:r>
    </w:p>
    <w:p>
      <w:pPr>
        <w:pStyle w:val="BodyText"/>
        <w:spacing w:line="235" w:lineRule="auto" w:before="202"/>
        <w:ind w:left="164" w:right="167"/>
        <w:jc w:val="both"/>
      </w:pPr>
      <w:r>
        <w:rPr/>
        <w:t>In the nineteenth century, freedom of contract was regarded by many philosophers, economists </w:t>
      </w:r>
      <w:r>
        <w:rPr/>
        <w:t>and </w:t>
      </w:r>
      <w:bookmarkStart w:name="_bookmark377" w:id="379"/>
      <w:bookmarkEnd w:id="379"/>
      <w:r>
        <w:rPr/>
        <w:t>judges</w:t>
      </w:r>
      <w:r>
        <w:rPr/>
        <w:t> as an end in itself, finding its philosophical justification in the “will theory” of contract and its economic justification in laissez faire liberalism. </w:t>
      </w:r>
      <w:r>
        <w:rPr>
          <w:color w:val="005DA1"/>
          <w:u w:val="single" w:color="005DA1"/>
          <w:vertAlign w:val="superscript"/>
        </w:rPr>
        <w:t>205</w:t>
      </w:r>
      <w:r>
        <w:rPr>
          <w:color w:val="005DA1"/>
          <w:vertAlign w:val="baseline"/>
        </w:rPr>
        <w:t> </w:t>
      </w:r>
      <w:r>
        <w:rPr>
          <w:vertAlign w:val="baseline"/>
        </w:rPr>
        <w:t>Thus, the parties were to be the best judges of their own interests, and if they freely and voluntarily entered into a contract, the only function of the law was to enforce it. In particular, its validity should not be challenged on the ground that its effect </w:t>
      </w:r>
      <w:bookmarkStart w:name="_bookmark378" w:id="380"/>
      <w:bookmarkEnd w:id="380"/>
      <w:r>
        <w:rPr>
          <w:vertAlign w:val="baseline"/>
        </w:rPr>
        <w:t>was</w:t>
      </w:r>
      <w:r>
        <w:rPr>
          <w:vertAlign w:val="baseline"/>
        </w:rPr>
        <w:t> unfair or socially undesirable (as long as it was not actually illegal or immoral, the latter of which was understood in a restrictive sense) </w:t>
      </w:r>
      <w:r>
        <w:rPr>
          <w:color w:val="005DA1"/>
          <w:u w:val="single" w:color="005DA1"/>
          <w:vertAlign w:val="superscript"/>
        </w:rPr>
        <w:t>206</w:t>
      </w:r>
      <w:r>
        <w:rPr>
          <w:color w:val="005DA1"/>
          <w:vertAlign w:val="baseline"/>
        </w:rPr>
        <w:t> </w:t>
      </w:r>
      <w:r>
        <w:rPr>
          <w:vertAlign w:val="baseline"/>
        </w:rPr>
        <w:t>and it was immaterial that one party was economically in a stronger bargaining position than the other. Nowhere can this attitude be seen more clearly than in</w:t>
      </w:r>
      <w:r>
        <w:rPr>
          <w:spacing w:val="40"/>
          <w:vertAlign w:val="baseline"/>
        </w:rPr>
        <w:t> </w:t>
      </w:r>
      <w:r>
        <w:rPr>
          <w:vertAlign w:val="baseline"/>
        </w:rPr>
        <w:t>the attitude of the courts to clauses which attempted to regulate the damages payable on breach of </w:t>
      </w:r>
      <w:bookmarkStart w:name="_bookmark379" w:id="381"/>
      <w:bookmarkEnd w:id="381"/>
      <w:r>
        <w:rPr>
          <w:vertAlign w:val="baseline"/>
        </w:rPr>
        <w:t>contract.</w:t>
      </w:r>
      <w:r>
        <w:rPr>
          <w:vertAlign w:val="baseline"/>
        </w:rPr>
        <w:t> For, the courts held that parties to a contract were able to limit or exclude liability in</w:t>
      </w:r>
      <w:r>
        <w:rPr>
          <w:spacing w:val="40"/>
          <w:vertAlign w:val="baseline"/>
        </w:rPr>
        <w:t> </w:t>
      </w:r>
      <w:r>
        <w:rPr>
          <w:vertAlign w:val="baseline"/>
        </w:rPr>
        <w:t>damages not merely for breach of contract, but also in tort. </w:t>
      </w:r>
      <w:r>
        <w:rPr>
          <w:color w:val="005DA1"/>
          <w:u w:val="single" w:color="005DA1"/>
          <w:vertAlign w:val="superscript"/>
        </w:rPr>
        <w:t>207</w:t>
      </w:r>
      <w:r>
        <w:rPr>
          <w:color w:val="005DA1"/>
          <w:vertAlign w:val="baseline"/>
        </w:rPr>
        <w:t> </w:t>
      </w:r>
      <w:r>
        <w:rPr>
          <w:vertAlign w:val="baseline"/>
        </w:rPr>
        <w:t>The courts’ attitude to freedom of contract can also be seen in their treatment of an exception to it, for while they accepted that penalty </w:t>
      </w:r>
      <w:bookmarkStart w:name="_bookmark380" w:id="382"/>
      <w:bookmarkEnd w:id="382"/>
      <w:r>
        <w:rPr>
          <w:vertAlign w:val="baseline"/>
        </w:rPr>
        <w:t>clauses</w:t>
      </w:r>
      <w:r>
        <w:rPr>
          <w:vertAlign w:val="baseline"/>
        </w:rPr>
        <w:t> were ineffective even if agreed by the parties, they did so only owing to the force of established precedent to this effect and with considerable reluctance. </w:t>
      </w:r>
      <w:r>
        <w:rPr>
          <w:color w:val="005DA1"/>
          <w:u w:val="single" w:color="005DA1"/>
          <w:vertAlign w:val="superscript"/>
        </w:rPr>
        <w:t>208</w:t>
      </w:r>
    </w:p>
    <w:p>
      <w:pPr>
        <w:pStyle w:val="BodyText"/>
      </w:pPr>
    </w:p>
    <w:p>
      <w:pPr>
        <w:pStyle w:val="BodyText"/>
        <w:spacing w:before="33"/>
      </w:pPr>
    </w:p>
    <w:p>
      <w:pPr>
        <w:spacing w:before="1"/>
        <w:ind w:left="165" w:right="0" w:firstLine="0"/>
        <w:jc w:val="both"/>
        <w:rPr>
          <w:rFonts w:ascii="Arial"/>
          <w:b/>
          <w:sz w:val="18"/>
        </w:rPr>
      </w:pPr>
      <w:r>
        <w:rPr>
          <w:rFonts w:ascii="Arial"/>
          <w:b/>
          <w:sz w:val="18"/>
        </w:rPr>
        <w:t>Freedom of contract in the modern common </w:t>
      </w:r>
      <w:r>
        <w:rPr>
          <w:rFonts w:ascii="Arial"/>
          <w:b/>
          <w:spacing w:val="-5"/>
          <w:sz w:val="18"/>
        </w:rPr>
        <w:t>law</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027</w:t>
      </w:r>
    </w:p>
    <w:p>
      <w:pPr>
        <w:pStyle w:val="BodyText"/>
        <w:spacing w:before="92"/>
        <w:rPr>
          <w:rFonts w:ascii="Arial"/>
          <w:b/>
        </w:rPr>
      </w:pPr>
    </w:p>
    <w:p>
      <w:pPr>
        <w:pStyle w:val="BodyText"/>
        <w:spacing w:line="235" w:lineRule="auto" w:before="1"/>
        <w:ind w:left="164" w:right="167"/>
        <w:jc w:val="both"/>
      </w:pPr>
      <w:r>
        <w:rPr>
          <w:position w:val="-2"/>
        </w:rPr>
        <w:drawing>
          <wp:inline distT="0" distB="0" distL="0" distR="0">
            <wp:extent cx="107988" cy="107988"/>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Freedom of contract as a general principle of the common law retains considerable support. </w:t>
      </w:r>
      <w:r>
        <w:rPr/>
        <w:t>For example, in 1966, Lord Reid rejected the idea that the doctrine of fundamental breach was a </w:t>
      </w:r>
      <w:bookmarkStart w:name="_bookmark381" w:id="383"/>
      <w:bookmarkEnd w:id="383"/>
      <w:r>
        <w:rPr/>
        <w:t>substantive</w:t>
      </w:r>
      <w:r>
        <w:rPr/>
        <w:t> rule of law, negativing any agreement to the contrary (and capable of being used to strike </w:t>
      </w:r>
      <w:bookmarkStart w:name="_bookmark382" w:id="384"/>
      <w:bookmarkEnd w:id="384"/>
      <w:r>
        <w:rPr/>
        <w:t>down</w:t>
      </w:r>
      <w:r>
        <w:rPr/>
        <w:t> an exemption clause) </w:t>
      </w:r>
      <w:r>
        <w:rPr>
          <w:color w:val="005DA1"/>
          <w:u w:val="single" w:color="005DA1"/>
          <w:vertAlign w:val="superscript"/>
        </w:rPr>
        <w:t>209</w:t>
      </w:r>
      <w:r>
        <w:rPr>
          <w:color w:val="005DA1"/>
          <w:vertAlign w:val="baseline"/>
        </w:rPr>
        <w:t> </w:t>
      </w:r>
      <w:r>
        <w:rPr>
          <w:vertAlign w:val="baseline"/>
        </w:rPr>
        <w:t>on the ground, inter alia, that this would restrict “the general principle</w:t>
      </w:r>
      <w:r>
        <w:rPr>
          <w:spacing w:val="40"/>
          <w:vertAlign w:val="baseline"/>
        </w:rPr>
        <w:t> </w:t>
      </w:r>
      <w:bookmarkStart w:name="_bookmark383" w:id="385"/>
      <w:bookmarkEnd w:id="385"/>
      <w:r>
        <w:rPr>
          <w:vertAlign w:val="baseline"/>
        </w:rPr>
        <w:t>of</w:t>
      </w:r>
      <w:r>
        <w:rPr>
          <w:vertAlign w:val="baseline"/>
        </w:rPr>
        <w:t> English law that parties are free to contract as they may think fit”. </w:t>
      </w:r>
      <w:r>
        <w:rPr>
          <w:color w:val="005DA1"/>
          <w:u w:val="single" w:color="005DA1"/>
          <w:vertAlign w:val="superscript"/>
        </w:rPr>
        <w:t>210</w:t>
      </w:r>
      <w:r>
        <w:rPr>
          <w:color w:val="005DA1"/>
          <w:vertAlign w:val="baseline"/>
        </w:rPr>
        <w:t> </w:t>
      </w:r>
      <w:r>
        <w:rPr>
          <w:vertAlign w:val="baseline"/>
        </w:rPr>
        <w:t>In 1980, in the same context, Lord Diplock observed </w:t>
      </w:r>
      <w:r>
        <w:rPr>
          <w:color w:val="005DA1"/>
          <w:u w:val="single" w:color="005DA1"/>
          <w:vertAlign w:val="superscript"/>
        </w:rPr>
        <w:t>211</w:t>
      </w:r>
      <w:r>
        <w:rPr>
          <w:color w:val="005DA1"/>
          <w:vertAlign w:val="baseline"/>
        </w:rPr>
        <w:t> </w:t>
      </w:r>
      <w:r>
        <w:rPr>
          <w:vertAlign w:val="baseline"/>
        </w:rPr>
        <w:t>that:</w:t>
      </w:r>
    </w:p>
    <w:p>
      <w:pPr>
        <w:pStyle w:val="BodyText"/>
      </w:pPr>
    </w:p>
    <w:p>
      <w:pPr>
        <w:pStyle w:val="BodyText"/>
        <w:spacing w:before="124"/>
      </w:pPr>
    </w:p>
    <w:p>
      <w:pPr>
        <w:pStyle w:val="BodyText"/>
        <w:spacing w:line="235" w:lineRule="auto"/>
        <w:ind w:left="1545"/>
      </w:pPr>
      <w:bookmarkStart w:name="_bookmark384" w:id="386"/>
      <w:bookmarkEnd w:id="386"/>
      <w:r>
        <w:rPr/>
      </w:r>
      <w:r>
        <w:rPr/>
        <w:t>“A</w:t>
      </w:r>
      <w:r>
        <w:rPr>
          <w:spacing w:val="21"/>
        </w:rPr>
        <w:t> </w:t>
      </w:r>
      <w:r>
        <w:rPr/>
        <w:t>basic</w:t>
      </w:r>
      <w:r>
        <w:rPr>
          <w:spacing w:val="21"/>
        </w:rPr>
        <w:t> </w:t>
      </w:r>
      <w:r>
        <w:rPr/>
        <w:t>principle</w:t>
      </w:r>
      <w:r>
        <w:rPr>
          <w:spacing w:val="21"/>
        </w:rPr>
        <w:t> </w:t>
      </w:r>
      <w:r>
        <w:rPr/>
        <w:t>of</w:t>
      </w:r>
      <w:r>
        <w:rPr>
          <w:spacing w:val="21"/>
        </w:rPr>
        <w:t> </w:t>
      </w:r>
      <w:r>
        <w:rPr/>
        <w:t>the</w:t>
      </w:r>
      <w:r>
        <w:rPr>
          <w:spacing w:val="21"/>
        </w:rPr>
        <w:t> </w:t>
      </w:r>
      <w:r>
        <w:rPr/>
        <w:t>common</w:t>
      </w:r>
      <w:r>
        <w:rPr>
          <w:spacing w:val="21"/>
        </w:rPr>
        <w:t> </w:t>
      </w:r>
      <w:r>
        <w:rPr/>
        <w:t>law</w:t>
      </w:r>
      <w:r>
        <w:rPr>
          <w:spacing w:val="21"/>
        </w:rPr>
        <w:t> </w:t>
      </w:r>
      <w:r>
        <w:rPr/>
        <w:t>of</w:t>
      </w:r>
      <w:r>
        <w:rPr>
          <w:spacing w:val="21"/>
        </w:rPr>
        <w:t> </w:t>
      </w:r>
      <w:r>
        <w:rPr/>
        <w:t>contract</w:t>
      </w:r>
      <w:r>
        <w:rPr>
          <w:spacing w:val="21"/>
        </w:rPr>
        <w:t> </w:t>
      </w:r>
      <w:r>
        <w:rPr/>
        <w:t>…</w:t>
      </w:r>
      <w:r>
        <w:rPr>
          <w:spacing w:val="21"/>
        </w:rPr>
        <w:t> </w:t>
      </w:r>
      <w:r>
        <w:rPr/>
        <w:t>is</w:t>
      </w:r>
      <w:r>
        <w:rPr>
          <w:spacing w:val="21"/>
        </w:rPr>
        <w:t> </w:t>
      </w:r>
      <w:r>
        <w:rPr/>
        <w:t>that</w:t>
      </w:r>
      <w:r>
        <w:rPr>
          <w:spacing w:val="21"/>
        </w:rPr>
        <w:t> </w:t>
      </w:r>
      <w:r>
        <w:rPr/>
        <w:t>parties</w:t>
      </w:r>
      <w:r>
        <w:rPr>
          <w:spacing w:val="21"/>
        </w:rPr>
        <w:t> </w:t>
      </w:r>
      <w:r>
        <w:rPr/>
        <w:t>to</w:t>
      </w:r>
      <w:r>
        <w:rPr>
          <w:spacing w:val="21"/>
        </w:rPr>
        <w:t> </w:t>
      </w:r>
      <w:r>
        <w:rPr/>
        <w:t>a</w:t>
      </w:r>
      <w:r>
        <w:rPr>
          <w:spacing w:val="21"/>
        </w:rPr>
        <w:t> </w:t>
      </w:r>
      <w:r>
        <w:rPr/>
        <w:t>contract</w:t>
      </w:r>
      <w:r>
        <w:rPr>
          <w:spacing w:val="21"/>
        </w:rPr>
        <w:t> </w:t>
      </w:r>
      <w:r>
        <w:rPr/>
        <w:t>are free to determine for themselves what primary obligations they will accept.” </w:t>
      </w:r>
      <w:r>
        <w:rPr>
          <w:color w:val="005DA1"/>
          <w:u w:val="single" w:color="005DA1"/>
          <w:vertAlign w:val="superscript"/>
        </w:rPr>
        <w:t>212</w:t>
      </w:r>
    </w:p>
    <w:p>
      <w:pPr>
        <w:pStyle w:val="BodyText"/>
        <w:spacing w:before="116"/>
      </w:pPr>
    </w:p>
    <w:p>
      <w:pPr>
        <w:pStyle w:val="BodyText"/>
        <w:spacing w:line="235" w:lineRule="auto"/>
        <w:ind w:left="165" w:right="167"/>
        <w:jc w:val="both"/>
      </w:pPr>
      <w:r>
        <w:rPr/>
        <w:t>This support remains particularly strong in commercial contexts. So Lord Bingham of Cornhill </w:t>
      </w:r>
      <w:r>
        <w:rPr/>
        <w:t>stated </w:t>
      </w:r>
      <w:bookmarkStart w:name="_bookmark385" w:id="387"/>
      <w:bookmarkEnd w:id="387"/>
      <w:r>
        <w:rPr/>
        <w:t>that</w:t>
      </w:r>
      <w:r>
        <w:rPr>
          <w:spacing w:val="15"/>
        </w:rPr>
        <w:t> </w:t>
      </w:r>
      <w:r>
        <w:rPr/>
        <w:t>“[l]egal</w:t>
      </w:r>
      <w:r>
        <w:rPr>
          <w:spacing w:val="15"/>
        </w:rPr>
        <w:t> </w:t>
      </w:r>
      <w:r>
        <w:rPr/>
        <w:t>policy</w:t>
      </w:r>
      <w:r>
        <w:rPr>
          <w:spacing w:val="15"/>
        </w:rPr>
        <w:t> </w:t>
      </w:r>
      <w:r>
        <w:rPr/>
        <w:t>favours</w:t>
      </w:r>
      <w:r>
        <w:rPr>
          <w:spacing w:val="15"/>
        </w:rPr>
        <w:t> </w:t>
      </w:r>
      <w:r>
        <w:rPr/>
        <w:t>the</w:t>
      </w:r>
      <w:r>
        <w:rPr>
          <w:spacing w:val="15"/>
        </w:rPr>
        <w:t> </w:t>
      </w:r>
      <w:r>
        <w:rPr/>
        <w:t>furtherance</w:t>
      </w:r>
      <w:r>
        <w:rPr>
          <w:spacing w:val="15"/>
        </w:rPr>
        <w:t> </w:t>
      </w:r>
      <w:r>
        <w:rPr/>
        <w:t>of</w:t>
      </w:r>
      <w:r>
        <w:rPr>
          <w:spacing w:val="15"/>
        </w:rPr>
        <w:t> </w:t>
      </w:r>
      <w:r>
        <w:rPr/>
        <w:t>international</w:t>
      </w:r>
      <w:r>
        <w:rPr>
          <w:spacing w:val="15"/>
        </w:rPr>
        <w:t> </w:t>
      </w:r>
      <w:r>
        <w:rPr/>
        <w:t>trade.</w:t>
      </w:r>
      <w:r>
        <w:rPr>
          <w:spacing w:val="15"/>
        </w:rPr>
        <w:t> </w:t>
      </w:r>
      <w:r>
        <w:rPr/>
        <w:t>Commercial</w:t>
      </w:r>
      <w:r>
        <w:rPr>
          <w:spacing w:val="15"/>
        </w:rPr>
        <w:t> </w:t>
      </w:r>
      <w:r>
        <w:rPr/>
        <w:t>men</w:t>
      </w:r>
      <w:r>
        <w:rPr>
          <w:spacing w:val="15"/>
        </w:rPr>
        <w:t> </w:t>
      </w:r>
      <w:r>
        <w:rPr/>
        <w:t>must</w:t>
      </w:r>
      <w:r>
        <w:rPr>
          <w:spacing w:val="15"/>
        </w:rPr>
        <w:t> </w:t>
      </w:r>
      <w:r>
        <w:rPr/>
        <w:t>be</w:t>
      </w:r>
      <w:r>
        <w:rPr>
          <w:spacing w:val="15"/>
        </w:rPr>
        <w:t> </w:t>
      </w:r>
      <w:r>
        <w:rPr/>
        <w:t>given</w:t>
      </w:r>
      <w:r>
        <w:rPr>
          <w:spacing w:val="15"/>
        </w:rPr>
        <w:t> </w:t>
      </w:r>
      <w:r>
        <w:rPr>
          <w:spacing w:val="-5"/>
        </w:rPr>
        <w:t>the</w:t>
      </w:r>
    </w:p>
    <w:p>
      <w:pPr>
        <w:pStyle w:val="BodyText"/>
        <w:spacing w:line="235" w:lineRule="auto" w:before="119"/>
        <w:ind w:left="165" w:right="167"/>
        <w:jc w:val="both"/>
      </w:pPr>
      <w:r>
        <w:rPr/>
        <w:t>utmost liberty of contracting”. </w:t>
      </w:r>
      <w:r>
        <w:rPr>
          <w:color w:val="005DA1"/>
          <w:u w:val="single" w:color="005DA1"/>
          <w:vertAlign w:val="superscript"/>
        </w:rPr>
        <w:t>213</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Moreover, English courts have proved unwilling to strike down </w:t>
      </w:r>
      <w:bookmarkStart w:name="_bookmark386" w:id="388"/>
      <w:bookmarkEnd w:id="388"/>
      <w:r>
        <w:rPr>
          <w:vertAlign w:val="baseline"/>
        </w:rPr>
        <w:t>contracts</w:t>
      </w:r>
      <w:r>
        <w:rPr>
          <w:vertAlign w:val="baseline"/>
        </w:rPr>
        <w:t> on the ground simply that one of the parties suffered from an “inequality of </w:t>
      </w:r>
      <w:r>
        <w:rPr>
          <w:vertAlign w:val="baseline"/>
        </w:rPr>
        <w:t>bargaining power”. </w:t>
      </w:r>
      <w:r>
        <w:rPr>
          <w:color w:val="005DA1"/>
          <w:u w:val="single" w:color="005DA1"/>
          <w:vertAlign w:val="superscript"/>
        </w:rPr>
        <w:t>214</w:t>
      </w:r>
      <w:r>
        <w:rPr>
          <w:color w:val="005DA1"/>
          <w:vertAlign w:val="baseline"/>
        </w:rPr>
        <w:t> </w:t>
      </w:r>
      <w:r>
        <w:rPr>
          <w:vertAlign w:val="baseline"/>
        </w:rPr>
        <w:t>Conversely, the House of Lords held that it would not </w:t>
      </w:r>
      <w:r>
        <w:rPr>
          <w:rFonts w:ascii="Arial" w:hAnsi="Arial"/>
          <w:i/>
          <w:vertAlign w:val="baseline"/>
        </w:rPr>
        <w:t>add </w:t>
      </w:r>
      <w:r>
        <w:rPr>
          <w:vertAlign w:val="baseline"/>
        </w:rPr>
        <w:t>to the agreement which the parties</w:t>
      </w:r>
      <w:r>
        <w:rPr>
          <w:spacing w:val="34"/>
          <w:vertAlign w:val="baseline"/>
        </w:rPr>
        <w:t> </w:t>
      </w:r>
      <w:r>
        <w:rPr>
          <w:vertAlign w:val="baseline"/>
        </w:rPr>
        <w:t>have</w:t>
      </w:r>
      <w:r>
        <w:rPr>
          <w:spacing w:val="34"/>
          <w:vertAlign w:val="baseline"/>
        </w:rPr>
        <w:t> </w:t>
      </w:r>
      <w:r>
        <w:rPr>
          <w:vertAlign w:val="baseline"/>
        </w:rPr>
        <w:t>made</w:t>
      </w:r>
      <w:r>
        <w:rPr>
          <w:spacing w:val="34"/>
          <w:vertAlign w:val="baseline"/>
        </w:rPr>
        <w:t> </w:t>
      </w:r>
      <w:r>
        <w:rPr>
          <w:vertAlign w:val="baseline"/>
        </w:rPr>
        <w:t>by</w:t>
      </w:r>
      <w:r>
        <w:rPr>
          <w:spacing w:val="34"/>
          <w:vertAlign w:val="baseline"/>
        </w:rPr>
        <w:t> </w:t>
      </w:r>
      <w:r>
        <w:rPr>
          <w:vertAlign w:val="baseline"/>
        </w:rPr>
        <w:t>implying</w:t>
      </w:r>
      <w:r>
        <w:rPr>
          <w:spacing w:val="34"/>
          <w:vertAlign w:val="baseline"/>
        </w:rPr>
        <w:t> </w:t>
      </w:r>
      <w:r>
        <w:rPr>
          <w:vertAlign w:val="baseline"/>
        </w:rPr>
        <w:t>a</w:t>
      </w:r>
      <w:r>
        <w:rPr>
          <w:spacing w:val="34"/>
          <w:vertAlign w:val="baseline"/>
        </w:rPr>
        <w:t> </w:t>
      </w:r>
      <w:r>
        <w:rPr>
          <w:vertAlign w:val="baseline"/>
        </w:rPr>
        <w:t>term</w:t>
      </w:r>
      <w:r>
        <w:rPr>
          <w:spacing w:val="34"/>
          <w:vertAlign w:val="baseline"/>
        </w:rPr>
        <w:t> </w:t>
      </w:r>
      <w:r>
        <w:rPr>
          <w:vertAlign w:val="baseline"/>
        </w:rPr>
        <w:t>merely</w:t>
      </w:r>
      <w:r>
        <w:rPr>
          <w:spacing w:val="34"/>
          <w:vertAlign w:val="baseline"/>
        </w:rPr>
        <w:t> </w:t>
      </w:r>
      <w:r>
        <w:rPr>
          <w:vertAlign w:val="baseline"/>
        </w:rPr>
        <w:t>because</w:t>
      </w:r>
      <w:r>
        <w:rPr>
          <w:spacing w:val="34"/>
          <w:vertAlign w:val="baseline"/>
        </w:rPr>
        <w:t> </w:t>
      </w:r>
      <w:r>
        <w:rPr>
          <w:vertAlign w:val="baseline"/>
        </w:rPr>
        <w:t>it</w:t>
      </w:r>
      <w:r>
        <w:rPr>
          <w:spacing w:val="34"/>
          <w:vertAlign w:val="baseline"/>
        </w:rPr>
        <w:t> </w:t>
      </w:r>
      <w:r>
        <w:rPr>
          <w:vertAlign w:val="baseline"/>
        </w:rPr>
        <w:t>would</w:t>
      </w:r>
      <w:r>
        <w:rPr>
          <w:spacing w:val="34"/>
          <w:vertAlign w:val="baseline"/>
        </w:rPr>
        <w:t> </w:t>
      </w:r>
      <w:r>
        <w:rPr>
          <w:vertAlign w:val="baseline"/>
        </w:rPr>
        <w:t>be</w:t>
      </w:r>
      <w:r>
        <w:rPr>
          <w:spacing w:val="34"/>
          <w:vertAlign w:val="baseline"/>
        </w:rPr>
        <w:t> </w:t>
      </w:r>
      <w:r>
        <w:rPr>
          <w:vertAlign w:val="baseline"/>
        </w:rPr>
        <w:t>reasonable</w:t>
      </w:r>
      <w:r>
        <w:rPr>
          <w:spacing w:val="34"/>
          <w:vertAlign w:val="baseline"/>
        </w:rPr>
        <w:t> </w:t>
      </w:r>
      <w:r>
        <w:rPr>
          <w:vertAlign w:val="baseline"/>
        </w:rPr>
        <w:t>to</w:t>
      </w:r>
      <w:r>
        <w:rPr>
          <w:spacing w:val="34"/>
          <w:vertAlign w:val="baseline"/>
        </w:rPr>
        <w:t> </w:t>
      </w:r>
      <w:r>
        <w:rPr>
          <w:vertAlign w:val="baseline"/>
        </w:rPr>
        <w:t>do</w:t>
      </w:r>
      <w:r>
        <w:rPr>
          <w:spacing w:val="34"/>
          <w:vertAlign w:val="baseline"/>
        </w:rPr>
        <w:t> </w:t>
      </w:r>
      <w:r>
        <w:rPr>
          <w:vertAlign w:val="baseline"/>
        </w:rPr>
        <w:t>so,</w:t>
      </w:r>
      <w:r>
        <w:rPr>
          <w:spacing w:val="34"/>
          <w:vertAlign w:val="baseline"/>
        </w:rPr>
        <w:t> </w:t>
      </w:r>
      <w:r>
        <w:rPr>
          <w:vertAlign w:val="baseline"/>
        </w:rPr>
        <w:t>but</w:t>
      </w:r>
      <w:r>
        <w:rPr>
          <w:spacing w:val="34"/>
          <w:vertAlign w:val="baseline"/>
        </w:rPr>
        <w:t> </w:t>
      </w:r>
      <w:r>
        <w:rPr>
          <w:spacing w:val="-4"/>
          <w:vertAlign w:val="baseline"/>
        </w:rPr>
        <w:t>only</w:t>
      </w:r>
    </w:p>
    <w:p>
      <w:pPr>
        <w:pStyle w:val="BodyText"/>
        <w:spacing w:after="0" w:line="235" w:lineRule="auto"/>
        <w:jc w:val="both"/>
        <w:sectPr>
          <w:pgSz w:w="11900" w:h="16840"/>
          <w:pgMar w:header="971" w:footer="0" w:top="1300" w:bottom="280" w:left="1275" w:right="1275"/>
        </w:sectPr>
      </w:pPr>
    </w:p>
    <w:p>
      <w:pPr>
        <w:pStyle w:val="BodyText"/>
      </w:pPr>
    </w:p>
    <w:p>
      <w:pPr>
        <w:pStyle w:val="BodyText"/>
        <w:spacing w:line="235" w:lineRule="auto"/>
        <w:ind w:left="164" w:right="167"/>
        <w:jc w:val="both"/>
      </w:pPr>
      <w:bookmarkStart w:name="_bookmark387" w:id="389"/>
      <w:bookmarkEnd w:id="389"/>
      <w:r>
        <w:rPr/>
      </w:r>
      <w:bookmarkStart w:name="_bookmark388" w:id="390"/>
      <w:bookmarkEnd w:id="390"/>
      <w:r>
        <w:rPr/>
      </w:r>
      <w:r>
        <w:rPr/>
        <w:t>where it is “necessary”, </w:t>
      </w:r>
      <w:r>
        <w:rPr>
          <w:color w:val="005DA1"/>
          <w:u w:val="single" w:color="005DA1"/>
          <w:vertAlign w:val="superscript"/>
        </w:rPr>
        <w:t>215</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29"/>
          <w:vertAlign w:val="baseline"/>
        </w:rPr>
        <w:t> </w:t>
      </w:r>
      <w:r>
        <w:rPr>
          <w:vertAlign w:val="baseline"/>
        </w:rPr>
        <w:t>nor will the courts put a meaning on the words of a contract </w:t>
      </w:r>
      <w:r>
        <w:rPr>
          <w:vertAlign w:val="baseline"/>
        </w:rPr>
        <w:t>different from that which they clearly express. </w:t>
      </w:r>
      <w:r>
        <w:rPr>
          <w:color w:val="005DA1"/>
          <w:u w:val="single" w:color="005DA1"/>
          <w:vertAlign w:val="superscript"/>
        </w:rPr>
        <w:t>216</w:t>
      </w:r>
      <w:r>
        <w:rPr>
          <w:color w:val="005DA1"/>
          <w:vertAlign w:val="baseline"/>
        </w:rPr>
        <w:t> </w:t>
      </w:r>
      <w:r>
        <w:rPr>
          <w:vertAlign w:val="baseline"/>
        </w:rPr>
        <w:t>Even while taking a broad approach to the implication of </w:t>
      </w:r>
      <w:bookmarkStart w:name="_bookmark389" w:id="391"/>
      <w:bookmarkEnd w:id="391"/>
      <w:r>
        <w:rPr>
          <w:vertAlign w:val="baseline"/>
        </w:rPr>
        <w:t>terms</w:t>
      </w:r>
      <w:r>
        <w:rPr>
          <w:spacing w:val="3"/>
          <w:vertAlign w:val="baseline"/>
        </w:rPr>
        <w:t> </w:t>
      </w:r>
      <w:r>
        <w:rPr>
          <w:vertAlign w:val="baseline"/>
        </w:rPr>
        <w:t>(in</w:t>
      </w:r>
      <w:r>
        <w:rPr>
          <w:spacing w:val="3"/>
          <w:vertAlign w:val="baseline"/>
        </w:rPr>
        <w:t> </w:t>
      </w:r>
      <w:r>
        <w:rPr>
          <w:vertAlign w:val="baseline"/>
        </w:rPr>
        <w:t>particular</w:t>
      </w:r>
      <w:r>
        <w:rPr>
          <w:spacing w:val="3"/>
          <w:vertAlign w:val="baseline"/>
        </w:rPr>
        <w:t> </w:t>
      </w:r>
      <w:r>
        <w:rPr>
          <w:vertAlign w:val="baseline"/>
        </w:rPr>
        <w:t>interpreting</w:t>
      </w:r>
      <w:r>
        <w:rPr>
          <w:spacing w:val="3"/>
          <w:vertAlign w:val="baseline"/>
        </w:rPr>
        <w:t> </w:t>
      </w:r>
      <w:r>
        <w:rPr>
          <w:vertAlign w:val="baseline"/>
        </w:rPr>
        <w:t>the</w:t>
      </w:r>
      <w:r>
        <w:rPr>
          <w:spacing w:val="3"/>
          <w:vertAlign w:val="baseline"/>
        </w:rPr>
        <w:t> </w:t>
      </w:r>
      <w:r>
        <w:rPr>
          <w:vertAlign w:val="baseline"/>
        </w:rPr>
        <w:t>requirement</w:t>
      </w:r>
      <w:r>
        <w:rPr>
          <w:spacing w:val="3"/>
          <w:vertAlign w:val="baseline"/>
        </w:rPr>
        <w:t> </w:t>
      </w:r>
      <w:r>
        <w:rPr>
          <w:vertAlign w:val="baseline"/>
        </w:rPr>
        <w:t>of</w:t>
      </w:r>
      <w:r>
        <w:rPr>
          <w:spacing w:val="3"/>
          <w:vertAlign w:val="baseline"/>
        </w:rPr>
        <w:t> </w:t>
      </w:r>
      <w:r>
        <w:rPr>
          <w:vertAlign w:val="baseline"/>
        </w:rPr>
        <w:t>“necessity”</w:t>
      </w:r>
      <w:r>
        <w:rPr>
          <w:spacing w:val="3"/>
          <w:vertAlign w:val="baseline"/>
        </w:rPr>
        <w:t> </w:t>
      </w:r>
      <w:r>
        <w:rPr>
          <w:vertAlign w:val="baseline"/>
        </w:rPr>
        <w:t>as</w:t>
      </w:r>
      <w:r>
        <w:rPr>
          <w:spacing w:val="3"/>
          <w:vertAlign w:val="baseline"/>
        </w:rPr>
        <w:t> </w:t>
      </w:r>
      <w:r>
        <w:rPr>
          <w:vertAlign w:val="baseline"/>
        </w:rPr>
        <w:t>merely</w:t>
      </w:r>
      <w:r>
        <w:rPr>
          <w:spacing w:val="3"/>
          <w:vertAlign w:val="baseline"/>
        </w:rPr>
        <w:t> </w:t>
      </w:r>
      <w:r>
        <w:rPr>
          <w:vertAlign w:val="baseline"/>
        </w:rPr>
        <w:t>explaining</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spacing w:val="-2"/>
          <w:vertAlign w:val="baseline"/>
        </w:rPr>
        <w:t>proposed</w:t>
      </w:r>
    </w:p>
    <w:p>
      <w:pPr>
        <w:spacing w:line="235" w:lineRule="auto" w:before="119"/>
        <w:ind w:left="165" w:right="168" w:firstLine="0"/>
        <w:jc w:val="both"/>
        <w:rPr>
          <w:sz w:val="20"/>
        </w:rPr>
      </w:pPr>
      <w:r>
        <w:rPr>
          <w:sz w:val="20"/>
        </w:rPr>
        <w:t>implied term must spell out what the contract actually means” </w:t>
      </w:r>
      <w:r>
        <w:rPr>
          <w:color w:val="005DA1"/>
          <w:sz w:val="20"/>
          <w:u w:val="single" w:color="005DA1"/>
          <w:vertAlign w:val="superscript"/>
        </w:rPr>
        <w:t>217</w:t>
      </w:r>
      <w:r>
        <w:rPr>
          <w:color w:val="005DA1"/>
          <w:spacing w:val="80"/>
          <w:sz w:val="20"/>
          <w:vertAlign w:val="baseline"/>
        </w:rPr>
        <w:t> </w:t>
      </w:r>
      <w:r>
        <w:rPr>
          <w:color w:val="005DA1"/>
          <w:spacing w:val="-21"/>
          <w:position w:val="-2"/>
          <w:sz w:val="20"/>
          <w:vertAlign w:val="baseline"/>
        </w:rPr>
        <w:drawing>
          <wp:inline distT="0" distB="0" distL="0" distR="0">
            <wp:extent cx="107988" cy="107988"/>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sz w:val="20"/>
          <w:vertAlign w:val="baseline"/>
        </w:rPr>
      </w:r>
      <w:r>
        <w:rPr>
          <w:sz w:val="20"/>
          <w:vertAlign w:val="baseline"/>
        </w:rPr>
        <w:t>), for Lord Hoffmann in </w:t>
      </w:r>
      <w:r>
        <w:rPr>
          <w:rFonts w:ascii="Arial" w:hAnsi="Arial"/>
          <w:i/>
          <w:sz w:val="20"/>
          <w:vertAlign w:val="baseline"/>
        </w:rPr>
        <w:t>Attorney General of Belize v Belize Telecom Ltd</w:t>
      </w:r>
      <w:r>
        <w:rPr>
          <w:sz w:val="20"/>
          <w:vertAlign w:val="baseline"/>
        </w:rPr>
        <w:t>:</w:t>
      </w:r>
    </w:p>
    <w:p>
      <w:pPr>
        <w:pStyle w:val="BodyText"/>
      </w:pPr>
    </w:p>
    <w:p>
      <w:pPr>
        <w:pStyle w:val="BodyText"/>
        <w:spacing w:before="126"/>
      </w:pPr>
    </w:p>
    <w:p>
      <w:pPr>
        <w:pStyle w:val="BodyText"/>
        <w:spacing w:line="235" w:lineRule="auto"/>
        <w:ind w:left="1545" w:right="166"/>
        <w:jc w:val="both"/>
      </w:pPr>
      <w:r>
        <w:rPr/>
        <w:t>“the court has no power to improve upon the instrument which it is called upon to construe, whether it be a contract, a statute or articles of association. It cannot introduce terms to make it fairer or more reasonable. It is concerned only to discover what the instrument means … It is the meaning which the instrument would convey </w:t>
      </w:r>
      <w:r>
        <w:rPr/>
        <w:t>to </w:t>
      </w:r>
      <w:bookmarkStart w:name="_bookmark390" w:id="392"/>
      <w:bookmarkEnd w:id="392"/>
      <w:r>
        <w:rPr/>
        <w:t>a</w:t>
      </w:r>
      <w:r>
        <w:rPr>
          <w:spacing w:val="-3"/>
        </w:rPr>
        <w:t> </w:t>
      </w:r>
      <w:r>
        <w:rPr/>
        <w:t>reasonable</w:t>
      </w:r>
      <w:r>
        <w:rPr>
          <w:spacing w:val="-3"/>
        </w:rPr>
        <w:t> </w:t>
      </w:r>
      <w:r>
        <w:rPr/>
        <w:t>person</w:t>
      </w:r>
      <w:r>
        <w:rPr>
          <w:spacing w:val="-3"/>
        </w:rPr>
        <w:t> </w:t>
      </w:r>
      <w:r>
        <w:rPr/>
        <w:t>having</w:t>
      </w:r>
      <w:r>
        <w:rPr>
          <w:spacing w:val="-3"/>
        </w:rPr>
        <w:t> </w:t>
      </w:r>
      <w:r>
        <w:rPr/>
        <w:t>all</w:t>
      </w:r>
      <w:r>
        <w:rPr>
          <w:spacing w:val="-3"/>
        </w:rPr>
        <w:t> </w:t>
      </w:r>
      <w:r>
        <w:rPr/>
        <w:t>the</w:t>
      </w:r>
      <w:r>
        <w:rPr>
          <w:spacing w:val="-3"/>
        </w:rPr>
        <w:t> </w:t>
      </w:r>
      <w:r>
        <w:rPr/>
        <w:t>background</w:t>
      </w:r>
      <w:r>
        <w:rPr>
          <w:spacing w:val="-3"/>
        </w:rPr>
        <w:t> </w:t>
      </w:r>
      <w:r>
        <w:rPr/>
        <w:t>knowledge</w:t>
      </w:r>
      <w:r>
        <w:rPr>
          <w:spacing w:val="-3"/>
        </w:rPr>
        <w:t> </w:t>
      </w:r>
      <w:r>
        <w:rPr/>
        <w:t>which</w:t>
      </w:r>
      <w:r>
        <w:rPr>
          <w:spacing w:val="-3"/>
        </w:rPr>
        <w:t> </w:t>
      </w:r>
      <w:r>
        <w:rPr/>
        <w:t>would</w:t>
      </w:r>
      <w:r>
        <w:rPr>
          <w:spacing w:val="-3"/>
        </w:rPr>
        <w:t> </w:t>
      </w:r>
      <w:r>
        <w:rPr/>
        <w:t>be</w:t>
      </w:r>
      <w:r>
        <w:rPr>
          <w:spacing w:val="-3"/>
        </w:rPr>
        <w:t> </w:t>
      </w:r>
      <w:r>
        <w:rPr/>
        <w:t>reasonably be available to the audience to whom the instrument is addressed.” </w:t>
      </w:r>
      <w:r>
        <w:rPr>
          <w:color w:val="005DA1"/>
          <w:u w:val="single" w:color="005DA1"/>
          <w:vertAlign w:val="superscript"/>
        </w:rPr>
        <w:t>218</w:t>
      </w:r>
    </w:p>
    <w:p>
      <w:pPr>
        <w:pStyle w:val="BodyText"/>
        <w:spacing w:before="111"/>
      </w:pPr>
    </w:p>
    <w:p>
      <w:pPr>
        <w:pStyle w:val="BodyText"/>
        <w:ind w:left="165"/>
        <w:jc w:val="both"/>
      </w:pPr>
      <w:r>
        <w:rPr/>
        <w:t>Moreover, Lord Hoffmann has further observed (in a commercial context) that it </w:t>
      </w:r>
      <w:r>
        <w:rPr>
          <w:spacing w:val="-5"/>
        </w:rPr>
        <w:t>is:</w:t>
      </w:r>
    </w:p>
    <w:p>
      <w:pPr>
        <w:pStyle w:val="BodyText"/>
      </w:pPr>
    </w:p>
    <w:p>
      <w:pPr>
        <w:pStyle w:val="BodyText"/>
        <w:spacing w:before="125"/>
      </w:pPr>
    </w:p>
    <w:p>
      <w:pPr>
        <w:pStyle w:val="BodyText"/>
        <w:spacing w:line="235" w:lineRule="auto"/>
        <w:ind w:left="1545" w:right="167"/>
        <w:jc w:val="both"/>
      </w:pPr>
      <w:r>
        <w:rPr/>
        <w:t>“… logical to found liability in damages upon the intention of the parties (objectively ascertained) because all contractual liability is voluntarily undertaken. It must be </w:t>
      </w:r>
      <w:r>
        <w:rPr/>
        <w:t>in principle wrong to hold someone liable for risks for which the people entering into</w:t>
      </w:r>
      <w:r>
        <w:rPr>
          <w:spacing w:val="80"/>
        </w:rPr>
        <w:t> </w:t>
      </w:r>
      <w:bookmarkStart w:name="_bookmark391" w:id="393"/>
      <w:bookmarkEnd w:id="393"/>
      <w:r>
        <w:rPr/>
        <w:t>such</w:t>
      </w:r>
      <w:r>
        <w:rPr/>
        <w:t> a contract in their particular market, would not reasonably be considered to have undertaken.” </w:t>
      </w:r>
      <w:r>
        <w:rPr>
          <w:color w:val="005DA1"/>
          <w:u w:val="single" w:color="005DA1"/>
          <w:vertAlign w:val="superscript"/>
        </w:rPr>
        <w:t>219</w:t>
      </w:r>
    </w:p>
    <w:p>
      <w:pPr>
        <w:pStyle w:val="BodyText"/>
        <w:spacing w:before="111"/>
      </w:pPr>
    </w:p>
    <w:p>
      <w:pPr>
        <w:pStyle w:val="BodyText"/>
        <w:spacing w:before="1"/>
        <w:ind w:left="164"/>
        <w:jc w:val="both"/>
      </w:pPr>
      <w:bookmarkStart w:name="_bookmark392" w:id="394"/>
      <w:bookmarkEnd w:id="394"/>
      <w:r>
        <w:rPr/>
      </w:r>
      <w:r>
        <w:rPr/>
        <w:t>Even</w:t>
      </w:r>
      <w:r>
        <w:rPr>
          <w:spacing w:val="19"/>
        </w:rPr>
        <w:t> </w:t>
      </w:r>
      <w:r>
        <w:rPr/>
        <w:t>where</w:t>
      </w:r>
      <w:r>
        <w:rPr>
          <w:spacing w:val="19"/>
        </w:rPr>
        <w:t> </w:t>
      </w:r>
      <w:r>
        <w:rPr/>
        <w:t>the</w:t>
      </w:r>
      <w:r>
        <w:rPr>
          <w:spacing w:val="19"/>
        </w:rPr>
        <w:t> </w:t>
      </w:r>
      <w:r>
        <w:rPr/>
        <w:t>common</w:t>
      </w:r>
      <w:r>
        <w:rPr>
          <w:spacing w:val="19"/>
        </w:rPr>
        <w:t> </w:t>
      </w:r>
      <w:r>
        <w:rPr/>
        <w:t>law</w:t>
      </w:r>
      <w:r>
        <w:rPr>
          <w:spacing w:val="19"/>
        </w:rPr>
        <w:t> </w:t>
      </w:r>
      <w:r>
        <w:rPr/>
        <w:t>recognises</w:t>
      </w:r>
      <w:r>
        <w:rPr>
          <w:spacing w:val="19"/>
        </w:rPr>
        <w:t> </w:t>
      </w:r>
      <w:r>
        <w:rPr/>
        <w:t>an</w:t>
      </w:r>
      <w:r>
        <w:rPr>
          <w:spacing w:val="19"/>
        </w:rPr>
        <w:t> </w:t>
      </w:r>
      <w:r>
        <w:rPr/>
        <w:t>exception</w:t>
      </w:r>
      <w:r>
        <w:rPr>
          <w:spacing w:val="19"/>
        </w:rPr>
        <w:t> </w:t>
      </w:r>
      <w:r>
        <w:rPr/>
        <w:t>to</w:t>
      </w:r>
      <w:r>
        <w:rPr>
          <w:spacing w:val="19"/>
        </w:rPr>
        <w:t> </w:t>
      </w:r>
      <w:r>
        <w:rPr/>
        <w:t>freedom</w:t>
      </w:r>
      <w:r>
        <w:rPr>
          <w:spacing w:val="19"/>
        </w:rPr>
        <w:t> </w:t>
      </w:r>
      <w:r>
        <w:rPr/>
        <w:t>of</w:t>
      </w:r>
      <w:r>
        <w:rPr>
          <w:spacing w:val="19"/>
        </w:rPr>
        <w:t> </w:t>
      </w:r>
      <w:r>
        <w:rPr/>
        <w:t>contract,</w:t>
      </w:r>
      <w:r>
        <w:rPr>
          <w:spacing w:val="19"/>
        </w:rPr>
        <w:t> </w:t>
      </w:r>
      <w:r>
        <w:rPr/>
        <w:t>as</w:t>
      </w:r>
      <w:r>
        <w:rPr>
          <w:spacing w:val="19"/>
        </w:rPr>
        <w:t> </w:t>
      </w:r>
      <w:r>
        <w:rPr/>
        <w:t>in</w:t>
      </w:r>
      <w:r>
        <w:rPr>
          <w:spacing w:val="19"/>
        </w:rPr>
        <w:t> </w:t>
      </w:r>
      <w:r>
        <w:rPr/>
        <w:t>the</w:t>
      </w:r>
      <w:r>
        <w:rPr>
          <w:spacing w:val="19"/>
        </w:rPr>
        <w:t> </w:t>
      </w:r>
      <w:r>
        <w:rPr/>
        <w:t>case</w:t>
      </w:r>
      <w:r>
        <w:rPr>
          <w:spacing w:val="19"/>
        </w:rPr>
        <w:t> </w:t>
      </w:r>
      <w:r>
        <w:rPr/>
        <w:t>of</w:t>
      </w:r>
      <w:r>
        <w:rPr>
          <w:spacing w:val="19"/>
        </w:rPr>
        <w:t> </w:t>
      </w:r>
      <w:r>
        <w:rPr>
          <w:spacing w:val="-5"/>
        </w:rPr>
        <w:t>the</w:t>
      </w:r>
    </w:p>
    <w:p>
      <w:pPr>
        <w:pStyle w:val="BodyText"/>
        <w:spacing w:line="235" w:lineRule="auto" w:before="118"/>
        <w:ind w:left="165" w:right="167"/>
        <w:jc w:val="both"/>
      </w:pPr>
      <w:r>
        <w:rPr/>
        <w:t>law</w:t>
      </w:r>
      <w:r>
        <w:rPr>
          <w:spacing w:val="-3"/>
        </w:rPr>
        <w:t> </w:t>
      </w:r>
      <w:r>
        <w:rPr/>
        <w:t>controlling</w:t>
      </w:r>
      <w:r>
        <w:rPr>
          <w:spacing w:val="-3"/>
        </w:rPr>
        <w:t> </w:t>
      </w:r>
      <w:r>
        <w:rPr/>
        <w:t>penalty</w:t>
      </w:r>
      <w:r>
        <w:rPr>
          <w:spacing w:val="-3"/>
        </w:rPr>
        <w:t> </w:t>
      </w:r>
      <w:r>
        <w:rPr/>
        <w:t>clauses,</w:t>
      </w:r>
      <w:r>
        <w:rPr>
          <w:spacing w:val="-4"/>
        </w:rPr>
        <w:t> </w:t>
      </w:r>
      <w:r>
        <w:rPr>
          <w:color w:val="005DA1"/>
          <w:u w:val="single" w:color="005DA1"/>
          <w:vertAlign w:val="superscript"/>
        </w:rPr>
        <w:t>220</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the</w:t>
      </w:r>
      <w:r>
        <w:rPr>
          <w:spacing w:val="-3"/>
          <w:vertAlign w:val="baseline"/>
        </w:rPr>
        <w:t> </w:t>
      </w:r>
      <w:r>
        <w:rPr>
          <w:vertAlign w:val="baseline"/>
        </w:rPr>
        <w:t>courts</w:t>
      </w:r>
      <w:r>
        <w:rPr>
          <w:spacing w:val="-3"/>
          <w:vertAlign w:val="baseline"/>
        </w:rPr>
        <w:t> </w:t>
      </w:r>
      <w:r>
        <w:rPr>
          <w:vertAlign w:val="baseline"/>
        </w:rPr>
        <w:t>have</w:t>
      </w:r>
      <w:r>
        <w:rPr>
          <w:spacing w:val="-3"/>
          <w:vertAlign w:val="baseline"/>
        </w:rPr>
        <w:t> </w:t>
      </w:r>
      <w:r>
        <w:rPr>
          <w:vertAlign w:val="baseline"/>
        </w:rPr>
        <w:t>distinguished</w:t>
      </w:r>
      <w:r>
        <w:rPr>
          <w:spacing w:val="-3"/>
          <w:vertAlign w:val="baseline"/>
        </w:rPr>
        <w:t> </w:t>
      </w:r>
      <w:r>
        <w:rPr>
          <w:vertAlign w:val="baseline"/>
        </w:rPr>
        <w:t>between</w:t>
      </w:r>
      <w:r>
        <w:rPr>
          <w:spacing w:val="-3"/>
          <w:vertAlign w:val="baseline"/>
        </w:rPr>
        <w:t> </w:t>
      </w:r>
      <w:r>
        <w:rPr>
          <w:vertAlign w:val="baseline"/>
        </w:rPr>
        <w:t>the</w:t>
      </w:r>
      <w:r>
        <w:rPr>
          <w:spacing w:val="-3"/>
          <w:vertAlign w:val="baseline"/>
        </w:rPr>
        <w:t> </w:t>
      </w:r>
      <w:r>
        <w:rPr>
          <w:vertAlign w:val="baseline"/>
        </w:rPr>
        <w:t>nature</w:t>
      </w:r>
      <w:r>
        <w:rPr>
          <w:spacing w:val="-3"/>
          <w:vertAlign w:val="baseline"/>
        </w:rPr>
        <w:t> </w:t>
      </w:r>
      <w:r>
        <w:rPr>
          <w:vertAlign w:val="baseline"/>
        </w:rPr>
        <w:t>of</w:t>
      </w:r>
      <w:r>
        <w:rPr>
          <w:spacing w:val="-3"/>
          <w:vertAlign w:val="baseline"/>
        </w:rPr>
        <w:t> </w:t>
      </w:r>
      <w:r>
        <w:rPr>
          <w:vertAlign w:val="baseline"/>
        </w:rPr>
        <w:t>this</w:t>
      </w:r>
      <w:r>
        <w:rPr>
          <w:spacing w:val="-3"/>
          <w:vertAlign w:val="baseline"/>
        </w:rPr>
        <w:t> </w:t>
      </w:r>
      <w:r>
        <w:rPr>
          <w:vertAlign w:val="baseline"/>
        </w:rPr>
        <w:t>control and wider controls of contracts on the ground of fairness. According to Lord Neuberger P.S.C. </w:t>
      </w:r>
      <w:r>
        <w:rPr>
          <w:vertAlign w:val="baseline"/>
        </w:rPr>
        <w:t>and Lord Sumption J.S.C. (with whom Lord Carnwath J.S.C. agreed) in </w:t>
      </w:r>
      <w:r>
        <w:rPr>
          <w:rFonts w:ascii="Arial"/>
          <w:i/>
          <w:vertAlign w:val="baseline"/>
        </w:rPr>
        <w:t>Cavendish Square Holding BV v Makdessi, ParkingEye Ltd v Beavis</w:t>
      </w:r>
      <w:r>
        <w:rPr>
          <w:vertAlign w:val="baseline"/>
        </w:rPr>
        <w:t>:</w:t>
      </w:r>
    </w:p>
    <w:p>
      <w:pPr>
        <w:pStyle w:val="BodyText"/>
      </w:pPr>
    </w:p>
    <w:p>
      <w:pPr>
        <w:pStyle w:val="BodyText"/>
        <w:spacing w:before="125"/>
      </w:pPr>
    </w:p>
    <w:p>
      <w:pPr>
        <w:pStyle w:val="BodyText"/>
        <w:spacing w:line="235" w:lineRule="auto" w:before="1"/>
        <w:ind w:left="1545" w:right="167"/>
        <w:jc w:val="both"/>
      </w:pPr>
      <w:r>
        <w:rPr/>
        <w:t>“There is a fundamental difference between a jurisdiction to review the fairness of </w:t>
      </w:r>
      <w:r>
        <w:rPr/>
        <w:t>a contractual obligation and a jurisdiction to regulate the remedy for its breach. Leaving aside</w:t>
      </w:r>
      <w:r>
        <w:rPr>
          <w:spacing w:val="-1"/>
        </w:rPr>
        <w:t> </w:t>
      </w:r>
      <w:r>
        <w:rPr/>
        <w:t>challenges</w:t>
      </w:r>
      <w:r>
        <w:rPr>
          <w:spacing w:val="-1"/>
        </w:rPr>
        <w:t> </w:t>
      </w:r>
      <w:r>
        <w:rPr/>
        <w:t>going</w:t>
      </w:r>
      <w:r>
        <w:rPr>
          <w:spacing w:val="-1"/>
        </w:rPr>
        <w:t> </w:t>
      </w:r>
      <w:r>
        <w:rPr/>
        <w:t>to</w:t>
      </w:r>
      <w:r>
        <w:rPr>
          <w:spacing w:val="-1"/>
        </w:rPr>
        <w:t> </w:t>
      </w:r>
      <w:r>
        <w:rPr/>
        <w:t>the</w:t>
      </w:r>
      <w:r>
        <w:rPr>
          <w:spacing w:val="-1"/>
        </w:rPr>
        <w:t> </w:t>
      </w:r>
      <w:r>
        <w:rPr/>
        <w:t>reality</w:t>
      </w:r>
      <w:r>
        <w:rPr>
          <w:spacing w:val="-1"/>
        </w:rPr>
        <w:t> </w:t>
      </w:r>
      <w:r>
        <w:rPr/>
        <w:t>of</w:t>
      </w:r>
      <w:r>
        <w:rPr>
          <w:spacing w:val="-1"/>
        </w:rPr>
        <w:t> </w:t>
      </w:r>
      <w:r>
        <w:rPr/>
        <w:t>consent,</w:t>
      </w:r>
      <w:r>
        <w:rPr>
          <w:spacing w:val="-1"/>
        </w:rPr>
        <w:t> </w:t>
      </w:r>
      <w:r>
        <w:rPr/>
        <w:t>such</w:t>
      </w:r>
      <w:r>
        <w:rPr>
          <w:spacing w:val="-1"/>
        </w:rPr>
        <w:t> </w:t>
      </w:r>
      <w:r>
        <w:rPr/>
        <w:t>as</w:t>
      </w:r>
      <w:r>
        <w:rPr>
          <w:spacing w:val="-1"/>
        </w:rPr>
        <w:t> </w:t>
      </w:r>
      <w:r>
        <w:rPr/>
        <w:t>those</w:t>
      </w:r>
      <w:r>
        <w:rPr>
          <w:spacing w:val="-1"/>
        </w:rPr>
        <w:t> </w:t>
      </w:r>
      <w:r>
        <w:rPr/>
        <w:t>based</w:t>
      </w:r>
      <w:r>
        <w:rPr>
          <w:spacing w:val="-1"/>
        </w:rPr>
        <w:t> </w:t>
      </w:r>
      <w:r>
        <w:rPr/>
        <w:t>on</w:t>
      </w:r>
      <w:r>
        <w:rPr>
          <w:spacing w:val="-1"/>
        </w:rPr>
        <w:t> </w:t>
      </w:r>
      <w:r>
        <w:rPr/>
        <w:t>fraud,</w:t>
      </w:r>
      <w:r>
        <w:rPr>
          <w:spacing w:val="-1"/>
        </w:rPr>
        <w:t> </w:t>
      </w:r>
      <w:r>
        <w:rPr/>
        <w:t>duress or undue influence, the courts do not review the fairness of men’s bargains either at </w:t>
      </w:r>
      <w:bookmarkStart w:name="_bookmark393" w:id="395"/>
      <w:bookmarkEnd w:id="395"/>
      <w:r>
        <w:rPr/>
        <w:t>law</w:t>
      </w:r>
      <w:r>
        <w:rPr>
          <w:spacing w:val="3"/>
        </w:rPr>
        <w:t> </w:t>
      </w:r>
      <w:r>
        <w:rPr/>
        <w:t>or</w:t>
      </w:r>
      <w:r>
        <w:rPr>
          <w:spacing w:val="3"/>
        </w:rPr>
        <w:t> </w:t>
      </w:r>
      <w:r>
        <w:rPr/>
        <w:t>in</w:t>
      </w:r>
      <w:r>
        <w:rPr>
          <w:spacing w:val="3"/>
        </w:rPr>
        <w:t> </w:t>
      </w:r>
      <w:r>
        <w:rPr/>
        <w:t>equity.</w:t>
      </w:r>
      <w:r>
        <w:rPr>
          <w:spacing w:val="3"/>
        </w:rPr>
        <w:t> </w:t>
      </w:r>
      <w:r>
        <w:rPr/>
        <w:t>The</w:t>
      </w:r>
      <w:r>
        <w:rPr>
          <w:spacing w:val="3"/>
        </w:rPr>
        <w:t> </w:t>
      </w:r>
      <w:r>
        <w:rPr/>
        <w:t>penalty</w:t>
      </w:r>
      <w:r>
        <w:rPr>
          <w:spacing w:val="3"/>
        </w:rPr>
        <w:t> </w:t>
      </w:r>
      <w:r>
        <w:rPr/>
        <w:t>rule</w:t>
      </w:r>
      <w:r>
        <w:rPr>
          <w:spacing w:val="3"/>
        </w:rPr>
        <w:t> </w:t>
      </w:r>
      <w:r>
        <w:rPr/>
        <w:t>regulates</w:t>
      </w:r>
      <w:r>
        <w:rPr>
          <w:spacing w:val="3"/>
        </w:rPr>
        <w:t> </w:t>
      </w:r>
      <w:r>
        <w:rPr/>
        <w:t>only</w:t>
      </w:r>
      <w:r>
        <w:rPr>
          <w:spacing w:val="3"/>
        </w:rPr>
        <w:t> </w:t>
      </w:r>
      <w:r>
        <w:rPr/>
        <w:t>the</w:t>
      </w:r>
      <w:r>
        <w:rPr>
          <w:spacing w:val="3"/>
        </w:rPr>
        <w:t> </w:t>
      </w:r>
      <w:r>
        <w:rPr/>
        <w:t>remedies</w:t>
      </w:r>
      <w:r>
        <w:rPr>
          <w:spacing w:val="3"/>
        </w:rPr>
        <w:t> </w:t>
      </w:r>
      <w:r>
        <w:rPr/>
        <w:t>available</w:t>
      </w:r>
      <w:r>
        <w:rPr>
          <w:spacing w:val="3"/>
        </w:rPr>
        <w:t> </w:t>
      </w:r>
      <w:r>
        <w:rPr/>
        <w:t>for</w:t>
      </w:r>
      <w:r>
        <w:rPr>
          <w:spacing w:val="3"/>
        </w:rPr>
        <w:t> </w:t>
      </w:r>
      <w:r>
        <w:rPr/>
        <w:t>breach</w:t>
      </w:r>
      <w:r>
        <w:rPr>
          <w:spacing w:val="3"/>
        </w:rPr>
        <w:t> </w:t>
      </w:r>
      <w:r>
        <w:rPr/>
        <w:t>of</w:t>
      </w:r>
      <w:r>
        <w:rPr>
          <w:spacing w:val="3"/>
        </w:rPr>
        <w:t> </w:t>
      </w:r>
      <w:r>
        <w:rPr>
          <w:spacing w:val="-10"/>
        </w:rPr>
        <w:t>a</w:t>
      </w:r>
    </w:p>
    <w:p>
      <w:pPr>
        <w:pStyle w:val="BodyText"/>
        <w:spacing w:before="114"/>
        <w:ind w:left="1545"/>
        <w:jc w:val="both"/>
        <w:rPr>
          <w:position w:val="-2"/>
        </w:rPr>
      </w:pPr>
      <w:r>
        <w:rPr/>
        <w:t>party’s primary obligations, not the primary obligations themselves.” </w:t>
      </w:r>
      <w:r>
        <w:rPr>
          <w:color w:val="005DA1"/>
          <w:u w:val="single" w:color="005DA1"/>
          <w:vertAlign w:val="superscript"/>
        </w:rPr>
        <w:t>221</w:t>
      </w:r>
      <w:r>
        <w:rPr>
          <w:color w:val="005DA1"/>
          <w:spacing w:val="80"/>
          <w:w w:val="150"/>
          <w:vertAlign w:val="baseline"/>
        </w:rPr>
        <w:t> </w:t>
      </w:r>
      <w:r>
        <w:rPr>
          <w:color w:val="005DA1"/>
          <w:position w:val="-2"/>
          <w:vertAlign w:val="baseline"/>
        </w:rPr>
        <w:drawing>
          <wp:inline distT="0" distB="0" distL="0" distR="0">
            <wp:extent cx="107988" cy="107988"/>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5"/>
      </w:pPr>
    </w:p>
    <w:p>
      <w:pPr>
        <w:pStyle w:val="BodyText"/>
        <w:spacing w:line="235" w:lineRule="auto" w:before="1"/>
        <w:ind w:left="165"/>
      </w:pPr>
      <w:r>
        <w:rPr/>
        <w:t>In</w:t>
      </w:r>
      <w:r>
        <w:rPr>
          <w:spacing w:val="17"/>
        </w:rPr>
        <w:t> </w:t>
      </w:r>
      <w:r>
        <w:rPr/>
        <w:t>the</w:t>
      </w:r>
      <w:r>
        <w:rPr>
          <w:spacing w:val="17"/>
        </w:rPr>
        <w:t> </w:t>
      </w:r>
      <w:r>
        <w:rPr/>
        <w:t>view</w:t>
      </w:r>
      <w:r>
        <w:rPr>
          <w:spacing w:val="17"/>
        </w:rPr>
        <w:t> </w:t>
      </w:r>
      <w:r>
        <w:rPr/>
        <w:t>of</w:t>
      </w:r>
      <w:r>
        <w:rPr>
          <w:spacing w:val="17"/>
        </w:rPr>
        <w:t> </w:t>
      </w:r>
      <w:r>
        <w:rPr/>
        <w:t>the</w:t>
      </w:r>
      <w:r>
        <w:rPr>
          <w:spacing w:val="17"/>
        </w:rPr>
        <w:t> </w:t>
      </w:r>
      <w:r>
        <w:rPr/>
        <w:t>Supreme</w:t>
      </w:r>
      <w:r>
        <w:rPr>
          <w:spacing w:val="17"/>
        </w:rPr>
        <w:t> </w:t>
      </w:r>
      <w:r>
        <w:rPr/>
        <w:t>Court,</w:t>
      </w:r>
      <w:r>
        <w:rPr>
          <w:spacing w:val="17"/>
        </w:rPr>
        <w:t> </w:t>
      </w:r>
      <w:r>
        <w:rPr/>
        <w:t>the</w:t>
      </w:r>
      <w:r>
        <w:rPr>
          <w:spacing w:val="17"/>
        </w:rPr>
        <w:t> </w:t>
      </w:r>
      <w:r>
        <w:rPr/>
        <w:t>true</w:t>
      </w:r>
      <w:r>
        <w:rPr>
          <w:spacing w:val="17"/>
        </w:rPr>
        <w:t> </w:t>
      </w:r>
      <w:r>
        <w:rPr/>
        <w:t>test</w:t>
      </w:r>
      <w:r>
        <w:rPr>
          <w:spacing w:val="17"/>
        </w:rPr>
        <w:t> </w:t>
      </w:r>
      <w:r>
        <w:rPr/>
        <w:t>whether</w:t>
      </w:r>
      <w:r>
        <w:rPr>
          <w:spacing w:val="17"/>
        </w:rPr>
        <w:t> </w:t>
      </w:r>
      <w:r>
        <w:rPr/>
        <w:t>a</w:t>
      </w:r>
      <w:r>
        <w:rPr>
          <w:spacing w:val="17"/>
        </w:rPr>
        <w:t> </w:t>
      </w:r>
      <w:r>
        <w:rPr/>
        <w:t>contract</w:t>
      </w:r>
      <w:r>
        <w:rPr>
          <w:spacing w:val="17"/>
        </w:rPr>
        <w:t> </w:t>
      </w:r>
      <w:r>
        <w:rPr/>
        <w:t>term</w:t>
      </w:r>
      <w:r>
        <w:rPr>
          <w:spacing w:val="17"/>
        </w:rPr>
        <w:t> </w:t>
      </w:r>
      <w:r>
        <w:rPr/>
        <w:t>imposes</w:t>
      </w:r>
      <w:r>
        <w:rPr>
          <w:spacing w:val="17"/>
        </w:rPr>
        <w:t> </w:t>
      </w:r>
      <w:r>
        <w:rPr/>
        <w:t>a</w:t>
      </w:r>
      <w:r>
        <w:rPr>
          <w:spacing w:val="17"/>
        </w:rPr>
        <w:t> </w:t>
      </w:r>
      <w:r>
        <w:rPr/>
        <w:t>“penalty”</w:t>
      </w:r>
      <w:r>
        <w:rPr>
          <w:spacing w:val="17"/>
        </w:rPr>
        <w:t> </w:t>
      </w:r>
      <w:r>
        <w:rPr/>
        <w:t>on</w:t>
      </w:r>
      <w:r>
        <w:rPr>
          <w:spacing w:val="17"/>
        </w:rPr>
        <w:t> </w:t>
      </w:r>
      <w:r>
        <w:rPr/>
        <w:t>the </w:t>
      </w:r>
      <w:bookmarkStart w:name="_bookmark394" w:id="396"/>
      <w:bookmarkEnd w:id="396"/>
      <w:r>
        <w:rPr/>
        <w:t>party</w:t>
      </w:r>
      <w:r>
        <w:rPr>
          <w:spacing w:val="9"/>
        </w:rPr>
        <w:t> </w:t>
      </w:r>
      <w:r>
        <w:rPr/>
        <w:t>in</w:t>
      </w:r>
      <w:r>
        <w:rPr>
          <w:spacing w:val="9"/>
        </w:rPr>
        <w:t> </w:t>
      </w:r>
      <w:r>
        <w:rPr/>
        <w:t>default</w:t>
      </w:r>
      <w:r>
        <w:rPr>
          <w:spacing w:val="9"/>
        </w:rPr>
        <w:t> </w:t>
      </w:r>
      <w:r>
        <w:rPr/>
        <w:t>is</w:t>
      </w:r>
      <w:r>
        <w:rPr>
          <w:spacing w:val="9"/>
        </w:rPr>
        <w:t> </w:t>
      </w:r>
      <w:r>
        <w:rPr/>
        <w:t>whether</w:t>
      </w:r>
      <w:r>
        <w:rPr>
          <w:spacing w:val="9"/>
        </w:rPr>
        <w:t> </w:t>
      </w:r>
      <w:r>
        <w:rPr/>
        <w:t>“it</w:t>
      </w:r>
      <w:r>
        <w:rPr>
          <w:spacing w:val="9"/>
        </w:rPr>
        <w:t> </w:t>
      </w:r>
      <w:r>
        <w:rPr/>
        <w:t>imposes</w:t>
      </w:r>
      <w:r>
        <w:rPr>
          <w:spacing w:val="9"/>
        </w:rPr>
        <w:t> </w:t>
      </w:r>
      <w:r>
        <w:rPr/>
        <w:t>a</w:t>
      </w:r>
      <w:r>
        <w:rPr>
          <w:spacing w:val="9"/>
        </w:rPr>
        <w:t> </w:t>
      </w:r>
      <w:r>
        <w:rPr/>
        <w:t>detriment</w:t>
      </w:r>
      <w:r>
        <w:rPr>
          <w:spacing w:val="9"/>
        </w:rPr>
        <w:t> </w:t>
      </w:r>
      <w:r>
        <w:rPr/>
        <w:t>on</w:t>
      </w:r>
      <w:r>
        <w:rPr>
          <w:spacing w:val="9"/>
        </w:rPr>
        <w:t> </w:t>
      </w:r>
      <w:r>
        <w:rPr/>
        <w:t>the</w:t>
      </w:r>
      <w:r>
        <w:rPr>
          <w:spacing w:val="9"/>
        </w:rPr>
        <w:t> </w:t>
      </w:r>
      <w:r>
        <w:rPr/>
        <w:t>contract-breaker</w:t>
      </w:r>
      <w:r>
        <w:rPr>
          <w:spacing w:val="9"/>
        </w:rPr>
        <w:t> </w:t>
      </w:r>
      <w:r>
        <w:rPr/>
        <w:t>out</w:t>
      </w:r>
      <w:r>
        <w:rPr>
          <w:spacing w:val="9"/>
        </w:rPr>
        <w:t> </w:t>
      </w:r>
      <w:r>
        <w:rPr/>
        <w:t>of</w:t>
      </w:r>
      <w:r>
        <w:rPr>
          <w:spacing w:val="9"/>
        </w:rPr>
        <w:t> </w:t>
      </w:r>
      <w:r>
        <w:rPr/>
        <w:t>all</w:t>
      </w:r>
      <w:r>
        <w:rPr>
          <w:spacing w:val="9"/>
        </w:rPr>
        <w:t> </w:t>
      </w:r>
      <w:r>
        <w:rPr/>
        <w:t>proportion</w:t>
      </w:r>
      <w:r>
        <w:rPr>
          <w:spacing w:val="9"/>
        </w:rPr>
        <w:t> </w:t>
      </w:r>
      <w:r>
        <w:rPr/>
        <w:t>to</w:t>
      </w:r>
      <w:r>
        <w:rPr>
          <w:spacing w:val="9"/>
        </w:rPr>
        <w:t> </w:t>
      </w:r>
      <w:r>
        <w:rPr>
          <w:spacing w:val="-5"/>
        </w:rPr>
        <w:t>any</w:t>
      </w:r>
    </w:p>
    <w:p>
      <w:pPr>
        <w:pStyle w:val="BodyText"/>
        <w:tabs>
          <w:tab w:pos="8259" w:val="left" w:leader="none"/>
        </w:tabs>
        <w:spacing w:line="235" w:lineRule="auto" w:before="119"/>
        <w:ind w:left="165" w:right="168"/>
      </w:pPr>
      <w:r>
        <w:rPr/>
        <w:t>legitimate interest of the innocent party in the enforcement of the primary obligation”. </w:t>
      </w:r>
      <w:r>
        <w:rPr>
          <w:color w:val="005DA1"/>
          <w:u w:val="single" w:color="005DA1"/>
          <w:vertAlign w:val="superscript"/>
        </w:rPr>
        <w:t>222</w:t>
      </w:r>
      <w:r>
        <w:rPr>
          <w:color w:val="005DA1"/>
          <w:vertAlign w:val="baseline"/>
        </w:rPr>
        <w:tab/>
      </w:r>
      <w:r>
        <w:rPr>
          <w:color w:val="005DA1"/>
          <w:position w:val="-2"/>
          <w:vertAlign w:val="baseline"/>
        </w:rPr>
        <w:drawing>
          <wp:inline distT="0" distB="0" distL="0" distR="0">
            <wp:extent cx="107988" cy="107988"/>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For</w:t>
      </w:r>
      <w:r>
        <w:rPr>
          <w:spacing w:val="-5"/>
          <w:vertAlign w:val="baseline"/>
        </w:rPr>
        <w:t> </w:t>
      </w:r>
      <w:r>
        <w:rPr>
          <w:vertAlign w:val="baseline"/>
        </w:rPr>
        <w:t>this </w:t>
      </w:r>
      <w:r>
        <w:rPr>
          <w:spacing w:val="-2"/>
          <w:vertAlign w:val="baseline"/>
        </w:rPr>
        <w:t>purpose,</w:t>
      </w:r>
    </w:p>
    <w:p>
      <w:pPr>
        <w:pStyle w:val="BodyText"/>
      </w:pPr>
    </w:p>
    <w:p>
      <w:pPr>
        <w:pStyle w:val="BodyText"/>
        <w:spacing w:before="126"/>
      </w:pPr>
    </w:p>
    <w:p>
      <w:pPr>
        <w:pStyle w:val="BodyText"/>
        <w:spacing w:line="235" w:lineRule="auto"/>
        <w:ind w:left="1545" w:right="167"/>
        <w:jc w:val="both"/>
      </w:pPr>
      <w:r>
        <w:rPr/>
        <w:t>“the circumstances in which the contract was made are not entirely irrelevant. In a negotiated contract between properly advised parties of comparable </w:t>
      </w:r>
      <w:r>
        <w:rPr/>
        <w:t>bargaining</w:t>
      </w:r>
      <w:r>
        <w:rPr>
          <w:spacing w:val="40"/>
        </w:rPr>
        <w:t> </w:t>
      </w:r>
      <w:bookmarkStart w:name="_bookmark395" w:id="397"/>
      <w:bookmarkEnd w:id="397"/>
      <w:r>
        <w:rPr/>
        <w:t>power,</w:t>
      </w:r>
      <w:r>
        <w:rPr/>
        <w:t> the strong initial presumption must be that the parties themselves are the best judges</w:t>
      </w:r>
      <w:r>
        <w:rPr>
          <w:spacing w:val="15"/>
        </w:rPr>
        <w:t> </w:t>
      </w:r>
      <w:r>
        <w:rPr/>
        <w:t>of</w:t>
      </w:r>
      <w:r>
        <w:rPr>
          <w:spacing w:val="15"/>
        </w:rPr>
        <w:t> </w:t>
      </w:r>
      <w:r>
        <w:rPr/>
        <w:t>what</w:t>
      </w:r>
      <w:r>
        <w:rPr>
          <w:spacing w:val="15"/>
        </w:rPr>
        <w:t> </w:t>
      </w:r>
      <w:r>
        <w:rPr/>
        <w:t>is</w:t>
      </w:r>
      <w:r>
        <w:rPr>
          <w:spacing w:val="15"/>
        </w:rPr>
        <w:t> </w:t>
      </w:r>
      <w:r>
        <w:rPr/>
        <w:t>legitimate</w:t>
      </w:r>
      <w:r>
        <w:rPr>
          <w:spacing w:val="15"/>
        </w:rPr>
        <w:t> </w:t>
      </w:r>
      <w:r>
        <w:rPr/>
        <w:t>in</w:t>
      </w:r>
      <w:r>
        <w:rPr>
          <w:spacing w:val="15"/>
        </w:rPr>
        <w:t> </w:t>
      </w:r>
      <w:r>
        <w:rPr/>
        <w:t>a</w:t>
      </w:r>
      <w:r>
        <w:rPr>
          <w:spacing w:val="15"/>
        </w:rPr>
        <w:t> </w:t>
      </w:r>
      <w:r>
        <w:rPr/>
        <w:t>provision</w:t>
      </w:r>
      <w:r>
        <w:rPr>
          <w:spacing w:val="15"/>
        </w:rPr>
        <w:t> </w:t>
      </w:r>
      <w:r>
        <w:rPr/>
        <w:t>dealing</w:t>
      </w:r>
      <w:r>
        <w:rPr>
          <w:spacing w:val="15"/>
        </w:rPr>
        <w:t> </w:t>
      </w:r>
      <w:r>
        <w:rPr/>
        <w:t>with</w:t>
      </w:r>
      <w:r>
        <w:rPr>
          <w:spacing w:val="15"/>
        </w:rPr>
        <w:t> </w:t>
      </w:r>
      <w:r>
        <w:rPr/>
        <w:t>the</w:t>
      </w:r>
      <w:r>
        <w:rPr>
          <w:spacing w:val="15"/>
        </w:rPr>
        <w:t> </w:t>
      </w:r>
      <w:r>
        <w:rPr/>
        <w:t>consequences</w:t>
      </w:r>
      <w:r>
        <w:rPr>
          <w:spacing w:val="15"/>
        </w:rPr>
        <w:t> </w:t>
      </w:r>
      <w:r>
        <w:rPr/>
        <w:t>of</w:t>
      </w:r>
      <w:r>
        <w:rPr>
          <w:spacing w:val="15"/>
        </w:rPr>
        <w:t> </w:t>
      </w:r>
      <w:r>
        <w:rPr>
          <w:spacing w:val="-2"/>
        </w:rPr>
        <w:t>breach.”</w:t>
      </w:r>
    </w:p>
    <w:p>
      <w:pPr>
        <w:spacing w:before="94"/>
        <w:ind w:left="1545" w:right="0" w:firstLine="0"/>
        <w:jc w:val="left"/>
        <w:rPr>
          <w:sz w:val="12"/>
        </w:rPr>
      </w:pPr>
      <w:r>
        <w:rPr>
          <w:sz w:val="12"/>
        </w:rPr>
        <w:drawing>
          <wp:anchor distT="0" distB="0" distL="0" distR="0" allowOverlap="1" layoutInCell="1" locked="0" behindDoc="0" simplePos="0" relativeHeight="15779840">
            <wp:simplePos x="0" y="0"/>
            <wp:positionH relativeFrom="page">
              <wp:posOffset>2023719</wp:posOffset>
            </wp:positionH>
            <wp:positionV relativeFrom="paragraph">
              <wp:posOffset>100849</wp:posOffset>
            </wp:positionV>
            <wp:extent cx="107988" cy="107988"/>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471">
        <w:r>
          <w:rPr>
            <w:color w:val="005DA1"/>
            <w:spacing w:val="-5"/>
            <w:sz w:val="12"/>
            <w:u w:val="single" w:color="005DA1"/>
          </w:rPr>
          <w:t>223</w:t>
        </w:r>
      </w:hyperlink>
    </w:p>
    <w:p>
      <w:pPr>
        <w:pStyle w:val="BodyText"/>
        <w:rPr>
          <w:sz w:val="12"/>
        </w:rPr>
      </w:pPr>
    </w:p>
    <w:p>
      <w:pPr>
        <w:pStyle w:val="BodyText"/>
        <w:rPr>
          <w:sz w:val="12"/>
        </w:rPr>
      </w:pPr>
    </w:p>
    <w:p>
      <w:pPr>
        <w:pStyle w:val="BodyText"/>
        <w:rPr>
          <w:sz w:val="12"/>
        </w:rPr>
      </w:pPr>
    </w:p>
    <w:p>
      <w:pPr>
        <w:pStyle w:val="BodyText"/>
        <w:spacing w:before="22"/>
        <w:rPr>
          <w:sz w:val="12"/>
        </w:rPr>
      </w:pPr>
    </w:p>
    <w:p>
      <w:pPr>
        <w:pStyle w:val="BodyText"/>
        <w:ind w:left="165"/>
        <w:rPr>
          <w:position w:val="-2"/>
        </w:rPr>
      </w:pPr>
      <w:bookmarkStart w:name="_bookmark396" w:id="398"/>
      <w:bookmarkEnd w:id="398"/>
      <w:r>
        <w:rPr/>
      </w:r>
      <w:r>
        <w:rPr/>
        <w:t>And the bargaining position of the parties more generally may be relevant. </w:t>
      </w:r>
      <w:r>
        <w:rPr>
          <w:color w:val="005DA1"/>
          <w:u w:val="single" w:color="005DA1"/>
          <w:vertAlign w:val="superscript"/>
        </w:rPr>
        <w:t>224</w:t>
      </w:r>
      <w:r>
        <w:rPr>
          <w:color w:val="005DA1"/>
          <w:spacing w:val="80"/>
          <w:w w:val="150"/>
          <w:vertAlign w:val="baseline"/>
        </w:rPr>
        <w:t> </w:t>
      </w:r>
      <w:r>
        <w:rPr>
          <w:color w:val="005DA1"/>
          <w:position w:val="-2"/>
          <w:vertAlign w:val="baseline"/>
        </w:rPr>
        <w:drawing>
          <wp:inline distT="0" distB="0" distL="0" distR="0">
            <wp:extent cx="107988" cy="107988"/>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Freedom of contract in EU </w:t>
      </w:r>
      <w:r>
        <w:rPr>
          <w:rFonts w:ascii="Arial"/>
          <w:b/>
          <w:spacing w:val="-5"/>
          <w:sz w:val="18"/>
        </w:rPr>
        <w:t>law</w:t>
      </w:r>
    </w:p>
    <w:p>
      <w:pPr>
        <w:spacing w:after="0"/>
        <w:jc w:val="left"/>
        <w:rPr>
          <w:rFonts w:ascii="Arial"/>
          <w:b/>
          <w:sz w:val="18"/>
        </w:rPr>
        <w:sectPr>
          <w:headerReference w:type="default" r:id="rId18"/>
          <w:pgSz w:w="11900" w:h="16840"/>
          <w:pgMar w:header="971" w:footer="0" w:top="1300" w:bottom="280" w:left="1275" w:right="1275"/>
          <w:pgNumType w:start="2"/>
        </w:sectPr>
      </w:pPr>
    </w:p>
    <w:p>
      <w:pPr>
        <w:spacing w:before="262"/>
        <w:ind w:left="165" w:right="0" w:firstLine="0"/>
        <w:jc w:val="left"/>
        <w:rPr>
          <w:rFonts w:ascii="Arial"/>
          <w:b/>
          <w:sz w:val="24"/>
        </w:rPr>
      </w:pPr>
      <w:r>
        <w:rPr>
          <w:rFonts w:ascii="Arial"/>
          <w:b/>
          <w:sz w:val="24"/>
        </w:rPr>
        <w:t>1-</w:t>
      </w:r>
      <w:r>
        <w:rPr>
          <w:rFonts w:ascii="Arial"/>
          <w:b/>
          <w:spacing w:val="-5"/>
          <w:sz w:val="24"/>
        </w:rPr>
        <w:t>028</w:t>
      </w:r>
    </w:p>
    <w:p>
      <w:pPr>
        <w:pStyle w:val="BodyText"/>
        <w:spacing w:before="88"/>
        <w:rPr>
          <w:rFonts w:ascii="Arial"/>
          <w:b/>
        </w:rPr>
      </w:pPr>
    </w:p>
    <w:p>
      <w:pPr>
        <w:pStyle w:val="BodyText"/>
        <w:spacing w:line="227" w:lineRule="exact" w:before="1"/>
        <w:ind w:left="165"/>
        <w:jc w:val="both"/>
      </w:pPr>
      <w:r>
        <w:rPr>
          <w:position w:val="-2"/>
        </w:rPr>
        <w:drawing>
          <wp:inline distT="0" distB="0" distL="0" distR="0">
            <wp:extent cx="107988" cy="107988"/>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5"/>
        </w:rPr>
        <w:t> </w:t>
      </w:r>
      <w:bookmarkStart w:name="_bookmark397" w:id="399"/>
      <w:bookmarkEnd w:id="399"/>
      <w:r>
        <w:rPr>
          <w:rFonts w:ascii="Times New Roman" w:hAnsi="Times New Roman"/>
          <w:spacing w:val="-25"/>
        </w:rPr>
      </w:r>
      <w:r>
        <w:rPr/>
        <w:t>The</w:t>
      </w:r>
      <w:r>
        <w:rPr>
          <w:spacing w:val="21"/>
        </w:rPr>
        <w:t> </w:t>
      </w:r>
      <w:r>
        <w:rPr/>
        <w:t>“principle</w:t>
      </w:r>
      <w:r>
        <w:rPr>
          <w:spacing w:val="21"/>
        </w:rPr>
        <w:t> </w:t>
      </w:r>
      <w:r>
        <w:rPr/>
        <w:t>of</w:t>
      </w:r>
      <w:r>
        <w:rPr>
          <w:spacing w:val="21"/>
        </w:rPr>
        <w:t> </w:t>
      </w:r>
      <w:r>
        <w:rPr/>
        <w:t>freedom</w:t>
      </w:r>
      <w:r>
        <w:rPr>
          <w:spacing w:val="21"/>
        </w:rPr>
        <w:t> </w:t>
      </w:r>
      <w:r>
        <w:rPr/>
        <w:t>of</w:t>
      </w:r>
      <w:r>
        <w:rPr>
          <w:spacing w:val="21"/>
        </w:rPr>
        <w:t> </w:t>
      </w:r>
      <w:r>
        <w:rPr/>
        <w:t>contract”</w:t>
      </w:r>
      <w:r>
        <w:rPr>
          <w:spacing w:val="21"/>
        </w:rPr>
        <w:t> </w:t>
      </w:r>
      <w:r>
        <w:rPr/>
        <w:t>has</w:t>
      </w:r>
      <w:r>
        <w:rPr>
          <w:spacing w:val="21"/>
        </w:rPr>
        <w:t> </w:t>
      </w:r>
      <w:r>
        <w:rPr/>
        <w:t>been</w:t>
      </w:r>
      <w:r>
        <w:rPr>
          <w:spacing w:val="21"/>
        </w:rPr>
        <w:t> </w:t>
      </w:r>
      <w:r>
        <w:rPr/>
        <w:t>recognised</w:t>
      </w:r>
      <w:r>
        <w:rPr>
          <w:spacing w:val="21"/>
        </w:rPr>
        <w:t> </w:t>
      </w:r>
      <w:r>
        <w:rPr/>
        <w:t>by</w:t>
      </w:r>
      <w:r>
        <w:rPr>
          <w:spacing w:val="21"/>
        </w:rPr>
        <w:t> </w:t>
      </w:r>
      <w:r>
        <w:rPr/>
        <w:t>the</w:t>
      </w:r>
      <w:r>
        <w:rPr>
          <w:spacing w:val="21"/>
        </w:rPr>
        <w:t> </w:t>
      </w:r>
      <w:r>
        <w:rPr/>
        <w:t>European</w:t>
      </w:r>
      <w:r>
        <w:rPr>
          <w:spacing w:val="21"/>
        </w:rPr>
        <w:t> </w:t>
      </w:r>
      <w:r>
        <w:rPr/>
        <w:t>Court</w:t>
      </w:r>
      <w:r>
        <w:rPr>
          <w:spacing w:val="21"/>
        </w:rPr>
        <w:t> </w:t>
      </w:r>
      <w:r>
        <w:rPr/>
        <w:t>of</w:t>
      </w:r>
      <w:r>
        <w:rPr>
          <w:spacing w:val="21"/>
        </w:rPr>
        <w:t> </w:t>
      </w:r>
      <w:r>
        <w:rPr/>
        <w:t>Justice.</w:t>
      </w:r>
      <w:r>
        <w:rPr>
          <w:spacing w:val="20"/>
        </w:rPr>
        <w:t> </w:t>
      </w:r>
      <w:r>
        <w:rPr>
          <w:color w:val="005DA1"/>
          <w:u w:val="single" w:color="005DA1"/>
          <w:vertAlign w:val="superscript"/>
        </w:rPr>
        <w:t>225</w:t>
      </w:r>
    </w:p>
    <w:p>
      <w:pPr>
        <w:pStyle w:val="BodyText"/>
        <w:spacing w:line="227" w:lineRule="exact"/>
        <w:ind w:left="165"/>
        <w:jc w:val="both"/>
      </w:pPr>
      <w:r>
        <w:rPr/>
        <w:t>According to A.G. </w:t>
      </w:r>
      <w:r>
        <w:rPr>
          <w:spacing w:val="-2"/>
        </w:rPr>
        <w:t>Kokott:</w:t>
      </w:r>
    </w:p>
    <w:p>
      <w:pPr>
        <w:pStyle w:val="BodyText"/>
      </w:pPr>
    </w:p>
    <w:p>
      <w:pPr>
        <w:pStyle w:val="BodyText"/>
        <w:spacing w:before="125"/>
      </w:pPr>
    </w:p>
    <w:p>
      <w:pPr>
        <w:pStyle w:val="BodyText"/>
        <w:spacing w:line="235" w:lineRule="auto"/>
        <w:ind w:left="1545" w:right="167"/>
        <w:jc w:val="both"/>
      </w:pPr>
      <w:r>
        <w:rPr/>
        <w:t>“Contractual freedom is one of the general principles of Community law. It stems from the freedom to act for persons. It is inseparably linked to the freedom to conduct a business [protected by art.16 of the EU Charter of Fundamental Rights]. In </w:t>
      </w:r>
      <w:r>
        <w:rPr/>
        <w:t>a </w:t>
      </w:r>
      <w:bookmarkStart w:name="_bookmark398" w:id="400"/>
      <w:bookmarkEnd w:id="400"/>
      <w:r>
        <w:rPr/>
        <w:t>Community</w:t>
      </w:r>
      <w:r>
        <w:rPr/>
        <w:t> which must observe the principle of an open market economy with free competition, contractual freedom must be guaranteed.” </w:t>
      </w:r>
      <w:r>
        <w:rPr>
          <w:color w:val="005DA1"/>
          <w:u w:val="single" w:color="005DA1"/>
          <w:vertAlign w:val="superscript"/>
        </w:rPr>
        <w:t>226</w:t>
      </w:r>
    </w:p>
    <w:p>
      <w:pPr>
        <w:pStyle w:val="BodyText"/>
        <w:spacing w:before="115"/>
      </w:pPr>
    </w:p>
    <w:p>
      <w:pPr>
        <w:pStyle w:val="BodyText"/>
        <w:spacing w:line="235" w:lineRule="auto"/>
        <w:ind w:left="164" w:right="167"/>
        <w:jc w:val="both"/>
      </w:pPr>
      <w:bookmarkStart w:name="_bookmark399" w:id="401"/>
      <w:bookmarkEnd w:id="401"/>
      <w:r>
        <w:rPr/>
      </w:r>
      <w:r>
        <w:rPr/>
        <w:t>Freedom of contract has also been set by the European Commission as a fundamental point of </w:t>
      </w:r>
      <w:bookmarkStart w:name="_bookmark400" w:id="402"/>
      <w:bookmarkEnd w:id="402"/>
      <w:r>
        <w:rPr/>
        <w:t>reference</w:t>
      </w:r>
      <w:r>
        <w:rPr/>
        <w:t> for the development of European contract law </w:t>
      </w:r>
      <w:r>
        <w:rPr>
          <w:color w:val="005DA1"/>
          <w:u w:val="single" w:color="005DA1"/>
          <w:vertAlign w:val="superscript"/>
        </w:rPr>
        <w:t>227</w:t>
      </w:r>
      <w:r>
        <w:rPr>
          <w:color w:val="005DA1"/>
          <w:vertAlign w:val="baseline"/>
        </w:rPr>
        <w:t> </w:t>
      </w:r>
      <w:r>
        <w:rPr>
          <w:vertAlign w:val="baseline"/>
        </w:rPr>
        <w:t>and was placed by it as a </w:t>
      </w:r>
      <w:r>
        <w:rPr>
          <w:vertAlign w:val="baseline"/>
        </w:rPr>
        <w:t>“general principle” in its Proposal for a Regulation on a Common European Sales Law, </w:t>
      </w:r>
      <w:r>
        <w:rPr>
          <w:color w:val="005DA1"/>
          <w:u w:val="single" w:color="005DA1"/>
          <w:vertAlign w:val="superscript"/>
        </w:rPr>
        <w:t>228</w:t>
      </w:r>
      <w:r>
        <w:rPr>
          <w:color w:val="005DA1"/>
          <w:vertAlign w:val="baseline"/>
        </w:rPr>
        <w:t> </w:t>
      </w:r>
      <w:r>
        <w:rPr>
          <w:vertAlign w:val="baseline"/>
        </w:rPr>
        <w:t>it being explained </w:t>
      </w:r>
      <w:bookmarkStart w:name="_bookmark401" w:id="403"/>
      <w:bookmarkEnd w:id="403"/>
      <w:r>
        <w:rPr>
          <w:vertAlign w:val="baseline"/>
        </w:rPr>
        <w:t>that</w:t>
      </w:r>
      <w:r>
        <w:rPr>
          <w:vertAlign w:val="baseline"/>
        </w:rPr>
        <w:t> “[p]arty autonomy should be restricted only where and to the extent that this is indispensable, in </w:t>
      </w:r>
      <w:bookmarkStart w:name="_bookmark402" w:id="404"/>
      <w:bookmarkEnd w:id="404"/>
      <w:r>
        <w:rPr>
          <w:vertAlign w:val="baseline"/>
        </w:rPr>
        <w:t>particular</w:t>
      </w:r>
      <w:r>
        <w:rPr>
          <w:spacing w:val="9"/>
          <w:vertAlign w:val="baseline"/>
        </w:rPr>
        <w:t> </w:t>
      </w:r>
      <w:r>
        <w:rPr>
          <w:vertAlign w:val="baseline"/>
        </w:rPr>
        <w:t>for</w:t>
      </w:r>
      <w:r>
        <w:rPr>
          <w:spacing w:val="10"/>
          <w:vertAlign w:val="baseline"/>
        </w:rPr>
        <w:t> </w:t>
      </w:r>
      <w:r>
        <w:rPr>
          <w:vertAlign w:val="baseline"/>
        </w:rPr>
        <w:t>reasons</w:t>
      </w:r>
      <w:r>
        <w:rPr>
          <w:spacing w:val="10"/>
          <w:vertAlign w:val="baseline"/>
        </w:rPr>
        <w:t> </w:t>
      </w:r>
      <w:r>
        <w:rPr>
          <w:vertAlign w:val="baseline"/>
        </w:rPr>
        <w:t>of</w:t>
      </w:r>
      <w:r>
        <w:rPr>
          <w:spacing w:val="10"/>
          <w:vertAlign w:val="baseline"/>
        </w:rPr>
        <w:t> </w:t>
      </w:r>
      <w:r>
        <w:rPr>
          <w:vertAlign w:val="baseline"/>
        </w:rPr>
        <w:t>consumer</w:t>
      </w:r>
      <w:r>
        <w:rPr>
          <w:spacing w:val="9"/>
          <w:vertAlign w:val="baseline"/>
        </w:rPr>
        <w:t> </w:t>
      </w:r>
      <w:r>
        <w:rPr>
          <w:vertAlign w:val="baseline"/>
        </w:rPr>
        <w:t>protection”.</w:t>
      </w:r>
      <w:r>
        <w:rPr>
          <w:spacing w:val="10"/>
          <w:vertAlign w:val="baseline"/>
        </w:rPr>
        <w:t> </w:t>
      </w:r>
      <w:r>
        <w:rPr>
          <w:color w:val="005DA1"/>
          <w:u w:val="single" w:color="005DA1"/>
          <w:vertAlign w:val="superscript"/>
        </w:rPr>
        <w:t>229</w:t>
      </w:r>
      <w:r>
        <w:rPr>
          <w:color w:val="005DA1"/>
          <w:spacing w:val="10"/>
          <w:vertAlign w:val="baseline"/>
        </w:rPr>
        <w:t> </w:t>
      </w:r>
      <w:r>
        <w:rPr>
          <w:vertAlign w:val="baseline"/>
        </w:rPr>
        <w:t>The</w:t>
      </w:r>
      <w:r>
        <w:rPr>
          <w:spacing w:val="10"/>
          <w:vertAlign w:val="baseline"/>
        </w:rPr>
        <w:t> </w:t>
      </w:r>
      <w:r>
        <w:rPr>
          <w:vertAlign w:val="baseline"/>
        </w:rPr>
        <w:t>principle</w:t>
      </w:r>
      <w:r>
        <w:rPr>
          <w:spacing w:val="9"/>
          <w:vertAlign w:val="baseline"/>
        </w:rPr>
        <w:t> </w:t>
      </w:r>
      <w:r>
        <w:rPr>
          <w:vertAlign w:val="baseline"/>
        </w:rPr>
        <w:t>of</w:t>
      </w:r>
      <w:r>
        <w:rPr>
          <w:spacing w:val="10"/>
          <w:vertAlign w:val="baseline"/>
        </w:rPr>
        <w:t> </w:t>
      </w:r>
      <w:r>
        <w:rPr>
          <w:vertAlign w:val="baseline"/>
        </w:rPr>
        <w:t>“party</w:t>
      </w:r>
      <w:r>
        <w:rPr>
          <w:spacing w:val="10"/>
          <w:vertAlign w:val="baseline"/>
        </w:rPr>
        <w:t> </w:t>
      </w:r>
      <w:r>
        <w:rPr>
          <w:vertAlign w:val="baseline"/>
        </w:rPr>
        <w:t>autonomy”</w:t>
      </w:r>
      <w:r>
        <w:rPr>
          <w:spacing w:val="10"/>
          <w:vertAlign w:val="baseline"/>
        </w:rPr>
        <w:t> </w:t>
      </w:r>
      <w:r>
        <w:rPr>
          <w:vertAlign w:val="baseline"/>
        </w:rPr>
        <w:t>is</w:t>
      </w:r>
      <w:r>
        <w:rPr>
          <w:spacing w:val="9"/>
          <w:vertAlign w:val="baseline"/>
        </w:rPr>
        <w:t> </w:t>
      </w:r>
      <w:r>
        <w:rPr>
          <w:vertAlign w:val="baseline"/>
        </w:rPr>
        <w:t>also</w:t>
      </w:r>
      <w:r>
        <w:rPr>
          <w:spacing w:val="10"/>
          <w:vertAlign w:val="baseline"/>
        </w:rPr>
        <w:t> </w:t>
      </w:r>
      <w:r>
        <w:rPr>
          <w:spacing w:val="-2"/>
          <w:vertAlign w:val="baseline"/>
        </w:rPr>
        <w:t>important</w:t>
      </w:r>
    </w:p>
    <w:p>
      <w:pPr>
        <w:pStyle w:val="BodyText"/>
        <w:spacing w:before="114"/>
        <w:ind w:left="165"/>
        <w:jc w:val="both"/>
        <w:rPr>
          <w:position w:val="-2"/>
        </w:rPr>
      </w:pPr>
      <w:r>
        <w:rPr/>
        <w:t>in EU private international law. </w:t>
      </w:r>
      <w:r>
        <w:rPr>
          <w:color w:val="005DA1"/>
          <w:u w:val="single" w:color="005DA1"/>
          <w:vertAlign w:val="superscript"/>
        </w:rPr>
        <w:t>230</w:t>
      </w:r>
      <w:r>
        <w:rPr>
          <w:color w:val="005DA1"/>
          <w:spacing w:val="80"/>
          <w:w w:val="150"/>
          <w:vertAlign w:val="baseline"/>
        </w:rPr>
        <w:t> </w:t>
      </w:r>
      <w:r>
        <w:rPr>
          <w:color w:val="005DA1"/>
          <w:position w:val="-2"/>
          <w:vertAlign w:val="baseline"/>
        </w:rPr>
        <w:drawing>
          <wp:inline distT="0" distB="0" distL="0" distR="0">
            <wp:extent cx="107988" cy="107988"/>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Alemo-Herron v Parkwood Leisure </w:t>
      </w:r>
      <w:r>
        <w:rPr>
          <w:rFonts w:ascii="Arial"/>
          <w:b/>
          <w:spacing w:val="-5"/>
          <w:sz w:val="18"/>
        </w:rPr>
        <w:t>Ltd</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029</w:t>
      </w:r>
    </w:p>
    <w:p>
      <w:pPr>
        <w:pStyle w:val="BodyText"/>
        <w:spacing w:line="235" w:lineRule="auto" w:before="203"/>
        <w:ind w:left="164" w:right="167"/>
        <w:jc w:val="both"/>
      </w:pPr>
      <w:r>
        <w:rPr/>
        <w:t>The decision of the Court of Justice in </w:t>
      </w:r>
      <w:r>
        <w:rPr>
          <w:rFonts w:ascii="Arial" w:hAnsi="Arial"/>
          <w:i/>
        </w:rPr>
        <w:t>Alemo-Herron v Parkwood Leisure Ltd </w:t>
      </w:r>
      <w:r>
        <w:rPr/>
        <w:t>provides a striking </w:t>
      </w:r>
      <w:bookmarkStart w:name="_bookmark403" w:id="405"/>
      <w:bookmarkEnd w:id="405"/>
      <w:r>
        <w:rPr/>
        <w:t>illustration</w:t>
      </w:r>
      <w:r>
        <w:rPr/>
        <w:t> of the use of art.16 of the EU Charter of Fundamental Rights to give effect to its vision of </w:t>
      </w:r>
      <w:bookmarkStart w:name="_bookmark404" w:id="406"/>
      <w:bookmarkEnd w:id="406"/>
      <w:r>
        <w:rPr/>
        <w:t>freedom</w:t>
      </w:r>
      <w:r>
        <w:rPr/>
        <w:t> of contract. </w:t>
      </w:r>
      <w:r>
        <w:rPr>
          <w:color w:val="005DA1"/>
          <w:u w:val="single" w:color="005DA1"/>
          <w:vertAlign w:val="superscript"/>
        </w:rPr>
        <w:t>231</w:t>
      </w:r>
      <w:r>
        <w:rPr>
          <w:color w:val="005DA1"/>
          <w:vertAlign w:val="baseline"/>
        </w:rPr>
        <w:t> </w:t>
      </w:r>
      <w:r>
        <w:rPr>
          <w:vertAlign w:val="baseline"/>
        </w:rPr>
        <w:t>There, the UK Supreme Court asked the Court of Justice whether a </w:t>
      </w:r>
      <w:r>
        <w:rPr>
          <w:vertAlign w:val="baseline"/>
        </w:rPr>
        <w:t>Member State is prohibited by the Transfer of Undertakings Directive </w:t>
      </w:r>
      <w:r>
        <w:rPr>
          <w:color w:val="005DA1"/>
          <w:u w:val="single" w:color="005DA1"/>
          <w:vertAlign w:val="superscript"/>
        </w:rPr>
        <w:t>232</w:t>
      </w:r>
      <w:r>
        <w:rPr>
          <w:color w:val="005DA1"/>
          <w:vertAlign w:val="baseline"/>
        </w:rPr>
        <w:t> </w:t>
      </w:r>
      <w:r>
        <w:rPr>
          <w:vertAlign w:val="baseline"/>
        </w:rPr>
        <w:t>from extending to employees, in the event of a transfer of an undertaking or business, a “dynamic” protection as a result of the recognition by domestic contract law of the effectiveness of a contract term in the employees’ individual contracts of employment that their pay may be determined from time to time by a third party, there a public sector collective negotiating body (the “dynamic pay clause”). If such a dynamic protection were permitted, then in the particular case the transferee (a private sector company which had bought the </w:t>
      </w:r>
      <w:bookmarkStart w:name="_bookmark405" w:id="407"/>
      <w:bookmarkEnd w:id="407"/>
      <w:r>
        <w:rPr>
          <w:vertAlign w:val="baseline"/>
        </w:rPr>
        <w:t>undertaking</w:t>
      </w:r>
      <w:r>
        <w:rPr>
          <w:vertAlign w:val="baseline"/>
        </w:rPr>
        <w:t> from a local authority) would in effect be bound by a collective agreement to whose negotiation it could not be party. </w:t>
      </w:r>
      <w:r>
        <w:rPr>
          <w:color w:val="005DA1"/>
          <w:u w:val="single" w:color="005DA1"/>
          <w:vertAlign w:val="superscript"/>
        </w:rPr>
        <w:t>233</w:t>
      </w:r>
      <w:r>
        <w:rPr>
          <w:color w:val="005DA1"/>
          <w:vertAlign w:val="baseline"/>
        </w:rPr>
        <w:t> </w:t>
      </w:r>
      <w:r>
        <w:rPr>
          <w:vertAlign w:val="baseline"/>
        </w:rPr>
        <w:t>The Transfer of Undertakings Directive provides that:</w:t>
      </w:r>
    </w:p>
    <w:p>
      <w:pPr>
        <w:pStyle w:val="BodyText"/>
      </w:pPr>
    </w:p>
    <w:p>
      <w:pPr>
        <w:pStyle w:val="BodyText"/>
        <w:spacing w:before="122"/>
      </w:pPr>
    </w:p>
    <w:p>
      <w:pPr>
        <w:pStyle w:val="BodyText"/>
        <w:spacing w:line="235" w:lineRule="auto"/>
        <w:ind w:left="1545" w:right="167"/>
        <w:jc w:val="both"/>
      </w:pPr>
      <w:r>
        <w:rPr/>
        <w:t>“the transferor’s rights and obligations arising from a contract of employment or </w:t>
      </w:r>
      <w:r>
        <w:rPr/>
        <w:t>from an employment relationship existing </w:t>
      </w:r>
      <w:r>
        <w:rPr>
          <w:rFonts w:ascii="Arial" w:hAnsi="Arial"/>
          <w:i/>
        </w:rPr>
        <w:t>on the date of a transfer </w:t>
      </w:r>
      <w:r>
        <w:rPr/>
        <w:t>shall, by reason of such transfer, be transferred to the transferee”</w:t>
      </w:r>
    </w:p>
    <w:p>
      <w:pPr>
        <w:pStyle w:val="BodyText"/>
        <w:spacing w:before="116"/>
      </w:pPr>
    </w:p>
    <w:p>
      <w:pPr>
        <w:pStyle w:val="BodyText"/>
        <w:spacing w:line="235" w:lineRule="auto"/>
        <w:ind w:left="165" w:right="167"/>
        <w:jc w:val="both"/>
      </w:pPr>
      <w:r>
        <w:rPr/>
        <w:t>but also that Member States have the right to apply or introduce laws “which are more favourable </w:t>
      </w:r>
      <w:r>
        <w:rPr/>
        <w:t>to </w:t>
      </w:r>
      <w:bookmarkStart w:name="_bookmark406" w:id="408"/>
      <w:bookmarkEnd w:id="408"/>
      <w:r>
        <w:rPr/>
        <w:t>employees</w:t>
      </w:r>
      <w:r>
        <w:rPr/>
        <w:t> or to promote or permit collective agreements between social partners more favourable to employees”. </w:t>
      </w:r>
      <w:r>
        <w:rPr>
          <w:color w:val="005DA1"/>
          <w:u w:val="single" w:color="005DA1"/>
          <w:vertAlign w:val="superscript"/>
        </w:rPr>
        <w:t>234</w:t>
      </w:r>
      <w:r>
        <w:rPr>
          <w:color w:val="005DA1"/>
          <w:vertAlign w:val="baseline"/>
        </w:rPr>
        <w:t> </w:t>
      </w:r>
      <w:r>
        <w:rPr>
          <w:vertAlign w:val="baseline"/>
        </w:rPr>
        <w:t>While acknowledging this right in Member States, the Court of Justice held that the aim of the directive was not solely to safeguard the interests of employees on the transfer of an undertaking, but to ensure a fair balance between their interests and the interests of the transferee employer, which “must be in a position to make the adjustments and changes necessary to carry on </w:t>
      </w:r>
      <w:bookmarkStart w:name="_bookmark407" w:id="409"/>
      <w:bookmarkEnd w:id="409"/>
      <w:r>
        <w:rPr>
          <w:vertAlign w:val="baseline"/>
        </w:rPr>
        <w:t>its</w:t>
      </w:r>
      <w:r>
        <w:rPr>
          <w:vertAlign w:val="baseline"/>
        </w:rPr>
        <w:t> operations”, notably where the transfer of the undertaking was from the public sector to the private sector. </w:t>
      </w:r>
      <w:r>
        <w:rPr>
          <w:color w:val="005DA1"/>
          <w:u w:val="single" w:color="005DA1"/>
          <w:vertAlign w:val="superscript"/>
        </w:rPr>
        <w:t>235</w:t>
      </w:r>
      <w:r>
        <w:rPr>
          <w:color w:val="005DA1"/>
          <w:vertAlign w:val="baseline"/>
        </w:rPr>
        <w:t> </w:t>
      </w:r>
      <w:r>
        <w:rPr>
          <w:vertAlign w:val="baseline"/>
        </w:rPr>
        <w:t>Giving effect to the dynamic pay clause would undermine this fair balance. </w:t>
      </w:r>
      <w:r>
        <w:rPr>
          <w:color w:val="005DA1"/>
          <w:u w:val="single" w:color="005DA1"/>
          <w:vertAlign w:val="superscript"/>
        </w:rPr>
        <w:t>236</w:t>
      </w:r>
      <w:r>
        <w:rPr>
          <w:color w:val="005DA1"/>
          <w:vertAlign w:val="baseline"/>
        </w:rPr>
        <w:t> </w:t>
      </w:r>
      <w:r>
        <w:rPr>
          <w:vertAlign w:val="baseline"/>
        </w:rPr>
        <w:t>Moreover, </w:t>
      </w:r>
      <w:bookmarkStart w:name="_bookmark408" w:id="410"/>
      <w:bookmarkEnd w:id="410"/>
      <w:r>
        <w:rPr>
          <w:vertAlign w:val="baseline"/>
        </w:rPr>
        <w:t>the</w:t>
      </w:r>
      <w:r>
        <w:rPr>
          <w:vertAlign w:val="baseline"/>
        </w:rPr>
        <w:t> fundamental freedom to conduct a business laid down in art.16 of the EU Charter of Fundamental Rights “covers, inter alia, freedom of contract”. </w:t>
      </w:r>
      <w:r>
        <w:rPr>
          <w:color w:val="005DA1"/>
          <w:u w:val="single" w:color="005DA1"/>
          <w:vertAlign w:val="superscript"/>
        </w:rPr>
        <w:t>237</w:t>
      </w:r>
      <w:r>
        <w:rPr>
          <w:color w:val="005DA1"/>
          <w:vertAlign w:val="baseline"/>
        </w:rPr>
        <w:t> </w:t>
      </w:r>
      <w:r>
        <w:rPr>
          <w:vertAlign w:val="baseline"/>
        </w:rPr>
        <w:t>In the light of the Directive’s provision that the transferee of an undertaking must give effect to the rights of employees existing at the date of its </w:t>
      </w:r>
      <w:r>
        <w:rPr>
          <w:spacing w:val="-2"/>
          <w:vertAlign w:val="baseline"/>
        </w:rPr>
        <w:t>transfer,</w:t>
      </w:r>
    </w:p>
    <w:p>
      <w:pPr>
        <w:pStyle w:val="BodyText"/>
      </w:pPr>
    </w:p>
    <w:p>
      <w:pPr>
        <w:pStyle w:val="BodyText"/>
        <w:spacing w:before="118"/>
      </w:pPr>
    </w:p>
    <w:p>
      <w:pPr>
        <w:pStyle w:val="BodyText"/>
        <w:ind w:left="1545"/>
        <w:jc w:val="both"/>
      </w:pPr>
      <w:r>
        <w:rPr/>
        <w:t>“[i]t</w:t>
      </w:r>
      <w:r>
        <w:rPr>
          <w:spacing w:val="18"/>
        </w:rPr>
        <w:t> </w:t>
      </w:r>
      <w:r>
        <w:rPr/>
        <w:t>is</w:t>
      </w:r>
      <w:r>
        <w:rPr>
          <w:spacing w:val="18"/>
        </w:rPr>
        <w:t> </w:t>
      </w:r>
      <w:r>
        <w:rPr/>
        <w:t>apparent</w:t>
      </w:r>
      <w:r>
        <w:rPr>
          <w:spacing w:val="18"/>
        </w:rPr>
        <w:t> </w:t>
      </w:r>
      <w:r>
        <w:rPr/>
        <w:t>that,</w:t>
      </w:r>
      <w:r>
        <w:rPr>
          <w:spacing w:val="18"/>
        </w:rPr>
        <w:t> </w:t>
      </w:r>
      <w:r>
        <w:rPr/>
        <w:t>by</w:t>
      </w:r>
      <w:r>
        <w:rPr>
          <w:spacing w:val="18"/>
        </w:rPr>
        <w:t> </w:t>
      </w:r>
      <w:r>
        <w:rPr/>
        <w:t>reason</w:t>
      </w:r>
      <w:r>
        <w:rPr>
          <w:spacing w:val="18"/>
        </w:rPr>
        <w:t> </w:t>
      </w:r>
      <w:r>
        <w:rPr/>
        <w:t>of</w:t>
      </w:r>
      <w:r>
        <w:rPr>
          <w:spacing w:val="18"/>
        </w:rPr>
        <w:t> </w:t>
      </w:r>
      <w:r>
        <w:rPr/>
        <w:t>the</w:t>
      </w:r>
      <w:r>
        <w:rPr>
          <w:spacing w:val="18"/>
        </w:rPr>
        <w:t> </w:t>
      </w:r>
      <w:r>
        <w:rPr/>
        <w:t>freedom</w:t>
      </w:r>
      <w:r>
        <w:rPr>
          <w:spacing w:val="18"/>
        </w:rPr>
        <w:t> </w:t>
      </w:r>
      <w:r>
        <w:rPr/>
        <w:t>to</w:t>
      </w:r>
      <w:r>
        <w:rPr>
          <w:spacing w:val="18"/>
        </w:rPr>
        <w:t> </w:t>
      </w:r>
      <w:r>
        <w:rPr/>
        <w:t>conduct</w:t>
      </w:r>
      <w:r>
        <w:rPr>
          <w:spacing w:val="18"/>
        </w:rPr>
        <w:t> </w:t>
      </w:r>
      <w:r>
        <w:rPr/>
        <w:t>a</w:t>
      </w:r>
      <w:r>
        <w:rPr>
          <w:spacing w:val="18"/>
        </w:rPr>
        <w:t> </w:t>
      </w:r>
      <w:r>
        <w:rPr/>
        <w:t>business,</w:t>
      </w:r>
      <w:r>
        <w:rPr>
          <w:spacing w:val="18"/>
        </w:rPr>
        <w:t> </w:t>
      </w:r>
      <w:r>
        <w:rPr/>
        <w:t>the</w:t>
      </w:r>
      <w:r>
        <w:rPr>
          <w:spacing w:val="18"/>
        </w:rPr>
        <w:t> </w:t>
      </w:r>
      <w:r>
        <w:rPr>
          <w:spacing w:val="-2"/>
        </w:rPr>
        <w:t>transferee</w:t>
      </w:r>
    </w:p>
    <w:p>
      <w:pPr>
        <w:pStyle w:val="BodyText"/>
        <w:spacing w:after="0"/>
        <w:jc w:val="both"/>
        <w:sectPr>
          <w:pgSz w:w="11900" w:h="16840"/>
          <w:pgMar w:header="971" w:footer="0" w:top="1300" w:bottom="280" w:left="1275" w:right="1275"/>
        </w:sectPr>
      </w:pPr>
    </w:p>
    <w:p>
      <w:pPr>
        <w:pStyle w:val="BodyText"/>
        <w:spacing w:before="167"/>
      </w:pPr>
    </w:p>
    <w:p>
      <w:pPr>
        <w:pStyle w:val="BodyText"/>
        <w:spacing w:line="235" w:lineRule="auto"/>
        <w:ind w:left="1545" w:right="167"/>
        <w:jc w:val="both"/>
      </w:pPr>
      <w:r>
        <w:rPr/>
        <w:t>must be able to assert its interests effectively in a contractual process to which it is </w:t>
      </w:r>
      <w:bookmarkStart w:name="_bookmark409" w:id="411"/>
      <w:bookmarkEnd w:id="411"/>
      <w:r>
        <w:rPr/>
        <w:t>party</w:t>
      </w:r>
      <w:r>
        <w:rPr/>
        <w:t> and to negotiate the aspects determining changes in working conditions for </w:t>
      </w:r>
      <w:r>
        <w:rPr/>
        <w:t>its employees with a view to its future economic activity.” </w:t>
      </w:r>
      <w:r>
        <w:rPr>
          <w:color w:val="005DA1"/>
          <w:u w:val="single" w:color="005DA1"/>
          <w:vertAlign w:val="superscript"/>
        </w:rPr>
        <w:t>238</w:t>
      </w:r>
    </w:p>
    <w:p>
      <w:pPr>
        <w:pStyle w:val="BodyText"/>
        <w:spacing w:before="115"/>
      </w:pPr>
    </w:p>
    <w:p>
      <w:pPr>
        <w:pStyle w:val="BodyText"/>
        <w:spacing w:line="235" w:lineRule="auto" w:before="1"/>
        <w:ind w:left="165" w:right="167"/>
        <w:jc w:val="both"/>
      </w:pPr>
      <w:r>
        <w:rPr/>
        <w:t>This is not the case where a transferee cannot participate in the collective bargaining body identified by the dynamic pay clause and so, in this situation, “the transferee’s contractual freedom is seriously </w:t>
      </w:r>
      <w:bookmarkStart w:name="_bookmark410" w:id="412"/>
      <w:bookmarkEnd w:id="412"/>
      <w:r>
        <w:rPr/>
        <w:t>reduced</w:t>
      </w:r>
      <w:r>
        <w:rPr/>
        <w:t> to the point that such a limitation is liable to adversely affect the very essence of its </w:t>
      </w:r>
      <w:r>
        <w:rPr/>
        <w:t>freedom to conduct a business.” </w:t>
      </w:r>
      <w:r>
        <w:rPr>
          <w:color w:val="005DA1"/>
          <w:u w:val="single" w:color="005DA1"/>
          <w:vertAlign w:val="superscript"/>
        </w:rPr>
        <w:t>239</w:t>
      </w:r>
    </w:p>
    <w:p>
      <w:pPr>
        <w:pStyle w:val="BodyText"/>
        <w:spacing w:before="88"/>
      </w:pPr>
    </w:p>
    <w:p>
      <w:pPr>
        <w:pStyle w:val="BodyText"/>
        <w:spacing w:line="235" w:lineRule="auto"/>
        <w:ind w:left="165" w:right="167"/>
        <w:jc w:val="both"/>
      </w:pPr>
      <w:r>
        <w:rPr/>
        <w:t>The Court of Justice therefore held that the Directive cannot be interpreted as “entitling Member </w:t>
      </w:r>
      <w:bookmarkStart w:name="_bookmark411" w:id="413"/>
      <w:bookmarkEnd w:id="413"/>
      <w:r>
        <w:rPr/>
        <w:t>States</w:t>
      </w:r>
      <w:r>
        <w:rPr/>
        <w:t> to take measures which, while being more favourable to employees, are liable to adversely affect the very essence of the transferee’s freedom to conduct a business”. </w:t>
      </w:r>
      <w:r>
        <w:rPr>
          <w:color w:val="005DA1"/>
          <w:u w:val="single" w:color="005DA1"/>
          <w:vertAlign w:val="superscript"/>
        </w:rPr>
        <w:t>240</w:t>
      </w:r>
      <w:r>
        <w:rPr>
          <w:color w:val="005DA1"/>
          <w:vertAlign w:val="baseline"/>
        </w:rPr>
        <w:t> </w:t>
      </w:r>
      <w:r>
        <w:rPr>
          <w:vertAlign w:val="baseline"/>
        </w:rPr>
        <w:t>So, in effect, the need to preserve the transferee employer’s freedom of contract trumps the freedom of contract of </w:t>
      </w:r>
      <w:r>
        <w:rPr>
          <w:vertAlign w:val="baseline"/>
        </w:rPr>
        <w:t>the </w:t>
      </w:r>
      <w:bookmarkStart w:name="_bookmark412" w:id="414"/>
      <w:bookmarkEnd w:id="414"/>
      <w:r>
        <w:rPr>
          <w:vertAlign w:val="baseline"/>
        </w:rPr>
        <w:t>contracting</w:t>
      </w:r>
      <w:r>
        <w:rPr>
          <w:vertAlign w:val="baseline"/>
        </w:rPr>
        <w:t> parties to the original contracts of employment who had agreed to set the employees’ pay by a third party. </w:t>
      </w:r>
      <w:r>
        <w:rPr>
          <w:color w:val="005DA1"/>
          <w:u w:val="single" w:color="005DA1"/>
          <w:vertAlign w:val="superscript"/>
        </w:rPr>
        <w:t>241</w:t>
      </w:r>
      <w:r>
        <w:rPr>
          <w:color w:val="005DA1"/>
          <w:vertAlign w:val="baseline"/>
        </w:rPr>
        <w:t> </w:t>
      </w:r>
      <w:r>
        <w:rPr>
          <w:vertAlign w:val="baseline"/>
        </w:rPr>
        <w:t>In doing so, the Court of Justice interpreted restrictively the reference in the Directive to “the transferor’s … obligations arising from a contract of employment … existing on the date of a transfer”, treating the relevant obligation as the obligation to pay the employee’s wages rather than a wider obligation to honour the contract’s terms governing the determination of pay, including its future determination.</w:t>
      </w:r>
    </w:p>
    <w:p>
      <w:pPr>
        <w:pStyle w:val="BodyText"/>
      </w:pPr>
    </w:p>
    <w:p>
      <w:pPr>
        <w:pStyle w:val="BodyText"/>
        <w:spacing w:before="35"/>
      </w:pPr>
    </w:p>
    <w:p>
      <w:pPr>
        <w:spacing w:before="0"/>
        <w:ind w:left="165" w:right="0" w:firstLine="0"/>
        <w:jc w:val="both"/>
        <w:rPr>
          <w:rFonts w:ascii="Arial"/>
          <w:b/>
          <w:sz w:val="18"/>
        </w:rPr>
      </w:pPr>
      <w:r>
        <w:rPr>
          <w:rFonts w:ascii="Arial"/>
          <w:b/>
          <w:sz w:val="18"/>
        </w:rPr>
        <w:t>Freedom of Contract and the </w:t>
      </w:r>
      <w:r>
        <w:rPr>
          <w:rFonts w:ascii="Arial"/>
          <w:b/>
          <w:spacing w:val="-4"/>
          <w:sz w:val="18"/>
        </w:rPr>
        <w:t>ECHR</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030</w:t>
      </w:r>
    </w:p>
    <w:p>
      <w:pPr>
        <w:pStyle w:val="BodyText"/>
        <w:spacing w:line="235" w:lineRule="auto" w:before="203"/>
        <w:ind w:left="165" w:right="167"/>
        <w:jc w:val="both"/>
      </w:pPr>
      <w:r>
        <w:rPr/>
        <w:t>While the European Convention on Human Rights does not refer to freedom of contract, </w:t>
      </w:r>
      <w:r>
        <w:rPr/>
        <w:t>the</w:t>
      </w:r>
      <w:r>
        <w:rPr>
          <w:spacing w:val="40"/>
        </w:rPr>
        <w:t> </w:t>
      </w:r>
      <w:r>
        <w:rPr/>
        <w:t>European Court of Human Rights has held that the extent to which a State interferes with an owner of </w:t>
      </w:r>
      <w:bookmarkStart w:name="_bookmark413" w:id="415"/>
      <w:bookmarkEnd w:id="415"/>
      <w:r>
        <w:rPr/>
        <w:t>property’s</w:t>
      </w:r>
      <w:r>
        <w:rPr/>
        <w:t> freedom of contract relating to the property is relevant to the assessment of its compliance with its duties in respect of the right to property under art.1 of the First Protocol. </w:t>
      </w:r>
      <w:r>
        <w:rPr>
          <w:color w:val="005DA1"/>
          <w:u w:val="single" w:color="005DA1"/>
          <w:vertAlign w:val="superscript"/>
        </w:rPr>
        <w:t>242</w:t>
      </w:r>
    </w:p>
    <w:p>
      <w:pPr>
        <w:pStyle w:val="BodyText"/>
      </w:pPr>
    </w:p>
    <w:p>
      <w:pPr>
        <w:pStyle w:val="BodyText"/>
        <w:spacing w:before="37"/>
      </w:pPr>
    </w:p>
    <w:p>
      <w:pPr>
        <w:spacing w:before="0"/>
        <w:ind w:left="165" w:right="0" w:firstLine="0"/>
        <w:jc w:val="left"/>
        <w:rPr>
          <w:rFonts w:ascii="Arial"/>
          <w:b/>
          <w:sz w:val="18"/>
        </w:rPr>
      </w:pPr>
      <w:r>
        <w:rPr>
          <w:rFonts w:ascii="Arial"/>
          <w:b/>
          <w:sz w:val="18"/>
        </w:rPr>
        <w:t>Qualifications on freedom of </w:t>
      </w:r>
      <w:r>
        <w:rPr>
          <w:rFonts w:ascii="Arial"/>
          <w:b/>
          <w:spacing w:val="-2"/>
          <w:sz w:val="18"/>
        </w:rPr>
        <w:t>contract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031</w:t>
      </w:r>
    </w:p>
    <w:p>
      <w:pPr>
        <w:pStyle w:val="BodyText"/>
        <w:spacing w:line="235" w:lineRule="auto" w:before="203"/>
        <w:ind w:left="165" w:right="167"/>
        <w:jc w:val="both"/>
      </w:pPr>
      <w:r>
        <w:rPr/>
        <w:t>However, the principle of freedom of contract is subject to many qualifications in modern English law. These qualifications may affect a person’s decision as to whether and with whom to contract; </w:t>
      </w:r>
      <w:r>
        <w:rPr/>
        <w:t>the parties’ choice as to the terms on which their contractual relations are to be governed and more generally as to their legal consequences. Furthermore, even where it does not bear directly on the mutual rights and duties of the contracting parties, modern legislation has also regulated the contractual environment in which the parties to some types of contract negotiate, conclude and perform their contracts.</w:t>
      </w:r>
    </w:p>
    <w:p>
      <w:pPr>
        <w:pStyle w:val="BodyText"/>
      </w:pPr>
    </w:p>
    <w:p>
      <w:pPr>
        <w:pStyle w:val="BodyText"/>
        <w:spacing w:before="36"/>
      </w:pPr>
    </w:p>
    <w:p>
      <w:pPr>
        <w:pStyle w:val="ListParagraph"/>
        <w:numPr>
          <w:ilvl w:val="0"/>
          <w:numId w:val="3"/>
        </w:numPr>
        <w:tabs>
          <w:tab w:pos="384" w:val="left" w:leader="none"/>
        </w:tabs>
        <w:spacing w:line="240" w:lineRule="auto" w:before="0" w:after="0"/>
        <w:ind w:left="384" w:right="0" w:hanging="219"/>
        <w:jc w:val="left"/>
        <w:rPr>
          <w:b/>
          <w:sz w:val="18"/>
        </w:rPr>
      </w:pPr>
      <w:r>
        <w:rPr>
          <w:b/>
          <w:sz w:val="18"/>
        </w:rPr>
        <w:t>Refusal to enter </w:t>
      </w:r>
      <w:r>
        <w:rPr>
          <w:b/>
          <w:spacing w:val="-2"/>
          <w:sz w:val="18"/>
        </w:rPr>
        <w:t>contracts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032</w:t>
      </w:r>
    </w:p>
    <w:p>
      <w:pPr>
        <w:pStyle w:val="BodyText"/>
        <w:spacing w:line="235" w:lineRule="auto" w:before="203"/>
        <w:ind w:left="165" w:right="167"/>
        <w:jc w:val="both"/>
      </w:pPr>
      <w:bookmarkStart w:name="_bookmark414" w:id="416"/>
      <w:bookmarkEnd w:id="416"/>
      <w:r>
        <w:rPr/>
      </w:r>
      <w:r>
        <w:rPr/>
        <w:t>Even at common law, an innkeeper or common carrier was not entitled to refuse to accommodate a would-be customer without sufficient excuse. </w:t>
      </w:r>
      <w:r>
        <w:rPr>
          <w:color w:val="005DA1"/>
          <w:u w:val="single" w:color="005DA1"/>
          <w:vertAlign w:val="superscript"/>
        </w:rPr>
        <w:t>243</w:t>
      </w:r>
      <w:r>
        <w:rPr>
          <w:color w:val="005DA1"/>
          <w:vertAlign w:val="baseline"/>
        </w:rPr>
        <w:t> </w:t>
      </w:r>
      <w:r>
        <w:rPr>
          <w:vertAlign w:val="baseline"/>
        </w:rPr>
        <w:t>Companies which supply what used to be </w:t>
      </w:r>
      <w:r>
        <w:rPr>
          <w:vertAlign w:val="baseline"/>
        </w:rPr>
        <w:t>called </w:t>
      </w:r>
      <w:bookmarkStart w:name="_bookmark415" w:id="417"/>
      <w:bookmarkEnd w:id="417"/>
      <w:r>
        <w:rPr>
          <w:vertAlign w:val="baseline"/>
        </w:rPr>
        <w:t>public</w:t>
      </w:r>
      <w:r>
        <w:rPr>
          <w:vertAlign w:val="baseline"/>
        </w:rPr>
        <w:t> utilities such as water, gas and electricity, in some circumstances are under a statutory duty to </w:t>
      </w:r>
      <w:bookmarkStart w:name="_bookmark416" w:id="418"/>
      <w:bookmarkEnd w:id="418"/>
      <w:r>
        <w:rPr>
          <w:vertAlign w:val="baseline"/>
        </w:rPr>
        <w:t>supply</w:t>
      </w:r>
      <w:r>
        <w:rPr>
          <w:vertAlign w:val="baseline"/>
        </w:rPr>
        <w:t> the commodity in question, </w:t>
      </w:r>
      <w:r>
        <w:rPr>
          <w:color w:val="005DA1"/>
          <w:u w:val="single" w:color="005DA1"/>
          <w:vertAlign w:val="superscript"/>
        </w:rPr>
        <w:t>244</w:t>
      </w:r>
      <w:r>
        <w:rPr>
          <w:color w:val="005DA1"/>
          <w:vertAlign w:val="baseline"/>
        </w:rPr>
        <w:t> </w:t>
      </w:r>
      <w:r>
        <w:rPr>
          <w:vertAlign w:val="baseline"/>
        </w:rPr>
        <w:t>though in this type of case the existence of the duty has led the courts to hold that the relationship so created is not contractual. </w:t>
      </w:r>
      <w:r>
        <w:rPr>
          <w:color w:val="005DA1"/>
          <w:u w:val="single" w:color="005DA1"/>
          <w:vertAlign w:val="superscript"/>
        </w:rPr>
        <w:t>245</w:t>
      </w:r>
    </w:p>
    <w:p>
      <w:pPr>
        <w:pStyle w:val="BodyText"/>
      </w:pPr>
    </w:p>
    <w:p>
      <w:pPr>
        <w:pStyle w:val="BodyText"/>
        <w:spacing w:before="37"/>
      </w:pPr>
    </w:p>
    <w:p>
      <w:pPr>
        <w:pStyle w:val="ListParagraph"/>
        <w:numPr>
          <w:ilvl w:val="0"/>
          <w:numId w:val="3"/>
        </w:numPr>
        <w:tabs>
          <w:tab w:pos="434" w:val="left" w:leader="none"/>
        </w:tabs>
        <w:spacing w:line="240" w:lineRule="auto" w:before="0" w:after="0"/>
        <w:ind w:left="434" w:right="0" w:hanging="269"/>
        <w:jc w:val="left"/>
        <w:rPr>
          <w:b/>
          <w:sz w:val="18"/>
        </w:rPr>
      </w:pPr>
      <w:r>
        <w:rPr>
          <w:b/>
          <w:sz w:val="18"/>
        </w:rPr>
        <w:t>The law of </w:t>
      </w:r>
      <w:r>
        <w:rPr>
          <w:b/>
          <w:spacing w:val="-2"/>
          <w:sz w:val="18"/>
        </w:rPr>
        <w:t>discrimination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033</w:t>
      </w:r>
    </w:p>
    <w:p>
      <w:pPr>
        <w:spacing w:after="0"/>
        <w:jc w:val="left"/>
        <w:rPr>
          <w:rFonts w:ascii="Arial"/>
          <w:b/>
          <w:sz w:val="24"/>
        </w:rPr>
        <w:sectPr>
          <w:pgSz w:w="11900" w:h="16840"/>
          <w:pgMar w:header="971" w:footer="0" w:top="1300" w:bottom="280" w:left="1275" w:right="1275"/>
        </w:sectPr>
      </w:pPr>
    </w:p>
    <w:p>
      <w:pPr>
        <w:pStyle w:val="BodyText"/>
        <w:spacing w:line="235" w:lineRule="auto" w:before="210"/>
        <w:ind w:left="164" w:right="167"/>
        <w:jc w:val="both"/>
      </w:pPr>
      <w:r>
        <w:rPr/>
        <w:t>Moreover, modern discrimination law has forbidden a person to refuse to contract in certain situations </w:t>
      </w:r>
      <w:bookmarkStart w:name="_bookmark417" w:id="419"/>
      <w:bookmarkEnd w:id="419"/>
      <w:r>
        <w:rPr/>
        <w:t>and</w:t>
      </w:r>
      <w:r>
        <w:rPr/>
        <w:t> has provided more widely for the prevention of discrimination. This was first the case as regards </w:t>
      </w:r>
      <w:bookmarkStart w:name="_bookmark418" w:id="420"/>
      <w:bookmarkEnd w:id="420"/>
      <w:r>
        <w:rPr/>
        <w:t>discrimination</w:t>
      </w:r>
      <w:r>
        <w:rPr/>
        <w:t> on the grounds of sex </w:t>
      </w:r>
      <w:r>
        <w:rPr>
          <w:color w:val="005DA1"/>
          <w:u w:val="single" w:color="005DA1"/>
          <w:vertAlign w:val="superscript"/>
        </w:rPr>
        <w:t>246</w:t>
      </w:r>
      <w:r>
        <w:rPr>
          <w:color w:val="005DA1"/>
          <w:vertAlign w:val="baseline"/>
        </w:rPr>
        <w:t> </w:t>
      </w:r>
      <w:r>
        <w:rPr>
          <w:vertAlign w:val="baseline"/>
        </w:rPr>
        <w:t>and racial group, </w:t>
      </w:r>
      <w:r>
        <w:rPr>
          <w:color w:val="005DA1"/>
          <w:u w:val="single" w:color="005DA1"/>
          <w:vertAlign w:val="superscript"/>
        </w:rPr>
        <w:t>247</w:t>
      </w:r>
      <w:r>
        <w:rPr>
          <w:color w:val="005DA1"/>
          <w:vertAlign w:val="baseline"/>
        </w:rPr>
        <w:t> </w:t>
      </w:r>
      <w:r>
        <w:rPr>
          <w:vertAlign w:val="baseline"/>
        </w:rPr>
        <w:t>and was later extended to </w:t>
      </w:r>
      <w:r>
        <w:rPr>
          <w:vertAlign w:val="baseline"/>
        </w:rPr>
        <w:t>discrimination </w:t>
      </w:r>
      <w:bookmarkStart w:name="_bookmark419" w:id="421"/>
      <w:bookmarkEnd w:id="421"/>
      <w:r>
        <w:rPr>
          <w:vertAlign w:val="baseline"/>
        </w:rPr>
        <w:t>on</w:t>
      </w:r>
      <w:r>
        <w:rPr>
          <w:vertAlign w:val="baseline"/>
        </w:rPr>
        <w:t> the grounds of disability of the would-be contractor, </w:t>
      </w:r>
      <w:r>
        <w:rPr>
          <w:color w:val="005DA1"/>
          <w:u w:val="single" w:color="005DA1"/>
          <w:vertAlign w:val="superscript"/>
        </w:rPr>
        <w:t>248</w:t>
      </w:r>
      <w:r>
        <w:rPr>
          <w:color w:val="005DA1"/>
          <w:vertAlign w:val="baseline"/>
        </w:rPr>
        <w:t> </w:t>
      </w:r>
      <w:r>
        <w:rPr>
          <w:vertAlign w:val="baseline"/>
        </w:rPr>
        <w:t>and, in the context of employment, </w:t>
      </w:r>
      <w:bookmarkStart w:name="_bookmark420" w:id="422"/>
      <w:bookmarkEnd w:id="422"/>
      <w:r>
        <w:rPr>
          <w:vertAlign w:val="baseline"/>
        </w:rPr>
        <w:t>prohibitions</w:t>
      </w:r>
      <w:r>
        <w:rPr>
          <w:vertAlign w:val="baseline"/>
        </w:rPr>
        <w:t> on discrimination on the ground of a person’s sexual orientation, </w:t>
      </w:r>
      <w:r>
        <w:rPr>
          <w:color w:val="005DA1"/>
          <w:u w:val="single" w:color="005DA1"/>
          <w:vertAlign w:val="superscript"/>
        </w:rPr>
        <w:t>249</w:t>
      </w:r>
      <w:r>
        <w:rPr>
          <w:color w:val="005DA1"/>
          <w:vertAlign w:val="baseline"/>
        </w:rPr>
        <w:t> </w:t>
      </w:r>
      <w:r>
        <w:rPr>
          <w:vertAlign w:val="baseline"/>
        </w:rPr>
        <w:t>religion or belief, </w:t>
      </w:r>
      <w:r>
        <w:rPr>
          <w:color w:val="005DA1"/>
          <w:u w:val="single" w:color="005DA1"/>
          <w:vertAlign w:val="superscript"/>
        </w:rPr>
        <w:t>250</w:t>
      </w:r>
      <w:r>
        <w:rPr>
          <w:color w:val="005DA1"/>
          <w:vertAlign w:val="baseline"/>
        </w:rPr>
        <w:t> </w:t>
      </w:r>
      <w:r>
        <w:rPr>
          <w:vertAlign w:val="baseline"/>
        </w:rPr>
        <w:t>and age. </w:t>
      </w:r>
      <w:r>
        <w:rPr>
          <w:color w:val="005DA1"/>
          <w:u w:val="single" w:color="005DA1"/>
          <w:vertAlign w:val="superscript"/>
        </w:rPr>
        <w:t>251</w:t>
      </w:r>
      <w:r>
        <w:rPr>
          <w:color w:val="005DA1"/>
          <w:vertAlign w:val="baseline"/>
        </w:rPr>
        <w:t> </w:t>
      </w:r>
      <w:r>
        <w:rPr>
          <w:vertAlign w:val="baseline"/>
        </w:rPr>
        <w:t>However, the Equality Act 2010 subjected this earlier law of discrimination to</w:t>
      </w:r>
      <w:r>
        <w:rPr>
          <w:spacing w:val="40"/>
          <w:vertAlign w:val="baseline"/>
        </w:rPr>
        <w:t> </w:t>
      </w:r>
      <w:r>
        <w:rPr>
          <w:vertAlign w:val="baseline"/>
        </w:rPr>
        <w:t>considerable legislative consolidation, reframing and reform. A full discussion of the scope of this important legislation would be beyond the scope of the present work, but the general scheme of the new legislation is as follows. A key new concept is “protected characteristics”, which are set out by</w:t>
      </w:r>
      <w:r>
        <w:rPr>
          <w:spacing w:val="80"/>
          <w:vertAlign w:val="baseline"/>
        </w:rPr>
        <w:t> </w:t>
      </w:r>
      <w:bookmarkStart w:name="_bookmark421" w:id="423"/>
      <w:bookmarkEnd w:id="423"/>
      <w:r>
        <w:rPr>
          <w:vertAlign w:val="baseline"/>
        </w:rPr>
        <w:t>the</w:t>
      </w:r>
      <w:r>
        <w:rPr>
          <w:vertAlign w:val="baseline"/>
        </w:rPr>
        <w:t> Act: age; disability; gender reassignment; marriage and civil partnership; pregnancy and</w:t>
      </w:r>
      <w:r>
        <w:rPr>
          <w:spacing w:val="40"/>
          <w:vertAlign w:val="baseline"/>
        </w:rPr>
        <w:t> </w:t>
      </w:r>
      <w:r>
        <w:rPr>
          <w:vertAlign w:val="baseline"/>
        </w:rPr>
        <w:t>maternity; race; religion or belief; sex; and sexual orientation. </w:t>
      </w:r>
      <w:r>
        <w:rPr>
          <w:color w:val="005DA1"/>
          <w:u w:val="single" w:color="005DA1"/>
          <w:vertAlign w:val="superscript"/>
        </w:rPr>
        <w:t>252</w:t>
      </w:r>
      <w:r>
        <w:rPr>
          <w:color w:val="005DA1"/>
          <w:vertAlign w:val="baseline"/>
        </w:rPr>
        <w:t> </w:t>
      </w:r>
      <w:r>
        <w:rPr>
          <w:vertAlign w:val="baseline"/>
        </w:rPr>
        <w:t>The Act then defines and explains </w:t>
      </w:r>
      <w:bookmarkStart w:name="_bookmark422" w:id="424"/>
      <w:bookmarkEnd w:id="424"/>
      <w:r>
        <w:rPr>
          <w:vertAlign w:val="baseline"/>
        </w:rPr>
        <w:t>“prohibited</w:t>
      </w:r>
      <w:r>
        <w:rPr>
          <w:vertAlign w:val="baseline"/>
        </w:rPr>
        <w:t> conduct” in relation to these protected characteristics, which includes “direct and indirect discrimination, harassment and victimisation”. </w:t>
      </w:r>
      <w:r>
        <w:rPr>
          <w:color w:val="005DA1"/>
          <w:u w:val="single" w:color="005DA1"/>
          <w:vertAlign w:val="superscript"/>
        </w:rPr>
        <w:t>253</w:t>
      </w:r>
      <w:r>
        <w:rPr>
          <w:color w:val="005DA1"/>
          <w:vertAlign w:val="baseline"/>
        </w:rPr>
        <w:t> </w:t>
      </w:r>
      <w:r>
        <w:rPr>
          <w:vertAlign w:val="baseline"/>
        </w:rPr>
        <w:t>The Act sets out the extent to which and how the various “protected characteristics” are protected against the different types of prohibited conduct, </w:t>
      </w:r>
      <w:bookmarkStart w:name="_bookmark423" w:id="425"/>
      <w:bookmarkEnd w:id="425"/>
      <w:r>
        <w:rPr>
          <w:vertAlign w:val="baseline"/>
        </w:rPr>
        <w:t>notably,</w:t>
      </w:r>
      <w:r>
        <w:rPr>
          <w:spacing w:val="-1"/>
          <w:vertAlign w:val="baseline"/>
        </w:rPr>
        <w:t> </w:t>
      </w:r>
      <w:r>
        <w:rPr>
          <w:vertAlign w:val="baseline"/>
        </w:rPr>
        <w:t>for</w:t>
      </w:r>
      <w:r>
        <w:rPr>
          <w:spacing w:val="-1"/>
          <w:vertAlign w:val="baseline"/>
        </w:rPr>
        <w:t> </w:t>
      </w:r>
      <w:r>
        <w:rPr>
          <w:vertAlign w:val="baseline"/>
        </w:rPr>
        <w:t>present</w:t>
      </w:r>
      <w:r>
        <w:rPr>
          <w:spacing w:val="-1"/>
          <w:vertAlign w:val="baseline"/>
        </w:rPr>
        <w:t> </w:t>
      </w:r>
      <w:r>
        <w:rPr>
          <w:vertAlign w:val="baseline"/>
        </w:rPr>
        <w:t>purposes,</w:t>
      </w:r>
      <w:r>
        <w:rPr>
          <w:spacing w:val="-1"/>
          <w:vertAlign w:val="baseline"/>
        </w:rPr>
        <w:t> </w:t>
      </w:r>
      <w:r>
        <w:rPr>
          <w:vertAlign w:val="baseline"/>
        </w:rPr>
        <w:t>in</w:t>
      </w:r>
      <w:r>
        <w:rPr>
          <w:spacing w:val="-1"/>
          <w:vertAlign w:val="baseline"/>
        </w:rPr>
        <w:t> </w:t>
      </w:r>
      <w:r>
        <w:rPr>
          <w:vertAlign w:val="baseline"/>
        </w:rPr>
        <w:t>relation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provision</w:t>
      </w:r>
      <w:r>
        <w:rPr>
          <w:spacing w:val="-1"/>
          <w:vertAlign w:val="baseline"/>
        </w:rPr>
        <w:t> </w:t>
      </w:r>
      <w:r>
        <w:rPr>
          <w:vertAlign w:val="baseline"/>
        </w:rPr>
        <w:t>of</w:t>
      </w:r>
      <w:r>
        <w:rPr>
          <w:spacing w:val="-1"/>
          <w:vertAlign w:val="baseline"/>
        </w:rPr>
        <w:t> </w:t>
      </w:r>
      <w:r>
        <w:rPr>
          <w:vertAlign w:val="baseline"/>
        </w:rPr>
        <w:t>public</w:t>
      </w:r>
      <w:r>
        <w:rPr>
          <w:spacing w:val="-1"/>
          <w:vertAlign w:val="baseline"/>
        </w:rPr>
        <w:t> </w:t>
      </w:r>
      <w:r>
        <w:rPr>
          <w:vertAlign w:val="baseline"/>
        </w:rPr>
        <w:t>services</w:t>
      </w:r>
      <w:r>
        <w:rPr>
          <w:spacing w:val="-1"/>
          <w:vertAlign w:val="baseline"/>
        </w:rPr>
        <w:t> </w:t>
      </w:r>
      <w:r>
        <w:rPr>
          <w:vertAlign w:val="baseline"/>
        </w:rPr>
        <w:t>(which</w:t>
      </w:r>
      <w:r>
        <w:rPr>
          <w:spacing w:val="-1"/>
          <w:vertAlign w:val="baseline"/>
        </w:rPr>
        <w:t> </w:t>
      </w:r>
      <w:r>
        <w:rPr>
          <w:vertAlign w:val="baseline"/>
        </w:rPr>
        <w:t>includes</w:t>
      </w:r>
      <w:r>
        <w:rPr>
          <w:spacing w:val="-1"/>
          <w:vertAlign w:val="baseline"/>
        </w:rPr>
        <w:t> </w:t>
      </w:r>
      <w:r>
        <w:rPr>
          <w:vertAlign w:val="baseline"/>
        </w:rPr>
        <w:t>goods</w:t>
      </w:r>
      <w:r>
        <w:rPr>
          <w:spacing w:val="-1"/>
          <w:vertAlign w:val="baseline"/>
        </w:rPr>
        <w:t> </w:t>
      </w:r>
      <w:r>
        <w:rPr>
          <w:vertAlign w:val="baseline"/>
        </w:rPr>
        <w:t>and </w:t>
      </w:r>
      <w:bookmarkStart w:name="_bookmark424" w:id="426"/>
      <w:bookmarkEnd w:id="426"/>
      <w:r>
        <w:rPr>
          <w:vertAlign w:val="baseline"/>
        </w:rPr>
        <w:t>facilities)</w:t>
      </w:r>
      <w:r>
        <w:rPr>
          <w:vertAlign w:val="baseline"/>
        </w:rPr>
        <w:t> </w:t>
      </w:r>
      <w:r>
        <w:rPr>
          <w:color w:val="005DA1"/>
          <w:u w:val="single" w:color="005DA1"/>
          <w:vertAlign w:val="superscript"/>
        </w:rPr>
        <w:t>254</w:t>
      </w:r>
      <w:r>
        <w:rPr>
          <w:vertAlign w:val="baseline"/>
        </w:rPr>
        <w:t>; the disposal of premises </w:t>
      </w:r>
      <w:r>
        <w:rPr>
          <w:color w:val="005DA1"/>
          <w:u w:val="single" w:color="005DA1"/>
          <w:vertAlign w:val="superscript"/>
        </w:rPr>
        <w:t>255</w:t>
      </w:r>
      <w:r>
        <w:rPr>
          <w:vertAlign w:val="baseline"/>
        </w:rPr>
        <w:t>; work, including provisions governing employment and </w:t>
      </w:r>
      <w:bookmarkStart w:name="_bookmark425" w:id="427"/>
      <w:bookmarkEnd w:id="427"/>
      <w:r>
        <w:rPr>
          <w:vertAlign w:val="baseline"/>
        </w:rPr>
        <w:t>partnerships</w:t>
      </w:r>
      <w:r>
        <w:rPr>
          <w:vertAlign w:val="baseline"/>
        </w:rPr>
        <w:t> </w:t>
      </w:r>
      <w:r>
        <w:rPr>
          <w:color w:val="005DA1"/>
          <w:u w:val="single" w:color="005DA1"/>
          <w:vertAlign w:val="superscript"/>
        </w:rPr>
        <w:t>256</w:t>
      </w:r>
      <w:r>
        <w:rPr>
          <w:vertAlign w:val="baseline"/>
        </w:rPr>
        <w:t>; education </w:t>
      </w:r>
      <w:r>
        <w:rPr>
          <w:color w:val="005DA1"/>
          <w:u w:val="single" w:color="005DA1"/>
          <w:vertAlign w:val="superscript"/>
        </w:rPr>
        <w:t>257</w:t>
      </w:r>
      <w:r>
        <w:rPr>
          <w:vertAlign w:val="baseline"/>
        </w:rPr>
        <w:t>; and associations. </w:t>
      </w:r>
      <w:r>
        <w:rPr>
          <w:color w:val="005DA1"/>
          <w:u w:val="single" w:color="005DA1"/>
          <w:vertAlign w:val="superscript"/>
        </w:rPr>
        <w:t>258</w:t>
      </w:r>
      <w:r>
        <w:rPr>
          <w:color w:val="005DA1"/>
          <w:vertAlign w:val="baseline"/>
        </w:rPr>
        <w:t> </w:t>
      </w:r>
      <w:r>
        <w:rPr>
          <w:vertAlign w:val="baseline"/>
        </w:rPr>
        <w:t>Provision is made for the relationship of the Act’s rules on discrimination and contracts, </w:t>
      </w:r>
      <w:r>
        <w:rPr>
          <w:color w:val="005DA1"/>
          <w:u w:val="single" w:color="005DA1"/>
          <w:vertAlign w:val="superscript"/>
        </w:rPr>
        <w:t>259</w:t>
      </w:r>
      <w:r>
        <w:rPr>
          <w:color w:val="005DA1"/>
          <w:vertAlign w:val="baseline"/>
        </w:rPr>
        <w:t> </w:t>
      </w:r>
      <w:r>
        <w:rPr>
          <w:vertAlign w:val="baseline"/>
        </w:rPr>
        <w:t>including a general provision to the effect that:</w:t>
      </w:r>
    </w:p>
    <w:p>
      <w:pPr>
        <w:pStyle w:val="BodyText"/>
      </w:pPr>
    </w:p>
    <w:p>
      <w:pPr>
        <w:pStyle w:val="BodyText"/>
        <w:spacing w:before="120"/>
      </w:pPr>
    </w:p>
    <w:p>
      <w:pPr>
        <w:pStyle w:val="BodyText"/>
        <w:spacing w:line="235" w:lineRule="auto"/>
        <w:ind w:left="1545" w:right="167"/>
        <w:jc w:val="both"/>
      </w:pPr>
      <w:r>
        <w:rPr/>
        <w:t>“[a] term of a contract is unenforceable against a person in so far as it </w:t>
      </w:r>
      <w:r>
        <w:rPr/>
        <w:t>constitutes, </w:t>
      </w:r>
      <w:bookmarkStart w:name="_bookmark426" w:id="428"/>
      <w:bookmarkEnd w:id="428"/>
      <w:r>
        <w:rPr/>
        <w:t>promotes</w:t>
      </w:r>
      <w:r>
        <w:rPr/>
        <w:t> or provides for treatment of that or another person that is of a description prohibited by this Act.” </w:t>
      </w:r>
      <w:r>
        <w:rPr>
          <w:color w:val="005DA1"/>
          <w:u w:val="single" w:color="005DA1"/>
          <w:vertAlign w:val="superscript"/>
        </w:rPr>
        <w:t>260</w:t>
      </w:r>
    </w:p>
    <w:p>
      <w:pPr>
        <w:pStyle w:val="BodyText"/>
      </w:pPr>
    </w:p>
    <w:p>
      <w:pPr>
        <w:pStyle w:val="BodyText"/>
      </w:pPr>
    </w:p>
    <w:p>
      <w:pPr>
        <w:pStyle w:val="BodyText"/>
        <w:spacing w:before="154"/>
      </w:pPr>
    </w:p>
    <w:p>
      <w:pPr>
        <w:pStyle w:val="ListParagraph"/>
        <w:numPr>
          <w:ilvl w:val="0"/>
          <w:numId w:val="3"/>
        </w:numPr>
        <w:tabs>
          <w:tab w:pos="484" w:val="left" w:leader="none"/>
        </w:tabs>
        <w:spacing w:line="240" w:lineRule="auto" w:before="0" w:after="0"/>
        <w:ind w:left="484" w:right="0" w:hanging="319"/>
        <w:jc w:val="left"/>
        <w:rPr>
          <w:b/>
          <w:sz w:val="18"/>
        </w:rPr>
      </w:pPr>
      <w:r>
        <w:rPr>
          <w:b/>
          <w:sz w:val="18"/>
        </w:rPr>
        <w:t>Restricted freedom as to </w:t>
      </w:r>
      <w:r>
        <w:rPr>
          <w:b/>
          <w:spacing w:val="-2"/>
          <w:sz w:val="18"/>
        </w:rPr>
        <w:t>terms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034</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Moreover, even where, as in the majority of cases, a person is free to decide whether to enter a particular contract, he or she is not free to determine on what terms to do so. First, many contracts, whether between two commercial parties or between such a party and a consumer, are made on </w:t>
      </w:r>
      <w:r>
        <w:rPr/>
        <w:t>the </w:t>
      </w:r>
      <w:bookmarkStart w:name="_bookmark427" w:id="429"/>
      <w:bookmarkEnd w:id="429"/>
      <w:r>
        <w:rPr/>
        <w:t>written</w:t>
      </w:r>
      <w:r>
        <w:rPr/>
        <w:t> standard terms of one of the parties in such circumstances that it is all but impossible for them to be varied, </w:t>
      </w:r>
      <w:r>
        <w:rPr>
          <w:color w:val="005DA1"/>
          <w:u w:val="single" w:color="005DA1"/>
          <w:vertAlign w:val="superscript"/>
        </w:rPr>
        <w:t>261</w:t>
      </w:r>
      <w:r>
        <w:rPr>
          <w:color w:val="005DA1"/>
          <w:vertAlign w:val="baseline"/>
        </w:rPr>
        <w:t> </w:t>
      </w:r>
      <w:r>
        <w:rPr>
          <w:vertAlign w:val="baseline"/>
        </w:rPr>
        <w:t>a phenomenon which led French commentators to refer to such transactions as </w:t>
      </w:r>
      <w:bookmarkStart w:name="_bookmark428" w:id="430"/>
      <w:bookmarkEnd w:id="430"/>
      <w:r>
        <w:rPr>
          <w:vertAlign w:val="baseline"/>
        </w:rPr>
        <w:t>contrats</w:t>
      </w:r>
      <w:r>
        <w:rPr>
          <w:vertAlign w:val="baseline"/>
        </w:rPr>
        <w:t> d’adhésion. Similarly, the terms of employees’ contracts of employment may be determined </w:t>
      </w:r>
      <w:bookmarkStart w:name="_bookmark429" w:id="431"/>
      <w:bookmarkEnd w:id="431"/>
      <w:r>
        <w:rPr>
          <w:vertAlign w:val="baseline"/>
        </w:rPr>
        <w:t>by</w:t>
      </w:r>
      <w:r>
        <w:rPr>
          <w:vertAlign w:val="baseline"/>
        </w:rPr>
        <w:t> agreement between their trade union and their employer, </w:t>
      </w:r>
      <w:r>
        <w:rPr>
          <w:color w:val="005DA1"/>
          <w:u w:val="single" w:color="005DA1"/>
          <w:vertAlign w:val="superscript"/>
        </w:rPr>
        <w:t>262</w:t>
      </w:r>
      <w:r>
        <w:rPr>
          <w:color w:val="005DA1"/>
          <w:vertAlign w:val="baseline"/>
        </w:rPr>
        <w:t> </w:t>
      </w:r>
      <w:r>
        <w:rPr>
          <w:vertAlign w:val="baseline"/>
        </w:rPr>
        <w:t>or by a statutory scheme of employment. </w:t>
      </w:r>
      <w:r>
        <w:rPr>
          <w:color w:val="005DA1"/>
          <w:u w:val="single" w:color="005DA1"/>
          <w:vertAlign w:val="superscript"/>
        </w:rPr>
        <w:t>263</w:t>
      </w:r>
      <w:r>
        <w:rPr>
          <w:color w:val="005DA1"/>
          <w:vertAlign w:val="baseline"/>
        </w:rPr>
        <w:t> </w:t>
      </w:r>
      <w:r>
        <w:rPr>
          <w:vertAlign w:val="baseline"/>
        </w:rPr>
        <w:t>However, in both the latter situations, despite the lack of real freedom of the parties</w:t>
      </w:r>
      <w:r>
        <w:rPr>
          <w:spacing w:val="40"/>
          <w:vertAlign w:val="baseline"/>
        </w:rPr>
        <w:t> </w:t>
      </w:r>
      <w:bookmarkStart w:name="_bookmark430" w:id="432"/>
      <w:bookmarkEnd w:id="432"/>
      <w:r>
        <w:rPr>
          <w:vertAlign w:val="baseline"/>
        </w:rPr>
        <w:t>to</w:t>
      </w:r>
      <w:r>
        <w:rPr>
          <w:vertAlign w:val="baseline"/>
        </w:rPr>
        <w:t> do other than accept or reject the whole package as it is offered to them, these types of </w:t>
      </w:r>
      <w:bookmarkStart w:name="_bookmark431" w:id="433"/>
      <w:bookmarkEnd w:id="433"/>
      <w:r>
        <w:rPr>
          <w:vertAlign w:val="baseline"/>
        </w:rPr>
        <w:t>transactions</w:t>
      </w:r>
      <w:r>
        <w:rPr>
          <w:vertAlign w:val="baseline"/>
        </w:rPr>
        <w:t> are still treated as contracts. </w:t>
      </w:r>
      <w:r>
        <w:rPr>
          <w:color w:val="005DA1"/>
          <w:u w:val="single" w:color="005DA1"/>
          <w:vertAlign w:val="superscript"/>
        </w:rPr>
        <w:t>264</w:t>
      </w:r>
      <w:r>
        <w:rPr>
          <w:color w:val="005DA1"/>
          <w:vertAlign w:val="baseline"/>
        </w:rPr>
        <w:t> </w:t>
      </w:r>
      <w:r>
        <w:rPr>
          <w:vertAlign w:val="baseline"/>
        </w:rPr>
        <w:t>Secondly, even while the courts formally stated the need </w:t>
      </w:r>
      <w:bookmarkStart w:name="_bookmark432" w:id="434"/>
      <w:bookmarkEnd w:id="434"/>
      <w:r>
        <w:rPr>
          <w:vertAlign w:val="baseline"/>
        </w:rPr>
        <w:t>for</w:t>
      </w:r>
      <w:r>
        <w:rPr>
          <w:vertAlign w:val="baseline"/>
        </w:rPr>
        <w:t> a term to be “necessary” before it will be implied into a contract, </w:t>
      </w:r>
      <w:r>
        <w:rPr>
          <w:color w:val="005DA1"/>
          <w:u w:val="single" w:color="005DA1"/>
          <w:vertAlign w:val="superscript"/>
        </w:rPr>
        <w:t>265</w:t>
      </w:r>
      <w:r>
        <w:rPr>
          <w:color w:val="005DA1"/>
          <w:vertAlign w:val="baseline"/>
        </w:rPr>
        <w:t> </w:t>
      </w:r>
      <w:r>
        <w:rPr>
          <w:vertAlign w:val="baseline"/>
        </w:rPr>
        <w:t>the courts have over the years found</w:t>
      </w:r>
      <w:r>
        <w:rPr>
          <w:spacing w:val="13"/>
          <w:vertAlign w:val="baseline"/>
        </w:rPr>
        <w:t> </w:t>
      </w:r>
      <w:r>
        <w:rPr>
          <w:vertAlign w:val="baseline"/>
        </w:rPr>
        <w:t>many</w:t>
      </w:r>
      <w:r>
        <w:rPr>
          <w:spacing w:val="13"/>
          <w:vertAlign w:val="baseline"/>
        </w:rPr>
        <w:t> </w:t>
      </w:r>
      <w:r>
        <w:rPr>
          <w:vertAlign w:val="baseline"/>
        </w:rPr>
        <w:t>such</w:t>
      </w:r>
      <w:r>
        <w:rPr>
          <w:spacing w:val="13"/>
          <w:vertAlign w:val="baseline"/>
        </w:rPr>
        <w:t> </w:t>
      </w:r>
      <w:r>
        <w:rPr>
          <w:vertAlign w:val="baseline"/>
        </w:rPr>
        <w:t>implied</w:t>
      </w:r>
      <w:r>
        <w:rPr>
          <w:spacing w:val="13"/>
          <w:vertAlign w:val="baseline"/>
        </w:rPr>
        <w:t> </w:t>
      </w:r>
      <w:r>
        <w:rPr>
          <w:vertAlign w:val="baseline"/>
        </w:rPr>
        <w:t>terms,</w:t>
      </w:r>
      <w:r>
        <w:rPr>
          <w:spacing w:val="13"/>
          <w:vertAlign w:val="baseline"/>
        </w:rPr>
        <w:t> </w:t>
      </w:r>
      <w:r>
        <w:rPr>
          <w:vertAlign w:val="baseline"/>
        </w:rPr>
        <w:t>often</w:t>
      </w:r>
      <w:r>
        <w:rPr>
          <w:spacing w:val="13"/>
          <w:vertAlign w:val="baseline"/>
        </w:rPr>
        <w:t> </w:t>
      </w:r>
      <w:r>
        <w:rPr>
          <w:vertAlign w:val="baseline"/>
        </w:rPr>
        <w:t>in</w:t>
      </w:r>
      <w:r>
        <w:rPr>
          <w:spacing w:val="13"/>
          <w:vertAlign w:val="baseline"/>
        </w:rPr>
        <w:t> </w:t>
      </w:r>
      <w:r>
        <w:rPr>
          <w:vertAlign w:val="baseline"/>
        </w:rPr>
        <w:t>situations</w:t>
      </w:r>
      <w:r>
        <w:rPr>
          <w:spacing w:val="13"/>
          <w:vertAlign w:val="baseline"/>
        </w:rPr>
        <w:t> </w:t>
      </w:r>
      <w:r>
        <w:rPr>
          <w:vertAlign w:val="baseline"/>
        </w:rPr>
        <w:t>where</w:t>
      </w:r>
      <w:r>
        <w:rPr>
          <w:spacing w:val="13"/>
          <w:vertAlign w:val="baseline"/>
        </w:rPr>
        <w:t> </w:t>
      </w:r>
      <w:r>
        <w:rPr>
          <w:vertAlign w:val="baseline"/>
        </w:rPr>
        <w:t>it</w:t>
      </w:r>
      <w:r>
        <w:rPr>
          <w:spacing w:val="13"/>
          <w:vertAlign w:val="baseline"/>
        </w:rPr>
        <w:t> </w:t>
      </w:r>
      <w:r>
        <w:rPr>
          <w:vertAlign w:val="baseline"/>
        </w:rPr>
        <w:t>is</w:t>
      </w:r>
      <w:r>
        <w:rPr>
          <w:spacing w:val="13"/>
          <w:vertAlign w:val="baseline"/>
        </w:rPr>
        <w:t> </w:t>
      </w:r>
      <w:r>
        <w:rPr>
          <w:vertAlign w:val="baseline"/>
        </w:rPr>
        <w:t>difficult</w:t>
      </w:r>
      <w:r>
        <w:rPr>
          <w:spacing w:val="13"/>
          <w:vertAlign w:val="baseline"/>
        </w:rPr>
        <w:t> </w:t>
      </w:r>
      <w:r>
        <w:rPr>
          <w:vertAlign w:val="baseline"/>
        </w:rPr>
        <w:t>to</w:t>
      </w:r>
      <w:r>
        <w:rPr>
          <w:spacing w:val="13"/>
          <w:vertAlign w:val="baseline"/>
        </w:rPr>
        <w:t> </w:t>
      </w:r>
      <w:r>
        <w:rPr>
          <w:vertAlign w:val="baseline"/>
        </w:rPr>
        <w:t>see</w:t>
      </w:r>
      <w:r>
        <w:rPr>
          <w:spacing w:val="13"/>
          <w:vertAlign w:val="baseline"/>
        </w:rPr>
        <w:t> </w:t>
      </w:r>
      <w:r>
        <w:rPr>
          <w:vertAlign w:val="baseline"/>
        </w:rPr>
        <w:t>how</w:t>
      </w:r>
      <w:r>
        <w:rPr>
          <w:spacing w:val="13"/>
          <w:vertAlign w:val="baseline"/>
        </w:rPr>
        <w:t> </w:t>
      </w:r>
      <w:r>
        <w:rPr>
          <w:vertAlign w:val="baseline"/>
        </w:rPr>
        <w:t>this</w:t>
      </w:r>
      <w:r>
        <w:rPr>
          <w:spacing w:val="13"/>
          <w:vertAlign w:val="baseline"/>
        </w:rPr>
        <w:t> </w:t>
      </w:r>
      <w:r>
        <w:rPr>
          <w:vertAlign w:val="baseline"/>
        </w:rPr>
        <w:t>test</w:t>
      </w:r>
      <w:r>
        <w:rPr>
          <w:spacing w:val="13"/>
          <w:vertAlign w:val="baseline"/>
        </w:rPr>
        <w:t> </w:t>
      </w:r>
      <w:r>
        <w:rPr>
          <w:vertAlign w:val="baseline"/>
        </w:rPr>
        <w:t>is</w:t>
      </w:r>
      <w:r>
        <w:rPr>
          <w:spacing w:val="13"/>
          <w:vertAlign w:val="baseline"/>
        </w:rPr>
        <w:t> </w:t>
      </w:r>
      <w:r>
        <w:rPr>
          <w:spacing w:val="-2"/>
          <w:vertAlign w:val="baseline"/>
        </w:rPr>
        <w:t>fulfilled,</w:t>
      </w:r>
    </w:p>
    <w:p>
      <w:pPr>
        <w:pStyle w:val="BodyText"/>
        <w:spacing w:line="222" w:lineRule="exact"/>
        <w:ind w:left="165"/>
        <w:jc w:val="both"/>
      </w:pPr>
      <w:r>
        <w:rPr>
          <w:color w:val="005DA1"/>
          <w:u w:val="single" w:color="005DA1"/>
          <w:vertAlign w:val="superscript"/>
        </w:rPr>
        <w:t>266</w:t>
      </w:r>
      <w:r>
        <w:rPr>
          <w:color w:val="005DA1"/>
          <w:spacing w:val="19"/>
          <w:vertAlign w:val="baseline"/>
        </w:rPr>
        <w:t> </w:t>
      </w:r>
      <w:bookmarkStart w:name="_bookmark433" w:id="435"/>
      <w:bookmarkEnd w:id="435"/>
      <w:r>
        <w:rPr>
          <w:color w:val="005DA1"/>
          <w:spacing w:val="21"/>
          <w:vertAlign w:val="baseline"/>
        </w:rPr>
      </w:r>
      <w:r>
        <w:rPr>
          <w:vertAlign w:val="baseline"/>
        </w:rPr>
        <w:t>thereby</w:t>
      </w:r>
      <w:r>
        <w:rPr>
          <w:spacing w:val="20"/>
          <w:vertAlign w:val="baseline"/>
        </w:rPr>
        <w:t> </w:t>
      </w:r>
      <w:r>
        <w:rPr>
          <w:vertAlign w:val="baseline"/>
        </w:rPr>
        <w:t>creating</w:t>
      </w:r>
      <w:r>
        <w:rPr>
          <w:spacing w:val="20"/>
          <w:vertAlign w:val="baseline"/>
        </w:rPr>
        <w:t> </w:t>
      </w:r>
      <w:r>
        <w:rPr>
          <w:vertAlign w:val="baseline"/>
        </w:rPr>
        <w:t>for</w:t>
      </w:r>
      <w:r>
        <w:rPr>
          <w:spacing w:val="20"/>
          <w:vertAlign w:val="baseline"/>
        </w:rPr>
        <w:t> </w:t>
      </w:r>
      <w:r>
        <w:rPr>
          <w:vertAlign w:val="baseline"/>
        </w:rPr>
        <w:t>many</w:t>
      </w:r>
      <w:r>
        <w:rPr>
          <w:spacing w:val="20"/>
          <w:vertAlign w:val="baseline"/>
        </w:rPr>
        <w:t> </w:t>
      </w:r>
      <w:r>
        <w:rPr>
          <w:vertAlign w:val="baseline"/>
        </w:rPr>
        <w:t>types</w:t>
      </w:r>
      <w:r>
        <w:rPr>
          <w:spacing w:val="20"/>
          <w:vertAlign w:val="baseline"/>
        </w:rPr>
        <w:t> </w:t>
      </w:r>
      <w:r>
        <w:rPr>
          <w:vertAlign w:val="baseline"/>
        </w:rPr>
        <w:t>of</w:t>
      </w:r>
      <w:r>
        <w:rPr>
          <w:spacing w:val="20"/>
          <w:vertAlign w:val="baseline"/>
        </w:rPr>
        <w:t> </w:t>
      </w:r>
      <w:r>
        <w:rPr>
          <w:vertAlign w:val="baseline"/>
        </w:rPr>
        <w:t>contracts</w:t>
      </w:r>
      <w:r>
        <w:rPr>
          <w:spacing w:val="20"/>
          <w:vertAlign w:val="baseline"/>
        </w:rPr>
        <w:t> </w:t>
      </w:r>
      <w:r>
        <w:rPr>
          <w:vertAlign w:val="baseline"/>
        </w:rPr>
        <w:t>the</w:t>
      </w:r>
      <w:r>
        <w:rPr>
          <w:spacing w:val="20"/>
          <w:vertAlign w:val="baseline"/>
        </w:rPr>
        <w:t> </w:t>
      </w:r>
      <w:r>
        <w:rPr>
          <w:vertAlign w:val="baseline"/>
        </w:rPr>
        <w:t>“legal</w:t>
      </w:r>
      <w:r>
        <w:rPr>
          <w:spacing w:val="20"/>
          <w:vertAlign w:val="baseline"/>
        </w:rPr>
        <w:t> </w:t>
      </w:r>
      <w:r>
        <w:rPr>
          <w:vertAlign w:val="baseline"/>
        </w:rPr>
        <w:t>incidents</w:t>
      </w:r>
      <w:r>
        <w:rPr>
          <w:spacing w:val="20"/>
          <w:vertAlign w:val="baseline"/>
        </w:rPr>
        <w:t> </w:t>
      </w:r>
      <w:r>
        <w:rPr>
          <w:vertAlign w:val="baseline"/>
        </w:rPr>
        <w:t>of</w:t>
      </w:r>
      <w:r>
        <w:rPr>
          <w:spacing w:val="19"/>
          <w:vertAlign w:val="baseline"/>
        </w:rPr>
        <w:t> </w:t>
      </w:r>
      <w:r>
        <w:rPr>
          <w:vertAlign w:val="baseline"/>
        </w:rPr>
        <w:t>those</w:t>
      </w:r>
      <w:r>
        <w:rPr>
          <w:spacing w:val="20"/>
          <w:vertAlign w:val="baseline"/>
        </w:rPr>
        <w:t> </w:t>
      </w:r>
      <w:r>
        <w:rPr>
          <w:vertAlign w:val="baseline"/>
        </w:rPr>
        <w:t>…</w:t>
      </w:r>
      <w:r>
        <w:rPr>
          <w:spacing w:val="20"/>
          <w:vertAlign w:val="baseline"/>
        </w:rPr>
        <w:t> </w:t>
      </w:r>
      <w:r>
        <w:rPr>
          <w:vertAlign w:val="baseline"/>
        </w:rPr>
        <w:t>kinds</w:t>
      </w:r>
      <w:r>
        <w:rPr>
          <w:spacing w:val="20"/>
          <w:vertAlign w:val="baseline"/>
        </w:rPr>
        <w:t> </w:t>
      </w:r>
      <w:r>
        <w:rPr>
          <w:vertAlign w:val="baseline"/>
        </w:rPr>
        <w:t>of</w:t>
      </w:r>
      <w:r>
        <w:rPr>
          <w:spacing w:val="20"/>
          <w:vertAlign w:val="baseline"/>
        </w:rPr>
        <w:t> </w:t>
      </w:r>
      <w:r>
        <w:rPr>
          <w:spacing w:val="-2"/>
          <w:vertAlign w:val="baseline"/>
        </w:rPr>
        <w:t>contractual</w:t>
      </w:r>
    </w:p>
    <w:p>
      <w:pPr>
        <w:pStyle w:val="BodyText"/>
        <w:spacing w:before="115"/>
        <w:ind w:left="165"/>
        <w:jc w:val="both"/>
      </w:pPr>
      <w:r>
        <w:rPr/>
        <w:t>relationship”.</w:t>
      </w:r>
      <w:r>
        <w:rPr>
          <w:spacing w:val="-6"/>
        </w:rPr>
        <w:t> </w:t>
      </w:r>
      <w:r>
        <w:rPr>
          <w:color w:val="005DA1"/>
          <w:u w:val="single" w:color="005DA1"/>
          <w:vertAlign w:val="superscript"/>
        </w:rPr>
        <w:t>267</w:t>
      </w:r>
      <w:r>
        <w:rPr>
          <w:color w:val="005DA1"/>
          <w:spacing w:val="77"/>
          <w:w w:val="150"/>
          <w:vertAlign w:val="baseline"/>
        </w:rPr>
        <w:t> </w:t>
      </w:r>
      <w:r>
        <w:rPr>
          <w:color w:val="005DA1"/>
          <w:position w:val="-2"/>
          <w:vertAlign w:val="baseline"/>
        </w:rPr>
        <w:drawing>
          <wp:inline distT="0" distB="0" distL="0" distR="0">
            <wp:extent cx="107988" cy="107988"/>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3"/>
          <w:vertAlign w:val="baseline"/>
        </w:rPr>
        <w:t> </w:t>
      </w:r>
      <w:r>
        <w:rPr>
          <w:vertAlign w:val="baseline"/>
        </w:rPr>
        <w:t>According</w:t>
      </w:r>
      <w:r>
        <w:rPr>
          <w:spacing w:val="-2"/>
          <w:vertAlign w:val="baseline"/>
        </w:rPr>
        <w:t> </w:t>
      </w:r>
      <w:r>
        <w:rPr>
          <w:vertAlign w:val="baseline"/>
        </w:rPr>
        <w:t>to</w:t>
      </w:r>
      <w:r>
        <w:rPr>
          <w:spacing w:val="-2"/>
          <w:vertAlign w:val="baseline"/>
        </w:rPr>
        <w:t> </w:t>
      </w:r>
      <w:r>
        <w:rPr>
          <w:vertAlign w:val="baseline"/>
        </w:rPr>
        <w:t>one</w:t>
      </w:r>
      <w:r>
        <w:rPr>
          <w:spacing w:val="-2"/>
          <w:vertAlign w:val="baseline"/>
        </w:rPr>
        <w:t> author:</w:t>
      </w:r>
    </w:p>
    <w:p>
      <w:pPr>
        <w:pStyle w:val="BodyText"/>
      </w:pPr>
    </w:p>
    <w:p>
      <w:pPr>
        <w:pStyle w:val="BodyText"/>
        <w:spacing w:before="126"/>
      </w:pPr>
    </w:p>
    <w:p>
      <w:pPr>
        <w:pStyle w:val="BodyText"/>
        <w:spacing w:line="235" w:lineRule="auto"/>
        <w:ind w:left="1545" w:right="167"/>
        <w:jc w:val="both"/>
      </w:pPr>
      <w:r>
        <w:rPr/>
        <w:t>“Faced with a problem in contract, the Common lawyer is as likely as not to try to</w:t>
      </w:r>
      <w:r>
        <w:rPr>
          <w:spacing w:val="40"/>
        </w:rPr>
        <w:t> </w:t>
      </w:r>
      <w:r>
        <w:rPr/>
        <w:t>solve</w:t>
      </w:r>
      <w:r>
        <w:rPr>
          <w:spacing w:val="-2"/>
        </w:rPr>
        <w:t> </w:t>
      </w:r>
      <w:r>
        <w:rPr/>
        <w:t>it</w:t>
      </w:r>
      <w:r>
        <w:rPr>
          <w:spacing w:val="-2"/>
        </w:rPr>
        <w:t> </w:t>
      </w:r>
      <w:r>
        <w:rPr/>
        <w:t>with</w:t>
      </w:r>
      <w:r>
        <w:rPr>
          <w:spacing w:val="-2"/>
        </w:rPr>
        <w:t> </w:t>
      </w:r>
      <w:r>
        <w:rPr/>
        <w:t>an</w:t>
      </w:r>
      <w:r>
        <w:rPr>
          <w:spacing w:val="-2"/>
        </w:rPr>
        <w:t> </w:t>
      </w:r>
      <w:r>
        <w:rPr/>
        <w:t>implied</w:t>
      </w:r>
      <w:r>
        <w:rPr>
          <w:spacing w:val="-2"/>
        </w:rPr>
        <w:t> </w:t>
      </w:r>
      <w:r>
        <w:rPr/>
        <w:t>term.</w:t>
      </w:r>
      <w:r>
        <w:rPr>
          <w:spacing w:val="-2"/>
        </w:rPr>
        <w:t> </w:t>
      </w:r>
      <w:r>
        <w:rPr/>
        <w:t>[In</w:t>
      </w:r>
      <w:r>
        <w:rPr>
          <w:spacing w:val="-2"/>
        </w:rPr>
        <w:t> </w:t>
      </w:r>
      <w:r>
        <w:rPr/>
        <w:t>contrast,]</w:t>
      </w:r>
      <w:r>
        <w:rPr>
          <w:spacing w:val="-2"/>
        </w:rPr>
        <w:t> </w:t>
      </w:r>
      <w:r>
        <w:rPr/>
        <w:t>the</w:t>
      </w:r>
      <w:r>
        <w:rPr>
          <w:spacing w:val="-2"/>
        </w:rPr>
        <w:t> </w:t>
      </w:r>
      <w:r>
        <w:rPr/>
        <w:t>Civil</w:t>
      </w:r>
      <w:r>
        <w:rPr>
          <w:spacing w:val="-2"/>
        </w:rPr>
        <w:t> </w:t>
      </w:r>
      <w:r>
        <w:rPr/>
        <w:t>lawyer</w:t>
      </w:r>
      <w:r>
        <w:rPr>
          <w:spacing w:val="-2"/>
        </w:rPr>
        <w:t> </w:t>
      </w:r>
      <w:r>
        <w:rPr/>
        <w:t>will</w:t>
      </w:r>
      <w:r>
        <w:rPr>
          <w:spacing w:val="-2"/>
        </w:rPr>
        <w:t> </w:t>
      </w:r>
      <w:r>
        <w:rPr/>
        <w:t>probably</w:t>
      </w:r>
      <w:r>
        <w:rPr>
          <w:spacing w:val="-2"/>
        </w:rPr>
        <w:t> </w:t>
      </w:r>
      <w:r>
        <w:rPr/>
        <w:t>resort</w:t>
      </w:r>
      <w:r>
        <w:rPr>
          <w:spacing w:val="-2"/>
        </w:rPr>
        <w:t> </w:t>
      </w:r>
      <w:r>
        <w:rPr/>
        <w:t>to</w:t>
      </w:r>
      <w:r>
        <w:rPr>
          <w:spacing w:val="-2"/>
        </w:rPr>
        <w:t> </w:t>
      </w:r>
      <w:r>
        <w:rPr/>
        <w:t>a</w:t>
      </w:r>
      <w:r>
        <w:rPr>
          <w:spacing w:val="-2"/>
        </w:rPr>
        <w:t> </w:t>
      </w:r>
      <w:r>
        <w:rPr/>
        <w:t>rule, </w:t>
      </w:r>
      <w:bookmarkStart w:name="_bookmark434" w:id="436"/>
      <w:bookmarkEnd w:id="436"/>
      <w:r>
        <w:rPr/>
        <w:t>whether</w:t>
      </w:r>
      <w:r>
        <w:rPr/>
        <w:t> it be a broad and fundamental precept such as the German requirement </w:t>
      </w:r>
      <w:r>
        <w:rPr/>
        <w:t>of </w:t>
      </w:r>
      <w:bookmarkStart w:name="_bookmark435" w:id="437"/>
      <w:bookmarkEnd w:id="437"/>
      <w:r>
        <w:rPr/>
        <w:t>good</w:t>
      </w:r>
      <w:r>
        <w:rPr/>
        <w:t> faith </w:t>
      </w:r>
      <w:r>
        <w:rPr>
          <w:color w:val="005DA1"/>
          <w:u w:val="single" w:color="005DA1"/>
          <w:vertAlign w:val="superscript"/>
        </w:rPr>
        <w:t>268</w:t>
      </w:r>
      <w:r>
        <w:rPr>
          <w:color w:val="005DA1"/>
          <w:vertAlign w:val="baseline"/>
        </w:rPr>
        <w:t> </w:t>
      </w:r>
      <w:r>
        <w:rPr>
          <w:vertAlign w:val="baseline"/>
        </w:rPr>
        <w:t>… or one derived from the nature of obligation or contract … or, finally, one derived from the nature of the particular contract in question.” </w:t>
      </w:r>
      <w:r>
        <w:rPr>
          <w:color w:val="005DA1"/>
          <w:u w:val="single" w:color="005DA1"/>
          <w:vertAlign w:val="superscript"/>
        </w:rPr>
        <w:t>269</w:t>
      </w:r>
    </w:p>
    <w:p>
      <w:pPr>
        <w:pStyle w:val="BodyText"/>
        <w:spacing w:before="115"/>
      </w:pPr>
    </w:p>
    <w:p>
      <w:pPr>
        <w:pStyle w:val="BodyText"/>
        <w:spacing w:line="235" w:lineRule="auto"/>
        <w:ind w:left="165" w:right="167"/>
        <w:jc w:val="both"/>
      </w:pPr>
      <w:bookmarkStart w:name="_bookmark436" w:id="438"/>
      <w:bookmarkEnd w:id="438"/>
      <w:r>
        <w:rPr/>
      </w:r>
      <w:bookmarkStart w:name="_bookmark437" w:id="439"/>
      <w:bookmarkEnd w:id="439"/>
      <w:r>
        <w:rPr/>
      </w:r>
      <w:r>
        <w:rPr/>
        <w:t>While some judicially implied terms have been recognised by statute, </w:t>
      </w:r>
      <w:r>
        <w:rPr>
          <w:color w:val="005DA1"/>
          <w:u w:val="single" w:color="005DA1"/>
          <w:vertAlign w:val="superscript"/>
        </w:rPr>
        <w:t>270</w:t>
      </w:r>
      <w:r>
        <w:rPr>
          <w:color w:val="005DA1"/>
          <w:vertAlign w:val="baseline"/>
        </w:rPr>
        <w:t> </w:t>
      </w:r>
      <w:r>
        <w:rPr>
          <w:vertAlign w:val="baseline"/>
        </w:rPr>
        <w:t>many remain a matter </w:t>
      </w:r>
      <w:r>
        <w:rPr>
          <w:vertAlign w:val="baseline"/>
        </w:rPr>
        <w:t>of common</w:t>
      </w:r>
      <w:r>
        <w:rPr>
          <w:spacing w:val="7"/>
          <w:vertAlign w:val="baseline"/>
        </w:rPr>
        <w:t> </w:t>
      </w:r>
      <w:r>
        <w:rPr>
          <w:vertAlign w:val="baseline"/>
        </w:rPr>
        <w:t>law,</w:t>
      </w:r>
      <w:r>
        <w:rPr>
          <w:spacing w:val="7"/>
          <w:vertAlign w:val="baseline"/>
        </w:rPr>
        <w:t> </w:t>
      </w:r>
      <w:r>
        <w:rPr>
          <w:vertAlign w:val="baseline"/>
        </w:rPr>
        <w:t>where</w:t>
      </w:r>
      <w:r>
        <w:rPr>
          <w:spacing w:val="7"/>
          <w:vertAlign w:val="baseline"/>
        </w:rPr>
        <w:t> </w:t>
      </w:r>
      <w:r>
        <w:rPr>
          <w:vertAlign w:val="baseline"/>
        </w:rPr>
        <w:t>they</w:t>
      </w:r>
      <w:r>
        <w:rPr>
          <w:spacing w:val="7"/>
          <w:vertAlign w:val="baseline"/>
        </w:rPr>
        <w:t> </w:t>
      </w:r>
      <w:r>
        <w:rPr>
          <w:vertAlign w:val="baseline"/>
        </w:rPr>
        <w:t>constitute</w:t>
      </w:r>
      <w:r>
        <w:rPr>
          <w:spacing w:val="7"/>
          <w:vertAlign w:val="baseline"/>
        </w:rPr>
        <w:t> </w:t>
      </w:r>
      <w:r>
        <w:rPr>
          <w:vertAlign w:val="baseline"/>
        </w:rPr>
        <w:t>an</w:t>
      </w:r>
      <w:r>
        <w:rPr>
          <w:spacing w:val="7"/>
          <w:vertAlign w:val="baseline"/>
        </w:rPr>
        <w:t> </w:t>
      </w:r>
      <w:r>
        <w:rPr>
          <w:vertAlign w:val="baseline"/>
        </w:rPr>
        <w:t>important</w:t>
      </w:r>
      <w:r>
        <w:rPr>
          <w:spacing w:val="7"/>
          <w:vertAlign w:val="baseline"/>
        </w:rPr>
        <w:t> </w:t>
      </w:r>
      <w:r>
        <w:rPr>
          <w:vertAlign w:val="baseline"/>
        </w:rPr>
        <w:t>part</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regulation</w:t>
      </w:r>
      <w:r>
        <w:rPr>
          <w:spacing w:val="7"/>
          <w:vertAlign w:val="baseline"/>
        </w:rPr>
        <w:t> </w:t>
      </w:r>
      <w:r>
        <w:rPr>
          <w:vertAlign w:val="baseline"/>
        </w:rPr>
        <w:t>of</w:t>
      </w:r>
      <w:r>
        <w:rPr>
          <w:spacing w:val="7"/>
          <w:vertAlign w:val="baseline"/>
        </w:rPr>
        <w:t> </w:t>
      </w:r>
      <w:r>
        <w:rPr>
          <w:vertAlign w:val="baseline"/>
        </w:rPr>
        <w:t>many</w:t>
      </w:r>
      <w:r>
        <w:rPr>
          <w:spacing w:val="7"/>
          <w:vertAlign w:val="baseline"/>
        </w:rPr>
        <w:t> </w:t>
      </w:r>
      <w:r>
        <w:rPr>
          <w:vertAlign w:val="baseline"/>
        </w:rPr>
        <w:t>contractors’</w:t>
      </w:r>
      <w:r>
        <w:rPr>
          <w:spacing w:val="7"/>
          <w:vertAlign w:val="baseline"/>
        </w:rPr>
        <w:t> </w:t>
      </w:r>
      <w:r>
        <w:rPr>
          <w:spacing w:val="-2"/>
          <w:vertAlign w:val="baseline"/>
        </w:rPr>
        <w:t>relations.</w:t>
      </w:r>
    </w:p>
    <w:p>
      <w:pPr>
        <w:pStyle w:val="BodyText"/>
        <w:spacing w:line="235" w:lineRule="auto"/>
        <w:ind w:left="164" w:right="167"/>
        <w:jc w:val="both"/>
      </w:pPr>
      <w:r>
        <w:rPr>
          <w:color w:val="005DA1"/>
          <w:u w:val="single" w:color="005DA1"/>
          <w:vertAlign w:val="superscript"/>
        </w:rPr>
        <w:t>271</w:t>
      </w:r>
      <w:r>
        <w:rPr>
          <w:color w:val="005DA1"/>
          <w:vertAlign w:val="baseline"/>
        </w:rPr>
        <w:t> </w:t>
      </w:r>
      <w:bookmarkStart w:name="_bookmark438" w:id="440"/>
      <w:bookmarkEnd w:id="440"/>
      <w:r>
        <w:rPr>
          <w:color w:val="005DA1"/>
          <w:spacing w:val="-15"/>
          <w:vertAlign w:val="baseline"/>
        </w:rPr>
      </w:r>
      <w:r>
        <w:rPr>
          <w:vertAlign w:val="baseline"/>
        </w:rPr>
        <w:t>Thirdly, the effects of many modern contracts are regulated by statute, sometimes by way of statutory insertion of an implied term, </w:t>
      </w:r>
      <w:r>
        <w:rPr>
          <w:color w:val="005DA1"/>
          <w:u w:val="single" w:color="005DA1"/>
          <w:vertAlign w:val="superscript"/>
        </w:rPr>
        <w:t>272</w:t>
      </w:r>
      <w:r>
        <w:rPr>
          <w:color w:val="005DA1"/>
          <w:vertAlign w:val="baseline"/>
        </w:rPr>
        <w:t> </w:t>
      </w:r>
      <w:r>
        <w:rPr>
          <w:vertAlign w:val="baseline"/>
        </w:rPr>
        <w:t>but sometimes by attaching a legal consequence directly to the</w:t>
      </w:r>
      <w:r>
        <w:rPr>
          <w:spacing w:val="4"/>
          <w:vertAlign w:val="baseline"/>
        </w:rPr>
        <w:t> </w:t>
      </w:r>
      <w:r>
        <w:rPr>
          <w:vertAlign w:val="baseline"/>
        </w:rPr>
        <w:t>conclusion</w:t>
      </w:r>
      <w:r>
        <w:rPr>
          <w:spacing w:val="4"/>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particular</w:t>
      </w:r>
      <w:r>
        <w:rPr>
          <w:spacing w:val="4"/>
          <w:vertAlign w:val="baseline"/>
        </w:rPr>
        <w:t> </w:t>
      </w:r>
      <w:r>
        <w:rPr>
          <w:vertAlign w:val="baseline"/>
        </w:rPr>
        <w:t>type</w:t>
      </w:r>
      <w:r>
        <w:rPr>
          <w:spacing w:val="4"/>
          <w:vertAlign w:val="baseline"/>
        </w:rPr>
        <w:t> </w:t>
      </w:r>
      <w:r>
        <w:rPr>
          <w:vertAlign w:val="baseline"/>
        </w:rPr>
        <w:t>of</w:t>
      </w:r>
      <w:r>
        <w:rPr>
          <w:spacing w:val="4"/>
          <w:vertAlign w:val="baseline"/>
        </w:rPr>
        <w:t> </w:t>
      </w:r>
      <w:r>
        <w:rPr>
          <w:vertAlign w:val="baseline"/>
        </w:rPr>
        <w:t>contract.</w:t>
      </w:r>
      <w:r>
        <w:rPr>
          <w:spacing w:val="4"/>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particularly</w:t>
      </w:r>
      <w:r>
        <w:rPr>
          <w:spacing w:val="4"/>
          <w:vertAlign w:val="baseline"/>
        </w:rPr>
        <w:t> </w:t>
      </w:r>
      <w:r>
        <w:rPr>
          <w:vertAlign w:val="baseline"/>
        </w:rPr>
        <w:t>noticeable</w:t>
      </w:r>
      <w:r>
        <w:rPr>
          <w:spacing w:val="4"/>
          <w:vertAlign w:val="baseline"/>
        </w:rPr>
        <w:t> </w:t>
      </w:r>
      <w:r>
        <w:rPr>
          <w:vertAlign w:val="baseline"/>
        </w:rPr>
        <w:t>as</w:t>
      </w:r>
      <w:r>
        <w:rPr>
          <w:spacing w:val="4"/>
          <w:vertAlign w:val="baseline"/>
        </w:rPr>
        <w:t> </w:t>
      </w:r>
      <w:r>
        <w:rPr>
          <w:vertAlign w:val="baseline"/>
        </w:rPr>
        <w:t>regards</w:t>
      </w:r>
      <w:r>
        <w:rPr>
          <w:spacing w:val="4"/>
          <w:vertAlign w:val="baseline"/>
        </w:rPr>
        <w:t> </w:t>
      </w:r>
      <w:r>
        <w:rPr>
          <w:vertAlign w:val="baseline"/>
        </w:rPr>
        <w:t>some</w:t>
      </w:r>
      <w:r>
        <w:rPr>
          <w:spacing w:val="4"/>
          <w:vertAlign w:val="baseline"/>
        </w:rPr>
        <w:t> </w:t>
      </w:r>
      <w:r>
        <w:rPr>
          <w:vertAlign w:val="baseline"/>
        </w:rPr>
        <w:t>types</w:t>
      </w:r>
      <w:r>
        <w:rPr>
          <w:spacing w:val="4"/>
          <w:vertAlign w:val="baseline"/>
        </w:rPr>
        <w:t> </w:t>
      </w:r>
      <w:r>
        <w:rPr>
          <w:spacing w:val="-5"/>
          <w:vertAlign w:val="baseline"/>
        </w:rPr>
        <w:t>of</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439" w:id="441"/>
      <w:bookmarkEnd w:id="441"/>
      <w:r>
        <w:rPr/>
      </w:r>
      <w:r>
        <w:rPr/>
        <w:t>contracts made by consumers, notably contracts for the sale of goods, hire purchase and </w:t>
      </w:r>
      <w:r>
        <w:rPr/>
        <w:t>consumer </w:t>
      </w:r>
      <w:bookmarkStart w:name="_bookmark440" w:id="442"/>
      <w:bookmarkEnd w:id="442"/>
      <w:r>
        <w:rPr/>
        <w:t>credit,</w:t>
      </w:r>
      <w:r>
        <w:rPr/>
        <w:t> </w:t>
      </w:r>
      <w:r>
        <w:rPr>
          <w:color w:val="005DA1"/>
          <w:u w:val="single" w:color="005DA1"/>
          <w:vertAlign w:val="superscript"/>
        </w:rPr>
        <w:t>273</w:t>
      </w:r>
      <w:r>
        <w:rPr>
          <w:color w:val="005DA1"/>
          <w:vertAlign w:val="baseline"/>
        </w:rPr>
        <w:t> </w:t>
      </w:r>
      <w:r>
        <w:rPr>
          <w:vertAlign w:val="baseline"/>
        </w:rPr>
        <w:t>where the protection which the law thereby ensures is often not capable of avoidance by an expression</w:t>
      </w:r>
      <w:r>
        <w:rPr>
          <w:spacing w:val="-3"/>
          <w:vertAlign w:val="baseline"/>
        </w:rPr>
        <w:t> </w:t>
      </w:r>
      <w:r>
        <w:rPr>
          <w:vertAlign w:val="baseline"/>
        </w:rPr>
        <w:t>of</w:t>
      </w:r>
      <w:r>
        <w:rPr>
          <w:spacing w:val="-3"/>
          <w:vertAlign w:val="baseline"/>
        </w:rPr>
        <w:t> </w:t>
      </w:r>
      <w:r>
        <w:rPr>
          <w:vertAlign w:val="baseline"/>
        </w:rPr>
        <w:t>contrary</w:t>
      </w:r>
      <w:r>
        <w:rPr>
          <w:spacing w:val="-3"/>
          <w:vertAlign w:val="baseline"/>
        </w:rPr>
        <w:t> </w:t>
      </w:r>
      <w:r>
        <w:rPr>
          <w:vertAlign w:val="baseline"/>
        </w:rPr>
        <w:t>intention.</w:t>
      </w:r>
      <w:r>
        <w:rPr>
          <w:spacing w:val="-3"/>
          <w:vertAlign w:val="baseline"/>
        </w:rPr>
        <w:t> </w:t>
      </w:r>
      <w:r>
        <w:rPr>
          <w:color w:val="005DA1"/>
          <w:u w:val="single" w:color="005DA1"/>
          <w:vertAlign w:val="superscript"/>
        </w:rPr>
        <w:t>274</w:t>
      </w:r>
      <w:r>
        <w:rPr>
          <w:color w:val="005DA1"/>
          <w:spacing w:val="-3"/>
          <w:vertAlign w:val="baseline"/>
        </w:rPr>
        <w:t> </w:t>
      </w:r>
      <w:r>
        <w:rPr>
          <w:vertAlign w:val="baseline"/>
        </w:rPr>
        <w:t>Contracts</w:t>
      </w:r>
      <w:r>
        <w:rPr>
          <w:spacing w:val="-3"/>
          <w:vertAlign w:val="baseline"/>
        </w:rPr>
        <w:t> </w:t>
      </w:r>
      <w:r>
        <w:rPr>
          <w:vertAlign w:val="baseline"/>
        </w:rPr>
        <w:t>of</w:t>
      </w:r>
      <w:r>
        <w:rPr>
          <w:spacing w:val="-3"/>
          <w:vertAlign w:val="baseline"/>
        </w:rPr>
        <w:t> </w:t>
      </w:r>
      <w:r>
        <w:rPr>
          <w:vertAlign w:val="baseline"/>
        </w:rPr>
        <w:t>employment</w:t>
      </w:r>
      <w:r>
        <w:rPr>
          <w:spacing w:val="-3"/>
          <w:vertAlign w:val="baseline"/>
        </w:rPr>
        <w:t> </w:t>
      </w:r>
      <w:r>
        <w:rPr>
          <w:vertAlign w:val="baseline"/>
        </w:rPr>
        <w:t>and</w:t>
      </w:r>
      <w:r>
        <w:rPr>
          <w:spacing w:val="-3"/>
          <w:vertAlign w:val="baseline"/>
        </w:rPr>
        <w:t> </w:t>
      </w:r>
      <w:r>
        <w:rPr>
          <w:vertAlign w:val="baseline"/>
        </w:rPr>
        <w:t>between</w:t>
      </w:r>
      <w:r>
        <w:rPr>
          <w:spacing w:val="-3"/>
          <w:vertAlign w:val="baseline"/>
        </w:rPr>
        <w:t> </w:t>
      </w:r>
      <w:r>
        <w:rPr>
          <w:vertAlign w:val="baseline"/>
        </w:rPr>
        <w:t>a</w:t>
      </w:r>
      <w:r>
        <w:rPr>
          <w:spacing w:val="-3"/>
          <w:vertAlign w:val="baseline"/>
        </w:rPr>
        <w:t> </w:t>
      </w:r>
      <w:r>
        <w:rPr>
          <w:vertAlign w:val="baseline"/>
        </w:rPr>
        <w:t>landlord</w:t>
      </w:r>
      <w:r>
        <w:rPr>
          <w:spacing w:val="-3"/>
          <w:vertAlign w:val="baseline"/>
        </w:rPr>
        <w:t> </w:t>
      </w:r>
      <w:r>
        <w:rPr>
          <w:vertAlign w:val="baseline"/>
        </w:rPr>
        <w:t>and</w:t>
      </w:r>
      <w:r>
        <w:rPr>
          <w:spacing w:val="-3"/>
          <w:vertAlign w:val="baseline"/>
        </w:rPr>
        <w:t> </w:t>
      </w:r>
      <w:r>
        <w:rPr>
          <w:vertAlign w:val="baseline"/>
        </w:rPr>
        <w:t>tenant</w:t>
      </w:r>
      <w:r>
        <w:rPr>
          <w:spacing w:val="-3"/>
          <w:vertAlign w:val="baseline"/>
        </w:rPr>
        <w:t> </w:t>
      </w:r>
      <w:r>
        <w:rPr>
          <w:vertAlign w:val="baseline"/>
        </w:rPr>
        <w:t>have also been subjected to considerable legislative regulation, to the extent that the voluntary aspect of </w:t>
      </w:r>
      <w:bookmarkStart w:name="_bookmark441" w:id="443"/>
      <w:bookmarkEnd w:id="443"/>
      <w:r>
        <w:rPr>
          <w:vertAlign w:val="baseline"/>
        </w:rPr>
        <w:t>the</w:t>
      </w:r>
      <w:r>
        <w:rPr>
          <w:vertAlign w:val="baseline"/>
        </w:rPr>
        <w:t> contract appears only to be whether or not to enter the contract, a decision which then triggers a set of obligations which are determined by the law. </w:t>
      </w:r>
      <w:r>
        <w:rPr>
          <w:color w:val="005DA1"/>
          <w:u w:val="single" w:color="005DA1"/>
          <w:vertAlign w:val="superscript"/>
        </w:rPr>
        <w:t>275</w:t>
      </w:r>
    </w:p>
    <w:p>
      <w:pPr>
        <w:pStyle w:val="BodyText"/>
      </w:pPr>
    </w:p>
    <w:p>
      <w:pPr>
        <w:pStyle w:val="BodyText"/>
        <w:spacing w:before="36"/>
      </w:pPr>
    </w:p>
    <w:p>
      <w:pPr>
        <w:pStyle w:val="ListParagraph"/>
        <w:numPr>
          <w:ilvl w:val="0"/>
          <w:numId w:val="3"/>
        </w:numPr>
        <w:tabs>
          <w:tab w:pos="484" w:val="left" w:leader="none"/>
        </w:tabs>
        <w:spacing w:line="240" w:lineRule="auto" w:before="1" w:after="0"/>
        <w:ind w:left="484" w:right="0" w:hanging="320"/>
        <w:jc w:val="left"/>
        <w:rPr>
          <w:b/>
          <w:sz w:val="18"/>
        </w:rPr>
      </w:pPr>
      <w:r>
        <w:rPr>
          <w:b/>
          <w:sz w:val="18"/>
        </w:rPr>
        <w:t>Regulation of the contractual </w:t>
      </w:r>
      <w:r>
        <w:rPr>
          <w:b/>
          <w:spacing w:val="-2"/>
          <w:sz w:val="18"/>
        </w:rPr>
        <w:t>environment</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035</w:t>
      </w:r>
    </w:p>
    <w:p>
      <w:pPr>
        <w:pStyle w:val="BodyText"/>
        <w:spacing w:line="235" w:lineRule="auto" w:before="203"/>
        <w:ind w:left="164" w:right="167"/>
        <w:jc w:val="both"/>
      </w:pPr>
      <w:r>
        <w:rPr/>
        <w:t>Other statutory techniques for the regulation of contracts are less direct. For example, one aim of </w:t>
      </w:r>
      <w:bookmarkStart w:name="_bookmark442" w:id="444"/>
      <w:bookmarkEnd w:id="444"/>
      <w:r>
        <w:rPr/>
        <w:t>modern</w:t>
      </w:r>
      <w:r>
        <w:rPr/>
        <w:t> competition law is to help ensure that no company is able to impose what terms it likes on </w:t>
      </w:r>
      <w:bookmarkStart w:name="_bookmark443" w:id="445"/>
      <w:bookmarkEnd w:id="445"/>
      <w:r>
        <w:rPr/>
        <w:t>those</w:t>
      </w:r>
      <w:r>
        <w:rPr/>
        <w:t> with whom it deals because of its “dominant position” in the market. </w:t>
      </w:r>
      <w:r>
        <w:rPr>
          <w:color w:val="005DA1"/>
          <w:u w:val="single" w:color="005DA1"/>
          <w:vertAlign w:val="superscript"/>
        </w:rPr>
        <w:t>276</w:t>
      </w:r>
      <w:r>
        <w:rPr>
          <w:color w:val="005DA1"/>
          <w:vertAlign w:val="baseline"/>
        </w:rPr>
        <w:t> </w:t>
      </w:r>
      <w:r>
        <w:rPr>
          <w:vertAlign w:val="baseline"/>
        </w:rPr>
        <w:t>This can be seen either as an intervention in the market (and therefore as interfering with the principle of freedom of contract </w:t>
      </w:r>
      <w:r>
        <w:rPr>
          <w:color w:val="005DA1"/>
          <w:u w:val="single" w:color="005DA1"/>
          <w:vertAlign w:val="superscript"/>
        </w:rPr>
        <w:t>277</w:t>
      </w:r>
      <w:r>
        <w:rPr>
          <w:vertAlign w:val="baseline"/>
        </w:rPr>
        <w:t>) or as a mechanism for ensuring that the market functions properly (and therefore as promoting freedom</w:t>
      </w:r>
      <w:r>
        <w:rPr>
          <w:spacing w:val="-1"/>
          <w:vertAlign w:val="baseline"/>
        </w:rPr>
        <w:t> </w:t>
      </w:r>
      <w:r>
        <w:rPr>
          <w:vertAlign w:val="baseline"/>
        </w:rPr>
        <w:t>of</w:t>
      </w:r>
      <w:r>
        <w:rPr>
          <w:spacing w:val="-1"/>
          <w:vertAlign w:val="baseline"/>
        </w:rPr>
        <w:t> </w:t>
      </w:r>
      <w:r>
        <w:rPr>
          <w:vertAlign w:val="baseline"/>
        </w:rPr>
        <w:t>contract).</w:t>
      </w:r>
      <w:r>
        <w:rPr>
          <w:spacing w:val="-1"/>
          <w:vertAlign w:val="baseline"/>
        </w:rPr>
        <w:t> </w:t>
      </w:r>
      <w:r>
        <w:rPr>
          <w:vertAlign w:val="baseline"/>
        </w:rPr>
        <w:t>Another</w:t>
      </w:r>
      <w:r>
        <w:rPr>
          <w:spacing w:val="-1"/>
          <w:vertAlign w:val="baseline"/>
        </w:rPr>
        <w:t> </w:t>
      </w:r>
      <w:r>
        <w:rPr>
          <w:vertAlign w:val="baseline"/>
        </w:rPr>
        <w:t>modern</w:t>
      </w:r>
      <w:r>
        <w:rPr>
          <w:spacing w:val="-1"/>
          <w:vertAlign w:val="baseline"/>
        </w:rPr>
        <w:t> </w:t>
      </w:r>
      <w:r>
        <w:rPr>
          <w:vertAlign w:val="baseline"/>
        </w:rPr>
        <w:t>technique</w:t>
      </w:r>
      <w:r>
        <w:rPr>
          <w:spacing w:val="-1"/>
          <w:vertAlign w:val="baseline"/>
        </w:rPr>
        <w:t> </w:t>
      </w:r>
      <w:r>
        <w:rPr>
          <w:vertAlign w:val="baseline"/>
        </w:rPr>
        <w:t>is</w:t>
      </w:r>
      <w:r>
        <w:rPr>
          <w:spacing w:val="-1"/>
          <w:vertAlign w:val="baseline"/>
        </w:rPr>
        <w:t> </w:t>
      </w:r>
      <w:r>
        <w:rPr>
          <w:vertAlign w:val="baseline"/>
        </w:rPr>
        <w:t>for</w:t>
      </w:r>
      <w:r>
        <w:rPr>
          <w:spacing w:val="-1"/>
          <w:vertAlign w:val="baseline"/>
        </w:rPr>
        <w:t> </w:t>
      </w:r>
      <w:r>
        <w:rPr>
          <w:vertAlign w:val="baseline"/>
        </w:rPr>
        <w:t>legislation</w:t>
      </w:r>
      <w:r>
        <w:rPr>
          <w:spacing w:val="-1"/>
          <w:vertAlign w:val="baseline"/>
        </w:rPr>
        <w:t> </w:t>
      </w:r>
      <w:r>
        <w:rPr>
          <w:vertAlign w:val="baseline"/>
        </w:rPr>
        <w:t>to</w:t>
      </w:r>
      <w:r>
        <w:rPr>
          <w:spacing w:val="-1"/>
          <w:vertAlign w:val="baseline"/>
        </w:rPr>
        <w:t> </w:t>
      </w:r>
      <w:r>
        <w:rPr>
          <w:vertAlign w:val="baseline"/>
        </w:rPr>
        <w:t>set</w:t>
      </w:r>
      <w:r>
        <w:rPr>
          <w:spacing w:val="-1"/>
          <w:vertAlign w:val="baseline"/>
        </w:rPr>
        <w:t> </w:t>
      </w:r>
      <w:r>
        <w:rPr>
          <w:vertAlign w:val="baseline"/>
        </w:rPr>
        <w:t>up</w:t>
      </w:r>
      <w:r>
        <w:rPr>
          <w:spacing w:val="-1"/>
          <w:vertAlign w:val="baseline"/>
        </w:rPr>
        <w:t> </w:t>
      </w:r>
      <w:r>
        <w:rPr>
          <w:vertAlign w:val="baseline"/>
        </w:rPr>
        <w:t>a</w:t>
      </w:r>
      <w:r>
        <w:rPr>
          <w:spacing w:val="-1"/>
          <w:vertAlign w:val="baseline"/>
        </w:rPr>
        <w:t> </w:t>
      </w:r>
      <w:r>
        <w:rPr>
          <w:vertAlign w:val="baseline"/>
        </w:rPr>
        <w:t>system</w:t>
      </w:r>
      <w:r>
        <w:rPr>
          <w:spacing w:val="-1"/>
          <w:vertAlign w:val="baseline"/>
        </w:rPr>
        <w:t> </w:t>
      </w:r>
      <w:r>
        <w:rPr>
          <w:vertAlign w:val="baseline"/>
        </w:rPr>
        <w:t>of</w:t>
      </w:r>
      <w:r>
        <w:rPr>
          <w:spacing w:val="-1"/>
          <w:vertAlign w:val="baseline"/>
        </w:rPr>
        <w:t> </w:t>
      </w:r>
      <w:r>
        <w:rPr>
          <w:vertAlign w:val="baseline"/>
        </w:rPr>
        <w:t>regulation</w:t>
      </w:r>
      <w:r>
        <w:rPr>
          <w:spacing w:val="-1"/>
          <w:vertAlign w:val="baseline"/>
        </w:rPr>
        <w:t> </w:t>
      </w:r>
      <w:r>
        <w:rPr>
          <w:vertAlign w:val="baseline"/>
        </w:rPr>
        <w:t>for</w:t>
      </w:r>
      <w:r>
        <w:rPr>
          <w:spacing w:val="-1"/>
          <w:vertAlign w:val="baseline"/>
        </w:rPr>
        <w:t> </w:t>
      </w:r>
      <w:r>
        <w:rPr>
          <w:vertAlign w:val="baseline"/>
        </w:rPr>
        <w:t>a particular type of business. For example, under the Financial Services and Markets Act 2000, there is </w:t>
      </w:r>
      <w:bookmarkStart w:name="_bookmark444" w:id="446"/>
      <w:bookmarkEnd w:id="446"/>
      <w:r>
        <w:rPr>
          <w:vertAlign w:val="baseline"/>
        </w:rPr>
        <w:t>a</w:t>
      </w:r>
      <w:r>
        <w:rPr>
          <w:vertAlign w:val="baseline"/>
        </w:rPr>
        <w:t> general prohibition on the carrying on without authorisation or exemption of a regulated </w:t>
      </w:r>
      <w:r>
        <w:rPr>
          <w:vertAlign w:val="baseline"/>
        </w:rPr>
        <w:t>investment activity, </w:t>
      </w:r>
      <w:r>
        <w:rPr>
          <w:color w:val="005DA1"/>
          <w:u w:val="single" w:color="005DA1"/>
          <w:vertAlign w:val="superscript"/>
        </w:rPr>
        <w:t>278</w:t>
      </w:r>
      <w:r>
        <w:rPr>
          <w:color w:val="005DA1"/>
          <w:vertAlign w:val="baseline"/>
        </w:rPr>
        <w:t> </w:t>
      </w:r>
      <w:r>
        <w:rPr>
          <w:vertAlign w:val="baseline"/>
        </w:rPr>
        <w:t>and doing so may constitute an offence and give rise to civil liability. </w:t>
      </w:r>
      <w:r>
        <w:rPr>
          <w:color w:val="005DA1"/>
          <w:u w:val="single" w:color="005DA1"/>
          <w:vertAlign w:val="superscript"/>
        </w:rPr>
        <w:t>279</w:t>
      </w:r>
      <w:r>
        <w:rPr>
          <w:color w:val="005DA1"/>
          <w:vertAlign w:val="baseline"/>
        </w:rPr>
        <w:t> </w:t>
      </w:r>
      <w:r>
        <w:rPr>
          <w:vertAlign w:val="baseline"/>
        </w:rPr>
        <w:t>The Act gives to </w:t>
      </w:r>
      <w:bookmarkStart w:name="_bookmark445" w:id="447"/>
      <w:bookmarkEnd w:id="447"/>
      <w:r>
        <w:rPr>
          <w:vertAlign w:val="baseline"/>
        </w:rPr>
        <w:t>the</w:t>
      </w:r>
      <w:r>
        <w:rPr>
          <w:vertAlign w:val="baseline"/>
        </w:rPr>
        <w:t> Financial Conduct Authority very considerable rule-making powers for the conduct of investment </w:t>
      </w:r>
      <w:bookmarkStart w:name="_bookmark446" w:id="448"/>
      <w:bookmarkEnd w:id="448"/>
      <w:r>
        <w:rPr>
          <w:vertAlign w:val="baseline"/>
        </w:rPr>
        <w:t>business,</w:t>
      </w:r>
      <w:r>
        <w:rPr>
          <w:vertAlign w:val="baseline"/>
        </w:rPr>
        <w:t> </w:t>
      </w:r>
      <w:r>
        <w:rPr>
          <w:color w:val="005DA1"/>
          <w:u w:val="single" w:color="005DA1"/>
          <w:vertAlign w:val="superscript"/>
        </w:rPr>
        <w:t>280</w:t>
      </w:r>
      <w:r>
        <w:rPr>
          <w:color w:val="005DA1"/>
          <w:vertAlign w:val="baseline"/>
        </w:rPr>
        <w:t> </w:t>
      </w:r>
      <w:r>
        <w:rPr>
          <w:vertAlign w:val="baseline"/>
        </w:rPr>
        <w:t>and breach of a rule so made is actionable at the suit of a private person who suffers loss as a result, though it will not constitute a criminal offence. </w:t>
      </w:r>
      <w:r>
        <w:rPr>
          <w:color w:val="005DA1"/>
          <w:u w:val="single" w:color="005DA1"/>
          <w:vertAlign w:val="superscript"/>
        </w:rPr>
        <w:t>281</w:t>
      </w:r>
      <w:r>
        <w:rPr>
          <w:color w:val="005DA1"/>
          <w:vertAlign w:val="baseline"/>
        </w:rPr>
        <w:t> </w:t>
      </w:r>
      <w:r>
        <w:rPr>
          <w:vertAlign w:val="baseline"/>
        </w:rPr>
        <w:t>Clearly, this system of regulation </w:t>
      </w:r>
      <w:bookmarkStart w:name="_bookmark447" w:id="449"/>
      <w:bookmarkEnd w:id="449"/>
      <w:r>
        <w:rPr>
          <w:vertAlign w:val="baseline"/>
        </w:rPr>
        <w:t>affects</w:t>
      </w:r>
      <w:r>
        <w:rPr>
          <w:vertAlign w:val="baseline"/>
        </w:rPr>
        <w:t> the way in which contracts relating to investment business are concluded, even though breach of the rules does not affect the validity of any such contract. </w:t>
      </w:r>
      <w:r>
        <w:rPr>
          <w:color w:val="005DA1"/>
          <w:u w:val="single" w:color="005DA1"/>
          <w:vertAlign w:val="superscript"/>
        </w:rPr>
        <w:t>282</w:t>
      </w:r>
      <w:r>
        <w:rPr>
          <w:color w:val="005DA1"/>
          <w:vertAlign w:val="baseline"/>
        </w:rPr>
        <w:t> </w:t>
      </w:r>
      <w:r>
        <w:rPr>
          <w:vertAlign w:val="baseline"/>
        </w:rPr>
        <w:t>A further example of the regulation of </w:t>
      </w:r>
      <w:bookmarkStart w:name="_bookmark448" w:id="450"/>
      <w:bookmarkEnd w:id="450"/>
      <w:r>
        <w:rPr>
          <w:vertAlign w:val="baseline"/>
        </w:rPr>
        <w:t>contractual</w:t>
      </w:r>
      <w:r>
        <w:rPr>
          <w:vertAlign w:val="baseline"/>
        </w:rPr>
        <w:t> behaviour is to be found in the Unfair Commercial Practices Directive 2005, implemented in UK law by the Consumer Protection from Unfair Trading Regulations 2008. </w:t>
      </w:r>
      <w:r>
        <w:rPr>
          <w:color w:val="005DA1"/>
          <w:u w:val="single" w:color="005DA1"/>
          <w:vertAlign w:val="superscript"/>
        </w:rPr>
        <w:t>283</w:t>
      </w:r>
      <w:r>
        <w:rPr>
          <w:color w:val="005DA1"/>
          <w:vertAlign w:val="baseline"/>
        </w:rPr>
        <w:t> </w:t>
      </w:r>
      <w:r>
        <w:rPr>
          <w:vertAlign w:val="baseline"/>
        </w:rPr>
        <w:t>The Directive sets a very broad standard of commercial behaviour in relation to consumers in a “general clause” which </w:t>
      </w:r>
      <w:bookmarkStart w:name="_bookmark449" w:id="451"/>
      <w:bookmarkEnd w:id="451"/>
      <w:r>
        <w:rPr>
          <w:vertAlign w:val="baseline"/>
        </w:rPr>
        <w:t>prohibits</w:t>
      </w:r>
      <w:r>
        <w:rPr>
          <w:vertAlign w:val="baseline"/>
        </w:rPr>
        <w:t> practices which contrary to “professional diligence”, “materially distort the economic behaviour” of an average consumer. </w:t>
      </w:r>
      <w:r>
        <w:rPr>
          <w:color w:val="005DA1"/>
          <w:u w:val="single" w:color="005DA1"/>
          <w:vertAlign w:val="superscript"/>
        </w:rPr>
        <w:t>284</w:t>
      </w:r>
      <w:r>
        <w:rPr>
          <w:color w:val="005DA1"/>
          <w:vertAlign w:val="baseline"/>
        </w:rPr>
        <w:t> </w:t>
      </w:r>
      <w:r>
        <w:rPr>
          <w:vertAlign w:val="baseline"/>
        </w:rPr>
        <w:t>This general standard frames particular protections given to consumers by existing EU directives and is fleshed out by the 2005 Directive itself by the setting of </w:t>
      </w:r>
      <w:bookmarkStart w:name="_bookmark450" w:id="452"/>
      <w:bookmarkEnd w:id="452"/>
      <w:r>
        <w:rPr>
          <w:vertAlign w:val="baseline"/>
        </w:rPr>
        <w:t>two</w:t>
      </w:r>
      <w:r>
        <w:rPr>
          <w:vertAlign w:val="baseline"/>
        </w:rPr>
        <w:t> main examples of unfair commercial practices: misleading actions and omissions and aggressive </w:t>
      </w:r>
      <w:bookmarkStart w:name="_bookmark451" w:id="453"/>
      <w:bookmarkEnd w:id="453"/>
      <w:r>
        <w:rPr>
          <w:vertAlign w:val="baseline"/>
        </w:rPr>
        <w:t>commercial</w:t>
      </w:r>
      <w:r>
        <w:rPr>
          <w:vertAlign w:val="baseline"/>
        </w:rPr>
        <w:t> practices. </w:t>
      </w:r>
      <w:r>
        <w:rPr>
          <w:color w:val="005DA1"/>
          <w:u w:val="single" w:color="005DA1"/>
          <w:vertAlign w:val="superscript"/>
        </w:rPr>
        <w:t>285</w:t>
      </w:r>
      <w:r>
        <w:rPr>
          <w:color w:val="005DA1"/>
          <w:vertAlign w:val="baseline"/>
        </w:rPr>
        <w:t> </w:t>
      </w:r>
      <w:r>
        <w:rPr>
          <w:vertAlign w:val="baseline"/>
        </w:rPr>
        <w:t>The Directive also provides a black list of particular commercial practices which “are in all circumstances [to be] considered unfair”. </w:t>
      </w:r>
      <w:r>
        <w:rPr>
          <w:color w:val="005DA1"/>
          <w:u w:val="single" w:color="005DA1"/>
          <w:vertAlign w:val="superscript"/>
        </w:rPr>
        <w:t>286</w:t>
      </w:r>
      <w:r>
        <w:rPr>
          <w:color w:val="005DA1"/>
          <w:vertAlign w:val="baseline"/>
        </w:rPr>
        <w:t> </w:t>
      </w:r>
      <w:r>
        <w:rPr>
          <w:vertAlign w:val="baseline"/>
        </w:rPr>
        <w:t>On the other hand, the concern of the </w:t>
      </w:r>
      <w:bookmarkStart w:name="_bookmark452" w:id="454"/>
      <w:bookmarkEnd w:id="454"/>
      <w:r>
        <w:rPr>
          <w:vertAlign w:val="baseline"/>
        </w:rPr>
        <w:t>Directive</w:t>
      </w:r>
      <w:r>
        <w:rPr>
          <w:spacing w:val="-1"/>
          <w:vertAlign w:val="baseline"/>
        </w:rPr>
        <w:t> </w:t>
      </w:r>
      <w:r>
        <w:rPr>
          <w:vertAlign w:val="baseline"/>
        </w:rPr>
        <w:t>is</w:t>
      </w:r>
      <w:r>
        <w:rPr>
          <w:spacing w:val="-1"/>
          <w:vertAlign w:val="baseline"/>
        </w:rPr>
        <w:t> </w:t>
      </w:r>
      <w:r>
        <w:rPr>
          <w:vertAlign w:val="baseline"/>
        </w:rPr>
        <w:t>to</w:t>
      </w:r>
      <w:r>
        <w:rPr>
          <w:spacing w:val="-1"/>
          <w:vertAlign w:val="baseline"/>
        </w:rPr>
        <w:t> </w:t>
      </w:r>
      <w:r>
        <w:rPr>
          <w:vertAlign w:val="baseline"/>
        </w:rPr>
        <w:t>prohibit</w:t>
      </w:r>
      <w:r>
        <w:rPr>
          <w:spacing w:val="-1"/>
          <w:vertAlign w:val="baseline"/>
        </w:rPr>
        <w:t> </w:t>
      </w:r>
      <w:r>
        <w:rPr>
          <w:vertAlign w:val="baseline"/>
        </w:rPr>
        <w:t>unfair</w:t>
      </w:r>
      <w:r>
        <w:rPr>
          <w:spacing w:val="-1"/>
          <w:vertAlign w:val="baseline"/>
        </w:rPr>
        <w:t> </w:t>
      </w:r>
      <w:r>
        <w:rPr>
          <w:vertAlign w:val="baseline"/>
        </w:rPr>
        <w:t>commercial</w:t>
      </w:r>
      <w:r>
        <w:rPr>
          <w:spacing w:val="-1"/>
          <w:vertAlign w:val="baseline"/>
        </w:rPr>
        <w:t> </w:t>
      </w:r>
      <w:r>
        <w:rPr>
          <w:vertAlign w:val="baseline"/>
        </w:rPr>
        <w:t>practices,</w:t>
      </w:r>
      <w:r>
        <w:rPr>
          <w:spacing w:val="-1"/>
          <w:vertAlign w:val="baseline"/>
        </w:rPr>
        <w:t> </w:t>
      </w:r>
      <w:r>
        <w:rPr>
          <w:vertAlign w:val="baseline"/>
        </w:rPr>
        <w:t>and</w:t>
      </w:r>
      <w:r>
        <w:rPr>
          <w:spacing w:val="-1"/>
          <w:vertAlign w:val="baseline"/>
        </w:rPr>
        <w:t> </w:t>
      </w:r>
      <w:r>
        <w:rPr>
          <w:vertAlign w:val="baseline"/>
        </w:rPr>
        <w:t>it</w:t>
      </w:r>
      <w:r>
        <w:rPr>
          <w:spacing w:val="-1"/>
          <w:vertAlign w:val="baseline"/>
        </w:rPr>
        <w:t> </w:t>
      </w:r>
      <w:r>
        <w:rPr>
          <w:vertAlign w:val="baseline"/>
        </w:rPr>
        <w:t>explicitly</w:t>
      </w:r>
      <w:r>
        <w:rPr>
          <w:spacing w:val="-1"/>
          <w:vertAlign w:val="baseline"/>
        </w:rPr>
        <w:t> </w:t>
      </w:r>
      <w:r>
        <w:rPr>
          <w:vertAlign w:val="baseline"/>
        </w:rPr>
        <w:t>provides</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“without</w:t>
      </w:r>
      <w:r>
        <w:rPr>
          <w:spacing w:val="-1"/>
          <w:vertAlign w:val="baseline"/>
        </w:rPr>
        <w:t> </w:t>
      </w:r>
      <w:r>
        <w:rPr>
          <w:vertAlign w:val="baseline"/>
        </w:rPr>
        <w:t>prejudice to contract law and, in particular, to the rules on the validity, formation or effect of a contract” </w:t>
      </w:r>
      <w:r>
        <w:rPr>
          <w:color w:val="005DA1"/>
          <w:u w:val="single" w:color="005DA1"/>
          <w:vertAlign w:val="superscript"/>
        </w:rPr>
        <w:t>287</w:t>
      </w:r>
      <w:r>
        <w:rPr>
          <w:color w:val="005DA1"/>
          <w:vertAlign w:val="baseline"/>
        </w:rPr>
        <w:t> </w:t>
      </w:r>
      <w:r>
        <w:rPr>
          <w:vertAlign w:val="baseline"/>
        </w:rPr>
        <w:t>and </w:t>
      </w:r>
      <w:bookmarkStart w:name="_bookmark453" w:id="455"/>
      <w:bookmarkEnd w:id="455"/>
      <w:r>
        <w:rPr>
          <w:vertAlign w:val="baseline"/>
        </w:rPr>
        <w:t>the</w:t>
      </w:r>
      <w:r>
        <w:rPr>
          <w:vertAlign w:val="baseline"/>
        </w:rPr>
        <w:t> UK’s initial implementing regulations reflected this feature and provided explicitly that “an agreement shall not be void or unenforceable by reason only of a breach of these regulations” </w:t>
      </w:r>
      <w:r>
        <w:rPr>
          <w:color w:val="005DA1"/>
          <w:u w:val="single" w:color="005DA1"/>
          <w:vertAlign w:val="superscript"/>
        </w:rPr>
        <w:t>288</w:t>
      </w:r>
      <w:r>
        <w:rPr>
          <w:color w:val="005DA1"/>
          <w:vertAlign w:val="baseline"/>
        </w:rPr>
        <w:t> </w:t>
      </w:r>
      <w:r>
        <w:rPr>
          <w:vertAlign w:val="baseline"/>
        </w:rPr>
        <w:t>though they said no more as to the wider lack of effect of the Regulations on the “law of contract”, apparently</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basis</w:t>
      </w:r>
      <w:r>
        <w:rPr>
          <w:spacing w:val="-2"/>
          <w:vertAlign w:val="baseline"/>
        </w:rPr>
        <w:t> </w:t>
      </w:r>
      <w:r>
        <w:rPr>
          <w:vertAlign w:val="baseline"/>
        </w:rPr>
        <w:t>that</w:t>
      </w:r>
      <w:r>
        <w:rPr>
          <w:spacing w:val="-2"/>
          <w:vertAlign w:val="baseline"/>
        </w:rPr>
        <w:t> </w:t>
      </w:r>
      <w:r>
        <w:rPr>
          <w:vertAlign w:val="baseline"/>
        </w:rPr>
        <w:t>they</w:t>
      </w:r>
      <w:r>
        <w:rPr>
          <w:spacing w:val="-2"/>
          <w:vertAlign w:val="baseline"/>
        </w:rPr>
        <w:t> </w:t>
      </w:r>
      <w:r>
        <w:rPr>
          <w:vertAlign w:val="baseline"/>
        </w:rPr>
        <w:t>set</w:t>
      </w:r>
      <w:r>
        <w:rPr>
          <w:spacing w:val="-2"/>
          <w:vertAlign w:val="baseline"/>
        </w:rPr>
        <w:t> </w:t>
      </w:r>
      <w:r>
        <w:rPr>
          <w:vertAlign w:val="baseline"/>
        </w:rPr>
        <w:t>out</w:t>
      </w:r>
      <w:r>
        <w:rPr>
          <w:spacing w:val="-2"/>
          <w:vertAlign w:val="baseline"/>
        </w:rPr>
        <w:t> </w:t>
      </w:r>
      <w:r>
        <w:rPr>
          <w:vertAlign w:val="baseline"/>
        </w:rPr>
        <w:t>the</w:t>
      </w:r>
      <w:r>
        <w:rPr>
          <w:spacing w:val="-2"/>
          <w:vertAlign w:val="baseline"/>
        </w:rPr>
        <w:t> </w:t>
      </w:r>
      <w:r>
        <w:rPr>
          <w:vertAlign w:val="baseline"/>
        </w:rPr>
        <w:t>consequences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new</w:t>
      </w:r>
      <w:r>
        <w:rPr>
          <w:spacing w:val="-2"/>
          <w:vertAlign w:val="baseline"/>
        </w:rPr>
        <w:t> </w:t>
      </w:r>
      <w:r>
        <w:rPr>
          <w:vertAlign w:val="baseline"/>
        </w:rPr>
        <w:t>controls</w:t>
      </w:r>
      <w:r>
        <w:rPr>
          <w:spacing w:val="-2"/>
          <w:vertAlign w:val="baseline"/>
        </w:rPr>
        <w:t> </w:t>
      </w:r>
      <w:r>
        <w:rPr>
          <w:vertAlign w:val="baseline"/>
        </w:rPr>
        <w:t>and</w:t>
      </w:r>
      <w:r>
        <w:rPr>
          <w:spacing w:val="-2"/>
          <w:vertAlign w:val="baseline"/>
        </w:rPr>
        <w:t> </w:t>
      </w:r>
      <w:r>
        <w:rPr>
          <w:vertAlign w:val="baseline"/>
        </w:rPr>
        <w:t>do</w:t>
      </w:r>
      <w:r>
        <w:rPr>
          <w:spacing w:val="-2"/>
          <w:vertAlign w:val="baseline"/>
        </w:rPr>
        <w:t> </w:t>
      </w:r>
      <w:r>
        <w:rPr>
          <w:vertAlign w:val="baseline"/>
        </w:rPr>
        <w:t>not</w:t>
      </w:r>
      <w:r>
        <w:rPr>
          <w:spacing w:val="-2"/>
          <w:vertAlign w:val="baseline"/>
        </w:rPr>
        <w:t> </w:t>
      </w:r>
      <w:r>
        <w:rPr>
          <w:vertAlign w:val="baseline"/>
        </w:rPr>
        <w:t>need</w:t>
      </w:r>
      <w:r>
        <w:rPr>
          <w:spacing w:val="-2"/>
          <w:vertAlign w:val="baseline"/>
        </w:rPr>
        <w:t> </w:t>
      </w:r>
      <w:r>
        <w:rPr>
          <w:vertAlign w:val="baseline"/>
        </w:rPr>
        <w:t>to</w:t>
      </w:r>
      <w:r>
        <w:rPr>
          <w:spacing w:val="-2"/>
          <w:vertAlign w:val="baseline"/>
        </w:rPr>
        <w:t> </w:t>
      </w:r>
      <w:r>
        <w:rPr>
          <w:vertAlign w:val="baseline"/>
        </w:rPr>
        <w:t>set out other non-consequences. However, in 2014 the 2008 Regulations were amended so as to create </w:t>
      </w:r>
      <w:bookmarkStart w:name="_bookmark454" w:id="456"/>
      <w:bookmarkEnd w:id="456"/>
      <w:r>
        <w:rPr>
          <w:vertAlign w:val="baseline"/>
        </w:rPr>
        <w:t>a</w:t>
      </w:r>
      <w:r>
        <w:rPr>
          <w:vertAlign w:val="baseline"/>
        </w:rPr>
        <w:t> series of “rights to redress” for consumers against traders in respect of </w:t>
      </w:r>
      <w:r>
        <w:rPr>
          <w:rFonts w:ascii="Arial" w:hAnsi="Arial"/>
          <w:i/>
          <w:vertAlign w:val="baseline"/>
        </w:rPr>
        <w:t>some </w:t>
      </w:r>
      <w:r>
        <w:rPr>
          <w:vertAlign w:val="baseline"/>
        </w:rPr>
        <w:t>categories of unfair commercial practices. </w:t>
      </w:r>
      <w:r>
        <w:rPr>
          <w:color w:val="005DA1"/>
          <w:u w:val="single" w:color="005DA1"/>
          <w:vertAlign w:val="superscript"/>
        </w:rPr>
        <w:t>289</w:t>
      </w:r>
    </w:p>
    <w:p>
      <w:pPr>
        <w:pStyle w:val="BodyText"/>
      </w:pPr>
    </w:p>
    <w:p>
      <w:pPr>
        <w:pStyle w:val="BodyText"/>
        <w:spacing w:before="27"/>
      </w:pPr>
      <w:r>
        <w:rPr/>
        <mc:AlternateContent>
          <mc:Choice Requires="wps">
            <w:drawing>
              <wp:anchor distT="0" distB="0" distL="0" distR="0" allowOverlap="1" layoutInCell="1" locked="0" behindDoc="1" simplePos="0" relativeHeight="487639552">
                <wp:simplePos x="0" y="0"/>
                <wp:positionH relativeFrom="page">
                  <wp:posOffset>914400</wp:posOffset>
                </wp:positionH>
                <wp:positionV relativeFrom="paragraph">
                  <wp:posOffset>178763</wp:posOffset>
                </wp:positionV>
                <wp:extent cx="5724525" cy="127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075868pt;width:450.75pt;height:.1pt;mso-position-horizontal-relative:page;mso-position-vertical-relative:paragraph;z-index:-15676928;mso-wrap-distance-left:0;mso-wrap-distance-right:0" id="docshape21" coordorigin="1440,282" coordsize="9015,0" path="m1440,282l10454,282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rFonts w:ascii="Arial" w:hAnsi="Arial"/>
          <w:i/>
          <w:sz w:val="20"/>
        </w:rPr>
      </w:pPr>
      <w:bookmarkStart w:name="_bookmark455" w:id="457"/>
      <w:bookmarkEnd w:id="457"/>
      <w:r>
        <w:rPr/>
      </w:r>
      <w:hyperlink w:history="true" w:anchor="_bookmark377">
        <w:r>
          <w:rPr>
            <w:color w:val="005DA1"/>
            <w:position w:val="5"/>
            <w:sz w:val="14"/>
            <w:u w:val="single" w:color="005DA1"/>
          </w:rPr>
          <w:t>205</w:t>
        </w:r>
      </w:hyperlink>
      <w:r>
        <w:rPr>
          <w:position w:val="5"/>
          <w:sz w:val="14"/>
        </w:rPr>
        <w:t>.</w:t>
      </w:r>
      <w:r>
        <w:rPr>
          <w:spacing w:val="80"/>
          <w:w w:val="150"/>
          <w:position w:val="5"/>
          <w:sz w:val="14"/>
        </w:rPr>
        <w:t> </w:t>
      </w:r>
      <w:r>
        <w:rPr>
          <w:sz w:val="20"/>
        </w:rPr>
        <w:t>See Dicey, </w:t>
      </w:r>
      <w:r>
        <w:rPr>
          <w:rFonts w:ascii="Arial" w:hAnsi="Arial"/>
          <w:i/>
          <w:sz w:val="20"/>
        </w:rPr>
        <w:t>Law and Opinion in England</w:t>
      </w:r>
      <w:r>
        <w:rPr>
          <w:sz w:val="20"/>
        </w:rPr>
        <w:t>, 2nd edn (1914), pp.150–158; </w:t>
      </w:r>
      <w:r>
        <w:rPr>
          <w:rFonts w:ascii="Arial" w:hAnsi="Arial"/>
          <w:i/>
          <w:sz w:val="20"/>
        </w:rPr>
        <w:t>Printing and Numerical Registering Co v Sampson (1875) L.R. 19 Eq. 462 </w:t>
      </w:r>
      <w:r>
        <w:rPr>
          <w:sz w:val="20"/>
        </w:rPr>
        <w:t>at [465], per Jessel M.R.; </w:t>
      </w:r>
      <w:r>
        <w:rPr>
          <w:rFonts w:ascii="Arial" w:hAnsi="Arial"/>
          <w:i/>
          <w:sz w:val="20"/>
        </w:rPr>
        <w:t>Manchester, Sheffield and Lincolnshire Ry v Brown (1883) 8 App. Cas. 703 </w:t>
      </w:r>
      <w:r>
        <w:rPr>
          <w:sz w:val="20"/>
        </w:rPr>
        <w:t>at [716]–[720], per Lord Bramwell; </w:t>
      </w:r>
      <w:r>
        <w:rPr>
          <w:rFonts w:ascii="Arial" w:hAnsi="Arial"/>
          <w:i/>
          <w:sz w:val="20"/>
        </w:rPr>
        <w:t>Salt v Marquis of Northampton [1892] A.C. </w:t>
      </w:r>
      <w:r>
        <w:rPr>
          <w:sz w:val="20"/>
        </w:rPr>
        <w:t>at 1 [18]–[19], per Lord Bramwell. It is instructive to observe that Lord Bramwell, who was one of the foremost judicial champions </w:t>
      </w:r>
      <w:r>
        <w:rPr>
          <w:sz w:val="20"/>
        </w:rPr>
        <w:t>of freedom of contract, also believed in the necessity for a real as opposed to an apparent consent: see his judgment in</w:t>
      </w:r>
      <w:r>
        <w:rPr>
          <w:spacing w:val="-1"/>
          <w:sz w:val="20"/>
        </w:rPr>
        <w:t> </w:t>
      </w:r>
      <w:r>
        <w:rPr>
          <w:rFonts w:ascii="Arial" w:hAnsi="Arial"/>
          <w:i/>
          <w:sz w:val="20"/>
        </w:rPr>
        <w:t>British and American Telegraph Co Ltd v Colson (1871) L.R. 6 Ex. 108</w:t>
      </w:r>
      <w:r>
        <w:rPr>
          <w:sz w:val="20"/>
        </w:rPr>
        <w:t>,</w:t>
      </w:r>
      <w:r>
        <w:rPr>
          <w:spacing w:val="4"/>
          <w:sz w:val="20"/>
        </w:rPr>
        <w:t> </w:t>
      </w:r>
      <w:r>
        <w:rPr>
          <w:sz w:val="20"/>
        </w:rPr>
        <w:t>and</w:t>
      </w:r>
      <w:r>
        <w:rPr>
          <w:spacing w:val="7"/>
          <w:sz w:val="20"/>
        </w:rPr>
        <w:t> </w:t>
      </w:r>
      <w:r>
        <w:rPr>
          <w:sz w:val="20"/>
        </w:rPr>
        <w:t>his</w:t>
      </w:r>
      <w:r>
        <w:rPr>
          <w:spacing w:val="7"/>
          <w:sz w:val="20"/>
        </w:rPr>
        <w:t> </w:t>
      </w:r>
      <w:r>
        <w:rPr>
          <w:sz w:val="20"/>
        </w:rPr>
        <w:t>dissenting</w:t>
      </w:r>
      <w:r>
        <w:rPr>
          <w:spacing w:val="7"/>
          <w:sz w:val="20"/>
        </w:rPr>
        <w:t> </w:t>
      </w:r>
      <w:r>
        <w:rPr>
          <w:sz w:val="20"/>
        </w:rPr>
        <w:t>judgment</w:t>
      </w:r>
      <w:r>
        <w:rPr>
          <w:spacing w:val="7"/>
          <w:sz w:val="20"/>
        </w:rPr>
        <w:t> </w:t>
      </w:r>
      <w:r>
        <w:rPr>
          <w:sz w:val="20"/>
        </w:rPr>
        <w:t>in</w:t>
      </w:r>
      <w:r>
        <w:rPr>
          <w:spacing w:val="7"/>
          <w:sz w:val="20"/>
        </w:rPr>
        <w:t> </w:t>
      </w:r>
      <w:r>
        <w:rPr>
          <w:rFonts w:ascii="Arial" w:hAnsi="Arial"/>
          <w:i/>
          <w:sz w:val="20"/>
        </w:rPr>
        <w:t>Household</w:t>
      </w:r>
      <w:r>
        <w:rPr>
          <w:rFonts w:ascii="Arial" w:hAnsi="Arial"/>
          <w:i/>
          <w:spacing w:val="7"/>
          <w:sz w:val="20"/>
        </w:rPr>
        <w:t> </w:t>
      </w:r>
      <w:r>
        <w:rPr>
          <w:rFonts w:ascii="Arial" w:hAnsi="Arial"/>
          <w:i/>
          <w:sz w:val="20"/>
        </w:rPr>
        <w:t>Fire</w:t>
      </w:r>
      <w:r>
        <w:rPr>
          <w:rFonts w:ascii="Arial" w:hAnsi="Arial"/>
          <w:i/>
          <w:spacing w:val="7"/>
          <w:sz w:val="20"/>
        </w:rPr>
        <w:t> </w:t>
      </w:r>
      <w:r>
        <w:rPr>
          <w:rFonts w:ascii="Arial" w:hAnsi="Arial"/>
          <w:i/>
          <w:sz w:val="20"/>
        </w:rPr>
        <w:t>Insurance</w:t>
      </w:r>
      <w:r>
        <w:rPr>
          <w:rFonts w:ascii="Arial" w:hAnsi="Arial"/>
          <w:i/>
          <w:spacing w:val="7"/>
          <w:sz w:val="20"/>
        </w:rPr>
        <w:t> </w:t>
      </w:r>
      <w:r>
        <w:rPr>
          <w:rFonts w:ascii="Arial" w:hAnsi="Arial"/>
          <w:i/>
          <w:sz w:val="20"/>
        </w:rPr>
        <w:t>Co</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Grant</w:t>
      </w:r>
      <w:r>
        <w:rPr>
          <w:rFonts w:ascii="Arial" w:hAnsi="Arial"/>
          <w:i/>
          <w:spacing w:val="7"/>
          <w:sz w:val="20"/>
        </w:rPr>
        <w:t> </w:t>
      </w:r>
      <w:r>
        <w:rPr>
          <w:rFonts w:ascii="Arial" w:hAnsi="Arial"/>
          <w:i/>
          <w:sz w:val="20"/>
        </w:rPr>
        <w:t>(1879)</w:t>
      </w:r>
      <w:r>
        <w:rPr>
          <w:rFonts w:ascii="Arial" w:hAnsi="Arial"/>
          <w:i/>
          <w:spacing w:val="7"/>
          <w:sz w:val="20"/>
        </w:rPr>
        <w:t> </w:t>
      </w:r>
      <w:r>
        <w:rPr>
          <w:rFonts w:ascii="Arial" w:hAnsi="Arial"/>
          <w:i/>
          <w:sz w:val="20"/>
        </w:rPr>
        <w:t>4</w:t>
      </w:r>
      <w:r>
        <w:rPr>
          <w:rFonts w:ascii="Arial" w:hAnsi="Arial"/>
          <w:i/>
          <w:spacing w:val="7"/>
          <w:sz w:val="20"/>
        </w:rPr>
        <w:t> </w:t>
      </w:r>
      <w:r>
        <w:rPr>
          <w:rFonts w:ascii="Arial" w:hAnsi="Arial"/>
          <w:i/>
          <w:sz w:val="20"/>
        </w:rPr>
        <w:t>Ex.</w:t>
      </w:r>
      <w:r>
        <w:rPr>
          <w:rFonts w:ascii="Arial" w:hAnsi="Arial"/>
          <w:i/>
          <w:spacing w:val="7"/>
          <w:sz w:val="20"/>
        </w:rPr>
        <w:t> </w:t>
      </w:r>
      <w:r>
        <w:rPr>
          <w:rFonts w:ascii="Arial" w:hAnsi="Arial"/>
          <w:i/>
          <w:sz w:val="20"/>
        </w:rPr>
        <w:t>D.</w:t>
      </w:r>
      <w:r>
        <w:rPr>
          <w:rFonts w:ascii="Arial" w:hAnsi="Arial"/>
          <w:i/>
          <w:spacing w:val="7"/>
          <w:sz w:val="20"/>
        </w:rPr>
        <w:t> </w:t>
      </w:r>
      <w:r>
        <w:rPr>
          <w:rFonts w:ascii="Arial" w:hAnsi="Arial"/>
          <w:i/>
          <w:spacing w:val="-4"/>
          <w:sz w:val="20"/>
        </w:rPr>
        <w:t>216,</w:t>
      </w:r>
    </w:p>
    <w:p>
      <w:pPr>
        <w:spacing w:line="235" w:lineRule="auto" w:before="0"/>
        <w:ind w:left="705" w:right="168" w:firstLine="0"/>
        <w:jc w:val="both"/>
        <w:rPr>
          <w:sz w:val="20"/>
        </w:rPr>
      </w:pPr>
      <w:r>
        <w:rPr>
          <w:rFonts w:ascii="Arial" w:hAnsi="Arial"/>
          <w:i/>
          <w:sz w:val="20"/>
        </w:rPr>
        <w:t>232</w:t>
      </w:r>
      <w:r>
        <w:rPr>
          <w:sz w:val="20"/>
        </w:rPr>
        <w:t>. See further, Atiyah, </w:t>
      </w:r>
      <w:r>
        <w:rPr>
          <w:rFonts w:ascii="Arial" w:hAnsi="Arial"/>
          <w:i/>
          <w:sz w:val="20"/>
        </w:rPr>
        <w:t>The Rise and Fall of Freedom of Contract </w:t>
      </w:r>
      <w:r>
        <w:rPr>
          <w:sz w:val="20"/>
        </w:rPr>
        <w:t>(1979) and cf. Gordley, above, n.97 at pp.214–217.</w:t>
      </w:r>
    </w:p>
    <w:p>
      <w:pPr>
        <w:pStyle w:val="BodyText"/>
        <w:spacing w:before="2"/>
      </w:pPr>
    </w:p>
    <w:p>
      <w:pPr>
        <w:pStyle w:val="BodyText"/>
        <w:tabs>
          <w:tab w:pos="705" w:val="left" w:leader="none"/>
        </w:tabs>
        <w:ind w:left="165"/>
      </w:pPr>
      <w:bookmarkStart w:name="_bookmark456" w:id="458"/>
      <w:bookmarkEnd w:id="458"/>
      <w:r>
        <w:rPr/>
      </w:r>
      <w:hyperlink w:history="true" w:anchor="_bookmark378">
        <w:r>
          <w:rPr>
            <w:color w:val="005DA1"/>
            <w:spacing w:val="-4"/>
            <w:position w:val="5"/>
            <w:sz w:val="14"/>
            <w:u w:val="single" w:color="005DA1"/>
          </w:rPr>
          <w:t>206</w:t>
        </w:r>
      </w:hyperlink>
      <w:r>
        <w:rPr>
          <w:spacing w:val="-4"/>
          <w:position w:val="5"/>
          <w:sz w:val="14"/>
        </w:rPr>
        <w:t>.</w:t>
      </w:r>
      <w:r>
        <w:rPr>
          <w:position w:val="5"/>
          <w:sz w:val="14"/>
        </w:rPr>
        <w:tab/>
      </w:r>
      <w:r>
        <w:rPr/>
        <w:t>See below, paras 16-004 et </w:t>
      </w:r>
      <w:r>
        <w:rPr>
          <w:spacing w:val="-4"/>
        </w:rPr>
        <w:t>seq.</w:t>
      </w:r>
    </w:p>
    <w:p>
      <w:pPr>
        <w:pStyle w:val="BodyText"/>
        <w:spacing w:after="0"/>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379">
        <w:r>
          <w:rPr>
            <w:color w:val="005DA1"/>
            <w:position w:val="5"/>
            <w:sz w:val="14"/>
            <w:u w:val="single" w:color="005DA1"/>
          </w:rPr>
          <w:t>207</w:t>
        </w:r>
      </w:hyperlink>
      <w:r>
        <w:rPr>
          <w:position w:val="5"/>
          <w:sz w:val="14"/>
        </w:rPr>
        <w:t>.</w:t>
      </w:r>
      <w:r>
        <w:rPr>
          <w:spacing w:val="80"/>
          <w:position w:val="5"/>
          <w:sz w:val="14"/>
        </w:rPr>
        <w:t> </w:t>
      </w:r>
      <w:r>
        <w:rPr>
          <w:rFonts w:ascii="Arial" w:hAnsi="Arial"/>
          <w:i/>
        </w:rPr>
        <w:t>Nicholson v Willan (1804) 5 East 507</w:t>
      </w:r>
      <w:r>
        <w:rPr/>
        <w:t>. Lord Ellenborough C.J., at 513, rejected the </w:t>
      </w:r>
      <w:r>
        <w:rPr/>
        <w:t>plaintiff’s argument that the attempt of the defendant, a common carrier, to exclude his liability for the</w:t>
      </w:r>
      <w:r>
        <w:rPr>
          <w:spacing w:val="40"/>
        </w:rPr>
        <w:t> </w:t>
      </w:r>
      <w:r>
        <w:rPr/>
        <w:t>loss of goods carried beyond the value of £5 was: “contrary to the policy of the common law, which has made common carriers responsible to an indefinite extent for losses not occasioned by … act of God [or] the King’s enemies”.</w:t>
      </w:r>
    </w:p>
    <w:p>
      <w:pPr>
        <w:pStyle w:val="BodyText"/>
        <w:spacing w:before="8"/>
      </w:pPr>
    </w:p>
    <w:p>
      <w:pPr>
        <w:tabs>
          <w:tab w:pos="705" w:val="left" w:leader="none"/>
        </w:tabs>
        <w:spacing w:line="235" w:lineRule="auto" w:before="0"/>
        <w:ind w:left="705" w:right="168" w:hanging="541"/>
        <w:jc w:val="left"/>
        <w:rPr>
          <w:sz w:val="20"/>
        </w:rPr>
      </w:pPr>
      <w:bookmarkStart w:name="_bookmark457" w:id="459"/>
      <w:bookmarkEnd w:id="459"/>
      <w:r>
        <w:rPr/>
      </w:r>
      <w:hyperlink w:history="true" w:anchor="_bookmark380">
        <w:r>
          <w:rPr>
            <w:color w:val="005DA1"/>
            <w:spacing w:val="-4"/>
            <w:position w:val="5"/>
            <w:sz w:val="14"/>
            <w:u w:val="single" w:color="005DA1"/>
          </w:rPr>
          <w:t>208</w:t>
        </w:r>
      </w:hyperlink>
      <w:r>
        <w:rPr>
          <w:spacing w:val="-4"/>
          <w:position w:val="5"/>
          <w:sz w:val="14"/>
        </w:rPr>
        <w:t>.</w:t>
      </w:r>
      <w:r>
        <w:rPr>
          <w:position w:val="5"/>
          <w:sz w:val="14"/>
        </w:rPr>
        <w:tab/>
      </w:r>
      <w:r>
        <w:rPr>
          <w:rFonts w:ascii="Arial" w:hAnsi="Arial"/>
          <w:i/>
          <w:sz w:val="20"/>
        </w:rPr>
        <w:t>Ranger</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G.W.</w:t>
      </w:r>
      <w:r>
        <w:rPr>
          <w:rFonts w:ascii="Arial" w:hAnsi="Arial"/>
          <w:i/>
          <w:spacing w:val="40"/>
          <w:sz w:val="20"/>
        </w:rPr>
        <w:t> </w:t>
      </w:r>
      <w:r>
        <w:rPr>
          <w:rFonts w:ascii="Arial" w:hAnsi="Arial"/>
          <w:i/>
          <w:sz w:val="20"/>
        </w:rPr>
        <w:t>Ry</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(1854)</w:t>
      </w:r>
      <w:r>
        <w:rPr>
          <w:rFonts w:ascii="Arial" w:hAnsi="Arial"/>
          <w:i/>
          <w:spacing w:val="40"/>
          <w:sz w:val="20"/>
        </w:rPr>
        <w:t> </w:t>
      </w:r>
      <w:r>
        <w:rPr>
          <w:rFonts w:ascii="Arial" w:hAnsi="Arial"/>
          <w:i/>
          <w:sz w:val="20"/>
        </w:rPr>
        <w:t>5</w:t>
      </w:r>
      <w:r>
        <w:rPr>
          <w:rFonts w:ascii="Arial" w:hAnsi="Arial"/>
          <w:i/>
          <w:spacing w:val="40"/>
          <w:sz w:val="20"/>
        </w:rPr>
        <w:t> </w:t>
      </w:r>
      <w:r>
        <w:rPr>
          <w:rFonts w:ascii="Arial" w:hAnsi="Arial"/>
          <w:i/>
          <w:sz w:val="20"/>
        </w:rPr>
        <w:t>H.L.C.</w:t>
      </w:r>
      <w:r>
        <w:rPr>
          <w:rFonts w:ascii="Arial" w:hAnsi="Arial"/>
          <w:i/>
          <w:spacing w:val="40"/>
          <w:sz w:val="20"/>
        </w:rPr>
        <w:t> </w:t>
      </w:r>
      <w:r>
        <w:rPr>
          <w:rFonts w:ascii="Arial" w:hAnsi="Arial"/>
          <w:i/>
          <w:sz w:val="20"/>
        </w:rPr>
        <w:t>72,</w:t>
      </w:r>
      <w:r>
        <w:rPr>
          <w:rFonts w:ascii="Arial" w:hAnsi="Arial"/>
          <w:i/>
          <w:spacing w:val="40"/>
          <w:sz w:val="20"/>
        </w:rPr>
        <w:t> </w:t>
      </w:r>
      <w:r>
        <w:rPr>
          <w:rFonts w:ascii="Arial" w:hAnsi="Arial"/>
          <w:i/>
          <w:sz w:val="20"/>
        </w:rPr>
        <w:t>94–95,</w:t>
      </w:r>
      <w:r>
        <w:rPr>
          <w:rFonts w:ascii="Arial" w:hAnsi="Arial"/>
          <w:i/>
          <w:spacing w:val="40"/>
          <w:sz w:val="20"/>
        </w:rPr>
        <w:t> </w:t>
      </w:r>
      <w:r>
        <w:rPr>
          <w:rFonts w:ascii="Arial" w:hAnsi="Arial"/>
          <w:i/>
          <w:sz w:val="20"/>
        </w:rPr>
        <w:t>118–119</w:t>
      </w:r>
      <w:r>
        <w:rPr>
          <w:sz w:val="20"/>
        </w:rPr>
        <w:t>;</w:t>
      </w:r>
      <w:r>
        <w:rPr>
          <w:spacing w:val="40"/>
          <w:sz w:val="20"/>
        </w:rPr>
        <w:t> </w:t>
      </w:r>
      <w:r>
        <w:rPr>
          <w:sz w:val="20"/>
        </w:rPr>
        <w:t>Atiyah,</w:t>
      </w:r>
      <w:r>
        <w:rPr>
          <w:spacing w:val="40"/>
          <w:sz w:val="20"/>
        </w:rPr>
        <w:t> </w:t>
      </w:r>
      <w:r>
        <w:rPr>
          <w:rFonts w:ascii="Arial" w:hAnsi="Arial"/>
          <w:i/>
          <w:sz w:val="20"/>
        </w:rPr>
        <w:t>The</w:t>
      </w:r>
      <w:r>
        <w:rPr>
          <w:rFonts w:ascii="Arial" w:hAnsi="Arial"/>
          <w:i/>
          <w:spacing w:val="40"/>
          <w:sz w:val="20"/>
        </w:rPr>
        <w:t> </w:t>
      </w:r>
      <w:r>
        <w:rPr>
          <w:rFonts w:ascii="Arial" w:hAnsi="Arial"/>
          <w:i/>
          <w:sz w:val="20"/>
        </w:rPr>
        <w:t>Rise</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Fall</w:t>
      </w:r>
      <w:r>
        <w:rPr>
          <w:rFonts w:ascii="Arial" w:hAnsi="Arial"/>
          <w:i/>
          <w:spacing w:val="40"/>
          <w:sz w:val="20"/>
        </w:rPr>
        <w:t> </w:t>
      </w:r>
      <w:r>
        <w:rPr>
          <w:rFonts w:ascii="Arial" w:hAnsi="Arial"/>
          <w:i/>
          <w:sz w:val="20"/>
        </w:rPr>
        <w:t>of Freedom of Contract </w:t>
      </w:r>
      <w:r>
        <w:rPr>
          <w:sz w:val="20"/>
        </w:rPr>
        <w:t>(1979), pp.414–415.</w:t>
      </w:r>
    </w:p>
    <w:p>
      <w:pPr>
        <w:pStyle w:val="BodyText"/>
        <w:spacing w:before="9"/>
      </w:pPr>
    </w:p>
    <w:p>
      <w:pPr>
        <w:tabs>
          <w:tab w:pos="705" w:val="left" w:leader="none"/>
        </w:tabs>
        <w:spacing w:line="235" w:lineRule="auto" w:before="1"/>
        <w:ind w:left="705" w:right="168" w:hanging="541"/>
        <w:jc w:val="left"/>
        <w:rPr>
          <w:sz w:val="20"/>
        </w:rPr>
      </w:pPr>
      <w:bookmarkStart w:name="_bookmark458" w:id="460"/>
      <w:bookmarkEnd w:id="460"/>
      <w:r>
        <w:rPr/>
      </w:r>
      <w:hyperlink w:history="true" w:anchor="_bookmark381">
        <w:r>
          <w:rPr>
            <w:color w:val="005DA1"/>
            <w:spacing w:val="-4"/>
            <w:position w:val="5"/>
            <w:sz w:val="14"/>
            <w:u w:val="single" w:color="005DA1"/>
          </w:rPr>
          <w:t>209</w:t>
        </w:r>
      </w:hyperlink>
      <w:r>
        <w:rPr>
          <w:spacing w:val="-4"/>
          <w:position w:val="5"/>
          <w:sz w:val="14"/>
        </w:rPr>
        <w:t>.</w:t>
      </w:r>
      <w:r>
        <w:rPr>
          <w:position w:val="5"/>
          <w:sz w:val="14"/>
        </w:rPr>
        <w:tab/>
      </w:r>
      <w:r>
        <w:rPr>
          <w:sz w:val="20"/>
        </w:rPr>
        <w:t>See </w:t>
      </w:r>
      <w:r>
        <w:rPr>
          <w:rFonts w:ascii="Arial" w:hAnsi="Arial"/>
          <w:i/>
          <w:sz w:val="20"/>
        </w:rPr>
        <w:t>Suisse Atlantique Société d’Armement Maritime SA v NV Rotterdamsche Kolen </w:t>
      </w:r>
      <w:r>
        <w:rPr>
          <w:rFonts w:ascii="Arial" w:hAnsi="Arial"/>
          <w:i/>
          <w:sz w:val="20"/>
        </w:rPr>
        <w:t>Centrale</w:t>
      </w:r>
      <w:r>
        <w:rPr>
          <w:rFonts w:ascii="Arial" w:hAnsi="Arial"/>
          <w:i/>
          <w:spacing w:val="40"/>
          <w:sz w:val="20"/>
        </w:rPr>
        <w:t> </w:t>
      </w:r>
      <w:r>
        <w:rPr>
          <w:rFonts w:ascii="Arial" w:hAnsi="Arial"/>
          <w:i/>
          <w:sz w:val="20"/>
        </w:rPr>
        <w:t>[1967] 1 A.C. 361 </w:t>
      </w:r>
      <w:r>
        <w:rPr>
          <w:sz w:val="20"/>
        </w:rPr>
        <w:t>and below, paras 15-023—15-027.</w:t>
      </w:r>
    </w:p>
    <w:p>
      <w:pPr>
        <w:pStyle w:val="BodyText"/>
        <w:spacing w:before="5"/>
      </w:pPr>
    </w:p>
    <w:p>
      <w:pPr>
        <w:tabs>
          <w:tab w:pos="705" w:val="left" w:leader="none"/>
        </w:tabs>
        <w:spacing w:before="0"/>
        <w:ind w:left="165" w:right="0" w:firstLine="0"/>
        <w:jc w:val="left"/>
        <w:rPr>
          <w:sz w:val="20"/>
        </w:rPr>
      </w:pPr>
      <w:bookmarkStart w:name="_bookmark459" w:id="461"/>
      <w:bookmarkEnd w:id="461"/>
      <w:r>
        <w:rPr/>
      </w:r>
      <w:hyperlink w:history="true" w:anchor="_bookmark382">
        <w:r>
          <w:rPr>
            <w:color w:val="005DA1"/>
            <w:spacing w:val="-4"/>
            <w:position w:val="5"/>
            <w:sz w:val="14"/>
            <w:u w:val="single" w:color="005DA1"/>
          </w:rPr>
          <w:t>210</w:t>
        </w:r>
      </w:hyperlink>
      <w:r>
        <w:rPr>
          <w:spacing w:val="-4"/>
          <w:position w:val="5"/>
          <w:sz w:val="14"/>
        </w:rPr>
        <w:t>.</w:t>
      </w:r>
      <w:r>
        <w:rPr>
          <w:position w:val="5"/>
          <w:sz w:val="14"/>
        </w:rPr>
        <w:tab/>
      </w:r>
      <w:r>
        <w:rPr>
          <w:rFonts w:ascii="Arial"/>
          <w:i/>
          <w:sz w:val="20"/>
        </w:rPr>
        <w:t>[1967]</w:t>
      </w:r>
      <w:r>
        <w:rPr>
          <w:rFonts w:ascii="Arial"/>
          <w:i/>
          <w:spacing w:val="-2"/>
          <w:sz w:val="20"/>
        </w:rPr>
        <w:t> </w:t>
      </w:r>
      <w:r>
        <w:rPr>
          <w:rFonts w:ascii="Arial"/>
          <w:i/>
          <w:sz w:val="20"/>
        </w:rPr>
        <w:t>1 A.C. 361</w:t>
      </w:r>
      <w:r>
        <w:rPr>
          <w:rFonts w:ascii="Arial"/>
          <w:i/>
          <w:spacing w:val="-1"/>
          <w:sz w:val="20"/>
        </w:rPr>
        <w:t> </w:t>
      </w:r>
      <w:r>
        <w:rPr>
          <w:sz w:val="20"/>
        </w:rPr>
        <w:t>at </w:t>
      </w:r>
      <w:r>
        <w:rPr>
          <w:spacing w:val="-4"/>
          <w:sz w:val="20"/>
        </w:rPr>
        <w:t>399.</w:t>
      </w:r>
    </w:p>
    <w:p>
      <w:pPr>
        <w:pStyle w:val="BodyText"/>
        <w:spacing w:before="5"/>
      </w:pPr>
    </w:p>
    <w:p>
      <w:pPr>
        <w:tabs>
          <w:tab w:pos="705" w:val="left" w:leader="none"/>
        </w:tabs>
        <w:spacing w:before="0"/>
        <w:ind w:left="165" w:right="0" w:firstLine="0"/>
        <w:jc w:val="left"/>
        <w:rPr>
          <w:sz w:val="20"/>
        </w:rPr>
      </w:pPr>
      <w:bookmarkStart w:name="_bookmark460" w:id="462"/>
      <w:bookmarkEnd w:id="462"/>
      <w:r>
        <w:rPr/>
      </w:r>
      <w:hyperlink w:history="true" w:anchor="_bookmark383">
        <w:r>
          <w:rPr>
            <w:color w:val="005DA1"/>
            <w:spacing w:val="-4"/>
            <w:position w:val="5"/>
            <w:sz w:val="14"/>
            <w:u w:val="single" w:color="005DA1"/>
          </w:rPr>
          <w:t>211</w:t>
        </w:r>
      </w:hyperlink>
      <w:r>
        <w:rPr>
          <w:spacing w:val="-4"/>
          <w:position w:val="5"/>
          <w:sz w:val="14"/>
        </w:rPr>
        <w:t>.</w:t>
      </w:r>
      <w:r>
        <w:rPr>
          <w:position w:val="5"/>
          <w:sz w:val="14"/>
        </w:rPr>
        <w:tab/>
      </w:r>
      <w:r>
        <w:rPr>
          <w:rFonts w:ascii="Arial"/>
          <w:i/>
          <w:sz w:val="20"/>
        </w:rPr>
        <w:t>Photo Production Ltd v Securicor Transport Ltd [1980] A.C. 827</w:t>
      </w:r>
      <w:r>
        <w:rPr>
          <w:rFonts w:ascii="Arial"/>
          <w:i/>
          <w:spacing w:val="-1"/>
          <w:sz w:val="20"/>
        </w:rPr>
        <w:t> </w:t>
      </w:r>
      <w:r>
        <w:rPr>
          <w:sz w:val="20"/>
        </w:rPr>
        <w:t>at </w:t>
      </w:r>
      <w:r>
        <w:rPr>
          <w:spacing w:val="-4"/>
          <w:sz w:val="20"/>
        </w:rPr>
        <w:t>848.</w:t>
      </w:r>
    </w:p>
    <w:p>
      <w:pPr>
        <w:pStyle w:val="BodyText"/>
        <w:spacing w:before="9"/>
      </w:pPr>
    </w:p>
    <w:p>
      <w:pPr>
        <w:tabs>
          <w:tab w:pos="705" w:val="left" w:leader="none"/>
        </w:tabs>
        <w:spacing w:line="235" w:lineRule="auto" w:before="0"/>
        <w:ind w:left="705" w:right="168" w:hanging="541"/>
        <w:jc w:val="left"/>
        <w:rPr>
          <w:sz w:val="20"/>
        </w:rPr>
      </w:pPr>
      <w:bookmarkStart w:name="_bookmark461" w:id="463"/>
      <w:bookmarkEnd w:id="463"/>
      <w:r>
        <w:rPr/>
      </w:r>
      <w:hyperlink w:history="true" w:anchor="_bookmark384">
        <w:r>
          <w:rPr>
            <w:color w:val="005DA1"/>
            <w:spacing w:val="-4"/>
            <w:position w:val="5"/>
            <w:sz w:val="14"/>
            <w:u w:val="single" w:color="005DA1"/>
          </w:rPr>
          <w:t>212</w:t>
        </w:r>
      </w:hyperlink>
      <w:r>
        <w:rPr>
          <w:spacing w:val="-4"/>
          <w:position w:val="5"/>
          <w:sz w:val="14"/>
        </w:rPr>
        <w:t>.</w:t>
      </w:r>
      <w:r>
        <w:rPr>
          <w:position w:val="5"/>
          <w:sz w:val="14"/>
        </w:rPr>
        <w:tab/>
      </w:r>
      <w:r>
        <w:rPr>
          <w:sz w:val="20"/>
        </w:rPr>
        <w:t>And</w:t>
      </w:r>
      <w:r>
        <w:rPr>
          <w:spacing w:val="40"/>
          <w:sz w:val="20"/>
        </w:rPr>
        <w:t> </w:t>
      </w:r>
      <w:r>
        <w:rPr>
          <w:sz w:val="20"/>
        </w:rPr>
        <w:t>see</w:t>
      </w:r>
      <w:r>
        <w:rPr>
          <w:spacing w:val="40"/>
          <w:sz w:val="20"/>
        </w:rPr>
        <w:t> </w:t>
      </w:r>
      <w:r>
        <w:rPr>
          <w:rFonts w:ascii="Arial" w:hAnsi="Arial"/>
          <w:i/>
          <w:sz w:val="20"/>
        </w:rPr>
        <w:t>Eurico</w:t>
      </w:r>
      <w:r>
        <w:rPr>
          <w:rFonts w:ascii="Arial" w:hAnsi="Arial"/>
          <w:i/>
          <w:spacing w:val="40"/>
          <w:sz w:val="20"/>
        </w:rPr>
        <w:t> </w:t>
      </w:r>
      <w:r>
        <w:rPr>
          <w:rFonts w:ascii="Arial" w:hAnsi="Arial"/>
          <w:i/>
          <w:sz w:val="20"/>
        </w:rPr>
        <w:t>SpA</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Philipp</w:t>
      </w:r>
      <w:r>
        <w:rPr>
          <w:rFonts w:ascii="Arial" w:hAnsi="Arial"/>
          <w:i/>
          <w:spacing w:val="40"/>
          <w:sz w:val="20"/>
        </w:rPr>
        <w:t> </w:t>
      </w:r>
      <w:r>
        <w:rPr>
          <w:rFonts w:ascii="Arial" w:hAnsi="Arial"/>
          <w:i/>
          <w:sz w:val="20"/>
        </w:rPr>
        <w:t>Brothers</w:t>
      </w:r>
      <w:r>
        <w:rPr>
          <w:rFonts w:ascii="Arial" w:hAnsi="Arial"/>
          <w:i/>
          <w:spacing w:val="40"/>
          <w:sz w:val="20"/>
        </w:rPr>
        <w:t> </w:t>
      </w:r>
      <w:r>
        <w:rPr>
          <w:rFonts w:ascii="Arial" w:hAnsi="Arial"/>
          <w:i/>
          <w:sz w:val="20"/>
        </w:rPr>
        <w:t>[1987]</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215,</w:t>
      </w:r>
      <w:r>
        <w:rPr>
          <w:rFonts w:ascii="Arial" w:hAnsi="Arial"/>
          <w:i/>
          <w:spacing w:val="40"/>
          <w:sz w:val="20"/>
        </w:rPr>
        <w:t> </w:t>
      </w:r>
      <w:r>
        <w:rPr>
          <w:rFonts w:ascii="Arial" w:hAnsi="Arial"/>
          <w:i/>
          <w:sz w:val="20"/>
        </w:rPr>
        <w:t>218</w:t>
      </w:r>
      <w:r>
        <w:rPr>
          <w:rFonts w:ascii="Arial" w:hAnsi="Arial"/>
          <w:i/>
          <w:spacing w:val="40"/>
          <w:sz w:val="20"/>
        </w:rPr>
        <w:t> </w:t>
      </w:r>
      <w:r>
        <w:rPr>
          <w:sz w:val="20"/>
        </w:rPr>
        <w:t>(term</w:t>
      </w:r>
      <w:r>
        <w:rPr>
          <w:spacing w:val="40"/>
          <w:sz w:val="20"/>
        </w:rPr>
        <w:t> </w:t>
      </w:r>
      <w:r>
        <w:rPr>
          <w:sz w:val="20"/>
        </w:rPr>
        <w:t>to</w:t>
      </w:r>
      <w:r>
        <w:rPr>
          <w:spacing w:val="40"/>
          <w:sz w:val="20"/>
        </w:rPr>
        <w:t> </w:t>
      </w:r>
      <w:r>
        <w:rPr>
          <w:sz w:val="20"/>
        </w:rPr>
        <w:t>do</w:t>
      </w:r>
      <w:r>
        <w:rPr>
          <w:spacing w:val="40"/>
          <w:sz w:val="20"/>
        </w:rPr>
        <w:t> </w:t>
      </w:r>
      <w:r>
        <w:rPr>
          <w:sz w:val="20"/>
        </w:rPr>
        <w:t>the</w:t>
      </w:r>
      <w:r>
        <w:rPr>
          <w:spacing w:val="80"/>
          <w:sz w:val="20"/>
        </w:rPr>
        <w:t> </w:t>
      </w:r>
      <w:r>
        <w:rPr>
          <w:sz w:val="20"/>
        </w:rPr>
        <w:t>impossible valid).</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0864">
            <wp:simplePos x="0" y="0"/>
            <wp:positionH relativeFrom="page">
              <wp:posOffset>1257846</wp:posOffset>
            </wp:positionH>
            <wp:positionV relativeFrom="paragraph">
              <wp:posOffset>160484</wp:posOffset>
            </wp:positionV>
            <wp:extent cx="107988" cy="107988"/>
            <wp:effectExtent l="0" t="0" r="0" b="0"/>
            <wp:wrapNone/>
            <wp:docPr id="213" name="Image 213"/>
            <wp:cNvGraphicFramePr>
              <a:graphicFrameLocks/>
            </wp:cNvGraphicFramePr>
            <a:graphic>
              <a:graphicData uri="http://schemas.openxmlformats.org/drawingml/2006/picture">
                <pic:pic>
                  <pic:nvPicPr>
                    <pic:cNvPr id="213" name="Image 21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62" w:id="464"/>
      <w:bookmarkEnd w:id="464"/>
      <w:r>
        <w:rPr/>
      </w:r>
      <w:hyperlink w:history="true" w:anchor="_bookmark385">
        <w:r>
          <w:rPr>
            <w:color w:val="005DA1"/>
            <w:spacing w:val="-4"/>
            <w:sz w:val="14"/>
            <w:u w:val="single" w:color="005DA1"/>
          </w:rPr>
          <w:t>213</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Homburg</w:t>
      </w:r>
      <w:r>
        <w:rPr>
          <w:rFonts w:ascii="Arial" w:hAnsi="Arial"/>
          <w:i/>
          <w:spacing w:val="-1"/>
          <w:sz w:val="20"/>
        </w:rPr>
        <w:t> </w:t>
      </w:r>
      <w:r>
        <w:rPr>
          <w:rFonts w:ascii="Arial" w:hAnsi="Arial"/>
          <w:i/>
          <w:sz w:val="20"/>
        </w:rPr>
        <w:t>Houtimport</w:t>
      </w:r>
      <w:r>
        <w:rPr>
          <w:rFonts w:ascii="Arial" w:hAnsi="Arial"/>
          <w:i/>
          <w:spacing w:val="-1"/>
          <w:sz w:val="20"/>
        </w:rPr>
        <w:t> </w:t>
      </w:r>
      <w:r>
        <w:rPr>
          <w:rFonts w:ascii="Arial" w:hAnsi="Arial"/>
          <w:i/>
          <w:sz w:val="20"/>
        </w:rPr>
        <w:t>BV</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Agrosin</w:t>
      </w:r>
      <w:r>
        <w:rPr>
          <w:rFonts w:ascii="Arial" w:hAnsi="Arial"/>
          <w:i/>
          <w:spacing w:val="-1"/>
          <w:sz w:val="20"/>
        </w:rPr>
        <w:t> </w:t>
      </w:r>
      <w:r>
        <w:rPr>
          <w:rFonts w:ascii="Arial" w:hAnsi="Arial"/>
          <w:i/>
          <w:sz w:val="20"/>
        </w:rPr>
        <w:t>Private</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Starsin)</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UKHL</w:t>
      </w:r>
      <w:r>
        <w:rPr>
          <w:rFonts w:ascii="Arial" w:hAnsi="Arial"/>
          <w:i/>
          <w:spacing w:val="-1"/>
          <w:sz w:val="20"/>
        </w:rPr>
        <w:t> </w:t>
      </w:r>
      <w:r>
        <w:rPr>
          <w:rFonts w:ascii="Arial" w:hAnsi="Arial"/>
          <w:i/>
          <w:sz w:val="20"/>
        </w:rPr>
        <w:t>12,</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3</w:t>
      </w:r>
      <w:r>
        <w:rPr>
          <w:rFonts w:ascii="Arial" w:hAnsi="Arial"/>
          <w:i/>
          <w:spacing w:val="-1"/>
          <w:sz w:val="20"/>
        </w:rPr>
        <w:t> </w:t>
      </w:r>
      <w:r>
        <w:rPr>
          <w:rFonts w:ascii="Arial" w:hAnsi="Arial"/>
          <w:i/>
          <w:sz w:val="20"/>
        </w:rPr>
        <w:t>W.L.R. 711 </w:t>
      </w:r>
      <w:r>
        <w:rPr>
          <w:sz w:val="20"/>
        </w:rPr>
        <w:t>at [57]; </w:t>
      </w:r>
      <w:r>
        <w:rPr>
          <w:rFonts w:ascii="Arial" w:hAnsi="Arial"/>
          <w:i/>
          <w:sz w:val="20"/>
        </w:rPr>
        <w:t>Prime Sight Ltd v Lavarello [2013] UKPC 22, [2014] A.C. 436 </w:t>
      </w:r>
      <w:r>
        <w:rPr>
          <w:sz w:val="20"/>
        </w:rPr>
        <w:t>at [47] (contractual recital of fact known by both parties to be untrue enforceable in principle); </w:t>
      </w:r>
      <w:r>
        <w:rPr>
          <w:rFonts w:ascii="Arial" w:hAnsi="Arial"/>
          <w:i/>
          <w:sz w:val="20"/>
        </w:rPr>
        <w:t>MWB Business Exchange Centres Ltd v Rock Advertising Ltd [2016] EWCA Civ 553, [2017] Q.B. 604 </w:t>
      </w:r>
      <w:r>
        <w:rPr>
          <w:sz w:val="20"/>
        </w:rPr>
        <w:t>at [31] and [34], following dicta in </w:t>
      </w:r>
      <w:r>
        <w:rPr>
          <w:rFonts w:ascii="Arial" w:hAnsi="Arial"/>
          <w:i/>
          <w:sz w:val="20"/>
        </w:rPr>
        <w:t>Globe Motors Inc v TRW Lucas Varity Electric Steering Ltd [2016] 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396,</w:t>
      </w:r>
      <w:r>
        <w:rPr>
          <w:rFonts w:ascii="Arial" w:hAnsi="Arial"/>
          <w:i/>
          <w:spacing w:val="-3"/>
          <w:sz w:val="20"/>
        </w:rPr>
        <w:t> </w:t>
      </w:r>
      <w:r>
        <w:rPr>
          <w:rFonts w:ascii="Arial" w:hAnsi="Arial"/>
          <w:i/>
          <w:sz w:val="20"/>
        </w:rPr>
        <w:t>[2017]</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All</w:t>
      </w:r>
      <w:r>
        <w:rPr>
          <w:rFonts w:ascii="Arial" w:hAnsi="Arial"/>
          <w:i/>
          <w:spacing w:val="-3"/>
          <w:sz w:val="20"/>
        </w:rPr>
        <w:t> </w:t>
      </w:r>
      <w:r>
        <w:rPr>
          <w:rFonts w:ascii="Arial" w:hAnsi="Arial"/>
          <w:i/>
          <w:sz w:val="20"/>
        </w:rPr>
        <w:t>E.R.</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601</w:t>
      </w:r>
      <w:r>
        <w:rPr>
          <w:sz w:val="20"/>
        </w:rPr>
        <w:t>,</w:t>
      </w:r>
      <w:r>
        <w:rPr>
          <w:spacing w:val="-3"/>
          <w:sz w:val="20"/>
        </w:rPr>
        <w:t> </w:t>
      </w:r>
      <w:r>
        <w:rPr>
          <w:sz w:val="20"/>
        </w:rPr>
        <w:t>esp.</w:t>
      </w:r>
      <w:r>
        <w:rPr>
          <w:spacing w:val="-3"/>
          <w:sz w:val="20"/>
        </w:rPr>
        <w:t> </w:t>
      </w:r>
      <w:r>
        <w:rPr>
          <w:sz w:val="20"/>
        </w:rPr>
        <w:t>at</w:t>
      </w:r>
      <w:r>
        <w:rPr>
          <w:spacing w:val="-3"/>
          <w:sz w:val="20"/>
        </w:rPr>
        <w:t> </w:t>
      </w:r>
      <w:r>
        <w:rPr>
          <w:sz w:val="20"/>
        </w:rPr>
        <w:t>[100]</w:t>
      </w:r>
      <w:r>
        <w:rPr>
          <w:spacing w:val="-3"/>
          <w:sz w:val="20"/>
        </w:rPr>
        <w:t> </w:t>
      </w:r>
      <w:r>
        <w:rPr>
          <w:sz w:val="20"/>
        </w:rPr>
        <w:t>and</w:t>
      </w:r>
      <w:r>
        <w:rPr>
          <w:spacing w:val="-3"/>
          <w:sz w:val="20"/>
        </w:rPr>
        <w:t> </w:t>
      </w:r>
      <w:r>
        <w:rPr>
          <w:sz w:val="20"/>
        </w:rPr>
        <w:t>[119]</w:t>
      </w:r>
      <w:r>
        <w:rPr>
          <w:spacing w:val="-3"/>
          <w:sz w:val="20"/>
        </w:rPr>
        <w:t> </w:t>
      </w:r>
      <w:r>
        <w:rPr>
          <w:sz w:val="20"/>
        </w:rPr>
        <w:t>(the</w:t>
      </w:r>
      <w:r>
        <w:rPr>
          <w:spacing w:val="-3"/>
          <w:sz w:val="20"/>
        </w:rPr>
        <w:t> </w:t>
      </w:r>
      <w:r>
        <w:rPr>
          <w:sz w:val="20"/>
        </w:rPr>
        <w:t>general</w:t>
      </w:r>
      <w:r>
        <w:rPr>
          <w:spacing w:val="-3"/>
          <w:sz w:val="20"/>
        </w:rPr>
        <w:t> </w:t>
      </w:r>
      <w:r>
        <w:rPr>
          <w:sz w:val="20"/>
        </w:rPr>
        <w:t>principle</w:t>
      </w:r>
      <w:r>
        <w:rPr>
          <w:spacing w:val="-3"/>
          <w:sz w:val="20"/>
        </w:rPr>
        <w:t> </w:t>
      </w:r>
      <w:r>
        <w:rPr>
          <w:sz w:val="20"/>
        </w:rPr>
        <w:t>that parties are free to agree whatever terms they choose to undertake allows them to vary by contract an earlier contract containing an “anti-oral variation” clause); </w:t>
      </w:r>
      <w:r>
        <w:rPr>
          <w:rFonts w:ascii="Arial" w:hAnsi="Arial"/>
          <w:i/>
          <w:sz w:val="20"/>
        </w:rPr>
        <w:t>Transocean Drilling UK Ltd v Providence Resources Plc [2016] EWCA Civ 372, [2016] 2 All E.R. (Comm) 606 </w:t>
      </w:r>
      <w:r>
        <w:rPr>
          <w:sz w:val="20"/>
        </w:rPr>
        <w:t>at [28] (“the principle of freedom of contract is still fundamental to [English] commercial law”).</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6"/>
      </w:pPr>
    </w:p>
    <w:p>
      <w:pPr>
        <w:spacing w:line="235" w:lineRule="auto" w:before="0"/>
        <w:ind w:left="705" w:right="168" w:hanging="541"/>
        <w:jc w:val="both"/>
        <w:rPr>
          <w:sz w:val="20"/>
        </w:rPr>
      </w:pPr>
      <w:bookmarkStart w:name="_bookmark463" w:id="465"/>
      <w:bookmarkEnd w:id="465"/>
      <w:r>
        <w:rPr/>
      </w:r>
      <w:hyperlink w:history="true" w:anchor="_bookmark386">
        <w:r>
          <w:rPr>
            <w:color w:val="005DA1"/>
            <w:position w:val="5"/>
            <w:sz w:val="14"/>
            <w:u w:val="single" w:color="005DA1"/>
          </w:rPr>
          <w:t>214</w:t>
        </w:r>
      </w:hyperlink>
      <w:r>
        <w:rPr>
          <w:position w:val="5"/>
          <w:sz w:val="14"/>
        </w:rPr>
        <w:t>.</w:t>
      </w:r>
      <w:r>
        <w:rPr>
          <w:spacing w:val="80"/>
          <w:position w:val="5"/>
          <w:sz w:val="14"/>
        </w:rPr>
        <w:t>  </w:t>
      </w:r>
      <w:r>
        <w:rPr>
          <w:rFonts w:ascii="Arial"/>
          <w:i/>
          <w:sz w:val="20"/>
        </w:rPr>
        <w:t>National Westminster Bank Plc v Morgan [1985] 1 A.C. 686, 708</w:t>
      </w:r>
      <w:r>
        <w:rPr>
          <w:sz w:val="20"/>
        </w:rPr>
        <w:t>, disapproving the dictum </w:t>
      </w:r>
      <w:r>
        <w:rPr>
          <w:sz w:val="20"/>
        </w:rPr>
        <w:t>of Lord</w:t>
      </w:r>
      <w:r>
        <w:rPr>
          <w:spacing w:val="40"/>
          <w:sz w:val="20"/>
        </w:rPr>
        <w:t> </w:t>
      </w:r>
      <w:r>
        <w:rPr>
          <w:sz w:val="20"/>
        </w:rPr>
        <w:t>Denning</w:t>
      </w:r>
      <w:r>
        <w:rPr>
          <w:spacing w:val="40"/>
          <w:sz w:val="20"/>
        </w:rPr>
        <w:t> </w:t>
      </w:r>
      <w:r>
        <w:rPr>
          <w:sz w:val="20"/>
        </w:rPr>
        <w:t>M.R.</w:t>
      </w:r>
      <w:r>
        <w:rPr>
          <w:spacing w:val="40"/>
          <w:sz w:val="20"/>
        </w:rPr>
        <w:t> </w:t>
      </w:r>
      <w:r>
        <w:rPr>
          <w:sz w:val="20"/>
        </w:rPr>
        <w:t>in</w:t>
      </w:r>
      <w:r>
        <w:rPr>
          <w:spacing w:val="40"/>
          <w:sz w:val="20"/>
        </w:rPr>
        <w:t> </w:t>
      </w:r>
      <w:r>
        <w:rPr>
          <w:rFonts w:ascii="Arial"/>
          <w:i/>
          <w:sz w:val="20"/>
        </w:rPr>
        <w:t>Lloyds</w:t>
      </w:r>
      <w:r>
        <w:rPr>
          <w:rFonts w:ascii="Arial"/>
          <w:i/>
          <w:spacing w:val="40"/>
          <w:sz w:val="20"/>
        </w:rPr>
        <w:t> </w:t>
      </w:r>
      <w:r>
        <w:rPr>
          <w:rFonts w:ascii="Arial"/>
          <w:i/>
          <w:sz w:val="20"/>
        </w:rPr>
        <w:t>Bank</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Bundy</w:t>
      </w:r>
      <w:r>
        <w:rPr>
          <w:rFonts w:ascii="Arial"/>
          <w:i/>
          <w:spacing w:val="40"/>
          <w:sz w:val="20"/>
        </w:rPr>
        <w:t> </w:t>
      </w:r>
      <w:r>
        <w:rPr>
          <w:rFonts w:ascii="Arial"/>
          <w:i/>
          <w:sz w:val="20"/>
        </w:rPr>
        <w:t>[1975]</w:t>
      </w:r>
      <w:r>
        <w:rPr>
          <w:rFonts w:ascii="Arial"/>
          <w:i/>
          <w:spacing w:val="40"/>
          <w:sz w:val="20"/>
        </w:rPr>
        <w:t> </w:t>
      </w:r>
      <w:r>
        <w:rPr>
          <w:rFonts w:ascii="Arial"/>
          <w:i/>
          <w:sz w:val="20"/>
        </w:rPr>
        <w:t>Q.B.</w:t>
      </w:r>
      <w:r>
        <w:rPr>
          <w:rFonts w:ascii="Arial"/>
          <w:i/>
          <w:spacing w:val="40"/>
          <w:sz w:val="20"/>
        </w:rPr>
        <w:t> </w:t>
      </w:r>
      <w:r>
        <w:rPr>
          <w:rFonts w:ascii="Arial"/>
          <w:i/>
          <w:sz w:val="20"/>
        </w:rPr>
        <w:t>326,</w:t>
      </w:r>
      <w:r>
        <w:rPr>
          <w:rFonts w:ascii="Arial"/>
          <w:i/>
          <w:spacing w:val="40"/>
          <w:sz w:val="20"/>
        </w:rPr>
        <w:t> </w:t>
      </w:r>
      <w:r>
        <w:rPr>
          <w:rFonts w:ascii="Arial"/>
          <w:i/>
          <w:sz w:val="20"/>
        </w:rPr>
        <w:t>339</w:t>
      </w:r>
      <w:r>
        <w:rPr>
          <w:sz w:val="20"/>
        </w:rPr>
        <w:t>;</w:t>
      </w:r>
      <w:r>
        <w:rPr>
          <w:spacing w:val="40"/>
          <w:sz w:val="20"/>
        </w:rPr>
        <w:t> </w:t>
      </w:r>
      <w:r>
        <w:rPr>
          <w:sz w:val="20"/>
        </w:rPr>
        <w:t>and</w:t>
      </w:r>
      <w:r>
        <w:rPr>
          <w:spacing w:val="40"/>
          <w:sz w:val="20"/>
        </w:rPr>
        <w:t> </w:t>
      </w:r>
      <w:r>
        <w:rPr>
          <w:sz w:val="20"/>
        </w:rPr>
        <w:t>see</w:t>
      </w:r>
      <w:r>
        <w:rPr>
          <w:spacing w:val="40"/>
          <w:sz w:val="20"/>
        </w:rPr>
        <w:t> </w:t>
      </w:r>
      <w:r>
        <w:rPr>
          <w:sz w:val="20"/>
        </w:rPr>
        <w:t>below, para.8-143. cf. paras 8-130 et seq. (unconscionable bargains).</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1376">
            <wp:simplePos x="0" y="0"/>
            <wp:positionH relativeFrom="page">
              <wp:posOffset>1257846</wp:posOffset>
            </wp:positionH>
            <wp:positionV relativeFrom="paragraph">
              <wp:posOffset>160535</wp:posOffset>
            </wp:positionV>
            <wp:extent cx="107988" cy="107988"/>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64" w:id="466"/>
      <w:bookmarkEnd w:id="466"/>
      <w:r>
        <w:rPr/>
      </w:r>
      <w:hyperlink w:history="true" w:anchor="_bookmark387">
        <w:r>
          <w:rPr>
            <w:color w:val="005DA1"/>
            <w:spacing w:val="-4"/>
            <w:sz w:val="14"/>
            <w:u w:val="single" w:color="005DA1"/>
          </w:rPr>
          <w:t>215</w:t>
        </w:r>
      </w:hyperlink>
      <w:r>
        <w:rPr>
          <w:spacing w:val="-4"/>
          <w:sz w:val="14"/>
        </w:rPr>
        <w:t>.</w:t>
      </w:r>
    </w:p>
    <w:p>
      <w:pPr>
        <w:spacing w:line="235" w:lineRule="auto" w:before="212"/>
        <w:ind w:left="165" w:right="168" w:firstLine="170"/>
        <w:jc w:val="both"/>
        <w:rPr>
          <w:sz w:val="20"/>
        </w:rPr>
      </w:pPr>
      <w:r>
        <w:rPr/>
        <w:br w:type="column"/>
      </w:r>
      <w:r>
        <w:rPr>
          <w:rFonts w:ascii="Arial" w:hAnsi="Arial"/>
          <w:i/>
          <w:sz w:val="20"/>
        </w:rPr>
        <w:t>Liverpool City Council v Irwin [1977] A.C. 239, 254</w:t>
      </w:r>
      <w:r>
        <w:rPr>
          <w:sz w:val="20"/>
        </w:rPr>
        <w:t>; </w:t>
      </w:r>
      <w:r>
        <w:rPr>
          <w:rFonts w:ascii="Arial" w:hAnsi="Arial"/>
          <w:i/>
          <w:sz w:val="20"/>
        </w:rPr>
        <w:t>Tai Hing Cotton Mill Ltd v Liu Chong Hing Bank</w:t>
      </w:r>
      <w:r>
        <w:rPr>
          <w:rFonts w:ascii="Arial" w:hAnsi="Arial"/>
          <w:i/>
          <w:spacing w:val="68"/>
          <w:sz w:val="20"/>
        </w:rPr>
        <w:t> </w:t>
      </w:r>
      <w:r>
        <w:rPr>
          <w:rFonts w:ascii="Arial" w:hAnsi="Arial"/>
          <w:i/>
          <w:sz w:val="20"/>
        </w:rPr>
        <w:t>Ltd</w:t>
      </w:r>
      <w:r>
        <w:rPr>
          <w:rFonts w:ascii="Arial" w:hAnsi="Arial"/>
          <w:i/>
          <w:spacing w:val="68"/>
          <w:sz w:val="20"/>
        </w:rPr>
        <w:t> </w:t>
      </w:r>
      <w:r>
        <w:rPr>
          <w:rFonts w:ascii="Arial" w:hAnsi="Arial"/>
          <w:i/>
          <w:sz w:val="20"/>
        </w:rPr>
        <w:t>[1986]</w:t>
      </w:r>
      <w:r>
        <w:rPr>
          <w:rFonts w:ascii="Arial" w:hAnsi="Arial"/>
          <w:i/>
          <w:spacing w:val="68"/>
          <w:sz w:val="20"/>
        </w:rPr>
        <w:t> </w:t>
      </w:r>
      <w:r>
        <w:rPr>
          <w:rFonts w:ascii="Arial" w:hAnsi="Arial"/>
          <w:i/>
          <w:sz w:val="20"/>
        </w:rPr>
        <w:t>A.C.</w:t>
      </w:r>
      <w:r>
        <w:rPr>
          <w:rFonts w:ascii="Arial" w:hAnsi="Arial"/>
          <w:i/>
          <w:spacing w:val="68"/>
          <w:sz w:val="20"/>
        </w:rPr>
        <w:t> </w:t>
      </w:r>
      <w:r>
        <w:rPr>
          <w:rFonts w:ascii="Arial" w:hAnsi="Arial"/>
          <w:i/>
          <w:sz w:val="20"/>
        </w:rPr>
        <w:t>80,</w:t>
      </w:r>
      <w:r>
        <w:rPr>
          <w:rFonts w:ascii="Arial" w:hAnsi="Arial"/>
          <w:i/>
          <w:spacing w:val="68"/>
          <w:sz w:val="20"/>
        </w:rPr>
        <w:t> </w:t>
      </w:r>
      <w:r>
        <w:rPr>
          <w:rFonts w:ascii="Arial" w:hAnsi="Arial"/>
          <w:i/>
          <w:sz w:val="20"/>
        </w:rPr>
        <w:t>104-105</w:t>
      </w:r>
      <w:r>
        <w:rPr>
          <w:sz w:val="20"/>
        </w:rPr>
        <w:t>;</w:t>
      </w:r>
      <w:r>
        <w:rPr>
          <w:spacing w:val="68"/>
          <w:sz w:val="20"/>
        </w:rPr>
        <w:t> </w:t>
      </w:r>
      <w:r>
        <w:rPr>
          <w:sz w:val="20"/>
        </w:rPr>
        <w:t>and</w:t>
      </w:r>
      <w:r>
        <w:rPr>
          <w:spacing w:val="68"/>
          <w:sz w:val="20"/>
        </w:rPr>
        <w:t> </w:t>
      </w:r>
      <w:r>
        <w:rPr>
          <w:sz w:val="20"/>
        </w:rPr>
        <w:t>see</w:t>
      </w:r>
      <w:r>
        <w:rPr>
          <w:spacing w:val="68"/>
          <w:sz w:val="20"/>
        </w:rPr>
        <w:t> </w:t>
      </w:r>
      <w:r>
        <w:rPr>
          <w:sz w:val="20"/>
        </w:rPr>
        <w:t>below,</w:t>
      </w:r>
      <w:r>
        <w:rPr>
          <w:spacing w:val="68"/>
          <w:sz w:val="20"/>
        </w:rPr>
        <w:t> </w:t>
      </w:r>
      <w:r>
        <w:rPr>
          <w:sz w:val="20"/>
        </w:rPr>
        <w:t>paras</w:t>
      </w:r>
      <w:r>
        <w:rPr>
          <w:spacing w:val="68"/>
          <w:sz w:val="20"/>
        </w:rPr>
        <w:t> </w:t>
      </w:r>
      <w:r>
        <w:rPr>
          <w:sz w:val="20"/>
        </w:rPr>
        <w:t>14-001</w:t>
      </w:r>
      <w:r>
        <w:rPr>
          <w:spacing w:val="68"/>
          <w:sz w:val="20"/>
        </w:rPr>
        <w:t> </w:t>
      </w:r>
      <w:r>
        <w:rPr>
          <w:sz w:val="20"/>
        </w:rPr>
        <w:t>et</w:t>
      </w:r>
      <w:r>
        <w:rPr>
          <w:spacing w:val="68"/>
          <w:sz w:val="20"/>
        </w:rPr>
        <w:t> </w:t>
      </w:r>
      <w:r>
        <w:rPr>
          <w:sz w:val="20"/>
        </w:rPr>
        <w:t>seq.</w:t>
      </w:r>
      <w:r>
        <w:rPr>
          <w:spacing w:val="68"/>
          <w:sz w:val="20"/>
        </w:rPr>
        <w:t> </w:t>
      </w:r>
      <w:r>
        <w:rPr>
          <w:sz w:val="20"/>
        </w:rPr>
        <w:t>especially</w:t>
      </w:r>
      <w:r>
        <w:rPr>
          <w:spacing w:val="68"/>
          <w:sz w:val="20"/>
        </w:rPr>
        <w:t> </w:t>
      </w:r>
      <w:r>
        <w:rPr>
          <w:sz w:val="20"/>
        </w:rPr>
        <w:t>at 14-011—14-012;</w:t>
      </w:r>
      <w:r>
        <w:rPr>
          <w:spacing w:val="-3"/>
          <w:sz w:val="20"/>
        </w:rPr>
        <w:t> </w:t>
      </w:r>
      <w:r>
        <w:rPr>
          <w:rFonts w:ascii="Arial" w:hAnsi="Arial"/>
          <w:i/>
          <w:sz w:val="20"/>
        </w:rPr>
        <w:t>Marks</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Spencer</w:t>
      </w:r>
      <w:r>
        <w:rPr>
          <w:rFonts w:ascii="Arial" w:hAnsi="Arial"/>
          <w:i/>
          <w:spacing w:val="-3"/>
          <w:sz w:val="20"/>
        </w:rPr>
        <w:t> </w:t>
      </w:r>
      <w:r>
        <w:rPr>
          <w:rFonts w:ascii="Arial" w:hAnsi="Arial"/>
          <w:i/>
          <w:sz w:val="20"/>
        </w:rPr>
        <w:t>Plc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BNP</w:t>
      </w:r>
      <w:r>
        <w:rPr>
          <w:rFonts w:ascii="Arial" w:hAnsi="Arial"/>
          <w:i/>
          <w:spacing w:val="-3"/>
          <w:sz w:val="20"/>
        </w:rPr>
        <w:t> </w:t>
      </w:r>
      <w:r>
        <w:rPr>
          <w:rFonts w:ascii="Arial" w:hAnsi="Arial"/>
          <w:i/>
          <w:sz w:val="20"/>
        </w:rPr>
        <w:t>Paribas</w:t>
      </w:r>
      <w:r>
        <w:rPr>
          <w:rFonts w:ascii="Arial" w:hAnsi="Arial"/>
          <w:i/>
          <w:spacing w:val="-3"/>
          <w:sz w:val="20"/>
        </w:rPr>
        <w:t> </w:t>
      </w:r>
      <w:r>
        <w:rPr>
          <w:rFonts w:ascii="Arial" w:hAnsi="Arial"/>
          <w:i/>
          <w:sz w:val="20"/>
        </w:rPr>
        <w:t>Securities</w:t>
      </w:r>
      <w:r>
        <w:rPr>
          <w:rFonts w:ascii="Arial" w:hAnsi="Arial"/>
          <w:i/>
          <w:spacing w:val="-3"/>
          <w:sz w:val="20"/>
        </w:rPr>
        <w:t> </w:t>
      </w:r>
      <w:r>
        <w:rPr>
          <w:rFonts w:ascii="Arial" w:hAnsi="Arial"/>
          <w:i/>
          <w:sz w:val="20"/>
        </w:rPr>
        <w:t>Services</w:t>
      </w:r>
      <w:r>
        <w:rPr>
          <w:rFonts w:ascii="Arial" w:hAnsi="Arial"/>
          <w:i/>
          <w:spacing w:val="-3"/>
          <w:sz w:val="20"/>
        </w:rPr>
        <w:t> </w:t>
      </w:r>
      <w:r>
        <w:rPr>
          <w:rFonts w:ascii="Arial" w:hAnsi="Arial"/>
          <w:i/>
          <w:sz w:val="20"/>
        </w:rPr>
        <w:t>Trust</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(Jersey)</w:t>
      </w:r>
      <w:r>
        <w:rPr>
          <w:rFonts w:ascii="Arial" w:hAnsi="Arial"/>
          <w:i/>
          <w:spacing w:val="-3"/>
          <w:sz w:val="20"/>
        </w:rPr>
        <w:t> </w:t>
      </w:r>
      <w:r>
        <w:rPr>
          <w:rFonts w:ascii="Arial" w:hAnsi="Arial"/>
          <w:i/>
          <w:sz w:val="20"/>
        </w:rPr>
        <w:t>Ltd [2015] UKSC 72, [2015] 3 W.L.R. 1843 </w:t>
      </w:r>
      <w:r>
        <w:rPr>
          <w:sz w:val="20"/>
        </w:rPr>
        <w:t>at [14]–[21] and [77].</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465" w:id="467"/>
      <w:bookmarkEnd w:id="467"/>
      <w:r>
        <w:rPr/>
      </w:r>
      <w:hyperlink w:history="true" w:anchor="_bookmark388">
        <w:r>
          <w:rPr>
            <w:color w:val="005DA1"/>
            <w:spacing w:val="-4"/>
            <w:position w:val="5"/>
            <w:sz w:val="14"/>
            <w:u w:val="single" w:color="005DA1"/>
          </w:rPr>
          <w:t>216</w:t>
        </w:r>
      </w:hyperlink>
      <w:r>
        <w:rPr>
          <w:spacing w:val="-4"/>
          <w:position w:val="5"/>
          <w:sz w:val="14"/>
        </w:rPr>
        <w:t>.</w:t>
      </w:r>
      <w:r>
        <w:rPr>
          <w:position w:val="5"/>
          <w:sz w:val="14"/>
        </w:rPr>
        <w:tab/>
      </w:r>
      <w:r>
        <w:rPr/>
        <w:t>See below, paras 13-041 et </w:t>
      </w:r>
      <w:r>
        <w:rPr>
          <w:spacing w:val="-4"/>
        </w:rPr>
        <w:t>seq.</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1888">
            <wp:simplePos x="0" y="0"/>
            <wp:positionH relativeFrom="page">
              <wp:posOffset>1257846</wp:posOffset>
            </wp:positionH>
            <wp:positionV relativeFrom="paragraph">
              <wp:posOffset>160235</wp:posOffset>
            </wp:positionV>
            <wp:extent cx="107988" cy="107988"/>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66" w:id="468"/>
      <w:bookmarkEnd w:id="468"/>
      <w:r>
        <w:rPr/>
      </w:r>
      <w:hyperlink w:history="true" w:anchor="_bookmark389">
        <w:r>
          <w:rPr>
            <w:color w:val="005DA1"/>
            <w:spacing w:val="-4"/>
            <w:sz w:val="14"/>
            <w:u w:val="single" w:color="005DA1"/>
          </w:rPr>
          <w:t>217</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Attorney General of Belize v Belize Telecom Ltd [2009] UKPC 10, [2009] 1 W.L.R. 1988 </w:t>
      </w:r>
      <w:r>
        <w:rPr>
          <w:sz w:val="20"/>
        </w:rPr>
        <w:t>at [22]. On the views of the Supreme Court on Lord Hoffmann’s approach to implied terms, see </w:t>
      </w:r>
      <w:r>
        <w:rPr>
          <w:rFonts w:ascii="Arial" w:hAnsi="Arial"/>
          <w:i/>
          <w:sz w:val="20"/>
        </w:rPr>
        <w:t>Marks</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Spencer</w:t>
      </w:r>
      <w:r>
        <w:rPr>
          <w:rFonts w:ascii="Arial" w:hAnsi="Arial"/>
          <w:i/>
          <w:spacing w:val="-3"/>
          <w:sz w:val="20"/>
        </w:rPr>
        <w:t> </w:t>
      </w:r>
      <w:r>
        <w:rPr>
          <w:rFonts w:ascii="Arial" w:hAnsi="Arial"/>
          <w:i/>
          <w:sz w:val="20"/>
        </w:rPr>
        <w:t>Plc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BNP</w:t>
      </w:r>
      <w:r>
        <w:rPr>
          <w:rFonts w:ascii="Arial" w:hAnsi="Arial"/>
          <w:i/>
          <w:spacing w:val="-3"/>
          <w:sz w:val="20"/>
        </w:rPr>
        <w:t> </w:t>
      </w:r>
      <w:r>
        <w:rPr>
          <w:rFonts w:ascii="Arial" w:hAnsi="Arial"/>
          <w:i/>
          <w:sz w:val="20"/>
        </w:rPr>
        <w:t>Paribas</w:t>
      </w:r>
      <w:r>
        <w:rPr>
          <w:rFonts w:ascii="Arial" w:hAnsi="Arial"/>
          <w:i/>
          <w:spacing w:val="-3"/>
          <w:sz w:val="20"/>
        </w:rPr>
        <w:t> </w:t>
      </w:r>
      <w:r>
        <w:rPr>
          <w:rFonts w:ascii="Arial" w:hAnsi="Arial"/>
          <w:i/>
          <w:sz w:val="20"/>
        </w:rPr>
        <w:t>Securities</w:t>
      </w:r>
      <w:r>
        <w:rPr>
          <w:rFonts w:ascii="Arial" w:hAnsi="Arial"/>
          <w:i/>
          <w:spacing w:val="-3"/>
          <w:sz w:val="20"/>
        </w:rPr>
        <w:t> </w:t>
      </w:r>
      <w:r>
        <w:rPr>
          <w:rFonts w:ascii="Arial" w:hAnsi="Arial"/>
          <w:i/>
          <w:sz w:val="20"/>
        </w:rPr>
        <w:t>Services</w:t>
      </w:r>
      <w:r>
        <w:rPr>
          <w:rFonts w:ascii="Arial" w:hAnsi="Arial"/>
          <w:i/>
          <w:spacing w:val="-3"/>
          <w:sz w:val="20"/>
        </w:rPr>
        <w:t> </w:t>
      </w:r>
      <w:r>
        <w:rPr>
          <w:rFonts w:ascii="Arial" w:hAnsi="Arial"/>
          <w:i/>
          <w:sz w:val="20"/>
        </w:rPr>
        <w:t>Trust</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(Jersey)</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[2015]</w:t>
      </w:r>
      <w:r>
        <w:rPr>
          <w:rFonts w:ascii="Arial" w:hAnsi="Arial"/>
          <w:i/>
          <w:spacing w:val="-3"/>
          <w:sz w:val="20"/>
        </w:rPr>
        <w:t> </w:t>
      </w:r>
      <w:r>
        <w:rPr>
          <w:rFonts w:ascii="Arial" w:hAnsi="Arial"/>
          <w:i/>
          <w:sz w:val="20"/>
        </w:rPr>
        <w:t>UKSC</w:t>
      </w:r>
      <w:r>
        <w:rPr>
          <w:rFonts w:ascii="Arial" w:hAnsi="Arial"/>
          <w:i/>
          <w:spacing w:val="-3"/>
          <w:sz w:val="20"/>
        </w:rPr>
        <w:t> </w:t>
      </w:r>
      <w:r>
        <w:rPr>
          <w:rFonts w:ascii="Arial" w:hAnsi="Arial"/>
          <w:i/>
          <w:sz w:val="20"/>
        </w:rPr>
        <w:t>72, [2015] 3 W.L.R. 1843</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tabs>
          <w:tab w:pos="705" w:val="left" w:leader="none"/>
        </w:tabs>
        <w:spacing w:line="235" w:lineRule="auto" w:before="0"/>
        <w:ind w:left="705" w:right="167" w:hanging="541"/>
        <w:jc w:val="left"/>
        <w:rPr>
          <w:rFonts w:ascii="Arial"/>
          <w:i/>
          <w:sz w:val="20"/>
        </w:rPr>
      </w:pPr>
      <w:bookmarkStart w:name="_bookmark467" w:id="469"/>
      <w:bookmarkEnd w:id="469"/>
      <w:r>
        <w:rPr/>
      </w:r>
      <w:hyperlink w:history="true" w:anchor="_bookmark390">
        <w:r>
          <w:rPr>
            <w:color w:val="005DA1"/>
            <w:spacing w:val="-4"/>
            <w:position w:val="5"/>
            <w:sz w:val="14"/>
            <w:u w:val="single" w:color="005DA1"/>
          </w:rPr>
          <w:t>218</w:t>
        </w:r>
      </w:hyperlink>
      <w:r>
        <w:rPr>
          <w:spacing w:val="-4"/>
          <w:position w:val="5"/>
          <w:sz w:val="14"/>
        </w:rPr>
        <w:t>.</w:t>
      </w:r>
      <w:r>
        <w:rPr>
          <w:position w:val="5"/>
          <w:sz w:val="14"/>
        </w:rPr>
        <w:tab/>
      </w:r>
      <w:r>
        <w:rPr>
          <w:rFonts w:ascii="Arial"/>
          <w:i/>
          <w:sz w:val="20"/>
        </w:rPr>
        <w:t>[2009]</w:t>
      </w:r>
      <w:r>
        <w:rPr>
          <w:rFonts w:ascii="Arial"/>
          <w:i/>
          <w:spacing w:val="40"/>
          <w:sz w:val="20"/>
        </w:rPr>
        <w:t> </w:t>
      </w:r>
      <w:r>
        <w:rPr>
          <w:rFonts w:ascii="Arial"/>
          <w:i/>
          <w:sz w:val="20"/>
        </w:rPr>
        <w:t>UKPC</w:t>
      </w:r>
      <w:r>
        <w:rPr>
          <w:rFonts w:ascii="Arial"/>
          <w:i/>
          <w:spacing w:val="40"/>
          <w:sz w:val="20"/>
        </w:rPr>
        <w:t> </w:t>
      </w:r>
      <w:r>
        <w:rPr>
          <w:rFonts w:ascii="Arial"/>
          <w:i/>
          <w:sz w:val="20"/>
        </w:rPr>
        <w:t>10</w:t>
      </w:r>
      <w:r>
        <w:rPr>
          <w:rFonts w:ascii="Arial"/>
          <w:i/>
          <w:spacing w:val="40"/>
          <w:sz w:val="20"/>
        </w:rPr>
        <w:t> </w:t>
      </w:r>
      <w:r>
        <w:rPr>
          <w:sz w:val="20"/>
        </w:rPr>
        <w:t>at</w:t>
      </w:r>
      <w:r>
        <w:rPr>
          <w:spacing w:val="40"/>
          <w:sz w:val="20"/>
        </w:rPr>
        <w:t> </w:t>
      </w:r>
      <w:r>
        <w:rPr>
          <w:sz w:val="20"/>
        </w:rPr>
        <w:t>[27],</w:t>
      </w:r>
      <w:r>
        <w:rPr>
          <w:spacing w:val="40"/>
          <w:sz w:val="20"/>
        </w:rPr>
        <w:t> </w:t>
      </w:r>
      <w:r>
        <w:rPr>
          <w:sz w:val="20"/>
        </w:rPr>
        <w:t>per</w:t>
      </w:r>
      <w:r>
        <w:rPr>
          <w:spacing w:val="40"/>
          <w:sz w:val="20"/>
        </w:rPr>
        <w:t> </w:t>
      </w:r>
      <w:r>
        <w:rPr>
          <w:sz w:val="20"/>
        </w:rPr>
        <w:t>Lord</w:t>
      </w:r>
      <w:r>
        <w:rPr>
          <w:spacing w:val="40"/>
          <w:sz w:val="20"/>
        </w:rPr>
        <w:t> </w:t>
      </w:r>
      <w:r>
        <w:rPr>
          <w:sz w:val="20"/>
        </w:rPr>
        <w:t>Hoffmann</w:t>
      </w:r>
      <w:r>
        <w:rPr>
          <w:spacing w:val="40"/>
          <w:sz w:val="20"/>
        </w:rPr>
        <w:t> </w:t>
      </w:r>
      <w:r>
        <w:rPr>
          <w:sz w:val="20"/>
        </w:rPr>
        <w:t>on</w:t>
      </w:r>
      <w:r>
        <w:rPr>
          <w:spacing w:val="40"/>
          <w:sz w:val="20"/>
        </w:rPr>
        <w:t> </w:t>
      </w:r>
      <w:r>
        <w:rPr>
          <w:sz w:val="20"/>
        </w:rPr>
        <w:t>behalf</w:t>
      </w:r>
      <w:r>
        <w:rPr>
          <w:spacing w:val="40"/>
          <w:sz w:val="20"/>
        </w:rPr>
        <w:t> </w:t>
      </w:r>
      <w:r>
        <w:rPr>
          <w:sz w:val="20"/>
        </w:rPr>
        <w:t>of</w:t>
      </w:r>
      <w:r>
        <w:rPr>
          <w:spacing w:val="40"/>
          <w:sz w:val="20"/>
        </w:rPr>
        <w:t> </w:t>
      </w:r>
      <w:r>
        <w:rPr>
          <w:sz w:val="20"/>
        </w:rPr>
        <w:t>the</w:t>
      </w:r>
      <w:r>
        <w:rPr>
          <w:spacing w:val="40"/>
          <w:sz w:val="20"/>
        </w:rPr>
        <w:t> </w:t>
      </w:r>
      <w:r>
        <w:rPr>
          <w:sz w:val="20"/>
        </w:rPr>
        <w:t>PC</w:t>
      </w:r>
      <w:r>
        <w:rPr>
          <w:spacing w:val="40"/>
          <w:sz w:val="20"/>
        </w:rPr>
        <w:t> </w:t>
      </w:r>
      <w:r>
        <w:rPr>
          <w:sz w:val="20"/>
        </w:rPr>
        <w:t>and</w:t>
      </w:r>
      <w:r>
        <w:rPr>
          <w:spacing w:val="40"/>
          <w:sz w:val="20"/>
        </w:rPr>
        <w:t> </w:t>
      </w:r>
      <w:r>
        <w:rPr>
          <w:sz w:val="20"/>
        </w:rPr>
        <w:t>see</w:t>
      </w:r>
      <w:r>
        <w:rPr>
          <w:spacing w:val="40"/>
          <w:sz w:val="20"/>
        </w:rPr>
        <w:t> </w:t>
      </w:r>
      <w:r>
        <w:rPr>
          <w:rFonts w:ascii="Arial"/>
          <w:i/>
          <w:sz w:val="20"/>
        </w:rPr>
        <w:t>Mediterranean Salvage</w:t>
      </w:r>
      <w:r>
        <w:rPr>
          <w:rFonts w:ascii="Arial"/>
          <w:i/>
          <w:spacing w:val="26"/>
          <w:sz w:val="20"/>
        </w:rPr>
        <w:t> </w:t>
      </w:r>
      <w:r>
        <w:rPr>
          <w:rFonts w:ascii="Arial"/>
          <w:i/>
          <w:sz w:val="20"/>
        </w:rPr>
        <w:t>&amp;</w:t>
      </w:r>
      <w:r>
        <w:rPr>
          <w:rFonts w:ascii="Arial"/>
          <w:i/>
          <w:spacing w:val="28"/>
          <w:sz w:val="20"/>
        </w:rPr>
        <w:t> </w:t>
      </w:r>
      <w:r>
        <w:rPr>
          <w:rFonts w:ascii="Arial"/>
          <w:i/>
          <w:sz w:val="20"/>
        </w:rPr>
        <w:t>Towage</w:t>
      </w:r>
      <w:r>
        <w:rPr>
          <w:rFonts w:ascii="Arial"/>
          <w:i/>
          <w:spacing w:val="28"/>
          <w:sz w:val="20"/>
        </w:rPr>
        <w:t> </w:t>
      </w:r>
      <w:r>
        <w:rPr>
          <w:rFonts w:ascii="Arial"/>
          <w:i/>
          <w:sz w:val="20"/>
        </w:rPr>
        <w:t>Ltd</w:t>
      </w:r>
      <w:r>
        <w:rPr>
          <w:rFonts w:ascii="Arial"/>
          <w:i/>
          <w:spacing w:val="28"/>
          <w:sz w:val="20"/>
        </w:rPr>
        <w:t> </w:t>
      </w:r>
      <w:r>
        <w:rPr>
          <w:rFonts w:ascii="Arial"/>
          <w:i/>
          <w:sz w:val="20"/>
        </w:rPr>
        <w:t>v</w:t>
      </w:r>
      <w:r>
        <w:rPr>
          <w:rFonts w:ascii="Arial"/>
          <w:i/>
          <w:spacing w:val="28"/>
          <w:sz w:val="20"/>
        </w:rPr>
        <w:t> </w:t>
      </w:r>
      <w:r>
        <w:rPr>
          <w:rFonts w:ascii="Arial"/>
          <w:i/>
          <w:sz w:val="20"/>
        </w:rPr>
        <w:t>Seamar</w:t>
      </w:r>
      <w:r>
        <w:rPr>
          <w:rFonts w:ascii="Arial"/>
          <w:i/>
          <w:spacing w:val="28"/>
          <w:sz w:val="20"/>
        </w:rPr>
        <w:t> </w:t>
      </w:r>
      <w:r>
        <w:rPr>
          <w:rFonts w:ascii="Arial"/>
          <w:i/>
          <w:sz w:val="20"/>
        </w:rPr>
        <w:t>Trading</w:t>
      </w:r>
      <w:r>
        <w:rPr>
          <w:rFonts w:ascii="Arial"/>
          <w:i/>
          <w:spacing w:val="28"/>
          <w:sz w:val="20"/>
        </w:rPr>
        <w:t> </w:t>
      </w:r>
      <w:r>
        <w:rPr>
          <w:rFonts w:ascii="Arial"/>
          <w:i/>
          <w:sz w:val="20"/>
        </w:rPr>
        <w:t>&amp;</w:t>
      </w:r>
      <w:r>
        <w:rPr>
          <w:rFonts w:ascii="Arial"/>
          <w:i/>
          <w:spacing w:val="28"/>
          <w:sz w:val="20"/>
        </w:rPr>
        <w:t> </w:t>
      </w:r>
      <w:r>
        <w:rPr>
          <w:rFonts w:ascii="Arial"/>
          <w:i/>
          <w:sz w:val="20"/>
        </w:rPr>
        <w:t>Commerce</w:t>
      </w:r>
      <w:r>
        <w:rPr>
          <w:rFonts w:ascii="Arial"/>
          <w:i/>
          <w:spacing w:val="28"/>
          <w:sz w:val="20"/>
        </w:rPr>
        <w:t> </w:t>
      </w:r>
      <w:r>
        <w:rPr>
          <w:rFonts w:ascii="Arial"/>
          <w:i/>
          <w:sz w:val="20"/>
        </w:rPr>
        <w:t>Inc</w:t>
      </w:r>
      <w:r>
        <w:rPr>
          <w:rFonts w:ascii="Arial"/>
          <w:i/>
          <w:spacing w:val="28"/>
          <w:sz w:val="20"/>
        </w:rPr>
        <w:t> </w:t>
      </w:r>
      <w:r>
        <w:rPr>
          <w:rFonts w:ascii="Arial"/>
          <w:i/>
          <w:sz w:val="20"/>
        </w:rPr>
        <w:t>[2009]</w:t>
      </w:r>
      <w:r>
        <w:rPr>
          <w:rFonts w:ascii="Arial"/>
          <w:i/>
          <w:spacing w:val="28"/>
          <w:sz w:val="20"/>
        </w:rPr>
        <w:t> </w:t>
      </w:r>
      <w:r>
        <w:rPr>
          <w:rFonts w:ascii="Arial"/>
          <w:i/>
          <w:sz w:val="20"/>
        </w:rPr>
        <w:t>EWCA</w:t>
      </w:r>
      <w:r>
        <w:rPr>
          <w:rFonts w:ascii="Arial"/>
          <w:i/>
          <w:spacing w:val="28"/>
          <w:sz w:val="20"/>
        </w:rPr>
        <w:t> </w:t>
      </w:r>
      <w:r>
        <w:rPr>
          <w:rFonts w:ascii="Arial"/>
          <w:i/>
          <w:sz w:val="20"/>
        </w:rPr>
        <w:t>Civ</w:t>
      </w:r>
      <w:r>
        <w:rPr>
          <w:rFonts w:ascii="Arial"/>
          <w:i/>
          <w:spacing w:val="28"/>
          <w:sz w:val="20"/>
        </w:rPr>
        <w:t> </w:t>
      </w:r>
      <w:r>
        <w:rPr>
          <w:rFonts w:ascii="Arial"/>
          <w:i/>
          <w:sz w:val="20"/>
        </w:rPr>
        <w:t>531,</w:t>
      </w:r>
      <w:r>
        <w:rPr>
          <w:rFonts w:ascii="Arial"/>
          <w:i/>
          <w:spacing w:val="28"/>
          <w:sz w:val="20"/>
        </w:rPr>
        <w:t> </w:t>
      </w:r>
      <w:r>
        <w:rPr>
          <w:rFonts w:ascii="Arial"/>
          <w:i/>
          <w:sz w:val="20"/>
        </w:rPr>
        <w:t>[2009]</w:t>
      </w:r>
      <w:r>
        <w:rPr>
          <w:rFonts w:ascii="Arial"/>
          <w:i/>
          <w:spacing w:val="28"/>
          <w:sz w:val="20"/>
        </w:rPr>
        <w:t> </w:t>
      </w:r>
      <w:r>
        <w:rPr>
          <w:rFonts w:ascii="Arial"/>
          <w:i/>
          <w:spacing w:val="-10"/>
          <w:sz w:val="20"/>
        </w:rPr>
        <w:t>1</w:t>
      </w:r>
    </w:p>
    <w:p>
      <w:pPr>
        <w:spacing w:line="225" w:lineRule="exact" w:before="0"/>
        <w:ind w:left="705" w:right="0" w:firstLine="0"/>
        <w:jc w:val="left"/>
        <w:rPr>
          <w:sz w:val="20"/>
        </w:rPr>
      </w:pPr>
      <w:r>
        <w:rPr>
          <w:rFonts w:ascii="Arial" w:hAnsi="Arial"/>
          <w:i/>
          <w:sz w:val="20"/>
        </w:rPr>
        <w:t>C.L.C. 909</w:t>
      </w:r>
      <w:r>
        <w:rPr>
          <w:rFonts w:ascii="Arial" w:hAnsi="Arial"/>
          <w:i/>
          <w:spacing w:val="-1"/>
          <w:sz w:val="20"/>
        </w:rPr>
        <w:t> </w:t>
      </w:r>
      <w:r>
        <w:rPr>
          <w:sz w:val="20"/>
        </w:rPr>
        <w:t>at [8]–[18] and below, para.14-</w:t>
      </w:r>
      <w:r>
        <w:rPr>
          <w:spacing w:val="-4"/>
          <w:sz w:val="20"/>
        </w:rPr>
        <w:t>006.</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68" w:id="470"/>
      <w:bookmarkEnd w:id="470"/>
      <w:r>
        <w:rPr/>
      </w:r>
      <w:hyperlink w:history="true" w:anchor="_bookmark391">
        <w:r>
          <w:rPr>
            <w:color w:val="005DA1"/>
            <w:spacing w:val="-4"/>
            <w:position w:val="5"/>
            <w:sz w:val="14"/>
            <w:u w:val="single" w:color="005DA1"/>
          </w:rPr>
          <w:t>219</w:t>
        </w:r>
      </w:hyperlink>
      <w:r>
        <w:rPr>
          <w:spacing w:val="-4"/>
          <w:position w:val="5"/>
          <w:sz w:val="14"/>
        </w:rPr>
        <w:t>.</w:t>
      </w:r>
      <w:r>
        <w:rPr>
          <w:position w:val="5"/>
          <w:sz w:val="14"/>
        </w:rPr>
        <w:tab/>
      </w:r>
      <w:r>
        <w:rPr>
          <w:rFonts w:ascii="Arial"/>
          <w:i/>
          <w:sz w:val="20"/>
        </w:rPr>
        <w:t>Transfield</w:t>
      </w:r>
      <w:r>
        <w:rPr>
          <w:rFonts w:ascii="Arial"/>
          <w:i/>
          <w:spacing w:val="9"/>
          <w:sz w:val="20"/>
        </w:rPr>
        <w:t> </w:t>
      </w:r>
      <w:r>
        <w:rPr>
          <w:rFonts w:ascii="Arial"/>
          <w:i/>
          <w:sz w:val="20"/>
        </w:rPr>
        <w:t>Shipping</w:t>
      </w:r>
      <w:r>
        <w:rPr>
          <w:rFonts w:ascii="Arial"/>
          <w:i/>
          <w:spacing w:val="9"/>
          <w:sz w:val="20"/>
        </w:rPr>
        <w:t> </w:t>
      </w:r>
      <w:r>
        <w:rPr>
          <w:rFonts w:ascii="Arial"/>
          <w:i/>
          <w:sz w:val="20"/>
        </w:rPr>
        <w:t>Inc</w:t>
      </w:r>
      <w:r>
        <w:rPr>
          <w:rFonts w:ascii="Arial"/>
          <w:i/>
          <w:spacing w:val="9"/>
          <w:sz w:val="20"/>
        </w:rPr>
        <w:t> </w:t>
      </w:r>
      <w:r>
        <w:rPr>
          <w:rFonts w:ascii="Arial"/>
          <w:i/>
          <w:sz w:val="20"/>
        </w:rPr>
        <w:t>v</w:t>
      </w:r>
      <w:r>
        <w:rPr>
          <w:rFonts w:ascii="Arial"/>
          <w:i/>
          <w:spacing w:val="9"/>
          <w:sz w:val="20"/>
        </w:rPr>
        <w:t> </w:t>
      </w:r>
      <w:r>
        <w:rPr>
          <w:rFonts w:ascii="Arial"/>
          <w:i/>
          <w:sz w:val="20"/>
        </w:rPr>
        <w:t>Mercator</w:t>
      </w:r>
      <w:r>
        <w:rPr>
          <w:rFonts w:ascii="Arial"/>
          <w:i/>
          <w:spacing w:val="9"/>
          <w:sz w:val="20"/>
        </w:rPr>
        <w:t> </w:t>
      </w:r>
      <w:r>
        <w:rPr>
          <w:rFonts w:ascii="Arial"/>
          <w:i/>
          <w:sz w:val="20"/>
        </w:rPr>
        <w:t>Shipping</w:t>
      </w:r>
      <w:r>
        <w:rPr>
          <w:rFonts w:ascii="Arial"/>
          <w:i/>
          <w:spacing w:val="9"/>
          <w:sz w:val="20"/>
        </w:rPr>
        <w:t> </w:t>
      </w:r>
      <w:r>
        <w:rPr>
          <w:rFonts w:ascii="Arial"/>
          <w:i/>
          <w:sz w:val="20"/>
        </w:rPr>
        <w:t>Inc</w:t>
      </w:r>
      <w:r>
        <w:rPr>
          <w:rFonts w:ascii="Arial"/>
          <w:i/>
          <w:spacing w:val="9"/>
          <w:sz w:val="20"/>
        </w:rPr>
        <w:t> </w:t>
      </w:r>
      <w:r>
        <w:rPr>
          <w:rFonts w:ascii="Arial"/>
          <w:i/>
          <w:sz w:val="20"/>
        </w:rPr>
        <w:t>(The</w:t>
      </w:r>
      <w:r>
        <w:rPr>
          <w:rFonts w:ascii="Arial"/>
          <w:i/>
          <w:spacing w:val="9"/>
          <w:sz w:val="20"/>
        </w:rPr>
        <w:t> </w:t>
      </w:r>
      <w:r>
        <w:rPr>
          <w:rFonts w:ascii="Arial"/>
          <w:i/>
          <w:sz w:val="20"/>
        </w:rPr>
        <w:t>Achilleas)</w:t>
      </w:r>
      <w:r>
        <w:rPr>
          <w:rFonts w:ascii="Arial"/>
          <w:i/>
          <w:spacing w:val="9"/>
          <w:sz w:val="20"/>
        </w:rPr>
        <w:t> </w:t>
      </w:r>
      <w:r>
        <w:rPr>
          <w:rFonts w:ascii="Arial"/>
          <w:i/>
          <w:sz w:val="20"/>
        </w:rPr>
        <w:t>[2008]</w:t>
      </w:r>
      <w:r>
        <w:rPr>
          <w:rFonts w:ascii="Arial"/>
          <w:i/>
          <w:spacing w:val="9"/>
          <w:sz w:val="20"/>
        </w:rPr>
        <w:t> </w:t>
      </w:r>
      <w:r>
        <w:rPr>
          <w:rFonts w:ascii="Arial"/>
          <w:i/>
          <w:sz w:val="20"/>
        </w:rPr>
        <w:t>UKHL</w:t>
      </w:r>
      <w:r>
        <w:rPr>
          <w:rFonts w:ascii="Arial"/>
          <w:i/>
          <w:spacing w:val="9"/>
          <w:sz w:val="20"/>
        </w:rPr>
        <w:t> </w:t>
      </w:r>
      <w:r>
        <w:rPr>
          <w:rFonts w:ascii="Arial"/>
          <w:i/>
          <w:sz w:val="20"/>
        </w:rPr>
        <w:t>48</w:t>
      </w:r>
      <w:r>
        <w:rPr>
          <w:rFonts w:ascii="Arial"/>
          <w:i/>
          <w:spacing w:val="9"/>
          <w:sz w:val="20"/>
        </w:rPr>
        <w:t> </w:t>
      </w:r>
      <w:r>
        <w:rPr>
          <w:rFonts w:ascii="Arial"/>
          <w:i/>
          <w:sz w:val="20"/>
        </w:rPr>
        <w:t>at</w:t>
      </w:r>
      <w:r>
        <w:rPr>
          <w:rFonts w:ascii="Arial"/>
          <w:i/>
          <w:spacing w:val="9"/>
          <w:sz w:val="20"/>
        </w:rPr>
        <w:t> </w:t>
      </w:r>
      <w:r>
        <w:rPr>
          <w:rFonts w:ascii="Arial"/>
          <w:i/>
          <w:sz w:val="20"/>
        </w:rPr>
        <w:t>[12],</w:t>
      </w:r>
      <w:r>
        <w:rPr>
          <w:rFonts w:ascii="Arial"/>
          <w:i/>
          <w:spacing w:val="9"/>
          <w:sz w:val="20"/>
        </w:rPr>
        <w:t> </w:t>
      </w:r>
      <w:r>
        <w:rPr>
          <w:rFonts w:ascii="Arial"/>
          <w:i/>
          <w:spacing w:val="-2"/>
          <w:sz w:val="20"/>
        </w:rPr>
        <w:t>[2009]</w:t>
      </w:r>
    </w:p>
    <w:p>
      <w:pPr>
        <w:pStyle w:val="BodyText"/>
        <w:spacing w:line="227" w:lineRule="exact"/>
        <w:ind w:left="705"/>
      </w:pPr>
      <w:r>
        <w:rPr>
          <w:rFonts w:ascii="Arial"/>
          <w:i/>
        </w:rPr>
        <w:t>1 A.C. 61</w:t>
      </w:r>
      <w:r>
        <w:rPr>
          <w:rFonts w:ascii="Arial"/>
          <w:i/>
          <w:spacing w:val="-1"/>
        </w:rPr>
        <w:t> </w:t>
      </w:r>
      <w:r>
        <w:rPr/>
        <w:t>at [12] and see below, paras 26-107 et </w:t>
      </w:r>
      <w:r>
        <w:rPr>
          <w:spacing w:val="-4"/>
        </w:rPr>
        <w:t>seq.</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2400">
            <wp:simplePos x="0" y="0"/>
            <wp:positionH relativeFrom="page">
              <wp:posOffset>1257846</wp:posOffset>
            </wp:positionH>
            <wp:positionV relativeFrom="paragraph">
              <wp:posOffset>160437</wp:posOffset>
            </wp:positionV>
            <wp:extent cx="107988" cy="107988"/>
            <wp:effectExtent l="0" t="0" r="0" b="0"/>
            <wp:wrapNone/>
            <wp:docPr id="216" name="Image 216"/>
            <wp:cNvGraphicFramePr>
              <a:graphicFrameLocks/>
            </wp:cNvGraphicFramePr>
            <a:graphic>
              <a:graphicData uri="http://schemas.openxmlformats.org/drawingml/2006/picture">
                <pic:pic>
                  <pic:nvPicPr>
                    <pic:cNvPr id="216" name="Image 21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69" w:id="471"/>
      <w:bookmarkEnd w:id="471"/>
      <w:r>
        <w:rPr/>
      </w:r>
      <w:hyperlink w:history="true" w:anchor="_bookmark392">
        <w:r>
          <w:rPr>
            <w:color w:val="005DA1"/>
            <w:spacing w:val="-4"/>
            <w:sz w:val="14"/>
            <w:u w:val="single" w:color="005DA1"/>
          </w:rPr>
          <w:t>220</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Cavendish Square Holding BV v Makdessi, ParkingEye Ltd v Beavis [2015] UKSC 67, [2015] 3 W.L.R. 1373 </w:t>
      </w:r>
      <w:r>
        <w:rPr>
          <w:sz w:val="20"/>
        </w:rPr>
        <w:t>at [33] (“[t]he penalty rule is an interference with freedom of contract”, per </w:t>
      </w:r>
      <w:r>
        <w:rPr>
          <w:sz w:val="20"/>
        </w:rPr>
        <w:t>Lord Neuberger</w:t>
      </w:r>
      <w:r>
        <w:rPr>
          <w:spacing w:val="25"/>
          <w:sz w:val="20"/>
        </w:rPr>
        <w:t> </w:t>
      </w:r>
      <w:r>
        <w:rPr>
          <w:sz w:val="20"/>
        </w:rPr>
        <w:t>and</w:t>
      </w:r>
      <w:r>
        <w:rPr>
          <w:spacing w:val="25"/>
          <w:sz w:val="20"/>
        </w:rPr>
        <w:t> </w:t>
      </w:r>
      <w:r>
        <w:rPr>
          <w:sz w:val="20"/>
        </w:rPr>
        <w:t>Lord</w:t>
      </w:r>
      <w:r>
        <w:rPr>
          <w:spacing w:val="25"/>
          <w:sz w:val="20"/>
        </w:rPr>
        <w:t> </w:t>
      </w:r>
      <w:r>
        <w:rPr>
          <w:sz w:val="20"/>
        </w:rPr>
        <w:t>Sumption);</w:t>
      </w:r>
      <w:r>
        <w:rPr>
          <w:spacing w:val="25"/>
          <w:sz w:val="20"/>
        </w:rPr>
        <w:t> </w:t>
      </w:r>
      <w:r>
        <w:rPr>
          <w:sz w:val="20"/>
        </w:rPr>
        <w:t>at</w:t>
      </w:r>
      <w:r>
        <w:rPr>
          <w:spacing w:val="25"/>
          <w:sz w:val="20"/>
        </w:rPr>
        <w:t> </w:t>
      </w:r>
      <w:r>
        <w:rPr>
          <w:sz w:val="20"/>
        </w:rPr>
        <w:t>[257]</w:t>
      </w:r>
      <w:r>
        <w:rPr>
          <w:spacing w:val="25"/>
          <w:sz w:val="20"/>
        </w:rPr>
        <w:t> </w:t>
      </w:r>
      <w:r>
        <w:rPr>
          <w:sz w:val="20"/>
        </w:rPr>
        <w:t>per</w:t>
      </w:r>
      <w:r>
        <w:rPr>
          <w:spacing w:val="25"/>
          <w:sz w:val="20"/>
        </w:rPr>
        <w:t> </w:t>
      </w:r>
      <w:r>
        <w:rPr>
          <w:sz w:val="20"/>
        </w:rPr>
        <w:t>Lord</w:t>
      </w:r>
      <w:r>
        <w:rPr>
          <w:spacing w:val="25"/>
          <w:sz w:val="20"/>
        </w:rPr>
        <w:t> </w:t>
      </w:r>
      <w:r>
        <w:rPr>
          <w:sz w:val="20"/>
        </w:rPr>
        <w:t>Hodge.</w:t>
      </w:r>
      <w:r>
        <w:rPr>
          <w:spacing w:val="25"/>
          <w:sz w:val="20"/>
        </w:rPr>
        <w:t> </w:t>
      </w:r>
      <w:r>
        <w:rPr>
          <w:sz w:val="20"/>
        </w:rPr>
        <w:t>On</w:t>
      </w:r>
      <w:r>
        <w:rPr>
          <w:spacing w:val="25"/>
          <w:sz w:val="20"/>
        </w:rPr>
        <w:t> </w:t>
      </w:r>
      <w:r>
        <w:rPr>
          <w:sz w:val="20"/>
        </w:rPr>
        <w:t>this</w:t>
      </w:r>
      <w:r>
        <w:rPr>
          <w:spacing w:val="25"/>
          <w:sz w:val="20"/>
        </w:rPr>
        <w:t> </w:t>
      </w:r>
      <w:r>
        <w:rPr>
          <w:sz w:val="20"/>
        </w:rPr>
        <w:t>decision</w:t>
      </w:r>
      <w:r>
        <w:rPr>
          <w:spacing w:val="25"/>
          <w:sz w:val="20"/>
        </w:rPr>
        <w:t> </w:t>
      </w:r>
      <w:r>
        <w:rPr>
          <w:sz w:val="20"/>
        </w:rPr>
        <w:t>see</w:t>
      </w:r>
      <w:r>
        <w:rPr>
          <w:spacing w:val="25"/>
          <w:sz w:val="20"/>
        </w:rPr>
        <w:t> </w:t>
      </w:r>
      <w:r>
        <w:rPr>
          <w:sz w:val="20"/>
        </w:rPr>
        <w:t>below,</w:t>
      </w:r>
      <w:r>
        <w:rPr>
          <w:spacing w:val="25"/>
          <w:sz w:val="20"/>
        </w:rPr>
        <w:t> </w:t>
      </w:r>
      <w:r>
        <w:rPr>
          <w:sz w:val="20"/>
        </w:rPr>
        <w:t>paras 26-178 et seq.</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393">
        <w:r>
          <w:rPr>
            <w:color w:val="005DA1"/>
            <w:spacing w:val="-4"/>
            <w:sz w:val="14"/>
            <w:u w:val="single" w:color="005DA1"/>
          </w:rPr>
          <w:t>221</w:t>
        </w:r>
      </w:hyperlink>
      <w:r>
        <w:rPr>
          <w:spacing w:val="-4"/>
          <w:sz w:val="14"/>
        </w:rPr>
        <w:t>.</w:t>
      </w:r>
    </w:p>
    <w:p>
      <w:pPr>
        <w:spacing w:line="240" w:lineRule="auto" w:before="56"/>
        <w:rPr>
          <w:sz w:val="20"/>
        </w:rPr>
      </w:pPr>
      <w:r>
        <w:rPr/>
        <w:br w:type="column"/>
      </w:r>
      <w:r>
        <w:rPr>
          <w:sz w:val="20"/>
        </w:rPr>
      </w:r>
    </w:p>
    <w:p>
      <w:pPr>
        <w:spacing w:before="0"/>
        <w:ind w:left="335" w:right="0" w:firstLine="0"/>
        <w:jc w:val="left"/>
        <w:rPr>
          <w:sz w:val="20"/>
        </w:rPr>
      </w:pPr>
      <w:r>
        <w:rPr>
          <w:sz w:val="20"/>
        </w:rPr>
        <w:drawing>
          <wp:anchor distT="0" distB="0" distL="0" distR="0" allowOverlap="1" layoutInCell="1" locked="0" behindDoc="0" simplePos="0" relativeHeight="15782912">
            <wp:simplePos x="0" y="0"/>
            <wp:positionH relativeFrom="page">
              <wp:posOffset>1257846</wp:posOffset>
            </wp:positionH>
            <wp:positionV relativeFrom="paragraph">
              <wp:posOffset>28443</wp:posOffset>
            </wp:positionV>
            <wp:extent cx="107988" cy="107988"/>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67, [2015] 3 W.L.R. 1373</w:t>
      </w:r>
      <w:r>
        <w:rPr>
          <w:rFonts w:ascii="Arial"/>
          <w:i/>
          <w:spacing w:val="-1"/>
          <w:sz w:val="20"/>
        </w:rPr>
        <w:t> </w:t>
      </w:r>
      <w:r>
        <w:rPr>
          <w:sz w:val="20"/>
        </w:rPr>
        <w:t>at [13]; and see similarly at </w:t>
      </w:r>
      <w:r>
        <w:rPr>
          <w:spacing w:val="-2"/>
          <w:sz w:val="20"/>
        </w:rPr>
        <w:t>[73].</w:t>
      </w:r>
    </w:p>
    <w:p>
      <w:pPr>
        <w:spacing w:after="0"/>
        <w:jc w:val="left"/>
        <w:rPr>
          <w:sz w:val="20"/>
        </w:rPr>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470" w:id="472"/>
      <w:bookmarkEnd w:id="472"/>
      <w:r>
        <w:rPr/>
      </w:r>
      <w:hyperlink w:history="true" w:anchor="_bookmark394">
        <w:r>
          <w:rPr>
            <w:color w:val="005DA1"/>
            <w:spacing w:val="-4"/>
            <w:sz w:val="14"/>
            <w:u w:val="single" w:color="005DA1"/>
          </w:rPr>
          <w:t>222</w:t>
        </w:r>
      </w:hyperlink>
      <w:r>
        <w:rPr>
          <w:spacing w:val="-4"/>
          <w:sz w:val="14"/>
        </w:rPr>
        <w:t>.</w:t>
      </w:r>
    </w:p>
    <w:p>
      <w:pPr>
        <w:pStyle w:val="BodyText"/>
        <w:spacing w:line="235" w:lineRule="auto" w:before="212"/>
        <w:ind w:left="165" w:right="161" w:firstLine="170"/>
      </w:pPr>
      <w:r>
        <w:rPr/>
        <w:br w:type="column"/>
      </w:r>
      <w:r>
        <w:rPr>
          <w:rFonts w:ascii="Arial"/>
          <w:i/>
        </w:rPr>
        <w:t>[2015]</w:t>
      </w:r>
      <w:r>
        <w:rPr>
          <w:rFonts w:ascii="Arial"/>
          <w:i/>
          <w:spacing w:val="25"/>
        </w:rPr>
        <w:t> </w:t>
      </w:r>
      <w:r>
        <w:rPr>
          <w:rFonts w:ascii="Arial"/>
          <w:i/>
        </w:rPr>
        <w:t>UKSC</w:t>
      </w:r>
      <w:r>
        <w:rPr>
          <w:rFonts w:ascii="Arial"/>
          <w:i/>
          <w:spacing w:val="25"/>
        </w:rPr>
        <w:t> </w:t>
      </w:r>
      <w:r>
        <w:rPr>
          <w:rFonts w:ascii="Arial"/>
          <w:i/>
        </w:rPr>
        <w:t>67</w:t>
      </w:r>
      <w:r>
        <w:rPr>
          <w:rFonts w:ascii="Arial"/>
          <w:i/>
          <w:spacing w:val="25"/>
        </w:rPr>
        <w:t> </w:t>
      </w:r>
      <w:r>
        <w:rPr/>
        <w:t>at</w:t>
      </w:r>
      <w:r>
        <w:rPr>
          <w:spacing w:val="25"/>
        </w:rPr>
        <w:t> </w:t>
      </w:r>
      <w:r>
        <w:rPr/>
        <w:t>[32]</w:t>
      </w:r>
      <w:r>
        <w:rPr>
          <w:spacing w:val="25"/>
        </w:rPr>
        <w:t> </w:t>
      </w:r>
      <w:r>
        <w:rPr/>
        <w:t>per</w:t>
      </w:r>
      <w:r>
        <w:rPr>
          <w:spacing w:val="25"/>
        </w:rPr>
        <w:t> </w:t>
      </w:r>
      <w:r>
        <w:rPr/>
        <w:t>Lord</w:t>
      </w:r>
      <w:r>
        <w:rPr>
          <w:spacing w:val="25"/>
        </w:rPr>
        <w:t> </w:t>
      </w:r>
      <w:r>
        <w:rPr/>
        <w:t>Neuberger</w:t>
      </w:r>
      <w:r>
        <w:rPr>
          <w:spacing w:val="25"/>
        </w:rPr>
        <w:t> </w:t>
      </w:r>
      <w:r>
        <w:rPr/>
        <w:t>P.S.C.</w:t>
      </w:r>
      <w:r>
        <w:rPr>
          <w:spacing w:val="25"/>
        </w:rPr>
        <w:t> </w:t>
      </w:r>
      <w:r>
        <w:rPr/>
        <w:t>and</w:t>
      </w:r>
      <w:r>
        <w:rPr>
          <w:spacing w:val="25"/>
        </w:rPr>
        <w:t> </w:t>
      </w:r>
      <w:r>
        <w:rPr/>
        <w:t>Lord</w:t>
      </w:r>
      <w:r>
        <w:rPr>
          <w:spacing w:val="25"/>
        </w:rPr>
        <w:t> </w:t>
      </w:r>
      <w:r>
        <w:rPr/>
        <w:t>Sumption</w:t>
      </w:r>
      <w:r>
        <w:rPr>
          <w:spacing w:val="25"/>
        </w:rPr>
        <w:t> </w:t>
      </w:r>
      <w:r>
        <w:rPr/>
        <w:t>J.S.C.</w:t>
      </w:r>
      <w:r>
        <w:rPr>
          <w:spacing w:val="25"/>
        </w:rPr>
        <w:t> </w:t>
      </w:r>
      <w:r>
        <w:rPr/>
        <w:t>(with</w:t>
      </w:r>
      <w:r>
        <w:rPr>
          <w:spacing w:val="25"/>
        </w:rPr>
        <w:t> </w:t>
      </w:r>
      <w:r>
        <w:rPr/>
        <w:t>whom Lord</w:t>
      </w:r>
      <w:r>
        <w:rPr>
          <w:spacing w:val="20"/>
        </w:rPr>
        <w:t> </w:t>
      </w:r>
      <w:r>
        <w:rPr/>
        <w:t>Carnwath</w:t>
      </w:r>
      <w:r>
        <w:rPr>
          <w:spacing w:val="20"/>
        </w:rPr>
        <w:t> </w:t>
      </w:r>
      <w:r>
        <w:rPr/>
        <w:t>J.S.C.</w:t>
      </w:r>
      <w:r>
        <w:rPr>
          <w:spacing w:val="20"/>
        </w:rPr>
        <w:t> </w:t>
      </w:r>
      <w:r>
        <w:rPr/>
        <w:t>and</w:t>
      </w:r>
      <w:r>
        <w:rPr>
          <w:spacing w:val="20"/>
        </w:rPr>
        <w:t> </w:t>
      </w:r>
      <w:r>
        <w:rPr/>
        <w:t>Lord</w:t>
      </w:r>
      <w:r>
        <w:rPr>
          <w:spacing w:val="20"/>
        </w:rPr>
        <w:t> </w:t>
      </w:r>
      <w:r>
        <w:rPr/>
        <w:t>Clarke</w:t>
      </w:r>
      <w:r>
        <w:rPr>
          <w:spacing w:val="20"/>
        </w:rPr>
        <w:t> </w:t>
      </w:r>
      <w:r>
        <w:rPr/>
        <w:t>J.S.C.</w:t>
      </w:r>
      <w:r>
        <w:rPr>
          <w:spacing w:val="20"/>
        </w:rPr>
        <w:t> </w:t>
      </w:r>
      <w:r>
        <w:rPr/>
        <w:t>agreed.</w:t>
      </w:r>
      <w:r>
        <w:rPr>
          <w:spacing w:val="20"/>
        </w:rPr>
        <w:t> </w:t>
      </w:r>
      <w:r>
        <w:rPr/>
        <w:t>See</w:t>
      </w:r>
      <w:r>
        <w:rPr>
          <w:spacing w:val="20"/>
        </w:rPr>
        <w:t> </w:t>
      </w:r>
      <w:r>
        <w:rPr/>
        <w:t>similarly</w:t>
      </w:r>
      <w:r>
        <w:rPr>
          <w:spacing w:val="20"/>
        </w:rPr>
        <w:t> </w:t>
      </w:r>
      <w:r>
        <w:rPr/>
        <w:t>per</w:t>
      </w:r>
      <w:r>
        <w:rPr>
          <w:spacing w:val="20"/>
        </w:rPr>
        <w:t> </w:t>
      </w:r>
      <w:r>
        <w:rPr/>
        <w:t>Lord</w:t>
      </w:r>
      <w:r>
        <w:rPr>
          <w:spacing w:val="20"/>
        </w:rPr>
        <w:t> </w:t>
      </w:r>
      <w:r>
        <w:rPr/>
        <w:t>Mance</w:t>
      </w:r>
      <w:r>
        <w:rPr>
          <w:spacing w:val="20"/>
        </w:rPr>
        <w:t> </w:t>
      </w:r>
      <w:r>
        <w:rPr/>
        <w:t>J.S.C.</w:t>
      </w:r>
      <w:r>
        <w:rPr>
          <w:spacing w:val="20"/>
        </w:rPr>
        <w:t> </w:t>
      </w:r>
      <w:r>
        <w:rPr>
          <w:spacing w:val="-5"/>
        </w:rPr>
        <w:t>at</w:t>
      </w:r>
    </w:p>
    <w:p>
      <w:pPr>
        <w:pStyle w:val="BodyText"/>
        <w:spacing w:line="225" w:lineRule="exact"/>
        <w:ind w:left="165"/>
      </w:pPr>
      <w:r>
        <w:rPr/>
        <w:drawing>
          <wp:anchor distT="0" distB="0" distL="0" distR="0" allowOverlap="1" layoutInCell="1" locked="0" behindDoc="0" simplePos="0" relativeHeight="15783424">
            <wp:simplePos x="0" y="0"/>
            <wp:positionH relativeFrom="page">
              <wp:posOffset>1257846</wp:posOffset>
            </wp:positionH>
            <wp:positionV relativeFrom="paragraph">
              <wp:posOffset>-260310</wp:posOffset>
            </wp:positionV>
            <wp:extent cx="107988" cy="107988"/>
            <wp:effectExtent l="0" t="0" r="0" b="0"/>
            <wp:wrapNone/>
            <wp:docPr id="218" name="Image 218"/>
            <wp:cNvGraphicFramePr>
              <a:graphicFrameLocks/>
            </wp:cNvGraphicFramePr>
            <a:graphic>
              <a:graphicData uri="http://schemas.openxmlformats.org/drawingml/2006/picture">
                <pic:pic>
                  <pic:nvPicPr>
                    <pic:cNvPr id="218" name="Image 218"/>
                    <pic:cNvPicPr/>
                  </pic:nvPicPr>
                  <pic:blipFill>
                    <a:blip r:embed="rId6" cstate="print"/>
                    <a:stretch>
                      <a:fillRect/>
                    </a:stretch>
                  </pic:blipFill>
                  <pic:spPr>
                    <a:xfrm>
                      <a:off x="0" y="0"/>
                      <a:ext cx="107988" cy="107988"/>
                    </a:xfrm>
                    <a:prstGeom prst="rect">
                      <a:avLst/>
                    </a:prstGeom>
                  </pic:spPr>
                </pic:pic>
              </a:graphicData>
            </a:graphic>
          </wp:anchor>
        </w:drawing>
      </w:r>
      <w:r>
        <w:rPr/>
        <w:t>[152] per Lord Mance J.S.C. and [249] and [255] per Lord Hodge </w:t>
      </w:r>
      <w:r>
        <w:rPr>
          <w:spacing w:val="-2"/>
        </w:rPr>
        <w:t>J.S.C.</w:t>
      </w:r>
    </w:p>
    <w:p>
      <w:pPr>
        <w:pStyle w:val="BodyText"/>
        <w:spacing w:after="0" w:line="225" w:lineRule="exact"/>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3936">
            <wp:simplePos x="0" y="0"/>
            <wp:positionH relativeFrom="page">
              <wp:posOffset>1257846</wp:posOffset>
            </wp:positionH>
            <wp:positionV relativeFrom="paragraph">
              <wp:posOffset>160405</wp:posOffset>
            </wp:positionV>
            <wp:extent cx="107988" cy="107988"/>
            <wp:effectExtent l="0" t="0" r="0" b="0"/>
            <wp:wrapNone/>
            <wp:docPr id="219" name="Image 219"/>
            <wp:cNvGraphicFramePr>
              <a:graphicFrameLocks/>
            </wp:cNvGraphicFramePr>
            <a:graphic>
              <a:graphicData uri="http://schemas.openxmlformats.org/drawingml/2006/picture">
                <pic:pic>
                  <pic:nvPicPr>
                    <pic:cNvPr id="219" name="Image 21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71" w:id="473"/>
      <w:bookmarkEnd w:id="473"/>
      <w:r>
        <w:rPr/>
      </w:r>
      <w:hyperlink w:history="true" w:anchor="_bookmark395">
        <w:r>
          <w:rPr>
            <w:color w:val="005DA1"/>
            <w:spacing w:val="-4"/>
            <w:sz w:val="14"/>
            <w:u w:val="single" w:color="005DA1"/>
          </w:rPr>
          <w:t>223</w:t>
        </w:r>
      </w:hyperlink>
      <w:r>
        <w:rPr>
          <w:spacing w:val="-4"/>
          <w:sz w:val="14"/>
        </w:rPr>
        <w:t>.</w:t>
      </w:r>
    </w:p>
    <w:p>
      <w:pPr>
        <w:pStyle w:val="BodyText"/>
        <w:spacing w:line="235" w:lineRule="auto" w:before="212"/>
        <w:ind w:left="165" w:right="168" w:firstLine="170"/>
        <w:jc w:val="both"/>
      </w:pPr>
      <w:r>
        <w:rPr/>
        <w:br w:type="column"/>
      </w:r>
      <w:r>
        <w:rPr>
          <w:rFonts w:ascii="Arial"/>
          <w:i/>
        </w:rPr>
        <w:t>[2015] UKSC 67 </w:t>
      </w:r>
      <w:r>
        <w:rPr/>
        <w:t>at [35] Lord Neuberger P.S.C. and Lord Sumption J.S.C. (with whom Lord Carnwath J.S.C. and Lord Clarke J.S.C. agreed. See similarly at [75]. For discussion of </w:t>
      </w:r>
      <w:r>
        <w:rPr/>
        <w:t>this point, see below, para.26-214.</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472" w:id="474"/>
      <w:bookmarkEnd w:id="474"/>
      <w:r>
        <w:rPr/>
      </w:r>
      <w:hyperlink w:history="true" w:anchor="_bookmark396">
        <w:r>
          <w:rPr>
            <w:color w:val="005DA1"/>
            <w:spacing w:val="-4"/>
            <w:sz w:val="14"/>
            <w:u w:val="single" w:color="005DA1"/>
          </w:rPr>
          <w:t>224</w:t>
        </w:r>
      </w:hyperlink>
      <w:r>
        <w:rPr>
          <w:spacing w:val="-4"/>
          <w:sz w:val="14"/>
        </w:rPr>
        <w:t>.</w:t>
      </w:r>
    </w:p>
    <w:p>
      <w:pPr>
        <w:spacing w:before="208"/>
        <w:ind w:left="335" w:right="0" w:firstLine="0"/>
        <w:jc w:val="left"/>
        <w:rPr>
          <w:sz w:val="20"/>
        </w:rPr>
      </w:pPr>
      <w:r>
        <w:rPr/>
        <w:br w:type="column"/>
      </w:r>
      <w:r>
        <w:rPr>
          <w:rFonts w:ascii="Arial"/>
          <w:i/>
          <w:sz w:val="20"/>
        </w:rPr>
        <w:t>[2015] UKSC 67</w:t>
      </w:r>
      <w:r>
        <w:rPr>
          <w:rFonts w:ascii="Arial"/>
          <w:i/>
          <w:spacing w:val="-1"/>
          <w:sz w:val="20"/>
        </w:rPr>
        <w:t> </w:t>
      </w:r>
      <w:r>
        <w:rPr>
          <w:sz w:val="20"/>
        </w:rPr>
        <w:t>at </w:t>
      </w:r>
      <w:r>
        <w:rPr>
          <w:spacing w:val="-2"/>
          <w:sz w:val="20"/>
        </w:rPr>
        <w:t>[35].</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r>
        <w:rPr>
          <w:sz w:val="20"/>
        </w:rPr>
        <w:drawing>
          <wp:anchor distT="0" distB="0" distL="0" distR="0" allowOverlap="1" layoutInCell="1" locked="0" behindDoc="0" simplePos="0" relativeHeight="15784448">
            <wp:simplePos x="0" y="0"/>
            <wp:positionH relativeFrom="page">
              <wp:posOffset>1257846</wp:posOffset>
            </wp:positionH>
            <wp:positionV relativeFrom="paragraph">
              <wp:posOffset>-269547</wp:posOffset>
            </wp:positionV>
            <wp:extent cx="107988" cy="107988"/>
            <wp:effectExtent l="0" t="0" r="0" b="0"/>
            <wp:wrapNone/>
            <wp:docPr id="220" name="Image 220"/>
            <wp:cNvGraphicFramePr>
              <a:graphicFrameLocks/>
            </wp:cNvGraphicFramePr>
            <a:graphic>
              <a:graphicData uri="http://schemas.openxmlformats.org/drawingml/2006/picture">
                <pic:pic>
                  <pic:nvPicPr>
                    <pic:cNvPr id="220" name="Image 22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73" w:id="475"/>
      <w:bookmarkEnd w:id="475"/>
      <w:r>
        <w:rPr/>
      </w:r>
      <w:hyperlink w:history="true" w:anchor="_bookmark397">
        <w:r>
          <w:rPr>
            <w:color w:val="005DA1"/>
            <w:position w:val="5"/>
            <w:sz w:val="14"/>
            <w:u w:val="single" w:color="005DA1"/>
          </w:rPr>
          <w:t>225</w:t>
        </w:r>
      </w:hyperlink>
      <w:r>
        <w:rPr>
          <w:position w:val="5"/>
          <w:sz w:val="14"/>
        </w:rPr>
        <w:t>.</w:t>
      </w:r>
      <w:r>
        <w:rPr>
          <w:spacing w:val="80"/>
          <w:position w:val="5"/>
          <w:sz w:val="14"/>
        </w:rPr>
        <w:t> </w:t>
      </w:r>
      <w:r>
        <w:rPr>
          <w:rFonts w:ascii="Arial" w:hAnsi="Arial"/>
          <w:i/>
          <w:sz w:val="20"/>
        </w:rPr>
        <w:t>Spain v European Commission (C-240/97) [1999] E.C.R. I–6571 </w:t>
      </w:r>
      <w:r>
        <w:rPr>
          <w:sz w:val="20"/>
        </w:rPr>
        <w:t>at [99] (common agricultural policy); </w:t>
      </w:r>
      <w:r>
        <w:rPr>
          <w:rFonts w:ascii="Arial" w:hAnsi="Arial"/>
          <w:i/>
          <w:sz w:val="20"/>
        </w:rPr>
        <w:t>Société thermale d’Eugénie-les-Bains v Ministère de l’Economie, des Finances et </w:t>
      </w:r>
      <w:r>
        <w:rPr>
          <w:rFonts w:ascii="Arial" w:hAnsi="Arial"/>
          <w:i/>
          <w:sz w:val="20"/>
        </w:rPr>
        <w:t>de l’Industrie</w:t>
      </w:r>
      <w:r>
        <w:rPr>
          <w:rFonts w:ascii="Arial" w:hAnsi="Arial"/>
          <w:i/>
          <w:spacing w:val="22"/>
          <w:sz w:val="20"/>
        </w:rPr>
        <w:t> </w:t>
      </w:r>
      <w:r>
        <w:rPr>
          <w:rFonts w:ascii="Arial" w:hAnsi="Arial"/>
          <w:i/>
          <w:sz w:val="20"/>
        </w:rPr>
        <w:t>(C-277/05)</w:t>
      </w:r>
      <w:r>
        <w:rPr>
          <w:rFonts w:ascii="Arial" w:hAnsi="Arial"/>
          <w:i/>
          <w:spacing w:val="24"/>
          <w:sz w:val="20"/>
        </w:rPr>
        <w:t> </w:t>
      </w:r>
      <w:r>
        <w:rPr>
          <w:rFonts w:ascii="Arial" w:hAnsi="Arial"/>
          <w:i/>
          <w:sz w:val="20"/>
        </w:rPr>
        <w:t>[2007]</w:t>
      </w:r>
      <w:r>
        <w:rPr>
          <w:rFonts w:ascii="Arial" w:hAnsi="Arial"/>
          <w:i/>
          <w:spacing w:val="24"/>
          <w:sz w:val="20"/>
        </w:rPr>
        <w:t> </w:t>
      </w:r>
      <w:r>
        <w:rPr>
          <w:rFonts w:ascii="Arial" w:hAnsi="Arial"/>
          <w:i/>
          <w:sz w:val="20"/>
        </w:rPr>
        <w:t>E.C.R.</w:t>
      </w:r>
      <w:r>
        <w:rPr>
          <w:rFonts w:ascii="Arial" w:hAnsi="Arial"/>
          <w:i/>
          <w:spacing w:val="24"/>
          <w:sz w:val="20"/>
        </w:rPr>
        <w:t> </w:t>
      </w:r>
      <w:r>
        <w:rPr>
          <w:rFonts w:ascii="Arial" w:hAnsi="Arial"/>
          <w:i/>
          <w:sz w:val="20"/>
        </w:rPr>
        <w:t>I–6415</w:t>
      </w:r>
      <w:r>
        <w:rPr>
          <w:rFonts w:ascii="Arial" w:hAnsi="Arial"/>
          <w:i/>
          <w:spacing w:val="24"/>
          <w:sz w:val="20"/>
        </w:rPr>
        <w:t> </w:t>
      </w:r>
      <w:r>
        <w:rPr>
          <w:sz w:val="20"/>
        </w:rPr>
        <w:t>at</w:t>
      </w:r>
      <w:r>
        <w:rPr>
          <w:spacing w:val="24"/>
          <w:sz w:val="20"/>
        </w:rPr>
        <w:t> </w:t>
      </w:r>
      <w:r>
        <w:rPr>
          <w:sz w:val="20"/>
        </w:rPr>
        <w:t>[21],</w:t>
      </w:r>
      <w:r>
        <w:rPr>
          <w:spacing w:val="24"/>
          <w:sz w:val="20"/>
        </w:rPr>
        <w:t> </w:t>
      </w:r>
      <w:r>
        <w:rPr>
          <w:sz w:val="20"/>
        </w:rPr>
        <w:t>[24],</w:t>
      </w:r>
      <w:r>
        <w:rPr>
          <w:spacing w:val="24"/>
          <w:sz w:val="20"/>
        </w:rPr>
        <w:t> </w:t>
      </w:r>
      <w:r>
        <w:rPr>
          <w:sz w:val="20"/>
        </w:rPr>
        <w:t>[28]</w:t>
      </w:r>
      <w:r>
        <w:rPr>
          <w:spacing w:val="24"/>
          <w:sz w:val="20"/>
        </w:rPr>
        <w:t> </w:t>
      </w:r>
      <w:r>
        <w:rPr>
          <w:sz w:val="20"/>
        </w:rPr>
        <w:t>and</w:t>
      </w:r>
      <w:r>
        <w:rPr>
          <w:spacing w:val="24"/>
          <w:sz w:val="20"/>
        </w:rPr>
        <w:t> </w:t>
      </w:r>
      <w:r>
        <w:rPr>
          <w:sz w:val="20"/>
        </w:rPr>
        <w:t>[29]</w:t>
      </w:r>
      <w:r>
        <w:rPr>
          <w:spacing w:val="24"/>
          <w:sz w:val="20"/>
        </w:rPr>
        <w:t> </w:t>
      </w:r>
      <w:r>
        <w:rPr>
          <w:sz w:val="20"/>
        </w:rPr>
        <w:t>(VAT);</w:t>
      </w:r>
      <w:r>
        <w:rPr>
          <w:spacing w:val="24"/>
          <w:sz w:val="20"/>
        </w:rPr>
        <w:t> </w:t>
      </w:r>
      <w:r>
        <w:rPr>
          <w:sz w:val="20"/>
        </w:rPr>
        <w:t>Opinion</w:t>
      </w:r>
      <w:r>
        <w:rPr>
          <w:spacing w:val="24"/>
          <w:sz w:val="20"/>
        </w:rPr>
        <w:t> </w:t>
      </w:r>
      <w:r>
        <w:rPr>
          <w:sz w:val="20"/>
        </w:rPr>
        <w:t>of</w:t>
      </w:r>
      <w:r>
        <w:rPr>
          <w:spacing w:val="24"/>
          <w:sz w:val="20"/>
        </w:rPr>
        <w:t> </w:t>
      </w:r>
      <w:r>
        <w:rPr>
          <w:spacing w:val="-4"/>
          <w:sz w:val="20"/>
        </w:rPr>
        <w:t>A.G.</w:t>
      </w:r>
    </w:p>
    <w:p>
      <w:pPr>
        <w:pStyle w:val="BodyText"/>
        <w:spacing w:line="235" w:lineRule="auto"/>
        <w:ind w:left="705" w:right="167"/>
        <w:jc w:val="both"/>
      </w:pPr>
      <w:r>
        <w:rPr/>
        <w:t>Wahl</w:t>
      </w:r>
      <w:r>
        <w:rPr>
          <w:spacing w:val="-2"/>
        </w:rPr>
        <w:t> </w:t>
      </w:r>
      <w:r>
        <w:rPr/>
        <w:t>in</w:t>
      </w:r>
      <w:r>
        <w:rPr>
          <w:spacing w:val="-2"/>
        </w:rPr>
        <w:t> </w:t>
      </w:r>
      <w:r>
        <w:rPr>
          <w:rFonts w:ascii="Arial" w:hAnsi="Arial"/>
          <w:i/>
        </w:rPr>
        <w:t>Kásler</w:t>
      </w:r>
      <w:r>
        <w:rPr>
          <w:rFonts w:ascii="Arial" w:hAnsi="Arial"/>
          <w:i/>
          <w:spacing w:val="-2"/>
        </w:rPr>
        <w:t> </w:t>
      </w:r>
      <w:r>
        <w:rPr>
          <w:rFonts w:ascii="Arial" w:hAnsi="Arial"/>
          <w:i/>
        </w:rPr>
        <w:t>v</w:t>
      </w:r>
      <w:r>
        <w:rPr>
          <w:rFonts w:ascii="Arial" w:hAnsi="Arial"/>
          <w:i/>
          <w:spacing w:val="-2"/>
        </w:rPr>
        <w:t> </w:t>
      </w:r>
      <w:r>
        <w:rPr>
          <w:rFonts w:ascii="Arial" w:hAnsi="Arial"/>
          <w:i/>
        </w:rPr>
        <w:t>OTP</w:t>
      </w:r>
      <w:r>
        <w:rPr>
          <w:rFonts w:ascii="Arial" w:hAnsi="Arial"/>
          <w:i/>
          <w:spacing w:val="-2"/>
        </w:rPr>
        <w:t> </w:t>
      </w:r>
      <w:r>
        <w:rPr>
          <w:rFonts w:ascii="Arial" w:hAnsi="Arial"/>
          <w:i/>
        </w:rPr>
        <w:t>Jelzálogbank</w:t>
      </w:r>
      <w:r>
        <w:rPr>
          <w:rFonts w:ascii="Arial" w:hAnsi="Arial"/>
          <w:i/>
          <w:spacing w:val="-2"/>
        </w:rPr>
        <w:t> </w:t>
      </w:r>
      <w:r>
        <w:rPr>
          <w:rFonts w:ascii="Arial" w:hAnsi="Arial"/>
          <w:i/>
        </w:rPr>
        <w:t>Zrt</w:t>
      </w:r>
      <w:r>
        <w:rPr>
          <w:rFonts w:ascii="Arial" w:hAnsi="Arial"/>
          <w:i/>
          <w:spacing w:val="-2"/>
        </w:rPr>
        <w:t> </w:t>
      </w:r>
      <w:r>
        <w:rPr>
          <w:rFonts w:ascii="Arial" w:hAnsi="Arial"/>
          <w:i/>
        </w:rPr>
        <w:t>(C-26/13)</w:t>
      </w:r>
      <w:r>
        <w:rPr>
          <w:rFonts w:ascii="Arial" w:hAnsi="Arial"/>
          <w:i/>
          <w:spacing w:val="-2"/>
        </w:rPr>
        <w:t> </w:t>
      </w:r>
      <w:r>
        <w:rPr>
          <w:rFonts w:ascii="Arial" w:hAnsi="Arial"/>
          <w:i/>
        </w:rPr>
        <w:t>February</w:t>
      </w:r>
      <w:r>
        <w:rPr>
          <w:rFonts w:ascii="Arial" w:hAnsi="Arial"/>
          <w:i/>
          <w:spacing w:val="-2"/>
        </w:rPr>
        <w:t> </w:t>
      </w:r>
      <w:r>
        <w:rPr>
          <w:rFonts w:ascii="Arial" w:hAnsi="Arial"/>
          <w:i/>
        </w:rPr>
        <w:t>12,</w:t>
      </w:r>
      <w:r>
        <w:rPr>
          <w:rFonts w:ascii="Arial" w:hAnsi="Arial"/>
          <w:i/>
          <w:spacing w:val="-2"/>
        </w:rPr>
        <w:t> </w:t>
      </w:r>
      <w:r>
        <w:rPr>
          <w:rFonts w:ascii="Arial" w:hAnsi="Arial"/>
          <w:i/>
        </w:rPr>
        <w:t>2012</w:t>
      </w:r>
      <w:r>
        <w:rPr>
          <w:rFonts w:ascii="Arial" w:hAnsi="Arial"/>
          <w:i/>
          <w:spacing w:val="-3"/>
        </w:rPr>
        <w:t> </w:t>
      </w:r>
      <w:r>
        <w:rPr/>
        <w:t>at</w:t>
      </w:r>
      <w:r>
        <w:rPr>
          <w:spacing w:val="-2"/>
        </w:rPr>
        <w:t> </w:t>
      </w:r>
      <w:r>
        <w:rPr/>
        <w:t>[3]</w:t>
      </w:r>
      <w:r>
        <w:rPr>
          <w:spacing w:val="-2"/>
        </w:rPr>
        <w:t> </w:t>
      </w:r>
      <w:r>
        <w:rPr/>
        <w:t>referring</w:t>
      </w:r>
      <w:r>
        <w:rPr>
          <w:spacing w:val="-2"/>
        </w:rPr>
        <w:t> </w:t>
      </w:r>
      <w:r>
        <w:rPr/>
        <w:t>to</w:t>
      </w:r>
      <w:r>
        <w:rPr>
          <w:spacing w:val="-2"/>
        </w:rPr>
        <w:t> </w:t>
      </w:r>
      <w:r>
        <w:rPr/>
        <w:t>art.4(2)</w:t>
      </w:r>
      <w:r>
        <w:rPr>
          <w:spacing w:val="-2"/>
        </w:rPr>
        <w:t> </w:t>
      </w:r>
      <w:r>
        <w:rPr/>
        <w:t>of Directive 93/13/EEC on unfair terms in consumer contracts as “safeguarding, to some extent, the principles of freedom of choice and freedom of contract”. The CJEU’s judgment of April 30, 2014 did not refer to art.4(2) in this way.</w:t>
      </w:r>
    </w:p>
    <w:p>
      <w:pPr>
        <w:pStyle w:val="BodyText"/>
        <w:spacing w:before="3"/>
      </w:pPr>
    </w:p>
    <w:p>
      <w:pPr>
        <w:tabs>
          <w:tab w:pos="705" w:val="left" w:leader="none"/>
        </w:tabs>
        <w:spacing w:before="1"/>
        <w:ind w:left="165" w:right="0" w:firstLine="0"/>
        <w:jc w:val="left"/>
        <w:rPr>
          <w:sz w:val="20"/>
        </w:rPr>
      </w:pPr>
      <w:bookmarkStart w:name="_bookmark474" w:id="476"/>
      <w:bookmarkEnd w:id="476"/>
      <w:r>
        <w:rPr/>
      </w:r>
      <w:hyperlink w:history="true" w:anchor="_bookmark398">
        <w:r>
          <w:rPr>
            <w:color w:val="005DA1"/>
            <w:spacing w:val="-4"/>
            <w:position w:val="5"/>
            <w:sz w:val="14"/>
            <w:u w:val="single" w:color="005DA1"/>
          </w:rPr>
          <w:t>226</w:t>
        </w:r>
      </w:hyperlink>
      <w:r>
        <w:rPr>
          <w:spacing w:val="-4"/>
          <w:position w:val="5"/>
          <w:sz w:val="14"/>
        </w:rPr>
        <w:t>.</w:t>
      </w:r>
      <w:r>
        <w:rPr>
          <w:position w:val="5"/>
          <w:sz w:val="14"/>
        </w:rPr>
        <w:tab/>
      </w:r>
      <w:r>
        <w:rPr>
          <w:rFonts w:ascii="Arial"/>
          <w:i/>
          <w:sz w:val="20"/>
        </w:rPr>
        <w:t>European Commission v Alrosa Co Ltd (C-441/07) [2010] 5 C.M.L.R. 11</w:t>
      </w:r>
      <w:r>
        <w:rPr>
          <w:rFonts w:ascii="Arial"/>
          <w:i/>
          <w:spacing w:val="-1"/>
          <w:sz w:val="20"/>
        </w:rPr>
        <w:t> </w:t>
      </w:r>
      <w:r>
        <w:rPr>
          <w:sz w:val="20"/>
        </w:rPr>
        <w:t>at AG </w:t>
      </w:r>
      <w:r>
        <w:rPr>
          <w:spacing w:val="-2"/>
          <w:sz w:val="20"/>
        </w:rPr>
        <w:t>para.225.</w:t>
      </w:r>
    </w:p>
    <w:p>
      <w:pPr>
        <w:pStyle w:val="BodyText"/>
        <w:spacing w:before="8"/>
      </w:pPr>
    </w:p>
    <w:p>
      <w:pPr>
        <w:pStyle w:val="BodyText"/>
        <w:tabs>
          <w:tab w:pos="705" w:val="left" w:leader="none"/>
        </w:tabs>
        <w:spacing w:line="235" w:lineRule="auto"/>
        <w:ind w:left="705" w:right="168" w:hanging="541"/>
      </w:pPr>
      <w:bookmarkStart w:name="_bookmark475" w:id="477"/>
      <w:bookmarkEnd w:id="477"/>
      <w:r>
        <w:rPr/>
      </w:r>
      <w:hyperlink w:history="true" w:anchor="_bookmark399">
        <w:r>
          <w:rPr>
            <w:color w:val="005DA1"/>
            <w:spacing w:val="-4"/>
            <w:position w:val="5"/>
            <w:sz w:val="14"/>
            <w:u w:val="single" w:color="005DA1"/>
          </w:rPr>
          <w:t>227</w:t>
        </w:r>
      </w:hyperlink>
      <w:r>
        <w:rPr>
          <w:spacing w:val="-4"/>
          <w:position w:val="5"/>
          <w:sz w:val="14"/>
        </w:rPr>
        <w:t>.</w:t>
      </w:r>
      <w:r>
        <w:rPr>
          <w:position w:val="5"/>
          <w:sz w:val="14"/>
        </w:rPr>
        <w:tab/>
      </w:r>
      <w:r>
        <w:rPr/>
        <w:t>EC</w:t>
      </w:r>
      <w:r>
        <w:rPr>
          <w:spacing w:val="40"/>
        </w:rPr>
        <w:t> </w:t>
      </w:r>
      <w:r>
        <w:rPr/>
        <w:t>Commission,</w:t>
      </w:r>
      <w:r>
        <w:rPr>
          <w:spacing w:val="40"/>
        </w:rPr>
        <w:t> </w:t>
      </w:r>
      <w:r>
        <w:rPr/>
        <w:t>First</w:t>
      </w:r>
      <w:r>
        <w:rPr>
          <w:spacing w:val="40"/>
        </w:rPr>
        <w:t> </w:t>
      </w:r>
      <w:r>
        <w:rPr/>
        <w:t>Annual</w:t>
      </w:r>
      <w:r>
        <w:rPr>
          <w:spacing w:val="40"/>
        </w:rPr>
        <w:t> </w:t>
      </w:r>
      <w:r>
        <w:rPr/>
        <w:t>Progress</w:t>
      </w:r>
      <w:r>
        <w:rPr>
          <w:spacing w:val="40"/>
        </w:rPr>
        <w:t> </w:t>
      </w:r>
      <w:r>
        <w:rPr/>
        <w:t>Report</w:t>
      </w:r>
      <w:r>
        <w:rPr>
          <w:spacing w:val="40"/>
        </w:rPr>
        <w:t> </w:t>
      </w:r>
      <w:r>
        <w:rPr/>
        <w:t>on</w:t>
      </w:r>
      <w:r>
        <w:rPr>
          <w:spacing w:val="40"/>
        </w:rPr>
        <w:t> </w:t>
      </w:r>
      <w:r>
        <w:rPr/>
        <w:t>European</w:t>
      </w:r>
      <w:r>
        <w:rPr>
          <w:spacing w:val="40"/>
        </w:rPr>
        <w:t> </w:t>
      </w:r>
      <w:r>
        <w:rPr/>
        <w:t>Contract</w:t>
      </w:r>
      <w:r>
        <w:rPr>
          <w:spacing w:val="40"/>
        </w:rPr>
        <w:t> </w:t>
      </w:r>
      <w:r>
        <w:rPr/>
        <w:t>Law</w:t>
      </w:r>
      <w:r>
        <w:rPr>
          <w:spacing w:val="40"/>
        </w:rPr>
        <w:t> </w:t>
      </w:r>
      <w:r>
        <w:rPr/>
        <w:t>and</w:t>
      </w:r>
      <w:r>
        <w:rPr>
          <w:spacing w:val="40"/>
        </w:rPr>
        <w:t> </w:t>
      </w:r>
      <w:r>
        <w:rPr/>
        <w:t>the</w:t>
      </w:r>
      <w:r>
        <w:rPr>
          <w:spacing w:val="40"/>
        </w:rPr>
        <w:t> </w:t>
      </w:r>
      <w:r>
        <w:rPr/>
        <w:t>Acquis Review COM(2005) 456 final, para.2.6.3.</w:t>
      </w:r>
    </w:p>
    <w:p>
      <w:pPr>
        <w:pStyle w:val="BodyText"/>
        <w:spacing w:before="9"/>
      </w:pPr>
    </w:p>
    <w:p>
      <w:pPr>
        <w:pStyle w:val="BodyText"/>
        <w:tabs>
          <w:tab w:pos="705" w:val="left" w:leader="none"/>
        </w:tabs>
        <w:spacing w:line="235" w:lineRule="auto" w:before="1"/>
        <w:ind w:left="705" w:right="168" w:hanging="541"/>
      </w:pPr>
      <w:bookmarkStart w:name="_bookmark476" w:id="478"/>
      <w:bookmarkEnd w:id="478"/>
      <w:r>
        <w:rPr/>
      </w:r>
      <w:hyperlink w:history="true" w:anchor="_bookmark400">
        <w:r>
          <w:rPr>
            <w:color w:val="005DA1"/>
            <w:spacing w:val="-4"/>
            <w:position w:val="5"/>
            <w:sz w:val="14"/>
            <w:u w:val="single" w:color="005DA1"/>
          </w:rPr>
          <w:t>228</w:t>
        </w:r>
      </w:hyperlink>
      <w:r>
        <w:rPr>
          <w:spacing w:val="-4"/>
          <w:position w:val="5"/>
          <w:sz w:val="14"/>
        </w:rPr>
        <w:t>.</w:t>
      </w:r>
      <w:r>
        <w:rPr>
          <w:position w:val="5"/>
          <w:sz w:val="14"/>
        </w:rPr>
        <w:tab/>
      </w:r>
      <w:r>
        <w:rPr/>
        <w:t>Proposal</w:t>
      </w:r>
      <w:r>
        <w:rPr>
          <w:spacing w:val="40"/>
        </w:rPr>
        <w:t> </w:t>
      </w:r>
      <w:r>
        <w:rPr/>
        <w:t>for</w:t>
      </w:r>
      <w:r>
        <w:rPr>
          <w:spacing w:val="40"/>
        </w:rPr>
        <w:t> </w:t>
      </w:r>
      <w:r>
        <w:rPr/>
        <w:t>a</w:t>
      </w:r>
      <w:r>
        <w:rPr>
          <w:spacing w:val="40"/>
        </w:rPr>
        <w:t> </w:t>
      </w:r>
      <w:r>
        <w:rPr/>
        <w:t>Regulation</w:t>
      </w:r>
      <w:r>
        <w:rPr>
          <w:spacing w:val="40"/>
        </w:rPr>
        <w:t> </w:t>
      </w:r>
      <w:r>
        <w:rPr/>
        <w:t>of</w:t>
      </w:r>
      <w:r>
        <w:rPr>
          <w:spacing w:val="40"/>
        </w:rPr>
        <w:t> </w:t>
      </w:r>
      <w:r>
        <w:rPr/>
        <w:t>the</w:t>
      </w:r>
      <w:r>
        <w:rPr>
          <w:spacing w:val="40"/>
        </w:rPr>
        <w:t> </w:t>
      </w:r>
      <w:r>
        <w:rPr/>
        <w:t>European</w:t>
      </w:r>
      <w:r>
        <w:rPr>
          <w:spacing w:val="40"/>
        </w:rPr>
        <w:t> </w:t>
      </w:r>
      <w:r>
        <w:rPr/>
        <w:t>Parliament</w:t>
      </w:r>
      <w:r>
        <w:rPr>
          <w:spacing w:val="40"/>
        </w:rPr>
        <w:t> </w:t>
      </w:r>
      <w:r>
        <w:rPr/>
        <w:t>and</w:t>
      </w:r>
      <w:r>
        <w:rPr>
          <w:spacing w:val="40"/>
        </w:rPr>
        <w:t> </w:t>
      </w:r>
      <w:r>
        <w:rPr/>
        <w:t>of</w:t>
      </w:r>
      <w:r>
        <w:rPr>
          <w:spacing w:val="40"/>
        </w:rPr>
        <w:t> </w:t>
      </w:r>
      <w:r>
        <w:rPr/>
        <w:t>the</w:t>
      </w:r>
      <w:r>
        <w:rPr>
          <w:spacing w:val="40"/>
        </w:rPr>
        <w:t> </w:t>
      </w:r>
      <w:r>
        <w:rPr/>
        <w:t>Council</w:t>
      </w:r>
      <w:r>
        <w:rPr>
          <w:spacing w:val="40"/>
        </w:rPr>
        <w:t> </w:t>
      </w:r>
      <w:r>
        <w:rPr/>
        <w:t>on</w:t>
      </w:r>
      <w:r>
        <w:rPr>
          <w:spacing w:val="40"/>
        </w:rPr>
        <w:t> </w:t>
      </w:r>
      <w:r>
        <w:rPr/>
        <w:t>a</w:t>
      </w:r>
      <w:r>
        <w:rPr>
          <w:spacing w:val="40"/>
        </w:rPr>
        <w:t> </w:t>
      </w:r>
      <w:r>
        <w:rPr/>
        <w:t>Common European Sales Law Com(2011) 635 final, Annex I, art.1 CESL.</w:t>
      </w:r>
    </w:p>
    <w:p>
      <w:pPr>
        <w:pStyle w:val="BodyText"/>
        <w:spacing w:before="5"/>
      </w:pPr>
    </w:p>
    <w:p>
      <w:pPr>
        <w:pStyle w:val="BodyText"/>
        <w:tabs>
          <w:tab w:pos="705" w:val="left" w:leader="none"/>
        </w:tabs>
        <w:ind w:left="165"/>
      </w:pPr>
      <w:bookmarkStart w:name="_bookmark477" w:id="479"/>
      <w:bookmarkEnd w:id="479"/>
      <w:r>
        <w:rPr/>
      </w:r>
      <w:hyperlink w:history="true" w:anchor="_bookmark401">
        <w:r>
          <w:rPr>
            <w:color w:val="005DA1"/>
            <w:spacing w:val="-4"/>
            <w:position w:val="5"/>
            <w:sz w:val="14"/>
            <w:u w:val="single" w:color="005DA1"/>
          </w:rPr>
          <w:t>229</w:t>
        </w:r>
      </w:hyperlink>
      <w:r>
        <w:rPr>
          <w:spacing w:val="-4"/>
          <w:position w:val="5"/>
          <w:sz w:val="14"/>
        </w:rPr>
        <w:t>.</w:t>
      </w:r>
      <w:r>
        <w:rPr>
          <w:position w:val="5"/>
          <w:sz w:val="14"/>
        </w:rPr>
        <w:tab/>
      </w:r>
      <w:r>
        <w:rPr/>
        <w:t>CESL Proposal recital </w:t>
      </w:r>
      <w:r>
        <w:rPr>
          <w:spacing w:val="-5"/>
        </w:rPr>
        <w:t>30.</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4960">
            <wp:simplePos x="0" y="0"/>
            <wp:positionH relativeFrom="page">
              <wp:posOffset>1257846</wp:posOffset>
            </wp:positionH>
            <wp:positionV relativeFrom="paragraph">
              <wp:posOffset>160308</wp:posOffset>
            </wp:positionV>
            <wp:extent cx="107988" cy="107988"/>
            <wp:effectExtent l="0" t="0" r="0" b="0"/>
            <wp:wrapNone/>
            <wp:docPr id="221" name="Image 221"/>
            <wp:cNvGraphicFramePr>
              <a:graphicFrameLocks/>
            </wp:cNvGraphicFramePr>
            <a:graphic>
              <a:graphicData uri="http://schemas.openxmlformats.org/drawingml/2006/picture">
                <pic:pic>
                  <pic:nvPicPr>
                    <pic:cNvPr id="221" name="Image 22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78" w:id="480"/>
      <w:bookmarkEnd w:id="480"/>
      <w:r>
        <w:rPr/>
      </w:r>
      <w:hyperlink w:history="true" w:anchor="_bookmark402">
        <w:r>
          <w:rPr>
            <w:color w:val="005DA1"/>
            <w:spacing w:val="-4"/>
            <w:sz w:val="14"/>
            <w:u w:val="single" w:color="005DA1"/>
          </w:rPr>
          <w:t>230</w:t>
        </w:r>
      </w:hyperlink>
      <w:r>
        <w:rPr>
          <w:spacing w:val="-4"/>
          <w:sz w:val="14"/>
        </w:rPr>
        <w:t>.</w:t>
      </w:r>
    </w:p>
    <w:p>
      <w:pPr>
        <w:pStyle w:val="BodyText"/>
        <w:spacing w:line="235" w:lineRule="auto" w:before="212"/>
        <w:ind w:left="165" w:right="167" w:firstLine="170"/>
        <w:jc w:val="both"/>
      </w:pPr>
      <w:r>
        <w:rPr/>
        <w:br w:type="column"/>
      </w:r>
      <w:r>
        <w:rPr/>
        <w:t>See Regulation (EC) 593/2008 on the law applicable to contractual obligations (Rome I) [2008] O.J. L177/6, art.3 and Vol.I, paras 30-169 et seq.; Regulation (EU) 1215/2012 of 12 December 2012 on jurisdiction and the recognition and enforcement of judgments in civil and commercial matters (recast) (“the Brussels Ibis Regulation”) art.23 (on jurisdiction </w:t>
      </w:r>
      <w:r>
        <w:rPr/>
        <w:t>agreements) and recital 14, on which see Dicey, Morris and Collins, </w:t>
      </w:r>
      <w:r>
        <w:rPr>
          <w:rFonts w:ascii="Arial" w:hAnsi="Arial"/>
          <w:i/>
        </w:rPr>
        <w:t>The Conflict of Laws</w:t>
      </w:r>
      <w:r>
        <w:rPr/>
        <w:t>, 15th edn (2014), paras 12–099 et seq.</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7"/>
      </w:pPr>
    </w:p>
    <w:p>
      <w:pPr>
        <w:tabs>
          <w:tab w:pos="705" w:val="left" w:leader="none"/>
        </w:tabs>
        <w:spacing w:line="235" w:lineRule="auto" w:before="1"/>
        <w:ind w:left="705" w:right="168" w:hanging="541"/>
        <w:jc w:val="left"/>
        <w:rPr>
          <w:sz w:val="20"/>
        </w:rPr>
      </w:pPr>
      <w:bookmarkStart w:name="_bookmark479" w:id="481"/>
      <w:bookmarkEnd w:id="481"/>
      <w:r>
        <w:rPr/>
      </w:r>
      <w:hyperlink w:history="true" w:anchor="_bookmark403">
        <w:r>
          <w:rPr>
            <w:color w:val="005DA1"/>
            <w:spacing w:val="-4"/>
            <w:position w:val="5"/>
            <w:sz w:val="14"/>
            <w:u w:val="single" w:color="005DA1"/>
          </w:rPr>
          <w:t>231</w:t>
        </w:r>
      </w:hyperlink>
      <w:r>
        <w:rPr>
          <w:spacing w:val="-4"/>
          <w:position w:val="5"/>
          <w:sz w:val="14"/>
        </w:rPr>
        <w:t>.</w:t>
      </w:r>
      <w:r>
        <w:rPr>
          <w:position w:val="5"/>
          <w:sz w:val="14"/>
        </w:rPr>
        <w:tab/>
      </w:r>
      <w:r>
        <w:rPr>
          <w:rFonts w:ascii="Arial"/>
          <w:i/>
          <w:sz w:val="20"/>
        </w:rPr>
        <w:t>C-426/11, July 18, 2013</w:t>
      </w:r>
      <w:r>
        <w:rPr>
          <w:sz w:val="20"/>
        </w:rPr>
        <w:t>. For the UK Supreme Court judgment of referral see </w:t>
      </w:r>
      <w:r>
        <w:rPr>
          <w:rFonts w:ascii="Arial"/>
          <w:i/>
          <w:sz w:val="20"/>
        </w:rPr>
        <w:t>[2011] UKSC </w:t>
      </w:r>
      <w:r>
        <w:rPr>
          <w:rFonts w:ascii="Arial"/>
          <w:i/>
          <w:sz w:val="20"/>
        </w:rPr>
        <w:t>26, [2011] 4 All E.R. 800</w:t>
      </w:r>
      <w:r>
        <w:rPr>
          <w:sz w:val="20"/>
        </w:rPr>
        <w:t>.</w:t>
      </w:r>
    </w:p>
    <w:p>
      <w:pPr>
        <w:pStyle w:val="BodyText"/>
        <w:spacing w:before="9"/>
      </w:pPr>
    </w:p>
    <w:p>
      <w:pPr>
        <w:pStyle w:val="BodyText"/>
        <w:spacing w:line="235" w:lineRule="auto"/>
        <w:ind w:left="705" w:right="167" w:hanging="541"/>
        <w:jc w:val="both"/>
      </w:pPr>
      <w:bookmarkStart w:name="_bookmark480" w:id="482"/>
      <w:bookmarkEnd w:id="482"/>
      <w:r>
        <w:rPr/>
      </w:r>
      <w:hyperlink w:history="true" w:anchor="_bookmark404">
        <w:r>
          <w:rPr>
            <w:color w:val="005DA1"/>
            <w:position w:val="5"/>
            <w:sz w:val="14"/>
            <w:u w:val="single" w:color="005DA1"/>
          </w:rPr>
          <w:t>232</w:t>
        </w:r>
      </w:hyperlink>
      <w:r>
        <w:rPr>
          <w:position w:val="5"/>
          <w:sz w:val="14"/>
        </w:rPr>
        <w:t>.</w:t>
      </w:r>
      <w:r>
        <w:rPr>
          <w:spacing w:val="80"/>
          <w:w w:val="150"/>
          <w:position w:val="5"/>
          <w:sz w:val="14"/>
        </w:rPr>
        <w:t> </w:t>
      </w:r>
      <w:r>
        <w:rPr/>
        <w:t>Directive 2001/23 relating to the safeguarding of employees’ rights in the event of transfers of undertakings, businesses or parts of undertakings or businesses [2001] O.J. L82/16 implemented in UK law by the Transfer of Undertakings (Protection of </w:t>
      </w:r>
      <w:r>
        <w:rPr/>
        <w:t>Employment)</w:t>
      </w:r>
      <w:r>
        <w:rPr>
          <w:spacing w:val="40"/>
        </w:rPr>
        <w:t> </w:t>
      </w:r>
      <w:r>
        <w:rPr/>
        <w:t>Regulations</w:t>
      </w:r>
      <w:r>
        <w:rPr>
          <w:spacing w:val="-1"/>
        </w:rPr>
        <w:t> </w:t>
      </w:r>
      <w:r>
        <w:rPr/>
        <w:t>2006</w:t>
      </w:r>
      <w:r>
        <w:rPr>
          <w:spacing w:val="-1"/>
        </w:rPr>
        <w:t> </w:t>
      </w:r>
      <w:r>
        <w:rPr/>
        <w:t>(SI</w:t>
      </w:r>
      <w:r>
        <w:rPr>
          <w:spacing w:val="-1"/>
        </w:rPr>
        <w:t> </w:t>
      </w:r>
      <w:r>
        <w:rPr/>
        <w:t>2006/246).</w:t>
      </w:r>
      <w:r>
        <w:rPr>
          <w:spacing w:val="-1"/>
        </w:rPr>
        <w:t> </w:t>
      </w:r>
      <w:r>
        <w:rPr/>
        <w:t>The</w:t>
      </w:r>
      <w:r>
        <w:rPr>
          <w:spacing w:val="-1"/>
        </w:rPr>
        <w:t> </w:t>
      </w:r>
      <w:r>
        <w:rPr/>
        <w:t>case</w:t>
      </w:r>
      <w:r>
        <w:rPr>
          <w:spacing w:val="-1"/>
        </w:rPr>
        <w:t> </w:t>
      </w:r>
      <w:r>
        <w:rPr/>
        <w:t>itself</w:t>
      </w:r>
      <w:r>
        <w:rPr>
          <w:spacing w:val="-1"/>
        </w:rPr>
        <w:t> </w:t>
      </w:r>
      <w:r>
        <w:rPr/>
        <w:t>concerned</w:t>
      </w:r>
      <w:r>
        <w:rPr>
          <w:spacing w:val="-1"/>
        </w:rPr>
        <w:t> </w:t>
      </w:r>
      <w:r>
        <w:rPr/>
        <w:t>earlier</w:t>
      </w:r>
      <w:r>
        <w:rPr>
          <w:spacing w:val="-1"/>
        </w:rPr>
        <w:t> </w:t>
      </w:r>
      <w:r>
        <w:rPr/>
        <w:t>UK</w:t>
      </w:r>
      <w:r>
        <w:rPr>
          <w:spacing w:val="-1"/>
        </w:rPr>
        <w:t> </w:t>
      </w:r>
      <w:r>
        <w:rPr/>
        <w:t>regulations</w:t>
      </w:r>
      <w:r>
        <w:rPr>
          <w:spacing w:val="-1"/>
        </w:rPr>
        <w:t> </w:t>
      </w:r>
      <w:r>
        <w:rPr/>
        <w:t>implementing an earlier EEC directive, but the relevant provisions were essentially identical.</w:t>
      </w:r>
    </w:p>
    <w:p>
      <w:pPr>
        <w:pStyle w:val="BodyText"/>
        <w:spacing w:before="4"/>
      </w:pPr>
    </w:p>
    <w:p>
      <w:pPr>
        <w:tabs>
          <w:tab w:pos="705" w:val="left" w:leader="none"/>
        </w:tabs>
        <w:spacing w:before="0"/>
        <w:ind w:left="165" w:right="0" w:firstLine="0"/>
        <w:jc w:val="left"/>
        <w:rPr>
          <w:sz w:val="20"/>
        </w:rPr>
      </w:pPr>
      <w:bookmarkStart w:name="_bookmark481" w:id="483"/>
      <w:bookmarkEnd w:id="483"/>
      <w:r>
        <w:rPr/>
      </w:r>
      <w:hyperlink w:history="true" w:anchor="_bookmark405">
        <w:r>
          <w:rPr>
            <w:color w:val="005DA1"/>
            <w:spacing w:val="-4"/>
            <w:position w:val="5"/>
            <w:sz w:val="14"/>
            <w:u w:val="single" w:color="005DA1"/>
          </w:rPr>
          <w:t>233</w:t>
        </w:r>
      </w:hyperlink>
      <w:r>
        <w:rPr>
          <w:spacing w:val="-4"/>
          <w:position w:val="5"/>
          <w:sz w:val="14"/>
        </w:rPr>
        <w:t>.</w:t>
      </w:r>
      <w:r>
        <w:rPr>
          <w:position w:val="5"/>
          <w:sz w:val="14"/>
        </w:rPr>
        <w:tab/>
      </w:r>
      <w:r>
        <w:rPr>
          <w:rFonts w:ascii="Arial"/>
          <w:i/>
          <w:sz w:val="20"/>
        </w:rPr>
        <w:t>C-426/11</w:t>
      </w:r>
      <w:r>
        <w:rPr>
          <w:rFonts w:ascii="Arial"/>
          <w:i/>
          <w:spacing w:val="-1"/>
          <w:sz w:val="20"/>
        </w:rPr>
        <w:t> </w:t>
      </w:r>
      <w:r>
        <w:rPr>
          <w:sz w:val="20"/>
        </w:rPr>
        <w:t>at </w:t>
      </w:r>
      <w:r>
        <w:rPr>
          <w:spacing w:val="-2"/>
          <w:sz w:val="20"/>
        </w:rPr>
        <w:t>para.8.</w:t>
      </w:r>
    </w:p>
    <w:p>
      <w:pPr>
        <w:pStyle w:val="BodyText"/>
        <w:spacing w:before="5"/>
      </w:pPr>
    </w:p>
    <w:p>
      <w:pPr>
        <w:pStyle w:val="BodyText"/>
        <w:tabs>
          <w:tab w:pos="705" w:val="left" w:leader="none"/>
        </w:tabs>
        <w:ind w:left="165"/>
      </w:pPr>
      <w:bookmarkStart w:name="_bookmark482" w:id="484"/>
      <w:bookmarkEnd w:id="484"/>
      <w:r>
        <w:rPr/>
      </w:r>
      <w:hyperlink w:history="true" w:anchor="_bookmark406">
        <w:r>
          <w:rPr>
            <w:color w:val="005DA1"/>
            <w:spacing w:val="-4"/>
            <w:position w:val="5"/>
            <w:sz w:val="14"/>
            <w:u w:val="single" w:color="005DA1"/>
          </w:rPr>
          <w:t>234</w:t>
        </w:r>
      </w:hyperlink>
      <w:r>
        <w:rPr>
          <w:spacing w:val="-4"/>
          <w:position w:val="5"/>
          <w:sz w:val="14"/>
        </w:rPr>
        <w:t>.</w:t>
      </w:r>
      <w:r>
        <w:rPr>
          <w:position w:val="5"/>
          <w:sz w:val="14"/>
        </w:rPr>
        <w:tab/>
      </w:r>
      <w:r>
        <w:rPr/>
        <w:t>Directive 2001/23 art.3(1) and (8) respectively (emphasis </w:t>
      </w:r>
      <w:r>
        <w:rPr>
          <w:spacing w:val="-2"/>
        </w:rPr>
        <w:t>added).</w:t>
      </w:r>
    </w:p>
    <w:p>
      <w:pPr>
        <w:pStyle w:val="BodyText"/>
        <w:spacing w:before="5"/>
      </w:pPr>
    </w:p>
    <w:p>
      <w:pPr>
        <w:tabs>
          <w:tab w:pos="705" w:val="left" w:leader="none"/>
        </w:tabs>
        <w:spacing w:before="0"/>
        <w:ind w:left="165" w:right="0" w:firstLine="0"/>
        <w:jc w:val="left"/>
        <w:rPr>
          <w:sz w:val="20"/>
        </w:rPr>
      </w:pPr>
      <w:bookmarkStart w:name="_bookmark483" w:id="485"/>
      <w:bookmarkEnd w:id="485"/>
      <w:r>
        <w:rPr/>
      </w:r>
      <w:hyperlink w:history="true" w:anchor="_bookmark407">
        <w:r>
          <w:rPr>
            <w:color w:val="005DA1"/>
            <w:spacing w:val="-4"/>
            <w:position w:val="5"/>
            <w:sz w:val="14"/>
            <w:u w:val="single" w:color="005DA1"/>
          </w:rPr>
          <w:t>235</w:t>
        </w:r>
      </w:hyperlink>
      <w:r>
        <w:rPr>
          <w:spacing w:val="-4"/>
          <w:position w:val="5"/>
          <w:sz w:val="14"/>
        </w:rPr>
        <w:t>.</w:t>
      </w:r>
      <w:r>
        <w:rPr>
          <w:position w:val="5"/>
          <w:sz w:val="14"/>
        </w:rPr>
        <w:tab/>
      </w:r>
      <w:r>
        <w:rPr>
          <w:rFonts w:ascii="Arial"/>
          <w:i/>
          <w:sz w:val="20"/>
        </w:rPr>
        <w:t>C-426/11</w:t>
      </w:r>
      <w:r>
        <w:rPr>
          <w:rFonts w:ascii="Arial"/>
          <w:i/>
          <w:spacing w:val="-1"/>
          <w:sz w:val="20"/>
        </w:rPr>
        <w:t> </w:t>
      </w:r>
      <w:r>
        <w:rPr>
          <w:sz w:val="20"/>
        </w:rPr>
        <w:t>at paras 25 and </w:t>
      </w:r>
      <w:r>
        <w:rPr>
          <w:spacing w:val="-5"/>
          <w:sz w:val="20"/>
        </w:rPr>
        <w:t>26.</w:t>
      </w:r>
    </w:p>
    <w:p>
      <w:pPr>
        <w:pStyle w:val="BodyText"/>
        <w:spacing w:before="5"/>
      </w:pPr>
    </w:p>
    <w:p>
      <w:pPr>
        <w:tabs>
          <w:tab w:pos="705" w:val="left" w:leader="none"/>
        </w:tabs>
        <w:spacing w:before="0"/>
        <w:ind w:left="165" w:right="0" w:firstLine="0"/>
        <w:jc w:val="left"/>
        <w:rPr>
          <w:sz w:val="20"/>
        </w:rPr>
      </w:pPr>
      <w:bookmarkStart w:name="_bookmark484" w:id="486"/>
      <w:bookmarkEnd w:id="486"/>
      <w:r>
        <w:rPr/>
      </w:r>
      <w:hyperlink w:history="true" w:anchor="_bookmark407">
        <w:r>
          <w:rPr>
            <w:color w:val="005DA1"/>
            <w:spacing w:val="-4"/>
            <w:position w:val="5"/>
            <w:sz w:val="14"/>
            <w:u w:val="single" w:color="005DA1"/>
          </w:rPr>
          <w:t>236</w:t>
        </w:r>
      </w:hyperlink>
      <w:r>
        <w:rPr>
          <w:spacing w:val="-4"/>
          <w:position w:val="5"/>
          <w:sz w:val="14"/>
        </w:rPr>
        <w:t>.</w:t>
      </w:r>
      <w:r>
        <w:rPr>
          <w:position w:val="5"/>
          <w:sz w:val="14"/>
        </w:rPr>
        <w:tab/>
      </w:r>
      <w:r>
        <w:rPr>
          <w:rFonts w:ascii="Arial" w:hAnsi="Arial"/>
          <w:i/>
          <w:sz w:val="20"/>
        </w:rPr>
        <w:t>C-426/11</w:t>
      </w:r>
      <w:r>
        <w:rPr>
          <w:rFonts w:ascii="Arial" w:hAnsi="Arial"/>
          <w:i/>
          <w:spacing w:val="-1"/>
          <w:sz w:val="20"/>
        </w:rPr>
        <w:t> </w:t>
      </w:r>
      <w:r>
        <w:rPr>
          <w:sz w:val="20"/>
        </w:rPr>
        <w:t>at paras </w:t>
      </w:r>
      <w:r>
        <w:rPr>
          <w:spacing w:val="-2"/>
          <w:sz w:val="20"/>
        </w:rPr>
        <w:t>28–29.</w:t>
      </w:r>
    </w:p>
    <w:p>
      <w:pPr>
        <w:pStyle w:val="BodyText"/>
        <w:spacing w:before="5"/>
      </w:pPr>
    </w:p>
    <w:p>
      <w:pPr>
        <w:tabs>
          <w:tab w:pos="705" w:val="left" w:leader="none"/>
        </w:tabs>
        <w:spacing w:before="0"/>
        <w:ind w:left="165" w:right="0" w:firstLine="0"/>
        <w:jc w:val="left"/>
        <w:rPr>
          <w:sz w:val="20"/>
        </w:rPr>
      </w:pPr>
      <w:bookmarkStart w:name="_bookmark485" w:id="487"/>
      <w:bookmarkEnd w:id="487"/>
      <w:r>
        <w:rPr/>
      </w:r>
      <w:hyperlink w:history="true" w:anchor="_bookmark408">
        <w:r>
          <w:rPr>
            <w:color w:val="005DA1"/>
            <w:spacing w:val="-4"/>
            <w:position w:val="5"/>
            <w:sz w:val="14"/>
            <w:u w:val="single" w:color="005DA1"/>
          </w:rPr>
          <w:t>237</w:t>
        </w:r>
      </w:hyperlink>
      <w:r>
        <w:rPr>
          <w:spacing w:val="-4"/>
          <w:position w:val="5"/>
          <w:sz w:val="14"/>
        </w:rPr>
        <w:t>.</w:t>
      </w:r>
      <w:r>
        <w:rPr>
          <w:position w:val="5"/>
          <w:sz w:val="14"/>
        </w:rPr>
        <w:tab/>
      </w:r>
      <w:r>
        <w:rPr>
          <w:rFonts w:ascii="Arial"/>
          <w:i/>
          <w:sz w:val="20"/>
        </w:rPr>
        <w:t>C-426/11</w:t>
      </w:r>
      <w:r>
        <w:rPr>
          <w:rFonts w:ascii="Arial"/>
          <w:i/>
          <w:spacing w:val="-3"/>
          <w:sz w:val="20"/>
        </w:rPr>
        <w:t> </w:t>
      </w:r>
      <w:r>
        <w:rPr>
          <w:sz w:val="20"/>
        </w:rPr>
        <w:t>at </w:t>
      </w:r>
      <w:r>
        <w:rPr>
          <w:spacing w:val="-2"/>
          <w:sz w:val="20"/>
        </w:rPr>
        <w:t>para.32.</w:t>
      </w:r>
    </w:p>
    <w:p>
      <w:pPr>
        <w:pStyle w:val="BodyText"/>
        <w:spacing w:before="5"/>
      </w:pPr>
    </w:p>
    <w:p>
      <w:pPr>
        <w:tabs>
          <w:tab w:pos="705" w:val="left" w:leader="none"/>
        </w:tabs>
        <w:spacing w:before="0"/>
        <w:ind w:left="165" w:right="0" w:firstLine="0"/>
        <w:jc w:val="left"/>
        <w:rPr>
          <w:sz w:val="20"/>
        </w:rPr>
      </w:pPr>
      <w:bookmarkStart w:name="_bookmark486" w:id="488"/>
      <w:bookmarkEnd w:id="488"/>
      <w:r>
        <w:rPr/>
      </w:r>
      <w:hyperlink w:history="true" w:anchor="_bookmark409">
        <w:r>
          <w:rPr>
            <w:color w:val="005DA1"/>
            <w:spacing w:val="-4"/>
            <w:position w:val="5"/>
            <w:sz w:val="14"/>
            <w:u w:val="single" w:color="005DA1"/>
          </w:rPr>
          <w:t>238</w:t>
        </w:r>
      </w:hyperlink>
      <w:r>
        <w:rPr>
          <w:spacing w:val="-4"/>
          <w:position w:val="5"/>
          <w:sz w:val="14"/>
        </w:rPr>
        <w:t>.</w:t>
      </w:r>
      <w:r>
        <w:rPr>
          <w:position w:val="5"/>
          <w:sz w:val="14"/>
        </w:rPr>
        <w:tab/>
      </w:r>
      <w:r>
        <w:rPr>
          <w:rFonts w:ascii="Arial"/>
          <w:i/>
          <w:sz w:val="20"/>
        </w:rPr>
        <w:t>C-426/11</w:t>
      </w:r>
      <w:r>
        <w:rPr>
          <w:rFonts w:ascii="Arial"/>
          <w:i/>
          <w:spacing w:val="-3"/>
          <w:sz w:val="20"/>
        </w:rPr>
        <w:t> </w:t>
      </w:r>
      <w:r>
        <w:rPr>
          <w:sz w:val="20"/>
        </w:rPr>
        <w:t>at </w:t>
      </w:r>
      <w:r>
        <w:rPr>
          <w:spacing w:val="-2"/>
          <w:sz w:val="20"/>
        </w:rPr>
        <w:t>para.33.</w:t>
      </w:r>
    </w:p>
    <w:p>
      <w:pPr>
        <w:spacing w:after="0"/>
        <w:jc w:val="left"/>
        <w:rPr>
          <w:sz w:val="20"/>
        </w:rPr>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410">
        <w:r>
          <w:rPr>
            <w:color w:val="005DA1"/>
            <w:spacing w:val="-4"/>
            <w:position w:val="5"/>
            <w:sz w:val="14"/>
            <w:u w:val="single" w:color="005DA1"/>
          </w:rPr>
          <w:t>239</w:t>
        </w:r>
      </w:hyperlink>
      <w:r>
        <w:rPr>
          <w:spacing w:val="-4"/>
          <w:position w:val="5"/>
          <w:sz w:val="14"/>
        </w:rPr>
        <w:t>.</w:t>
      </w:r>
      <w:r>
        <w:rPr>
          <w:position w:val="5"/>
          <w:sz w:val="14"/>
        </w:rPr>
        <w:tab/>
      </w:r>
      <w:r>
        <w:rPr>
          <w:rFonts w:ascii="Arial"/>
          <w:i/>
          <w:sz w:val="20"/>
        </w:rPr>
        <w:t>C-426/11</w:t>
      </w:r>
      <w:r>
        <w:rPr>
          <w:rFonts w:ascii="Arial"/>
          <w:i/>
          <w:spacing w:val="-3"/>
          <w:sz w:val="20"/>
        </w:rPr>
        <w:t> </w:t>
      </w:r>
      <w:r>
        <w:rPr>
          <w:sz w:val="20"/>
        </w:rPr>
        <w:t>at </w:t>
      </w:r>
      <w:r>
        <w:rPr>
          <w:spacing w:val="-2"/>
          <w:sz w:val="20"/>
        </w:rPr>
        <w:t>para.35.</w:t>
      </w:r>
    </w:p>
    <w:p>
      <w:pPr>
        <w:pStyle w:val="BodyText"/>
        <w:spacing w:before="5"/>
      </w:pPr>
    </w:p>
    <w:p>
      <w:pPr>
        <w:tabs>
          <w:tab w:pos="705" w:val="left" w:leader="none"/>
        </w:tabs>
        <w:spacing w:before="1"/>
        <w:ind w:left="165" w:right="0" w:firstLine="0"/>
        <w:jc w:val="left"/>
        <w:rPr>
          <w:sz w:val="20"/>
        </w:rPr>
      </w:pPr>
      <w:bookmarkStart w:name="_bookmark487" w:id="489"/>
      <w:bookmarkEnd w:id="489"/>
      <w:r>
        <w:rPr/>
      </w:r>
      <w:hyperlink w:history="true" w:anchor="_bookmark411">
        <w:r>
          <w:rPr>
            <w:color w:val="005DA1"/>
            <w:spacing w:val="-4"/>
            <w:position w:val="5"/>
            <w:sz w:val="14"/>
            <w:u w:val="single" w:color="005DA1"/>
          </w:rPr>
          <w:t>240</w:t>
        </w:r>
      </w:hyperlink>
      <w:r>
        <w:rPr>
          <w:spacing w:val="-4"/>
          <w:position w:val="5"/>
          <w:sz w:val="14"/>
        </w:rPr>
        <w:t>.</w:t>
      </w:r>
      <w:r>
        <w:rPr>
          <w:position w:val="5"/>
          <w:sz w:val="14"/>
        </w:rPr>
        <w:tab/>
      </w:r>
      <w:r>
        <w:rPr>
          <w:rFonts w:ascii="Arial"/>
          <w:i/>
          <w:sz w:val="20"/>
        </w:rPr>
        <w:t>C-426/11</w:t>
      </w:r>
      <w:r>
        <w:rPr>
          <w:rFonts w:ascii="Arial"/>
          <w:i/>
          <w:spacing w:val="-3"/>
          <w:sz w:val="20"/>
        </w:rPr>
        <w:t> </w:t>
      </w:r>
      <w:r>
        <w:rPr>
          <w:sz w:val="20"/>
        </w:rPr>
        <w:t>at </w:t>
      </w:r>
      <w:r>
        <w:rPr>
          <w:spacing w:val="-2"/>
          <w:sz w:val="20"/>
        </w:rPr>
        <w:t>para.36.</w:t>
      </w:r>
    </w:p>
    <w:p>
      <w:pPr>
        <w:pStyle w:val="BodyText"/>
        <w:spacing w:before="8"/>
      </w:pPr>
    </w:p>
    <w:p>
      <w:pPr>
        <w:spacing w:line="235" w:lineRule="auto" w:before="0"/>
        <w:ind w:left="705" w:right="167" w:hanging="541"/>
        <w:jc w:val="both"/>
        <w:rPr>
          <w:sz w:val="20"/>
        </w:rPr>
      </w:pPr>
      <w:bookmarkStart w:name="_bookmark488" w:id="490"/>
      <w:bookmarkEnd w:id="490"/>
      <w:r>
        <w:rPr/>
      </w:r>
      <w:hyperlink w:history="true" w:anchor="_bookmark412">
        <w:r>
          <w:rPr>
            <w:color w:val="005DA1"/>
            <w:position w:val="5"/>
            <w:sz w:val="14"/>
            <w:u w:val="single" w:color="005DA1"/>
          </w:rPr>
          <w:t>241</w:t>
        </w:r>
      </w:hyperlink>
      <w:r>
        <w:rPr>
          <w:position w:val="5"/>
          <w:sz w:val="14"/>
        </w:rPr>
        <w:t>.</w:t>
      </w:r>
      <w:r>
        <w:rPr>
          <w:spacing w:val="80"/>
          <w:position w:val="5"/>
          <w:sz w:val="14"/>
        </w:rPr>
        <w:t> </w:t>
      </w:r>
      <w:r>
        <w:rPr>
          <w:sz w:val="20"/>
        </w:rPr>
        <w:t>cf. </w:t>
      </w:r>
      <w:r>
        <w:rPr>
          <w:rFonts w:ascii="Arial" w:hAnsi="Arial"/>
          <w:i/>
          <w:sz w:val="20"/>
        </w:rPr>
        <w:t>Alemo-Herron v Parkwood Leisure Ltd [2011] UKSC 26 </w:t>
      </w:r>
      <w:r>
        <w:rPr>
          <w:sz w:val="20"/>
        </w:rPr>
        <w:t>at [9], Lord Hope referring to the argument in favour of the binding nature of a third party pay determination clause as “entirely consistent with the common law principle of freedom of contract”.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89" w:id="491"/>
      <w:bookmarkEnd w:id="491"/>
      <w:r>
        <w:rPr/>
      </w:r>
      <w:hyperlink w:history="true" w:anchor="_bookmark413">
        <w:r>
          <w:rPr>
            <w:color w:val="005DA1"/>
            <w:spacing w:val="-4"/>
            <w:position w:val="5"/>
            <w:sz w:val="14"/>
            <w:u w:val="single" w:color="005DA1"/>
          </w:rPr>
          <w:t>242</w:t>
        </w:r>
      </w:hyperlink>
      <w:r>
        <w:rPr>
          <w:spacing w:val="-4"/>
          <w:position w:val="5"/>
          <w:sz w:val="14"/>
        </w:rPr>
        <w:t>.</w:t>
      </w:r>
      <w:r>
        <w:rPr>
          <w:position w:val="5"/>
          <w:sz w:val="14"/>
        </w:rPr>
        <w:tab/>
      </w:r>
      <w:r>
        <w:rPr>
          <w:rFonts w:ascii="Arial"/>
          <w:i/>
          <w:sz w:val="20"/>
        </w:rPr>
        <w:t>Hutten-Czapska</w:t>
      </w:r>
      <w:r>
        <w:rPr>
          <w:rFonts w:ascii="Arial"/>
          <w:i/>
          <w:spacing w:val="14"/>
          <w:sz w:val="20"/>
        </w:rPr>
        <w:t> </w:t>
      </w:r>
      <w:r>
        <w:rPr>
          <w:rFonts w:ascii="Arial"/>
          <w:i/>
          <w:sz w:val="20"/>
        </w:rPr>
        <w:t>v</w:t>
      </w:r>
      <w:r>
        <w:rPr>
          <w:rFonts w:ascii="Arial"/>
          <w:i/>
          <w:spacing w:val="14"/>
          <w:sz w:val="20"/>
        </w:rPr>
        <w:t> </w:t>
      </w:r>
      <w:r>
        <w:rPr>
          <w:rFonts w:ascii="Arial"/>
          <w:i/>
          <w:sz w:val="20"/>
        </w:rPr>
        <w:t>Poland</w:t>
      </w:r>
      <w:r>
        <w:rPr>
          <w:rFonts w:ascii="Arial"/>
          <w:i/>
          <w:spacing w:val="14"/>
          <w:sz w:val="20"/>
        </w:rPr>
        <w:t> </w:t>
      </w:r>
      <w:r>
        <w:rPr>
          <w:rFonts w:ascii="Arial"/>
          <w:i/>
          <w:sz w:val="20"/>
        </w:rPr>
        <w:t>App.</w:t>
      </w:r>
      <w:r>
        <w:rPr>
          <w:rFonts w:ascii="Arial"/>
          <w:i/>
          <w:spacing w:val="14"/>
          <w:sz w:val="20"/>
        </w:rPr>
        <w:t> </w:t>
      </w:r>
      <w:r>
        <w:rPr>
          <w:rFonts w:ascii="Arial"/>
          <w:i/>
          <w:sz w:val="20"/>
        </w:rPr>
        <w:t>No.35014/97</w:t>
      </w:r>
      <w:r>
        <w:rPr>
          <w:rFonts w:ascii="Arial"/>
          <w:i/>
          <w:spacing w:val="14"/>
          <w:sz w:val="20"/>
        </w:rPr>
        <w:t> </w:t>
      </w:r>
      <w:r>
        <w:rPr>
          <w:rFonts w:ascii="Arial"/>
          <w:i/>
          <w:sz w:val="20"/>
        </w:rPr>
        <w:t>(2006)</w:t>
      </w:r>
      <w:r>
        <w:rPr>
          <w:rFonts w:ascii="Arial"/>
          <w:i/>
          <w:spacing w:val="14"/>
          <w:sz w:val="20"/>
        </w:rPr>
        <w:t> </w:t>
      </w:r>
      <w:r>
        <w:rPr>
          <w:rFonts w:ascii="Arial"/>
          <w:i/>
          <w:sz w:val="20"/>
        </w:rPr>
        <w:t>42</w:t>
      </w:r>
      <w:r>
        <w:rPr>
          <w:rFonts w:ascii="Arial"/>
          <w:i/>
          <w:spacing w:val="14"/>
          <w:sz w:val="20"/>
        </w:rPr>
        <w:t> </w:t>
      </w:r>
      <w:r>
        <w:rPr>
          <w:rFonts w:ascii="Arial"/>
          <w:i/>
          <w:sz w:val="20"/>
        </w:rPr>
        <w:t>E.H.R.R.</w:t>
      </w:r>
      <w:r>
        <w:rPr>
          <w:rFonts w:ascii="Arial"/>
          <w:i/>
          <w:spacing w:val="14"/>
          <w:sz w:val="20"/>
        </w:rPr>
        <w:t> </w:t>
      </w:r>
      <w:r>
        <w:rPr>
          <w:rFonts w:ascii="Arial"/>
          <w:i/>
          <w:sz w:val="20"/>
        </w:rPr>
        <w:t>15</w:t>
      </w:r>
      <w:r>
        <w:rPr>
          <w:rFonts w:ascii="Arial"/>
          <w:i/>
          <w:spacing w:val="13"/>
          <w:sz w:val="20"/>
        </w:rPr>
        <w:t> </w:t>
      </w:r>
      <w:r>
        <w:rPr>
          <w:sz w:val="20"/>
        </w:rPr>
        <w:t>at</w:t>
      </w:r>
      <w:r>
        <w:rPr>
          <w:spacing w:val="14"/>
          <w:sz w:val="20"/>
        </w:rPr>
        <w:t> </w:t>
      </w:r>
      <w:r>
        <w:rPr>
          <w:sz w:val="20"/>
        </w:rPr>
        <w:t>[151];</w:t>
      </w:r>
      <w:r>
        <w:rPr>
          <w:spacing w:val="14"/>
          <w:sz w:val="20"/>
        </w:rPr>
        <w:t> </w:t>
      </w:r>
      <w:r>
        <w:rPr>
          <w:rFonts w:ascii="Arial"/>
          <w:i/>
          <w:sz w:val="20"/>
        </w:rPr>
        <w:t>Edwards</w:t>
      </w:r>
      <w:r>
        <w:rPr>
          <w:rFonts w:ascii="Arial"/>
          <w:i/>
          <w:spacing w:val="14"/>
          <w:sz w:val="20"/>
        </w:rPr>
        <w:t> </w:t>
      </w:r>
      <w:r>
        <w:rPr>
          <w:rFonts w:ascii="Arial"/>
          <w:i/>
          <w:sz w:val="20"/>
        </w:rPr>
        <w:t>v</w:t>
      </w:r>
      <w:r>
        <w:rPr>
          <w:rFonts w:ascii="Arial"/>
          <w:i/>
          <w:spacing w:val="14"/>
          <w:sz w:val="20"/>
        </w:rPr>
        <w:t> </w:t>
      </w:r>
      <w:r>
        <w:rPr>
          <w:rFonts w:ascii="Arial"/>
          <w:i/>
          <w:spacing w:val="-2"/>
          <w:sz w:val="20"/>
        </w:rPr>
        <w:t>Malta</w:t>
      </w:r>
    </w:p>
    <w:p>
      <w:pPr>
        <w:spacing w:line="227" w:lineRule="exact" w:before="0"/>
        <w:ind w:left="705" w:right="0" w:firstLine="0"/>
        <w:jc w:val="left"/>
        <w:rPr>
          <w:sz w:val="20"/>
        </w:rPr>
      </w:pPr>
      <w:r>
        <w:rPr>
          <w:rFonts w:ascii="Arial" w:hAnsi="Arial"/>
          <w:i/>
          <w:sz w:val="20"/>
        </w:rPr>
        <w:t>App. No.17647/04</w:t>
      </w:r>
      <w:r>
        <w:rPr>
          <w:rFonts w:ascii="Arial" w:hAnsi="Arial"/>
          <w:i/>
          <w:spacing w:val="-1"/>
          <w:sz w:val="20"/>
        </w:rPr>
        <w:t> </w:t>
      </w:r>
      <w:r>
        <w:rPr>
          <w:sz w:val="20"/>
        </w:rPr>
        <w:t>at [69]–[71]; </w:t>
      </w:r>
      <w:r>
        <w:rPr>
          <w:rFonts w:ascii="Arial" w:hAnsi="Arial"/>
          <w:i/>
          <w:sz w:val="20"/>
        </w:rPr>
        <w:t>Gauci v Malta App. No.47045/06 (2011) 52 E.H.R.R. 25</w:t>
      </w:r>
      <w:r>
        <w:rPr>
          <w:rFonts w:ascii="Arial" w:hAnsi="Arial"/>
          <w:i/>
          <w:spacing w:val="-1"/>
          <w:sz w:val="20"/>
        </w:rPr>
        <w:t> </w:t>
      </w:r>
      <w:r>
        <w:rPr>
          <w:sz w:val="20"/>
        </w:rPr>
        <w:t>at </w:t>
      </w:r>
      <w:r>
        <w:rPr>
          <w:spacing w:val="-2"/>
          <w:sz w:val="20"/>
        </w:rPr>
        <w:t>[58].</w:t>
      </w:r>
    </w:p>
    <w:p>
      <w:pPr>
        <w:pStyle w:val="BodyText"/>
        <w:spacing w:before="9"/>
      </w:pPr>
    </w:p>
    <w:p>
      <w:pPr>
        <w:spacing w:line="235" w:lineRule="auto" w:before="0"/>
        <w:ind w:left="705" w:right="167" w:hanging="541"/>
        <w:jc w:val="both"/>
        <w:rPr>
          <w:sz w:val="20"/>
        </w:rPr>
      </w:pPr>
      <w:bookmarkStart w:name="_bookmark490" w:id="492"/>
      <w:bookmarkEnd w:id="492"/>
      <w:r>
        <w:rPr/>
      </w:r>
      <w:hyperlink w:history="true" w:anchor="_bookmark414">
        <w:r>
          <w:rPr>
            <w:color w:val="005DA1"/>
            <w:position w:val="5"/>
            <w:sz w:val="14"/>
            <w:u w:val="single" w:color="005DA1"/>
          </w:rPr>
          <w:t>243</w:t>
        </w:r>
      </w:hyperlink>
      <w:r>
        <w:rPr>
          <w:position w:val="5"/>
          <w:sz w:val="14"/>
        </w:rPr>
        <w:t>.</w:t>
      </w:r>
      <w:r>
        <w:rPr>
          <w:spacing w:val="40"/>
          <w:position w:val="5"/>
          <w:sz w:val="14"/>
        </w:rPr>
        <w:t>  </w:t>
      </w:r>
      <w:r>
        <w:rPr>
          <w:rFonts w:ascii="Arial" w:hAnsi="Arial"/>
          <w:i/>
          <w:sz w:val="20"/>
        </w:rPr>
        <w:t>Clarke v West Ham Corp [1909] 2 K.B. 858, 879, 882</w:t>
      </w:r>
      <w:r>
        <w:rPr>
          <w:sz w:val="20"/>
        </w:rPr>
        <w:t>. See Vol.II, para.36-008 on the ways by which a carrier could “abdicate” this status by giving notice that he would not accept </w:t>
      </w:r>
      <w:r>
        <w:rPr>
          <w:sz w:val="20"/>
        </w:rPr>
        <w:t>custom from the public.</w:t>
      </w:r>
    </w:p>
    <w:p>
      <w:pPr>
        <w:pStyle w:val="BodyText"/>
        <w:spacing w:before="9"/>
      </w:pPr>
    </w:p>
    <w:p>
      <w:pPr>
        <w:pStyle w:val="BodyText"/>
        <w:spacing w:line="235" w:lineRule="auto"/>
        <w:ind w:left="705" w:right="167" w:hanging="541"/>
        <w:jc w:val="both"/>
      </w:pPr>
      <w:bookmarkStart w:name="_bookmark491" w:id="493"/>
      <w:bookmarkEnd w:id="493"/>
      <w:r>
        <w:rPr/>
      </w:r>
      <w:hyperlink w:history="true" w:anchor="_bookmark415">
        <w:r>
          <w:rPr>
            <w:color w:val="005DA1"/>
            <w:position w:val="5"/>
            <w:sz w:val="14"/>
            <w:u w:val="single" w:color="005DA1"/>
          </w:rPr>
          <w:t>244</w:t>
        </w:r>
      </w:hyperlink>
      <w:r>
        <w:rPr>
          <w:position w:val="5"/>
          <w:sz w:val="14"/>
        </w:rPr>
        <w:t>.</w:t>
      </w:r>
      <w:r>
        <w:rPr>
          <w:spacing w:val="80"/>
          <w:w w:val="150"/>
          <w:position w:val="5"/>
          <w:sz w:val="14"/>
        </w:rPr>
        <w:t> </w:t>
      </w:r>
      <w:r>
        <w:rPr/>
        <w:t>Gas</w:t>
      </w:r>
      <w:r>
        <w:rPr>
          <w:spacing w:val="40"/>
        </w:rPr>
        <w:t> </w:t>
      </w:r>
      <w:r>
        <w:rPr/>
        <w:t>Act</w:t>
      </w:r>
      <w:r>
        <w:rPr>
          <w:spacing w:val="40"/>
        </w:rPr>
        <w:t> </w:t>
      </w:r>
      <w:r>
        <w:rPr/>
        <w:t>1986</w:t>
      </w:r>
      <w:r>
        <w:rPr>
          <w:spacing w:val="40"/>
        </w:rPr>
        <w:t> </w:t>
      </w:r>
      <w:r>
        <w:rPr/>
        <w:t>s.10;</w:t>
      </w:r>
      <w:r>
        <w:rPr>
          <w:spacing w:val="40"/>
        </w:rPr>
        <w:t> </w:t>
      </w:r>
      <w:r>
        <w:rPr/>
        <w:t>Electricity</w:t>
      </w:r>
      <w:r>
        <w:rPr>
          <w:spacing w:val="40"/>
        </w:rPr>
        <w:t> </w:t>
      </w:r>
      <w:r>
        <w:rPr/>
        <w:t>Act</w:t>
      </w:r>
      <w:r>
        <w:rPr>
          <w:spacing w:val="40"/>
        </w:rPr>
        <w:t> </w:t>
      </w:r>
      <w:r>
        <w:rPr/>
        <w:t>1989</w:t>
      </w:r>
      <w:r>
        <w:rPr>
          <w:spacing w:val="40"/>
        </w:rPr>
        <w:t> </w:t>
      </w:r>
      <w:r>
        <w:rPr/>
        <w:t>s.16</w:t>
      </w:r>
      <w:r>
        <w:rPr>
          <w:spacing w:val="40"/>
        </w:rPr>
        <w:t> </w:t>
      </w:r>
      <w:r>
        <w:rPr/>
        <w:t>(as</w:t>
      </w:r>
      <w:r>
        <w:rPr>
          <w:spacing w:val="40"/>
        </w:rPr>
        <w:t> </w:t>
      </w:r>
      <w:r>
        <w:rPr/>
        <w:t>substituted</w:t>
      </w:r>
      <w:r>
        <w:rPr>
          <w:spacing w:val="40"/>
        </w:rPr>
        <w:t> </w:t>
      </w:r>
      <w:r>
        <w:rPr/>
        <w:t>by</w:t>
      </w:r>
      <w:r>
        <w:rPr>
          <w:spacing w:val="40"/>
        </w:rPr>
        <w:t> </w:t>
      </w:r>
      <w:r>
        <w:rPr/>
        <w:t>Utilities</w:t>
      </w:r>
      <w:r>
        <w:rPr>
          <w:spacing w:val="40"/>
        </w:rPr>
        <w:t> </w:t>
      </w:r>
      <w:r>
        <w:rPr/>
        <w:t>Act</w:t>
      </w:r>
      <w:r>
        <w:rPr>
          <w:spacing w:val="40"/>
        </w:rPr>
        <w:t> </w:t>
      </w:r>
      <w:r>
        <w:rPr/>
        <w:t>2000</w:t>
      </w:r>
      <w:r>
        <w:rPr>
          <w:spacing w:val="40"/>
        </w:rPr>
        <w:t> </w:t>
      </w:r>
      <w:r>
        <w:rPr/>
        <w:t>s.44); Electricity Act 1989 Sch.6 para.3 (as substituted by Utilities Act 2000 s.51 and Sch.4) </w:t>
      </w:r>
      <w:r>
        <w:rPr/>
        <w:t>(deemed contracts in respect of the supply of electricity in certain cases).</w:t>
      </w:r>
    </w:p>
    <w:p>
      <w:pPr>
        <w:pStyle w:val="BodyText"/>
        <w:spacing w:before="9"/>
      </w:pPr>
    </w:p>
    <w:p>
      <w:pPr>
        <w:spacing w:line="235" w:lineRule="auto" w:before="0"/>
        <w:ind w:left="705" w:right="167" w:hanging="541"/>
        <w:jc w:val="both"/>
        <w:rPr>
          <w:rFonts w:ascii="Arial" w:hAnsi="Arial"/>
          <w:i/>
          <w:sz w:val="20"/>
        </w:rPr>
      </w:pPr>
      <w:bookmarkStart w:name="_bookmark492" w:id="494"/>
      <w:bookmarkEnd w:id="494"/>
      <w:r>
        <w:rPr/>
      </w:r>
      <w:hyperlink w:history="true" w:anchor="_bookmark416">
        <w:r>
          <w:rPr>
            <w:color w:val="005DA1"/>
            <w:position w:val="5"/>
            <w:sz w:val="14"/>
            <w:u w:val="single" w:color="005DA1"/>
          </w:rPr>
          <w:t>245</w:t>
        </w:r>
      </w:hyperlink>
      <w:r>
        <w:rPr>
          <w:position w:val="5"/>
          <w:sz w:val="14"/>
        </w:rPr>
        <w:t>.</w:t>
      </w:r>
      <w:r>
        <w:rPr>
          <w:spacing w:val="80"/>
          <w:position w:val="5"/>
          <w:sz w:val="14"/>
        </w:rPr>
        <w:t>  </w:t>
      </w:r>
      <w:r>
        <w:rPr>
          <w:rFonts w:ascii="Arial" w:hAnsi="Arial"/>
          <w:i/>
          <w:sz w:val="20"/>
        </w:rPr>
        <w:t>Read v Croydon Corp [1938] 4 All E.R. 631</w:t>
      </w:r>
      <w:r>
        <w:rPr>
          <w:sz w:val="20"/>
        </w:rPr>
        <w:t>; </w:t>
      </w:r>
      <w:r>
        <w:rPr>
          <w:rFonts w:ascii="Arial" w:hAnsi="Arial"/>
          <w:i/>
          <w:sz w:val="20"/>
        </w:rPr>
        <w:t>Norweb Plc v Dixon [1995] 1 W.L.R. 637 </w:t>
      </w:r>
      <w:r>
        <w:rPr>
          <w:sz w:val="20"/>
        </w:rPr>
        <w:t>(on which see</w:t>
      </w:r>
      <w:r>
        <w:rPr>
          <w:spacing w:val="-1"/>
          <w:sz w:val="20"/>
        </w:rPr>
        <w:t> </w:t>
      </w:r>
      <w:r>
        <w:rPr>
          <w:sz w:val="20"/>
        </w:rPr>
        <w:t>Peel</w:t>
      </w:r>
      <w:r>
        <w:rPr>
          <w:spacing w:val="-1"/>
          <w:sz w:val="20"/>
        </w:rPr>
        <w:t> </w:t>
      </w:r>
      <w:r>
        <w:rPr>
          <w:sz w:val="20"/>
        </w:rPr>
        <w:t>(ed.),</w:t>
      </w:r>
      <w:r>
        <w:rPr>
          <w:spacing w:val="-1"/>
          <w:sz w:val="20"/>
        </w:rPr>
        <w:t> </w:t>
      </w:r>
      <w:r>
        <w:rPr>
          <w:sz w:val="20"/>
        </w:rPr>
        <w:t>Treitel</w:t>
      </w:r>
      <w:r>
        <w:rPr>
          <w:spacing w:val="-1"/>
          <w:sz w:val="20"/>
        </w:rPr>
        <w:t> </w:t>
      </w:r>
      <w:r>
        <w:rPr>
          <w:sz w:val="20"/>
        </w:rPr>
        <w:t>on</w:t>
      </w:r>
      <w:r>
        <w:rPr>
          <w:spacing w:val="-1"/>
          <w:sz w:val="20"/>
        </w:rPr>
        <w:t> </w:t>
      </w:r>
      <w:r>
        <w:rPr>
          <w:sz w:val="20"/>
        </w:rPr>
        <w:t>The</w:t>
      </w:r>
      <w:r>
        <w:rPr>
          <w:spacing w:val="-1"/>
          <w:sz w:val="20"/>
        </w:rPr>
        <w:t> </w:t>
      </w:r>
      <w:r>
        <w:rPr>
          <w:sz w:val="20"/>
        </w:rPr>
        <w:t>Law</w:t>
      </w:r>
      <w:r>
        <w:rPr>
          <w:spacing w:val="-1"/>
          <w:sz w:val="20"/>
        </w:rPr>
        <w:t> </w:t>
      </w:r>
      <w:r>
        <w:rPr>
          <w:sz w:val="20"/>
        </w:rPr>
        <w:t>of</w:t>
      </w:r>
      <w:r>
        <w:rPr>
          <w:spacing w:val="-1"/>
          <w:sz w:val="20"/>
        </w:rPr>
        <w:t> </w:t>
      </w:r>
      <w:r>
        <w:rPr>
          <w:sz w:val="20"/>
        </w:rPr>
        <w:t>Contract,</w:t>
      </w:r>
      <w:r>
        <w:rPr>
          <w:spacing w:val="-1"/>
          <w:sz w:val="20"/>
        </w:rPr>
        <w:t> </w:t>
      </w:r>
      <w:r>
        <w:rPr>
          <w:sz w:val="20"/>
        </w:rPr>
        <w:t>13th</w:t>
      </w:r>
      <w:r>
        <w:rPr>
          <w:spacing w:val="-1"/>
          <w:sz w:val="20"/>
        </w:rPr>
        <w:t> </w:t>
      </w:r>
      <w:r>
        <w:rPr>
          <w:sz w:val="20"/>
        </w:rPr>
        <w:t>edn</w:t>
      </w:r>
      <w:r>
        <w:rPr>
          <w:spacing w:val="-1"/>
          <w:sz w:val="20"/>
        </w:rPr>
        <w:t> </w:t>
      </w:r>
      <w:r>
        <w:rPr>
          <w:sz w:val="20"/>
        </w:rPr>
        <w:t>(2011),</w:t>
      </w:r>
      <w:r>
        <w:rPr>
          <w:spacing w:val="-1"/>
          <w:sz w:val="20"/>
        </w:rPr>
        <w:t> </w:t>
      </w:r>
      <w:r>
        <w:rPr>
          <w:sz w:val="20"/>
        </w:rPr>
        <w:t>para.1-037</w:t>
      </w:r>
      <w:r>
        <w:rPr>
          <w:spacing w:val="-1"/>
          <w:sz w:val="20"/>
        </w:rPr>
        <w:t> </w:t>
      </w:r>
      <w:r>
        <w:rPr>
          <w:sz w:val="20"/>
        </w:rPr>
        <w:t>n.37).</w:t>
      </w:r>
      <w:r>
        <w:rPr>
          <w:spacing w:val="-1"/>
          <w:sz w:val="20"/>
        </w:rPr>
        <w:t> </w:t>
      </w:r>
      <w:r>
        <w:rPr>
          <w:sz w:val="20"/>
        </w:rPr>
        <w:t>cf.</w:t>
      </w:r>
      <w:r>
        <w:rPr>
          <w:spacing w:val="-2"/>
          <w:sz w:val="20"/>
        </w:rPr>
        <w:t> </w:t>
      </w:r>
      <w:r>
        <w:rPr>
          <w:rFonts w:ascii="Arial" w:hAnsi="Arial"/>
          <w:i/>
          <w:sz w:val="20"/>
        </w:rPr>
        <w:t>Oceangas (Gibraltar) Ltd v Port of London Authority [1993] 2 Lloyd’s Rep. 292 </w:t>
      </w:r>
      <w:r>
        <w:rPr>
          <w:sz w:val="20"/>
        </w:rPr>
        <w:t>(no contract in respect </w:t>
      </w:r>
      <w:r>
        <w:rPr>
          <w:sz w:val="20"/>
        </w:rPr>
        <w:t>of compulsory pilotage services); cf. </w:t>
      </w:r>
      <w:r>
        <w:rPr>
          <w:rFonts w:ascii="Arial" w:hAnsi="Arial"/>
          <w:i/>
          <w:sz w:val="20"/>
        </w:rPr>
        <w:t>Rushton v Worcester City Council [2001] EWCA Civ 367, [2002] H.L.R. 9 </w:t>
      </w:r>
      <w:r>
        <w:rPr>
          <w:sz w:val="20"/>
        </w:rPr>
        <w:t>(no contract between council and tenant exercising “right to buy” under scheme created by Pt V of the Housing Act 1985); </w:t>
      </w:r>
      <w:r>
        <w:rPr>
          <w:rFonts w:ascii="Arial" w:hAnsi="Arial"/>
          <w:i/>
          <w:sz w:val="20"/>
        </w:rPr>
        <w:t>R. (on the application of Data Broadcasting International</w:t>
      </w:r>
      <w:r>
        <w:rPr>
          <w:rFonts w:ascii="Arial" w:hAnsi="Arial"/>
          <w:i/>
          <w:spacing w:val="16"/>
          <w:sz w:val="20"/>
        </w:rPr>
        <w:t> </w:t>
      </w:r>
      <w:r>
        <w:rPr>
          <w:rFonts w:ascii="Arial" w:hAnsi="Arial"/>
          <w:i/>
          <w:sz w:val="20"/>
        </w:rPr>
        <w:t>Ltd)</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Office</w:t>
      </w:r>
      <w:r>
        <w:rPr>
          <w:rFonts w:ascii="Arial" w:hAnsi="Arial"/>
          <w:i/>
          <w:spacing w:val="16"/>
          <w:sz w:val="20"/>
        </w:rPr>
        <w:t> </w:t>
      </w:r>
      <w:r>
        <w:rPr>
          <w:rFonts w:ascii="Arial" w:hAnsi="Arial"/>
          <w:i/>
          <w:sz w:val="20"/>
        </w:rPr>
        <w:t>of</w:t>
      </w:r>
      <w:r>
        <w:rPr>
          <w:rFonts w:ascii="Arial" w:hAnsi="Arial"/>
          <w:i/>
          <w:spacing w:val="16"/>
          <w:sz w:val="20"/>
        </w:rPr>
        <w:t> </w:t>
      </w:r>
      <w:r>
        <w:rPr>
          <w:rFonts w:ascii="Arial" w:hAnsi="Arial"/>
          <w:i/>
          <w:sz w:val="20"/>
        </w:rPr>
        <w:t>Communications</w:t>
      </w:r>
      <w:r>
        <w:rPr>
          <w:rFonts w:ascii="Arial" w:hAnsi="Arial"/>
          <w:i/>
          <w:spacing w:val="16"/>
          <w:sz w:val="20"/>
        </w:rPr>
        <w:t> </w:t>
      </w:r>
      <w:r>
        <w:rPr>
          <w:rFonts w:ascii="Arial" w:hAnsi="Arial"/>
          <w:i/>
          <w:sz w:val="20"/>
        </w:rPr>
        <w:t>[2010]</w:t>
      </w:r>
      <w:r>
        <w:rPr>
          <w:rFonts w:ascii="Arial" w:hAnsi="Arial"/>
          <w:i/>
          <w:spacing w:val="16"/>
          <w:sz w:val="20"/>
        </w:rPr>
        <w:t> </w:t>
      </w:r>
      <w:r>
        <w:rPr>
          <w:rFonts w:ascii="Arial" w:hAnsi="Arial"/>
          <w:i/>
          <w:sz w:val="20"/>
        </w:rPr>
        <w:t>EWHC</w:t>
      </w:r>
      <w:r>
        <w:rPr>
          <w:rFonts w:ascii="Arial" w:hAnsi="Arial"/>
          <w:i/>
          <w:spacing w:val="16"/>
          <w:sz w:val="20"/>
        </w:rPr>
        <w:t> </w:t>
      </w:r>
      <w:r>
        <w:rPr>
          <w:rFonts w:ascii="Arial" w:hAnsi="Arial"/>
          <w:i/>
          <w:sz w:val="20"/>
        </w:rPr>
        <w:t>1243</w:t>
      </w:r>
      <w:r>
        <w:rPr>
          <w:rFonts w:ascii="Arial" w:hAnsi="Arial"/>
          <w:i/>
          <w:spacing w:val="16"/>
          <w:sz w:val="20"/>
        </w:rPr>
        <w:t> </w:t>
      </w:r>
      <w:r>
        <w:rPr>
          <w:rFonts w:ascii="Arial" w:hAnsi="Arial"/>
          <w:i/>
          <w:sz w:val="20"/>
        </w:rPr>
        <w:t>(Admin),</w:t>
      </w:r>
      <w:r>
        <w:rPr>
          <w:rFonts w:ascii="Arial" w:hAnsi="Arial"/>
          <w:i/>
          <w:spacing w:val="16"/>
          <w:sz w:val="20"/>
        </w:rPr>
        <w:t> </w:t>
      </w:r>
      <w:r>
        <w:rPr>
          <w:rFonts w:ascii="Arial" w:hAnsi="Arial"/>
          <w:i/>
          <w:sz w:val="20"/>
        </w:rPr>
        <w:t>[2010]</w:t>
      </w:r>
      <w:r>
        <w:rPr>
          <w:rFonts w:ascii="Arial" w:hAnsi="Arial"/>
          <w:i/>
          <w:spacing w:val="16"/>
          <w:sz w:val="20"/>
        </w:rPr>
        <w:t> </w:t>
      </w:r>
      <w:r>
        <w:rPr>
          <w:rFonts w:ascii="Arial" w:hAnsi="Arial"/>
          <w:i/>
          <w:sz w:val="20"/>
        </w:rPr>
        <w:t>All</w:t>
      </w:r>
      <w:r>
        <w:rPr>
          <w:rFonts w:ascii="Arial" w:hAnsi="Arial"/>
          <w:i/>
          <w:spacing w:val="16"/>
          <w:sz w:val="20"/>
        </w:rPr>
        <w:t> </w:t>
      </w:r>
      <w:r>
        <w:rPr>
          <w:rFonts w:ascii="Arial" w:hAnsi="Arial"/>
          <w:i/>
          <w:sz w:val="20"/>
        </w:rPr>
        <w:t>E.R.</w:t>
      </w:r>
      <w:r>
        <w:rPr>
          <w:rFonts w:ascii="Arial" w:hAnsi="Arial"/>
          <w:i/>
          <w:spacing w:val="16"/>
          <w:sz w:val="20"/>
        </w:rPr>
        <w:t> </w:t>
      </w:r>
      <w:r>
        <w:rPr>
          <w:rFonts w:ascii="Arial" w:hAnsi="Arial"/>
          <w:i/>
          <w:spacing w:val="-5"/>
          <w:sz w:val="20"/>
        </w:rPr>
        <w:t>(D)</w:t>
      </w:r>
    </w:p>
    <w:p>
      <w:pPr>
        <w:pStyle w:val="BodyText"/>
        <w:spacing w:line="235" w:lineRule="auto"/>
        <w:ind w:left="705"/>
      </w:pPr>
      <w:r>
        <w:rPr>
          <w:rFonts w:ascii="Arial" w:hAnsi="Arial"/>
          <w:i/>
        </w:rPr>
        <w:t>289</w:t>
      </w:r>
      <w:r>
        <w:rPr>
          <w:rFonts w:ascii="Arial" w:hAnsi="Arial"/>
          <w:i/>
          <w:spacing w:val="80"/>
        </w:rPr>
        <w:t> </w:t>
      </w:r>
      <w:r>
        <w:rPr>
          <w:rFonts w:ascii="Arial" w:hAnsi="Arial"/>
          <w:i/>
        </w:rPr>
        <w:t>(May)</w:t>
      </w:r>
      <w:r>
        <w:rPr>
          <w:rFonts w:ascii="Arial" w:hAnsi="Arial"/>
          <w:i/>
          <w:spacing w:val="80"/>
        </w:rPr>
        <w:t> </w:t>
      </w:r>
      <w:r>
        <w:rPr/>
        <w:t>at</w:t>
      </w:r>
      <w:r>
        <w:rPr>
          <w:spacing w:val="80"/>
        </w:rPr>
        <w:t> </w:t>
      </w:r>
      <w:r>
        <w:rPr/>
        <w:t>[88]–[94]</w:t>
      </w:r>
      <w:r>
        <w:rPr>
          <w:spacing w:val="80"/>
        </w:rPr>
        <w:t> </w:t>
      </w:r>
      <w:r>
        <w:rPr/>
        <w:t>(broadcasting</w:t>
      </w:r>
      <w:r>
        <w:rPr>
          <w:spacing w:val="80"/>
        </w:rPr>
        <w:t> </w:t>
      </w:r>
      <w:r>
        <w:rPr/>
        <w:t>licences</w:t>
      </w:r>
      <w:r>
        <w:rPr>
          <w:spacing w:val="80"/>
        </w:rPr>
        <w:t> </w:t>
      </w:r>
      <w:r>
        <w:rPr/>
        <w:t>given</w:t>
      </w:r>
      <w:r>
        <w:rPr>
          <w:spacing w:val="80"/>
        </w:rPr>
        <w:t> </w:t>
      </w:r>
      <w:r>
        <w:rPr/>
        <w:t>to</w:t>
      </w:r>
      <w:r>
        <w:rPr>
          <w:spacing w:val="80"/>
        </w:rPr>
        <w:t> </w:t>
      </w:r>
      <w:r>
        <w:rPr/>
        <w:t>broadcasting</w:t>
      </w:r>
      <w:r>
        <w:rPr>
          <w:spacing w:val="80"/>
        </w:rPr>
        <w:t> </w:t>
      </w:r>
      <w:r>
        <w:rPr/>
        <w:t>companies</w:t>
      </w:r>
      <w:r>
        <w:rPr>
          <w:spacing w:val="88"/>
        </w:rPr>
        <w:t> </w:t>
      </w:r>
      <w:r>
        <w:rPr/>
        <w:t>under Broadcasting Act 1990 are not contractual giving rise to private law rights and obligations).</w:t>
      </w:r>
    </w:p>
    <w:p>
      <w:pPr>
        <w:pStyle w:val="BodyText"/>
        <w:spacing w:before="3"/>
      </w:pPr>
    </w:p>
    <w:p>
      <w:pPr>
        <w:pStyle w:val="BodyText"/>
        <w:tabs>
          <w:tab w:pos="705" w:val="left" w:leader="none"/>
        </w:tabs>
        <w:ind w:left="165"/>
      </w:pPr>
      <w:bookmarkStart w:name="_bookmark493" w:id="495"/>
      <w:bookmarkEnd w:id="495"/>
      <w:r>
        <w:rPr/>
      </w:r>
      <w:hyperlink w:history="true" w:anchor="_bookmark417">
        <w:r>
          <w:rPr>
            <w:color w:val="005DA1"/>
            <w:spacing w:val="-4"/>
            <w:position w:val="5"/>
            <w:sz w:val="14"/>
            <w:u w:val="single" w:color="005DA1"/>
          </w:rPr>
          <w:t>246</w:t>
        </w:r>
      </w:hyperlink>
      <w:r>
        <w:rPr>
          <w:spacing w:val="-4"/>
          <w:position w:val="5"/>
          <w:sz w:val="14"/>
        </w:rPr>
        <w:t>.</w:t>
      </w:r>
      <w:r>
        <w:rPr>
          <w:position w:val="5"/>
          <w:sz w:val="14"/>
        </w:rPr>
        <w:tab/>
      </w:r>
      <w:r>
        <w:rPr/>
        <w:t>Sex Discrimination Act 1975 </w:t>
      </w:r>
      <w:r>
        <w:rPr>
          <w:spacing w:val="-2"/>
        </w:rPr>
        <w:t>s.6(1)(c).</w:t>
      </w:r>
    </w:p>
    <w:p>
      <w:pPr>
        <w:pStyle w:val="BodyText"/>
        <w:spacing w:before="5"/>
      </w:pPr>
    </w:p>
    <w:p>
      <w:pPr>
        <w:pStyle w:val="BodyText"/>
        <w:tabs>
          <w:tab w:pos="705" w:val="left" w:leader="none"/>
        </w:tabs>
        <w:ind w:left="165"/>
      </w:pPr>
      <w:bookmarkStart w:name="_bookmark494" w:id="496"/>
      <w:bookmarkEnd w:id="496"/>
      <w:r>
        <w:rPr/>
      </w:r>
      <w:hyperlink w:history="true" w:anchor="_bookmark417">
        <w:r>
          <w:rPr>
            <w:color w:val="005DA1"/>
            <w:spacing w:val="-4"/>
            <w:position w:val="5"/>
            <w:sz w:val="14"/>
            <w:u w:val="single" w:color="005DA1"/>
          </w:rPr>
          <w:t>247</w:t>
        </w:r>
      </w:hyperlink>
      <w:r>
        <w:rPr>
          <w:spacing w:val="-4"/>
          <w:position w:val="5"/>
          <w:sz w:val="14"/>
        </w:rPr>
        <w:t>.</w:t>
      </w:r>
      <w:r>
        <w:rPr>
          <w:position w:val="5"/>
          <w:sz w:val="14"/>
        </w:rPr>
        <w:tab/>
      </w:r>
      <w:r>
        <w:rPr/>
        <w:t>Race Relations Act 1976 ss.4(1)(c), 17, 20 and </w:t>
      </w:r>
      <w:r>
        <w:rPr>
          <w:spacing w:val="-5"/>
        </w:rPr>
        <w:t>21.</w:t>
      </w:r>
    </w:p>
    <w:p>
      <w:pPr>
        <w:pStyle w:val="BodyText"/>
        <w:spacing w:before="5"/>
      </w:pPr>
    </w:p>
    <w:p>
      <w:pPr>
        <w:pStyle w:val="BodyText"/>
        <w:tabs>
          <w:tab w:pos="705" w:val="left" w:leader="none"/>
        </w:tabs>
        <w:ind w:left="165"/>
      </w:pPr>
      <w:bookmarkStart w:name="_bookmark495" w:id="497"/>
      <w:bookmarkEnd w:id="497"/>
      <w:r>
        <w:rPr/>
      </w:r>
      <w:hyperlink w:history="true" w:anchor="_bookmark418">
        <w:r>
          <w:rPr>
            <w:color w:val="005DA1"/>
            <w:spacing w:val="-4"/>
            <w:position w:val="5"/>
            <w:sz w:val="14"/>
            <w:u w:val="single" w:color="005DA1"/>
          </w:rPr>
          <w:t>248</w:t>
        </w:r>
      </w:hyperlink>
      <w:r>
        <w:rPr>
          <w:spacing w:val="-4"/>
          <w:position w:val="5"/>
          <w:sz w:val="14"/>
        </w:rPr>
        <w:t>.</w:t>
      </w:r>
      <w:r>
        <w:rPr>
          <w:position w:val="5"/>
          <w:sz w:val="14"/>
        </w:rPr>
        <w:tab/>
      </w:r>
      <w:r>
        <w:rPr/>
        <w:t>Disability Discrimination Act </w:t>
      </w:r>
      <w:r>
        <w:rPr>
          <w:spacing w:val="-2"/>
        </w:rPr>
        <w:t>2005.</w:t>
      </w:r>
    </w:p>
    <w:p>
      <w:pPr>
        <w:pStyle w:val="BodyText"/>
        <w:spacing w:before="5"/>
      </w:pPr>
    </w:p>
    <w:p>
      <w:pPr>
        <w:pStyle w:val="BodyText"/>
        <w:tabs>
          <w:tab w:pos="705" w:val="left" w:leader="none"/>
        </w:tabs>
        <w:ind w:left="165"/>
      </w:pPr>
      <w:bookmarkStart w:name="_bookmark496" w:id="498"/>
      <w:bookmarkEnd w:id="498"/>
      <w:r>
        <w:rPr/>
      </w:r>
      <w:hyperlink w:history="true" w:anchor="_bookmark419">
        <w:r>
          <w:rPr>
            <w:color w:val="005DA1"/>
            <w:spacing w:val="-4"/>
            <w:position w:val="5"/>
            <w:sz w:val="14"/>
            <w:u w:val="single" w:color="005DA1"/>
          </w:rPr>
          <w:t>249</w:t>
        </w:r>
      </w:hyperlink>
      <w:r>
        <w:rPr>
          <w:spacing w:val="-4"/>
          <w:position w:val="5"/>
          <w:sz w:val="14"/>
        </w:rPr>
        <w:t>.</w:t>
      </w:r>
      <w:r>
        <w:rPr>
          <w:position w:val="5"/>
          <w:sz w:val="14"/>
        </w:rPr>
        <w:tab/>
      </w:r>
      <w:r>
        <w:rPr/>
        <w:t>Employment Equality (Sexual Orientation) Regulations 2003 (SI </w:t>
      </w:r>
      <w:r>
        <w:rPr>
          <w:spacing w:val="-2"/>
        </w:rPr>
        <w:t>2003/1661).</w:t>
      </w:r>
    </w:p>
    <w:p>
      <w:pPr>
        <w:pStyle w:val="BodyText"/>
        <w:spacing w:before="5"/>
      </w:pPr>
    </w:p>
    <w:p>
      <w:pPr>
        <w:pStyle w:val="BodyText"/>
        <w:tabs>
          <w:tab w:pos="705" w:val="left" w:leader="none"/>
        </w:tabs>
        <w:ind w:left="165"/>
      </w:pPr>
      <w:bookmarkStart w:name="_bookmark497" w:id="499"/>
      <w:bookmarkEnd w:id="499"/>
      <w:r>
        <w:rPr/>
      </w:r>
      <w:hyperlink w:history="true" w:anchor="_bookmark419">
        <w:r>
          <w:rPr>
            <w:color w:val="005DA1"/>
            <w:spacing w:val="-4"/>
            <w:position w:val="5"/>
            <w:sz w:val="14"/>
            <w:u w:val="single" w:color="005DA1"/>
          </w:rPr>
          <w:t>250</w:t>
        </w:r>
      </w:hyperlink>
      <w:r>
        <w:rPr>
          <w:spacing w:val="-4"/>
          <w:position w:val="5"/>
          <w:sz w:val="14"/>
        </w:rPr>
        <w:t>.</w:t>
      </w:r>
      <w:r>
        <w:rPr>
          <w:position w:val="5"/>
          <w:sz w:val="14"/>
        </w:rPr>
        <w:tab/>
      </w:r>
      <w:r>
        <w:rPr/>
        <w:t>Employment Equality (Religion or Belief) Regulations 2003 (SI </w:t>
      </w:r>
      <w:r>
        <w:rPr>
          <w:spacing w:val="-2"/>
        </w:rPr>
        <w:t>2003/1660).</w:t>
      </w:r>
    </w:p>
    <w:p>
      <w:pPr>
        <w:pStyle w:val="BodyText"/>
        <w:spacing w:before="5"/>
      </w:pPr>
    </w:p>
    <w:p>
      <w:pPr>
        <w:pStyle w:val="BodyText"/>
        <w:tabs>
          <w:tab w:pos="705" w:val="left" w:leader="none"/>
        </w:tabs>
        <w:ind w:left="165"/>
      </w:pPr>
      <w:bookmarkStart w:name="_bookmark498" w:id="500"/>
      <w:bookmarkEnd w:id="500"/>
      <w:r>
        <w:rPr/>
      </w:r>
      <w:hyperlink w:history="true" w:anchor="_bookmark420">
        <w:r>
          <w:rPr>
            <w:color w:val="005DA1"/>
            <w:spacing w:val="-4"/>
            <w:position w:val="5"/>
            <w:sz w:val="14"/>
            <w:u w:val="single" w:color="005DA1"/>
          </w:rPr>
          <w:t>251</w:t>
        </w:r>
      </w:hyperlink>
      <w:r>
        <w:rPr>
          <w:spacing w:val="-4"/>
          <w:position w:val="5"/>
          <w:sz w:val="14"/>
        </w:rPr>
        <w:t>.</w:t>
      </w:r>
      <w:r>
        <w:rPr>
          <w:position w:val="5"/>
          <w:sz w:val="14"/>
        </w:rPr>
        <w:tab/>
      </w:r>
      <w:r>
        <w:rPr/>
        <w:t>Employment Equality (Age) Regulations 2006 (SI </w:t>
      </w:r>
      <w:r>
        <w:rPr>
          <w:spacing w:val="-2"/>
        </w:rPr>
        <w:t>2006/1031).</w:t>
      </w:r>
    </w:p>
    <w:p>
      <w:pPr>
        <w:pStyle w:val="BodyText"/>
        <w:spacing w:before="9"/>
      </w:pPr>
    </w:p>
    <w:p>
      <w:pPr>
        <w:pStyle w:val="BodyText"/>
        <w:spacing w:line="235" w:lineRule="auto"/>
        <w:ind w:left="705" w:right="167" w:hanging="541"/>
        <w:jc w:val="both"/>
      </w:pPr>
      <w:bookmarkStart w:name="_bookmark499" w:id="501"/>
      <w:bookmarkEnd w:id="501"/>
      <w:r>
        <w:rPr/>
      </w:r>
      <w:hyperlink w:history="true" w:anchor="_bookmark421">
        <w:r>
          <w:rPr>
            <w:color w:val="005DA1"/>
            <w:position w:val="5"/>
            <w:sz w:val="14"/>
            <w:u w:val="single" w:color="005DA1"/>
          </w:rPr>
          <w:t>252</w:t>
        </w:r>
      </w:hyperlink>
      <w:r>
        <w:rPr>
          <w:position w:val="5"/>
          <w:sz w:val="14"/>
        </w:rPr>
        <w:t>.</w:t>
      </w:r>
      <w:r>
        <w:rPr>
          <w:spacing w:val="80"/>
          <w:position w:val="5"/>
          <w:sz w:val="14"/>
        </w:rPr>
        <w:t>  </w:t>
      </w:r>
      <w:r>
        <w:rPr/>
        <w:t>Equality Act 2010 ss.4-12. The main provisions concerning discrimination in the workplace and in the provision of goods, facilities and services took effect from October 1, 2010: Equality </w:t>
      </w:r>
      <w:r>
        <w:rPr/>
        <w:t>Act 2010 (Commencement No.4, Savings, Consequential, Transitional, Transitory and Incidental Provisions and Revocation) Order 2010 (SI 2010/2317). A summary of the commencement dates of the provisions of the 2010 Act may be found at </w:t>
      </w:r>
      <w:hyperlink r:id="rId19">
        <w:r>
          <w:rPr>
            <w:color w:val="005DA1"/>
            <w:u w:val="single" w:color="005DA1"/>
          </w:rPr>
          <w:t>http://www.homeoffice.gov.uk/equalities/equality-act/commencement</w:t>
        </w:r>
      </w:hyperlink>
      <w:r>
        <w:rPr/>
        <w:t>. The statutory provisions noted above at nn.206–211 are superseded on the coming into force of the relevant provisions of the Equality Act 2010, which repeals and replaces, inter alia, the Equal Pay Act 1970; the</w:t>
      </w:r>
      <w:r>
        <w:rPr>
          <w:spacing w:val="40"/>
        </w:rPr>
        <w:t> </w:t>
      </w:r>
      <w:r>
        <w:rPr/>
        <w:t>Sex Discrimination Acts 1975 and 1986; the Race Relations Act 1976; and the Disability Discrimination</w:t>
      </w:r>
      <w:r>
        <w:rPr>
          <w:spacing w:val="20"/>
        </w:rPr>
        <w:t> </w:t>
      </w:r>
      <w:r>
        <w:rPr/>
        <w:t>Act</w:t>
      </w:r>
      <w:r>
        <w:rPr>
          <w:spacing w:val="20"/>
        </w:rPr>
        <w:t> </w:t>
      </w:r>
      <w:r>
        <w:rPr/>
        <w:t>2005:</w:t>
      </w:r>
      <w:r>
        <w:rPr>
          <w:spacing w:val="20"/>
        </w:rPr>
        <w:t> </w:t>
      </w:r>
      <w:r>
        <w:rPr/>
        <w:t>Equality</w:t>
      </w:r>
      <w:r>
        <w:rPr>
          <w:spacing w:val="20"/>
        </w:rPr>
        <w:t> </w:t>
      </w:r>
      <w:r>
        <w:rPr/>
        <w:t>Act</w:t>
      </w:r>
      <w:r>
        <w:rPr>
          <w:spacing w:val="20"/>
        </w:rPr>
        <w:t> </w:t>
      </w:r>
      <w:r>
        <w:rPr/>
        <w:t>2010</w:t>
      </w:r>
      <w:r>
        <w:rPr>
          <w:spacing w:val="20"/>
        </w:rPr>
        <w:t> </w:t>
      </w:r>
      <w:r>
        <w:rPr/>
        <w:t>Sch.27</w:t>
      </w:r>
      <w:r>
        <w:rPr>
          <w:spacing w:val="20"/>
        </w:rPr>
        <w:t> </w:t>
      </w:r>
      <w:r>
        <w:rPr/>
        <w:t>Pt</w:t>
      </w:r>
      <w:r>
        <w:rPr>
          <w:spacing w:val="20"/>
        </w:rPr>
        <w:t> </w:t>
      </w:r>
      <w:r>
        <w:rPr/>
        <w:t>1.</w:t>
      </w:r>
      <w:r>
        <w:rPr>
          <w:spacing w:val="20"/>
        </w:rPr>
        <w:t> </w:t>
      </w:r>
      <w:r>
        <w:rPr/>
        <w:t>See</w:t>
      </w:r>
      <w:r>
        <w:rPr>
          <w:spacing w:val="20"/>
        </w:rPr>
        <w:t> </w:t>
      </w:r>
      <w:r>
        <w:rPr/>
        <w:t>also</w:t>
      </w:r>
      <w:r>
        <w:rPr>
          <w:spacing w:val="20"/>
        </w:rPr>
        <w:t> </w:t>
      </w:r>
      <w:r>
        <w:rPr/>
        <w:t>below,</w:t>
      </w:r>
      <w:r>
        <w:rPr>
          <w:spacing w:val="20"/>
        </w:rPr>
        <w:t> </w:t>
      </w:r>
      <w:r>
        <w:rPr/>
        <w:t>paras</w:t>
      </w:r>
      <w:r>
        <w:rPr>
          <w:spacing w:val="20"/>
        </w:rPr>
        <w:t> </w:t>
      </w:r>
      <w:r>
        <w:rPr/>
        <w:t>2-191,</w:t>
      </w:r>
      <w:r>
        <w:rPr>
          <w:spacing w:val="20"/>
        </w:rPr>
        <w:t> </w:t>
      </w:r>
      <w:r>
        <w:rPr/>
        <w:t>2-</w:t>
      </w:r>
      <w:r>
        <w:rPr>
          <w:spacing w:val="-4"/>
        </w:rPr>
        <w:t>192,</w:t>
      </w:r>
    </w:p>
    <w:p>
      <w:pPr>
        <w:pStyle w:val="BodyText"/>
        <w:spacing w:line="222" w:lineRule="exact"/>
        <w:ind w:left="705"/>
        <w:jc w:val="both"/>
      </w:pPr>
      <w:r>
        <w:rPr/>
        <w:t>2-193, 27-026, 40-009, 40-039, 40-094, 40-125—40-129, 40-132—40-138 and 40-</w:t>
      </w:r>
      <w:r>
        <w:rPr>
          <w:spacing w:val="-4"/>
        </w:rPr>
        <w:t>174.</w:t>
      </w:r>
    </w:p>
    <w:p>
      <w:pPr>
        <w:pStyle w:val="BodyText"/>
        <w:spacing w:before="5"/>
      </w:pPr>
    </w:p>
    <w:p>
      <w:pPr>
        <w:pStyle w:val="BodyText"/>
        <w:tabs>
          <w:tab w:pos="705" w:val="left" w:leader="none"/>
        </w:tabs>
        <w:ind w:left="165"/>
      </w:pPr>
      <w:bookmarkStart w:name="_bookmark500" w:id="502"/>
      <w:bookmarkEnd w:id="502"/>
      <w:r>
        <w:rPr/>
      </w:r>
      <w:hyperlink w:history="true" w:anchor="_bookmark422">
        <w:r>
          <w:rPr>
            <w:color w:val="005DA1"/>
            <w:spacing w:val="-4"/>
            <w:position w:val="5"/>
            <w:sz w:val="14"/>
            <w:u w:val="single" w:color="005DA1"/>
          </w:rPr>
          <w:t>253</w:t>
        </w:r>
      </w:hyperlink>
      <w:r>
        <w:rPr>
          <w:spacing w:val="-4"/>
          <w:position w:val="5"/>
          <w:sz w:val="14"/>
        </w:rPr>
        <w:t>.</w:t>
      </w:r>
      <w:r>
        <w:rPr>
          <w:position w:val="5"/>
          <w:sz w:val="14"/>
        </w:rPr>
        <w:tab/>
      </w:r>
      <w:r>
        <w:rPr/>
        <w:t>Equality Act 2010 ss.13-</w:t>
      </w:r>
      <w:r>
        <w:rPr>
          <w:spacing w:val="-5"/>
        </w:rPr>
        <w:t>27.</w:t>
      </w:r>
    </w:p>
    <w:p>
      <w:pPr>
        <w:pStyle w:val="BodyText"/>
        <w:spacing w:before="5"/>
      </w:pPr>
    </w:p>
    <w:p>
      <w:pPr>
        <w:pStyle w:val="BodyText"/>
        <w:tabs>
          <w:tab w:pos="705" w:val="left" w:leader="none"/>
        </w:tabs>
        <w:ind w:left="165"/>
      </w:pPr>
      <w:bookmarkStart w:name="_bookmark501" w:id="503"/>
      <w:bookmarkEnd w:id="503"/>
      <w:r>
        <w:rPr/>
      </w:r>
      <w:hyperlink w:history="true" w:anchor="_bookmark423">
        <w:r>
          <w:rPr>
            <w:color w:val="005DA1"/>
            <w:spacing w:val="-4"/>
            <w:position w:val="5"/>
            <w:sz w:val="14"/>
            <w:u w:val="single" w:color="005DA1"/>
          </w:rPr>
          <w:t>254</w:t>
        </w:r>
      </w:hyperlink>
      <w:r>
        <w:rPr>
          <w:spacing w:val="-4"/>
          <w:position w:val="5"/>
          <w:sz w:val="14"/>
        </w:rPr>
        <w:t>.</w:t>
      </w:r>
      <w:r>
        <w:rPr>
          <w:position w:val="5"/>
          <w:sz w:val="14"/>
        </w:rPr>
        <w:tab/>
      </w:r>
      <w:r>
        <w:rPr/>
        <w:t>Equality Act 2010 Pt 3 ss.28-</w:t>
      </w:r>
      <w:r>
        <w:rPr>
          <w:spacing w:val="-5"/>
        </w:rPr>
        <w:t>31.</w:t>
      </w:r>
    </w:p>
    <w:p>
      <w:pPr>
        <w:pStyle w:val="BodyText"/>
        <w:spacing w:before="5"/>
      </w:pPr>
    </w:p>
    <w:p>
      <w:pPr>
        <w:pStyle w:val="BodyText"/>
        <w:tabs>
          <w:tab w:pos="705" w:val="left" w:leader="none"/>
        </w:tabs>
        <w:ind w:left="165"/>
      </w:pPr>
      <w:bookmarkStart w:name="_bookmark502" w:id="504"/>
      <w:bookmarkEnd w:id="504"/>
      <w:r>
        <w:rPr/>
      </w:r>
      <w:hyperlink w:history="true" w:anchor="_bookmark423">
        <w:r>
          <w:rPr>
            <w:color w:val="005DA1"/>
            <w:spacing w:val="-4"/>
            <w:position w:val="5"/>
            <w:sz w:val="14"/>
            <w:u w:val="single" w:color="005DA1"/>
          </w:rPr>
          <w:t>255</w:t>
        </w:r>
      </w:hyperlink>
      <w:r>
        <w:rPr>
          <w:spacing w:val="-4"/>
          <w:position w:val="5"/>
          <w:sz w:val="14"/>
        </w:rPr>
        <w:t>.</w:t>
      </w:r>
      <w:r>
        <w:rPr>
          <w:position w:val="5"/>
          <w:sz w:val="14"/>
        </w:rPr>
        <w:tab/>
      </w:r>
      <w:r>
        <w:rPr/>
        <w:t>Equality Act 2010 Pt 4 ss.32-</w:t>
      </w:r>
      <w:r>
        <w:rPr>
          <w:spacing w:val="-5"/>
        </w:rPr>
        <w:t>38.</w:t>
      </w:r>
    </w:p>
    <w:p>
      <w:pPr>
        <w:pStyle w:val="BodyText"/>
        <w:spacing w:before="5"/>
      </w:pPr>
    </w:p>
    <w:p>
      <w:pPr>
        <w:pStyle w:val="BodyText"/>
        <w:tabs>
          <w:tab w:pos="705" w:val="left" w:leader="none"/>
        </w:tabs>
        <w:ind w:left="165"/>
      </w:pPr>
      <w:bookmarkStart w:name="_bookmark503" w:id="505"/>
      <w:bookmarkEnd w:id="505"/>
      <w:r>
        <w:rPr/>
      </w:r>
      <w:hyperlink w:history="true" w:anchor="_bookmark424">
        <w:r>
          <w:rPr>
            <w:color w:val="005DA1"/>
            <w:spacing w:val="-4"/>
            <w:position w:val="5"/>
            <w:sz w:val="14"/>
            <w:u w:val="single" w:color="005DA1"/>
          </w:rPr>
          <w:t>256</w:t>
        </w:r>
      </w:hyperlink>
      <w:r>
        <w:rPr>
          <w:spacing w:val="-4"/>
          <w:position w:val="5"/>
          <w:sz w:val="14"/>
        </w:rPr>
        <w:t>.</w:t>
      </w:r>
      <w:r>
        <w:rPr>
          <w:position w:val="5"/>
          <w:sz w:val="14"/>
        </w:rPr>
        <w:tab/>
      </w:r>
      <w:r>
        <w:rPr/>
        <w:t>Equality Act 2010 Pt 5 ss.39-</w:t>
      </w:r>
      <w:r>
        <w:rPr>
          <w:spacing w:val="-5"/>
        </w:rPr>
        <w:t>83.</w:t>
      </w:r>
    </w:p>
    <w:p>
      <w:pPr>
        <w:pStyle w:val="BodyText"/>
        <w:spacing w:after="0"/>
        <w:sectPr>
          <w:pgSz w:w="11900" w:h="16840"/>
          <w:pgMar w:header="971" w:footer="0" w:top="1300" w:bottom="280" w:left="1275" w:right="1275"/>
        </w:sectPr>
      </w:pPr>
    </w:p>
    <w:p>
      <w:pPr>
        <w:pStyle w:val="BodyText"/>
        <w:tabs>
          <w:tab w:pos="705" w:val="left" w:leader="none"/>
        </w:tabs>
        <w:spacing w:before="166"/>
        <w:ind w:left="165"/>
      </w:pPr>
      <w:hyperlink w:history="true" w:anchor="_bookmark424">
        <w:r>
          <w:rPr>
            <w:color w:val="005DA1"/>
            <w:spacing w:val="-4"/>
            <w:position w:val="5"/>
            <w:sz w:val="14"/>
            <w:u w:val="single" w:color="005DA1"/>
          </w:rPr>
          <w:t>257</w:t>
        </w:r>
      </w:hyperlink>
      <w:r>
        <w:rPr>
          <w:spacing w:val="-4"/>
          <w:position w:val="5"/>
          <w:sz w:val="14"/>
        </w:rPr>
        <w:t>.</w:t>
      </w:r>
      <w:r>
        <w:rPr>
          <w:position w:val="5"/>
          <w:sz w:val="14"/>
        </w:rPr>
        <w:tab/>
      </w:r>
      <w:r>
        <w:rPr/>
        <w:t>Equality Act 2010 Pt 6 ss.84-</w:t>
      </w:r>
      <w:r>
        <w:rPr>
          <w:spacing w:val="-5"/>
        </w:rPr>
        <w:t>97.</w:t>
      </w:r>
    </w:p>
    <w:p>
      <w:pPr>
        <w:pStyle w:val="BodyText"/>
        <w:spacing w:before="5"/>
      </w:pPr>
    </w:p>
    <w:p>
      <w:pPr>
        <w:pStyle w:val="BodyText"/>
        <w:tabs>
          <w:tab w:pos="705" w:val="left" w:leader="none"/>
        </w:tabs>
        <w:spacing w:before="1"/>
        <w:ind w:left="165"/>
      </w:pPr>
      <w:bookmarkStart w:name="_bookmark504" w:id="506"/>
      <w:bookmarkEnd w:id="506"/>
      <w:r>
        <w:rPr/>
      </w:r>
      <w:hyperlink w:history="true" w:anchor="_bookmark424">
        <w:r>
          <w:rPr>
            <w:color w:val="005DA1"/>
            <w:spacing w:val="-4"/>
            <w:position w:val="5"/>
            <w:sz w:val="14"/>
            <w:u w:val="single" w:color="005DA1"/>
          </w:rPr>
          <w:t>258</w:t>
        </w:r>
      </w:hyperlink>
      <w:r>
        <w:rPr>
          <w:spacing w:val="-4"/>
          <w:position w:val="5"/>
          <w:sz w:val="14"/>
        </w:rPr>
        <w:t>.</w:t>
      </w:r>
      <w:r>
        <w:rPr>
          <w:position w:val="5"/>
          <w:sz w:val="14"/>
        </w:rPr>
        <w:tab/>
      </w:r>
      <w:r>
        <w:rPr/>
        <w:t>Equality Act 2010 Pt 7 </w:t>
      </w:r>
      <w:r>
        <w:rPr>
          <w:spacing w:val="-2"/>
        </w:rPr>
        <w:t>ss.100–106.</w:t>
      </w:r>
    </w:p>
    <w:p>
      <w:pPr>
        <w:pStyle w:val="BodyText"/>
        <w:spacing w:before="4"/>
      </w:pPr>
    </w:p>
    <w:p>
      <w:pPr>
        <w:pStyle w:val="BodyText"/>
        <w:tabs>
          <w:tab w:pos="705" w:val="left" w:leader="none"/>
        </w:tabs>
        <w:spacing w:before="1"/>
        <w:ind w:left="165"/>
      </w:pPr>
      <w:bookmarkStart w:name="_bookmark505" w:id="507"/>
      <w:bookmarkEnd w:id="507"/>
      <w:r>
        <w:rPr/>
      </w:r>
      <w:hyperlink w:history="true" w:anchor="_bookmark425">
        <w:r>
          <w:rPr>
            <w:color w:val="005DA1"/>
            <w:spacing w:val="-4"/>
            <w:position w:val="5"/>
            <w:sz w:val="14"/>
            <w:u w:val="single" w:color="005DA1"/>
          </w:rPr>
          <w:t>259</w:t>
        </w:r>
      </w:hyperlink>
      <w:r>
        <w:rPr>
          <w:spacing w:val="-4"/>
          <w:position w:val="5"/>
          <w:sz w:val="14"/>
        </w:rPr>
        <w:t>.</w:t>
      </w:r>
      <w:r>
        <w:rPr>
          <w:position w:val="5"/>
          <w:sz w:val="14"/>
        </w:rPr>
        <w:tab/>
      </w:r>
      <w:r>
        <w:rPr/>
        <w:t>Equality Act 2010 Pt 10 ss.142-</w:t>
      </w:r>
      <w:r>
        <w:rPr>
          <w:spacing w:val="-4"/>
        </w:rPr>
        <w:t>148.</w:t>
      </w:r>
    </w:p>
    <w:p>
      <w:pPr>
        <w:pStyle w:val="BodyText"/>
        <w:spacing w:before="4"/>
      </w:pPr>
    </w:p>
    <w:p>
      <w:pPr>
        <w:pStyle w:val="BodyText"/>
        <w:tabs>
          <w:tab w:pos="705" w:val="left" w:leader="none"/>
        </w:tabs>
        <w:spacing w:before="1"/>
        <w:ind w:left="165"/>
      </w:pPr>
      <w:bookmarkStart w:name="_bookmark506" w:id="508"/>
      <w:bookmarkEnd w:id="508"/>
      <w:r>
        <w:rPr/>
      </w:r>
      <w:hyperlink w:history="true" w:anchor="_bookmark426">
        <w:r>
          <w:rPr>
            <w:color w:val="005DA1"/>
            <w:spacing w:val="-4"/>
            <w:position w:val="5"/>
            <w:sz w:val="14"/>
            <w:u w:val="single" w:color="005DA1"/>
          </w:rPr>
          <w:t>260</w:t>
        </w:r>
      </w:hyperlink>
      <w:r>
        <w:rPr>
          <w:spacing w:val="-4"/>
          <w:position w:val="5"/>
          <w:sz w:val="14"/>
        </w:rPr>
        <w:t>.</w:t>
      </w:r>
      <w:r>
        <w:rPr>
          <w:position w:val="5"/>
          <w:sz w:val="14"/>
        </w:rPr>
        <w:tab/>
      </w:r>
      <w:r>
        <w:rPr/>
        <w:t>Equality Act 2010 </w:t>
      </w:r>
      <w:r>
        <w:rPr>
          <w:spacing w:val="-2"/>
        </w:rPr>
        <w:t>s.142(1).</w:t>
      </w:r>
    </w:p>
    <w:p>
      <w:pPr>
        <w:pStyle w:val="BodyText"/>
        <w:spacing w:before="8"/>
      </w:pPr>
    </w:p>
    <w:p>
      <w:pPr>
        <w:pStyle w:val="BodyText"/>
        <w:spacing w:line="235" w:lineRule="auto"/>
        <w:ind w:left="705" w:right="167" w:hanging="541"/>
        <w:jc w:val="both"/>
      </w:pPr>
      <w:bookmarkStart w:name="_bookmark507" w:id="509"/>
      <w:bookmarkEnd w:id="509"/>
      <w:r>
        <w:rPr/>
      </w:r>
      <w:hyperlink w:history="true" w:anchor="_bookmark427">
        <w:r>
          <w:rPr>
            <w:color w:val="005DA1"/>
            <w:position w:val="5"/>
            <w:sz w:val="14"/>
            <w:u w:val="single" w:color="005DA1"/>
          </w:rPr>
          <w:t>261</w:t>
        </w:r>
      </w:hyperlink>
      <w:r>
        <w:rPr>
          <w:position w:val="5"/>
          <w:sz w:val="14"/>
        </w:rPr>
        <w:t>.</w:t>
      </w:r>
      <w:r>
        <w:rPr>
          <w:spacing w:val="80"/>
          <w:w w:val="150"/>
          <w:position w:val="5"/>
          <w:sz w:val="14"/>
        </w:rPr>
        <w:t> </w:t>
      </w:r>
      <w:r>
        <w:rPr/>
        <w:t>Sales (1953) 16 M.L.R. 318; Law Commission, Unfair Terms in Contracts, Law Com No.292 (2005), especially parts 4 and 5. Where both parties to the contract are in business, each </w:t>
      </w:r>
      <w:r>
        <w:rPr/>
        <w:t>may attempt to impose its own conditions on the other, and this sometimes gives rise to what is known as a “battle of forms”: see below, paras 2-033—2-036.</w:t>
      </w:r>
    </w:p>
    <w:p>
      <w:pPr>
        <w:pStyle w:val="BodyText"/>
        <w:spacing w:before="5"/>
      </w:pPr>
    </w:p>
    <w:p>
      <w:pPr>
        <w:pStyle w:val="BodyText"/>
        <w:tabs>
          <w:tab w:pos="705" w:val="left" w:leader="none"/>
        </w:tabs>
        <w:ind w:left="165"/>
      </w:pPr>
      <w:bookmarkStart w:name="_bookmark508" w:id="510"/>
      <w:bookmarkEnd w:id="510"/>
      <w:r>
        <w:rPr/>
      </w:r>
      <w:hyperlink w:history="true" w:anchor="_bookmark428">
        <w:r>
          <w:rPr>
            <w:color w:val="005DA1"/>
            <w:spacing w:val="-4"/>
            <w:position w:val="5"/>
            <w:sz w:val="14"/>
            <w:u w:val="single" w:color="005DA1"/>
          </w:rPr>
          <w:t>262</w:t>
        </w:r>
      </w:hyperlink>
      <w:r>
        <w:rPr>
          <w:spacing w:val="-4"/>
          <w:position w:val="5"/>
          <w:sz w:val="14"/>
        </w:rPr>
        <w:t>.</w:t>
      </w:r>
      <w:r>
        <w:rPr>
          <w:position w:val="5"/>
          <w:sz w:val="14"/>
        </w:rPr>
        <w:tab/>
      </w:r>
      <w:r>
        <w:rPr/>
        <w:t>See Vol.II, paras 40-047 et </w:t>
      </w:r>
      <w:r>
        <w:rPr>
          <w:spacing w:val="-4"/>
        </w:rPr>
        <w:t>seq.</w:t>
      </w:r>
    </w:p>
    <w:p>
      <w:pPr>
        <w:pStyle w:val="BodyText"/>
        <w:spacing w:before="9"/>
      </w:pPr>
    </w:p>
    <w:p>
      <w:pPr>
        <w:spacing w:line="235" w:lineRule="auto" w:before="0"/>
        <w:ind w:left="705" w:right="168" w:hanging="541"/>
        <w:jc w:val="both"/>
        <w:rPr>
          <w:sz w:val="20"/>
        </w:rPr>
      </w:pPr>
      <w:bookmarkStart w:name="_bookmark509" w:id="511"/>
      <w:bookmarkEnd w:id="511"/>
      <w:r>
        <w:rPr/>
      </w:r>
      <w:hyperlink w:history="true" w:anchor="_bookmark429">
        <w:r>
          <w:rPr>
            <w:color w:val="005DA1"/>
            <w:position w:val="5"/>
            <w:sz w:val="14"/>
            <w:u w:val="single" w:color="005DA1"/>
          </w:rPr>
          <w:t>263</w:t>
        </w:r>
      </w:hyperlink>
      <w:r>
        <w:rPr>
          <w:position w:val="5"/>
          <w:sz w:val="14"/>
        </w:rPr>
        <w:t>.</w:t>
      </w:r>
      <w:r>
        <w:rPr>
          <w:spacing w:val="80"/>
          <w:position w:val="5"/>
          <w:sz w:val="14"/>
        </w:rPr>
        <w:t>  </w:t>
      </w:r>
      <w:r>
        <w:rPr>
          <w:sz w:val="20"/>
        </w:rPr>
        <w:t>cf.</w:t>
      </w:r>
      <w:r>
        <w:rPr>
          <w:spacing w:val="11"/>
          <w:sz w:val="20"/>
        </w:rPr>
        <w:t> </w:t>
      </w:r>
      <w:r>
        <w:rPr>
          <w:rFonts w:ascii="Arial"/>
          <w:i/>
          <w:sz w:val="20"/>
        </w:rPr>
        <w:t>Barber v Manchester Regional Hospital Board [1958] 1 W.L.R. 181, 196</w:t>
      </w:r>
      <w:r>
        <w:rPr>
          <w:sz w:val="20"/>
        </w:rPr>
        <w:t>; </w:t>
      </w:r>
      <w:r>
        <w:rPr>
          <w:rFonts w:ascii="Arial"/>
          <w:i/>
          <w:sz w:val="20"/>
        </w:rPr>
        <w:t>Roy v Kensington</w:t>
      </w:r>
      <w:r>
        <w:rPr>
          <w:rFonts w:ascii="Arial"/>
          <w:i/>
          <w:spacing w:val="80"/>
          <w:sz w:val="20"/>
        </w:rPr>
        <w:t> </w:t>
      </w:r>
      <w:r>
        <w:rPr>
          <w:rFonts w:ascii="Arial"/>
          <w:i/>
          <w:sz w:val="20"/>
        </w:rPr>
        <w:t>&amp; Chelsea and Westminster Family Practitioner Committee [1992] 1 A.C. 624</w:t>
      </w:r>
      <w:r>
        <w:rPr>
          <w:sz w:val="20"/>
        </w:rPr>
        <w:t>; </w:t>
      </w:r>
      <w:r>
        <w:rPr>
          <w:rFonts w:ascii="Arial"/>
          <w:i/>
          <w:sz w:val="20"/>
        </w:rPr>
        <w:t>Scally </w:t>
      </w:r>
      <w:r>
        <w:rPr>
          <w:rFonts w:ascii="Arial"/>
          <w:i/>
          <w:sz w:val="20"/>
        </w:rPr>
        <w:t>v</w:t>
      </w:r>
      <w:r>
        <w:rPr>
          <w:rFonts w:ascii="Arial"/>
          <w:i/>
          <w:spacing w:val="40"/>
          <w:sz w:val="20"/>
        </w:rPr>
        <w:t> </w:t>
      </w:r>
      <w:r>
        <w:rPr>
          <w:rFonts w:ascii="Arial"/>
          <w:i/>
          <w:sz w:val="20"/>
        </w:rPr>
        <w:t>Southern Health and Social Services Board [1992] 1 A.C. 294, 304</w:t>
      </w:r>
      <w:r>
        <w:rPr>
          <w:sz w:val="20"/>
        </w:rPr>
        <w:t>.</w:t>
      </w:r>
    </w:p>
    <w:p>
      <w:pPr>
        <w:pStyle w:val="BodyText"/>
        <w:spacing w:before="9"/>
      </w:pPr>
    </w:p>
    <w:p>
      <w:pPr>
        <w:pStyle w:val="BodyText"/>
        <w:tabs>
          <w:tab w:pos="705" w:val="left" w:leader="none"/>
        </w:tabs>
        <w:spacing w:line="235" w:lineRule="auto"/>
        <w:ind w:left="705" w:right="168" w:hanging="541"/>
      </w:pPr>
      <w:bookmarkStart w:name="_bookmark510" w:id="512"/>
      <w:bookmarkEnd w:id="512"/>
      <w:r>
        <w:rPr/>
      </w:r>
      <w:hyperlink w:history="true" w:anchor="_bookmark430">
        <w:r>
          <w:rPr>
            <w:color w:val="005DA1"/>
            <w:spacing w:val="-4"/>
            <w:position w:val="5"/>
            <w:sz w:val="14"/>
            <w:u w:val="single" w:color="005DA1"/>
          </w:rPr>
          <w:t>264</w:t>
        </w:r>
      </w:hyperlink>
      <w:r>
        <w:rPr>
          <w:spacing w:val="-4"/>
          <w:position w:val="5"/>
          <w:sz w:val="14"/>
        </w:rPr>
        <w:t>.</w:t>
      </w:r>
      <w:r>
        <w:rPr>
          <w:position w:val="5"/>
          <w:sz w:val="14"/>
        </w:rPr>
        <w:tab/>
      </w:r>
      <w:r>
        <w:rPr/>
        <w:t>cf. below, paras 1-224 et seq. on the question of the availability of public law remedies in this</w:t>
      </w:r>
      <w:r>
        <w:rPr>
          <w:spacing w:val="80"/>
        </w:rPr>
        <w:t> </w:t>
      </w:r>
      <w:r>
        <w:rPr/>
        <w:t>sort of case.</w:t>
      </w:r>
    </w:p>
    <w:p>
      <w:pPr>
        <w:pStyle w:val="BodyText"/>
        <w:spacing w:before="5"/>
      </w:pPr>
    </w:p>
    <w:p>
      <w:pPr>
        <w:pStyle w:val="BodyText"/>
        <w:tabs>
          <w:tab w:pos="705" w:val="left" w:leader="none"/>
        </w:tabs>
        <w:ind w:left="165"/>
      </w:pPr>
      <w:bookmarkStart w:name="_bookmark511" w:id="513"/>
      <w:bookmarkEnd w:id="513"/>
      <w:r>
        <w:rPr/>
      </w:r>
      <w:hyperlink w:history="true" w:anchor="_bookmark431">
        <w:r>
          <w:rPr>
            <w:color w:val="005DA1"/>
            <w:spacing w:val="-4"/>
            <w:position w:val="5"/>
            <w:sz w:val="14"/>
            <w:u w:val="single" w:color="005DA1"/>
          </w:rPr>
          <w:t>265</w:t>
        </w:r>
      </w:hyperlink>
      <w:r>
        <w:rPr>
          <w:spacing w:val="-4"/>
          <w:position w:val="5"/>
          <w:sz w:val="14"/>
        </w:rPr>
        <w:t>.</w:t>
      </w:r>
      <w:r>
        <w:rPr>
          <w:position w:val="5"/>
          <w:sz w:val="14"/>
        </w:rPr>
        <w:tab/>
      </w:r>
      <w:r>
        <w:rPr/>
        <w:t>See above, para.1-027 and below, para.14-</w:t>
      </w:r>
      <w:r>
        <w:rPr>
          <w:spacing w:val="-4"/>
        </w:rPr>
        <w:t>005.</w:t>
      </w:r>
    </w:p>
    <w:p>
      <w:pPr>
        <w:pStyle w:val="BodyText"/>
        <w:spacing w:before="5"/>
      </w:pPr>
    </w:p>
    <w:p>
      <w:pPr>
        <w:pStyle w:val="BodyText"/>
        <w:tabs>
          <w:tab w:pos="705" w:val="left" w:leader="none"/>
        </w:tabs>
        <w:ind w:left="165"/>
      </w:pPr>
      <w:bookmarkStart w:name="_bookmark512" w:id="514"/>
      <w:bookmarkEnd w:id="514"/>
      <w:r>
        <w:rPr/>
      </w:r>
      <w:hyperlink w:history="true" w:anchor="_bookmark432">
        <w:r>
          <w:rPr>
            <w:color w:val="005DA1"/>
            <w:spacing w:val="-4"/>
            <w:position w:val="5"/>
            <w:sz w:val="14"/>
            <w:u w:val="single" w:color="005DA1"/>
          </w:rPr>
          <w:t>266</w:t>
        </w:r>
      </w:hyperlink>
      <w:r>
        <w:rPr>
          <w:spacing w:val="-4"/>
          <w:position w:val="5"/>
          <w:sz w:val="14"/>
        </w:rPr>
        <w:t>.</w:t>
      </w:r>
      <w:r>
        <w:rPr>
          <w:position w:val="5"/>
          <w:sz w:val="14"/>
        </w:rPr>
        <w:tab/>
      </w:r>
      <w:r>
        <w:rPr/>
        <w:t>See</w:t>
      </w:r>
      <w:r>
        <w:rPr>
          <w:spacing w:val="-2"/>
        </w:rPr>
        <w:t> </w:t>
      </w:r>
      <w:r>
        <w:rPr/>
        <w:t>below, para.14-</w:t>
      </w:r>
      <w:r>
        <w:rPr>
          <w:spacing w:val="-4"/>
        </w:rPr>
        <w:t>003.</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513" w:id="515"/>
      <w:bookmarkEnd w:id="515"/>
      <w:r>
        <w:rPr/>
      </w:r>
      <w:hyperlink w:history="true" w:anchor="_bookmark433">
        <w:r>
          <w:rPr>
            <w:color w:val="005DA1"/>
            <w:spacing w:val="-4"/>
            <w:sz w:val="14"/>
            <w:u w:val="single" w:color="005DA1"/>
          </w:rPr>
          <w:t>267</w:t>
        </w:r>
      </w:hyperlink>
      <w:r>
        <w:rPr>
          <w:spacing w:val="-4"/>
          <w:sz w:val="14"/>
        </w:rPr>
        <w:t>.</w:t>
      </w:r>
    </w:p>
    <w:p>
      <w:pPr>
        <w:spacing w:line="235" w:lineRule="auto" w:before="212"/>
        <w:ind w:left="165" w:right="167" w:firstLine="170"/>
        <w:jc w:val="both"/>
        <w:rPr>
          <w:rFonts w:ascii="Arial" w:hAnsi="Arial"/>
          <w:i/>
          <w:sz w:val="20"/>
        </w:rPr>
      </w:pPr>
      <w:r>
        <w:rPr/>
        <w:br w:type="column"/>
      </w:r>
      <w:r>
        <w:rPr>
          <w:rFonts w:ascii="Arial" w:hAnsi="Arial"/>
          <w:i/>
          <w:sz w:val="20"/>
        </w:rPr>
        <w:t>Mears v Safecar Securities Ltd [1983] Q.B. 54, 78</w:t>
      </w:r>
      <w:r>
        <w:rPr>
          <w:sz w:val="20"/>
        </w:rPr>
        <w:t>, per Stephenson L.J. The learned Lord Justice specifically accepted, however, that “the obligation must be a </w:t>
      </w:r>
      <w:r>
        <w:rPr>
          <w:rFonts w:ascii="Arial" w:hAnsi="Arial"/>
          <w:i/>
          <w:sz w:val="20"/>
        </w:rPr>
        <w:t>necessary </w:t>
      </w:r>
      <w:r>
        <w:rPr>
          <w:sz w:val="20"/>
        </w:rPr>
        <w:t>term; that is, required by their relationship”. A legislative regime governing a particular category of </w:t>
      </w:r>
      <w:r>
        <w:rPr>
          <w:sz w:val="20"/>
        </w:rPr>
        <w:t>contracts may require the implication of an appropriate term by the courts: see, e.g. contracts governed</w:t>
      </w:r>
      <w:r>
        <w:rPr>
          <w:spacing w:val="40"/>
          <w:sz w:val="20"/>
        </w:rPr>
        <w:t> </w:t>
      </w:r>
      <w:r>
        <w:rPr>
          <w:sz w:val="20"/>
        </w:rPr>
        <w:t>by the Housing Grants, Construction and Regeneration Act 1996 and the Scheme for Construction Contracts (England and Wales) Regulations 1998 (SI 1998/649) and </w:t>
      </w:r>
      <w:r>
        <w:rPr>
          <w:rFonts w:ascii="Arial" w:hAnsi="Arial"/>
          <w:i/>
          <w:sz w:val="20"/>
        </w:rPr>
        <w:t>Aspect Contracts</w:t>
      </w:r>
      <w:r>
        <w:rPr>
          <w:rFonts w:ascii="Arial" w:hAnsi="Arial"/>
          <w:i/>
          <w:spacing w:val="28"/>
          <w:sz w:val="20"/>
        </w:rPr>
        <w:t> </w:t>
      </w:r>
      <w:r>
        <w:rPr>
          <w:rFonts w:ascii="Arial" w:hAnsi="Arial"/>
          <w:i/>
          <w:sz w:val="20"/>
        </w:rPr>
        <w:t>(Asbestos)</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Higgins</w:t>
      </w:r>
      <w:r>
        <w:rPr>
          <w:rFonts w:ascii="Arial" w:hAnsi="Arial"/>
          <w:i/>
          <w:spacing w:val="28"/>
          <w:sz w:val="20"/>
        </w:rPr>
        <w:t> </w:t>
      </w:r>
      <w:r>
        <w:rPr>
          <w:rFonts w:ascii="Arial" w:hAnsi="Arial"/>
          <w:i/>
          <w:sz w:val="20"/>
        </w:rPr>
        <w:t>Construction</w:t>
      </w:r>
      <w:r>
        <w:rPr>
          <w:rFonts w:ascii="Arial" w:hAnsi="Arial"/>
          <w:i/>
          <w:spacing w:val="28"/>
          <w:sz w:val="20"/>
        </w:rPr>
        <w:t> </w:t>
      </w:r>
      <w:r>
        <w:rPr>
          <w:rFonts w:ascii="Arial" w:hAnsi="Arial"/>
          <w:i/>
          <w:sz w:val="20"/>
        </w:rPr>
        <w:t>Plc</w:t>
      </w:r>
      <w:r>
        <w:rPr>
          <w:rFonts w:ascii="Arial" w:hAnsi="Arial"/>
          <w:i/>
          <w:spacing w:val="28"/>
          <w:sz w:val="20"/>
        </w:rPr>
        <w:t> </w:t>
      </w:r>
      <w:r>
        <w:rPr>
          <w:rFonts w:ascii="Arial" w:hAnsi="Arial"/>
          <w:i/>
          <w:sz w:val="20"/>
        </w:rPr>
        <w:t>[2015]</w:t>
      </w:r>
      <w:r>
        <w:rPr>
          <w:rFonts w:ascii="Arial" w:hAnsi="Arial"/>
          <w:i/>
          <w:spacing w:val="28"/>
          <w:sz w:val="20"/>
        </w:rPr>
        <w:t> </w:t>
      </w:r>
      <w:r>
        <w:rPr>
          <w:rFonts w:ascii="Arial" w:hAnsi="Arial"/>
          <w:i/>
          <w:sz w:val="20"/>
        </w:rPr>
        <w:t>UKSC</w:t>
      </w:r>
      <w:r>
        <w:rPr>
          <w:rFonts w:ascii="Arial" w:hAnsi="Arial"/>
          <w:i/>
          <w:spacing w:val="28"/>
          <w:sz w:val="20"/>
        </w:rPr>
        <w:t> </w:t>
      </w:r>
      <w:r>
        <w:rPr>
          <w:rFonts w:ascii="Arial" w:hAnsi="Arial"/>
          <w:i/>
          <w:sz w:val="20"/>
        </w:rPr>
        <w:t>38,</w:t>
      </w:r>
      <w:r>
        <w:rPr>
          <w:rFonts w:ascii="Arial" w:hAnsi="Arial"/>
          <w:i/>
          <w:spacing w:val="28"/>
          <w:sz w:val="20"/>
        </w:rPr>
        <w:t> </w:t>
      </w:r>
      <w:r>
        <w:rPr>
          <w:rFonts w:ascii="Arial" w:hAnsi="Arial"/>
          <w:i/>
          <w:sz w:val="20"/>
        </w:rPr>
        <w:t>[2015]</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W.L.R.</w:t>
      </w:r>
      <w:r>
        <w:rPr>
          <w:rFonts w:ascii="Arial" w:hAnsi="Arial"/>
          <w:i/>
          <w:spacing w:val="28"/>
          <w:sz w:val="20"/>
        </w:rPr>
        <w:t> </w:t>
      </w:r>
      <w:r>
        <w:rPr>
          <w:rFonts w:ascii="Arial" w:hAnsi="Arial"/>
          <w:i/>
          <w:spacing w:val="-4"/>
          <w:sz w:val="20"/>
        </w:rPr>
        <w:t>2961</w:t>
      </w:r>
    </w:p>
    <w:p>
      <w:pPr>
        <w:pStyle w:val="BodyText"/>
        <w:spacing w:line="224" w:lineRule="exact"/>
        <w:ind w:left="165"/>
        <w:jc w:val="both"/>
      </w:pPr>
      <w:r>
        <w:rPr/>
        <w:drawing>
          <wp:anchor distT="0" distB="0" distL="0" distR="0" allowOverlap="1" layoutInCell="1" locked="0" behindDoc="0" simplePos="0" relativeHeight="15785472">
            <wp:simplePos x="0" y="0"/>
            <wp:positionH relativeFrom="page">
              <wp:posOffset>1257846</wp:posOffset>
            </wp:positionH>
            <wp:positionV relativeFrom="paragraph">
              <wp:posOffset>-975992</wp:posOffset>
            </wp:positionV>
            <wp:extent cx="107988" cy="107988"/>
            <wp:effectExtent l="0" t="0" r="0" b="0"/>
            <wp:wrapNone/>
            <wp:docPr id="222" name="Image 222"/>
            <wp:cNvGraphicFramePr>
              <a:graphicFrameLocks/>
            </wp:cNvGraphicFramePr>
            <a:graphic>
              <a:graphicData uri="http://schemas.openxmlformats.org/drawingml/2006/picture">
                <pic:pic>
                  <pic:nvPicPr>
                    <pic:cNvPr id="222" name="Image 222"/>
                    <pic:cNvPicPr/>
                  </pic:nvPicPr>
                  <pic:blipFill>
                    <a:blip r:embed="rId6" cstate="print"/>
                    <a:stretch>
                      <a:fillRect/>
                    </a:stretch>
                  </pic:blipFill>
                  <pic:spPr>
                    <a:xfrm>
                      <a:off x="0" y="0"/>
                      <a:ext cx="107988" cy="107988"/>
                    </a:xfrm>
                    <a:prstGeom prst="rect">
                      <a:avLst/>
                    </a:prstGeom>
                  </pic:spPr>
                </pic:pic>
              </a:graphicData>
            </a:graphic>
          </wp:anchor>
        </w:drawing>
      </w:r>
      <w:r>
        <w:rPr/>
        <w:t>esp. at </w:t>
      </w:r>
      <w:r>
        <w:rPr>
          <w:spacing w:val="-2"/>
        </w:rPr>
        <w:t>[23].</w:t>
      </w:r>
    </w:p>
    <w:p>
      <w:pPr>
        <w:pStyle w:val="BodyText"/>
        <w:spacing w:after="0" w:line="224" w:lineRule="exact"/>
        <w:jc w:val="both"/>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514" w:id="516"/>
      <w:bookmarkEnd w:id="516"/>
      <w:r>
        <w:rPr/>
      </w:r>
      <w:hyperlink w:history="true" w:anchor="_bookmark434">
        <w:r>
          <w:rPr>
            <w:color w:val="005DA1"/>
            <w:spacing w:val="-4"/>
            <w:position w:val="5"/>
            <w:sz w:val="14"/>
            <w:u w:val="single" w:color="005DA1"/>
          </w:rPr>
          <w:t>268</w:t>
        </w:r>
      </w:hyperlink>
      <w:r>
        <w:rPr>
          <w:spacing w:val="-4"/>
          <w:position w:val="5"/>
          <w:sz w:val="14"/>
        </w:rPr>
        <w:t>.</w:t>
      </w:r>
      <w:r>
        <w:rPr>
          <w:position w:val="5"/>
          <w:sz w:val="14"/>
        </w:rPr>
        <w:tab/>
      </w:r>
      <w:r>
        <w:rPr/>
        <w:t>cf. below, paras 1-042 et </w:t>
      </w:r>
      <w:r>
        <w:rPr>
          <w:spacing w:val="-4"/>
        </w:rPr>
        <w:t>seq.</w:t>
      </w:r>
    </w:p>
    <w:p>
      <w:pPr>
        <w:pStyle w:val="BodyText"/>
        <w:spacing w:before="5"/>
      </w:pPr>
    </w:p>
    <w:p>
      <w:pPr>
        <w:pStyle w:val="BodyText"/>
        <w:tabs>
          <w:tab w:pos="705" w:val="left" w:leader="none"/>
        </w:tabs>
        <w:ind w:left="165"/>
      </w:pPr>
      <w:bookmarkStart w:name="_bookmark515" w:id="517"/>
      <w:bookmarkEnd w:id="517"/>
      <w:r>
        <w:rPr/>
      </w:r>
      <w:hyperlink w:history="true" w:anchor="_bookmark435">
        <w:r>
          <w:rPr>
            <w:color w:val="005DA1"/>
            <w:spacing w:val="-4"/>
            <w:position w:val="5"/>
            <w:sz w:val="14"/>
            <w:u w:val="single" w:color="005DA1"/>
          </w:rPr>
          <w:t>269</w:t>
        </w:r>
      </w:hyperlink>
      <w:r>
        <w:rPr>
          <w:spacing w:val="-4"/>
          <w:position w:val="5"/>
          <w:sz w:val="14"/>
        </w:rPr>
        <w:t>.</w:t>
      </w:r>
      <w:r>
        <w:rPr>
          <w:position w:val="5"/>
          <w:sz w:val="14"/>
        </w:rPr>
        <w:tab/>
      </w:r>
      <w:r>
        <w:rPr/>
        <w:t>Nicholas (1974) 48 Tulane L.R. 946, </w:t>
      </w:r>
      <w:r>
        <w:rPr>
          <w:spacing w:val="-4"/>
        </w:rPr>
        <w:t>950.</w:t>
      </w:r>
    </w:p>
    <w:p>
      <w:pPr>
        <w:pStyle w:val="BodyText"/>
        <w:spacing w:before="9"/>
      </w:pPr>
    </w:p>
    <w:p>
      <w:pPr>
        <w:tabs>
          <w:tab w:pos="705" w:val="left" w:leader="none"/>
        </w:tabs>
        <w:spacing w:line="235" w:lineRule="auto" w:before="0"/>
        <w:ind w:left="705" w:right="168" w:hanging="541"/>
        <w:jc w:val="left"/>
        <w:rPr>
          <w:sz w:val="20"/>
        </w:rPr>
      </w:pPr>
      <w:bookmarkStart w:name="_bookmark516" w:id="518"/>
      <w:bookmarkEnd w:id="518"/>
      <w:r>
        <w:rPr/>
      </w:r>
      <w:hyperlink w:history="true" w:anchor="_bookmark436">
        <w:r>
          <w:rPr>
            <w:color w:val="005DA1"/>
            <w:spacing w:val="-4"/>
            <w:position w:val="5"/>
            <w:sz w:val="14"/>
            <w:u w:val="single" w:color="005DA1"/>
          </w:rPr>
          <w:t>270</w:t>
        </w:r>
      </w:hyperlink>
      <w:r>
        <w:rPr>
          <w:spacing w:val="-4"/>
          <w:position w:val="5"/>
          <w:sz w:val="14"/>
        </w:rPr>
        <w:t>.</w:t>
      </w:r>
      <w:r>
        <w:rPr>
          <w:position w:val="5"/>
          <w:sz w:val="14"/>
        </w:rPr>
        <w:tab/>
      </w:r>
      <w:r>
        <w:rPr>
          <w:sz w:val="20"/>
        </w:rPr>
        <w:t>See, e.g. </w:t>
      </w:r>
      <w:r>
        <w:rPr>
          <w:rFonts w:ascii="Arial"/>
          <w:i/>
          <w:sz w:val="20"/>
        </w:rPr>
        <w:t>Jones v Just (1868) L.R. 3 Q.B. 197 </w:t>
      </w:r>
      <w:r>
        <w:rPr>
          <w:sz w:val="20"/>
        </w:rPr>
        <w:t>and Sale of Goods Act 1893 s.14 (now Sale of</w:t>
      </w:r>
      <w:r>
        <w:rPr>
          <w:spacing w:val="80"/>
          <w:sz w:val="20"/>
        </w:rPr>
        <w:t> </w:t>
      </w:r>
      <w:r>
        <w:rPr>
          <w:sz w:val="20"/>
        </w:rPr>
        <w:t>Goods Act 1979 s.14 and Consumer Rights Act 2015 ss.9 and 10).</w:t>
      </w:r>
    </w:p>
    <w:p>
      <w:pPr>
        <w:pStyle w:val="BodyText"/>
        <w:spacing w:before="9"/>
      </w:pPr>
    </w:p>
    <w:p>
      <w:pPr>
        <w:pStyle w:val="BodyText"/>
        <w:tabs>
          <w:tab w:pos="705" w:val="left" w:leader="none"/>
        </w:tabs>
        <w:spacing w:line="235" w:lineRule="auto"/>
        <w:ind w:left="705" w:right="168" w:hanging="541"/>
      </w:pPr>
      <w:bookmarkStart w:name="_bookmark517" w:id="519"/>
      <w:bookmarkEnd w:id="519"/>
      <w:r>
        <w:rPr/>
      </w:r>
      <w:hyperlink w:history="true" w:anchor="_bookmark437">
        <w:r>
          <w:rPr>
            <w:color w:val="005DA1"/>
            <w:spacing w:val="-4"/>
            <w:position w:val="5"/>
            <w:sz w:val="14"/>
            <w:u w:val="single" w:color="005DA1"/>
          </w:rPr>
          <w:t>271</w:t>
        </w:r>
      </w:hyperlink>
      <w:r>
        <w:rPr>
          <w:spacing w:val="-4"/>
          <w:position w:val="5"/>
          <w:sz w:val="14"/>
        </w:rPr>
        <w:t>.</w:t>
      </w:r>
      <w:r>
        <w:rPr>
          <w:position w:val="5"/>
          <w:sz w:val="14"/>
        </w:rPr>
        <w:tab/>
      </w:r>
      <w:r>
        <w:rPr/>
        <w:t>See,</w:t>
      </w:r>
      <w:r>
        <w:rPr>
          <w:spacing w:val="23"/>
        </w:rPr>
        <w:t> </w:t>
      </w:r>
      <w:r>
        <w:rPr/>
        <w:t>below,</w:t>
      </w:r>
      <w:r>
        <w:rPr>
          <w:spacing w:val="23"/>
        </w:rPr>
        <w:t> </w:t>
      </w:r>
      <w:r>
        <w:rPr/>
        <w:t>Ch.14.</w:t>
      </w:r>
      <w:r>
        <w:rPr>
          <w:spacing w:val="23"/>
        </w:rPr>
        <w:t> </w:t>
      </w:r>
      <w:r>
        <w:rPr/>
        <w:t>The</w:t>
      </w:r>
      <w:r>
        <w:rPr>
          <w:spacing w:val="23"/>
        </w:rPr>
        <w:t> </w:t>
      </w:r>
      <w:r>
        <w:rPr/>
        <w:t>contract</w:t>
      </w:r>
      <w:r>
        <w:rPr>
          <w:spacing w:val="23"/>
        </w:rPr>
        <w:t> </w:t>
      </w:r>
      <w:r>
        <w:rPr/>
        <w:t>of</w:t>
      </w:r>
      <w:r>
        <w:rPr>
          <w:spacing w:val="23"/>
        </w:rPr>
        <w:t> </w:t>
      </w:r>
      <w:r>
        <w:rPr/>
        <w:t>employment</w:t>
      </w:r>
      <w:r>
        <w:rPr>
          <w:spacing w:val="23"/>
        </w:rPr>
        <w:t> </w:t>
      </w:r>
      <w:r>
        <w:rPr/>
        <w:t>has</w:t>
      </w:r>
      <w:r>
        <w:rPr>
          <w:spacing w:val="23"/>
        </w:rPr>
        <w:t> </w:t>
      </w:r>
      <w:r>
        <w:rPr/>
        <w:t>proved</w:t>
      </w:r>
      <w:r>
        <w:rPr>
          <w:spacing w:val="23"/>
        </w:rPr>
        <w:t> </w:t>
      </w:r>
      <w:r>
        <w:rPr/>
        <w:t>particularly</w:t>
      </w:r>
      <w:r>
        <w:rPr>
          <w:spacing w:val="23"/>
        </w:rPr>
        <w:t> </w:t>
      </w:r>
      <w:r>
        <w:rPr/>
        <w:t>fertile</w:t>
      </w:r>
      <w:r>
        <w:rPr>
          <w:spacing w:val="23"/>
        </w:rPr>
        <w:t> </w:t>
      </w:r>
      <w:r>
        <w:rPr/>
        <w:t>ground</w:t>
      </w:r>
      <w:r>
        <w:rPr>
          <w:spacing w:val="23"/>
        </w:rPr>
        <w:t> </w:t>
      </w:r>
      <w:r>
        <w:rPr/>
        <w:t>for</w:t>
      </w:r>
      <w:r>
        <w:rPr>
          <w:spacing w:val="23"/>
        </w:rPr>
        <w:t> </w:t>
      </w:r>
      <w:r>
        <w:rPr/>
        <w:t>the implication of terms: see Vol.II, paras 40-059—40-068, 40-072—40-073.</w:t>
      </w:r>
    </w:p>
    <w:p>
      <w:pPr>
        <w:pStyle w:val="BodyText"/>
        <w:spacing w:before="9"/>
      </w:pPr>
    </w:p>
    <w:p>
      <w:pPr>
        <w:pStyle w:val="BodyText"/>
        <w:spacing w:line="235" w:lineRule="auto" w:before="1"/>
        <w:ind w:left="705" w:right="167" w:hanging="541"/>
        <w:jc w:val="both"/>
      </w:pPr>
      <w:bookmarkStart w:name="_bookmark518" w:id="520"/>
      <w:bookmarkEnd w:id="520"/>
      <w:r>
        <w:rPr/>
      </w:r>
      <w:hyperlink w:history="true" w:anchor="_bookmark438">
        <w:r>
          <w:rPr>
            <w:color w:val="005DA1"/>
            <w:position w:val="5"/>
            <w:sz w:val="14"/>
            <w:u w:val="single" w:color="005DA1"/>
          </w:rPr>
          <w:t>272</w:t>
        </w:r>
      </w:hyperlink>
      <w:r>
        <w:rPr>
          <w:position w:val="5"/>
          <w:sz w:val="14"/>
        </w:rPr>
        <w:t>.</w:t>
      </w:r>
      <w:r>
        <w:rPr>
          <w:spacing w:val="80"/>
          <w:w w:val="150"/>
          <w:position w:val="5"/>
          <w:sz w:val="14"/>
        </w:rPr>
        <w:t> </w:t>
      </w:r>
      <w:r>
        <w:rPr/>
        <w:t>See Equality Act 2010 s.66(1); Sale of Goods Act 1979 ss.12-15; Supply of Goods (Implied Terms) Act 1973 ss.8-11. cf. Consumer Rights Act 2015 ss.9-14, 17, 34-37, 39-41, 49-52 referring to the contracts to which they apply as “treated as including” terms of differing</w:t>
      </w:r>
      <w:r>
        <w:rPr>
          <w:spacing w:val="40"/>
        </w:rPr>
        <w:t> </w:t>
      </w:r>
      <w:r>
        <w:rPr>
          <w:spacing w:val="-2"/>
        </w:rPr>
        <w:t>contents.</w:t>
      </w:r>
    </w:p>
    <w:p>
      <w:pPr>
        <w:pStyle w:val="BodyText"/>
        <w:spacing w:before="8"/>
      </w:pPr>
    </w:p>
    <w:p>
      <w:pPr>
        <w:pStyle w:val="BodyText"/>
        <w:tabs>
          <w:tab w:pos="705" w:val="left" w:leader="none"/>
        </w:tabs>
        <w:spacing w:line="235" w:lineRule="auto"/>
        <w:ind w:left="705" w:right="168" w:hanging="541"/>
      </w:pPr>
      <w:bookmarkStart w:name="_bookmark519" w:id="521"/>
      <w:bookmarkEnd w:id="521"/>
      <w:r>
        <w:rPr/>
      </w:r>
      <w:hyperlink w:history="true" w:anchor="_bookmark439">
        <w:r>
          <w:rPr>
            <w:color w:val="005DA1"/>
            <w:spacing w:val="-4"/>
            <w:position w:val="5"/>
            <w:sz w:val="14"/>
            <w:u w:val="single" w:color="005DA1"/>
          </w:rPr>
          <w:t>273</w:t>
        </w:r>
      </w:hyperlink>
      <w:r>
        <w:rPr>
          <w:spacing w:val="-4"/>
          <w:position w:val="5"/>
          <w:sz w:val="14"/>
        </w:rPr>
        <w:t>.</w:t>
      </w:r>
      <w:r>
        <w:rPr>
          <w:position w:val="5"/>
          <w:sz w:val="14"/>
        </w:rPr>
        <w:tab/>
      </w:r>
      <w:r>
        <w:rPr/>
        <w:t>See</w:t>
      </w:r>
      <w:r>
        <w:rPr>
          <w:spacing w:val="16"/>
        </w:rPr>
        <w:t> </w:t>
      </w:r>
      <w:r>
        <w:rPr/>
        <w:t>Vol.II,</w:t>
      </w:r>
      <w:r>
        <w:rPr>
          <w:spacing w:val="16"/>
        </w:rPr>
        <w:t> </w:t>
      </w:r>
      <w:r>
        <w:rPr/>
        <w:t>Chs</w:t>
      </w:r>
      <w:r>
        <w:rPr>
          <w:spacing w:val="16"/>
        </w:rPr>
        <w:t> </w:t>
      </w:r>
      <w:r>
        <w:rPr/>
        <w:t>39</w:t>
      </w:r>
      <w:r>
        <w:rPr>
          <w:spacing w:val="16"/>
        </w:rPr>
        <w:t> </w:t>
      </w:r>
      <w:r>
        <w:rPr/>
        <w:t>and</w:t>
      </w:r>
      <w:r>
        <w:rPr>
          <w:spacing w:val="16"/>
        </w:rPr>
        <w:t> </w:t>
      </w:r>
      <w:r>
        <w:rPr/>
        <w:t>44</w:t>
      </w:r>
      <w:r>
        <w:rPr>
          <w:spacing w:val="16"/>
        </w:rPr>
        <w:t> </w:t>
      </w:r>
      <w:r>
        <w:rPr/>
        <w:t>(on</w:t>
      </w:r>
      <w:r>
        <w:rPr>
          <w:spacing w:val="16"/>
        </w:rPr>
        <w:t> </w:t>
      </w:r>
      <w:r>
        <w:rPr/>
        <w:t>the</w:t>
      </w:r>
      <w:r>
        <w:rPr>
          <w:spacing w:val="16"/>
        </w:rPr>
        <w:t> </w:t>
      </w:r>
      <w:r>
        <w:rPr/>
        <w:t>law</w:t>
      </w:r>
      <w:r>
        <w:rPr>
          <w:spacing w:val="16"/>
        </w:rPr>
        <w:t> </w:t>
      </w:r>
      <w:r>
        <w:rPr/>
        <w:t>generally</w:t>
      </w:r>
      <w:r>
        <w:rPr>
          <w:spacing w:val="16"/>
        </w:rPr>
        <w:t> </w:t>
      </w:r>
      <w:r>
        <w:rPr/>
        <w:t>applicable)</w:t>
      </w:r>
      <w:r>
        <w:rPr>
          <w:spacing w:val="16"/>
        </w:rPr>
        <w:t> </w:t>
      </w:r>
      <w:r>
        <w:rPr/>
        <w:t>and</w:t>
      </w:r>
      <w:r>
        <w:rPr>
          <w:spacing w:val="16"/>
        </w:rPr>
        <w:t> </w:t>
      </w:r>
      <w:r>
        <w:rPr/>
        <w:t>paras</w:t>
      </w:r>
      <w:r>
        <w:rPr>
          <w:spacing w:val="16"/>
        </w:rPr>
        <w:t> </w:t>
      </w:r>
      <w:r>
        <w:rPr/>
        <w:t>38-399</w:t>
      </w:r>
      <w:r>
        <w:rPr>
          <w:spacing w:val="16"/>
        </w:rPr>
        <w:t> </w:t>
      </w:r>
      <w:r>
        <w:rPr/>
        <w:t>et</w:t>
      </w:r>
      <w:r>
        <w:rPr>
          <w:spacing w:val="16"/>
        </w:rPr>
        <w:t> </w:t>
      </w:r>
      <w:r>
        <w:rPr/>
        <w:t>seq.</w:t>
      </w:r>
      <w:r>
        <w:rPr>
          <w:spacing w:val="16"/>
        </w:rPr>
        <w:t> </w:t>
      </w:r>
      <w:r>
        <w:rPr/>
        <w:t>(on</w:t>
      </w:r>
      <w:r>
        <w:rPr>
          <w:spacing w:val="16"/>
        </w:rPr>
        <w:t> </w:t>
      </w:r>
      <w:r>
        <w:rPr/>
        <w:t>the law applicable to consumer contracts).</w:t>
      </w:r>
    </w:p>
    <w:p>
      <w:pPr>
        <w:pStyle w:val="BodyText"/>
        <w:spacing w:before="9"/>
      </w:pPr>
    </w:p>
    <w:p>
      <w:pPr>
        <w:pStyle w:val="BodyText"/>
        <w:spacing w:line="235" w:lineRule="auto"/>
        <w:ind w:left="705" w:right="167" w:hanging="541"/>
        <w:jc w:val="both"/>
      </w:pPr>
      <w:bookmarkStart w:name="_bookmark520" w:id="522"/>
      <w:bookmarkEnd w:id="522"/>
      <w:r>
        <w:rPr/>
      </w:r>
      <w:hyperlink w:history="true" w:anchor="_bookmark440">
        <w:r>
          <w:rPr>
            <w:color w:val="005DA1"/>
            <w:position w:val="5"/>
            <w:sz w:val="14"/>
            <w:u w:val="single" w:color="005DA1"/>
          </w:rPr>
          <w:t>274</w:t>
        </w:r>
      </w:hyperlink>
      <w:r>
        <w:rPr>
          <w:position w:val="5"/>
          <w:sz w:val="14"/>
        </w:rPr>
        <w:t>.</w:t>
      </w:r>
      <w:r>
        <w:rPr>
          <w:spacing w:val="80"/>
          <w:position w:val="5"/>
          <w:sz w:val="14"/>
        </w:rPr>
        <w:t>  </w:t>
      </w:r>
      <w:r>
        <w:rPr/>
        <w:t>Other contracts made with consumers, for example contracts of insurance and guarantee, </w:t>
      </w:r>
      <w:r>
        <w:rPr/>
        <w:t>were for long left unregulated in this way, but important changes were made in this respect by the Unfair Terms in Consumer Contracts Regulations 1994 (SI 1994/3159); revoked and replaced by the Unfair Terms in Consumer Contracts Regulations 1999 (SI 1999/2083) and due to be replaced on the coming into force of the Consumer Rights Act 2015 Pt 2: see below, Vol.II, paras 38-192 et seq.</w:t>
      </w:r>
    </w:p>
    <w:p>
      <w:pPr>
        <w:pStyle w:val="BodyText"/>
        <w:spacing w:after="0" w:line="235" w:lineRule="auto"/>
        <w:jc w:val="both"/>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441">
        <w:r>
          <w:rPr>
            <w:color w:val="005DA1"/>
            <w:spacing w:val="-4"/>
            <w:position w:val="5"/>
            <w:sz w:val="14"/>
            <w:u w:val="single" w:color="005DA1"/>
          </w:rPr>
          <w:t>275</w:t>
        </w:r>
      </w:hyperlink>
      <w:r>
        <w:rPr>
          <w:spacing w:val="-4"/>
          <w:position w:val="5"/>
          <w:sz w:val="14"/>
        </w:rPr>
        <w:t>.</w:t>
      </w:r>
      <w:r>
        <w:rPr>
          <w:position w:val="5"/>
          <w:sz w:val="14"/>
        </w:rPr>
        <w:tab/>
      </w:r>
      <w:r>
        <w:rPr/>
        <w:t>Hepple (1986–1987) 36 King’s Counsel </w:t>
      </w:r>
      <w:r>
        <w:rPr>
          <w:spacing w:val="-5"/>
        </w:rPr>
        <w:t>11.</w:t>
      </w:r>
    </w:p>
    <w:p>
      <w:pPr>
        <w:pStyle w:val="BodyText"/>
        <w:spacing w:before="9"/>
      </w:pPr>
    </w:p>
    <w:p>
      <w:pPr>
        <w:pStyle w:val="BodyText"/>
        <w:tabs>
          <w:tab w:pos="705" w:val="left" w:leader="none"/>
        </w:tabs>
        <w:spacing w:line="235" w:lineRule="auto"/>
        <w:ind w:left="705" w:right="168" w:hanging="541"/>
      </w:pPr>
      <w:bookmarkStart w:name="_bookmark521" w:id="523"/>
      <w:bookmarkEnd w:id="523"/>
      <w:r>
        <w:rPr/>
      </w:r>
      <w:hyperlink w:history="true" w:anchor="_bookmark442">
        <w:r>
          <w:rPr>
            <w:color w:val="005DA1"/>
            <w:spacing w:val="-4"/>
            <w:position w:val="5"/>
            <w:sz w:val="14"/>
            <w:u w:val="single" w:color="005DA1"/>
          </w:rPr>
          <w:t>276</w:t>
        </w:r>
      </w:hyperlink>
      <w:r>
        <w:rPr>
          <w:spacing w:val="-4"/>
          <w:position w:val="5"/>
          <w:sz w:val="14"/>
        </w:rPr>
        <w:t>.</w:t>
      </w:r>
      <w:r>
        <w:rPr>
          <w:position w:val="5"/>
          <w:sz w:val="14"/>
        </w:rPr>
        <w:tab/>
      </w:r>
      <w:r>
        <w:rPr/>
        <w:t>See art.101 TFEU (ex 81 EC), art.102 TFEU (ex 82 EC); Vol.II, Ch.43, especially paras 43-</w:t>
      </w:r>
      <w:r>
        <w:rPr/>
        <w:t>004 et seq.</w:t>
      </w:r>
    </w:p>
    <w:p>
      <w:pPr>
        <w:pStyle w:val="BodyText"/>
        <w:spacing w:before="9"/>
      </w:pPr>
    </w:p>
    <w:p>
      <w:pPr>
        <w:tabs>
          <w:tab w:pos="705" w:val="left" w:leader="none"/>
        </w:tabs>
        <w:spacing w:line="235" w:lineRule="auto" w:before="1"/>
        <w:ind w:left="705" w:right="168" w:hanging="541"/>
        <w:jc w:val="left"/>
        <w:rPr>
          <w:sz w:val="20"/>
        </w:rPr>
      </w:pPr>
      <w:bookmarkStart w:name="_bookmark522" w:id="524"/>
      <w:bookmarkEnd w:id="524"/>
      <w:r>
        <w:rPr/>
      </w:r>
      <w:hyperlink w:history="true" w:anchor="_bookmark443">
        <w:r>
          <w:rPr>
            <w:color w:val="005DA1"/>
            <w:spacing w:val="-4"/>
            <w:position w:val="5"/>
            <w:sz w:val="14"/>
            <w:u w:val="single" w:color="005DA1"/>
          </w:rPr>
          <w:t>277</w:t>
        </w:r>
      </w:hyperlink>
      <w:r>
        <w:rPr>
          <w:spacing w:val="-4"/>
          <w:position w:val="5"/>
          <w:sz w:val="14"/>
        </w:rPr>
        <w:t>.</w:t>
      </w:r>
      <w:r>
        <w:rPr>
          <w:position w:val="5"/>
          <w:sz w:val="14"/>
        </w:rPr>
        <w:tab/>
      </w:r>
      <w:r>
        <w:rPr>
          <w:sz w:val="20"/>
        </w:rPr>
        <w:t>See,</w:t>
      </w:r>
      <w:r>
        <w:rPr>
          <w:spacing w:val="40"/>
          <w:sz w:val="20"/>
        </w:rPr>
        <w:t> </w:t>
      </w:r>
      <w:r>
        <w:rPr>
          <w:sz w:val="20"/>
        </w:rPr>
        <w:t>e.g.</w:t>
      </w:r>
      <w:r>
        <w:rPr>
          <w:spacing w:val="40"/>
          <w:sz w:val="20"/>
        </w:rPr>
        <w:t> </w:t>
      </w:r>
      <w:r>
        <w:rPr>
          <w:rFonts w:ascii="Arial"/>
          <w:i/>
          <w:sz w:val="20"/>
        </w:rPr>
        <w:t>European</w:t>
      </w:r>
      <w:r>
        <w:rPr>
          <w:rFonts w:ascii="Arial"/>
          <w:i/>
          <w:spacing w:val="40"/>
          <w:sz w:val="20"/>
        </w:rPr>
        <w:t> </w:t>
      </w:r>
      <w:r>
        <w:rPr>
          <w:rFonts w:ascii="Arial"/>
          <w:i/>
          <w:sz w:val="20"/>
        </w:rPr>
        <w:t>Commission</w:t>
      </w:r>
      <w:r>
        <w:rPr>
          <w:rFonts w:ascii="Arial"/>
          <w:i/>
          <w:spacing w:val="40"/>
          <w:sz w:val="20"/>
        </w:rPr>
        <w:t> </w:t>
      </w:r>
      <w:r>
        <w:rPr>
          <w:rFonts w:ascii="Arial"/>
          <w:i/>
          <w:sz w:val="20"/>
        </w:rPr>
        <w:t>v</w:t>
      </w:r>
      <w:r>
        <w:rPr>
          <w:rFonts w:ascii="Arial"/>
          <w:i/>
          <w:spacing w:val="40"/>
          <w:sz w:val="20"/>
        </w:rPr>
        <w:t> </w:t>
      </w:r>
      <w:r>
        <w:rPr>
          <w:rFonts w:ascii="Arial"/>
          <w:i/>
          <w:sz w:val="20"/>
        </w:rPr>
        <w:t>Alrosa</w:t>
      </w:r>
      <w:r>
        <w:rPr>
          <w:rFonts w:ascii="Arial"/>
          <w:i/>
          <w:spacing w:val="40"/>
          <w:sz w:val="20"/>
        </w:rPr>
        <w:t> </w:t>
      </w:r>
      <w:r>
        <w:rPr>
          <w:rFonts w:ascii="Arial"/>
          <w:i/>
          <w:sz w:val="20"/>
        </w:rPr>
        <w:t>Co</w:t>
      </w:r>
      <w:r>
        <w:rPr>
          <w:rFonts w:ascii="Arial"/>
          <w:i/>
          <w:spacing w:val="40"/>
          <w:sz w:val="20"/>
        </w:rPr>
        <w:t> </w:t>
      </w:r>
      <w:r>
        <w:rPr>
          <w:rFonts w:ascii="Arial"/>
          <w:i/>
          <w:sz w:val="20"/>
        </w:rPr>
        <w:t>Ltd</w:t>
      </w:r>
      <w:r>
        <w:rPr>
          <w:rFonts w:ascii="Arial"/>
          <w:i/>
          <w:spacing w:val="40"/>
          <w:sz w:val="20"/>
        </w:rPr>
        <w:t> </w:t>
      </w:r>
      <w:r>
        <w:rPr>
          <w:rFonts w:ascii="Arial"/>
          <w:i/>
          <w:sz w:val="20"/>
        </w:rPr>
        <w:t>(C-441/07)</w:t>
      </w:r>
      <w:r>
        <w:rPr>
          <w:rFonts w:ascii="Arial"/>
          <w:i/>
          <w:spacing w:val="40"/>
          <w:sz w:val="20"/>
        </w:rPr>
        <w:t> </w:t>
      </w:r>
      <w:r>
        <w:rPr>
          <w:rFonts w:ascii="Arial"/>
          <w:i/>
          <w:sz w:val="20"/>
        </w:rPr>
        <w:t>[2010]</w:t>
      </w:r>
      <w:r>
        <w:rPr>
          <w:rFonts w:ascii="Arial"/>
          <w:i/>
          <w:spacing w:val="40"/>
          <w:sz w:val="20"/>
        </w:rPr>
        <w:t> </w:t>
      </w:r>
      <w:r>
        <w:rPr>
          <w:rFonts w:ascii="Arial"/>
          <w:i/>
          <w:sz w:val="20"/>
        </w:rPr>
        <w:t>5</w:t>
      </w:r>
      <w:r>
        <w:rPr>
          <w:rFonts w:ascii="Arial"/>
          <w:i/>
          <w:spacing w:val="40"/>
          <w:sz w:val="20"/>
        </w:rPr>
        <w:t> </w:t>
      </w:r>
      <w:r>
        <w:rPr>
          <w:rFonts w:ascii="Arial"/>
          <w:i/>
          <w:sz w:val="20"/>
        </w:rPr>
        <w:t>C.M.L.R.</w:t>
      </w:r>
      <w:r>
        <w:rPr>
          <w:rFonts w:ascii="Arial"/>
          <w:i/>
          <w:spacing w:val="40"/>
          <w:sz w:val="20"/>
        </w:rPr>
        <w:t> </w:t>
      </w:r>
      <w:r>
        <w:rPr>
          <w:rFonts w:ascii="Arial"/>
          <w:i/>
          <w:sz w:val="20"/>
        </w:rPr>
        <w:t>11</w:t>
      </w:r>
      <w:r>
        <w:rPr>
          <w:rFonts w:ascii="Arial"/>
          <w:i/>
          <w:spacing w:val="40"/>
          <w:sz w:val="20"/>
        </w:rPr>
        <w:t> </w:t>
      </w:r>
      <w:r>
        <w:rPr>
          <w:sz w:val="20"/>
        </w:rPr>
        <w:t>at</w:t>
      </w:r>
      <w:r>
        <w:rPr>
          <w:spacing w:val="40"/>
          <w:sz w:val="20"/>
        </w:rPr>
        <w:t> </w:t>
      </w:r>
      <w:r>
        <w:rPr>
          <w:sz w:val="20"/>
        </w:rPr>
        <w:t>AG </w:t>
      </w:r>
      <w:r>
        <w:rPr>
          <w:spacing w:val="-2"/>
          <w:sz w:val="20"/>
        </w:rPr>
        <w:t>para.225.</w:t>
      </w:r>
    </w:p>
    <w:p>
      <w:pPr>
        <w:pStyle w:val="BodyText"/>
        <w:spacing w:before="5"/>
      </w:pPr>
    </w:p>
    <w:p>
      <w:pPr>
        <w:pStyle w:val="BodyText"/>
        <w:tabs>
          <w:tab w:pos="705" w:val="left" w:leader="none"/>
        </w:tabs>
        <w:ind w:left="165"/>
      </w:pPr>
      <w:bookmarkStart w:name="_bookmark523" w:id="525"/>
      <w:bookmarkEnd w:id="525"/>
      <w:r>
        <w:rPr/>
      </w:r>
      <w:hyperlink w:history="true" w:anchor="_bookmark444">
        <w:r>
          <w:rPr>
            <w:color w:val="005DA1"/>
            <w:spacing w:val="-4"/>
            <w:position w:val="5"/>
            <w:sz w:val="14"/>
            <w:u w:val="single" w:color="005DA1"/>
          </w:rPr>
          <w:t>278</w:t>
        </w:r>
      </w:hyperlink>
      <w:r>
        <w:rPr>
          <w:spacing w:val="-4"/>
          <w:position w:val="5"/>
          <w:sz w:val="14"/>
        </w:rPr>
        <w:t>.</w:t>
      </w:r>
      <w:r>
        <w:rPr>
          <w:position w:val="5"/>
          <w:sz w:val="14"/>
        </w:rPr>
        <w:tab/>
      </w:r>
      <w:r>
        <w:rPr/>
        <w:t>Financial Services and Markets Act 2000 s.19(1). “Regulated activities” are defined by </w:t>
      </w:r>
      <w:r>
        <w:rPr>
          <w:spacing w:val="-2"/>
        </w:rPr>
        <w:t>s.22.</w:t>
      </w:r>
    </w:p>
    <w:p>
      <w:pPr>
        <w:pStyle w:val="BodyText"/>
        <w:spacing w:before="5"/>
      </w:pPr>
    </w:p>
    <w:p>
      <w:pPr>
        <w:pStyle w:val="BodyText"/>
        <w:tabs>
          <w:tab w:pos="705" w:val="left" w:leader="none"/>
        </w:tabs>
        <w:ind w:left="165"/>
      </w:pPr>
      <w:bookmarkStart w:name="_bookmark524" w:id="526"/>
      <w:bookmarkEnd w:id="526"/>
      <w:r>
        <w:rPr/>
      </w:r>
      <w:hyperlink w:history="true" w:anchor="_bookmark444">
        <w:r>
          <w:rPr>
            <w:color w:val="005DA1"/>
            <w:spacing w:val="-4"/>
            <w:position w:val="5"/>
            <w:sz w:val="14"/>
            <w:u w:val="single" w:color="005DA1"/>
          </w:rPr>
          <w:t>279</w:t>
        </w:r>
      </w:hyperlink>
      <w:r>
        <w:rPr>
          <w:spacing w:val="-4"/>
          <w:position w:val="5"/>
          <w:sz w:val="14"/>
        </w:rPr>
        <w:t>.</w:t>
      </w:r>
      <w:r>
        <w:rPr>
          <w:position w:val="5"/>
          <w:sz w:val="14"/>
        </w:rPr>
        <w:tab/>
      </w:r>
      <w:r>
        <w:rPr/>
        <w:t>ss.23, 20(3), </w:t>
      </w:r>
      <w:r>
        <w:rPr>
          <w:spacing w:val="-2"/>
        </w:rPr>
        <w:t>respectively.</w:t>
      </w:r>
    </w:p>
    <w:p>
      <w:pPr>
        <w:pStyle w:val="BodyText"/>
        <w:spacing w:before="5"/>
      </w:pPr>
    </w:p>
    <w:p>
      <w:pPr>
        <w:pStyle w:val="BodyText"/>
        <w:tabs>
          <w:tab w:pos="705" w:val="left" w:leader="none"/>
        </w:tabs>
        <w:ind w:left="165"/>
      </w:pPr>
      <w:bookmarkStart w:name="_bookmark525" w:id="527"/>
      <w:bookmarkEnd w:id="527"/>
      <w:r>
        <w:rPr/>
      </w:r>
      <w:hyperlink w:history="true" w:anchor="_bookmark445">
        <w:r>
          <w:rPr>
            <w:color w:val="005DA1"/>
            <w:spacing w:val="-4"/>
            <w:position w:val="5"/>
            <w:sz w:val="14"/>
            <w:u w:val="single" w:color="005DA1"/>
          </w:rPr>
          <w:t>280</w:t>
        </w:r>
      </w:hyperlink>
      <w:r>
        <w:rPr>
          <w:spacing w:val="-4"/>
          <w:position w:val="5"/>
          <w:sz w:val="14"/>
        </w:rPr>
        <w:t>.</w:t>
      </w:r>
      <w:r>
        <w:rPr>
          <w:position w:val="5"/>
          <w:sz w:val="14"/>
        </w:rPr>
        <w:tab/>
      </w:r>
      <w:r>
        <w:rPr/>
        <w:t>Financial Services and Markets Act 2000 Pt IXA (inserted by Financial Services Act </w:t>
      </w:r>
      <w:r>
        <w:rPr>
          <w:spacing w:val="-2"/>
        </w:rPr>
        <w:t>2012).</w:t>
      </w:r>
    </w:p>
    <w:p>
      <w:pPr>
        <w:pStyle w:val="BodyText"/>
        <w:spacing w:before="9"/>
      </w:pPr>
    </w:p>
    <w:p>
      <w:pPr>
        <w:pStyle w:val="BodyText"/>
        <w:tabs>
          <w:tab w:pos="705" w:val="left" w:leader="none"/>
        </w:tabs>
        <w:spacing w:line="235" w:lineRule="auto"/>
        <w:ind w:left="705" w:right="168" w:hanging="541"/>
      </w:pPr>
      <w:bookmarkStart w:name="_bookmark526" w:id="528"/>
      <w:bookmarkEnd w:id="528"/>
      <w:r>
        <w:rPr/>
      </w:r>
      <w:hyperlink w:history="true" w:anchor="_bookmark446">
        <w:r>
          <w:rPr>
            <w:color w:val="005DA1"/>
            <w:spacing w:val="-4"/>
            <w:position w:val="5"/>
            <w:sz w:val="14"/>
            <w:u w:val="single" w:color="005DA1"/>
          </w:rPr>
          <w:t>281</w:t>
        </w:r>
      </w:hyperlink>
      <w:r>
        <w:rPr>
          <w:spacing w:val="-4"/>
          <w:position w:val="5"/>
          <w:sz w:val="14"/>
        </w:rPr>
        <w:t>.</w:t>
      </w:r>
      <w:r>
        <w:rPr>
          <w:position w:val="5"/>
          <w:sz w:val="14"/>
        </w:rPr>
        <w:tab/>
      </w:r>
      <w:r>
        <w:rPr/>
        <w:t>Financial Services and Markets Act 2000 ss.138D(2), 138E(1) (inserted by Financial </w:t>
      </w:r>
      <w:r>
        <w:rPr/>
        <w:t>Services Act 2012).</w:t>
      </w:r>
    </w:p>
    <w:p>
      <w:pPr>
        <w:pStyle w:val="BodyText"/>
        <w:spacing w:before="5"/>
      </w:pPr>
    </w:p>
    <w:p>
      <w:pPr>
        <w:pStyle w:val="BodyText"/>
        <w:tabs>
          <w:tab w:pos="705" w:val="left" w:leader="none"/>
        </w:tabs>
        <w:ind w:left="165"/>
      </w:pPr>
      <w:bookmarkStart w:name="_bookmark527" w:id="529"/>
      <w:bookmarkEnd w:id="529"/>
      <w:r>
        <w:rPr/>
      </w:r>
      <w:hyperlink w:history="true" w:anchor="_bookmark447">
        <w:r>
          <w:rPr>
            <w:color w:val="005DA1"/>
            <w:spacing w:val="-4"/>
            <w:position w:val="5"/>
            <w:sz w:val="14"/>
            <w:u w:val="single" w:color="005DA1"/>
          </w:rPr>
          <w:t>282</w:t>
        </w:r>
      </w:hyperlink>
      <w:r>
        <w:rPr>
          <w:spacing w:val="-4"/>
          <w:position w:val="5"/>
          <w:sz w:val="14"/>
        </w:rPr>
        <w:t>.</w:t>
      </w:r>
      <w:r>
        <w:rPr>
          <w:position w:val="5"/>
          <w:sz w:val="14"/>
        </w:rPr>
        <w:tab/>
      </w:r>
      <w:r>
        <w:rPr/>
        <w:t>Financial Services and Markets Act 2000 s.138E(2) (inserted by Financial Services Act </w:t>
      </w:r>
      <w:r>
        <w:rPr>
          <w:spacing w:val="-2"/>
        </w:rPr>
        <w:t>2012).</w:t>
      </w:r>
    </w:p>
    <w:p>
      <w:pPr>
        <w:pStyle w:val="BodyText"/>
        <w:spacing w:before="9"/>
      </w:pPr>
    </w:p>
    <w:p>
      <w:pPr>
        <w:pStyle w:val="BodyText"/>
        <w:spacing w:line="235" w:lineRule="auto"/>
        <w:ind w:left="705" w:right="167" w:hanging="541"/>
        <w:jc w:val="both"/>
      </w:pPr>
      <w:bookmarkStart w:name="_bookmark528" w:id="530"/>
      <w:bookmarkEnd w:id="530"/>
      <w:r>
        <w:rPr/>
      </w:r>
      <w:hyperlink w:history="true" w:anchor="_bookmark448">
        <w:r>
          <w:rPr>
            <w:color w:val="005DA1"/>
            <w:position w:val="5"/>
            <w:sz w:val="14"/>
            <w:u w:val="single" w:color="005DA1"/>
          </w:rPr>
          <w:t>283</w:t>
        </w:r>
      </w:hyperlink>
      <w:r>
        <w:rPr>
          <w:position w:val="5"/>
          <w:sz w:val="14"/>
        </w:rPr>
        <w:t>.</w:t>
      </w:r>
      <w:r>
        <w:rPr>
          <w:spacing w:val="80"/>
          <w:position w:val="5"/>
          <w:sz w:val="14"/>
        </w:rPr>
        <w:t> </w:t>
      </w:r>
      <w:r>
        <w:rPr/>
        <w:t>Consumer Protection from Unfair Trading Regulations 2008 (SI 2008/1277) </w:t>
      </w:r>
      <w:r>
        <w:rPr/>
        <w:t>implementing Directive 2005/29 concerning unfair business-to-consumer commercial practices in the internal market, on which see Vol.II, paras 38-145 et seq.</w:t>
      </w:r>
    </w:p>
    <w:p>
      <w:pPr>
        <w:pStyle w:val="BodyText"/>
        <w:spacing w:before="9"/>
      </w:pPr>
    </w:p>
    <w:p>
      <w:pPr>
        <w:pStyle w:val="BodyText"/>
        <w:tabs>
          <w:tab w:pos="705" w:val="left" w:leader="none"/>
        </w:tabs>
        <w:spacing w:line="235" w:lineRule="auto"/>
        <w:ind w:left="705" w:right="168" w:hanging="541"/>
      </w:pPr>
      <w:bookmarkStart w:name="_bookmark529" w:id="531"/>
      <w:bookmarkEnd w:id="531"/>
      <w:r>
        <w:rPr/>
      </w:r>
      <w:hyperlink w:history="true" w:anchor="_bookmark449">
        <w:r>
          <w:rPr>
            <w:color w:val="005DA1"/>
            <w:spacing w:val="-4"/>
            <w:position w:val="5"/>
            <w:sz w:val="14"/>
            <w:u w:val="single" w:color="005DA1"/>
          </w:rPr>
          <w:t>284</w:t>
        </w:r>
      </w:hyperlink>
      <w:r>
        <w:rPr>
          <w:spacing w:val="-4"/>
          <w:position w:val="5"/>
          <w:sz w:val="14"/>
        </w:rPr>
        <w:t>.</w:t>
      </w:r>
      <w:r>
        <w:rPr>
          <w:position w:val="5"/>
          <w:sz w:val="14"/>
        </w:rPr>
        <w:tab/>
      </w:r>
      <w:r>
        <w:rPr/>
        <w:t>Unfair</w:t>
      </w:r>
      <w:r>
        <w:rPr>
          <w:spacing w:val="80"/>
        </w:rPr>
        <w:t> </w:t>
      </w:r>
      <w:r>
        <w:rPr/>
        <w:t>Commercial</w:t>
      </w:r>
      <w:r>
        <w:rPr>
          <w:spacing w:val="80"/>
        </w:rPr>
        <w:t> </w:t>
      </w:r>
      <w:r>
        <w:rPr/>
        <w:t>Practices</w:t>
      </w:r>
      <w:r>
        <w:rPr>
          <w:spacing w:val="80"/>
        </w:rPr>
        <w:t> </w:t>
      </w:r>
      <w:r>
        <w:rPr/>
        <w:t>Directive</w:t>
      </w:r>
      <w:r>
        <w:rPr>
          <w:spacing w:val="80"/>
        </w:rPr>
        <w:t> </w:t>
      </w:r>
      <w:r>
        <w:rPr/>
        <w:t>art.5;</w:t>
      </w:r>
      <w:r>
        <w:rPr>
          <w:spacing w:val="80"/>
        </w:rPr>
        <w:t> </w:t>
      </w:r>
      <w:r>
        <w:rPr/>
        <w:t>Consumer</w:t>
      </w:r>
      <w:r>
        <w:rPr>
          <w:spacing w:val="80"/>
        </w:rPr>
        <w:t> </w:t>
      </w:r>
      <w:r>
        <w:rPr/>
        <w:t>Protection</w:t>
      </w:r>
      <w:r>
        <w:rPr>
          <w:spacing w:val="80"/>
        </w:rPr>
        <w:t> </w:t>
      </w:r>
      <w:r>
        <w:rPr/>
        <w:t>from</w:t>
      </w:r>
      <w:r>
        <w:rPr>
          <w:spacing w:val="80"/>
        </w:rPr>
        <w:t> </w:t>
      </w:r>
      <w:r>
        <w:rPr/>
        <w:t>Unfair</w:t>
      </w:r>
      <w:r>
        <w:rPr>
          <w:spacing w:val="80"/>
        </w:rPr>
        <w:t> </w:t>
      </w:r>
      <w:r>
        <w:rPr/>
        <w:t>Trading Regulations 2008 reg.3(3).</w:t>
      </w:r>
    </w:p>
    <w:p>
      <w:pPr>
        <w:pStyle w:val="BodyText"/>
        <w:spacing w:before="9"/>
      </w:pPr>
    </w:p>
    <w:p>
      <w:pPr>
        <w:pStyle w:val="BodyText"/>
        <w:tabs>
          <w:tab w:pos="705" w:val="left" w:leader="none"/>
        </w:tabs>
        <w:spacing w:line="235" w:lineRule="auto"/>
        <w:ind w:left="705" w:right="168" w:hanging="541"/>
      </w:pPr>
      <w:bookmarkStart w:name="_bookmark530" w:id="532"/>
      <w:bookmarkEnd w:id="532"/>
      <w:r>
        <w:rPr/>
      </w:r>
      <w:hyperlink w:history="true" w:anchor="_bookmark450">
        <w:r>
          <w:rPr>
            <w:color w:val="005DA1"/>
            <w:spacing w:val="-4"/>
            <w:position w:val="5"/>
            <w:sz w:val="14"/>
            <w:u w:val="single" w:color="005DA1"/>
          </w:rPr>
          <w:t>285</w:t>
        </w:r>
      </w:hyperlink>
      <w:r>
        <w:rPr>
          <w:spacing w:val="-4"/>
          <w:position w:val="5"/>
          <w:sz w:val="14"/>
        </w:rPr>
        <w:t>.</w:t>
      </w:r>
      <w:r>
        <w:rPr>
          <w:position w:val="5"/>
          <w:sz w:val="14"/>
        </w:rPr>
        <w:tab/>
      </w:r>
      <w:r>
        <w:rPr/>
        <w:t>Unfair Commercial Practices Directive arts 6 and 7; Consumer Protection from Unfair Trading</w:t>
      </w:r>
      <w:r>
        <w:rPr>
          <w:spacing w:val="40"/>
        </w:rPr>
        <w:t> </w:t>
      </w:r>
      <w:r>
        <w:rPr/>
        <w:t>Regulations 2008 regs 5, 6 and 7.</w:t>
      </w:r>
    </w:p>
    <w:p>
      <w:pPr>
        <w:pStyle w:val="BodyText"/>
        <w:spacing w:before="9"/>
      </w:pPr>
    </w:p>
    <w:p>
      <w:pPr>
        <w:pStyle w:val="BodyText"/>
        <w:tabs>
          <w:tab w:pos="705" w:val="left" w:leader="none"/>
        </w:tabs>
        <w:spacing w:line="235" w:lineRule="auto" w:before="1"/>
        <w:ind w:left="705" w:right="168" w:hanging="541"/>
      </w:pPr>
      <w:bookmarkStart w:name="_bookmark531" w:id="533"/>
      <w:bookmarkEnd w:id="533"/>
      <w:r>
        <w:rPr/>
      </w:r>
      <w:hyperlink w:history="true" w:anchor="_bookmark451">
        <w:r>
          <w:rPr>
            <w:color w:val="005DA1"/>
            <w:spacing w:val="-4"/>
            <w:position w:val="5"/>
            <w:sz w:val="14"/>
            <w:u w:val="single" w:color="005DA1"/>
          </w:rPr>
          <w:t>286</w:t>
        </w:r>
      </w:hyperlink>
      <w:r>
        <w:rPr>
          <w:spacing w:val="-4"/>
          <w:position w:val="5"/>
          <w:sz w:val="14"/>
        </w:rPr>
        <w:t>.</w:t>
      </w:r>
      <w:r>
        <w:rPr>
          <w:position w:val="5"/>
          <w:sz w:val="14"/>
        </w:rPr>
        <w:tab/>
      </w:r>
      <w:r>
        <w:rPr/>
        <w:t>Unfair Commercial Practices Directive art.5(5) referring to Annex I; Consumer Protection from Unfair Trading Regulations 2008 reg.3(4)(d), Sch.1.</w:t>
      </w:r>
    </w:p>
    <w:p>
      <w:pPr>
        <w:pStyle w:val="BodyText"/>
        <w:spacing w:before="9"/>
      </w:pPr>
    </w:p>
    <w:p>
      <w:pPr>
        <w:pStyle w:val="BodyText"/>
        <w:tabs>
          <w:tab w:pos="705" w:val="left" w:leader="none"/>
        </w:tabs>
        <w:spacing w:line="235" w:lineRule="auto"/>
        <w:ind w:left="705" w:right="168" w:hanging="541"/>
      </w:pPr>
      <w:bookmarkStart w:name="_bookmark532" w:id="534"/>
      <w:bookmarkEnd w:id="534"/>
      <w:r>
        <w:rPr/>
      </w:r>
      <w:hyperlink w:history="true" w:anchor="_bookmark452">
        <w:r>
          <w:rPr>
            <w:color w:val="005DA1"/>
            <w:spacing w:val="-4"/>
            <w:position w:val="5"/>
            <w:sz w:val="14"/>
            <w:u w:val="single" w:color="005DA1"/>
          </w:rPr>
          <w:t>287</w:t>
        </w:r>
      </w:hyperlink>
      <w:r>
        <w:rPr>
          <w:spacing w:val="-4"/>
          <w:position w:val="5"/>
          <w:sz w:val="14"/>
        </w:rPr>
        <w:t>.</w:t>
      </w:r>
      <w:r>
        <w:rPr>
          <w:position w:val="5"/>
          <w:sz w:val="14"/>
        </w:rPr>
        <w:tab/>
      </w:r>
      <w:r>
        <w:rPr/>
        <w:t>Unfair Commercial Practices Directive art.3(2) on which see Whittaker in Weatherill and </w:t>
      </w:r>
      <w:r>
        <w:rPr/>
        <w:t>Bernitz at Ch.8.</w:t>
      </w:r>
    </w:p>
    <w:p>
      <w:pPr>
        <w:pStyle w:val="BodyText"/>
        <w:spacing w:before="5"/>
      </w:pPr>
    </w:p>
    <w:p>
      <w:pPr>
        <w:pStyle w:val="BodyText"/>
        <w:tabs>
          <w:tab w:pos="705" w:val="left" w:leader="none"/>
        </w:tabs>
        <w:ind w:left="165"/>
      </w:pPr>
      <w:bookmarkStart w:name="_bookmark533" w:id="535"/>
      <w:bookmarkEnd w:id="535"/>
      <w:r>
        <w:rPr/>
      </w:r>
      <w:hyperlink w:history="true" w:anchor="_bookmark453">
        <w:r>
          <w:rPr>
            <w:color w:val="005DA1"/>
            <w:spacing w:val="-4"/>
            <w:position w:val="5"/>
            <w:sz w:val="14"/>
            <w:u w:val="single" w:color="005DA1"/>
          </w:rPr>
          <w:t>288</w:t>
        </w:r>
      </w:hyperlink>
      <w:r>
        <w:rPr>
          <w:spacing w:val="-4"/>
          <w:position w:val="5"/>
          <w:sz w:val="14"/>
        </w:rPr>
        <w:t>.</w:t>
      </w:r>
      <w:r>
        <w:rPr>
          <w:position w:val="5"/>
          <w:sz w:val="14"/>
        </w:rPr>
        <w:tab/>
      </w:r>
      <w:r>
        <w:rPr/>
        <w:t>2008 Regulations </w:t>
      </w:r>
      <w:r>
        <w:rPr>
          <w:spacing w:val="-2"/>
        </w:rPr>
        <w:t>reg.29.</w:t>
      </w:r>
    </w:p>
    <w:p>
      <w:pPr>
        <w:pStyle w:val="BodyText"/>
        <w:spacing w:before="9"/>
      </w:pPr>
    </w:p>
    <w:p>
      <w:pPr>
        <w:pStyle w:val="BodyText"/>
        <w:tabs>
          <w:tab w:pos="705" w:val="left" w:leader="none"/>
        </w:tabs>
        <w:spacing w:line="235" w:lineRule="auto"/>
        <w:ind w:left="705" w:right="167" w:hanging="541"/>
      </w:pPr>
      <w:bookmarkStart w:name="_bookmark534" w:id="536"/>
      <w:bookmarkEnd w:id="536"/>
      <w:r>
        <w:rPr/>
      </w:r>
      <w:hyperlink w:history="true" w:anchor="_bookmark454">
        <w:r>
          <w:rPr>
            <w:color w:val="005DA1"/>
            <w:spacing w:val="-4"/>
            <w:position w:val="5"/>
            <w:sz w:val="14"/>
            <w:u w:val="single" w:color="005DA1"/>
          </w:rPr>
          <w:t>289</w:t>
        </w:r>
      </w:hyperlink>
      <w:r>
        <w:rPr>
          <w:spacing w:val="-4"/>
          <w:position w:val="5"/>
          <w:sz w:val="14"/>
        </w:rPr>
        <w:t>.</w:t>
      </w:r>
      <w:r>
        <w:rPr>
          <w:position w:val="5"/>
          <w:sz w:val="14"/>
        </w:rPr>
        <w:tab/>
      </w:r>
      <w:r>
        <w:rPr/>
        <w:t>Consumer Protection (Amendment) Regulations 2014 (SI 2014/870) on which see Vol.II, </w:t>
      </w:r>
      <w:r>
        <w:rPr/>
        <w:t>paras 38-160 et seq.</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3. - Fundamental Principles of Contract </w:t>
      </w:r>
      <w:r>
        <w:rPr>
          <w:rFonts w:ascii="Arial"/>
          <w:b/>
          <w:spacing w:val="-5"/>
          <w:sz w:val="24"/>
        </w:rPr>
        <w:t>Law</w:t>
      </w:r>
    </w:p>
    <w:p>
      <w:pPr>
        <w:pStyle w:val="ListParagraph"/>
        <w:numPr>
          <w:ilvl w:val="0"/>
          <w:numId w:val="4"/>
        </w:numPr>
        <w:tabs>
          <w:tab w:pos="3058" w:val="left" w:leader="none"/>
        </w:tabs>
        <w:spacing w:line="240" w:lineRule="auto" w:before="194" w:after="0"/>
        <w:ind w:left="3058" w:right="0" w:hanging="373"/>
        <w:jc w:val="left"/>
        <w:rPr>
          <w:b/>
          <w:sz w:val="24"/>
        </w:rPr>
      </w:pPr>
      <w:r>
        <w:rPr>
          <w:b/>
          <w:sz w:val="24"/>
        </w:rPr>
        <w:t>- The Binding Force of </w:t>
      </w:r>
      <w:r>
        <w:rPr>
          <w:b/>
          <w:spacing w:val="-2"/>
          <w:sz w:val="24"/>
        </w:rPr>
        <w:t>Contract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General </w:t>
      </w:r>
      <w:r>
        <w:rPr>
          <w:rFonts w:ascii="Arial"/>
          <w:b/>
          <w:spacing w:val="-2"/>
          <w:sz w:val="18"/>
        </w:rPr>
        <w:t>significance</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036</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7"/>
        </w:rPr>
        <w:t> </w:t>
      </w:r>
      <w:bookmarkStart w:name="_bookmark535" w:id="537"/>
      <w:bookmarkEnd w:id="537"/>
      <w:r>
        <w:rPr>
          <w:rFonts w:ascii="Times New Roman"/>
          <w:spacing w:val="-23"/>
        </w:rPr>
      </w:r>
      <w:bookmarkStart w:name="_bookmark536" w:id="538"/>
      <w:bookmarkEnd w:id="538"/>
      <w:r>
        <w:rPr>
          <w:rFonts w:ascii="Times New Roman"/>
          <w:spacing w:val="-23"/>
        </w:rPr>
      </w:r>
      <w:r>
        <w:rPr/>
        <w:t>A</w:t>
      </w:r>
      <w:r>
        <w:rPr>
          <w:spacing w:val="23"/>
        </w:rPr>
        <w:t> </w:t>
      </w:r>
      <w:r>
        <w:rPr/>
        <w:t>concomitant</w:t>
      </w:r>
      <w:r>
        <w:rPr>
          <w:spacing w:val="23"/>
        </w:rPr>
        <w:t> </w:t>
      </w:r>
      <w:r>
        <w:rPr/>
        <w:t>of</w:t>
      </w:r>
      <w:r>
        <w:rPr>
          <w:spacing w:val="23"/>
        </w:rPr>
        <w:t> </w:t>
      </w:r>
      <w:r>
        <w:rPr/>
        <w:t>the</w:t>
      </w:r>
      <w:r>
        <w:rPr>
          <w:spacing w:val="23"/>
        </w:rPr>
        <w:t> </w:t>
      </w:r>
      <w:r>
        <w:rPr/>
        <w:t>doctrine</w:t>
      </w:r>
      <w:r>
        <w:rPr>
          <w:spacing w:val="23"/>
        </w:rPr>
        <w:t> </w:t>
      </w:r>
      <w:r>
        <w:rPr/>
        <w:t>of</w:t>
      </w:r>
      <w:r>
        <w:rPr>
          <w:spacing w:val="23"/>
        </w:rPr>
        <w:t> </w:t>
      </w:r>
      <w:r>
        <w:rPr/>
        <w:t>freedom</w:t>
      </w:r>
      <w:r>
        <w:rPr>
          <w:spacing w:val="23"/>
        </w:rPr>
        <w:t> </w:t>
      </w:r>
      <w:r>
        <w:rPr/>
        <w:t>of</w:t>
      </w:r>
      <w:r>
        <w:rPr>
          <w:spacing w:val="23"/>
        </w:rPr>
        <w:t> </w:t>
      </w:r>
      <w:r>
        <w:rPr/>
        <w:t>contract</w:t>
      </w:r>
      <w:r>
        <w:rPr>
          <w:spacing w:val="23"/>
        </w:rPr>
        <w:t> </w:t>
      </w:r>
      <w:r>
        <w:rPr/>
        <w:t>is</w:t>
      </w:r>
      <w:r>
        <w:rPr>
          <w:spacing w:val="23"/>
        </w:rPr>
        <w:t> </w:t>
      </w:r>
      <w:r>
        <w:rPr/>
        <w:t>the</w:t>
      </w:r>
      <w:r>
        <w:rPr>
          <w:spacing w:val="23"/>
        </w:rPr>
        <w:t> </w:t>
      </w:r>
      <w:r>
        <w:rPr/>
        <w:t>binding</w:t>
      </w:r>
      <w:r>
        <w:rPr>
          <w:spacing w:val="23"/>
        </w:rPr>
        <w:t> </w:t>
      </w:r>
      <w:r>
        <w:rPr/>
        <w:t>force</w:t>
      </w:r>
      <w:r>
        <w:rPr>
          <w:spacing w:val="23"/>
        </w:rPr>
        <w:t> </w:t>
      </w:r>
      <w:r>
        <w:rPr/>
        <w:t>of</w:t>
      </w:r>
      <w:r>
        <w:rPr>
          <w:spacing w:val="23"/>
        </w:rPr>
        <w:t> </w:t>
      </w:r>
      <w:r>
        <w:rPr/>
        <w:t>contracts,</w:t>
      </w:r>
      <w:r>
        <w:rPr>
          <w:spacing w:val="22"/>
        </w:rPr>
        <w:t> </w:t>
      </w:r>
      <w:r>
        <w:rPr>
          <w:color w:val="005DA1"/>
          <w:u w:val="single" w:color="005DA1"/>
          <w:vertAlign w:val="superscript"/>
        </w:rPr>
        <w:t>290</w:t>
      </w:r>
      <w:r>
        <w:rPr>
          <w:color w:val="005DA1"/>
          <w:spacing w:val="22"/>
          <w:vertAlign w:val="baseline"/>
        </w:rPr>
        <w:t> </w:t>
      </w:r>
      <w:r>
        <w:rPr>
          <w:vertAlign w:val="baseline"/>
        </w:rPr>
        <w:t>a</w:t>
      </w:r>
      <w:r>
        <w:rPr>
          <w:spacing w:val="23"/>
          <w:vertAlign w:val="baseline"/>
        </w:rPr>
        <w:t> </w:t>
      </w:r>
      <w:r>
        <w:rPr>
          <w:vertAlign w:val="baseline"/>
        </w:rPr>
        <w:t>force</w:t>
      </w:r>
    </w:p>
    <w:p>
      <w:pPr>
        <w:pStyle w:val="BodyText"/>
        <w:spacing w:line="235" w:lineRule="auto" w:before="118"/>
        <w:ind w:left="165" w:right="167"/>
        <w:jc w:val="both"/>
      </w:pPr>
      <w:bookmarkStart w:name="_bookmark537" w:id="539"/>
      <w:bookmarkEnd w:id="539"/>
      <w:r>
        <w:rPr/>
      </w:r>
      <w:r>
        <w:rPr/>
        <w:t>which</w:t>
      </w:r>
      <w:r>
        <w:rPr>
          <w:spacing w:val="-1"/>
        </w:rPr>
        <w:t> </w:t>
      </w:r>
      <w:r>
        <w:rPr/>
        <w:t>the</w:t>
      </w:r>
      <w:r>
        <w:rPr>
          <w:spacing w:val="-1"/>
        </w:rPr>
        <w:t> </w:t>
      </w:r>
      <w:r>
        <w:rPr/>
        <w:t>French</w:t>
      </w:r>
      <w:r>
        <w:rPr>
          <w:spacing w:val="-1"/>
        </w:rPr>
        <w:t> </w:t>
      </w:r>
      <w:r>
        <w:rPr/>
        <w:t>Civil</w:t>
      </w:r>
      <w:r>
        <w:rPr>
          <w:spacing w:val="-1"/>
        </w:rPr>
        <w:t> </w:t>
      </w:r>
      <w:r>
        <w:rPr/>
        <w:t>Code</w:t>
      </w:r>
      <w:r>
        <w:rPr>
          <w:spacing w:val="-1"/>
        </w:rPr>
        <w:t> </w:t>
      </w:r>
      <w:r>
        <w:rPr/>
        <w:t>compares</w:t>
      </w:r>
      <w:r>
        <w:rPr>
          <w:spacing w:val="-1"/>
        </w:rPr>
        <w:t> </w:t>
      </w:r>
      <w:r>
        <w:rPr/>
        <w:t>to</w:t>
      </w:r>
      <w:r>
        <w:rPr>
          <w:spacing w:val="-1"/>
        </w:rPr>
        <w:t> </w:t>
      </w:r>
      <w:r>
        <w:rPr/>
        <w:t>the</w:t>
      </w:r>
      <w:r>
        <w:rPr>
          <w:spacing w:val="-1"/>
        </w:rPr>
        <w:t> </w:t>
      </w:r>
      <w:r>
        <w:rPr/>
        <w:t>binding</w:t>
      </w:r>
      <w:r>
        <w:rPr>
          <w:spacing w:val="-1"/>
        </w:rPr>
        <w:t> </w:t>
      </w:r>
      <w:r>
        <w:rPr/>
        <w:t>force</w:t>
      </w:r>
      <w:r>
        <w:rPr>
          <w:spacing w:val="-1"/>
        </w:rPr>
        <w:t> </w:t>
      </w:r>
      <w:r>
        <w:rPr/>
        <w:t>of</w:t>
      </w:r>
      <w:r>
        <w:rPr>
          <w:spacing w:val="-1"/>
        </w:rPr>
        <w:t> </w:t>
      </w:r>
      <w:r>
        <w:rPr/>
        <w:t>the</w:t>
      </w:r>
      <w:r>
        <w:rPr>
          <w:spacing w:val="-1"/>
        </w:rPr>
        <w:t> </w:t>
      </w:r>
      <w:r>
        <w:rPr/>
        <w:t>law</w:t>
      </w:r>
      <w:r>
        <w:rPr>
          <w:spacing w:val="-1"/>
        </w:rPr>
        <w:t> </w:t>
      </w:r>
      <w:r>
        <w:rPr/>
        <w:t>itself</w:t>
      </w:r>
      <w:r>
        <w:rPr>
          <w:spacing w:val="-2"/>
        </w:rPr>
        <w:t> </w:t>
      </w:r>
      <w:r>
        <w:rPr>
          <w:color w:val="005DA1"/>
          <w:u w:val="single" w:color="005DA1"/>
          <w:vertAlign w:val="superscript"/>
        </w:rPr>
        <w:t>291</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vertAlign w:val="baseline"/>
        </w:rPr>
        <w:t> </w:t>
      </w:r>
      <w:r>
        <w:rPr>
          <w:vertAlign w:val="baseline"/>
        </w:rPr>
        <w:t>and</w:t>
      </w:r>
      <w:r>
        <w:rPr>
          <w:spacing w:val="-1"/>
          <w:vertAlign w:val="baseline"/>
        </w:rPr>
        <w:t> </w:t>
      </w:r>
      <w:r>
        <w:rPr>
          <w:vertAlign w:val="baseline"/>
        </w:rPr>
        <w:t>which</w:t>
      </w:r>
      <w:r>
        <w:rPr>
          <w:spacing w:val="-1"/>
          <w:vertAlign w:val="baseline"/>
        </w:rPr>
        <w:t> </w:t>
      </w:r>
      <w:r>
        <w:rPr>
          <w:vertAlign w:val="baseline"/>
        </w:rPr>
        <w:t>has</w:t>
      </w:r>
      <w:r>
        <w:rPr>
          <w:spacing w:val="-1"/>
          <w:vertAlign w:val="baseline"/>
        </w:rPr>
        <w:t> </w:t>
      </w:r>
      <w:r>
        <w:rPr>
          <w:vertAlign w:val="baseline"/>
        </w:rPr>
        <w:t>been recognised by the European Court of Justice as a “general principle of civil law”. </w:t>
      </w:r>
      <w:r>
        <w:rPr>
          <w:color w:val="005DA1"/>
          <w:u w:val="single" w:color="005DA1"/>
          <w:vertAlign w:val="superscript"/>
        </w:rPr>
        <w:t>292</w:t>
      </w:r>
      <w:r>
        <w:rPr>
          <w:color w:val="005DA1"/>
          <w:vertAlign w:val="baseline"/>
        </w:rPr>
        <w:t> </w:t>
      </w:r>
      <w:r>
        <w:rPr>
          <w:vertAlign w:val="baseline"/>
        </w:rPr>
        <w:t>English law </w:t>
      </w:r>
      <w:r>
        <w:rPr>
          <w:vertAlign w:val="baseline"/>
        </w:rPr>
        <w:t>has also long recognised this principle, which suits the needs of commerce as well as the expectations of parties to contracts more generally. However, care must be taken in interpreting what is meant by the “binding force” of contracts in English law. Some authors argue that:</w:t>
      </w:r>
    </w:p>
    <w:p>
      <w:pPr>
        <w:pStyle w:val="BodyText"/>
      </w:pPr>
    </w:p>
    <w:p>
      <w:pPr>
        <w:pStyle w:val="BodyText"/>
        <w:spacing w:before="125"/>
      </w:pPr>
    </w:p>
    <w:p>
      <w:pPr>
        <w:pStyle w:val="BodyText"/>
        <w:spacing w:line="235" w:lineRule="auto"/>
        <w:ind w:left="1245"/>
      </w:pPr>
      <w:bookmarkStart w:name="_bookmark538" w:id="540"/>
      <w:bookmarkEnd w:id="540"/>
      <w:r>
        <w:rPr/>
      </w:r>
      <w:r>
        <w:rPr/>
        <w:t>“[g]enerally speaking the law does not actually compel the performance of a contract, </w:t>
      </w:r>
      <w:r>
        <w:rPr/>
        <w:t>it</w:t>
      </w:r>
      <w:r>
        <w:rPr>
          <w:spacing w:val="40"/>
        </w:rPr>
        <w:t> </w:t>
      </w:r>
      <w:r>
        <w:rPr/>
        <w:t>merely gives a remedy, normally damages, for the breach” </w:t>
      </w:r>
      <w:r>
        <w:rPr>
          <w:color w:val="005DA1"/>
          <w:u w:val="single" w:color="005DA1"/>
          <w:vertAlign w:val="superscript"/>
        </w:rPr>
        <w:t>293</w:t>
      </w:r>
    </w:p>
    <w:p>
      <w:pPr>
        <w:pStyle w:val="BodyText"/>
        <w:spacing w:before="116"/>
      </w:pPr>
    </w:p>
    <w:p>
      <w:pPr>
        <w:pStyle w:val="BodyText"/>
        <w:spacing w:line="235" w:lineRule="auto"/>
        <w:ind w:left="164" w:right="167"/>
        <w:jc w:val="both"/>
      </w:pPr>
      <w:r>
        <w:rPr/>
        <w:t>an</w:t>
      </w:r>
      <w:r>
        <w:rPr>
          <w:spacing w:val="-1"/>
        </w:rPr>
        <w:t> </w:t>
      </w:r>
      <w:r>
        <w:rPr/>
        <w:t>approach</w:t>
      </w:r>
      <w:r>
        <w:rPr>
          <w:spacing w:val="-1"/>
        </w:rPr>
        <w:t> </w:t>
      </w:r>
      <w:r>
        <w:rPr/>
        <w:t>which</w:t>
      </w:r>
      <w:r>
        <w:rPr>
          <w:spacing w:val="-1"/>
        </w:rPr>
        <w:t> </w:t>
      </w:r>
      <w:r>
        <w:rPr/>
        <w:t>echoes</w:t>
      </w:r>
      <w:r>
        <w:rPr>
          <w:spacing w:val="-1"/>
        </w:rPr>
        <w:t> </w:t>
      </w:r>
      <w:r>
        <w:rPr/>
        <w:t>Oliver</w:t>
      </w:r>
      <w:r>
        <w:rPr>
          <w:spacing w:val="-1"/>
        </w:rPr>
        <w:t> </w:t>
      </w:r>
      <w:r>
        <w:rPr/>
        <w:t>Wendell</w:t>
      </w:r>
      <w:r>
        <w:rPr>
          <w:spacing w:val="-1"/>
        </w:rPr>
        <w:t> </w:t>
      </w:r>
      <w:r>
        <w:rPr/>
        <w:t>Holmes’</w:t>
      </w:r>
      <w:r>
        <w:rPr>
          <w:spacing w:val="-1"/>
        </w:rPr>
        <w:t> </w:t>
      </w:r>
      <w:r>
        <w:rPr/>
        <w:t>famous</w:t>
      </w:r>
      <w:r>
        <w:rPr>
          <w:spacing w:val="-1"/>
        </w:rPr>
        <w:t> </w:t>
      </w:r>
      <w:r>
        <w:rPr/>
        <w:t>statement</w:t>
      </w:r>
      <w:r>
        <w:rPr>
          <w:spacing w:val="-1"/>
        </w:rPr>
        <w:t> </w:t>
      </w:r>
      <w:r>
        <w:rPr/>
        <w:t>that</w:t>
      </w:r>
      <w:r>
        <w:rPr>
          <w:spacing w:val="-1"/>
        </w:rPr>
        <w:t> </w:t>
      </w:r>
      <w:r>
        <w:rPr/>
        <w:t>the</w:t>
      </w:r>
      <w:r>
        <w:rPr>
          <w:spacing w:val="-1"/>
        </w:rPr>
        <w:t> </w:t>
      </w:r>
      <w:r>
        <w:rPr/>
        <w:t>law</w:t>
      </w:r>
      <w:r>
        <w:rPr>
          <w:spacing w:val="-1"/>
        </w:rPr>
        <w:t> </w:t>
      </w:r>
      <w:r>
        <w:rPr/>
        <w:t>leaves</w:t>
      </w:r>
      <w:r>
        <w:rPr>
          <w:spacing w:val="-1"/>
        </w:rPr>
        <w:t> </w:t>
      </w:r>
      <w:r>
        <w:rPr/>
        <w:t>a</w:t>
      </w:r>
      <w:r>
        <w:rPr>
          <w:spacing w:val="-1"/>
        </w:rPr>
        <w:t> </w:t>
      </w:r>
      <w:r>
        <w:rPr/>
        <w:t>contractor </w:t>
      </w:r>
      <w:bookmarkStart w:name="_bookmark539" w:id="541"/>
      <w:bookmarkEnd w:id="541"/>
      <w:r>
        <w:rPr/>
        <w:t>“free</w:t>
      </w:r>
      <w:r>
        <w:rPr/>
        <w:t> from interference until the time for fulfilment has gone by, and therefore free to break his</w:t>
      </w:r>
      <w:r>
        <w:rPr>
          <w:spacing w:val="80"/>
        </w:rPr>
        <w:t> </w:t>
      </w:r>
      <w:r>
        <w:rPr/>
        <w:t>contract if he chooses”. </w:t>
      </w:r>
      <w:r>
        <w:rPr>
          <w:color w:val="005DA1"/>
          <w:u w:val="single" w:color="005DA1"/>
          <w:vertAlign w:val="superscript"/>
        </w:rPr>
        <w:t>294</w:t>
      </w:r>
      <w:r>
        <w:rPr>
          <w:color w:val="005DA1"/>
          <w:vertAlign w:val="baseline"/>
        </w:rPr>
        <w:t> </w:t>
      </w:r>
      <w:r>
        <w:rPr>
          <w:vertAlign w:val="baseline"/>
        </w:rPr>
        <w:t>However, four arguments can counter such an approach. First, the courts </w:t>
      </w:r>
      <w:bookmarkStart w:name="_bookmark540" w:id="542"/>
      <w:bookmarkEnd w:id="542"/>
      <w:r>
        <w:rPr>
          <w:vertAlign w:val="baseline"/>
        </w:rPr>
        <w:t>sometimes</w:t>
      </w:r>
      <w:r>
        <w:rPr>
          <w:vertAlign w:val="baseline"/>
        </w:rPr>
        <w:t> do enforce the primary obligations of a contract: apart from the equitable remedies of specific performance and injunction, </w:t>
      </w:r>
      <w:r>
        <w:rPr>
          <w:color w:val="005DA1"/>
          <w:u w:val="single" w:color="005DA1"/>
          <w:vertAlign w:val="superscript"/>
        </w:rPr>
        <w:t>295</w:t>
      </w:r>
      <w:r>
        <w:rPr>
          <w:color w:val="005DA1"/>
          <w:vertAlign w:val="baseline"/>
        </w:rPr>
        <w:t> </w:t>
      </w:r>
      <w:r>
        <w:rPr>
          <w:vertAlign w:val="baseline"/>
        </w:rPr>
        <w:t>this is clearest in relation to the action for the agreed contract </w:t>
      </w:r>
      <w:bookmarkStart w:name="_bookmark541" w:id="543"/>
      <w:bookmarkEnd w:id="543"/>
      <w:r>
        <w:rPr>
          <w:vertAlign w:val="baseline"/>
        </w:rPr>
        <w:t>price,</w:t>
      </w:r>
      <w:r>
        <w:rPr>
          <w:vertAlign w:val="baseline"/>
        </w:rPr>
        <w:t> a remedy available at common law and as of right which enforces a party’s primary contractual obligation to pay money. </w:t>
      </w:r>
      <w:r>
        <w:rPr>
          <w:color w:val="005DA1"/>
          <w:u w:val="single" w:color="005DA1"/>
          <w:vertAlign w:val="superscript"/>
        </w:rPr>
        <w:t>296</w:t>
      </w:r>
      <w:r>
        <w:rPr>
          <w:color w:val="005DA1"/>
          <w:vertAlign w:val="baseline"/>
        </w:rPr>
        <w:t> </w:t>
      </w:r>
      <w:r>
        <w:rPr>
          <w:vertAlign w:val="baseline"/>
        </w:rPr>
        <w:t>Moreover, the special statutory consumer right to repair and replacement </w:t>
      </w:r>
      <w:bookmarkStart w:name="_bookmark542" w:id="544"/>
      <w:bookmarkEnd w:id="544"/>
      <w:r>
        <w:rPr>
          <w:vertAlign w:val="baseline"/>
        </w:rPr>
        <w:t>of</w:t>
      </w:r>
      <w:r>
        <w:rPr>
          <w:vertAlign w:val="baseline"/>
        </w:rPr>
        <w:t> goods or digital content, and the right to repeat performance of services, similarly seek to ensure that one party (the consumer) obtains a conforming performance from the other (the trader). </w:t>
      </w:r>
      <w:r>
        <w:rPr>
          <w:color w:val="005DA1"/>
          <w:u w:val="single" w:color="005DA1"/>
          <w:vertAlign w:val="superscript"/>
        </w:rPr>
        <w:t>297</w:t>
      </w:r>
      <w:r>
        <w:rPr>
          <w:color w:val="005DA1"/>
          <w:vertAlign w:val="baseline"/>
        </w:rPr>
        <w:t> </w:t>
      </w:r>
      <w:bookmarkStart w:name="_bookmark543" w:id="545"/>
      <w:bookmarkEnd w:id="545"/>
      <w:r>
        <w:rPr>
          <w:color w:val="005DA1"/>
          <w:w w:val="92"/>
          <w:vertAlign w:val="baseline"/>
        </w:rPr>
      </w:r>
      <w:r>
        <w:rPr>
          <w:vertAlign w:val="baseline"/>
        </w:rPr>
        <w:t>Secondly, the purpose of many awards of damages for breach of contract, and the one which is </w:t>
      </w:r>
      <w:bookmarkStart w:name="_bookmark544" w:id="546"/>
      <w:bookmarkEnd w:id="546"/>
      <w:r>
        <w:rPr>
          <w:vertAlign w:val="baseline"/>
        </w:rPr>
        <w:t>particular</w:t>
      </w:r>
      <w:r>
        <w:rPr>
          <w:vertAlign w:val="baseline"/>
        </w:rPr>
        <w:t> to it, </w:t>
      </w:r>
      <w:r>
        <w:rPr>
          <w:color w:val="005DA1"/>
          <w:u w:val="single" w:color="005DA1"/>
          <w:vertAlign w:val="superscript"/>
        </w:rPr>
        <w:t>298</w:t>
      </w:r>
      <w:r>
        <w:rPr>
          <w:color w:val="005DA1"/>
          <w:vertAlign w:val="baseline"/>
        </w:rPr>
        <w:t> </w:t>
      </w:r>
      <w:r>
        <w:rPr>
          <w:vertAlign w:val="baseline"/>
        </w:rPr>
        <w:t>is to put the injured party in the</w:t>
      </w:r>
      <w:r>
        <w:rPr>
          <w:spacing w:val="1"/>
          <w:vertAlign w:val="baseline"/>
        </w:rPr>
        <w:t> </w:t>
      </w:r>
      <w:r>
        <w:rPr>
          <w:vertAlign w:val="baseline"/>
        </w:rPr>
        <w:t>position as though the contract had been </w:t>
      </w:r>
      <w:r>
        <w:rPr>
          <w:spacing w:val="-2"/>
          <w:vertAlign w:val="baseline"/>
        </w:rPr>
        <w:t>performed.</w:t>
      </w:r>
    </w:p>
    <w:p>
      <w:pPr>
        <w:pStyle w:val="BodyText"/>
        <w:spacing w:line="235" w:lineRule="auto"/>
        <w:ind w:left="164" w:right="167"/>
        <w:jc w:val="both"/>
      </w:pPr>
      <w:r>
        <w:rPr>
          <w:color w:val="005DA1"/>
          <w:u w:val="single" w:color="005DA1"/>
          <w:vertAlign w:val="superscript"/>
        </w:rPr>
        <w:t>299</w:t>
      </w:r>
      <w:r>
        <w:rPr>
          <w:color w:val="005DA1"/>
          <w:vertAlign w:val="baseline"/>
        </w:rPr>
        <w:t> </w:t>
      </w:r>
      <w:bookmarkStart w:name="_bookmark545" w:id="547"/>
      <w:bookmarkEnd w:id="547"/>
      <w:r>
        <w:rPr>
          <w:color w:val="005DA1"/>
          <w:spacing w:val="22"/>
          <w:vertAlign w:val="baseline"/>
        </w:rPr>
      </w:r>
      <w:r>
        <w:rPr>
          <w:vertAlign w:val="baseline"/>
        </w:rPr>
        <w:t>While this approach to damages is not without its restrictions </w:t>
      </w:r>
      <w:r>
        <w:rPr>
          <w:color w:val="005DA1"/>
          <w:u w:val="single" w:color="005DA1"/>
          <w:vertAlign w:val="superscript"/>
        </w:rPr>
        <w:t>300</w:t>
      </w:r>
      <w:r>
        <w:rPr>
          <w:color w:val="005DA1"/>
          <w:vertAlign w:val="baseline"/>
        </w:rPr>
        <w:t> </w:t>
      </w:r>
      <w:r>
        <w:rPr>
          <w:vertAlign w:val="baseline"/>
        </w:rPr>
        <w:t>(notably, those imposed by the rules as to remoteness </w:t>
      </w:r>
      <w:r>
        <w:rPr>
          <w:color w:val="005DA1"/>
          <w:u w:val="single" w:color="005DA1"/>
          <w:vertAlign w:val="superscript"/>
        </w:rPr>
        <w:t>301</w:t>
      </w:r>
      <w:r>
        <w:rPr>
          <w:color w:val="005DA1"/>
          <w:vertAlign w:val="baseline"/>
        </w:rPr>
        <w:t> </w:t>
      </w:r>
      <w:r>
        <w:rPr>
          <w:vertAlign w:val="baseline"/>
        </w:rPr>
        <w:t>and mitigation of damage),</w:t>
      </w:r>
      <w:r>
        <w:rPr>
          <w:spacing w:val="-1"/>
          <w:vertAlign w:val="baseline"/>
        </w:rPr>
        <w:t> </w:t>
      </w:r>
      <w:r>
        <w:rPr>
          <w:color w:val="005DA1"/>
          <w:u w:val="single" w:color="005DA1"/>
          <w:vertAlign w:val="superscript"/>
        </w:rPr>
        <w:t>302</w:t>
      </w:r>
      <w:r>
        <w:rPr>
          <w:color w:val="005DA1"/>
          <w:vertAlign w:val="baseline"/>
        </w:rPr>
        <w:t> </w:t>
      </w:r>
      <w:r>
        <w:rPr>
          <w:vertAlign w:val="baseline"/>
        </w:rPr>
        <w:t>where an award of damages is made on </w:t>
      </w:r>
      <w:r>
        <w:rPr>
          <w:vertAlign w:val="baseline"/>
        </w:rPr>
        <w:t>this basis, it can be seen as reflecting the idea that the obligations created by the contract </w:t>
      </w:r>
      <w:r>
        <w:rPr>
          <w:rFonts w:ascii="Arial" w:hAnsi="Arial"/>
          <w:i/>
          <w:vertAlign w:val="baseline"/>
        </w:rPr>
        <w:t>should </w:t>
      </w:r>
      <w:r>
        <w:rPr>
          <w:vertAlign w:val="baseline"/>
        </w:rPr>
        <w:t>have been</w:t>
      </w:r>
      <w:r>
        <w:rPr>
          <w:spacing w:val="-2"/>
          <w:vertAlign w:val="baseline"/>
        </w:rPr>
        <w:t> </w:t>
      </w:r>
      <w:r>
        <w:rPr>
          <w:vertAlign w:val="baseline"/>
        </w:rPr>
        <w:t>performed.</w:t>
      </w:r>
      <w:r>
        <w:rPr>
          <w:spacing w:val="-2"/>
          <w:vertAlign w:val="baseline"/>
        </w:rPr>
        <w:t> </w:t>
      </w:r>
      <w:r>
        <w:rPr>
          <w:vertAlign w:val="baseline"/>
        </w:rPr>
        <w:t>Thirdly,</w:t>
      </w:r>
      <w:r>
        <w:rPr>
          <w:spacing w:val="-2"/>
          <w:vertAlign w:val="baseline"/>
        </w:rPr>
        <w:t> </w:t>
      </w:r>
      <w:r>
        <w:rPr>
          <w:vertAlign w:val="baseline"/>
        </w:rPr>
        <w:t>a</w:t>
      </w:r>
      <w:r>
        <w:rPr>
          <w:spacing w:val="-2"/>
          <w:vertAlign w:val="baseline"/>
        </w:rPr>
        <w:t> </w:t>
      </w:r>
      <w:r>
        <w:rPr>
          <w:vertAlign w:val="baseline"/>
        </w:rPr>
        <w:t>concern</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apparent</w:t>
      </w:r>
      <w:r>
        <w:rPr>
          <w:spacing w:val="-2"/>
          <w:vertAlign w:val="baseline"/>
        </w:rPr>
        <w:t> </w:t>
      </w:r>
      <w:r>
        <w:rPr>
          <w:vertAlign w:val="baseline"/>
        </w:rPr>
        <w:t>injustice</w:t>
      </w:r>
      <w:r>
        <w:rPr>
          <w:spacing w:val="-2"/>
          <w:vertAlign w:val="baseline"/>
        </w:rPr>
        <w:t> </w:t>
      </w:r>
      <w:r>
        <w:rPr>
          <w:vertAlign w:val="baseline"/>
        </w:rPr>
        <w:t>of</w:t>
      </w:r>
      <w:r>
        <w:rPr>
          <w:spacing w:val="-2"/>
          <w:vertAlign w:val="baseline"/>
        </w:rPr>
        <w:t> </w:t>
      </w:r>
      <w:r>
        <w:rPr>
          <w:vertAlign w:val="baseline"/>
        </w:rPr>
        <w:t>allowing</w:t>
      </w:r>
      <w:r>
        <w:rPr>
          <w:spacing w:val="-2"/>
          <w:vertAlign w:val="baseline"/>
        </w:rPr>
        <w:t> </w:t>
      </w:r>
      <w:r>
        <w:rPr>
          <w:vertAlign w:val="baseline"/>
        </w:rPr>
        <w:t>a</w:t>
      </w:r>
      <w:r>
        <w:rPr>
          <w:spacing w:val="-2"/>
          <w:vertAlign w:val="baseline"/>
        </w:rPr>
        <w:t> </w:t>
      </w:r>
      <w:r>
        <w:rPr>
          <w:vertAlign w:val="baseline"/>
        </w:rPr>
        <w:t>party</w:t>
      </w:r>
      <w:r>
        <w:rPr>
          <w:spacing w:val="-2"/>
          <w:vertAlign w:val="baseline"/>
        </w:rPr>
        <w:t> </w:t>
      </w:r>
      <w:r>
        <w:rPr>
          <w:vertAlign w:val="baseline"/>
        </w:rPr>
        <w:t>to</w:t>
      </w:r>
      <w:r>
        <w:rPr>
          <w:spacing w:val="-2"/>
          <w:vertAlign w:val="baseline"/>
        </w:rPr>
        <w:t> </w:t>
      </w:r>
      <w:r>
        <w:rPr>
          <w:vertAlign w:val="baseline"/>
        </w:rPr>
        <w:t>break</w:t>
      </w:r>
      <w:r>
        <w:rPr>
          <w:spacing w:val="-2"/>
          <w:vertAlign w:val="baseline"/>
        </w:rPr>
        <w:t> </w:t>
      </w:r>
      <w:r>
        <w:rPr>
          <w:vertAlign w:val="baseline"/>
        </w:rPr>
        <w:t>his</w:t>
      </w:r>
      <w:r>
        <w:rPr>
          <w:spacing w:val="-2"/>
          <w:vertAlign w:val="baseline"/>
        </w:rPr>
        <w:t> </w:t>
      </w:r>
      <w:r>
        <w:rPr>
          <w:vertAlign w:val="baseline"/>
        </w:rPr>
        <w:t>contract without sanction where the breach has occasioned no loss but has allowed him to make a profit can </w:t>
      </w:r>
      <w:bookmarkStart w:name="_bookmark546" w:id="548"/>
      <w:bookmarkEnd w:id="548"/>
      <w:r>
        <w:rPr>
          <w:vertAlign w:val="baseline"/>
        </w:rPr>
        <w:t>be</w:t>
      </w:r>
      <w:r>
        <w:rPr>
          <w:vertAlign w:val="baseline"/>
        </w:rPr>
        <w:t> seen to lie behind the recognition of the remedy of an “account of profits” on breach based on the </w:t>
      </w:r>
      <w:bookmarkStart w:name="_bookmark547" w:id="549"/>
      <w:bookmarkEnd w:id="549"/>
      <w:r>
        <w:rPr>
          <w:vertAlign w:val="baseline"/>
        </w:rPr>
        <w:t>principle</w:t>
      </w:r>
      <w:r>
        <w:rPr>
          <w:vertAlign w:val="baseline"/>
        </w:rPr>
        <w:t> of unjustified enrichment. </w:t>
      </w:r>
      <w:r>
        <w:rPr>
          <w:color w:val="005DA1"/>
          <w:u w:val="single" w:color="005DA1"/>
          <w:vertAlign w:val="superscript"/>
        </w:rPr>
        <w:t>303</w:t>
      </w:r>
      <w:r>
        <w:rPr>
          <w:color w:val="005DA1"/>
          <w:vertAlign w:val="baseline"/>
        </w:rPr>
        <w:t> </w:t>
      </w:r>
      <w:r>
        <w:rPr>
          <w:vertAlign w:val="baseline"/>
        </w:rPr>
        <w:t>Fourthly, English law recognises the binding force of contracts</w:t>
      </w:r>
      <w:r>
        <w:rPr>
          <w:spacing w:val="40"/>
          <w:vertAlign w:val="baseline"/>
        </w:rPr>
        <w:t> </w:t>
      </w:r>
      <w:bookmarkStart w:name="_bookmark548" w:id="550"/>
      <w:bookmarkEnd w:id="550"/>
      <w:r>
        <w:rPr>
          <w:vertAlign w:val="baseline"/>
        </w:rPr>
        <w:t>in</w:t>
      </w:r>
      <w:r>
        <w:rPr>
          <w:vertAlign w:val="baseline"/>
        </w:rPr>
        <w:t> another way, it being a tort for a third party knowingly </w:t>
      </w:r>
      <w:r>
        <w:rPr>
          <w:color w:val="005DA1"/>
          <w:u w:val="single" w:color="005DA1"/>
          <w:vertAlign w:val="superscript"/>
        </w:rPr>
        <w:t>304</w:t>
      </w:r>
      <w:r>
        <w:rPr>
          <w:color w:val="005DA1"/>
          <w:vertAlign w:val="baseline"/>
        </w:rPr>
        <w:t> </w:t>
      </w:r>
      <w:r>
        <w:rPr>
          <w:vertAlign w:val="baseline"/>
        </w:rPr>
        <w:t>to induce a party to a contract to break his obligations to his co-contractor. </w:t>
      </w:r>
      <w:r>
        <w:rPr>
          <w:color w:val="005DA1"/>
          <w:u w:val="single" w:color="005DA1"/>
          <w:vertAlign w:val="superscript"/>
        </w:rPr>
        <w:t>305</w:t>
      </w:r>
      <w:r>
        <w:rPr>
          <w:color w:val="005DA1"/>
          <w:vertAlign w:val="baseline"/>
        </w:rPr>
        <w:t> </w:t>
      </w:r>
      <w:r>
        <w:rPr>
          <w:vertAlign w:val="baseline"/>
        </w:rPr>
        <w:t>While a third party may be liable in damages for such a tort of </w:t>
      </w:r>
      <w:bookmarkStart w:name="_bookmark549" w:id="551"/>
      <w:bookmarkEnd w:id="551"/>
      <w:r>
        <w:rPr>
          <w:vertAlign w:val="baseline"/>
        </w:rPr>
        <w:t>interference</w:t>
      </w:r>
      <w:r>
        <w:rPr>
          <w:vertAlign w:val="baseline"/>
        </w:rPr>
        <w:t> with a contractual relationship, its commission may also be prevented by injunction in an appropriate case. </w:t>
      </w:r>
      <w:r>
        <w:rPr>
          <w:color w:val="005DA1"/>
          <w:u w:val="single" w:color="005DA1"/>
          <w:vertAlign w:val="superscript"/>
        </w:rPr>
        <w:t>306</w:t>
      </w:r>
      <w:r>
        <w:rPr>
          <w:color w:val="005DA1"/>
          <w:vertAlign w:val="baseline"/>
        </w:rPr>
        <w:t> </w:t>
      </w:r>
      <w:r>
        <w:rPr>
          <w:vertAlign w:val="baseline"/>
        </w:rPr>
        <w:t>And finally, and at a much more general level, the argument that English law does not recognise the truly obligational character of contracts often rests on the absence of a particular form of sanction for a breach of contract—viz the threat of punishment for contempt of</w:t>
      </w:r>
      <w:r>
        <w:rPr>
          <w:spacing w:val="80"/>
          <w:vertAlign w:val="baseline"/>
        </w:rPr>
        <w:t> </w:t>
      </w:r>
      <w:r>
        <w:rPr>
          <w:vertAlign w:val="baseline"/>
        </w:rPr>
        <w:t>court, a sanction which exists in the contractual context only in relation to a failure to conform to a judicial order for specific performance or injunction. However, to this it may be countered that there is no</w:t>
      </w:r>
      <w:r>
        <w:rPr>
          <w:spacing w:val="2"/>
          <w:vertAlign w:val="baseline"/>
        </w:rPr>
        <w:t> </w:t>
      </w:r>
      <w:r>
        <w:rPr>
          <w:vertAlign w:val="baseline"/>
        </w:rPr>
        <w:t>reason</w:t>
      </w:r>
      <w:r>
        <w:rPr>
          <w:spacing w:val="2"/>
          <w:vertAlign w:val="baseline"/>
        </w:rPr>
        <w:t> </w:t>
      </w:r>
      <w:r>
        <w:rPr>
          <w:vertAlign w:val="baseline"/>
        </w:rPr>
        <w:t>to</w:t>
      </w:r>
      <w:r>
        <w:rPr>
          <w:spacing w:val="2"/>
          <w:vertAlign w:val="baseline"/>
        </w:rPr>
        <w:t> </w:t>
      </w:r>
      <w:r>
        <w:rPr>
          <w:vertAlign w:val="baseline"/>
        </w:rPr>
        <w:t>tie</w:t>
      </w:r>
      <w:r>
        <w:rPr>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truly</w:t>
      </w:r>
      <w:r>
        <w:rPr>
          <w:spacing w:val="2"/>
          <w:vertAlign w:val="baseline"/>
        </w:rPr>
        <w:t> </w:t>
      </w:r>
      <w:r>
        <w:rPr>
          <w:vertAlign w:val="baseline"/>
        </w:rPr>
        <w:t>binding</w:t>
      </w:r>
      <w:r>
        <w:rPr>
          <w:spacing w:val="2"/>
          <w:vertAlign w:val="baseline"/>
        </w:rPr>
        <w:t> </w:t>
      </w:r>
      <w:r>
        <w:rPr>
          <w:vertAlign w:val="baseline"/>
        </w:rPr>
        <w:t>character</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presence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spacing w:val="-2"/>
          <w:vertAlign w:val="baseline"/>
        </w:rPr>
        <w:t>particular</w:t>
      </w:r>
    </w:p>
    <w:p>
      <w:pPr>
        <w:pStyle w:val="BodyText"/>
        <w:spacing w:after="0" w:line="235" w:lineRule="auto"/>
        <w:jc w:val="both"/>
        <w:sectPr>
          <w:headerReference w:type="default" r:id="rId20"/>
          <w:pgSz w:w="11900" w:h="16840"/>
          <w:pgMar w:header="971" w:footer="0" w:top="1300" w:bottom="280" w:left="1275" w:right="1275"/>
          <w:pgNumType w:start="1"/>
        </w:sectPr>
      </w:pPr>
    </w:p>
    <w:p>
      <w:pPr>
        <w:pStyle w:val="BodyText"/>
        <w:spacing w:line="235" w:lineRule="auto" w:before="110"/>
        <w:ind w:left="165" w:right="167"/>
        <w:jc w:val="both"/>
      </w:pPr>
      <w:r>
        <w:rPr/>
        <w:t>type of sanction for its breach and that many English lawyers are content to use the language </w:t>
      </w:r>
      <w:r>
        <w:rPr/>
        <w:t>of </w:t>
      </w:r>
      <w:bookmarkStart w:name="_bookmark550" w:id="552"/>
      <w:bookmarkEnd w:id="552"/>
      <w:r>
        <w:rPr/>
        <w:t>obligation</w:t>
      </w:r>
      <w:r>
        <w:rPr/>
        <w:t> to describe the consequences of contracts, which suggests that they see contract terms as set up and to be used as guides for the conduct of the contracting parties. </w:t>
      </w:r>
      <w:r>
        <w:rPr>
          <w:color w:val="005DA1"/>
          <w:u w:val="single" w:color="005DA1"/>
          <w:vertAlign w:val="superscript"/>
        </w:rPr>
        <w:t>307</w:t>
      </w:r>
    </w:p>
    <w:p>
      <w:pPr>
        <w:pStyle w:val="BodyText"/>
        <w:spacing w:before="80"/>
      </w:pPr>
    </w:p>
    <w:p>
      <w:pPr>
        <w:spacing w:before="1"/>
        <w:ind w:left="165" w:right="0" w:firstLine="0"/>
        <w:jc w:val="left"/>
        <w:rPr>
          <w:rFonts w:ascii="Arial"/>
          <w:b/>
          <w:sz w:val="24"/>
        </w:rPr>
      </w:pPr>
      <w:r>
        <w:rPr>
          <w:rFonts w:ascii="Arial"/>
          <w:b/>
          <w:sz w:val="24"/>
        </w:rPr>
        <w:t>1-</w:t>
      </w:r>
      <w:r>
        <w:rPr>
          <w:rFonts w:ascii="Arial"/>
          <w:b/>
          <w:spacing w:val="-5"/>
          <w:sz w:val="24"/>
        </w:rPr>
        <w:t>037</w:t>
      </w:r>
    </w:p>
    <w:p>
      <w:pPr>
        <w:pStyle w:val="BodyText"/>
        <w:spacing w:line="235" w:lineRule="auto" w:before="202"/>
        <w:ind w:left="164" w:right="167"/>
        <w:jc w:val="both"/>
      </w:pPr>
      <w:r>
        <w:rPr/>
        <w:t>However, rather than alluding to the variety of sanctions which are available if a contract is broken,</w:t>
      </w:r>
      <w:r>
        <w:rPr>
          <w:spacing w:val="40"/>
        </w:rPr>
        <w:t> </w:t>
      </w:r>
      <w:r>
        <w:rPr/>
        <w:t>the notion of the binding force of contracts is often used instead to draw attention to the </w:t>
      </w:r>
      <w:r>
        <w:rPr/>
        <w:t>general </w:t>
      </w:r>
      <w:bookmarkStart w:name="_bookmark551" w:id="553"/>
      <w:bookmarkEnd w:id="553"/>
      <w:r>
        <w:rPr/>
        <w:t>refusal</w:t>
      </w:r>
      <w:r>
        <w:rPr/>
        <w:t> of the courts to deny them effect on the ground of unfairness or inequality, for example where an</w:t>
      </w:r>
      <w:r>
        <w:rPr>
          <w:spacing w:val="-2"/>
        </w:rPr>
        <w:t> </w:t>
      </w:r>
      <w:r>
        <w:rPr/>
        <w:t>inadequate</w:t>
      </w:r>
      <w:r>
        <w:rPr>
          <w:spacing w:val="-2"/>
        </w:rPr>
        <w:t> </w:t>
      </w:r>
      <w:r>
        <w:rPr/>
        <w:t>price</w:t>
      </w:r>
      <w:r>
        <w:rPr>
          <w:spacing w:val="-2"/>
        </w:rPr>
        <w:t> </w:t>
      </w:r>
      <w:r>
        <w:rPr/>
        <w:t>has</w:t>
      </w:r>
      <w:r>
        <w:rPr>
          <w:spacing w:val="-2"/>
        </w:rPr>
        <w:t> </w:t>
      </w:r>
      <w:r>
        <w:rPr/>
        <w:t>been</w:t>
      </w:r>
      <w:r>
        <w:rPr>
          <w:spacing w:val="-2"/>
        </w:rPr>
        <w:t> </w:t>
      </w:r>
      <w:r>
        <w:rPr/>
        <w:t>stipulated</w:t>
      </w:r>
      <w:r>
        <w:rPr>
          <w:spacing w:val="-2"/>
        </w:rPr>
        <w:t> </w:t>
      </w:r>
      <w:r>
        <w:rPr/>
        <w:t>for</w:t>
      </w:r>
      <w:r>
        <w:rPr>
          <w:spacing w:val="-2"/>
        </w:rPr>
        <w:t> </w:t>
      </w:r>
      <w:r>
        <w:rPr/>
        <w:t>the</w:t>
      </w:r>
      <w:r>
        <w:rPr>
          <w:spacing w:val="-2"/>
        </w:rPr>
        <w:t> </w:t>
      </w:r>
      <w:r>
        <w:rPr/>
        <w:t>sale</w:t>
      </w:r>
      <w:r>
        <w:rPr>
          <w:spacing w:val="-2"/>
        </w:rPr>
        <w:t> </w:t>
      </w:r>
      <w:r>
        <w:rPr/>
        <w:t>of</w:t>
      </w:r>
      <w:r>
        <w:rPr>
          <w:spacing w:val="-2"/>
        </w:rPr>
        <w:t> </w:t>
      </w:r>
      <w:r>
        <w:rPr/>
        <w:t>property.</w:t>
      </w:r>
      <w:r>
        <w:rPr>
          <w:spacing w:val="-3"/>
        </w:rPr>
        <w:t> </w:t>
      </w:r>
      <w:r>
        <w:rPr>
          <w:color w:val="005DA1"/>
          <w:u w:val="single" w:color="005DA1"/>
          <w:vertAlign w:val="superscript"/>
        </w:rPr>
        <w:t>308</w:t>
      </w:r>
      <w:r>
        <w:rPr>
          <w:color w:val="005DA1"/>
          <w:spacing w:val="-2"/>
          <w:vertAlign w:val="baseline"/>
        </w:rPr>
        <w:t> </w:t>
      </w:r>
      <w:r>
        <w:rPr>
          <w:vertAlign w:val="baseline"/>
        </w:rPr>
        <w:t>This</w:t>
      </w:r>
      <w:r>
        <w:rPr>
          <w:spacing w:val="-2"/>
          <w:vertAlign w:val="baseline"/>
        </w:rPr>
        <w:t> </w:t>
      </w:r>
      <w:r>
        <w:rPr>
          <w:vertAlign w:val="baseline"/>
        </w:rPr>
        <w:t>refusal</w:t>
      </w:r>
      <w:r>
        <w:rPr>
          <w:spacing w:val="-2"/>
          <w:vertAlign w:val="baseline"/>
        </w:rPr>
        <w:t> </w:t>
      </w:r>
      <w:r>
        <w:rPr>
          <w:vertAlign w:val="baseline"/>
        </w:rPr>
        <w:t>is</w:t>
      </w:r>
      <w:r>
        <w:rPr>
          <w:spacing w:val="-2"/>
          <w:vertAlign w:val="baseline"/>
        </w:rPr>
        <w:t> </w:t>
      </w:r>
      <w:r>
        <w:rPr>
          <w:vertAlign w:val="baseline"/>
        </w:rPr>
        <w:t>also</w:t>
      </w:r>
      <w:r>
        <w:rPr>
          <w:spacing w:val="-2"/>
          <w:vertAlign w:val="baseline"/>
        </w:rPr>
        <w:t> </w:t>
      </w:r>
      <w:r>
        <w:rPr>
          <w:vertAlign w:val="baseline"/>
        </w:rPr>
        <w:t>reflected</w:t>
      </w:r>
      <w:r>
        <w:rPr>
          <w:spacing w:val="-2"/>
          <w:vertAlign w:val="baseline"/>
        </w:rPr>
        <w:t> </w:t>
      </w:r>
      <w:r>
        <w:rPr>
          <w:vertAlign w:val="baseline"/>
        </w:rPr>
        <w:t>in</w:t>
      </w:r>
      <w:r>
        <w:rPr>
          <w:spacing w:val="-2"/>
          <w:vertAlign w:val="baseline"/>
        </w:rPr>
        <w:t> </w:t>
      </w:r>
      <w:r>
        <w:rPr>
          <w:vertAlign w:val="baseline"/>
        </w:rPr>
        <w:t>the development of the law of frustration. Until 1863, the general rule was that a party who contracted in </w:t>
      </w:r>
      <w:bookmarkStart w:name="_bookmark552" w:id="554"/>
      <w:bookmarkEnd w:id="554"/>
      <w:r>
        <w:rPr>
          <w:vertAlign w:val="baseline"/>
        </w:rPr>
        <w:t>absolute</w:t>
      </w:r>
      <w:r>
        <w:rPr>
          <w:vertAlign w:val="baseline"/>
        </w:rPr>
        <w:t> terms remained liable, notwithstanding a change of circumstances between the time of </w:t>
      </w:r>
      <w:bookmarkStart w:name="_bookmark553" w:id="555"/>
      <w:bookmarkEnd w:id="555"/>
      <w:r>
        <w:rPr>
          <w:vertAlign w:val="baseline"/>
        </w:rPr>
        <w:t>making</w:t>
      </w:r>
      <w:r>
        <w:rPr>
          <w:vertAlign w:val="baseline"/>
        </w:rPr>
        <w:t> the contract and the time for performance, </w:t>
      </w:r>
      <w:r>
        <w:rPr>
          <w:color w:val="005DA1"/>
          <w:u w:val="single" w:color="005DA1"/>
          <w:vertAlign w:val="superscript"/>
        </w:rPr>
        <w:t>309</w:t>
      </w:r>
      <w:r>
        <w:rPr>
          <w:color w:val="005DA1"/>
          <w:vertAlign w:val="baseline"/>
        </w:rPr>
        <w:t> </w:t>
      </w:r>
      <w:r>
        <w:rPr>
          <w:vertAlign w:val="baseline"/>
        </w:rPr>
        <w:t>but in that year this harsh rule was mitigated by the doctrine of frustration, </w:t>
      </w:r>
      <w:r>
        <w:rPr>
          <w:color w:val="005DA1"/>
          <w:u w:val="single" w:color="005DA1"/>
          <w:vertAlign w:val="superscript"/>
        </w:rPr>
        <w:t>310</w:t>
      </w:r>
      <w:r>
        <w:rPr>
          <w:color w:val="005DA1"/>
          <w:vertAlign w:val="baseline"/>
        </w:rPr>
        <w:t> </w:t>
      </w:r>
      <w:r>
        <w:rPr>
          <w:vertAlign w:val="baseline"/>
        </w:rPr>
        <w:t>which for many years was reconciled with principle by the device of implying a term into the contract, to which both parties could be supposed to have agreed, and which provided</w:t>
      </w:r>
      <w:r>
        <w:rPr>
          <w:spacing w:val="-1"/>
          <w:vertAlign w:val="baseline"/>
        </w:rPr>
        <w:t> </w:t>
      </w:r>
      <w:r>
        <w:rPr>
          <w:vertAlign w:val="baseline"/>
        </w:rPr>
        <w:t>for</w:t>
      </w:r>
      <w:r>
        <w:rPr>
          <w:spacing w:val="-1"/>
          <w:vertAlign w:val="baseline"/>
        </w:rPr>
        <w:t> </w:t>
      </w:r>
      <w:r>
        <w:rPr>
          <w:vertAlign w:val="baseline"/>
        </w:rPr>
        <w:t>its</w:t>
      </w:r>
      <w:r>
        <w:rPr>
          <w:spacing w:val="-1"/>
          <w:vertAlign w:val="baseline"/>
        </w:rPr>
        <w:t> </w:t>
      </w:r>
      <w:r>
        <w:rPr>
          <w:vertAlign w:val="baseline"/>
        </w:rPr>
        <w:t>discharge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event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given</w:t>
      </w:r>
      <w:r>
        <w:rPr>
          <w:spacing w:val="-1"/>
          <w:vertAlign w:val="baseline"/>
        </w:rPr>
        <w:t> </w:t>
      </w:r>
      <w:r>
        <w:rPr>
          <w:vertAlign w:val="baseline"/>
        </w:rPr>
        <w:t>thing</w:t>
      </w:r>
      <w:r>
        <w:rPr>
          <w:spacing w:val="-1"/>
          <w:vertAlign w:val="baseline"/>
        </w:rPr>
        <w:t> </w:t>
      </w:r>
      <w:r>
        <w:rPr>
          <w:vertAlign w:val="baseline"/>
        </w:rPr>
        <w:t>or</w:t>
      </w:r>
      <w:r>
        <w:rPr>
          <w:spacing w:val="-1"/>
          <w:vertAlign w:val="baseline"/>
        </w:rPr>
        <w:t> </w:t>
      </w:r>
      <w:r>
        <w:rPr>
          <w:vertAlign w:val="baseline"/>
        </w:rPr>
        <w:t>state</w:t>
      </w:r>
      <w:r>
        <w:rPr>
          <w:spacing w:val="-1"/>
          <w:vertAlign w:val="baseline"/>
        </w:rPr>
        <w:t> </w:t>
      </w:r>
      <w:r>
        <w:rPr>
          <w:vertAlign w:val="baseline"/>
        </w:rPr>
        <w:t>of</w:t>
      </w:r>
      <w:r>
        <w:rPr>
          <w:spacing w:val="-1"/>
          <w:vertAlign w:val="baseline"/>
        </w:rPr>
        <w:t> </w:t>
      </w:r>
      <w:r>
        <w:rPr>
          <w:vertAlign w:val="baseline"/>
        </w:rPr>
        <w:t>things</w:t>
      </w:r>
      <w:r>
        <w:rPr>
          <w:spacing w:val="-1"/>
          <w:vertAlign w:val="baseline"/>
        </w:rPr>
        <w:t> </w:t>
      </w:r>
      <w:r>
        <w:rPr>
          <w:vertAlign w:val="baseline"/>
        </w:rPr>
        <w:t>ceasing</w:t>
      </w:r>
      <w:r>
        <w:rPr>
          <w:spacing w:val="-1"/>
          <w:vertAlign w:val="baseline"/>
        </w:rPr>
        <w:t> </w:t>
      </w:r>
      <w:r>
        <w:rPr>
          <w:vertAlign w:val="baseline"/>
        </w:rPr>
        <w:t>to</w:t>
      </w:r>
      <w:r>
        <w:rPr>
          <w:spacing w:val="-1"/>
          <w:vertAlign w:val="baseline"/>
        </w:rPr>
        <w:t> </w:t>
      </w:r>
      <w:r>
        <w:rPr>
          <w:vertAlign w:val="baseline"/>
        </w:rPr>
        <w:t>exist.</w:t>
      </w:r>
      <w:r>
        <w:rPr>
          <w:spacing w:val="-1"/>
          <w:vertAlign w:val="baseline"/>
        </w:rPr>
        <w:t> </w:t>
      </w:r>
      <w:r>
        <w:rPr>
          <w:vertAlign w:val="baseline"/>
        </w:rPr>
        <w:t>However,</w:t>
      </w:r>
      <w:r>
        <w:rPr>
          <w:spacing w:val="-1"/>
          <w:vertAlign w:val="baseline"/>
        </w:rPr>
        <w:t> </w:t>
      </w:r>
      <w:r>
        <w:rPr>
          <w:vertAlign w:val="baseline"/>
        </w:rPr>
        <w:t>the </w:t>
      </w:r>
      <w:bookmarkStart w:name="_bookmark554" w:id="556"/>
      <w:bookmarkEnd w:id="556"/>
      <w:r>
        <w:rPr>
          <w:vertAlign w:val="baseline"/>
        </w:rPr>
        <w:t>doctrine</w:t>
      </w:r>
      <w:r>
        <w:rPr>
          <w:vertAlign w:val="baseline"/>
        </w:rPr>
        <w:t> came to be applied in circumstances where it was obvious that both parties would never</w:t>
      </w:r>
      <w:r>
        <w:rPr>
          <w:spacing w:val="40"/>
          <w:vertAlign w:val="baseline"/>
        </w:rPr>
        <w:t> </w:t>
      </w:r>
      <w:r>
        <w:rPr>
          <w:vertAlign w:val="baseline"/>
        </w:rPr>
        <w:t>have agreed to any such term and in </w:t>
      </w:r>
      <w:r>
        <w:rPr>
          <w:rFonts w:ascii="Arial"/>
          <w:i/>
          <w:vertAlign w:val="baseline"/>
        </w:rPr>
        <w:t>Davis Contractors Ltd v Fareham Urban DC</w:t>
      </w:r>
      <w:r>
        <w:rPr>
          <w:vertAlign w:val="baseline"/>
        </w:rPr>
        <w:t>, </w:t>
      </w:r>
      <w:r>
        <w:rPr>
          <w:color w:val="005DA1"/>
          <w:u w:val="single" w:color="005DA1"/>
          <w:vertAlign w:val="superscript"/>
        </w:rPr>
        <w:t>311</w:t>
      </w:r>
      <w:r>
        <w:rPr>
          <w:color w:val="005DA1"/>
          <w:vertAlign w:val="baseline"/>
        </w:rPr>
        <w:t> </w:t>
      </w:r>
      <w:r>
        <w:rPr>
          <w:vertAlign w:val="baseline"/>
        </w:rPr>
        <w:t>this basis for </w:t>
      </w:r>
      <w:bookmarkStart w:name="_bookmark555" w:id="557"/>
      <w:bookmarkEnd w:id="557"/>
      <w:r>
        <w:rPr>
          <w:vertAlign w:val="baseline"/>
        </w:rPr>
        <w:t>relief</w:t>
      </w:r>
      <w:r>
        <w:rPr>
          <w:spacing w:val="-2"/>
          <w:vertAlign w:val="baseline"/>
        </w:rPr>
        <w:t> </w:t>
      </w:r>
      <w:r>
        <w:rPr>
          <w:vertAlign w:val="baseline"/>
        </w:rPr>
        <w:t>on</w:t>
      </w:r>
      <w:r>
        <w:rPr>
          <w:spacing w:val="-2"/>
          <w:vertAlign w:val="baseline"/>
        </w:rPr>
        <w:t> </w:t>
      </w:r>
      <w:r>
        <w:rPr>
          <w:vertAlign w:val="baseline"/>
        </w:rPr>
        <w:t>frustration</w:t>
      </w:r>
      <w:r>
        <w:rPr>
          <w:spacing w:val="-2"/>
          <w:vertAlign w:val="baseline"/>
        </w:rPr>
        <w:t> </w:t>
      </w:r>
      <w:r>
        <w:rPr>
          <w:vertAlign w:val="baseline"/>
        </w:rPr>
        <w:t>was</w:t>
      </w:r>
      <w:r>
        <w:rPr>
          <w:spacing w:val="-2"/>
          <w:vertAlign w:val="baseline"/>
        </w:rPr>
        <w:t> </w:t>
      </w:r>
      <w:r>
        <w:rPr>
          <w:vertAlign w:val="baseline"/>
        </w:rPr>
        <w:t>firmly</w:t>
      </w:r>
      <w:r>
        <w:rPr>
          <w:spacing w:val="-2"/>
          <w:vertAlign w:val="baseline"/>
        </w:rPr>
        <w:t> </w:t>
      </w:r>
      <w:r>
        <w:rPr>
          <w:vertAlign w:val="baseline"/>
        </w:rPr>
        <w:t>rejected.</w:t>
      </w:r>
      <w:r>
        <w:rPr>
          <w:spacing w:val="-2"/>
          <w:vertAlign w:val="baseline"/>
        </w:rPr>
        <w:t> </w:t>
      </w:r>
      <w:r>
        <w:rPr>
          <w:vertAlign w:val="baseline"/>
        </w:rPr>
        <w:t>While</w:t>
      </w:r>
      <w:r>
        <w:rPr>
          <w:spacing w:val="-2"/>
          <w:vertAlign w:val="baseline"/>
        </w:rPr>
        <w:t> </w:t>
      </w:r>
      <w:r>
        <w:rPr>
          <w:vertAlign w:val="baseline"/>
        </w:rPr>
        <w:t>some</w:t>
      </w:r>
      <w:r>
        <w:rPr>
          <w:spacing w:val="-2"/>
          <w:vertAlign w:val="baseline"/>
        </w:rPr>
        <w:t> </w:t>
      </w:r>
      <w:r>
        <w:rPr>
          <w:vertAlign w:val="baseline"/>
        </w:rPr>
        <w:t>judges</w:t>
      </w:r>
      <w:r>
        <w:rPr>
          <w:spacing w:val="-2"/>
          <w:vertAlign w:val="baseline"/>
        </w:rPr>
        <w:t> </w:t>
      </w:r>
      <w:r>
        <w:rPr>
          <w:vertAlign w:val="baseline"/>
        </w:rPr>
        <w:t>had</w:t>
      </w:r>
      <w:r>
        <w:rPr>
          <w:spacing w:val="-2"/>
          <w:vertAlign w:val="baseline"/>
        </w:rPr>
        <w:t> </w:t>
      </w:r>
      <w:r>
        <w:rPr>
          <w:vertAlign w:val="baseline"/>
        </w:rPr>
        <w:t>relied</w:t>
      </w:r>
      <w:r>
        <w:rPr>
          <w:spacing w:val="-2"/>
          <w:vertAlign w:val="baseline"/>
        </w:rPr>
        <w:t> </w:t>
      </w:r>
      <w:r>
        <w:rPr>
          <w:vertAlign w:val="baseline"/>
        </w:rPr>
        <w:t>simply</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notion</w:t>
      </w:r>
      <w:r>
        <w:rPr>
          <w:spacing w:val="-2"/>
          <w:vertAlign w:val="baseline"/>
        </w:rPr>
        <w:t> </w:t>
      </w:r>
      <w:r>
        <w:rPr>
          <w:vertAlign w:val="baseline"/>
        </w:rPr>
        <w:t>of</w:t>
      </w:r>
      <w:r>
        <w:rPr>
          <w:spacing w:val="-2"/>
          <w:vertAlign w:val="baseline"/>
        </w:rPr>
        <w:t> </w:t>
      </w:r>
      <w:r>
        <w:rPr>
          <w:vertAlign w:val="baseline"/>
        </w:rPr>
        <w:t>justice</w:t>
      </w:r>
      <w:r>
        <w:rPr>
          <w:spacing w:val="-2"/>
          <w:vertAlign w:val="baseline"/>
        </w:rPr>
        <w:t> </w:t>
      </w:r>
      <w:r>
        <w:rPr>
          <w:vertAlign w:val="baseline"/>
        </w:rPr>
        <w:t>to </w:t>
      </w:r>
      <w:bookmarkStart w:name="_bookmark556" w:id="558"/>
      <w:bookmarkEnd w:id="558"/>
      <w:r>
        <w:rPr>
          <w:vertAlign w:val="baseline"/>
        </w:rPr>
        <w:t>justify</w:t>
      </w:r>
      <w:r>
        <w:rPr>
          <w:vertAlign w:val="baseline"/>
        </w:rPr>
        <w:t> the doctrine, </w:t>
      </w:r>
      <w:r>
        <w:rPr>
          <w:color w:val="005DA1"/>
          <w:u w:val="single" w:color="005DA1"/>
          <w:vertAlign w:val="superscript"/>
        </w:rPr>
        <w:t>312</w:t>
      </w:r>
      <w:r>
        <w:rPr>
          <w:color w:val="005DA1"/>
          <w:vertAlign w:val="baseline"/>
        </w:rPr>
        <w:t> </w:t>
      </w:r>
      <w:r>
        <w:rPr>
          <w:vertAlign w:val="baseline"/>
        </w:rPr>
        <w:t>this decision of the House of Lords also made clear that its proper basis is the construction of the contract. </w:t>
      </w:r>
      <w:r>
        <w:rPr>
          <w:color w:val="005DA1"/>
          <w:u w:val="single" w:color="005DA1"/>
          <w:vertAlign w:val="superscript"/>
        </w:rPr>
        <w:t>313</w:t>
      </w:r>
      <w:r>
        <w:rPr>
          <w:color w:val="005DA1"/>
          <w:vertAlign w:val="baseline"/>
        </w:rPr>
        <w:t> </w:t>
      </w:r>
      <w:r>
        <w:rPr>
          <w:vertAlign w:val="baseline"/>
        </w:rPr>
        <w:t>By so doing, reliance is again placed on what the parties agreed or rather on what they did not agree, viz to perform the contract in such radically different circumstances from those which obtained when it was made. However, even if the view were taken that the rationale for</w:t>
      </w:r>
      <w:r>
        <w:rPr>
          <w:spacing w:val="-1"/>
          <w:vertAlign w:val="baseline"/>
        </w:rPr>
        <w:t> </w:t>
      </w:r>
      <w:r>
        <w:rPr>
          <w:vertAlign w:val="baseline"/>
        </w:rPr>
        <w:t>the</w:t>
      </w:r>
      <w:r>
        <w:rPr>
          <w:spacing w:val="-1"/>
          <w:vertAlign w:val="baseline"/>
        </w:rPr>
        <w:t> </w:t>
      </w:r>
      <w:r>
        <w:rPr>
          <w:vertAlign w:val="baseline"/>
        </w:rPr>
        <w:t>doctrine</w:t>
      </w:r>
      <w:r>
        <w:rPr>
          <w:spacing w:val="-1"/>
          <w:vertAlign w:val="baseline"/>
        </w:rPr>
        <w:t> </w:t>
      </w:r>
      <w:r>
        <w:rPr>
          <w:vertAlign w:val="baseline"/>
        </w:rPr>
        <w:t>of</w:t>
      </w:r>
      <w:r>
        <w:rPr>
          <w:spacing w:val="-1"/>
          <w:vertAlign w:val="baseline"/>
        </w:rPr>
        <w:t> </w:t>
      </w:r>
      <w:r>
        <w:rPr>
          <w:vertAlign w:val="baseline"/>
        </w:rPr>
        <w:t>frustration</w:t>
      </w:r>
      <w:r>
        <w:rPr>
          <w:spacing w:val="-1"/>
          <w:vertAlign w:val="baseline"/>
        </w:rPr>
        <w:t> </w:t>
      </w:r>
      <w:r>
        <w:rPr>
          <w:vertAlign w:val="baseline"/>
        </w:rPr>
        <w:t>is</w:t>
      </w:r>
      <w:r>
        <w:rPr>
          <w:spacing w:val="-1"/>
          <w:vertAlign w:val="baseline"/>
        </w:rPr>
        <w:t> </w:t>
      </w:r>
      <w:r>
        <w:rPr>
          <w:vertAlign w:val="baseline"/>
        </w:rPr>
        <w:t>simply</w:t>
      </w:r>
      <w:r>
        <w:rPr>
          <w:spacing w:val="-1"/>
          <w:vertAlign w:val="baseline"/>
        </w:rPr>
        <w:t> </w:t>
      </w:r>
      <w:r>
        <w:rPr>
          <w:vertAlign w:val="baseline"/>
        </w:rPr>
        <w:t>that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circumstances</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decides</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unfair </w:t>
      </w:r>
      <w:bookmarkStart w:name="_bookmark557" w:id="559"/>
      <w:bookmarkEnd w:id="559"/>
      <w:r>
        <w:rPr>
          <w:vertAlign w:val="baseline"/>
        </w:rPr>
        <w:t>to</w:t>
      </w:r>
      <w:r>
        <w:rPr>
          <w:vertAlign w:val="baseline"/>
        </w:rPr>
        <w:t> keep the parties to the terms of their agreement, this does not mean that simple unfairness is the test</w:t>
      </w:r>
      <w:r>
        <w:rPr>
          <w:spacing w:val="-1"/>
          <w:vertAlign w:val="baseline"/>
        </w:rPr>
        <w:t> </w:t>
      </w:r>
      <w:r>
        <w:rPr>
          <w:vertAlign w:val="baseline"/>
        </w:rPr>
        <w:t>of</w:t>
      </w:r>
      <w:r>
        <w:rPr>
          <w:spacing w:val="-1"/>
          <w:vertAlign w:val="baseline"/>
        </w:rPr>
        <w:t> </w:t>
      </w:r>
      <w:r>
        <w:rPr>
          <w:vertAlign w:val="baseline"/>
        </w:rPr>
        <w:t>frustration.</w:t>
      </w:r>
      <w:r>
        <w:rPr>
          <w:spacing w:val="-1"/>
          <w:vertAlign w:val="baseline"/>
        </w:rPr>
        <w:t> </w:t>
      </w:r>
      <w:r>
        <w:rPr>
          <w:vertAlign w:val="baseline"/>
        </w:rPr>
        <w:t>Again,</w:t>
      </w:r>
      <w:r>
        <w:rPr>
          <w:spacing w:val="-1"/>
          <w:vertAlign w:val="baseline"/>
        </w:rPr>
        <w:t> </w:t>
      </w:r>
      <w:r>
        <w:rPr>
          <w:vertAlign w:val="baseline"/>
        </w:rPr>
        <w:t>in</w:t>
      </w:r>
      <w:r>
        <w:rPr>
          <w:spacing w:val="-1"/>
          <w:vertAlign w:val="baseline"/>
        </w:rPr>
        <w:t> </w:t>
      </w:r>
      <w:r>
        <w:rPr>
          <w:rFonts w:ascii="Arial"/>
          <w:i/>
          <w:vertAlign w:val="baseline"/>
        </w:rPr>
        <w:t>Davis</w:t>
      </w:r>
      <w:r>
        <w:rPr>
          <w:rFonts w:ascii="Arial"/>
          <w:i/>
          <w:spacing w:val="-1"/>
          <w:vertAlign w:val="baseline"/>
        </w:rPr>
        <w:t> </w:t>
      </w:r>
      <w:r>
        <w:rPr>
          <w:rFonts w:ascii="Arial"/>
          <w:i/>
          <w:vertAlign w:val="baseline"/>
        </w:rPr>
        <w:t>Contractors</w:t>
      </w:r>
      <w:r>
        <w:rPr>
          <w:rFonts w:ascii="Arial"/>
          <w:i/>
          <w:spacing w:val="-1"/>
          <w:vertAlign w:val="baseline"/>
        </w:rPr>
        <w:t> </w:t>
      </w:r>
      <w:r>
        <w:rPr>
          <w:rFonts w:ascii="Arial"/>
          <w:i/>
          <w:vertAlign w:val="baseline"/>
        </w:rPr>
        <w:t>Ltd</w:t>
      </w:r>
      <w:r>
        <w:rPr>
          <w:rFonts w:ascii="Arial"/>
          <w:i/>
          <w:spacing w:val="-1"/>
          <w:vertAlign w:val="baseline"/>
        </w:rPr>
        <w:t> </w:t>
      </w:r>
      <w:r>
        <w:rPr>
          <w:color w:val="005DA1"/>
          <w:u w:val="single" w:color="005DA1"/>
          <w:vertAlign w:val="superscript"/>
        </w:rPr>
        <w:t>314</w:t>
      </w:r>
      <w:r>
        <w:rPr>
          <w:color w:val="005DA1"/>
          <w:spacing w:val="-1"/>
          <w:vertAlign w:val="baseline"/>
        </w:rPr>
        <w:t> </w:t>
      </w:r>
      <w:r>
        <w:rPr>
          <w:vertAlign w:val="baseline"/>
        </w:rPr>
        <w:t>Lord</w:t>
      </w:r>
      <w:r>
        <w:rPr>
          <w:spacing w:val="-1"/>
          <w:vertAlign w:val="baseline"/>
        </w:rPr>
        <w:t> </w:t>
      </w:r>
      <w:r>
        <w:rPr>
          <w:vertAlign w:val="baseline"/>
        </w:rPr>
        <w:t>Radcliffe</w:t>
      </w:r>
      <w:r>
        <w:rPr>
          <w:spacing w:val="-1"/>
          <w:vertAlign w:val="baseline"/>
        </w:rPr>
        <w:t> </w:t>
      </w:r>
      <w:r>
        <w:rPr>
          <w:vertAlign w:val="baseline"/>
        </w:rPr>
        <w:t>made</w:t>
      </w:r>
      <w:r>
        <w:rPr>
          <w:spacing w:val="-1"/>
          <w:vertAlign w:val="baseline"/>
        </w:rPr>
        <w:t> </w:t>
      </w:r>
      <w:r>
        <w:rPr>
          <w:vertAlign w:val="baseline"/>
        </w:rPr>
        <w:t>clear</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proper</w:t>
      </w:r>
      <w:r>
        <w:rPr>
          <w:spacing w:val="-1"/>
          <w:vertAlign w:val="baseline"/>
        </w:rPr>
        <w:t> </w:t>
      </w:r>
      <w:r>
        <w:rPr>
          <w:vertAlign w:val="baseline"/>
        </w:rPr>
        <w:t>test</w:t>
      </w:r>
      <w:r>
        <w:rPr>
          <w:spacing w:val="-1"/>
          <w:vertAlign w:val="baseline"/>
        </w:rPr>
        <w:t> </w:t>
      </w:r>
      <w:r>
        <w:rPr>
          <w:vertAlign w:val="baseline"/>
        </w:rPr>
        <w:t>for </w:t>
      </w:r>
      <w:bookmarkStart w:name="_bookmark558" w:id="560"/>
      <w:bookmarkEnd w:id="560"/>
      <w:r>
        <w:rPr>
          <w:vertAlign w:val="baseline"/>
        </w:rPr>
        <w:t>frustration</w:t>
      </w:r>
      <w:r>
        <w:rPr>
          <w:spacing w:val="-2"/>
          <w:vertAlign w:val="baseline"/>
        </w:rPr>
        <w:t> </w:t>
      </w:r>
      <w:r>
        <w:rPr>
          <w:vertAlign w:val="baseline"/>
        </w:rPr>
        <w:t>is</w:t>
      </w:r>
      <w:r>
        <w:rPr>
          <w:spacing w:val="-2"/>
          <w:vertAlign w:val="baseline"/>
        </w:rPr>
        <w:t> </w:t>
      </w:r>
      <w:r>
        <w:rPr>
          <w:vertAlign w:val="baseline"/>
        </w:rPr>
        <w:t>whether</w:t>
      </w:r>
      <w:r>
        <w:rPr>
          <w:spacing w:val="-2"/>
          <w:vertAlign w:val="baseline"/>
        </w:rPr>
        <w:t> </w:t>
      </w:r>
      <w:r>
        <w:rPr>
          <w:vertAlign w:val="baseline"/>
        </w:rPr>
        <w:t>performance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is</w:t>
      </w:r>
      <w:r>
        <w:rPr>
          <w:spacing w:val="-2"/>
          <w:vertAlign w:val="baseline"/>
        </w:rPr>
        <w:t> </w:t>
      </w:r>
      <w:r>
        <w:rPr>
          <w:vertAlign w:val="baseline"/>
        </w:rPr>
        <w:t>radically</w:t>
      </w:r>
      <w:r>
        <w:rPr>
          <w:spacing w:val="-2"/>
          <w:vertAlign w:val="baseline"/>
        </w:rPr>
        <w:t> </w:t>
      </w:r>
      <w:r>
        <w:rPr>
          <w:vertAlign w:val="baseline"/>
        </w:rPr>
        <w:t>different</w:t>
      </w:r>
      <w:r>
        <w:rPr>
          <w:spacing w:val="-2"/>
          <w:vertAlign w:val="baseline"/>
        </w:rPr>
        <w:t> </w:t>
      </w:r>
      <w:r>
        <w:rPr>
          <w:vertAlign w:val="baseline"/>
        </w:rPr>
        <w:t>from</w:t>
      </w:r>
      <w:r>
        <w:rPr>
          <w:spacing w:val="-2"/>
          <w:vertAlign w:val="baseline"/>
        </w:rPr>
        <w:t> </w:t>
      </w:r>
      <w:r>
        <w:rPr>
          <w:vertAlign w:val="baseline"/>
        </w:rPr>
        <w:t>that</w:t>
      </w:r>
      <w:r>
        <w:rPr>
          <w:spacing w:val="-2"/>
          <w:vertAlign w:val="baseline"/>
        </w:rPr>
        <w:t> </w:t>
      </w:r>
      <w:r>
        <w:rPr>
          <w:vertAlign w:val="baseline"/>
        </w:rPr>
        <w:t>which</w:t>
      </w:r>
      <w:r>
        <w:rPr>
          <w:spacing w:val="-2"/>
          <w:vertAlign w:val="baseline"/>
        </w:rPr>
        <w:t> </w:t>
      </w:r>
      <w:r>
        <w:rPr>
          <w:vertAlign w:val="baseline"/>
        </w:rPr>
        <w:t>was</w:t>
      </w:r>
      <w:r>
        <w:rPr>
          <w:spacing w:val="-2"/>
          <w:vertAlign w:val="baseline"/>
        </w:rPr>
        <w:t> </w:t>
      </w:r>
      <w:r>
        <w:rPr>
          <w:vertAlign w:val="baseline"/>
        </w:rPr>
        <w:t>undertaken by the contract </w:t>
      </w:r>
      <w:r>
        <w:rPr>
          <w:color w:val="005DA1"/>
          <w:u w:val="single" w:color="005DA1"/>
          <w:vertAlign w:val="superscript"/>
        </w:rPr>
        <w:t>315</w:t>
      </w:r>
      <w:r>
        <w:rPr>
          <w:color w:val="005DA1"/>
          <w:vertAlign w:val="baseline"/>
        </w:rPr>
        <w:t> </w:t>
      </w:r>
      <w:r>
        <w:rPr>
          <w:vertAlign w:val="baseline"/>
        </w:rPr>
        <w:t>and this test has been consistently upheld, </w:t>
      </w:r>
      <w:r>
        <w:rPr>
          <w:color w:val="005DA1"/>
          <w:u w:val="single" w:color="005DA1"/>
          <w:vertAlign w:val="superscript"/>
        </w:rPr>
        <w:t>316</w:t>
      </w:r>
      <w:r>
        <w:rPr>
          <w:color w:val="005DA1"/>
          <w:vertAlign w:val="baseline"/>
        </w:rPr>
        <w:t> </w:t>
      </w:r>
      <w:r>
        <w:rPr>
          <w:vertAlign w:val="baseline"/>
        </w:rPr>
        <w:t>the courts refusing to grant relief for </w:t>
      </w:r>
      <w:bookmarkStart w:name="_bookmark559" w:id="561"/>
      <w:bookmarkEnd w:id="561"/>
      <w:r>
        <w:rPr>
          <w:vertAlign w:val="baseline"/>
        </w:rPr>
        <w:t>frustration</w:t>
      </w:r>
      <w:r>
        <w:rPr>
          <w:vertAlign w:val="baseline"/>
        </w:rPr>
        <w:t> merely because performance of the contract is more onerous than was envisaged by the parties on contract. </w:t>
      </w:r>
      <w:r>
        <w:rPr>
          <w:color w:val="005DA1"/>
          <w:u w:val="single" w:color="005DA1"/>
          <w:vertAlign w:val="superscript"/>
        </w:rPr>
        <w:t>317</w:t>
      </w:r>
    </w:p>
    <w:p>
      <w:pPr>
        <w:pStyle w:val="BodyText"/>
      </w:pPr>
    </w:p>
    <w:p>
      <w:pPr>
        <w:pStyle w:val="BodyText"/>
        <w:spacing w:before="29"/>
      </w:pPr>
    </w:p>
    <w:p>
      <w:pPr>
        <w:spacing w:before="1"/>
        <w:ind w:left="165" w:right="0" w:firstLine="0"/>
        <w:jc w:val="left"/>
        <w:rPr>
          <w:rFonts w:ascii="Arial"/>
          <w:b/>
          <w:sz w:val="18"/>
        </w:rPr>
      </w:pPr>
      <w:r>
        <w:rPr>
          <w:rFonts w:ascii="Arial"/>
          <w:b/>
          <w:sz w:val="18"/>
        </w:rPr>
        <w:t>Limits on binding force of </w:t>
      </w:r>
      <w:r>
        <w:rPr>
          <w:rFonts w:ascii="Arial"/>
          <w:b/>
          <w:spacing w:val="-2"/>
          <w:sz w:val="18"/>
        </w:rPr>
        <w:t>contracts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038</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Nevertheless, recognition of the principle of the binding force of contracts does not mean that </w:t>
      </w:r>
      <w:bookmarkStart w:name="_bookmark560" w:id="562"/>
      <w:bookmarkEnd w:id="562"/>
      <w:r>
        <w:rPr/>
        <w:t>contracts,</w:t>
      </w:r>
      <w:r>
        <w:rPr/>
        <w:t> or particular terms of contracts, will always be enforced. This is clearest in cases of illegal </w:t>
      </w:r>
      <w:bookmarkStart w:name="_bookmark561" w:id="563"/>
      <w:bookmarkEnd w:id="563"/>
      <w:r>
        <w:rPr/>
        <w:t>contracts,</w:t>
      </w:r>
      <w:r>
        <w:rPr/>
        <w:t> </w:t>
      </w:r>
      <w:r>
        <w:rPr>
          <w:color w:val="005DA1"/>
          <w:u w:val="single" w:color="005DA1"/>
          <w:vertAlign w:val="superscript"/>
        </w:rPr>
        <w:t>318</w:t>
      </w:r>
      <w:r>
        <w:rPr>
          <w:color w:val="005DA1"/>
          <w:vertAlign w:val="baseline"/>
        </w:rPr>
        <w:t> </w:t>
      </w:r>
      <w:r>
        <w:rPr>
          <w:vertAlign w:val="baseline"/>
        </w:rPr>
        <w:t>but another exception to the principle exists at common law in the case of penalty clauses. </w:t>
      </w:r>
      <w:r>
        <w:rPr>
          <w:color w:val="005DA1"/>
          <w:u w:val="single" w:color="005DA1"/>
          <w:vertAlign w:val="superscript"/>
        </w:rPr>
        <w:t>319</w:t>
      </w:r>
      <w:r>
        <w:rPr>
          <w:color w:val="005DA1"/>
          <w:vertAlign w:val="baseline"/>
        </w:rPr>
        <w:t> </w:t>
      </w:r>
      <w:r>
        <w:rPr>
          <w:vertAlign w:val="baseline"/>
        </w:rPr>
        <w:t>As regards the latter, the Supreme Court has recently clarified the limits of the law which renders a contract term unenforceable as a penalty, holding that a contract term which stipulates </w:t>
      </w:r>
      <w:r>
        <w:rPr>
          <w:vertAlign w:val="baseline"/>
        </w:rPr>
        <w:t>the payment of a sum of money on breach of contract will be classed as a penalty clause (and so </w:t>
      </w:r>
      <w:bookmarkStart w:name="_bookmark562" w:id="564"/>
      <w:bookmarkEnd w:id="564"/>
      <w:r>
        <w:rPr>
          <w:vertAlign w:val="baseline"/>
        </w:rPr>
        <w:t>unenforceable)</w:t>
      </w:r>
      <w:r>
        <w:rPr>
          <w:spacing w:val="34"/>
          <w:vertAlign w:val="baseline"/>
        </w:rPr>
        <w:t> </w:t>
      </w:r>
      <w:r>
        <w:rPr>
          <w:vertAlign w:val="baseline"/>
        </w:rPr>
        <w:t>only</w:t>
      </w:r>
      <w:r>
        <w:rPr>
          <w:spacing w:val="34"/>
          <w:vertAlign w:val="baseline"/>
        </w:rPr>
        <w:t> </w:t>
      </w:r>
      <w:r>
        <w:rPr>
          <w:vertAlign w:val="baseline"/>
        </w:rPr>
        <w:t>if</w:t>
      </w:r>
      <w:r>
        <w:rPr>
          <w:spacing w:val="34"/>
          <w:vertAlign w:val="baseline"/>
        </w:rPr>
        <w:t> </w:t>
      </w:r>
      <w:r>
        <w:rPr>
          <w:vertAlign w:val="baseline"/>
        </w:rPr>
        <w:t>it</w:t>
      </w:r>
      <w:r>
        <w:rPr>
          <w:spacing w:val="34"/>
          <w:vertAlign w:val="baseline"/>
        </w:rPr>
        <w:t> </w:t>
      </w:r>
      <w:r>
        <w:rPr>
          <w:vertAlign w:val="baseline"/>
        </w:rPr>
        <w:t>“imposes</w:t>
      </w:r>
      <w:r>
        <w:rPr>
          <w:spacing w:val="34"/>
          <w:vertAlign w:val="baseline"/>
        </w:rPr>
        <w:t> </w:t>
      </w:r>
      <w:r>
        <w:rPr>
          <w:vertAlign w:val="baseline"/>
        </w:rPr>
        <w:t>a</w:t>
      </w:r>
      <w:r>
        <w:rPr>
          <w:spacing w:val="34"/>
          <w:vertAlign w:val="baseline"/>
        </w:rPr>
        <w:t> </w:t>
      </w:r>
      <w:r>
        <w:rPr>
          <w:vertAlign w:val="baseline"/>
        </w:rPr>
        <w:t>detriment</w:t>
      </w:r>
      <w:r>
        <w:rPr>
          <w:spacing w:val="34"/>
          <w:vertAlign w:val="baseline"/>
        </w:rPr>
        <w:t> </w:t>
      </w:r>
      <w:r>
        <w:rPr>
          <w:vertAlign w:val="baseline"/>
        </w:rPr>
        <w:t>on</w:t>
      </w:r>
      <w:r>
        <w:rPr>
          <w:spacing w:val="34"/>
          <w:vertAlign w:val="baseline"/>
        </w:rPr>
        <w:t> </w:t>
      </w:r>
      <w:r>
        <w:rPr>
          <w:vertAlign w:val="baseline"/>
        </w:rPr>
        <w:t>the</w:t>
      </w:r>
      <w:r>
        <w:rPr>
          <w:spacing w:val="34"/>
          <w:vertAlign w:val="baseline"/>
        </w:rPr>
        <w:t> </w:t>
      </w:r>
      <w:r>
        <w:rPr>
          <w:vertAlign w:val="baseline"/>
        </w:rPr>
        <w:t>contract-breaker</w:t>
      </w:r>
      <w:r>
        <w:rPr>
          <w:spacing w:val="34"/>
          <w:vertAlign w:val="baseline"/>
        </w:rPr>
        <w:t> </w:t>
      </w:r>
      <w:r>
        <w:rPr>
          <w:vertAlign w:val="baseline"/>
        </w:rPr>
        <w:t>out</w:t>
      </w:r>
      <w:r>
        <w:rPr>
          <w:spacing w:val="34"/>
          <w:vertAlign w:val="baseline"/>
        </w:rPr>
        <w:t> </w:t>
      </w:r>
      <w:r>
        <w:rPr>
          <w:vertAlign w:val="baseline"/>
        </w:rPr>
        <w:t>of</w:t>
      </w:r>
      <w:r>
        <w:rPr>
          <w:spacing w:val="34"/>
          <w:vertAlign w:val="baseline"/>
        </w:rPr>
        <w:t> </w:t>
      </w:r>
      <w:r>
        <w:rPr>
          <w:vertAlign w:val="baseline"/>
        </w:rPr>
        <w:t>all</w:t>
      </w:r>
      <w:r>
        <w:rPr>
          <w:spacing w:val="34"/>
          <w:vertAlign w:val="baseline"/>
        </w:rPr>
        <w:t> </w:t>
      </w:r>
      <w:r>
        <w:rPr>
          <w:vertAlign w:val="baseline"/>
        </w:rPr>
        <w:t>proportion</w:t>
      </w:r>
      <w:r>
        <w:rPr>
          <w:spacing w:val="34"/>
          <w:vertAlign w:val="baseline"/>
        </w:rPr>
        <w:t> </w:t>
      </w:r>
      <w:r>
        <w:rPr>
          <w:vertAlign w:val="baseline"/>
        </w:rPr>
        <w:t>to</w:t>
      </w:r>
      <w:r>
        <w:rPr>
          <w:spacing w:val="34"/>
          <w:vertAlign w:val="baseline"/>
        </w:rPr>
        <w:t> </w:t>
      </w:r>
      <w:r>
        <w:rPr>
          <w:spacing w:val="-5"/>
          <w:vertAlign w:val="baseline"/>
        </w:rPr>
        <w:t>any</w:t>
      </w:r>
    </w:p>
    <w:p>
      <w:pPr>
        <w:pStyle w:val="BodyText"/>
        <w:spacing w:line="235" w:lineRule="auto" w:before="117"/>
        <w:ind w:left="165" w:right="167"/>
        <w:jc w:val="both"/>
      </w:pPr>
      <w:r>
        <w:rPr/>
        <w:t>legitimate interest of the innocent party in the enforcement of the primary obligation”. </w:t>
      </w:r>
      <w:r>
        <w:rPr>
          <w:color w:val="005DA1"/>
          <w:u w:val="single" w:color="005DA1"/>
          <w:vertAlign w:val="superscript"/>
        </w:rPr>
        <w:t>320</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13"/>
          <w:position w:val="-2"/>
          <w:vertAlign w:val="baseline"/>
        </w:rPr>
        <w:t> </w:t>
      </w:r>
      <w:r>
        <w:rPr>
          <w:vertAlign w:val="baseline"/>
        </w:rPr>
        <w:t>Furthermore, very important changes on the binding force of contract terms were introduced as a </w:t>
      </w:r>
      <w:bookmarkStart w:name="_bookmark563" w:id="565"/>
      <w:bookmarkEnd w:id="565"/>
      <w:r>
        <w:rPr>
          <w:vertAlign w:val="baseline"/>
        </w:rPr>
        <w:t>result</w:t>
      </w:r>
      <w:r>
        <w:rPr>
          <w:vertAlign w:val="baseline"/>
        </w:rPr>
        <w:t> of modern legislative intervention, of which the Unfair Contract Terms Act 1977 and the Unfair </w:t>
      </w:r>
      <w:bookmarkStart w:name="_bookmark564" w:id="566"/>
      <w:bookmarkEnd w:id="566"/>
      <w:r>
        <w:rPr>
          <w:vertAlign w:val="baseline"/>
        </w:rPr>
        <w:t>Terms</w:t>
      </w:r>
      <w:r>
        <w:rPr>
          <w:vertAlign w:val="baseline"/>
        </w:rPr>
        <w:t> in Consumer Contracts Regulations 1999 </w:t>
      </w:r>
      <w:r>
        <w:rPr>
          <w:color w:val="005DA1"/>
          <w:u w:val="single" w:color="005DA1"/>
          <w:vertAlign w:val="superscript"/>
        </w:rPr>
        <w:t>321</w:t>
      </w:r>
      <w:r>
        <w:rPr>
          <w:color w:val="005DA1"/>
          <w:vertAlign w:val="baseline"/>
        </w:rPr>
        <w:t> </w:t>
      </w:r>
      <w:r>
        <w:rPr>
          <w:vertAlign w:val="baseline"/>
        </w:rPr>
        <w:t>and, on its coming into force, the </w:t>
      </w:r>
      <w:r>
        <w:rPr>
          <w:vertAlign w:val="baseline"/>
        </w:rPr>
        <w:t>Consumer Rights Act 2015, are particularly prominent. </w:t>
      </w:r>
      <w:r>
        <w:rPr>
          <w:color w:val="005DA1"/>
          <w:u w:val="single" w:color="005DA1"/>
          <w:vertAlign w:val="superscript"/>
        </w:rPr>
        <w:t>322</w:t>
      </w:r>
      <w:r>
        <w:rPr>
          <w:color w:val="005DA1"/>
          <w:vertAlign w:val="baseline"/>
        </w:rPr>
        <w:t> </w:t>
      </w:r>
      <w:r>
        <w:rPr>
          <w:vertAlign w:val="baseline"/>
        </w:rPr>
        <w:t>First, the Unfair Contract Terms Act 1977 as enacted </w:t>
      </w:r>
      <w:bookmarkStart w:name="_bookmark565" w:id="567"/>
      <w:bookmarkEnd w:id="567"/>
      <w:r>
        <w:rPr>
          <w:vertAlign w:val="baseline"/>
        </w:rPr>
        <w:t>declares</w:t>
      </w:r>
      <w:r>
        <w:rPr>
          <w:vertAlign w:val="baseline"/>
        </w:rPr>
        <w:t> exemption clauses totally ineffective in certain situations, notably where they attempt to exclude business liability for death or personal injuries caused by negligence </w:t>
      </w:r>
      <w:r>
        <w:rPr>
          <w:color w:val="005DA1"/>
          <w:u w:val="single" w:color="005DA1"/>
          <w:vertAlign w:val="superscript"/>
        </w:rPr>
        <w:t>323</w:t>
      </w:r>
      <w:r>
        <w:rPr>
          <w:color w:val="005DA1"/>
          <w:vertAlign w:val="baseline"/>
        </w:rPr>
        <w:t> </w:t>
      </w:r>
      <w:r>
        <w:rPr>
          <w:vertAlign w:val="baseline"/>
        </w:rPr>
        <w:t>and where they </w:t>
      </w:r>
      <w:bookmarkStart w:name="_bookmark566" w:id="568"/>
      <w:bookmarkEnd w:id="568"/>
      <w:r>
        <w:rPr>
          <w:vertAlign w:val="baseline"/>
        </w:rPr>
        <w:t>attempt</w:t>
      </w:r>
      <w:r>
        <w:rPr>
          <w:vertAlign w:val="baseline"/>
        </w:rPr>
        <w:t> to exclude or limit liability for breach of the terms as to quality and fitness for purpose implied by s.14 of the Sale of Goods Act 1979 as against someone dealing as consumer. </w:t>
      </w:r>
      <w:r>
        <w:rPr>
          <w:color w:val="005DA1"/>
          <w:u w:val="single" w:color="005DA1"/>
          <w:vertAlign w:val="superscript"/>
        </w:rPr>
        <w:t>324</w:t>
      </w:r>
      <w:r>
        <w:rPr>
          <w:color w:val="005DA1"/>
          <w:vertAlign w:val="baseline"/>
        </w:rPr>
        <w:t> </w:t>
      </w:r>
      <w:r>
        <w:rPr>
          <w:vertAlign w:val="baseline"/>
        </w:rPr>
        <w:t>Furthermore, it gives to the courts a discretion in a wide category of other cases to deny effectiveness to an </w:t>
      </w:r>
      <w:bookmarkStart w:name="_bookmark567" w:id="569"/>
      <w:bookmarkEnd w:id="569"/>
      <w:r>
        <w:rPr>
          <w:vertAlign w:val="baseline"/>
        </w:rPr>
        <w:t>exemption</w:t>
      </w:r>
      <w:r>
        <w:rPr>
          <w:spacing w:val="-1"/>
          <w:vertAlign w:val="baseline"/>
        </w:rPr>
        <w:t> </w:t>
      </w:r>
      <w:r>
        <w:rPr>
          <w:vertAlign w:val="baseline"/>
        </w:rPr>
        <w:t>clause</w:t>
      </w:r>
      <w:r>
        <w:rPr>
          <w:spacing w:val="-1"/>
          <w:vertAlign w:val="baseline"/>
        </w:rPr>
        <w:t> </w:t>
      </w:r>
      <w:r>
        <w:rPr>
          <w:vertAlign w:val="baseline"/>
        </w:rPr>
        <w:t>unless</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proven</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“fair</w:t>
      </w:r>
      <w:r>
        <w:rPr>
          <w:spacing w:val="-1"/>
          <w:vertAlign w:val="baseline"/>
        </w:rPr>
        <w:t> </w:t>
      </w:r>
      <w:r>
        <w:rPr>
          <w:vertAlign w:val="baseline"/>
        </w:rPr>
        <w:t>and</w:t>
      </w:r>
      <w:r>
        <w:rPr>
          <w:spacing w:val="-1"/>
          <w:vertAlign w:val="baseline"/>
        </w:rPr>
        <w:t> </w:t>
      </w:r>
      <w:r>
        <w:rPr>
          <w:vertAlign w:val="baseline"/>
        </w:rPr>
        <w:t>reasonable”</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person</w:t>
      </w:r>
      <w:r>
        <w:rPr>
          <w:spacing w:val="-1"/>
          <w:vertAlign w:val="baseline"/>
        </w:rPr>
        <w:t> </w:t>
      </w:r>
      <w:r>
        <w:rPr>
          <w:vertAlign w:val="baseline"/>
        </w:rPr>
        <w:t>who</w:t>
      </w:r>
      <w:r>
        <w:rPr>
          <w:spacing w:val="-1"/>
          <w:vertAlign w:val="baseline"/>
        </w:rPr>
        <w:t> </w:t>
      </w:r>
      <w:r>
        <w:rPr>
          <w:vertAlign w:val="baseline"/>
        </w:rPr>
        <w:t>seeks</w:t>
      </w:r>
      <w:r>
        <w:rPr>
          <w:spacing w:val="-1"/>
          <w:vertAlign w:val="baseline"/>
        </w:rPr>
        <w:t> </w:t>
      </w:r>
      <w:r>
        <w:rPr>
          <w:vertAlign w:val="baseline"/>
        </w:rPr>
        <w:t>to</w:t>
      </w:r>
      <w:r>
        <w:rPr>
          <w:spacing w:val="-1"/>
          <w:vertAlign w:val="baseline"/>
        </w:rPr>
        <w:t> </w:t>
      </w:r>
      <w:r>
        <w:rPr>
          <w:vertAlign w:val="baseline"/>
        </w:rPr>
        <w:t>rely</w:t>
      </w:r>
      <w:r>
        <w:rPr>
          <w:spacing w:val="-1"/>
          <w:vertAlign w:val="baseline"/>
        </w:rPr>
        <w:t> </w:t>
      </w:r>
      <w:r>
        <w:rPr>
          <w:vertAlign w:val="baseline"/>
        </w:rPr>
        <w:t>upon it. </w:t>
      </w:r>
      <w:r>
        <w:rPr>
          <w:color w:val="005DA1"/>
          <w:u w:val="single" w:color="005DA1"/>
          <w:vertAlign w:val="superscript"/>
        </w:rPr>
        <w:t>325</w:t>
      </w:r>
      <w:r>
        <w:rPr>
          <w:color w:val="005DA1"/>
          <w:vertAlign w:val="baseline"/>
        </w:rPr>
        <w:t> </w:t>
      </w:r>
      <w:r>
        <w:rPr>
          <w:vertAlign w:val="baseline"/>
        </w:rPr>
        <w:t>Secondly, the Unfair Terms in Consumer Contracts Regulations 1999 impose a system of</w:t>
      </w:r>
      <w:r>
        <w:rPr>
          <w:spacing w:val="40"/>
          <w:vertAlign w:val="baseline"/>
        </w:rPr>
        <w:t> </w:t>
      </w:r>
      <w:bookmarkStart w:name="_bookmark568" w:id="570"/>
      <w:bookmarkEnd w:id="570"/>
      <w:r>
        <w:rPr>
          <w:vertAlign w:val="baseline"/>
        </w:rPr>
        <w:t>control</w:t>
      </w:r>
      <w:r>
        <w:rPr>
          <w:vertAlign w:val="baseline"/>
        </w:rPr>
        <w:t> of the terms of consumer contracts on the ground of unfairness which is not restricted to exemption, limitation and indemnity clauses, but extends to most terms </w:t>
      </w:r>
      <w:r>
        <w:rPr>
          <w:color w:val="005DA1"/>
          <w:u w:val="single" w:color="005DA1"/>
          <w:vertAlign w:val="superscript"/>
        </w:rPr>
        <w:t>326</w:t>
      </w:r>
      <w:r>
        <w:rPr>
          <w:color w:val="005DA1"/>
          <w:vertAlign w:val="baseline"/>
        </w:rPr>
        <w:t> </w:t>
      </w:r>
      <w:r>
        <w:rPr>
          <w:vertAlign w:val="baseline"/>
        </w:rPr>
        <w:t>which have not been individually negotiated and:</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67"/>
        <w:jc w:val="both"/>
      </w:pPr>
      <w:bookmarkStart w:name="_bookmark569" w:id="571"/>
      <w:bookmarkEnd w:id="571"/>
      <w:r>
        <w:rPr/>
      </w:r>
      <w:r>
        <w:rPr/>
        <w:t>“… which contrary to the requirement of good faith causes a significant imbalance in the parties’ rights and obligations under the contract to the detriment of the consumer.” </w:t>
      </w:r>
      <w:r>
        <w:rPr>
          <w:color w:val="005DA1"/>
          <w:u w:val="single" w:color="005DA1"/>
          <w:vertAlign w:val="superscript"/>
        </w:rPr>
        <w:t>327</w:t>
      </w:r>
    </w:p>
    <w:p>
      <w:pPr>
        <w:pStyle w:val="BodyText"/>
        <w:spacing w:before="116"/>
      </w:pPr>
    </w:p>
    <w:p>
      <w:pPr>
        <w:pStyle w:val="BodyText"/>
        <w:spacing w:line="235" w:lineRule="auto"/>
        <w:ind w:left="164" w:right="167"/>
        <w:jc w:val="both"/>
      </w:pPr>
      <w:bookmarkStart w:name="_bookmark570" w:id="572"/>
      <w:bookmarkEnd w:id="572"/>
      <w:r>
        <w:rPr/>
      </w:r>
      <w:r>
        <w:rPr/>
        <w:t>As will be explained, on its coming into force, the Consumer Rights Act 2015 amends the 1977 Act so as</w:t>
      </w:r>
      <w:r>
        <w:rPr>
          <w:spacing w:val="-3"/>
        </w:rPr>
        <w:t> </w:t>
      </w:r>
      <w:r>
        <w:rPr/>
        <w:t>no</w:t>
      </w:r>
      <w:r>
        <w:rPr>
          <w:spacing w:val="-3"/>
        </w:rPr>
        <w:t> </w:t>
      </w:r>
      <w:r>
        <w:rPr/>
        <w:t>longer</w:t>
      </w:r>
      <w:r>
        <w:rPr>
          <w:spacing w:val="-3"/>
        </w:rPr>
        <w:t> </w:t>
      </w:r>
      <w:r>
        <w:rPr/>
        <w:t>to</w:t>
      </w:r>
      <w:r>
        <w:rPr>
          <w:spacing w:val="-3"/>
        </w:rPr>
        <w:t> </w:t>
      </w:r>
      <w:r>
        <w:rPr/>
        <w:t>apply</w:t>
      </w:r>
      <w:r>
        <w:rPr>
          <w:spacing w:val="-3"/>
        </w:rPr>
        <w:t> </w:t>
      </w:r>
      <w:r>
        <w:rPr/>
        <w:t>to</w:t>
      </w:r>
      <w:r>
        <w:rPr>
          <w:spacing w:val="-3"/>
        </w:rPr>
        <w:t> </w:t>
      </w:r>
      <w:r>
        <w:rPr/>
        <w:t>the</w:t>
      </w:r>
      <w:r>
        <w:rPr>
          <w:spacing w:val="-3"/>
        </w:rPr>
        <w:t> </w:t>
      </w:r>
      <w:r>
        <w:rPr/>
        <w:t>terms</w:t>
      </w:r>
      <w:r>
        <w:rPr>
          <w:spacing w:val="-3"/>
        </w:rPr>
        <w:t> </w:t>
      </w:r>
      <w:r>
        <w:rPr/>
        <w:t>of</w:t>
      </w:r>
      <w:r>
        <w:rPr>
          <w:spacing w:val="-3"/>
        </w:rPr>
        <w:t> </w:t>
      </w:r>
      <w:r>
        <w:rPr/>
        <w:t>consumer</w:t>
      </w:r>
      <w:r>
        <w:rPr>
          <w:spacing w:val="-3"/>
        </w:rPr>
        <w:t> </w:t>
      </w:r>
      <w:r>
        <w:rPr/>
        <w:t>contracts,</w:t>
      </w:r>
      <w:r>
        <w:rPr>
          <w:spacing w:val="-3"/>
        </w:rPr>
        <w:t> </w:t>
      </w:r>
      <w:r>
        <w:rPr>
          <w:color w:val="005DA1"/>
          <w:u w:val="single" w:color="005DA1"/>
          <w:vertAlign w:val="superscript"/>
        </w:rPr>
        <w:t>328</w:t>
      </w:r>
      <w:r>
        <w:rPr>
          <w:color w:val="005DA1"/>
          <w:spacing w:val="-3"/>
          <w:vertAlign w:val="baseline"/>
        </w:rPr>
        <w:t> </w:t>
      </w:r>
      <w:r>
        <w:rPr>
          <w:vertAlign w:val="baseline"/>
        </w:rPr>
        <w:t>and</w:t>
      </w:r>
      <w:r>
        <w:rPr>
          <w:spacing w:val="-3"/>
          <w:vertAlign w:val="baseline"/>
        </w:rPr>
        <w:t> </w:t>
      </w:r>
      <w:r>
        <w:rPr>
          <w:vertAlign w:val="baseline"/>
        </w:rPr>
        <w:t>creates</w:t>
      </w:r>
      <w:r>
        <w:rPr>
          <w:spacing w:val="-3"/>
          <w:vertAlign w:val="baseline"/>
        </w:rPr>
        <w:t> </w:t>
      </w:r>
      <w:r>
        <w:rPr>
          <w:vertAlign w:val="baseline"/>
        </w:rPr>
        <w:t>its</w:t>
      </w:r>
      <w:r>
        <w:rPr>
          <w:spacing w:val="-3"/>
          <w:vertAlign w:val="baseline"/>
        </w:rPr>
        <w:t> </w:t>
      </w:r>
      <w:r>
        <w:rPr>
          <w:vertAlign w:val="baseline"/>
        </w:rPr>
        <w:t>own</w:t>
      </w:r>
      <w:r>
        <w:rPr>
          <w:spacing w:val="-3"/>
          <w:vertAlign w:val="baseline"/>
        </w:rPr>
        <w:t> </w:t>
      </w:r>
      <w:r>
        <w:rPr>
          <w:vertAlign w:val="baseline"/>
        </w:rPr>
        <w:t>controls</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terms </w:t>
      </w:r>
      <w:bookmarkStart w:name="_bookmark571" w:id="573"/>
      <w:bookmarkEnd w:id="573"/>
      <w:r>
        <w:rPr>
          <w:vertAlign w:val="baseline"/>
        </w:rPr>
        <w:t>of</w:t>
      </w:r>
      <w:r>
        <w:rPr>
          <w:vertAlign w:val="baseline"/>
        </w:rPr>
        <w:t> consumer contracts replacing and amending the 1999 Regulations as well as incorporating the substance of some of the provisions of the 1977 Act. </w:t>
      </w:r>
      <w:r>
        <w:rPr>
          <w:color w:val="005DA1"/>
          <w:u w:val="single" w:color="005DA1"/>
          <w:vertAlign w:val="superscript"/>
        </w:rPr>
        <w:t>329</w:t>
      </w:r>
      <w:r>
        <w:rPr>
          <w:color w:val="005DA1"/>
          <w:vertAlign w:val="baseline"/>
        </w:rPr>
        <w:t> </w:t>
      </w:r>
      <w:r>
        <w:rPr>
          <w:vertAlign w:val="baseline"/>
        </w:rPr>
        <w:t>Another very striking inroad into the binding force of contracts may be found in provisions of the Consumer Credit Act 2006 which replaced earlier </w:t>
      </w:r>
      <w:bookmarkStart w:name="_bookmark572" w:id="574"/>
      <w:bookmarkEnd w:id="574"/>
      <w:r>
        <w:rPr>
          <w:vertAlign w:val="baseline"/>
        </w:rPr>
        <w:t>provisions</w:t>
      </w:r>
      <w:r>
        <w:rPr>
          <w:vertAlign w:val="baseline"/>
        </w:rPr>
        <w:t> governing extortionate credit bargains in the Consumer Credit Act 1974 with very </w:t>
      </w:r>
      <w:r>
        <w:rPr>
          <w:vertAlign w:val="baseline"/>
        </w:rPr>
        <w:t>broad provisions concerning “unfair relationships” arising from a consumer credit agreement. </w:t>
      </w:r>
      <w:r>
        <w:rPr>
          <w:color w:val="005DA1"/>
          <w:u w:val="single" w:color="005DA1"/>
          <w:vertAlign w:val="superscript"/>
        </w:rPr>
        <w:t>330</w:t>
      </w:r>
      <w:r>
        <w:rPr>
          <w:color w:val="005DA1"/>
          <w:vertAlign w:val="baseline"/>
        </w:rPr>
        <w:t> </w:t>
      </w:r>
      <w:r>
        <w:rPr>
          <w:vertAlign w:val="baseline"/>
        </w:rPr>
        <w:t>These provisions empower a court to make a range of orders (including requiring the creditor to repay any </w:t>
      </w:r>
      <w:bookmarkStart w:name="_bookmark573" w:id="575"/>
      <w:bookmarkEnd w:id="575"/>
      <w:r>
        <w:rPr>
          <w:vertAlign w:val="baseline"/>
        </w:rPr>
        <w:t>sums</w:t>
      </w:r>
      <w:r>
        <w:rPr>
          <w:vertAlign w:val="baseline"/>
        </w:rPr>
        <w:t> paid by the debtor, to reduce or discharge any sum payable by the debtor and to alter the terms of the agreement) </w:t>
      </w:r>
      <w:r>
        <w:rPr>
          <w:color w:val="005DA1"/>
          <w:u w:val="single" w:color="005DA1"/>
          <w:vertAlign w:val="superscript"/>
        </w:rPr>
        <w:t>331</w:t>
      </w:r>
      <w:r>
        <w:rPr>
          <w:color w:val="005DA1"/>
          <w:vertAlign w:val="baseline"/>
        </w:rPr>
        <w:t> </w:t>
      </w:r>
      <w:r>
        <w:rPr>
          <w:vertAlign w:val="baseline"/>
        </w:rPr>
        <w:t>in connection with a consumer credit agreement:</w:t>
      </w:r>
    </w:p>
    <w:p>
      <w:pPr>
        <w:pStyle w:val="BodyText"/>
      </w:pPr>
    </w:p>
    <w:p>
      <w:pPr>
        <w:pStyle w:val="BodyText"/>
        <w:spacing w:before="123"/>
      </w:pPr>
    </w:p>
    <w:p>
      <w:pPr>
        <w:pStyle w:val="BodyText"/>
        <w:spacing w:line="235" w:lineRule="auto"/>
        <w:ind w:left="1245" w:right="167"/>
        <w:jc w:val="both"/>
      </w:pPr>
      <w:r>
        <w:rPr/>
        <w:t>“… if it determines that the relationship between the creditor and the debtor arising out of the agreement (or the agreement taken with any related agreement) is unfair to </w:t>
      </w:r>
      <w:r>
        <w:rPr/>
        <w:t>the </w:t>
      </w:r>
      <w:r>
        <w:rPr>
          <w:spacing w:val="-2"/>
        </w:rPr>
        <w:t>debtor”</w:t>
      </w:r>
    </w:p>
    <w:p>
      <w:pPr>
        <w:pStyle w:val="BodyText"/>
        <w:spacing w:before="115"/>
      </w:pPr>
    </w:p>
    <w:p>
      <w:pPr>
        <w:pStyle w:val="BodyText"/>
        <w:spacing w:line="235" w:lineRule="auto" w:before="1"/>
        <w:ind w:left="165" w:right="167"/>
        <w:jc w:val="both"/>
      </w:pPr>
      <w:bookmarkStart w:name="_bookmark574" w:id="576"/>
      <w:bookmarkEnd w:id="576"/>
      <w:r>
        <w:rPr/>
      </w:r>
      <w:r>
        <w:rPr/>
        <w:t>in</w:t>
      </w:r>
      <w:r>
        <w:rPr>
          <w:spacing w:val="-2"/>
        </w:rPr>
        <w:t> </w:t>
      </w:r>
      <w:r>
        <w:rPr/>
        <w:t>one</w:t>
      </w:r>
      <w:r>
        <w:rPr>
          <w:spacing w:val="-2"/>
        </w:rPr>
        <w:t> </w:t>
      </w:r>
      <w:r>
        <w:rPr/>
        <w:t>or</w:t>
      </w:r>
      <w:r>
        <w:rPr>
          <w:spacing w:val="-2"/>
        </w:rPr>
        <w:t> </w:t>
      </w:r>
      <w:r>
        <w:rPr/>
        <w:t>more</w:t>
      </w:r>
      <w:r>
        <w:rPr>
          <w:spacing w:val="-2"/>
        </w:rPr>
        <w:t> </w:t>
      </w:r>
      <w:r>
        <w:rPr/>
        <w:t>of</w:t>
      </w:r>
      <w:r>
        <w:rPr>
          <w:spacing w:val="-2"/>
        </w:rPr>
        <w:t> </w:t>
      </w:r>
      <w:r>
        <w:rPr/>
        <w:t>a</w:t>
      </w:r>
      <w:r>
        <w:rPr>
          <w:spacing w:val="-2"/>
        </w:rPr>
        <w:t> </w:t>
      </w:r>
      <w:r>
        <w:rPr/>
        <w:t>number</w:t>
      </w:r>
      <w:r>
        <w:rPr>
          <w:spacing w:val="-2"/>
        </w:rPr>
        <w:t> </w:t>
      </w:r>
      <w:r>
        <w:rPr/>
        <w:t>of</w:t>
      </w:r>
      <w:r>
        <w:rPr>
          <w:spacing w:val="-2"/>
        </w:rPr>
        <w:t> </w:t>
      </w:r>
      <w:r>
        <w:rPr/>
        <w:t>ways.</w:t>
      </w:r>
      <w:r>
        <w:rPr>
          <w:spacing w:val="-3"/>
        </w:rPr>
        <w:t> </w:t>
      </w:r>
      <w:r>
        <w:rPr>
          <w:color w:val="005DA1"/>
          <w:u w:val="single" w:color="005DA1"/>
          <w:vertAlign w:val="superscript"/>
        </w:rPr>
        <w:t>332</w:t>
      </w:r>
      <w:r>
        <w:rPr>
          <w:color w:val="005DA1"/>
          <w:spacing w:val="-2"/>
          <w:vertAlign w:val="baseline"/>
        </w:rPr>
        <w:t> </w:t>
      </w:r>
      <w:r>
        <w:rPr>
          <w:vertAlign w:val="baseline"/>
        </w:rPr>
        <w:t>According</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Supreme</w:t>
      </w:r>
      <w:r>
        <w:rPr>
          <w:spacing w:val="-2"/>
          <w:vertAlign w:val="baseline"/>
        </w:rPr>
        <w:t> </w:t>
      </w:r>
      <w:r>
        <w:rPr>
          <w:vertAlign w:val="baseline"/>
        </w:rPr>
        <w:t>Court,</w:t>
      </w:r>
      <w:r>
        <w:rPr>
          <w:spacing w:val="-2"/>
          <w:vertAlign w:val="baseline"/>
        </w:rPr>
        <w:t> </w:t>
      </w:r>
      <w:r>
        <w:rPr>
          <w:vertAlign w:val="baseline"/>
        </w:rPr>
        <w:t>this</w:t>
      </w:r>
      <w:r>
        <w:rPr>
          <w:spacing w:val="-2"/>
          <w:vertAlign w:val="baseline"/>
        </w:rPr>
        <w:t> </w:t>
      </w:r>
      <w:r>
        <w:rPr>
          <w:vertAlign w:val="baseline"/>
        </w:rPr>
        <w:t>provision</w:t>
      </w:r>
      <w:r>
        <w:rPr>
          <w:spacing w:val="-2"/>
          <w:vertAlign w:val="baseline"/>
        </w:rPr>
        <w:t> </w:t>
      </w:r>
      <w:r>
        <w:rPr>
          <w:vertAlign w:val="baseline"/>
        </w:rPr>
        <w:t>“is</w:t>
      </w:r>
      <w:r>
        <w:rPr>
          <w:spacing w:val="-2"/>
          <w:vertAlign w:val="baseline"/>
        </w:rPr>
        <w:t> </w:t>
      </w:r>
      <w:r>
        <w:rPr>
          <w:vertAlign w:val="baseline"/>
        </w:rPr>
        <w:t>deliberately framed in wide terms with very little in the way of guidance about the criteria for its application … It is not possible to state a precise or universal test for its application, which must depend on the court’s </w:t>
      </w:r>
      <w:bookmarkStart w:name="_bookmark575" w:id="577"/>
      <w:bookmarkEnd w:id="577"/>
      <w:r>
        <w:rPr>
          <w:vertAlign w:val="baseline"/>
        </w:rPr>
        <w:t>judgment</w:t>
      </w:r>
      <w:r>
        <w:rPr>
          <w:spacing w:val="16"/>
          <w:vertAlign w:val="baseline"/>
        </w:rPr>
        <w:t> </w:t>
      </w:r>
      <w:r>
        <w:rPr>
          <w:vertAlign w:val="baseline"/>
        </w:rPr>
        <w:t>of</w:t>
      </w:r>
      <w:r>
        <w:rPr>
          <w:spacing w:val="16"/>
          <w:vertAlign w:val="baseline"/>
        </w:rPr>
        <w:t> </w:t>
      </w:r>
      <w:r>
        <w:rPr>
          <w:vertAlign w:val="baseline"/>
        </w:rPr>
        <w:t>all</w:t>
      </w:r>
      <w:r>
        <w:rPr>
          <w:spacing w:val="16"/>
          <w:vertAlign w:val="baseline"/>
        </w:rPr>
        <w:t> </w:t>
      </w:r>
      <w:r>
        <w:rPr>
          <w:vertAlign w:val="baseline"/>
        </w:rPr>
        <w:t>relevant</w:t>
      </w:r>
      <w:r>
        <w:rPr>
          <w:spacing w:val="16"/>
          <w:vertAlign w:val="baseline"/>
        </w:rPr>
        <w:t> </w:t>
      </w:r>
      <w:r>
        <w:rPr>
          <w:vertAlign w:val="baseline"/>
        </w:rPr>
        <w:t>facts”,</w:t>
      </w:r>
      <w:r>
        <w:rPr>
          <w:spacing w:val="16"/>
          <w:vertAlign w:val="baseline"/>
        </w:rPr>
        <w:t> </w:t>
      </w:r>
      <w:r>
        <w:rPr>
          <w:vertAlign w:val="baseline"/>
        </w:rPr>
        <w:t>though</w:t>
      </w:r>
      <w:r>
        <w:rPr>
          <w:spacing w:val="16"/>
          <w:vertAlign w:val="baseline"/>
        </w:rPr>
        <w:t> </w:t>
      </w:r>
      <w:r>
        <w:rPr>
          <w:vertAlign w:val="baseline"/>
        </w:rPr>
        <w:t>the</w:t>
      </w:r>
      <w:r>
        <w:rPr>
          <w:spacing w:val="16"/>
          <w:vertAlign w:val="baseline"/>
        </w:rPr>
        <w:t> </w:t>
      </w:r>
      <w:r>
        <w:rPr>
          <w:vertAlign w:val="baseline"/>
        </w:rPr>
        <w:t>Supreme</w:t>
      </w:r>
      <w:r>
        <w:rPr>
          <w:spacing w:val="16"/>
          <w:vertAlign w:val="baseline"/>
        </w:rPr>
        <w:t> </w:t>
      </w:r>
      <w:r>
        <w:rPr>
          <w:vertAlign w:val="baseline"/>
        </w:rPr>
        <w:t>Court</w:t>
      </w:r>
      <w:r>
        <w:rPr>
          <w:spacing w:val="16"/>
          <w:vertAlign w:val="baseline"/>
        </w:rPr>
        <w:t> </w:t>
      </w:r>
      <w:r>
        <w:rPr>
          <w:vertAlign w:val="baseline"/>
        </w:rPr>
        <w:t>offered</w:t>
      </w:r>
      <w:r>
        <w:rPr>
          <w:spacing w:val="16"/>
          <w:vertAlign w:val="baseline"/>
        </w:rPr>
        <w:t> </w:t>
      </w:r>
      <w:r>
        <w:rPr>
          <w:vertAlign w:val="baseline"/>
        </w:rPr>
        <w:t>some</w:t>
      </w:r>
      <w:r>
        <w:rPr>
          <w:spacing w:val="16"/>
          <w:vertAlign w:val="baseline"/>
        </w:rPr>
        <w:t> </w:t>
      </w:r>
      <w:r>
        <w:rPr>
          <w:vertAlign w:val="baseline"/>
        </w:rPr>
        <w:t>general</w:t>
      </w:r>
      <w:r>
        <w:rPr>
          <w:spacing w:val="16"/>
          <w:vertAlign w:val="baseline"/>
        </w:rPr>
        <w:t> </w:t>
      </w:r>
      <w:r>
        <w:rPr>
          <w:vertAlign w:val="baseline"/>
        </w:rPr>
        <w:t>points</w:t>
      </w:r>
      <w:r>
        <w:rPr>
          <w:spacing w:val="16"/>
          <w:vertAlign w:val="baseline"/>
        </w:rPr>
        <w:t> </w:t>
      </w:r>
      <w:r>
        <w:rPr>
          <w:vertAlign w:val="baseline"/>
        </w:rPr>
        <w:t>which</w:t>
      </w:r>
      <w:r>
        <w:rPr>
          <w:spacing w:val="16"/>
          <w:vertAlign w:val="baseline"/>
        </w:rPr>
        <w:t> </w:t>
      </w:r>
      <w:r>
        <w:rPr>
          <w:spacing w:val="-2"/>
          <w:vertAlign w:val="baseline"/>
        </w:rPr>
        <w:t>courts</w:t>
      </w:r>
    </w:p>
    <w:p>
      <w:pPr>
        <w:pStyle w:val="BodyText"/>
        <w:spacing w:before="114"/>
        <w:ind w:left="165"/>
        <w:jc w:val="both"/>
        <w:rPr>
          <w:position w:val="-2"/>
        </w:rPr>
      </w:pPr>
      <w:r>
        <w:rPr/>
        <w:t>should take into account for this purpose. </w:t>
      </w:r>
      <w:r>
        <w:rPr>
          <w:color w:val="005DA1"/>
          <w:u w:val="single" w:color="005DA1"/>
          <w:vertAlign w:val="superscript"/>
        </w:rPr>
        <w:t>333</w:t>
      </w:r>
      <w:r>
        <w:rPr>
          <w:color w:val="005DA1"/>
          <w:spacing w:val="80"/>
          <w:w w:val="150"/>
          <w:vertAlign w:val="baseline"/>
        </w:rPr>
        <w:t> </w:t>
      </w:r>
      <w:r>
        <w:rPr>
          <w:color w:val="005DA1"/>
          <w:position w:val="-2"/>
          <w:vertAlign w:val="baseline"/>
        </w:rPr>
        <w:drawing>
          <wp:inline distT="0" distB="0" distL="0" distR="0">
            <wp:extent cx="107988" cy="107988"/>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9"/>
      </w:pPr>
      <w:r>
        <w:rPr/>
        <mc:AlternateContent>
          <mc:Choice Requires="wps">
            <w:drawing>
              <wp:anchor distT="0" distB="0" distL="0" distR="0" allowOverlap="1" layoutInCell="1" locked="0" behindDoc="1" simplePos="0" relativeHeight="487645184">
                <wp:simplePos x="0" y="0"/>
                <wp:positionH relativeFrom="page">
                  <wp:posOffset>914400</wp:posOffset>
                </wp:positionH>
                <wp:positionV relativeFrom="paragraph">
                  <wp:posOffset>186253</wp:posOffset>
                </wp:positionV>
                <wp:extent cx="5724525" cy="1270"/>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566pt;width:450.75pt;height:.1pt;mso-position-horizontal-relative:page;mso-position-vertical-relative:paragraph;z-index:-15671296;mso-wrap-distance-left:0;mso-wrap-distance-right:0" id="docshape23"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bookmarkStart w:name="_bookmark576" w:id="578"/>
      <w:bookmarkEnd w:id="578"/>
      <w:r>
        <w:rPr/>
      </w:r>
      <w:hyperlink w:history="true" w:anchor="_bookmark535">
        <w:r>
          <w:rPr>
            <w:color w:val="005DA1"/>
            <w:spacing w:val="-4"/>
            <w:position w:val="5"/>
            <w:sz w:val="14"/>
            <w:u w:val="single" w:color="005DA1"/>
          </w:rPr>
          <w:t>290</w:t>
        </w:r>
      </w:hyperlink>
      <w:r>
        <w:rPr>
          <w:spacing w:val="-4"/>
          <w:position w:val="5"/>
          <w:sz w:val="14"/>
        </w:rPr>
        <w:t>.</w:t>
      </w:r>
      <w:r>
        <w:rPr>
          <w:position w:val="5"/>
          <w:sz w:val="14"/>
        </w:rPr>
        <w:tab/>
      </w:r>
      <w:r>
        <w:rPr>
          <w:sz w:val="20"/>
        </w:rPr>
        <w:t>This has been termed the “sanctity of contracts”: see Hughes Parry, </w:t>
      </w:r>
      <w:r>
        <w:rPr>
          <w:rFonts w:ascii="Arial" w:hAnsi="Arial"/>
          <w:i/>
          <w:sz w:val="20"/>
        </w:rPr>
        <w:t>The Sanctity of Contracts</w:t>
      </w:r>
      <w:r>
        <w:rPr>
          <w:rFonts w:ascii="Arial" w:hAnsi="Arial"/>
          <w:i/>
          <w:spacing w:val="40"/>
          <w:sz w:val="20"/>
        </w:rPr>
        <w:t> </w:t>
      </w:r>
      <w:r>
        <w:rPr>
          <w:rFonts w:ascii="Arial" w:hAnsi="Arial"/>
          <w:i/>
          <w:sz w:val="20"/>
        </w:rPr>
        <w:t>in English Law </w:t>
      </w:r>
      <w:r>
        <w:rPr>
          <w:sz w:val="20"/>
        </w:rPr>
        <w:t>(1959).</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6496">
            <wp:simplePos x="0" y="0"/>
            <wp:positionH relativeFrom="page">
              <wp:posOffset>1257846</wp:posOffset>
            </wp:positionH>
            <wp:positionV relativeFrom="paragraph">
              <wp:posOffset>160445</wp:posOffset>
            </wp:positionV>
            <wp:extent cx="107988" cy="107988"/>
            <wp:effectExtent l="0" t="0" r="0" b="0"/>
            <wp:wrapNone/>
            <wp:docPr id="230" name="Image 230"/>
            <wp:cNvGraphicFramePr>
              <a:graphicFrameLocks/>
            </wp:cNvGraphicFramePr>
            <a:graphic>
              <a:graphicData uri="http://schemas.openxmlformats.org/drawingml/2006/picture">
                <pic:pic>
                  <pic:nvPicPr>
                    <pic:cNvPr id="230" name="Image 23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77" w:id="579"/>
      <w:bookmarkEnd w:id="579"/>
      <w:r>
        <w:rPr/>
      </w:r>
      <w:hyperlink w:history="true" w:anchor="_bookmark536">
        <w:r>
          <w:rPr>
            <w:color w:val="005DA1"/>
            <w:spacing w:val="-4"/>
            <w:sz w:val="14"/>
            <w:u w:val="single" w:color="005DA1"/>
          </w:rPr>
          <w:t>291</w:t>
        </w:r>
      </w:hyperlink>
      <w:r>
        <w:rPr>
          <w:spacing w:val="-4"/>
          <w:sz w:val="14"/>
        </w:rPr>
        <w:t>.</w:t>
      </w:r>
    </w:p>
    <w:p>
      <w:pPr>
        <w:pStyle w:val="BodyText"/>
        <w:spacing w:line="235" w:lineRule="auto" w:before="212"/>
        <w:ind w:left="165" w:right="167" w:firstLine="170"/>
        <w:jc w:val="both"/>
      </w:pPr>
      <w:r>
        <w:rPr/>
        <w:br w:type="column"/>
      </w:r>
      <w:r>
        <w:rPr/>
        <w:t>French Civil Code art.1134.1 (inspired by D. 16.3.1.6; D. 50.17.23 (both attributed to </w:t>
      </w:r>
      <w:r>
        <w:rPr/>
        <w:t>Ulpian)). Logically, this Code recognised the effectiveness of penalty clauses, whose purpose is to ensure the performance of a contract: arts 1152, 1226. The law relating to penalty clauses was changed in 1975, when the courts were given a discretion to modify them where otherwise their effect would be “manifestly excessive or derisory”: see new art.1152.1, C. civ. As from October 1, 2016 the provisions in the French Civil Code governing general contract law are reformed: Ordonnance No.2016/131 of February 10, 2016. The equivalent provision of art.1134.1 of the Civil Code as promulgated appears in art.1103 of the Civil Code as reformed; the latter’s provisions on penalty clauses are contained in art.1231-5 of the Civil Code as reformed.</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7"/>
      </w:pPr>
    </w:p>
    <w:p>
      <w:pPr>
        <w:tabs>
          <w:tab w:pos="705" w:val="left" w:leader="none"/>
        </w:tabs>
        <w:spacing w:line="235" w:lineRule="auto" w:before="0"/>
        <w:ind w:left="705" w:right="167" w:hanging="541"/>
        <w:jc w:val="left"/>
        <w:rPr>
          <w:sz w:val="20"/>
        </w:rPr>
      </w:pPr>
      <w:bookmarkStart w:name="_bookmark578" w:id="580"/>
      <w:bookmarkEnd w:id="580"/>
      <w:r>
        <w:rPr/>
      </w:r>
      <w:hyperlink w:history="true" w:anchor="_bookmark537">
        <w:r>
          <w:rPr>
            <w:color w:val="005DA1"/>
            <w:spacing w:val="-4"/>
            <w:position w:val="5"/>
            <w:sz w:val="14"/>
            <w:u w:val="single" w:color="005DA1"/>
          </w:rPr>
          <w:t>292</w:t>
        </w:r>
      </w:hyperlink>
      <w:r>
        <w:rPr>
          <w:spacing w:val="-4"/>
          <w:position w:val="5"/>
          <w:sz w:val="14"/>
        </w:rPr>
        <w:t>.</w:t>
      </w:r>
      <w:r>
        <w:rPr>
          <w:position w:val="5"/>
          <w:sz w:val="14"/>
        </w:rPr>
        <w:tab/>
      </w:r>
      <w:r>
        <w:rPr>
          <w:rFonts w:ascii="Arial" w:hAnsi="Arial"/>
          <w:i/>
          <w:sz w:val="20"/>
        </w:rPr>
        <w:t>Société thermale d’Eugénie-les-Bains v Ministère de l’Economie, des Finances et de </w:t>
      </w:r>
      <w:r>
        <w:rPr>
          <w:rFonts w:ascii="Arial" w:hAnsi="Arial"/>
          <w:i/>
          <w:sz w:val="20"/>
        </w:rPr>
        <w:t>l’Industrie (C-277/05) [2007] E.C.R. I–6415 </w:t>
      </w:r>
      <w:r>
        <w:rPr>
          <w:sz w:val="20"/>
        </w:rPr>
        <w:t>at [24].</w:t>
      </w:r>
    </w:p>
    <w:p>
      <w:pPr>
        <w:pStyle w:val="BodyText"/>
        <w:spacing w:before="5"/>
      </w:pPr>
    </w:p>
    <w:p>
      <w:pPr>
        <w:tabs>
          <w:tab w:pos="705" w:val="left" w:leader="none"/>
        </w:tabs>
        <w:spacing w:before="0"/>
        <w:ind w:left="165" w:right="0" w:firstLine="0"/>
        <w:jc w:val="left"/>
        <w:rPr>
          <w:sz w:val="20"/>
        </w:rPr>
      </w:pPr>
      <w:bookmarkStart w:name="_bookmark579" w:id="581"/>
      <w:bookmarkEnd w:id="581"/>
      <w:r>
        <w:rPr/>
      </w:r>
      <w:hyperlink w:history="true" w:anchor="_bookmark538">
        <w:r>
          <w:rPr>
            <w:color w:val="005DA1"/>
            <w:spacing w:val="-4"/>
            <w:position w:val="5"/>
            <w:sz w:val="14"/>
            <w:u w:val="single" w:color="005DA1"/>
          </w:rPr>
          <w:t>293</w:t>
        </w:r>
      </w:hyperlink>
      <w:r>
        <w:rPr>
          <w:spacing w:val="-4"/>
          <w:position w:val="5"/>
          <w:sz w:val="14"/>
        </w:rPr>
        <w:t>.</w:t>
      </w:r>
      <w:r>
        <w:rPr>
          <w:position w:val="5"/>
          <w:sz w:val="14"/>
        </w:rPr>
        <w:tab/>
      </w:r>
      <w:r>
        <w:rPr>
          <w:sz w:val="20"/>
        </w:rPr>
        <w:t>Atiyah,</w:t>
      </w:r>
      <w:r>
        <w:rPr>
          <w:spacing w:val="-1"/>
          <w:sz w:val="20"/>
        </w:rPr>
        <w:t> </w:t>
      </w:r>
      <w:r>
        <w:rPr>
          <w:rFonts w:ascii="Arial"/>
          <w:i/>
          <w:sz w:val="20"/>
        </w:rPr>
        <w:t>An Introduction to the Law of Contract</w:t>
      </w:r>
      <w:r>
        <w:rPr>
          <w:sz w:val="20"/>
        </w:rPr>
        <w:t>, 5th edn (1995), </w:t>
      </w:r>
      <w:r>
        <w:rPr>
          <w:spacing w:val="-2"/>
          <w:sz w:val="20"/>
        </w:rPr>
        <w:t>p.37.</w:t>
      </w:r>
    </w:p>
    <w:p>
      <w:pPr>
        <w:pStyle w:val="BodyText"/>
        <w:spacing w:before="5"/>
      </w:pPr>
    </w:p>
    <w:p>
      <w:pPr>
        <w:pStyle w:val="BodyText"/>
        <w:tabs>
          <w:tab w:pos="705" w:val="left" w:leader="none"/>
        </w:tabs>
        <w:ind w:left="165"/>
      </w:pPr>
      <w:bookmarkStart w:name="_bookmark580" w:id="582"/>
      <w:bookmarkEnd w:id="582"/>
      <w:r>
        <w:rPr/>
      </w:r>
      <w:hyperlink w:history="true" w:anchor="_bookmark539">
        <w:r>
          <w:rPr>
            <w:color w:val="005DA1"/>
            <w:spacing w:val="-4"/>
            <w:position w:val="5"/>
            <w:sz w:val="14"/>
            <w:u w:val="single" w:color="005DA1"/>
          </w:rPr>
          <w:t>294</w:t>
        </w:r>
      </w:hyperlink>
      <w:r>
        <w:rPr>
          <w:spacing w:val="-4"/>
          <w:position w:val="5"/>
          <w:sz w:val="14"/>
        </w:rPr>
        <w:t>.</w:t>
      </w:r>
      <w:r>
        <w:rPr>
          <w:position w:val="5"/>
          <w:sz w:val="14"/>
        </w:rPr>
        <w:tab/>
      </w:r>
      <w:r>
        <w:rPr/>
        <w:t>The Common Law (1881), </w:t>
      </w:r>
      <w:r>
        <w:rPr>
          <w:spacing w:val="-2"/>
        </w:rPr>
        <w:t>p.301.</w:t>
      </w:r>
    </w:p>
    <w:p>
      <w:pPr>
        <w:pStyle w:val="BodyText"/>
        <w:spacing w:before="5"/>
      </w:pPr>
    </w:p>
    <w:p>
      <w:pPr>
        <w:tabs>
          <w:tab w:pos="705" w:val="left" w:leader="none"/>
        </w:tabs>
        <w:spacing w:before="0"/>
        <w:ind w:left="165" w:right="0" w:firstLine="0"/>
        <w:jc w:val="left"/>
        <w:rPr>
          <w:sz w:val="20"/>
        </w:rPr>
      </w:pPr>
      <w:bookmarkStart w:name="_bookmark581" w:id="583"/>
      <w:bookmarkEnd w:id="583"/>
      <w:r>
        <w:rPr/>
      </w:r>
      <w:hyperlink w:history="true" w:anchor="_bookmark540">
        <w:r>
          <w:rPr>
            <w:color w:val="005DA1"/>
            <w:spacing w:val="-4"/>
            <w:position w:val="5"/>
            <w:sz w:val="14"/>
            <w:u w:val="single" w:color="005DA1"/>
          </w:rPr>
          <w:t>295</w:t>
        </w:r>
      </w:hyperlink>
      <w:r>
        <w:rPr>
          <w:spacing w:val="-4"/>
          <w:position w:val="5"/>
          <w:sz w:val="14"/>
        </w:rPr>
        <w:t>.</w:t>
      </w:r>
      <w:r>
        <w:rPr>
          <w:position w:val="5"/>
          <w:sz w:val="14"/>
        </w:rPr>
        <w:tab/>
      </w:r>
      <w:r>
        <w:rPr>
          <w:sz w:val="20"/>
        </w:rPr>
        <w:t>See below, </w:t>
      </w:r>
      <w:r>
        <w:rPr>
          <w:spacing w:val="-2"/>
          <w:sz w:val="20"/>
        </w:rPr>
        <w:t>Ch.27.</w:t>
      </w:r>
    </w:p>
    <w:p>
      <w:pPr>
        <w:pStyle w:val="BodyText"/>
        <w:spacing w:before="5"/>
      </w:pPr>
    </w:p>
    <w:p>
      <w:pPr>
        <w:pStyle w:val="BodyText"/>
        <w:tabs>
          <w:tab w:pos="705" w:val="left" w:leader="none"/>
        </w:tabs>
        <w:ind w:left="165"/>
      </w:pPr>
      <w:bookmarkStart w:name="_bookmark582" w:id="584"/>
      <w:bookmarkEnd w:id="584"/>
      <w:r>
        <w:rPr/>
      </w:r>
      <w:hyperlink w:history="true" w:anchor="_bookmark541">
        <w:r>
          <w:rPr>
            <w:color w:val="005DA1"/>
            <w:spacing w:val="-4"/>
            <w:position w:val="5"/>
            <w:sz w:val="14"/>
            <w:u w:val="single" w:color="005DA1"/>
          </w:rPr>
          <w:t>296</w:t>
        </w:r>
      </w:hyperlink>
      <w:r>
        <w:rPr>
          <w:spacing w:val="-4"/>
          <w:position w:val="5"/>
          <w:sz w:val="14"/>
        </w:rPr>
        <w:t>.</w:t>
      </w:r>
      <w:r>
        <w:rPr>
          <w:position w:val="5"/>
          <w:sz w:val="14"/>
        </w:rPr>
        <w:tab/>
      </w:r>
      <w:r>
        <w:rPr/>
        <w:t>See</w:t>
      </w:r>
      <w:r>
        <w:rPr>
          <w:spacing w:val="-2"/>
        </w:rPr>
        <w:t> </w:t>
      </w:r>
      <w:r>
        <w:rPr/>
        <w:t>below, para.26-</w:t>
      </w:r>
      <w:r>
        <w:rPr>
          <w:spacing w:val="-4"/>
        </w:rPr>
        <w:t>008.</w:t>
      </w:r>
    </w:p>
    <w:p>
      <w:pPr>
        <w:pStyle w:val="BodyText"/>
        <w:spacing w:before="9"/>
      </w:pPr>
    </w:p>
    <w:p>
      <w:pPr>
        <w:pStyle w:val="BodyText"/>
        <w:spacing w:line="235" w:lineRule="auto"/>
        <w:ind w:left="705" w:right="167" w:hanging="541"/>
        <w:jc w:val="both"/>
      </w:pPr>
      <w:bookmarkStart w:name="_bookmark583" w:id="585"/>
      <w:bookmarkEnd w:id="585"/>
      <w:r>
        <w:rPr/>
      </w:r>
      <w:hyperlink w:history="true" w:anchor="_bookmark542">
        <w:r>
          <w:rPr>
            <w:color w:val="005DA1"/>
            <w:position w:val="5"/>
            <w:sz w:val="14"/>
            <w:u w:val="single" w:color="005DA1"/>
          </w:rPr>
          <w:t>297</w:t>
        </w:r>
      </w:hyperlink>
      <w:r>
        <w:rPr>
          <w:position w:val="5"/>
          <w:sz w:val="14"/>
        </w:rPr>
        <w:t>.</w:t>
      </w:r>
      <w:r>
        <w:rPr>
          <w:spacing w:val="80"/>
          <w:position w:val="5"/>
          <w:sz w:val="14"/>
        </w:rPr>
        <w:t> </w:t>
      </w:r>
      <w:r>
        <w:rPr/>
        <w:t>See Consumer Rights Act 2015 ss.23 (goods), 43 (digital content) and 55 (services) and 58 (powers of the court) on which see Vol.II, paras 38-422 and 38-485, 38-518 and 38-520, </w:t>
      </w:r>
      <w:r>
        <w:rPr/>
        <w:t>and</w:t>
      </w:r>
      <w:r>
        <w:rPr>
          <w:spacing w:val="40"/>
        </w:rPr>
        <w:t> </w:t>
      </w:r>
      <w:r>
        <w:rPr/>
        <w:t>38-541 and 38-543.</w:t>
      </w:r>
    </w:p>
    <w:p>
      <w:pPr>
        <w:pStyle w:val="BodyText"/>
        <w:spacing w:before="5"/>
      </w:pPr>
    </w:p>
    <w:p>
      <w:pPr>
        <w:pStyle w:val="BodyText"/>
        <w:tabs>
          <w:tab w:pos="705" w:val="left" w:leader="none"/>
        </w:tabs>
        <w:ind w:left="165"/>
      </w:pPr>
      <w:bookmarkStart w:name="_bookmark584" w:id="586"/>
      <w:bookmarkEnd w:id="586"/>
      <w:r>
        <w:rPr/>
      </w:r>
      <w:hyperlink w:history="true" w:anchor="_bookmark543">
        <w:r>
          <w:rPr>
            <w:color w:val="005DA1"/>
            <w:spacing w:val="-4"/>
            <w:position w:val="5"/>
            <w:sz w:val="14"/>
            <w:u w:val="single" w:color="005DA1"/>
          </w:rPr>
          <w:t>298</w:t>
        </w:r>
      </w:hyperlink>
      <w:r>
        <w:rPr>
          <w:spacing w:val="-4"/>
          <w:position w:val="5"/>
          <w:sz w:val="14"/>
        </w:rPr>
        <w:t>.</w:t>
      </w:r>
      <w:r>
        <w:rPr>
          <w:position w:val="5"/>
          <w:sz w:val="14"/>
        </w:rPr>
        <w:tab/>
      </w:r>
      <w:r>
        <w:rPr/>
        <w:t>In</w:t>
      </w:r>
      <w:r>
        <w:rPr>
          <w:spacing w:val="15"/>
        </w:rPr>
        <w:t> </w:t>
      </w:r>
      <w:r>
        <w:rPr/>
        <w:t>particular,</w:t>
      </w:r>
      <w:r>
        <w:rPr>
          <w:spacing w:val="15"/>
        </w:rPr>
        <w:t> </w:t>
      </w:r>
      <w:r>
        <w:rPr/>
        <w:t>a</w:t>
      </w:r>
      <w:r>
        <w:rPr>
          <w:spacing w:val="15"/>
        </w:rPr>
        <w:t> </w:t>
      </w:r>
      <w:r>
        <w:rPr/>
        <w:t>contrast</w:t>
      </w:r>
      <w:r>
        <w:rPr>
          <w:spacing w:val="15"/>
        </w:rPr>
        <w:t> </w:t>
      </w:r>
      <w:r>
        <w:rPr/>
        <w:t>is</w:t>
      </w:r>
      <w:r>
        <w:rPr>
          <w:spacing w:val="15"/>
        </w:rPr>
        <w:t> </w:t>
      </w:r>
      <w:r>
        <w:rPr/>
        <w:t>drawn</w:t>
      </w:r>
      <w:r>
        <w:rPr>
          <w:spacing w:val="15"/>
        </w:rPr>
        <w:t> </w:t>
      </w:r>
      <w:r>
        <w:rPr/>
        <w:t>here</w:t>
      </w:r>
      <w:r>
        <w:rPr>
          <w:spacing w:val="15"/>
        </w:rPr>
        <w:t> </w:t>
      </w:r>
      <w:r>
        <w:rPr/>
        <w:t>with</w:t>
      </w:r>
      <w:r>
        <w:rPr>
          <w:spacing w:val="15"/>
        </w:rPr>
        <w:t> </w:t>
      </w:r>
      <w:r>
        <w:rPr/>
        <w:t>the</w:t>
      </w:r>
      <w:r>
        <w:rPr>
          <w:spacing w:val="15"/>
        </w:rPr>
        <w:t> </w:t>
      </w:r>
      <w:r>
        <w:rPr/>
        <w:t>basis</w:t>
      </w:r>
      <w:r>
        <w:rPr>
          <w:spacing w:val="15"/>
        </w:rPr>
        <w:t> </w:t>
      </w:r>
      <w:r>
        <w:rPr/>
        <w:t>of</w:t>
      </w:r>
      <w:r>
        <w:rPr>
          <w:spacing w:val="15"/>
        </w:rPr>
        <w:t> </w:t>
      </w:r>
      <w:r>
        <w:rPr/>
        <w:t>awards</w:t>
      </w:r>
      <w:r>
        <w:rPr>
          <w:spacing w:val="15"/>
        </w:rPr>
        <w:t> </w:t>
      </w:r>
      <w:r>
        <w:rPr/>
        <w:t>of</w:t>
      </w:r>
      <w:r>
        <w:rPr>
          <w:spacing w:val="15"/>
        </w:rPr>
        <w:t> </w:t>
      </w:r>
      <w:r>
        <w:rPr/>
        <w:t>damages</w:t>
      </w:r>
      <w:r>
        <w:rPr>
          <w:spacing w:val="15"/>
        </w:rPr>
        <w:t> </w:t>
      </w:r>
      <w:r>
        <w:rPr/>
        <w:t>in</w:t>
      </w:r>
      <w:r>
        <w:rPr>
          <w:spacing w:val="15"/>
        </w:rPr>
        <w:t> </w:t>
      </w:r>
      <w:r>
        <w:rPr/>
        <w:t>tort:</w:t>
      </w:r>
      <w:r>
        <w:rPr>
          <w:spacing w:val="15"/>
        </w:rPr>
        <w:t> </w:t>
      </w:r>
      <w:r>
        <w:rPr/>
        <w:t>see</w:t>
      </w:r>
      <w:r>
        <w:rPr>
          <w:spacing w:val="15"/>
        </w:rPr>
        <w:t> </w:t>
      </w:r>
      <w:r>
        <w:rPr>
          <w:spacing w:val="-2"/>
        </w:rPr>
        <w:t>below,</w:t>
      </w:r>
    </w:p>
    <w:p>
      <w:pPr>
        <w:pStyle w:val="BodyText"/>
        <w:spacing w:after="0"/>
        <w:sectPr>
          <w:type w:val="continuous"/>
          <w:pgSz w:w="11900" w:h="16840"/>
          <w:pgMar w:header="971" w:footer="0" w:top="1300" w:bottom="280" w:left="1275" w:right="1275"/>
        </w:sectPr>
      </w:pPr>
    </w:p>
    <w:p>
      <w:pPr>
        <w:pStyle w:val="BodyText"/>
        <w:spacing w:before="166"/>
        <w:ind w:left="705"/>
      </w:pPr>
      <w:r>
        <w:rPr/>
        <w:t>paras 1-193—1-</w:t>
      </w:r>
      <w:r>
        <w:rPr>
          <w:spacing w:val="-4"/>
        </w:rPr>
        <w:t>195.</w:t>
      </w:r>
    </w:p>
    <w:p>
      <w:pPr>
        <w:pStyle w:val="BodyText"/>
        <w:spacing w:before="9"/>
      </w:pPr>
    </w:p>
    <w:p>
      <w:pPr>
        <w:pStyle w:val="BodyText"/>
        <w:spacing w:line="235" w:lineRule="auto"/>
        <w:ind w:left="705" w:right="167" w:hanging="541"/>
        <w:jc w:val="both"/>
      </w:pPr>
      <w:bookmarkStart w:name="_bookmark585" w:id="587"/>
      <w:bookmarkEnd w:id="587"/>
      <w:r>
        <w:rPr/>
      </w:r>
      <w:hyperlink w:history="true" w:anchor="_bookmark543">
        <w:r>
          <w:rPr>
            <w:color w:val="005DA1"/>
            <w:position w:val="5"/>
            <w:sz w:val="14"/>
            <w:u w:val="single" w:color="005DA1"/>
          </w:rPr>
          <w:t>299</w:t>
        </w:r>
      </w:hyperlink>
      <w:r>
        <w:rPr>
          <w:position w:val="5"/>
          <w:sz w:val="14"/>
        </w:rPr>
        <w:t>.</w:t>
      </w:r>
      <w:r>
        <w:rPr>
          <w:spacing w:val="40"/>
          <w:position w:val="5"/>
          <w:sz w:val="14"/>
        </w:rPr>
        <w:t>  </w:t>
      </w:r>
      <w:r>
        <w:rPr/>
        <w:t>See below, para.26-001. Such an award is sometimes said to be made to protect the injured party’s expectation interest or performance interest. An award of damages may be made on other bases, in particular in order to protect what is known as the reliance interest of the </w:t>
      </w:r>
      <w:r>
        <w:rPr/>
        <w:t>injured party: below, paras 26-019—26-021.</w:t>
      </w:r>
    </w:p>
    <w:p>
      <w:pPr>
        <w:pStyle w:val="BodyText"/>
        <w:spacing w:before="9"/>
      </w:pPr>
    </w:p>
    <w:p>
      <w:pPr>
        <w:pStyle w:val="BodyText"/>
        <w:tabs>
          <w:tab w:pos="705" w:val="left" w:leader="none"/>
        </w:tabs>
        <w:spacing w:line="235" w:lineRule="auto"/>
        <w:ind w:left="705" w:right="168" w:hanging="541"/>
      </w:pPr>
      <w:bookmarkStart w:name="_bookmark586" w:id="588"/>
      <w:bookmarkEnd w:id="588"/>
      <w:r>
        <w:rPr/>
      </w:r>
      <w:hyperlink w:history="true" w:anchor="_bookmark544">
        <w:r>
          <w:rPr>
            <w:color w:val="005DA1"/>
            <w:spacing w:val="-4"/>
            <w:position w:val="5"/>
            <w:sz w:val="14"/>
            <w:u w:val="single" w:color="005DA1"/>
          </w:rPr>
          <w:t>300</w:t>
        </w:r>
      </w:hyperlink>
      <w:r>
        <w:rPr>
          <w:spacing w:val="-4"/>
          <w:position w:val="5"/>
          <w:sz w:val="14"/>
        </w:rPr>
        <w:t>.</w:t>
      </w:r>
      <w:r>
        <w:rPr>
          <w:position w:val="5"/>
          <w:sz w:val="14"/>
        </w:rPr>
        <w:tab/>
      </w:r>
      <w:r>
        <w:rPr/>
        <w:t>A</w:t>
      </w:r>
      <w:r>
        <w:rPr>
          <w:spacing w:val="30"/>
        </w:rPr>
        <w:t> </w:t>
      </w:r>
      <w:r>
        <w:rPr/>
        <w:t>practical</w:t>
      </w:r>
      <w:r>
        <w:rPr>
          <w:spacing w:val="30"/>
        </w:rPr>
        <w:t> </w:t>
      </w:r>
      <w:r>
        <w:rPr/>
        <w:t>as</w:t>
      </w:r>
      <w:r>
        <w:rPr>
          <w:spacing w:val="30"/>
        </w:rPr>
        <w:t> </w:t>
      </w:r>
      <w:r>
        <w:rPr/>
        <w:t>opposed</w:t>
      </w:r>
      <w:r>
        <w:rPr>
          <w:spacing w:val="30"/>
        </w:rPr>
        <w:t> </w:t>
      </w:r>
      <w:r>
        <w:rPr/>
        <w:t>to</w:t>
      </w:r>
      <w:r>
        <w:rPr>
          <w:spacing w:val="30"/>
        </w:rPr>
        <w:t> </w:t>
      </w:r>
      <w:r>
        <w:rPr/>
        <w:t>a</w:t>
      </w:r>
      <w:r>
        <w:rPr>
          <w:spacing w:val="30"/>
        </w:rPr>
        <w:t> </w:t>
      </w:r>
      <w:r>
        <w:rPr/>
        <w:t>legal</w:t>
      </w:r>
      <w:r>
        <w:rPr>
          <w:spacing w:val="30"/>
        </w:rPr>
        <w:t> </w:t>
      </w:r>
      <w:r>
        <w:rPr/>
        <w:t>restriction</w:t>
      </w:r>
      <w:r>
        <w:rPr>
          <w:spacing w:val="30"/>
        </w:rPr>
        <w:t> </w:t>
      </w:r>
      <w:r>
        <w:rPr/>
        <w:t>is</w:t>
      </w:r>
      <w:r>
        <w:rPr>
          <w:spacing w:val="30"/>
        </w:rPr>
        <w:t> </w:t>
      </w:r>
      <w:r>
        <w:rPr/>
        <w:t>that</w:t>
      </w:r>
      <w:r>
        <w:rPr>
          <w:spacing w:val="30"/>
        </w:rPr>
        <w:t> </w:t>
      </w:r>
      <w:r>
        <w:rPr/>
        <w:t>a</w:t>
      </w:r>
      <w:r>
        <w:rPr>
          <w:spacing w:val="30"/>
        </w:rPr>
        <w:t> </w:t>
      </w:r>
      <w:r>
        <w:rPr/>
        <w:t>claim</w:t>
      </w:r>
      <w:r>
        <w:rPr>
          <w:spacing w:val="30"/>
        </w:rPr>
        <w:t> </w:t>
      </w:r>
      <w:r>
        <w:rPr/>
        <w:t>for</w:t>
      </w:r>
      <w:r>
        <w:rPr>
          <w:spacing w:val="30"/>
        </w:rPr>
        <w:t> </w:t>
      </w:r>
      <w:r>
        <w:rPr/>
        <w:t>damages</w:t>
      </w:r>
      <w:r>
        <w:rPr>
          <w:spacing w:val="30"/>
        </w:rPr>
        <w:t> </w:t>
      </w:r>
      <w:r>
        <w:rPr/>
        <w:t>on</w:t>
      </w:r>
      <w:r>
        <w:rPr>
          <w:spacing w:val="30"/>
        </w:rPr>
        <w:t> </w:t>
      </w:r>
      <w:r>
        <w:rPr/>
        <w:t>the</w:t>
      </w:r>
      <w:r>
        <w:rPr>
          <w:spacing w:val="30"/>
        </w:rPr>
        <w:t> </w:t>
      </w:r>
      <w:r>
        <w:rPr/>
        <w:t>basis</w:t>
      </w:r>
      <w:r>
        <w:rPr>
          <w:spacing w:val="30"/>
        </w:rPr>
        <w:t> </w:t>
      </w:r>
      <w:r>
        <w:rPr/>
        <w:t>of</w:t>
      </w:r>
      <w:r>
        <w:rPr>
          <w:spacing w:val="30"/>
        </w:rPr>
        <w:t> </w:t>
      </w:r>
      <w:r>
        <w:rPr/>
        <w:t>an injured party’s performance interest may be difficult to show: see below, para.26-024.</w:t>
      </w:r>
    </w:p>
    <w:p>
      <w:pPr>
        <w:pStyle w:val="BodyText"/>
        <w:spacing w:before="5"/>
      </w:pPr>
    </w:p>
    <w:p>
      <w:pPr>
        <w:pStyle w:val="BodyText"/>
        <w:tabs>
          <w:tab w:pos="705" w:val="left" w:leader="none"/>
        </w:tabs>
        <w:ind w:left="165"/>
      </w:pPr>
      <w:bookmarkStart w:name="_bookmark587" w:id="589"/>
      <w:bookmarkEnd w:id="589"/>
      <w:r>
        <w:rPr/>
      </w:r>
      <w:hyperlink w:history="true" w:anchor="_bookmark545">
        <w:r>
          <w:rPr>
            <w:color w:val="005DA1"/>
            <w:spacing w:val="-4"/>
            <w:position w:val="5"/>
            <w:sz w:val="14"/>
            <w:u w:val="single" w:color="005DA1"/>
          </w:rPr>
          <w:t>301</w:t>
        </w:r>
      </w:hyperlink>
      <w:r>
        <w:rPr>
          <w:spacing w:val="-4"/>
          <w:position w:val="5"/>
          <w:sz w:val="14"/>
        </w:rPr>
        <w:t>.</w:t>
      </w:r>
      <w:r>
        <w:rPr>
          <w:position w:val="5"/>
          <w:sz w:val="14"/>
        </w:rPr>
        <w:tab/>
      </w:r>
      <w:r>
        <w:rPr/>
        <w:t>See below, paras 26-107 et </w:t>
      </w:r>
      <w:r>
        <w:rPr>
          <w:spacing w:val="-4"/>
        </w:rPr>
        <w:t>seq.</w:t>
      </w:r>
    </w:p>
    <w:p>
      <w:pPr>
        <w:pStyle w:val="BodyText"/>
        <w:spacing w:before="5"/>
      </w:pPr>
    </w:p>
    <w:p>
      <w:pPr>
        <w:pStyle w:val="BodyText"/>
        <w:tabs>
          <w:tab w:pos="705" w:val="left" w:leader="none"/>
        </w:tabs>
        <w:ind w:left="165"/>
      </w:pPr>
      <w:bookmarkStart w:name="_bookmark588" w:id="590"/>
      <w:bookmarkEnd w:id="590"/>
      <w:r>
        <w:rPr/>
      </w:r>
      <w:hyperlink w:history="true" w:anchor="_bookmark545">
        <w:r>
          <w:rPr>
            <w:color w:val="005DA1"/>
            <w:spacing w:val="-4"/>
            <w:position w:val="5"/>
            <w:sz w:val="14"/>
            <w:u w:val="single" w:color="005DA1"/>
          </w:rPr>
          <w:t>302</w:t>
        </w:r>
      </w:hyperlink>
      <w:r>
        <w:rPr>
          <w:spacing w:val="-4"/>
          <w:position w:val="5"/>
          <w:sz w:val="14"/>
        </w:rPr>
        <w:t>.</w:t>
      </w:r>
      <w:r>
        <w:rPr>
          <w:position w:val="5"/>
          <w:sz w:val="14"/>
        </w:rPr>
        <w:tab/>
      </w:r>
      <w:r>
        <w:rPr/>
        <w:t>See below, paras 26-079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589" w:id="591"/>
      <w:bookmarkEnd w:id="591"/>
      <w:r>
        <w:rPr/>
      </w:r>
      <w:hyperlink w:history="true" w:anchor="_bookmark546">
        <w:r>
          <w:rPr>
            <w:color w:val="005DA1"/>
            <w:spacing w:val="-4"/>
            <w:position w:val="5"/>
            <w:sz w:val="14"/>
            <w:u w:val="single" w:color="005DA1"/>
          </w:rPr>
          <w:t>303</w:t>
        </w:r>
      </w:hyperlink>
      <w:r>
        <w:rPr>
          <w:spacing w:val="-4"/>
          <w:position w:val="5"/>
          <w:sz w:val="14"/>
        </w:rPr>
        <w:t>.</w:t>
      </w:r>
      <w:r>
        <w:rPr>
          <w:position w:val="5"/>
          <w:sz w:val="14"/>
        </w:rPr>
        <w:tab/>
      </w:r>
      <w:r>
        <w:rPr>
          <w:sz w:val="20"/>
        </w:rPr>
        <w:t>See</w:t>
      </w:r>
      <w:r>
        <w:rPr>
          <w:spacing w:val="-1"/>
          <w:sz w:val="20"/>
        </w:rPr>
        <w:t> </w:t>
      </w:r>
      <w:r>
        <w:rPr>
          <w:rFonts w:ascii="Arial" w:hAnsi="Arial"/>
          <w:i/>
          <w:sz w:val="20"/>
        </w:rPr>
        <w:t>A.G. v Blake [2001] 1 A.C. 268</w:t>
      </w:r>
      <w:r>
        <w:rPr>
          <w:rFonts w:ascii="Arial" w:hAnsi="Arial"/>
          <w:i/>
          <w:spacing w:val="-1"/>
          <w:sz w:val="20"/>
        </w:rPr>
        <w:t> </w:t>
      </w:r>
      <w:r>
        <w:rPr>
          <w:sz w:val="20"/>
        </w:rPr>
        <w:t>and below, paras 26-055—26-</w:t>
      </w:r>
      <w:r>
        <w:rPr>
          <w:spacing w:val="-4"/>
          <w:sz w:val="20"/>
        </w:rPr>
        <w:t>057.</w:t>
      </w:r>
    </w:p>
    <w:p>
      <w:pPr>
        <w:pStyle w:val="BodyText"/>
        <w:spacing w:before="5"/>
      </w:pPr>
    </w:p>
    <w:p>
      <w:pPr>
        <w:pStyle w:val="BodyText"/>
        <w:tabs>
          <w:tab w:pos="705" w:val="left" w:leader="none"/>
        </w:tabs>
        <w:ind w:left="165"/>
      </w:pPr>
      <w:bookmarkStart w:name="_bookmark590" w:id="592"/>
      <w:bookmarkEnd w:id="592"/>
      <w:r>
        <w:rPr/>
      </w:r>
      <w:hyperlink w:history="true" w:anchor="_bookmark547">
        <w:r>
          <w:rPr>
            <w:color w:val="005DA1"/>
            <w:spacing w:val="-4"/>
            <w:position w:val="5"/>
            <w:sz w:val="14"/>
            <w:u w:val="single" w:color="005DA1"/>
          </w:rPr>
          <w:t>304</w:t>
        </w:r>
      </w:hyperlink>
      <w:r>
        <w:rPr>
          <w:spacing w:val="-4"/>
          <w:position w:val="5"/>
          <w:sz w:val="14"/>
        </w:rPr>
        <w:t>.</w:t>
      </w:r>
      <w:r>
        <w:rPr>
          <w:position w:val="5"/>
          <w:sz w:val="14"/>
        </w:rPr>
        <w:tab/>
      </w:r>
      <w:r>
        <w:rPr/>
        <w:t>See Clerk &amp; Lindsell on Torts, 21st edn (2014), paras 24-14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591" w:id="593"/>
      <w:bookmarkEnd w:id="593"/>
      <w:r>
        <w:rPr/>
      </w:r>
      <w:hyperlink w:history="true" w:anchor="_bookmark548">
        <w:r>
          <w:rPr>
            <w:color w:val="005DA1"/>
            <w:spacing w:val="-4"/>
            <w:position w:val="5"/>
            <w:sz w:val="14"/>
            <w:u w:val="single" w:color="005DA1"/>
          </w:rPr>
          <w:t>305</w:t>
        </w:r>
      </w:hyperlink>
      <w:r>
        <w:rPr>
          <w:spacing w:val="-4"/>
          <w:position w:val="5"/>
          <w:sz w:val="14"/>
        </w:rPr>
        <w:t>.</w:t>
      </w:r>
      <w:r>
        <w:rPr>
          <w:position w:val="5"/>
          <w:sz w:val="14"/>
        </w:rPr>
        <w:tab/>
      </w:r>
      <w:r>
        <w:rPr>
          <w:sz w:val="20"/>
        </w:rPr>
        <w:t>See</w:t>
      </w:r>
      <w:r>
        <w:rPr>
          <w:spacing w:val="-1"/>
          <w:sz w:val="20"/>
        </w:rPr>
        <w:t> </w:t>
      </w:r>
      <w:r>
        <w:rPr>
          <w:rFonts w:ascii="Arial"/>
          <w:i/>
          <w:sz w:val="20"/>
        </w:rPr>
        <w:t>Lumley v Gye (1853) 2 E.B. 216</w:t>
      </w:r>
      <w:r>
        <w:rPr>
          <w:rFonts w:ascii="Arial"/>
          <w:i/>
          <w:spacing w:val="-1"/>
          <w:sz w:val="20"/>
        </w:rPr>
        <w:t> </w:t>
      </w:r>
      <w:r>
        <w:rPr>
          <w:sz w:val="20"/>
        </w:rPr>
        <w:t>and below, para.1-</w:t>
      </w:r>
      <w:r>
        <w:rPr>
          <w:spacing w:val="-4"/>
          <w:sz w:val="20"/>
        </w:rPr>
        <w:t>202.</w:t>
      </w:r>
    </w:p>
    <w:p>
      <w:pPr>
        <w:pStyle w:val="BodyText"/>
        <w:spacing w:before="5"/>
      </w:pPr>
    </w:p>
    <w:p>
      <w:pPr>
        <w:tabs>
          <w:tab w:pos="705" w:val="left" w:leader="none"/>
        </w:tabs>
        <w:spacing w:before="0"/>
        <w:ind w:left="165" w:right="0" w:firstLine="0"/>
        <w:jc w:val="left"/>
        <w:rPr>
          <w:sz w:val="20"/>
        </w:rPr>
      </w:pPr>
      <w:bookmarkStart w:name="_bookmark592" w:id="594"/>
      <w:bookmarkEnd w:id="594"/>
      <w:r>
        <w:rPr/>
      </w:r>
      <w:hyperlink w:history="true" w:anchor="_bookmark549">
        <w:r>
          <w:rPr>
            <w:color w:val="005DA1"/>
            <w:spacing w:val="-4"/>
            <w:position w:val="5"/>
            <w:sz w:val="14"/>
            <w:u w:val="single" w:color="005DA1"/>
          </w:rPr>
          <w:t>306</w:t>
        </w:r>
      </w:hyperlink>
      <w:r>
        <w:rPr>
          <w:spacing w:val="-4"/>
          <w:position w:val="5"/>
          <w:sz w:val="14"/>
        </w:rPr>
        <w:t>.</w:t>
      </w:r>
      <w:r>
        <w:rPr>
          <w:position w:val="5"/>
          <w:sz w:val="14"/>
        </w:rPr>
        <w:tab/>
      </w:r>
      <w:r>
        <w:rPr>
          <w:sz w:val="20"/>
        </w:rPr>
        <w:t>e.g. </w:t>
      </w:r>
      <w:r>
        <w:rPr>
          <w:rFonts w:ascii="Arial"/>
          <w:i/>
          <w:sz w:val="20"/>
        </w:rPr>
        <w:t>Torquay Hotel Co Ltd v Cousins [1969] 2 Ch. </w:t>
      </w:r>
      <w:r>
        <w:rPr>
          <w:rFonts w:ascii="Arial"/>
          <w:i/>
          <w:spacing w:val="-4"/>
          <w:sz w:val="20"/>
        </w:rPr>
        <w:t>106</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93" w:id="595"/>
      <w:bookmarkEnd w:id="595"/>
      <w:r>
        <w:rPr/>
      </w:r>
      <w:hyperlink w:history="true" w:anchor="_bookmark550">
        <w:r>
          <w:rPr>
            <w:color w:val="005DA1"/>
            <w:spacing w:val="-4"/>
            <w:position w:val="5"/>
            <w:sz w:val="14"/>
            <w:u w:val="single" w:color="005DA1"/>
          </w:rPr>
          <w:t>307</w:t>
        </w:r>
      </w:hyperlink>
      <w:r>
        <w:rPr>
          <w:spacing w:val="-4"/>
          <w:position w:val="5"/>
          <w:sz w:val="14"/>
        </w:rPr>
        <w:t>.</w:t>
      </w:r>
      <w:r>
        <w:rPr>
          <w:position w:val="5"/>
          <w:sz w:val="14"/>
        </w:rPr>
        <w:tab/>
      </w:r>
      <w:r>
        <w:rPr>
          <w:sz w:val="20"/>
        </w:rPr>
        <w:t>cf. Hart, </w:t>
      </w:r>
      <w:r>
        <w:rPr>
          <w:rFonts w:ascii="Arial"/>
          <w:i/>
          <w:sz w:val="20"/>
        </w:rPr>
        <w:t>The Concept of Law </w:t>
      </w:r>
      <w:r>
        <w:rPr>
          <w:sz w:val="20"/>
        </w:rPr>
        <w:t>(1961), pp.79-88, who distinguishes the situation where a person is under an </w:t>
      </w:r>
      <w:r>
        <w:rPr>
          <w:rFonts w:ascii="Arial"/>
          <w:i/>
          <w:sz w:val="20"/>
        </w:rPr>
        <w:t>obligation </w:t>
      </w:r>
      <w:r>
        <w:rPr>
          <w:sz w:val="20"/>
        </w:rPr>
        <w:t>and where a person is </w:t>
      </w:r>
      <w:r>
        <w:rPr>
          <w:rFonts w:ascii="Arial"/>
          <w:i/>
          <w:sz w:val="20"/>
        </w:rPr>
        <w:t>obliged</w:t>
      </w:r>
      <w:r>
        <w:rPr>
          <w:sz w:val="20"/>
        </w:rPr>
        <w:t>.</w:t>
      </w:r>
    </w:p>
    <w:p>
      <w:pPr>
        <w:pStyle w:val="BodyText"/>
        <w:spacing w:before="9"/>
      </w:pPr>
    </w:p>
    <w:p>
      <w:pPr>
        <w:pStyle w:val="BodyText"/>
        <w:tabs>
          <w:tab w:pos="705" w:val="left" w:leader="none"/>
        </w:tabs>
        <w:spacing w:line="235" w:lineRule="auto" w:before="1"/>
        <w:ind w:left="705" w:right="168" w:hanging="541"/>
      </w:pPr>
      <w:bookmarkStart w:name="_bookmark594" w:id="596"/>
      <w:bookmarkEnd w:id="596"/>
      <w:r>
        <w:rPr/>
      </w:r>
      <w:hyperlink w:history="true" w:anchor="_bookmark551">
        <w:r>
          <w:rPr>
            <w:color w:val="005DA1"/>
            <w:spacing w:val="-4"/>
            <w:position w:val="5"/>
            <w:sz w:val="14"/>
            <w:u w:val="single" w:color="005DA1"/>
          </w:rPr>
          <w:t>308</w:t>
        </w:r>
      </w:hyperlink>
      <w:r>
        <w:rPr>
          <w:spacing w:val="-4"/>
          <w:position w:val="5"/>
          <w:sz w:val="14"/>
        </w:rPr>
        <w:t>.</w:t>
      </w:r>
      <w:r>
        <w:rPr>
          <w:position w:val="5"/>
          <w:sz w:val="14"/>
        </w:rPr>
        <w:tab/>
      </w:r>
      <w:r>
        <w:rPr/>
        <w:t>This</w:t>
      </w:r>
      <w:r>
        <w:rPr>
          <w:spacing w:val="16"/>
        </w:rPr>
        <w:t> </w:t>
      </w:r>
      <w:r>
        <w:rPr/>
        <w:t>can</w:t>
      </w:r>
      <w:r>
        <w:rPr>
          <w:spacing w:val="16"/>
        </w:rPr>
        <w:t> </w:t>
      </w:r>
      <w:r>
        <w:rPr/>
        <w:t>be</w:t>
      </w:r>
      <w:r>
        <w:rPr>
          <w:spacing w:val="16"/>
        </w:rPr>
        <w:t> </w:t>
      </w:r>
      <w:r>
        <w:rPr/>
        <w:t>seen</w:t>
      </w:r>
      <w:r>
        <w:rPr>
          <w:spacing w:val="16"/>
        </w:rPr>
        <w:t> </w:t>
      </w:r>
      <w:r>
        <w:rPr/>
        <w:t>in</w:t>
      </w:r>
      <w:r>
        <w:rPr>
          <w:spacing w:val="16"/>
        </w:rPr>
        <w:t> </w:t>
      </w:r>
      <w:r>
        <w:rPr/>
        <w:t>those</w:t>
      </w:r>
      <w:r>
        <w:rPr>
          <w:spacing w:val="16"/>
        </w:rPr>
        <w:t> </w:t>
      </w:r>
      <w:r>
        <w:rPr/>
        <w:t>cases</w:t>
      </w:r>
      <w:r>
        <w:rPr>
          <w:spacing w:val="16"/>
        </w:rPr>
        <w:t> </w:t>
      </w:r>
      <w:r>
        <w:rPr/>
        <w:t>which</w:t>
      </w:r>
      <w:r>
        <w:rPr>
          <w:spacing w:val="16"/>
        </w:rPr>
        <w:t> </w:t>
      </w:r>
      <w:r>
        <w:rPr/>
        <w:t>hold</w:t>
      </w:r>
      <w:r>
        <w:rPr>
          <w:spacing w:val="16"/>
        </w:rPr>
        <w:t> </w:t>
      </w:r>
      <w:r>
        <w:rPr/>
        <w:t>that</w:t>
      </w:r>
      <w:r>
        <w:rPr>
          <w:spacing w:val="16"/>
        </w:rPr>
        <w:t> </w:t>
      </w:r>
      <w:r>
        <w:rPr/>
        <w:t>the</w:t>
      </w:r>
      <w:r>
        <w:rPr>
          <w:spacing w:val="16"/>
        </w:rPr>
        <w:t> </w:t>
      </w:r>
      <w:r>
        <w:rPr/>
        <w:t>consideration</w:t>
      </w:r>
      <w:r>
        <w:rPr>
          <w:spacing w:val="16"/>
        </w:rPr>
        <w:t> </w:t>
      </w:r>
      <w:r>
        <w:rPr/>
        <w:t>for</w:t>
      </w:r>
      <w:r>
        <w:rPr>
          <w:spacing w:val="16"/>
        </w:rPr>
        <w:t> </w:t>
      </w:r>
      <w:r>
        <w:rPr/>
        <w:t>a</w:t>
      </w:r>
      <w:r>
        <w:rPr>
          <w:spacing w:val="16"/>
        </w:rPr>
        <w:t> </w:t>
      </w:r>
      <w:r>
        <w:rPr/>
        <w:t>promise</w:t>
      </w:r>
      <w:r>
        <w:rPr>
          <w:spacing w:val="16"/>
        </w:rPr>
        <w:t> </w:t>
      </w:r>
      <w:r>
        <w:rPr/>
        <w:t>need</w:t>
      </w:r>
      <w:r>
        <w:rPr>
          <w:spacing w:val="16"/>
        </w:rPr>
        <w:t> </w:t>
      </w:r>
      <w:r>
        <w:rPr/>
        <w:t>not</w:t>
      </w:r>
      <w:r>
        <w:rPr>
          <w:spacing w:val="16"/>
        </w:rPr>
        <w:t> </w:t>
      </w:r>
      <w:r>
        <w:rPr/>
        <w:t>be adequate: below, paras 4-014—4-021.</w:t>
      </w:r>
    </w:p>
    <w:p>
      <w:pPr>
        <w:pStyle w:val="BodyText"/>
        <w:spacing w:before="5"/>
      </w:pPr>
    </w:p>
    <w:p>
      <w:pPr>
        <w:tabs>
          <w:tab w:pos="705" w:val="left" w:leader="none"/>
        </w:tabs>
        <w:spacing w:before="0"/>
        <w:ind w:left="165" w:right="0" w:firstLine="0"/>
        <w:jc w:val="left"/>
        <w:rPr>
          <w:sz w:val="20"/>
        </w:rPr>
      </w:pPr>
      <w:bookmarkStart w:name="_bookmark595" w:id="597"/>
      <w:bookmarkEnd w:id="597"/>
      <w:r>
        <w:rPr/>
      </w:r>
      <w:hyperlink w:history="true" w:anchor="_bookmark552">
        <w:r>
          <w:rPr>
            <w:color w:val="005DA1"/>
            <w:spacing w:val="-4"/>
            <w:position w:val="5"/>
            <w:sz w:val="14"/>
            <w:u w:val="single" w:color="005DA1"/>
          </w:rPr>
          <w:t>309</w:t>
        </w:r>
      </w:hyperlink>
      <w:r>
        <w:rPr>
          <w:spacing w:val="-4"/>
          <w:position w:val="5"/>
          <w:sz w:val="14"/>
        </w:rPr>
        <w:t>.</w:t>
      </w:r>
      <w:r>
        <w:rPr>
          <w:position w:val="5"/>
          <w:sz w:val="14"/>
        </w:rPr>
        <w:tab/>
      </w:r>
      <w:r>
        <w:rPr>
          <w:rFonts w:ascii="Arial"/>
          <w:i/>
          <w:sz w:val="20"/>
        </w:rPr>
        <w:t>Paradine v Jane (1647) Aleyn </w:t>
      </w:r>
      <w:r>
        <w:rPr>
          <w:rFonts w:ascii="Arial"/>
          <w:i/>
          <w:spacing w:val="-5"/>
          <w:sz w:val="20"/>
        </w:rPr>
        <w:t>26</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596" w:id="598"/>
      <w:bookmarkEnd w:id="598"/>
      <w:r>
        <w:rPr/>
      </w:r>
      <w:hyperlink w:history="true" w:anchor="_bookmark553">
        <w:r>
          <w:rPr>
            <w:color w:val="005DA1"/>
            <w:spacing w:val="-4"/>
            <w:position w:val="5"/>
            <w:sz w:val="14"/>
            <w:u w:val="single" w:color="005DA1"/>
          </w:rPr>
          <w:t>310</w:t>
        </w:r>
      </w:hyperlink>
      <w:r>
        <w:rPr>
          <w:spacing w:val="-4"/>
          <w:position w:val="5"/>
          <w:sz w:val="14"/>
        </w:rPr>
        <w:t>.</w:t>
      </w:r>
      <w:r>
        <w:rPr>
          <w:position w:val="5"/>
          <w:sz w:val="14"/>
        </w:rPr>
        <w:tab/>
      </w:r>
      <w:r>
        <w:rPr>
          <w:rFonts w:ascii="Arial"/>
          <w:i/>
          <w:sz w:val="20"/>
        </w:rPr>
        <w:t>Taylor</w:t>
      </w:r>
      <w:r>
        <w:rPr>
          <w:rFonts w:ascii="Arial"/>
          <w:i/>
          <w:spacing w:val="-3"/>
          <w:sz w:val="20"/>
        </w:rPr>
        <w:t> </w:t>
      </w:r>
      <w:r>
        <w:rPr>
          <w:rFonts w:ascii="Arial"/>
          <w:i/>
          <w:sz w:val="20"/>
        </w:rPr>
        <w:t>v Caldwell (1863) 3 B.S. 826</w:t>
      </w:r>
      <w:r>
        <w:rPr>
          <w:sz w:val="20"/>
        </w:rPr>
        <w:t>; see below, </w:t>
      </w:r>
      <w:r>
        <w:rPr>
          <w:spacing w:val="-2"/>
          <w:sz w:val="20"/>
        </w:rPr>
        <w:t>Ch.23.</w:t>
      </w:r>
    </w:p>
    <w:p>
      <w:pPr>
        <w:pStyle w:val="BodyText"/>
        <w:spacing w:before="5"/>
      </w:pPr>
    </w:p>
    <w:p>
      <w:pPr>
        <w:tabs>
          <w:tab w:pos="705" w:val="left" w:leader="none"/>
        </w:tabs>
        <w:spacing w:before="0"/>
        <w:ind w:left="165" w:right="0" w:firstLine="0"/>
        <w:jc w:val="left"/>
        <w:rPr>
          <w:sz w:val="20"/>
        </w:rPr>
      </w:pPr>
      <w:bookmarkStart w:name="_bookmark597" w:id="599"/>
      <w:bookmarkEnd w:id="599"/>
      <w:r>
        <w:rPr/>
      </w:r>
      <w:hyperlink w:history="true" w:anchor="_bookmark554">
        <w:r>
          <w:rPr>
            <w:color w:val="005DA1"/>
            <w:spacing w:val="-4"/>
            <w:position w:val="5"/>
            <w:sz w:val="14"/>
            <w:u w:val="single" w:color="005DA1"/>
          </w:rPr>
          <w:t>311</w:t>
        </w:r>
      </w:hyperlink>
      <w:r>
        <w:rPr>
          <w:spacing w:val="-4"/>
          <w:position w:val="5"/>
          <w:sz w:val="14"/>
        </w:rPr>
        <w:t>.</w:t>
      </w:r>
      <w:r>
        <w:rPr>
          <w:position w:val="5"/>
          <w:sz w:val="14"/>
        </w:rPr>
        <w:tab/>
      </w:r>
      <w:r>
        <w:rPr>
          <w:rFonts w:ascii="Arial" w:hAnsi="Arial"/>
          <w:i/>
          <w:sz w:val="20"/>
        </w:rPr>
        <w:t>[1956] A.C. 696, </w:t>
      </w:r>
      <w:r>
        <w:rPr>
          <w:rFonts w:ascii="Arial" w:hAnsi="Arial"/>
          <w:i/>
          <w:spacing w:val="-2"/>
          <w:sz w:val="20"/>
        </w:rPr>
        <w:t>720–729</w:t>
      </w:r>
      <w:r>
        <w:rPr>
          <w:spacing w:val="-2"/>
          <w:sz w:val="20"/>
        </w:rPr>
        <w:t>.</w:t>
      </w:r>
    </w:p>
    <w:p>
      <w:pPr>
        <w:pStyle w:val="BodyText"/>
        <w:spacing w:before="9"/>
      </w:pPr>
    </w:p>
    <w:p>
      <w:pPr>
        <w:tabs>
          <w:tab w:pos="705" w:val="left" w:leader="none"/>
        </w:tabs>
        <w:spacing w:line="235" w:lineRule="auto" w:before="0"/>
        <w:ind w:left="705" w:right="167" w:hanging="541"/>
        <w:jc w:val="left"/>
        <w:rPr>
          <w:rFonts w:ascii="Arial"/>
          <w:i/>
          <w:sz w:val="20"/>
        </w:rPr>
      </w:pPr>
      <w:bookmarkStart w:name="_bookmark598" w:id="600"/>
      <w:bookmarkEnd w:id="600"/>
      <w:r>
        <w:rPr/>
      </w:r>
      <w:hyperlink w:history="true" w:anchor="_bookmark555">
        <w:r>
          <w:rPr>
            <w:color w:val="005DA1"/>
            <w:spacing w:val="-4"/>
            <w:position w:val="5"/>
            <w:sz w:val="14"/>
            <w:u w:val="single" w:color="005DA1"/>
          </w:rPr>
          <w:t>312</w:t>
        </w:r>
      </w:hyperlink>
      <w:r>
        <w:rPr>
          <w:spacing w:val="-4"/>
          <w:position w:val="5"/>
          <w:sz w:val="14"/>
        </w:rPr>
        <w:t>.</w:t>
      </w:r>
      <w:r>
        <w:rPr>
          <w:position w:val="5"/>
          <w:sz w:val="14"/>
        </w:rPr>
        <w:tab/>
      </w:r>
      <w:r>
        <w:rPr>
          <w:sz w:val="20"/>
        </w:rPr>
        <w:t>e.g.</w:t>
      </w:r>
      <w:r>
        <w:rPr>
          <w:spacing w:val="36"/>
          <w:sz w:val="20"/>
        </w:rPr>
        <w:t> </w:t>
      </w:r>
      <w:r>
        <w:rPr>
          <w:rFonts w:ascii="Arial"/>
          <w:i/>
          <w:sz w:val="20"/>
        </w:rPr>
        <w:t>Denny,</w:t>
      </w:r>
      <w:r>
        <w:rPr>
          <w:rFonts w:ascii="Arial"/>
          <w:i/>
          <w:spacing w:val="36"/>
          <w:sz w:val="20"/>
        </w:rPr>
        <w:t> </w:t>
      </w:r>
      <w:r>
        <w:rPr>
          <w:rFonts w:ascii="Arial"/>
          <w:i/>
          <w:sz w:val="20"/>
        </w:rPr>
        <w:t>Mott</w:t>
      </w:r>
      <w:r>
        <w:rPr>
          <w:rFonts w:ascii="Arial"/>
          <w:i/>
          <w:spacing w:val="36"/>
          <w:sz w:val="20"/>
        </w:rPr>
        <w:t> </w:t>
      </w:r>
      <w:r>
        <w:rPr>
          <w:rFonts w:ascii="Arial"/>
          <w:i/>
          <w:sz w:val="20"/>
        </w:rPr>
        <w:t>&amp;</w:t>
      </w:r>
      <w:r>
        <w:rPr>
          <w:rFonts w:ascii="Arial"/>
          <w:i/>
          <w:spacing w:val="36"/>
          <w:sz w:val="20"/>
        </w:rPr>
        <w:t> </w:t>
      </w:r>
      <w:r>
        <w:rPr>
          <w:rFonts w:ascii="Arial"/>
          <w:i/>
          <w:sz w:val="20"/>
        </w:rPr>
        <w:t>Dickson</w:t>
      </w:r>
      <w:r>
        <w:rPr>
          <w:rFonts w:ascii="Arial"/>
          <w:i/>
          <w:spacing w:val="36"/>
          <w:sz w:val="20"/>
        </w:rPr>
        <w:t> </w:t>
      </w:r>
      <w:r>
        <w:rPr>
          <w:rFonts w:ascii="Arial"/>
          <w:i/>
          <w:sz w:val="20"/>
        </w:rPr>
        <w:t>Ltd</w:t>
      </w:r>
      <w:r>
        <w:rPr>
          <w:rFonts w:ascii="Arial"/>
          <w:i/>
          <w:spacing w:val="36"/>
          <w:sz w:val="20"/>
        </w:rPr>
        <w:t> </w:t>
      </w:r>
      <w:r>
        <w:rPr>
          <w:rFonts w:ascii="Arial"/>
          <w:i/>
          <w:sz w:val="20"/>
        </w:rPr>
        <w:t>v</w:t>
      </w:r>
      <w:r>
        <w:rPr>
          <w:rFonts w:ascii="Arial"/>
          <w:i/>
          <w:spacing w:val="36"/>
          <w:sz w:val="20"/>
        </w:rPr>
        <w:t> </w:t>
      </w:r>
      <w:r>
        <w:rPr>
          <w:rFonts w:ascii="Arial"/>
          <w:i/>
          <w:sz w:val="20"/>
        </w:rPr>
        <w:t>James</w:t>
      </w:r>
      <w:r>
        <w:rPr>
          <w:rFonts w:ascii="Arial"/>
          <w:i/>
          <w:spacing w:val="36"/>
          <w:sz w:val="20"/>
        </w:rPr>
        <w:t> </w:t>
      </w:r>
      <w:r>
        <w:rPr>
          <w:rFonts w:ascii="Arial"/>
          <w:i/>
          <w:sz w:val="20"/>
        </w:rPr>
        <w:t>B.</w:t>
      </w:r>
      <w:r>
        <w:rPr>
          <w:rFonts w:ascii="Arial"/>
          <w:i/>
          <w:spacing w:val="36"/>
          <w:sz w:val="20"/>
        </w:rPr>
        <w:t> </w:t>
      </w:r>
      <w:r>
        <w:rPr>
          <w:rFonts w:ascii="Arial"/>
          <w:i/>
          <w:sz w:val="20"/>
        </w:rPr>
        <w:t>Fraser</w:t>
      </w:r>
      <w:r>
        <w:rPr>
          <w:rFonts w:ascii="Arial"/>
          <w:i/>
          <w:spacing w:val="36"/>
          <w:sz w:val="20"/>
        </w:rPr>
        <w:t> </w:t>
      </w:r>
      <w:r>
        <w:rPr>
          <w:rFonts w:ascii="Arial"/>
          <w:i/>
          <w:sz w:val="20"/>
        </w:rPr>
        <w:t>&amp;</w:t>
      </w:r>
      <w:r>
        <w:rPr>
          <w:rFonts w:ascii="Arial"/>
          <w:i/>
          <w:spacing w:val="36"/>
          <w:sz w:val="20"/>
        </w:rPr>
        <w:t> </w:t>
      </w:r>
      <w:r>
        <w:rPr>
          <w:rFonts w:ascii="Arial"/>
          <w:i/>
          <w:sz w:val="20"/>
        </w:rPr>
        <w:t>Co</w:t>
      </w:r>
      <w:r>
        <w:rPr>
          <w:rFonts w:ascii="Arial"/>
          <w:i/>
          <w:spacing w:val="36"/>
          <w:sz w:val="20"/>
        </w:rPr>
        <w:t> </w:t>
      </w:r>
      <w:r>
        <w:rPr>
          <w:rFonts w:ascii="Arial"/>
          <w:i/>
          <w:sz w:val="20"/>
        </w:rPr>
        <w:t>Ltd</w:t>
      </w:r>
      <w:r>
        <w:rPr>
          <w:rFonts w:ascii="Arial"/>
          <w:i/>
          <w:spacing w:val="36"/>
          <w:sz w:val="20"/>
        </w:rPr>
        <w:t> </w:t>
      </w:r>
      <w:r>
        <w:rPr>
          <w:rFonts w:ascii="Arial"/>
          <w:i/>
          <w:sz w:val="20"/>
        </w:rPr>
        <w:t>[1944]</w:t>
      </w:r>
      <w:r>
        <w:rPr>
          <w:rFonts w:ascii="Arial"/>
          <w:i/>
          <w:spacing w:val="36"/>
          <w:sz w:val="20"/>
        </w:rPr>
        <w:t> </w:t>
      </w:r>
      <w:r>
        <w:rPr>
          <w:rFonts w:ascii="Arial"/>
          <w:i/>
          <w:sz w:val="20"/>
        </w:rPr>
        <w:t>A.C.</w:t>
      </w:r>
      <w:r>
        <w:rPr>
          <w:rFonts w:ascii="Arial"/>
          <w:i/>
          <w:spacing w:val="36"/>
          <w:sz w:val="20"/>
        </w:rPr>
        <w:t> </w:t>
      </w:r>
      <w:r>
        <w:rPr>
          <w:rFonts w:ascii="Arial"/>
          <w:i/>
          <w:sz w:val="20"/>
        </w:rPr>
        <w:t>265,</w:t>
      </w:r>
      <w:r>
        <w:rPr>
          <w:rFonts w:ascii="Arial"/>
          <w:i/>
          <w:spacing w:val="36"/>
          <w:sz w:val="20"/>
        </w:rPr>
        <w:t> </w:t>
      </w:r>
      <w:r>
        <w:rPr>
          <w:rFonts w:ascii="Arial"/>
          <w:i/>
          <w:sz w:val="20"/>
        </w:rPr>
        <w:t>275</w:t>
      </w:r>
      <w:r>
        <w:rPr>
          <w:sz w:val="20"/>
        </w:rPr>
        <w:t>;</w:t>
      </w:r>
      <w:r>
        <w:rPr>
          <w:spacing w:val="36"/>
          <w:sz w:val="20"/>
        </w:rPr>
        <w:t> </w:t>
      </w:r>
      <w:r>
        <w:rPr>
          <w:rFonts w:ascii="Arial"/>
          <w:i/>
          <w:sz w:val="20"/>
        </w:rPr>
        <w:t>British Movietonews</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London</w:t>
      </w:r>
      <w:r>
        <w:rPr>
          <w:rFonts w:ascii="Arial"/>
          <w:i/>
          <w:spacing w:val="21"/>
          <w:sz w:val="20"/>
        </w:rPr>
        <w:t> </w:t>
      </w:r>
      <w:r>
        <w:rPr>
          <w:rFonts w:ascii="Arial"/>
          <w:i/>
          <w:sz w:val="20"/>
        </w:rPr>
        <w:t>and</w:t>
      </w:r>
      <w:r>
        <w:rPr>
          <w:rFonts w:ascii="Arial"/>
          <w:i/>
          <w:spacing w:val="21"/>
          <w:sz w:val="20"/>
        </w:rPr>
        <w:t> </w:t>
      </w:r>
      <w:r>
        <w:rPr>
          <w:rFonts w:ascii="Arial"/>
          <w:i/>
          <w:sz w:val="20"/>
        </w:rPr>
        <w:t>District</w:t>
      </w:r>
      <w:r>
        <w:rPr>
          <w:rFonts w:ascii="Arial"/>
          <w:i/>
          <w:spacing w:val="21"/>
          <w:sz w:val="20"/>
        </w:rPr>
        <w:t> </w:t>
      </w:r>
      <w:r>
        <w:rPr>
          <w:rFonts w:ascii="Arial"/>
          <w:i/>
          <w:sz w:val="20"/>
        </w:rPr>
        <w:t>Cinemas</w:t>
      </w:r>
      <w:r>
        <w:rPr>
          <w:rFonts w:ascii="Arial"/>
          <w:i/>
          <w:spacing w:val="21"/>
          <w:sz w:val="20"/>
        </w:rPr>
        <w:t> </w:t>
      </w:r>
      <w:r>
        <w:rPr>
          <w:rFonts w:ascii="Arial"/>
          <w:i/>
          <w:sz w:val="20"/>
        </w:rPr>
        <w:t>Ltd</w:t>
      </w:r>
      <w:r>
        <w:rPr>
          <w:rFonts w:ascii="Arial"/>
          <w:i/>
          <w:spacing w:val="21"/>
          <w:sz w:val="20"/>
        </w:rPr>
        <w:t> </w:t>
      </w:r>
      <w:r>
        <w:rPr>
          <w:rFonts w:ascii="Arial"/>
          <w:i/>
          <w:sz w:val="20"/>
        </w:rPr>
        <w:t>[1951]</w:t>
      </w:r>
      <w:r>
        <w:rPr>
          <w:rFonts w:ascii="Arial"/>
          <w:i/>
          <w:spacing w:val="21"/>
          <w:sz w:val="20"/>
        </w:rPr>
        <w:t> </w:t>
      </w:r>
      <w:r>
        <w:rPr>
          <w:rFonts w:ascii="Arial"/>
          <w:i/>
          <w:sz w:val="20"/>
        </w:rPr>
        <w:t>1</w:t>
      </w:r>
      <w:r>
        <w:rPr>
          <w:rFonts w:ascii="Arial"/>
          <w:i/>
          <w:spacing w:val="21"/>
          <w:sz w:val="20"/>
        </w:rPr>
        <w:t> </w:t>
      </w:r>
      <w:r>
        <w:rPr>
          <w:rFonts w:ascii="Arial"/>
          <w:i/>
          <w:sz w:val="20"/>
        </w:rPr>
        <w:t>K.B.</w:t>
      </w:r>
      <w:r>
        <w:rPr>
          <w:rFonts w:ascii="Arial"/>
          <w:i/>
          <w:spacing w:val="21"/>
          <w:sz w:val="20"/>
        </w:rPr>
        <w:t> </w:t>
      </w:r>
      <w:r>
        <w:rPr>
          <w:rFonts w:ascii="Arial"/>
          <w:i/>
          <w:sz w:val="20"/>
        </w:rPr>
        <w:t>190,</w:t>
      </w:r>
      <w:r>
        <w:rPr>
          <w:rFonts w:ascii="Arial"/>
          <w:i/>
          <w:spacing w:val="21"/>
          <w:sz w:val="20"/>
        </w:rPr>
        <w:t> </w:t>
      </w:r>
      <w:r>
        <w:rPr>
          <w:rFonts w:ascii="Arial"/>
          <w:i/>
          <w:sz w:val="20"/>
        </w:rPr>
        <w:t>202</w:t>
      </w:r>
      <w:r>
        <w:rPr>
          <w:rFonts w:ascii="Arial"/>
          <w:i/>
          <w:spacing w:val="21"/>
          <w:sz w:val="20"/>
        </w:rPr>
        <w:t> </w:t>
      </w:r>
      <w:r>
        <w:rPr>
          <w:rFonts w:ascii="Arial"/>
          <w:i/>
          <w:sz w:val="20"/>
        </w:rPr>
        <w:t>(reversed</w:t>
      </w:r>
      <w:r>
        <w:rPr>
          <w:rFonts w:ascii="Arial"/>
          <w:i/>
          <w:spacing w:val="21"/>
          <w:sz w:val="20"/>
        </w:rPr>
        <w:t> </w:t>
      </w:r>
      <w:r>
        <w:rPr>
          <w:rFonts w:ascii="Arial"/>
          <w:i/>
          <w:spacing w:val="-2"/>
          <w:sz w:val="20"/>
        </w:rPr>
        <w:t>[1952]</w:t>
      </w:r>
    </w:p>
    <w:p>
      <w:pPr>
        <w:spacing w:line="225" w:lineRule="exact" w:before="0"/>
        <w:ind w:left="705" w:right="0" w:firstLine="0"/>
        <w:jc w:val="left"/>
        <w:rPr>
          <w:sz w:val="20"/>
        </w:rPr>
      </w:pPr>
      <w:r>
        <w:rPr>
          <w:rFonts w:ascii="Arial"/>
          <w:i/>
          <w:sz w:val="20"/>
        </w:rPr>
        <w:t>A.C. </w:t>
      </w:r>
      <w:r>
        <w:rPr>
          <w:rFonts w:ascii="Arial"/>
          <w:i/>
          <w:spacing w:val="-2"/>
          <w:sz w:val="20"/>
        </w:rPr>
        <w:t>166)</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599" w:id="601"/>
      <w:bookmarkEnd w:id="601"/>
      <w:r>
        <w:rPr/>
      </w:r>
      <w:hyperlink w:history="true" w:anchor="_bookmark556">
        <w:r>
          <w:rPr>
            <w:color w:val="005DA1"/>
            <w:spacing w:val="-4"/>
            <w:position w:val="5"/>
            <w:sz w:val="14"/>
            <w:u w:val="single" w:color="005DA1"/>
          </w:rPr>
          <w:t>313</w:t>
        </w:r>
      </w:hyperlink>
      <w:r>
        <w:rPr>
          <w:spacing w:val="-4"/>
          <w:position w:val="5"/>
          <w:sz w:val="14"/>
        </w:rPr>
        <w:t>.</w:t>
      </w:r>
      <w:r>
        <w:rPr>
          <w:position w:val="5"/>
          <w:sz w:val="14"/>
        </w:rPr>
        <w:tab/>
      </w:r>
      <w:r>
        <w:rPr>
          <w:rFonts w:ascii="Arial" w:hAnsi="Arial"/>
          <w:i/>
          <w:sz w:val="20"/>
        </w:rPr>
        <w:t>[1956]</w:t>
      </w:r>
      <w:r>
        <w:rPr>
          <w:rFonts w:ascii="Arial" w:hAnsi="Arial"/>
          <w:i/>
          <w:spacing w:val="-1"/>
          <w:sz w:val="20"/>
        </w:rPr>
        <w:t> </w:t>
      </w:r>
      <w:r>
        <w:rPr>
          <w:rFonts w:ascii="Arial" w:hAnsi="Arial"/>
          <w:i/>
          <w:sz w:val="20"/>
        </w:rPr>
        <w:t>A.C. 696, 720–721</w:t>
      </w:r>
      <w:r>
        <w:rPr>
          <w:sz w:val="20"/>
        </w:rPr>
        <w:t>; and see below, para.23-</w:t>
      </w:r>
      <w:r>
        <w:rPr>
          <w:spacing w:val="-4"/>
          <w:sz w:val="20"/>
        </w:rPr>
        <w:t>011.</w:t>
      </w:r>
    </w:p>
    <w:p>
      <w:pPr>
        <w:pStyle w:val="BodyText"/>
        <w:spacing w:before="5"/>
      </w:pPr>
    </w:p>
    <w:p>
      <w:pPr>
        <w:tabs>
          <w:tab w:pos="705" w:val="left" w:leader="none"/>
        </w:tabs>
        <w:spacing w:before="0"/>
        <w:ind w:left="165" w:right="0" w:firstLine="0"/>
        <w:jc w:val="left"/>
        <w:rPr>
          <w:sz w:val="20"/>
        </w:rPr>
      </w:pPr>
      <w:bookmarkStart w:name="_bookmark600" w:id="602"/>
      <w:bookmarkEnd w:id="602"/>
      <w:r>
        <w:rPr/>
      </w:r>
      <w:hyperlink w:history="true" w:anchor="_bookmark557">
        <w:r>
          <w:rPr>
            <w:color w:val="005DA1"/>
            <w:spacing w:val="-4"/>
            <w:position w:val="5"/>
            <w:sz w:val="14"/>
            <w:u w:val="single" w:color="005DA1"/>
          </w:rPr>
          <w:t>314</w:t>
        </w:r>
      </w:hyperlink>
      <w:r>
        <w:rPr>
          <w:spacing w:val="-4"/>
          <w:position w:val="5"/>
          <w:sz w:val="14"/>
        </w:rPr>
        <w:t>.</w:t>
      </w:r>
      <w:r>
        <w:rPr>
          <w:position w:val="5"/>
          <w:sz w:val="14"/>
        </w:rPr>
        <w:tab/>
      </w:r>
      <w:r>
        <w:rPr>
          <w:rFonts w:ascii="Arial"/>
          <w:i/>
          <w:sz w:val="20"/>
        </w:rPr>
        <w:t>[1956]</w:t>
      </w:r>
      <w:r>
        <w:rPr>
          <w:rFonts w:ascii="Arial"/>
          <w:i/>
          <w:spacing w:val="-2"/>
          <w:sz w:val="20"/>
        </w:rPr>
        <w:t> </w:t>
      </w:r>
      <w:r>
        <w:rPr>
          <w:rFonts w:ascii="Arial"/>
          <w:i/>
          <w:sz w:val="20"/>
        </w:rPr>
        <w:t>A.C. </w:t>
      </w:r>
      <w:r>
        <w:rPr>
          <w:rFonts w:ascii="Arial"/>
          <w:i/>
          <w:spacing w:val="-4"/>
          <w:sz w:val="20"/>
        </w:rPr>
        <w:t>696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01" w:id="603"/>
      <w:bookmarkEnd w:id="603"/>
      <w:r>
        <w:rPr/>
      </w:r>
      <w:hyperlink w:history="true" w:anchor="_bookmark558">
        <w:r>
          <w:rPr>
            <w:color w:val="005DA1"/>
            <w:spacing w:val="-4"/>
            <w:position w:val="5"/>
            <w:sz w:val="14"/>
            <w:u w:val="single" w:color="005DA1"/>
          </w:rPr>
          <w:t>315</w:t>
        </w:r>
      </w:hyperlink>
      <w:r>
        <w:rPr>
          <w:spacing w:val="-4"/>
          <w:position w:val="5"/>
          <w:sz w:val="14"/>
        </w:rPr>
        <w:t>.</w:t>
      </w:r>
      <w:r>
        <w:rPr>
          <w:position w:val="5"/>
          <w:sz w:val="14"/>
        </w:rPr>
        <w:tab/>
      </w:r>
      <w:r>
        <w:rPr>
          <w:rFonts w:ascii="Arial"/>
          <w:i/>
          <w:sz w:val="20"/>
        </w:rPr>
        <w:t>[1956]</w:t>
      </w:r>
      <w:r>
        <w:rPr>
          <w:rFonts w:ascii="Arial"/>
          <w:i/>
          <w:spacing w:val="-1"/>
          <w:sz w:val="20"/>
        </w:rPr>
        <w:t> </w:t>
      </w:r>
      <w:r>
        <w:rPr>
          <w:rFonts w:ascii="Arial"/>
          <w:i/>
          <w:sz w:val="20"/>
        </w:rPr>
        <w:t>A.C. 696, 729</w:t>
      </w:r>
      <w:r>
        <w:rPr>
          <w:sz w:val="20"/>
        </w:rPr>
        <w:t>; and see below, para.23-</w:t>
      </w:r>
      <w:r>
        <w:rPr>
          <w:spacing w:val="-4"/>
          <w:sz w:val="20"/>
        </w:rPr>
        <w:t>012.</w:t>
      </w:r>
    </w:p>
    <w:p>
      <w:pPr>
        <w:pStyle w:val="BodyText"/>
        <w:spacing w:before="5"/>
      </w:pPr>
    </w:p>
    <w:p>
      <w:pPr>
        <w:pStyle w:val="BodyText"/>
        <w:tabs>
          <w:tab w:pos="705" w:val="left" w:leader="none"/>
        </w:tabs>
        <w:ind w:left="165"/>
      </w:pPr>
      <w:bookmarkStart w:name="_bookmark602" w:id="604"/>
      <w:bookmarkEnd w:id="604"/>
      <w:r>
        <w:rPr/>
      </w:r>
      <w:hyperlink w:history="true" w:anchor="_bookmark558">
        <w:r>
          <w:rPr>
            <w:color w:val="005DA1"/>
            <w:spacing w:val="-4"/>
            <w:position w:val="5"/>
            <w:sz w:val="14"/>
            <w:u w:val="single" w:color="005DA1"/>
          </w:rPr>
          <w:t>316</w:t>
        </w:r>
      </w:hyperlink>
      <w:r>
        <w:rPr>
          <w:spacing w:val="-4"/>
          <w:position w:val="5"/>
          <w:sz w:val="14"/>
        </w:rPr>
        <w:t>.</w:t>
      </w:r>
      <w:r>
        <w:rPr>
          <w:position w:val="5"/>
          <w:sz w:val="14"/>
        </w:rPr>
        <w:tab/>
      </w:r>
      <w:r>
        <w:rPr/>
        <w:t>See</w:t>
      </w:r>
      <w:r>
        <w:rPr>
          <w:spacing w:val="-2"/>
        </w:rPr>
        <w:t> </w:t>
      </w:r>
      <w:r>
        <w:rPr/>
        <w:t>below, para.23-</w:t>
      </w:r>
      <w:r>
        <w:rPr>
          <w:spacing w:val="-4"/>
        </w:rPr>
        <w:t>013.</w:t>
      </w:r>
    </w:p>
    <w:p>
      <w:pPr>
        <w:pStyle w:val="BodyText"/>
        <w:spacing w:before="9"/>
      </w:pPr>
    </w:p>
    <w:p>
      <w:pPr>
        <w:spacing w:line="235" w:lineRule="auto" w:before="0"/>
        <w:ind w:left="705" w:right="168" w:hanging="541"/>
        <w:jc w:val="both"/>
        <w:rPr>
          <w:sz w:val="20"/>
        </w:rPr>
      </w:pPr>
      <w:bookmarkStart w:name="_bookmark603" w:id="605"/>
      <w:bookmarkEnd w:id="605"/>
      <w:r>
        <w:rPr/>
      </w:r>
      <w:hyperlink w:history="true" w:anchor="_bookmark559">
        <w:r>
          <w:rPr>
            <w:color w:val="005DA1"/>
            <w:position w:val="5"/>
            <w:sz w:val="14"/>
            <w:u w:val="single" w:color="005DA1"/>
          </w:rPr>
          <w:t>317</w:t>
        </w:r>
      </w:hyperlink>
      <w:r>
        <w:rPr>
          <w:position w:val="5"/>
          <w:sz w:val="14"/>
        </w:rPr>
        <w:t>.</w:t>
      </w:r>
      <w:r>
        <w:rPr>
          <w:spacing w:val="80"/>
          <w:position w:val="5"/>
          <w:sz w:val="14"/>
        </w:rPr>
        <w:t> </w:t>
      </w:r>
      <w:r>
        <w:rPr>
          <w:rFonts w:ascii="Arial"/>
          <w:i/>
          <w:sz w:val="20"/>
        </w:rPr>
        <w:t>British Movietonews Ltd v London and District Cinemas Ltd [1952] A.C. 166, 185</w:t>
      </w:r>
      <w:r>
        <w:rPr>
          <w:sz w:val="20"/>
        </w:rPr>
        <w:t>; </w:t>
      </w:r>
      <w:r>
        <w:rPr>
          <w:rFonts w:ascii="Arial"/>
          <w:i/>
          <w:sz w:val="20"/>
        </w:rPr>
        <w:t>Davis Contractors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Fareham</w:t>
      </w:r>
      <w:r>
        <w:rPr>
          <w:rFonts w:ascii="Arial"/>
          <w:i/>
          <w:spacing w:val="-1"/>
          <w:sz w:val="20"/>
        </w:rPr>
        <w:t> </w:t>
      </w:r>
      <w:r>
        <w:rPr>
          <w:rFonts w:ascii="Arial"/>
          <w:i/>
          <w:sz w:val="20"/>
        </w:rPr>
        <w:t>Urban</w:t>
      </w:r>
      <w:r>
        <w:rPr>
          <w:rFonts w:ascii="Arial"/>
          <w:i/>
          <w:spacing w:val="-1"/>
          <w:sz w:val="20"/>
        </w:rPr>
        <w:t> </w:t>
      </w:r>
      <w:r>
        <w:rPr>
          <w:rFonts w:ascii="Arial"/>
          <w:i/>
          <w:sz w:val="20"/>
        </w:rPr>
        <w:t>DC</w:t>
      </w:r>
      <w:r>
        <w:rPr>
          <w:rFonts w:ascii="Arial"/>
          <w:i/>
          <w:spacing w:val="-1"/>
          <w:sz w:val="20"/>
        </w:rPr>
        <w:t> </w:t>
      </w:r>
      <w:r>
        <w:rPr>
          <w:rFonts w:ascii="Arial"/>
          <w:i/>
          <w:sz w:val="20"/>
        </w:rPr>
        <w:t>Ltd</w:t>
      </w:r>
      <w:r>
        <w:rPr>
          <w:rFonts w:ascii="Arial"/>
          <w:i/>
          <w:spacing w:val="-1"/>
          <w:sz w:val="20"/>
        </w:rPr>
        <w:t> </w:t>
      </w:r>
      <w:r>
        <w:rPr>
          <w:rFonts w:ascii="Arial"/>
          <w:i/>
          <w:sz w:val="20"/>
        </w:rPr>
        <w:t>[1956]</w:t>
      </w:r>
      <w:r>
        <w:rPr>
          <w:rFonts w:ascii="Arial"/>
          <w:i/>
          <w:spacing w:val="-1"/>
          <w:sz w:val="20"/>
        </w:rPr>
        <w:t> </w:t>
      </w:r>
      <w:r>
        <w:rPr>
          <w:rFonts w:ascii="Arial"/>
          <w:i/>
          <w:sz w:val="20"/>
        </w:rPr>
        <w:t>A.C.</w:t>
      </w:r>
      <w:r>
        <w:rPr>
          <w:rFonts w:ascii="Arial"/>
          <w:i/>
          <w:spacing w:val="-1"/>
          <w:sz w:val="20"/>
        </w:rPr>
        <w:t> </w:t>
      </w:r>
      <w:r>
        <w:rPr>
          <w:rFonts w:ascii="Arial"/>
          <w:i/>
          <w:sz w:val="20"/>
        </w:rPr>
        <w:t>696</w:t>
      </w:r>
      <w:r>
        <w:rPr>
          <w:sz w:val="20"/>
        </w:rPr>
        <w:t>;</w:t>
      </w:r>
      <w:r>
        <w:rPr>
          <w:spacing w:val="-1"/>
          <w:sz w:val="20"/>
        </w:rPr>
        <w:t> </w:t>
      </w:r>
      <w:r>
        <w:rPr>
          <w:rFonts w:ascii="Arial"/>
          <w:i/>
          <w:sz w:val="20"/>
        </w:rPr>
        <w:t>Tsakiroglou</w:t>
      </w:r>
      <w:r>
        <w:rPr>
          <w:rFonts w:ascii="Arial"/>
          <w:i/>
          <w:spacing w:val="-1"/>
          <w:sz w:val="20"/>
        </w:rPr>
        <w:t> </w:t>
      </w:r>
      <w:r>
        <w:rPr>
          <w:rFonts w:ascii="Arial"/>
          <w:i/>
          <w:sz w:val="20"/>
        </w:rPr>
        <w:t>&amp;</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Noblee</w:t>
      </w:r>
      <w:r>
        <w:rPr>
          <w:rFonts w:ascii="Arial"/>
          <w:i/>
          <w:spacing w:val="-1"/>
          <w:sz w:val="20"/>
        </w:rPr>
        <w:t> </w:t>
      </w:r>
      <w:r>
        <w:rPr>
          <w:rFonts w:ascii="Arial"/>
          <w:i/>
          <w:sz w:val="20"/>
        </w:rPr>
        <w:t>Thorl GmbH [1962] A.C. 93</w:t>
      </w:r>
      <w:r>
        <w:rPr>
          <w:sz w:val="20"/>
        </w:rPr>
        <w:t>.</w:t>
      </w:r>
    </w:p>
    <w:p>
      <w:pPr>
        <w:pStyle w:val="BodyText"/>
        <w:spacing w:before="5"/>
      </w:pPr>
    </w:p>
    <w:p>
      <w:pPr>
        <w:tabs>
          <w:tab w:pos="705" w:val="left" w:leader="none"/>
        </w:tabs>
        <w:spacing w:before="0"/>
        <w:ind w:left="165" w:right="0" w:firstLine="0"/>
        <w:jc w:val="left"/>
        <w:rPr>
          <w:sz w:val="20"/>
        </w:rPr>
      </w:pPr>
      <w:bookmarkStart w:name="_bookmark604" w:id="606"/>
      <w:bookmarkEnd w:id="606"/>
      <w:r>
        <w:rPr/>
      </w:r>
      <w:hyperlink w:history="true" w:anchor="_bookmark560">
        <w:r>
          <w:rPr>
            <w:color w:val="005DA1"/>
            <w:spacing w:val="-4"/>
            <w:position w:val="5"/>
            <w:sz w:val="14"/>
            <w:u w:val="single" w:color="005DA1"/>
          </w:rPr>
          <w:t>318</w:t>
        </w:r>
      </w:hyperlink>
      <w:r>
        <w:rPr>
          <w:spacing w:val="-4"/>
          <w:position w:val="5"/>
          <w:sz w:val="14"/>
        </w:rPr>
        <w:t>.</w:t>
      </w:r>
      <w:r>
        <w:rPr>
          <w:position w:val="5"/>
          <w:sz w:val="14"/>
        </w:rPr>
        <w:tab/>
      </w:r>
      <w:r>
        <w:rPr>
          <w:sz w:val="20"/>
        </w:rPr>
        <w:t>See below, </w:t>
      </w:r>
      <w:r>
        <w:rPr>
          <w:spacing w:val="-2"/>
          <w:sz w:val="20"/>
        </w:rPr>
        <w:t>Ch.16.</w:t>
      </w:r>
    </w:p>
    <w:p>
      <w:pPr>
        <w:pStyle w:val="BodyText"/>
        <w:spacing w:before="9"/>
      </w:pPr>
    </w:p>
    <w:p>
      <w:pPr>
        <w:spacing w:line="235" w:lineRule="auto" w:before="0"/>
        <w:ind w:left="705" w:right="167" w:hanging="541"/>
        <w:jc w:val="both"/>
        <w:rPr>
          <w:sz w:val="20"/>
        </w:rPr>
      </w:pPr>
      <w:bookmarkStart w:name="_bookmark605" w:id="607"/>
      <w:bookmarkEnd w:id="607"/>
      <w:r>
        <w:rPr/>
      </w:r>
      <w:hyperlink w:history="true" w:anchor="_bookmark561">
        <w:r>
          <w:rPr>
            <w:color w:val="005DA1"/>
            <w:position w:val="5"/>
            <w:sz w:val="14"/>
            <w:u w:val="single" w:color="005DA1"/>
          </w:rPr>
          <w:t>319</w:t>
        </w:r>
      </w:hyperlink>
      <w:r>
        <w:rPr>
          <w:position w:val="5"/>
          <w:sz w:val="14"/>
        </w:rPr>
        <w:t>.</w:t>
      </w:r>
      <w:r>
        <w:rPr>
          <w:spacing w:val="80"/>
          <w:position w:val="5"/>
          <w:sz w:val="14"/>
        </w:rPr>
        <w:t>  </w:t>
      </w:r>
      <w:r>
        <w:rPr>
          <w:sz w:val="20"/>
        </w:rPr>
        <w:t>See below, paras 26-178 et seq. Another exception is to be found in the inability of the </w:t>
      </w:r>
      <w:r>
        <w:rPr>
          <w:sz w:val="20"/>
        </w:rPr>
        <w:t>parties</w:t>
      </w:r>
      <w:r>
        <w:rPr>
          <w:spacing w:val="80"/>
          <w:sz w:val="20"/>
        </w:rPr>
        <w:t> </w:t>
      </w:r>
      <w:r>
        <w:rPr>
          <w:sz w:val="20"/>
        </w:rPr>
        <w:t>to a contract to fetter the discretion of the court in deciding whether to grant the remedy of specific performance: </w:t>
      </w:r>
      <w:r>
        <w:rPr>
          <w:rFonts w:ascii="Arial"/>
          <w:i/>
          <w:sz w:val="20"/>
        </w:rPr>
        <w:t>Quadrant Visual Communications Ltd v Hutchison Telephone (UK) Ltd [1993] B.C.L.C. 442, 451, 452</w:t>
      </w:r>
      <w:r>
        <w:rPr>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7008">
            <wp:simplePos x="0" y="0"/>
            <wp:positionH relativeFrom="page">
              <wp:posOffset>1257846</wp:posOffset>
            </wp:positionH>
            <wp:positionV relativeFrom="paragraph">
              <wp:posOffset>160518</wp:posOffset>
            </wp:positionV>
            <wp:extent cx="107988" cy="107988"/>
            <wp:effectExtent l="0" t="0" r="0" b="0"/>
            <wp:wrapNone/>
            <wp:docPr id="231" name="Image 231"/>
            <wp:cNvGraphicFramePr>
              <a:graphicFrameLocks/>
            </wp:cNvGraphicFramePr>
            <a:graphic>
              <a:graphicData uri="http://schemas.openxmlformats.org/drawingml/2006/picture">
                <pic:pic>
                  <pic:nvPicPr>
                    <pic:cNvPr id="231" name="Image 23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06" w:id="608"/>
      <w:bookmarkEnd w:id="608"/>
      <w:r>
        <w:rPr/>
      </w:r>
      <w:hyperlink w:history="true" w:anchor="_bookmark562">
        <w:r>
          <w:rPr>
            <w:color w:val="005DA1"/>
            <w:spacing w:val="-4"/>
            <w:sz w:val="14"/>
            <w:u w:val="single" w:color="005DA1"/>
          </w:rPr>
          <w:t>320</w:t>
        </w:r>
      </w:hyperlink>
      <w:r>
        <w:rPr>
          <w:spacing w:val="-4"/>
          <w:sz w:val="14"/>
        </w:rPr>
        <w:t>.</w:t>
      </w:r>
    </w:p>
    <w:p>
      <w:pPr>
        <w:spacing w:line="235" w:lineRule="auto" w:before="212"/>
        <w:ind w:left="165" w:right="166" w:firstLine="170"/>
        <w:jc w:val="left"/>
        <w:rPr>
          <w:sz w:val="20"/>
        </w:rPr>
      </w:pPr>
      <w:r>
        <w:rPr/>
        <w:br w:type="column"/>
      </w:r>
      <w:r>
        <w:rPr>
          <w:rFonts w:ascii="Arial"/>
          <w:i/>
          <w:sz w:val="20"/>
        </w:rPr>
        <w:t>Cavendish Square Holding BV v Makdessi, ParkingEye Ltd v Beavis [2015] UKSC 67, [2015] 3</w:t>
      </w:r>
      <w:r>
        <w:rPr>
          <w:rFonts w:ascii="Arial"/>
          <w:i/>
          <w:spacing w:val="2"/>
          <w:sz w:val="20"/>
        </w:rPr>
        <w:t> </w:t>
      </w:r>
      <w:r>
        <w:rPr>
          <w:rFonts w:ascii="Arial"/>
          <w:i/>
          <w:sz w:val="20"/>
        </w:rPr>
        <w:t>W.L.R.</w:t>
      </w:r>
      <w:r>
        <w:rPr>
          <w:rFonts w:ascii="Arial"/>
          <w:i/>
          <w:spacing w:val="2"/>
          <w:sz w:val="20"/>
        </w:rPr>
        <w:t> </w:t>
      </w:r>
      <w:r>
        <w:rPr>
          <w:rFonts w:ascii="Arial"/>
          <w:i/>
          <w:sz w:val="20"/>
        </w:rPr>
        <w:t>1373</w:t>
      </w:r>
      <w:r>
        <w:rPr>
          <w:rFonts w:ascii="Arial"/>
          <w:i/>
          <w:spacing w:val="2"/>
          <w:sz w:val="20"/>
        </w:rPr>
        <w:t> </w:t>
      </w:r>
      <w:r>
        <w:rPr>
          <w:sz w:val="20"/>
        </w:rPr>
        <w:t>at</w:t>
      </w:r>
      <w:r>
        <w:rPr>
          <w:spacing w:val="2"/>
          <w:sz w:val="20"/>
        </w:rPr>
        <w:t> </w:t>
      </w:r>
      <w:r>
        <w:rPr>
          <w:sz w:val="20"/>
        </w:rPr>
        <w:t>[32]</w:t>
      </w:r>
      <w:r>
        <w:rPr>
          <w:spacing w:val="2"/>
          <w:sz w:val="20"/>
        </w:rPr>
        <w:t> </w:t>
      </w:r>
      <w:r>
        <w:rPr>
          <w:sz w:val="20"/>
        </w:rPr>
        <w:t>per</w:t>
      </w:r>
      <w:r>
        <w:rPr>
          <w:spacing w:val="2"/>
          <w:sz w:val="20"/>
        </w:rPr>
        <w:t> </w:t>
      </w:r>
      <w:r>
        <w:rPr>
          <w:sz w:val="20"/>
        </w:rPr>
        <w:t>Lord</w:t>
      </w:r>
      <w:r>
        <w:rPr>
          <w:spacing w:val="2"/>
          <w:sz w:val="20"/>
        </w:rPr>
        <w:t> </w:t>
      </w:r>
      <w:r>
        <w:rPr>
          <w:sz w:val="20"/>
        </w:rPr>
        <w:t>Neuberger</w:t>
      </w:r>
      <w:r>
        <w:rPr>
          <w:spacing w:val="2"/>
          <w:sz w:val="20"/>
        </w:rPr>
        <w:t> </w:t>
      </w:r>
      <w:r>
        <w:rPr>
          <w:sz w:val="20"/>
        </w:rPr>
        <w:t>of</w:t>
      </w:r>
      <w:r>
        <w:rPr>
          <w:spacing w:val="2"/>
          <w:sz w:val="20"/>
        </w:rPr>
        <w:t> </w:t>
      </w:r>
      <w:r>
        <w:rPr>
          <w:sz w:val="20"/>
        </w:rPr>
        <w:t>Abbotsbury</w:t>
      </w:r>
      <w:r>
        <w:rPr>
          <w:spacing w:val="2"/>
          <w:sz w:val="20"/>
        </w:rPr>
        <w:t> </w:t>
      </w:r>
      <w:r>
        <w:rPr>
          <w:sz w:val="20"/>
        </w:rPr>
        <w:t>P.S.C.</w:t>
      </w:r>
      <w:r>
        <w:rPr>
          <w:spacing w:val="2"/>
          <w:sz w:val="20"/>
        </w:rPr>
        <w:t> </w:t>
      </w:r>
      <w:r>
        <w:rPr>
          <w:sz w:val="20"/>
        </w:rPr>
        <w:t>and</w:t>
      </w:r>
      <w:r>
        <w:rPr>
          <w:spacing w:val="2"/>
          <w:sz w:val="20"/>
        </w:rPr>
        <w:t> </w:t>
      </w:r>
      <w:r>
        <w:rPr>
          <w:sz w:val="20"/>
        </w:rPr>
        <w:t>Lord</w:t>
      </w:r>
      <w:r>
        <w:rPr>
          <w:spacing w:val="2"/>
          <w:sz w:val="20"/>
        </w:rPr>
        <w:t> </w:t>
      </w:r>
      <w:r>
        <w:rPr>
          <w:sz w:val="20"/>
        </w:rPr>
        <w:t>Sumption</w:t>
      </w:r>
      <w:r>
        <w:rPr>
          <w:spacing w:val="2"/>
          <w:sz w:val="20"/>
        </w:rPr>
        <w:t> </w:t>
      </w:r>
      <w:r>
        <w:rPr>
          <w:sz w:val="20"/>
        </w:rPr>
        <w:t>J.S.C.</w:t>
      </w:r>
      <w:r>
        <w:rPr>
          <w:spacing w:val="2"/>
          <w:sz w:val="20"/>
        </w:rPr>
        <w:t> </w:t>
      </w:r>
      <w:r>
        <w:rPr>
          <w:spacing w:val="-2"/>
          <w:sz w:val="20"/>
        </w:rPr>
        <w:t>(with</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line="235" w:lineRule="auto" w:before="110"/>
        <w:ind w:left="705" w:right="167"/>
        <w:jc w:val="both"/>
      </w:pPr>
      <w:r>
        <w:rPr/>
        <w:t>whom Lord Carnwath and Lord Clarke of Stone-cum-Ebony JJ.S.C. (at [291] agreed); and </w:t>
      </w:r>
      <w:r>
        <w:rPr/>
        <w:t>see similarly at [152] (Lord Mance J.S.C.) and [255] (Lord Hodge J.S.C., with whom Lord Toulson J.S.C. at [292] agreed on this issue). On this decision see paras 26-178 et seq.</w:t>
      </w:r>
    </w:p>
    <w:p>
      <w:pPr>
        <w:pStyle w:val="BodyText"/>
        <w:spacing w:before="9"/>
      </w:pPr>
    </w:p>
    <w:p>
      <w:pPr>
        <w:pStyle w:val="BodyText"/>
        <w:spacing w:line="235" w:lineRule="auto"/>
        <w:ind w:left="705" w:right="167" w:hanging="541"/>
        <w:jc w:val="both"/>
      </w:pPr>
      <w:bookmarkStart w:name="_bookmark607" w:id="609"/>
      <w:bookmarkEnd w:id="609"/>
      <w:r>
        <w:rPr/>
      </w:r>
      <w:hyperlink w:history="true" w:anchor="_bookmark563">
        <w:r>
          <w:rPr>
            <w:color w:val="005DA1"/>
            <w:position w:val="5"/>
            <w:sz w:val="14"/>
            <w:u w:val="single" w:color="005DA1"/>
          </w:rPr>
          <w:t>321</w:t>
        </w:r>
      </w:hyperlink>
      <w:r>
        <w:rPr>
          <w:position w:val="5"/>
          <w:sz w:val="14"/>
        </w:rPr>
        <w:t>.</w:t>
      </w:r>
      <w:r>
        <w:rPr>
          <w:spacing w:val="80"/>
          <w:w w:val="150"/>
          <w:position w:val="5"/>
          <w:sz w:val="14"/>
        </w:rPr>
        <w:t> </w:t>
      </w:r>
      <w:r>
        <w:rPr/>
        <w:t>SI 1999/2083 implementing Directive 93/13 on unfair terms in consumer contracts. On </w:t>
      </w:r>
      <w:r>
        <w:rPr/>
        <w:t>the</w:t>
      </w:r>
      <w:r>
        <w:rPr>
          <w:spacing w:val="40"/>
        </w:rPr>
        <w:t> </w:t>
      </w:r>
      <w:r>
        <w:rPr/>
        <w:t>coming into force of the 2015 Act, the 1999 Regulations are revoked and replaced by the Act’s own provisions implementing the directive in Pt 2. Pts 1 and 2 of the 2015 Act came into force on October 1, 2015: see generally Vol.II, paras 38-192 et seq.</w:t>
      </w:r>
    </w:p>
    <w:p>
      <w:pPr>
        <w:pStyle w:val="BodyText"/>
        <w:spacing w:before="5"/>
      </w:pPr>
    </w:p>
    <w:p>
      <w:pPr>
        <w:pStyle w:val="BodyText"/>
        <w:tabs>
          <w:tab w:pos="705" w:val="left" w:leader="none"/>
        </w:tabs>
        <w:ind w:left="165"/>
      </w:pPr>
      <w:bookmarkStart w:name="_bookmark608" w:id="610"/>
      <w:bookmarkEnd w:id="610"/>
      <w:r>
        <w:rPr/>
      </w:r>
      <w:hyperlink w:history="true" w:anchor="_bookmark564">
        <w:r>
          <w:rPr>
            <w:color w:val="005DA1"/>
            <w:spacing w:val="-4"/>
            <w:position w:val="5"/>
            <w:sz w:val="14"/>
            <w:u w:val="single" w:color="005DA1"/>
          </w:rPr>
          <w:t>322</w:t>
        </w:r>
      </w:hyperlink>
      <w:r>
        <w:rPr>
          <w:spacing w:val="-4"/>
          <w:position w:val="5"/>
          <w:sz w:val="14"/>
        </w:rPr>
        <w:t>.</w:t>
      </w:r>
      <w:r>
        <w:rPr>
          <w:position w:val="5"/>
          <w:sz w:val="14"/>
        </w:rPr>
        <w:tab/>
      </w:r>
      <w:r>
        <w:rPr/>
        <w:t>See below, paras 15-062 et </w:t>
      </w:r>
      <w:r>
        <w:rPr>
          <w:spacing w:val="-4"/>
        </w:rPr>
        <w:t>seq.</w:t>
      </w:r>
    </w:p>
    <w:p>
      <w:pPr>
        <w:pStyle w:val="BodyText"/>
        <w:spacing w:before="5"/>
      </w:pPr>
    </w:p>
    <w:p>
      <w:pPr>
        <w:pStyle w:val="BodyText"/>
        <w:tabs>
          <w:tab w:pos="705" w:val="left" w:leader="none"/>
        </w:tabs>
        <w:ind w:left="165"/>
      </w:pPr>
      <w:bookmarkStart w:name="_bookmark609" w:id="611"/>
      <w:bookmarkEnd w:id="611"/>
      <w:r>
        <w:rPr/>
      </w:r>
      <w:hyperlink w:history="true" w:anchor="_bookmark565">
        <w:r>
          <w:rPr>
            <w:color w:val="005DA1"/>
            <w:spacing w:val="-4"/>
            <w:position w:val="5"/>
            <w:sz w:val="14"/>
            <w:u w:val="single" w:color="005DA1"/>
          </w:rPr>
          <w:t>323</w:t>
        </w:r>
      </w:hyperlink>
      <w:r>
        <w:rPr>
          <w:spacing w:val="-4"/>
          <w:position w:val="5"/>
          <w:sz w:val="14"/>
        </w:rPr>
        <w:t>.</w:t>
      </w:r>
      <w:r>
        <w:rPr>
          <w:position w:val="5"/>
          <w:sz w:val="14"/>
        </w:rPr>
        <w:tab/>
      </w:r>
      <w:r>
        <w:rPr/>
        <w:t>Unfair Contract Terms Act 1977 </w:t>
      </w:r>
      <w:r>
        <w:rPr>
          <w:spacing w:val="-2"/>
        </w:rPr>
        <w:t>s.2(1).</w:t>
      </w:r>
    </w:p>
    <w:p>
      <w:pPr>
        <w:pStyle w:val="BodyText"/>
        <w:spacing w:before="5"/>
      </w:pPr>
    </w:p>
    <w:p>
      <w:pPr>
        <w:tabs>
          <w:tab w:pos="705" w:val="left" w:leader="none"/>
        </w:tabs>
        <w:spacing w:before="0"/>
        <w:ind w:left="165" w:right="0" w:firstLine="0"/>
        <w:jc w:val="left"/>
        <w:rPr>
          <w:sz w:val="20"/>
        </w:rPr>
      </w:pPr>
      <w:bookmarkStart w:name="_bookmark610" w:id="612"/>
      <w:bookmarkEnd w:id="612"/>
      <w:r>
        <w:rPr/>
      </w:r>
      <w:hyperlink w:history="true" w:anchor="_bookmark566">
        <w:r>
          <w:rPr>
            <w:color w:val="005DA1"/>
            <w:spacing w:val="-4"/>
            <w:position w:val="5"/>
            <w:sz w:val="14"/>
            <w:u w:val="single" w:color="005DA1"/>
          </w:rPr>
          <w:t>324</w:t>
        </w:r>
      </w:hyperlink>
      <w:r>
        <w:rPr>
          <w:spacing w:val="-4"/>
          <w:position w:val="5"/>
          <w:sz w:val="14"/>
        </w:rPr>
        <w:t>.</w:t>
      </w:r>
      <w:r>
        <w:rPr>
          <w:position w:val="5"/>
          <w:sz w:val="14"/>
        </w:rPr>
        <w:tab/>
      </w:r>
      <w:r>
        <w:rPr>
          <w:spacing w:val="-2"/>
          <w:sz w:val="20"/>
        </w:rPr>
        <w:t>s.6(2).</w:t>
      </w:r>
    </w:p>
    <w:p>
      <w:pPr>
        <w:pStyle w:val="BodyText"/>
        <w:spacing w:before="5"/>
      </w:pPr>
    </w:p>
    <w:p>
      <w:pPr>
        <w:pStyle w:val="BodyText"/>
        <w:tabs>
          <w:tab w:pos="705" w:val="left" w:leader="none"/>
        </w:tabs>
        <w:ind w:left="165"/>
      </w:pPr>
      <w:bookmarkStart w:name="_bookmark611" w:id="613"/>
      <w:bookmarkEnd w:id="613"/>
      <w:r>
        <w:rPr/>
      </w:r>
      <w:hyperlink w:history="true" w:anchor="_bookmark567">
        <w:r>
          <w:rPr>
            <w:color w:val="005DA1"/>
            <w:spacing w:val="-4"/>
            <w:position w:val="5"/>
            <w:sz w:val="14"/>
            <w:u w:val="single" w:color="005DA1"/>
          </w:rPr>
          <w:t>325</w:t>
        </w:r>
      </w:hyperlink>
      <w:r>
        <w:rPr>
          <w:spacing w:val="-4"/>
          <w:position w:val="5"/>
          <w:sz w:val="14"/>
        </w:rPr>
        <w:t>.</w:t>
      </w:r>
      <w:r>
        <w:rPr>
          <w:position w:val="5"/>
          <w:sz w:val="14"/>
        </w:rPr>
        <w:tab/>
      </w:r>
      <w:r>
        <w:rPr/>
        <w:t>Unfair Contract Terms Act 1977 ss.2(2), 3, 6(3) and 11; and see below, paras 15-096 et </w:t>
      </w:r>
      <w:r>
        <w:rPr>
          <w:spacing w:val="-4"/>
        </w:rPr>
        <w:t>seq.</w:t>
      </w:r>
    </w:p>
    <w:p>
      <w:pPr>
        <w:pStyle w:val="BodyText"/>
        <w:spacing w:before="9"/>
      </w:pPr>
    </w:p>
    <w:p>
      <w:pPr>
        <w:pStyle w:val="BodyText"/>
        <w:spacing w:line="235" w:lineRule="auto"/>
        <w:ind w:left="705" w:right="167" w:hanging="541"/>
        <w:jc w:val="both"/>
      </w:pPr>
      <w:bookmarkStart w:name="_bookmark612" w:id="614"/>
      <w:bookmarkEnd w:id="614"/>
      <w:r>
        <w:rPr/>
      </w:r>
      <w:hyperlink w:history="true" w:anchor="_bookmark568">
        <w:r>
          <w:rPr>
            <w:color w:val="005DA1"/>
            <w:position w:val="5"/>
            <w:sz w:val="14"/>
            <w:u w:val="single" w:color="005DA1"/>
          </w:rPr>
          <w:t>326</w:t>
        </w:r>
      </w:hyperlink>
      <w:r>
        <w:rPr>
          <w:position w:val="5"/>
          <w:sz w:val="14"/>
        </w:rPr>
        <w:t>.</w:t>
      </w:r>
      <w:r>
        <w:rPr>
          <w:spacing w:val="80"/>
          <w:position w:val="5"/>
          <w:sz w:val="14"/>
        </w:rPr>
        <w:t>  </w:t>
      </w:r>
      <w:r>
        <w:rPr/>
        <w:t>The most important exception is found in the “core exclusion” in the 1999 Regulations </w:t>
      </w:r>
      <w:r>
        <w:rPr/>
        <w:t>reg.6(2) on which see Vol.II, paras 38-224—38-241; the Consumer Rights Act 2015 s.64 makes similar provision on which see Vol.II, paras 38-363—38-369 respectively.</w:t>
      </w:r>
    </w:p>
    <w:p>
      <w:pPr>
        <w:pStyle w:val="BodyText"/>
        <w:spacing w:before="5"/>
      </w:pPr>
    </w:p>
    <w:p>
      <w:pPr>
        <w:pStyle w:val="BodyText"/>
        <w:tabs>
          <w:tab w:pos="705" w:val="left" w:leader="none"/>
        </w:tabs>
        <w:ind w:left="165"/>
      </w:pPr>
      <w:bookmarkStart w:name="_bookmark613" w:id="615"/>
      <w:bookmarkEnd w:id="615"/>
      <w:r>
        <w:rPr/>
      </w:r>
      <w:hyperlink w:history="true" w:anchor="_bookmark569">
        <w:r>
          <w:rPr>
            <w:color w:val="005DA1"/>
            <w:spacing w:val="-4"/>
            <w:position w:val="5"/>
            <w:sz w:val="14"/>
            <w:u w:val="single" w:color="005DA1"/>
          </w:rPr>
          <w:t>327</w:t>
        </w:r>
      </w:hyperlink>
      <w:r>
        <w:rPr>
          <w:spacing w:val="-4"/>
          <w:position w:val="5"/>
          <w:sz w:val="14"/>
        </w:rPr>
        <w:t>.</w:t>
      </w:r>
      <w:r>
        <w:rPr>
          <w:position w:val="5"/>
          <w:sz w:val="14"/>
        </w:rPr>
        <w:tab/>
      </w:r>
      <w:r>
        <w:rPr/>
        <w:t>Unfair Terms in Consumer Contracts Regulations 1999 </w:t>
      </w:r>
      <w:r>
        <w:rPr>
          <w:spacing w:val="-2"/>
        </w:rPr>
        <w:t>reg.5(1).</w:t>
      </w:r>
    </w:p>
    <w:p>
      <w:pPr>
        <w:pStyle w:val="BodyText"/>
        <w:spacing w:before="5"/>
      </w:pPr>
    </w:p>
    <w:p>
      <w:pPr>
        <w:pStyle w:val="BodyText"/>
        <w:tabs>
          <w:tab w:pos="705" w:val="left" w:leader="none"/>
        </w:tabs>
        <w:ind w:left="165"/>
      </w:pPr>
      <w:bookmarkStart w:name="_bookmark614" w:id="616"/>
      <w:bookmarkEnd w:id="616"/>
      <w:r>
        <w:rPr/>
      </w:r>
      <w:hyperlink w:history="true" w:anchor="_bookmark570">
        <w:r>
          <w:rPr>
            <w:color w:val="005DA1"/>
            <w:spacing w:val="-4"/>
            <w:position w:val="5"/>
            <w:sz w:val="14"/>
            <w:u w:val="single" w:color="005DA1"/>
          </w:rPr>
          <w:t>328</w:t>
        </w:r>
      </w:hyperlink>
      <w:r>
        <w:rPr>
          <w:spacing w:val="-4"/>
          <w:position w:val="5"/>
          <w:sz w:val="14"/>
        </w:rPr>
        <w:t>.</w:t>
      </w:r>
      <w:r>
        <w:rPr>
          <w:position w:val="5"/>
          <w:sz w:val="14"/>
        </w:rPr>
        <w:tab/>
      </w:r>
      <w:r>
        <w:rPr/>
        <w:t>See below, paras 15-064 et </w:t>
      </w:r>
      <w:r>
        <w:rPr>
          <w:spacing w:val="-4"/>
        </w:rPr>
        <w:t>seq.</w:t>
      </w:r>
    </w:p>
    <w:p>
      <w:pPr>
        <w:pStyle w:val="BodyText"/>
        <w:spacing w:before="5"/>
      </w:pPr>
    </w:p>
    <w:p>
      <w:pPr>
        <w:pStyle w:val="BodyText"/>
        <w:tabs>
          <w:tab w:pos="705" w:val="left" w:leader="none"/>
        </w:tabs>
        <w:ind w:left="165"/>
      </w:pPr>
      <w:bookmarkStart w:name="_bookmark615" w:id="617"/>
      <w:bookmarkEnd w:id="617"/>
      <w:r>
        <w:rPr/>
      </w:r>
      <w:hyperlink w:history="true" w:anchor="_bookmark571">
        <w:r>
          <w:rPr>
            <w:color w:val="005DA1"/>
            <w:spacing w:val="-4"/>
            <w:position w:val="5"/>
            <w:sz w:val="14"/>
            <w:u w:val="single" w:color="005DA1"/>
          </w:rPr>
          <w:t>329</w:t>
        </w:r>
      </w:hyperlink>
      <w:r>
        <w:rPr>
          <w:spacing w:val="-4"/>
          <w:position w:val="5"/>
          <w:sz w:val="14"/>
        </w:rPr>
        <w:t>.</w:t>
      </w:r>
      <w:r>
        <w:rPr>
          <w:position w:val="5"/>
          <w:sz w:val="14"/>
        </w:rPr>
        <w:tab/>
      </w:r>
      <w:r>
        <w:rPr/>
        <w:t>See Vol.II, paras 38-334 et </w:t>
      </w:r>
      <w:r>
        <w:rPr>
          <w:spacing w:val="-4"/>
        </w:rPr>
        <w:t>seq.</w:t>
      </w:r>
    </w:p>
    <w:p>
      <w:pPr>
        <w:pStyle w:val="BodyText"/>
        <w:spacing w:before="9"/>
      </w:pPr>
    </w:p>
    <w:p>
      <w:pPr>
        <w:pStyle w:val="BodyText"/>
        <w:tabs>
          <w:tab w:pos="705" w:val="left" w:leader="none"/>
        </w:tabs>
        <w:spacing w:line="235" w:lineRule="auto"/>
        <w:ind w:left="705" w:right="168" w:hanging="541"/>
      </w:pPr>
      <w:bookmarkStart w:name="_bookmark616" w:id="618"/>
      <w:bookmarkEnd w:id="618"/>
      <w:r>
        <w:rPr/>
      </w:r>
      <w:hyperlink w:history="true" w:anchor="_bookmark572">
        <w:r>
          <w:rPr>
            <w:color w:val="005DA1"/>
            <w:spacing w:val="-4"/>
            <w:position w:val="5"/>
            <w:sz w:val="14"/>
            <w:u w:val="single" w:color="005DA1"/>
          </w:rPr>
          <w:t>330</w:t>
        </w:r>
      </w:hyperlink>
      <w:r>
        <w:rPr>
          <w:spacing w:val="-4"/>
          <w:position w:val="5"/>
          <w:sz w:val="14"/>
        </w:rPr>
        <w:t>.</w:t>
      </w:r>
      <w:r>
        <w:rPr>
          <w:position w:val="5"/>
          <w:sz w:val="14"/>
        </w:rPr>
        <w:tab/>
      </w:r>
      <w:r>
        <w:rPr/>
        <w:t>Consumer Credit Act 1974 ss.140A–140D as inserted by Consumer Credit Act 2006 ss.19-</w:t>
      </w:r>
      <w:r>
        <w:rPr/>
        <w:t>22. See Vol.II, paras 39-212—39-228.</w:t>
      </w:r>
    </w:p>
    <w:p>
      <w:pPr>
        <w:pStyle w:val="BodyText"/>
        <w:spacing w:before="5"/>
      </w:pPr>
    </w:p>
    <w:p>
      <w:pPr>
        <w:pStyle w:val="BodyText"/>
        <w:tabs>
          <w:tab w:pos="705" w:val="left" w:leader="none"/>
        </w:tabs>
        <w:ind w:left="165"/>
      </w:pPr>
      <w:bookmarkStart w:name="_bookmark617" w:id="619"/>
      <w:bookmarkEnd w:id="619"/>
      <w:r>
        <w:rPr/>
      </w:r>
      <w:hyperlink w:history="true" w:anchor="_bookmark573">
        <w:r>
          <w:rPr>
            <w:color w:val="005DA1"/>
            <w:spacing w:val="-4"/>
            <w:position w:val="5"/>
            <w:sz w:val="14"/>
            <w:u w:val="single" w:color="005DA1"/>
          </w:rPr>
          <w:t>331</w:t>
        </w:r>
      </w:hyperlink>
      <w:r>
        <w:rPr>
          <w:spacing w:val="-4"/>
          <w:position w:val="5"/>
          <w:sz w:val="14"/>
        </w:rPr>
        <w:t>.</w:t>
      </w:r>
      <w:r>
        <w:rPr>
          <w:position w:val="5"/>
          <w:sz w:val="14"/>
        </w:rPr>
        <w:tab/>
      </w:r>
      <w:r>
        <w:rPr/>
        <w:t>Consumer Credit Act 1974 s.140(B)(1) as inserted by Consumer Credit Act 2006 </w:t>
      </w:r>
      <w:r>
        <w:rPr>
          <w:spacing w:val="-2"/>
        </w:rPr>
        <w:t>s.20.</w:t>
      </w:r>
    </w:p>
    <w:p>
      <w:pPr>
        <w:pStyle w:val="BodyText"/>
        <w:spacing w:before="9"/>
      </w:pPr>
    </w:p>
    <w:p>
      <w:pPr>
        <w:pStyle w:val="BodyText"/>
        <w:tabs>
          <w:tab w:pos="705" w:val="left" w:leader="none"/>
        </w:tabs>
        <w:spacing w:line="235" w:lineRule="auto"/>
        <w:ind w:left="705" w:right="168" w:hanging="541"/>
      </w:pPr>
      <w:bookmarkStart w:name="_bookmark618" w:id="620"/>
      <w:bookmarkEnd w:id="620"/>
      <w:r>
        <w:rPr/>
      </w:r>
      <w:hyperlink w:history="true" w:anchor="_bookmark574">
        <w:r>
          <w:rPr>
            <w:color w:val="005DA1"/>
            <w:spacing w:val="-4"/>
            <w:position w:val="5"/>
            <w:sz w:val="14"/>
            <w:u w:val="single" w:color="005DA1"/>
          </w:rPr>
          <w:t>332</w:t>
        </w:r>
      </w:hyperlink>
      <w:r>
        <w:rPr>
          <w:spacing w:val="-4"/>
          <w:position w:val="5"/>
          <w:sz w:val="14"/>
        </w:rPr>
        <w:t>.</w:t>
      </w:r>
      <w:r>
        <w:rPr>
          <w:position w:val="5"/>
          <w:sz w:val="14"/>
        </w:rPr>
        <w:tab/>
      </w:r>
      <w:r>
        <w:rPr/>
        <w:t>Consumer</w:t>
      </w:r>
      <w:r>
        <w:rPr>
          <w:spacing w:val="38"/>
        </w:rPr>
        <w:t> </w:t>
      </w:r>
      <w:r>
        <w:rPr/>
        <w:t>Credit</w:t>
      </w:r>
      <w:r>
        <w:rPr>
          <w:spacing w:val="38"/>
        </w:rPr>
        <w:t> </w:t>
      </w:r>
      <w:r>
        <w:rPr/>
        <w:t>Act</w:t>
      </w:r>
      <w:r>
        <w:rPr>
          <w:spacing w:val="38"/>
        </w:rPr>
        <w:t> </w:t>
      </w:r>
      <w:r>
        <w:rPr/>
        <w:t>1974</w:t>
      </w:r>
      <w:r>
        <w:rPr>
          <w:spacing w:val="38"/>
        </w:rPr>
        <w:t> </w:t>
      </w:r>
      <w:r>
        <w:rPr/>
        <w:t>s.140(A)(1)</w:t>
      </w:r>
      <w:r>
        <w:rPr>
          <w:spacing w:val="38"/>
        </w:rPr>
        <w:t> </w:t>
      </w:r>
      <w:r>
        <w:rPr/>
        <w:t>as</w:t>
      </w:r>
      <w:r>
        <w:rPr>
          <w:spacing w:val="38"/>
        </w:rPr>
        <w:t> </w:t>
      </w:r>
      <w:r>
        <w:rPr/>
        <w:t>inserted</w:t>
      </w:r>
      <w:r>
        <w:rPr>
          <w:spacing w:val="38"/>
        </w:rPr>
        <w:t> </w:t>
      </w:r>
      <w:r>
        <w:rPr/>
        <w:t>by</w:t>
      </w:r>
      <w:r>
        <w:rPr>
          <w:spacing w:val="38"/>
        </w:rPr>
        <w:t> </w:t>
      </w:r>
      <w:r>
        <w:rPr/>
        <w:t>Consumer</w:t>
      </w:r>
      <w:r>
        <w:rPr>
          <w:spacing w:val="38"/>
        </w:rPr>
        <w:t> </w:t>
      </w:r>
      <w:r>
        <w:rPr/>
        <w:t>Credit</w:t>
      </w:r>
      <w:r>
        <w:rPr>
          <w:spacing w:val="38"/>
        </w:rPr>
        <w:t> </w:t>
      </w:r>
      <w:r>
        <w:rPr/>
        <w:t>Act</w:t>
      </w:r>
      <w:r>
        <w:rPr>
          <w:spacing w:val="38"/>
        </w:rPr>
        <w:t> </w:t>
      </w:r>
      <w:r>
        <w:rPr/>
        <w:t>2006</w:t>
      </w:r>
      <w:r>
        <w:rPr>
          <w:spacing w:val="38"/>
        </w:rPr>
        <w:t> </w:t>
      </w:r>
      <w:r>
        <w:rPr/>
        <w:t>s.19.</w:t>
      </w:r>
      <w:r>
        <w:rPr>
          <w:spacing w:val="38"/>
        </w:rPr>
        <w:t> </w:t>
      </w:r>
      <w:r>
        <w:rPr/>
        <w:t>On these provisions see Vol.II, paras 39-213—39-228.</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619" w:id="621"/>
      <w:bookmarkEnd w:id="621"/>
      <w:r>
        <w:rPr/>
      </w:r>
      <w:hyperlink w:history="true" w:anchor="_bookmark575">
        <w:r>
          <w:rPr>
            <w:color w:val="005DA1"/>
            <w:spacing w:val="-4"/>
            <w:sz w:val="14"/>
            <w:u w:val="single" w:color="005DA1"/>
          </w:rPr>
          <w:t>333</w:t>
        </w:r>
      </w:hyperlink>
      <w:r>
        <w:rPr>
          <w:spacing w:val="-4"/>
          <w:sz w:val="14"/>
        </w:rPr>
        <w:t>.</w:t>
      </w:r>
    </w:p>
    <w:p>
      <w:pPr>
        <w:spacing w:line="235" w:lineRule="auto" w:before="212"/>
        <w:ind w:left="165" w:right="167" w:firstLine="170"/>
        <w:jc w:val="both"/>
        <w:rPr>
          <w:sz w:val="20"/>
        </w:rPr>
      </w:pPr>
      <w:r>
        <w:rPr/>
        <w:br w:type="column"/>
      </w:r>
      <w:r>
        <w:rPr>
          <w:rFonts w:ascii="Arial"/>
          <w:i/>
          <w:sz w:val="20"/>
        </w:rPr>
        <w:t>Plevin v Paragon Personal Finance Ltd [2014] UKSC 61, [2014] 1 W.L.R. 4222 </w:t>
      </w:r>
      <w:r>
        <w:rPr>
          <w:sz w:val="20"/>
        </w:rPr>
        <w:t>at [10] per Lord</w:t>
      </w:r>
      <w:r>
        <w:rPr>
          <w:spacing w:val="40"/>
          <w:sz w:val="20"/>
        </w:rPr>
        <w:t> </w:t>
      </w:r>
      <w:r>
        <w:rPr>
          <w:sz w:val="20"/>
        </w:rPr>
        <w:t>Sumption</w:t>
      </w:r>
      <w:r>
        <w:rPr>
          <w:spacing w:val="40"/>
          <w:sz w:val="20"/>
        </w:rPr>
        <w:t> </w:t>
      </w:r>
      <w:r>
        <w:rPr>
          <w:sz w:val="20"/>
        </w:rPr>
        <w:t>J.S.C.</w:t>
      </w:r>
      <w:r>
        <w:rPr>
          <w:spacing w:val="40"/>
          <w:sz w:val="20"/>
        </w:rPr>
        <w:t> </w:t>
      </w:r>
      <w:r>
        <w:rPr>
          <w:sz w:val="20"/>
        </w:rPr>
        <w:t>(with</w:t>
      </w:r>
      <w:r>
        <w:rPr>
          <w:spacing w:val="40"/>
          <w:sz w:val="20"/>
        </w:rPr>
        <w:t> </w:t>
      </w:r>
      <w:r>
        <w:rPr>
          <w:sz w:val="20"/>
        </w:rPr>
        <w:t>whom</w:t>
      </w:r>
      <w:r>
        <w:rPr>
          <w:spacing w:val="40"/>
          <w:sz w:val="20"/>
        </w:rPr>
        <w:t> </w:t>
      </w:r>
      <w:r>
        <w:rPr>
          <w:sz w:val="20"/>
        </w:rPr>
        <w:t>Baroness</w:t>
      </w:r>
      <w:r>
        <w:rPr>
          <w:spacing w:val="40"/>
          <w:sz w:val="20"/>
        </w:rPr>
        <w:t> </w:t>
      </w:r>
      <w:r>
        <w:rPr>
          <w:sz w:val="20"/>
        </w:rPr>
        <w:t>Hale</w:t>
      </w:r>
      <w:r>
        <w:rPr>
          <w:spacing w:val="40"/>
          <w:sz w:val="20"/>
        </w:rPr>
        <w:t> </w:t>
      </w:r>
      <w:r>
        <w:rPr>
          <w:sz w:val="20"/>
        </w:rPr>
        <w:t>of</w:t>
      </w:r>
      <w:r>
        <w:rPr>
          <w:spacing w:val="40"/>
          <w:sz w:val="20"/>
        </w:rPr>
        <w:t> </w:t>
      </w:r>
      <w:r>
        <w:rPr>
          <w:sz w:val="20"/>
        </w:rPr>
        <w:t>Richmond</w:t>
      </w:r>
      <w:r>
        <w:rPr>
          <w:spacing w:val="40"/>
          <w:sz w:val="20"/>
        </w:rPr>
        <w:t> </w:t>
      </w:r>
      <w:r>
        <w:rPr>
          <w:sz w:val="20"/>
        </w:rPr>
        <w:t>D.P.S.C.,</w:t>
      </w:r>
      <w:r>
        <w:rPr>
          <w:spacing w:val="40"/>
          <w:sz w:val="20"/>
        </w:rPr>
        <w:t> </w:t>
      </w:r>
      <w:r>
        <w:rPr>
          <w:sz w:val="20"/>
        </w:rPr>
        <w:t>Lord</w:t>
      </w:r>
      <w:r>
        <w:rPr>
          <w:spacing w:val="40"/>
          <w:sz w:val="20"/>
        </w:rPr>
        <w:t> </w:t>
      </w:r>
      <w:r>
        <w:rPr>
          <w:sz w:val="20"/>
        </w:rPr>
        <w:t>Clarke</w:t>
      </w:r>
      <w:r>
        <w:rPr>
          <w:spacing w:val="40"/>
          <w:sz w:val="20"/>
        </w:rPr>
        <w:t> </w:t>
      </w:r>
      <w:r>
        <w:rPr>
          <w:sz w:val="20"/>
        </w:rPr>
        <w:t>of Stone-cum-Ebony, Lord Carnwath and Lord Hodge J.J.S.C. agreed).</w:t>
      </w:r>
    </w:p>
    <w:p>
      <w:pPr>
        <w:pStyle w:val="BodyText"/>
        <w:spacing w:before="192"/>
      </w:pPr>
    </w:p>
    <w:p>
      <w:pPr>
        <w:spacing w:before="1"/>
        <w:ind w:left="0" w:right="544" w:firstLine="0"/>
        <w:jc w:val="center"/>
        <w:rPr>
          <w:sz w:val="14"/>
        </w:rPr>
      </w:pPr>
      <w:r>
        <w:rPr>
          <w:sz w:val="14"/>
        </w:rPr>
        <w:drawing>
          <wp:anchor distT="0" distB="0" distL="0" distR="0" allowOverlap="1" layoutInCell="1" locked="0" behindDoc="0" simplePos="0" relativeHeight="15787520">
            <wp:simplePos x="0" y="0"/>
            <wp:positionH relativeFrom="page">
              <wp:posOffset>1257846</wp:posOffset>
            </wp:positionH>
            <wp:positionV relativeFrom="paragraph">
              <wp:posOffset>-671372</wp:posOffset>
            </wp:positionV>
            <wp:extent cx="107988" cy="107988"/>
            <wp:effectExtent l="0" t="0" r="0" b="0"/>
            <wp:wrapNone/>
            <wp:docPr id="232" name="Image 232"/>
            <wp:cNvGraphicFramePr>
              <a:graphicFrameLocks/>
            </wp:cNvGraphicFramePr>
            <a:graphic>
              <a:graphicData uri="http://schemas.openxmlformats.org/drawingml/2006/picture">
                <pic:pic>
                  <pic:nvPicPr>
                    <pic:cNvPr id="232" name="Image 232"/>
                    <pic:cNvPicPr/>
                  </pic:nvPicPr>
                  <pic:blipFill>
                    <a:blip r:embed="rId6"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3. - Fundamental Principles of Contract </w:t>
      </w:r>
      <w:r>
        <w:rPr>
          <w:rFonts w:ascii="Arial"/>
          <w:b/>
          <w:spacing w:val="-5"/>
          <w:sz w:val="24"/>
        </w:rPr>
        <w:t>Law</w:t>
      </w:r>
    </w:p>
    <w:p>
      <w:pPr>
        <w:pStyle w:val="ListParagraph"/>
        <w:numPr>
          <w:ilvl w:val="0"/>
          <w:numId w:val="4"/>
        </w:numPr>
        <w:tabs>
          <w:tab w:pos="1738" w:val="left" w:leader="none"/>
        </w:tabs>
        <w:spacing w:line="240" w:lineRule="auto" w:before="194" w:after="0"/>
        <w:ind w:left="1738" w:right="0" w:hanging="360"/>
        <w:jc w:val="left"/>
        <w:rPr>
          <w:b/>
          <w:sz w:val="24"/>
        </w:rPr>
      </w:pPr>
      <w:r>
        <w:rPr>
          <w:b/>
          <w:sz w:val="24"/>
        </w:rPr>
        <w:t>- A Principle of Good Faith or of Contractual </w:t>
      </w:r>
      <w:r>
        <w:rPr>
          <w:b/>
          <w:spacing w:val="-2"/>
          <w:sz w:val="24"/>
        </w:rPr>
        <w:t>Fairness?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No general principle of good </w:t>
      </w:r>
      <w:r>
        <w:rPr>
          <w:rFonts w:ascii="Arial"/>
          <w:b/>
          <w:spacing w:val="-2"/>
          <w:sz w:val="18"/>
        </w:rPr>
        <w:t>faith</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039</w:t>
      </w:r>
    </w:p>
    <w:p>
      <w:pPr>
        <w:pStyle w:val="BodyText"/>
        <w:spacing w:line="235" w:lineRule="auto" w:before="202"/>
        <w:ind w:left="164" w:right="167"/>
        <w:jc w:val="both"/>
      </w:pPr>
      <w:r>
        <w:rPr/>
        <w:t>Use by EU legislation of the notion of good faith or “good faith and fair dealing” has made more prominent the question whether English law requires that a party to a contract exercise his rights </w:t>
      </w:r>
      <w:r>
        <w:rPr/>
        <w:t>in </w:t>
      </w:r>
      <w:bookmarkStart w:name="_bookmark620" w:id="622"/>
      <w:bookmarkEnd w:id="622"/>
      <w:r>
        <w:rPr/>
        <w:t>good</w:t>
      </w:r>
      <w:r>
        <w:rPr/>
        <w:t> faith, whether the right in question concerns the creation of a contract, its performance or its non-performance. </w:t>
      </w:r>
      <w:r>
        <w:rPr>
          <w:color w:val="005DA1"/>
          <w:u w:val="single" w:color="005DA1"/>
          <w:vertAlign w:val="superscript"/>
        </w:rPr>
        <w:t>334</w:t>
      </w:r>
      <w:r>
        <w:rPr>
          <w:color w:val="005DA1"/>
          <w:vertAlign w:val="baseline"/>
        </w:rPr>
        <w:t> </w:t>
      </w:r>
      <w:r>
        <w:rPr>
          <w:vertAlign w:val="baseline"/>
        </w:rPr>
        <w:t>Such a question may be expressed in different ways and may use a variety of language: put negatively, it may be asked whether a party’s </w:t>
      </w:r>
      <w:r>
        <w:rPr>
          <w:rFonts w:ascii="Arial" w:hAnsi="Arial"/>
          <w:i/>
          <w:vertAlign w:val="baseline"/>
        </w:rPr>
        <w:t>bad faith </w:t>
      </w:r>
      <w:r>
        <w:rPr>
          <w:vertAlign w:val="baseline"/>
        </w:rPr>
        <w:t>should affect his exercise of </w:t>
      </w:r>
      <w:bookmarkStart w:name="_bookmark621" w:id="623"/>
      <w:bookmarkEnd w:id="623"/>
      <w:r>
        <w:rPr>
          <w:vertAlign w:val="baseline"/>
        </w:rPr>
        <w:t>rights</w:t>
      </w:r>
      <w:r>
        <w:rPr>
          <w:vertAlign w:val="baseline"/>
        </w:rPr>
        <w:t> or whether his “unconscionable conduct” in the creation or performance of a contract should </w:t>
      </w:r>
      <w:bookmarkStart w:name="_bookmark622" w:id="624"/>
      <w:bookmarkEnd w:id="624"/>
      <w:r>
        <w:rPr>
          <w:vertAlign w:val="baseline"/>
        </w:rPr>
        <w:t>affect</w:t>
      </w:r>
      <w:r>
        <w:rPr>
          <w:spacing w:val="-2"/>
          <w:vertAlign w:val="baseline"/>
        </w:rPr>
        <w:t> </w:t>
      </w:r>
      <w:r>
        <w:rPr>
          <w:vertAlign w:val="baseline"/>
        </w:rPr>
        <w:t>its</w:t>
      </w:r>
      <w:r>
        <w:rPr>
          <w:spacing w:val="-2"/>
          <w:vertAlign w:val="baseline"/>
        </w:rPr>
        <w:t> </w:t>
      </w:r>
      <w:r>
        <w:rPr>
          <w:vertAlign w:val="baseline"/>
        </w:rPr>
        <w:t>validity.</w:t>
      </w:r>
      <w:r>
        <w:rPr>
          <w:spacing w:val="-2"/>
          <w:vertAlign w:val="baseline"/>
        </w:rPr>
        <w:t> </w:t>
      </w:r>
      <w:r>
        <w:rPr>
          <w:color w:val="005DA1"/>
          <w:u w:val="single" w:color="005DA1"/>
          <w:vertAlign w:val="superscript"/>
        </w:rPr>
        <w:t>335</w:t>
      </w:r>
      <w:r>
        <w:rPr>
          <w:color w:val="005DA1"/>
          <w:spacing w:val="-2"/>
          <w:vertAlign w:val="baseline"/>
        </w:rPr>
        <w:t> </w:t>
      </w:r>
      <w:r>
        <w:rPr>
          <w:vertAlign w:val="baseline"/>
        </w:rPr>
        <w:t>Put</w:t>
      </w:r>
      <w:r>
        <w:rPr>
          <w:spacing w:val="-2"/>
          <w:vertAlign w:val="baseline"/>
        </w:rPr>
        <w:t> </w:t>
      </w:r>
      <w:r>
        <w:rPr>
          <w:vertAlign w:val="baseline"/>
        </w:rPr>
        <w:t>more</w:t>
      </w:r>
      <w:r>
        <w:rPr>
          <w:spacing w:val="-2"/>
          <w:vertAlign w:val="baseline"/>
        </w:rPr>
        <w:t> </w:t>
      </w:r>
      <w:r>
        <w:rPr>
          <w:vertAlign w:val="baseline"/>
        </w:rPr>
        <w:t>positively,</w:t>
      </w:r>
      <w:r>
        <w:rPr>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posed</w:t>
      </w:r>
      <w:r>
        <w:rPr>
          <w:spacing w:val="-2"/>
          <w:vertAlign w:val="baseline"/>
        </w:rPr>
        <w:t> </w:t>
      </w:r>
      <w:r>
        <w:rPr>
          <w:vertAlign w:val="baseline"/>
        </w:rPr>
        <w:t>in</w:t>
      </w:r>
      <w:r>
        <w:rPr>
          <w:spacing w:val="-2"/>
          <w:vertAlign w:val="baseline"/>
        </w:rPr>
        <w:t> </w:t>
      </w:r>
      <w:r>
        <w:rPr>
          <w:vertAlign w:val="baseline"/>
        </w:rPr>
        <w:t>terms</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general</w:t>
      </w:r>
      <w:r>
        <w:rPr>
          <w:spacing w:val="-2"/>
          <w:vertAlign w:val="baseline"/>
        </w:rPr>
        <w:t> </w:t>
      </w:r>
      <w:r>
        <w:rPr>
          <w:vertAlign w:val="baseline"/>
        </w:rPr>
        <w:t>requirement </w:t>
      </w:r>
      <w:bookmarkStart w:name="_bookmark623" w:id="625"/>
      <w:bookmarkEnd w:id="625"/>
      <w:r>
        <w:rPr>
          <w:vertAlign w:val="baseline"/>
        </w:rPr>
        <w:t>or</w:t>
      </w:r>
      <w:r>
        <w:rPr>
          <w:vertAlign w:val="baseline"/>
        </w:rPr>
        <w:t> series of more particular requirements that a person act in good faith, reasonably and fairly. </w:t>
      </w:r>
      <w:r>
        <w:rPr>
          <w:color w:val="005DA1"/>
          <w:u w:val="single" w:color="005DA1"/>
          <w:vertAlign w:val="superscript"/>
        </w:rPr>
        <w:t>336</w:t>
      </w:r>
      <w:r>
        <w:rPr>
          <w:color w:val="005DA1"/>
          <w:vertAlign w:val="baseline"/>
        </w:rPr>
        <w:t> </w:t>
      </w:r>
      <w:r>
        <w:rPr>
          <w:vertAlign w:val="baseline"/>
        </w:rPr>
        <w:t>In 1766,</w:t>
      </w:r>
      <w:r>
        <w:rPr>
          <w:spacing w:val="5"/>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context</w:t>
      </w:r>
      <w:r>
        <w:rPr>
          <w:spacing w:val="6"/>
          <w:vertAlign w:val="baseline"/>
        </w:rPr>
        <w:t> </w:t>
      </w:r>
      <w:r>
        <w:rPr>
          <w:vertAlign w:val="baseline"/>
        </w:rPr>
        <w:t>of</w:t>
      </w:r>
      <w:r>
        <w:rPr>
          <w:spacing w:val="6"/>
          <w:vertAlign w:val="baseline"/>
        </w:rPr>
        <w:t> </w:t>
      </w:r>
      <w:r>
        <w:rPr>
          <w:vertAlign w:val="baseline"/>
        </w:rPr>
        <w:t>recognising</w:t>
      </w:r>
      <w:r>
        <w:rPr>
          <w:spacing w:val="6"/>
          <w:vertAlign w:val="baseline"/>
        </w:rPr>
        <w:t> </w:t>
      </w:r>
      <w:r>
        <w:rPr>
          <w:vertAlign w:val="baseline"/>
        </w:rPr>
        <w:t>the</w:t>
      </w:r>
      <w:r>
        <w:rPr>
          <w:spacing w:val="6"/>
          <w:vertAlign w:val="baseline"/>
        </w:rPr>
        <w:t> </w:t>
      </w:r>
      <w:r>
        <w:rPr>
          <w:vertAlign w:val="baseline"/>
        </w:rPr>
        <w:t>duty</w:t>
      </w:r>
      <w:r>
        <w:rPr>
          <w:spacing w:val="6"/>
          <w:vertAlign w:val="baseline"/>
        </w:rPr>
        <w:t> </w:t>
      </w:r>
      <w:r>
        <w:rPr>
          <w:vertAlign w:val="baseline"/>
        </w:rPr>
        <w:t>of</w:t>
      </w:r>
      <w:r>
        <w:rPr>
          <w:spacing w:val="6"/>
          <w:vertAlign w:val="baseline"/>
        </w:rPr>
        <w:t> </w:t>
      </w:r>
      <w:r>
        <w:rPr>
          <w:vertAlign w:val="baseline"/>
        </w:rPr>
        <w:t>disclosure</w:t>
      </w:r>
      <w:r>
        <w:rPr>
          <w:spacing w:val="6"/>
          <w:vertAlign w:val="baseline"/>
        </w:rPr>
        <w:t> </w:t>
      </w:r>
      <w:r>
        <w:rPr>
          <w:vertAlign w:val="baseline"/>
        </w:rPr>
        <w:t>in</w:t>
      </w:r>
      <w:r>
        <w:rPr>
          <w:spacing w:val="6"/>
          <w:vertAlign w:val="baseline"/>
        </w:rPr>
        <w:t> </w:t>
      </w:r>
      <w:r>
        <w:rPr>
          <w:vertAlign w:val="baseline"/>
        </w:rPr>
        <w:t>contracts</w:t>
      </w:r>
      <w:r>
        <w:rPr>
          <w:spacing w:val="5"/>
          <w:vertAlign w:val="baseline"/>
        </w:rPr>
        <w:t> </w:t>
      </w:r>
      <w:r>
        <w:rPr>
          <w:vertAlign w:val="baseline"/>
        </w:rPr>
        <w:t>of</w:t>
      </w:r>
      <w:r>
        <w:rPr>
          <w:spacing w:val="6"/>
          <w:vertAlign w:val="baseline"/>
        </w:rPr>
        <w:t> </w:t>
      </w:r>
      <w:r>
        <w:rPr>
          <w:vertAlign w:val="baseline"/>
        </w:rPr>
        <w:t>insurance,</w:t>
      </w:r>
      <w:r>
        <w:rPr>
          <w:spacing w:val="5"/>
          <w:vertAlign w:val="baseline"/>
        </w:rPr>
        <w:t> </w:t>
      </w:r>
      <w:r>
        <w:rPr>
          <w:color w:val="005DA1"/>
          <w:u w:val="single" w:color="005DA1"/>
          <w:vertAlign w:val="superscript"/>
        </w:rPr>
        <w:t>337</w:t>
      </w:r>
      <w:r>
        <w:rPr>
          <w:color w:val="005DA1"/>
          <w:spacing w:val="6"/>
          <w:vertAlign w:val="baseline"/>
        </w:rPr>
        <w:t> </w:t>
      </w:r>
      <w:r>
        <w:rPr>
          <w:vertAlign w:val="baseline"/>
        </w:rPr>
        <w:t>Lord</w:t>
      </w:r>
      <w:r>
        <w:rPr>
          <w:spacing w:val="6"/>
          <w:vertAlign w:val="baseline"/>
        </w:rPr>
        <w:t> </w:t>
      </w:r>
      <w:r>
        <w:rPr>
          <w:spacing w:val="-2"/>
          <w:vertAlign w:val="baseline"/>
        </w:rPr>
        <w:t>Mansfield</w:t>
      </w:r>
    </w:p>
    <w:p>
      <w:pPr>
        <w:pStyle w:val="BodyText"/>
        <w:spacing w:line="223" w:lineRule="exact"/>
        <w:ind w:left="165"/>
        <w:jc w:val="both"/>
      </w:pPr>
      <w:r>
        <w:rPr/>
        <w:t>C.J. stated </w:t>
      </w:r>
      <w:r>
        <w:rPr>
          <w:spacing w:val="-2"/>
        </w:rPr>
        <w:t>that:</w:t>
      </w:r>
    </w:p>
    <w:p>
      <w:pPr>
        <w:pStyle w:val="BodyText"/>
      </w:pPr>
    </w:p>
    <w:p>
      <w:pPr>
        <w:pStyle w:val="BodyText"/>
        <w:spacing w:before="126"/>
      </w:pPr>
    </w:p>
    <w:p>
      <w:pPr>
        <w:pStyle w:val="BodyText"/>
        <w:spacing w:line="235" w:lineRule="auto"/>
        <w:ind w:left="1545" w:right="167"/>
        <w:jc w:val="both"/>
      </w:pPr>
      <w:r>
        <w:rPr/>
        <w:t>“The governing principle is applicable to all contracts and dealings. Good faith </w:t>
      </w:r>
      <w:r>
        <w:rPr/>
        <w:t>forbids either party by concealing what he privately knows, to draw the other into a bargain, </w:t>
      </w:r>
      <w:bookmarkStart w:name="_bookmark624" w:id="626"/>
      <w:bookmarkEnd w:id="626"/>
      <w:r>
        <w:rPr/>
        <w:t>from</w:t>
      </w:r>
      <w:r>
        <w:rPr/>
        <w:t> his ignorance of that fact, and his believing the contrary. But either party may be innocently silent, as to grounds open to both, to exercise their judgment upon.” </w:t>
      </w:r>
      <w:r>
        <w:rPr>
          <w:color w:val="005DA1"/>
          <w:u w:val="single" w:color="005DA1"/>
          <w:vertAlign w:val="superscript"/>
        </w:rPr>
        <w:t>338</w:t>
      </w:r>
    </w:p>
    <w:p>
      <w:pPr>
        <w:pStyle w:val="BodyText"/>
      </w:pPr>
    </w:p>
    <w:p>
      <w:pPr>
        <w:pStyle w:val="BodyText"/>
      </w:pPr>
    </w:p>
    <w:p>
      <w:pPr>
        <w:pStyle w:val="BodyText"/>
        <w:spacing w:before="95"/>
      </w:pPr>
    </w:p>
    <w:p>
      <w:pPr>
        <w:pStyle w:val="BodyText"/>
        <w:spacing w:line="235" w:lineRule="auto"/>
        <w:ind w:left="165"/>
      </w:pPr>
      <w:r>
        <w:rPr>
          <w:position w:val="-2"/>
        </w:rPr>
        <w:drawing>
          <wp:inline distT="0" distB="0" distL="0" distR="0">
            <wp:extent cx="107988" cy="107988"/>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Nevertheless, the modern view is that, in keeping with the principles of freedom of contract and the </w:t>
      </w:r>
      <w:bookmarkStart w:name="_bookmark625" w:id="627"/>
      <w:bookmarkEnd w:id="627"/>
      <w:r>
        <w:rPr/>
        <w:t>binding</w:t>
      </w:r>
      <w:r>
        <w:rPr>
          <w:spacing w:val="16"/>
        </w:rPr>
        <w:t> </w:t>
      </w:r>
      <w:r>
        <w:rPr/>
        <w:t>force</w:t>
      </w:r>
      <w:r>
        <w:rPr>
          <w:spacing w:val="18"/>
        </w:rPr>
        <w:t> </w:t>
      </w:r>
      <w:r>
        <w:rPr/>
        <w:t>of</w:t>
      </w:r>
      <w:r>
        <w:rPr>
          <w:spacing w:val="18"/>
        </w:rPr>
        <w:t> </w:t>
      </w:r>
      <w:r>
        <w:rPr/>
        <w:t>contracts,</w:t>
      </w:r>
      <w:r>
        <w:rPr>
          <w:spacing w:val="18"/>
        </w:rPr>
        <w:t> </w:t>
      </w:r>
      <w:r>
        <w:rPr/>
        <w:t>in</w:t>
      </w:r>
      <w:r>
        <w:rPr>
          <w:spacing w:val="18"/>
        </w:rPr>
        <w:t> </w:t>
      </w:r>
      <w:r>
        <w:rPr/>
        <w:t>English</w:t>
      </w:r>
      <w:r>
        <w:rPr>
          <w:spacing w:val="18"/>
        </w:rPr>
        <w:t> </w:t>
      </w:r>
      <w:r>
        <w:rPr/>
        <w:t>contract</w:t>
      </w:r>
      <w:r>
        <w:rPr>
          <w:spacing w:val="18"/>
        </w:rPr>
        <w:t> </w:t>
      </w:r>
      <w:r>
        <w:rPr/>
        <w:t>law</w:t>
      </w:r>
      <w:r>
        <w:rPr>
          <w:spacing w:val="18"/>
        </w:rPr>
        <w:t> </w:t>
      </w:r>
      <w:r>
        <w:rPr/>
        <w:t>there</w:t>
      </w:r>
      <w:r>
        <w:rPr>
          <w:spacing w:val="18"/>
        </w:rPr>
        <w:t> </w:t>
      </w:r>
      <w:r>
        <w:rPr/>
        <w:t>is</w:t>
      </w:r>
      <w:r>
        <w:rPr>
          <w:spacing w:val="18"/>
        </w:rPr>
        <w:t> </w:t>
      </w:r>
      <w:r>
        <w:rPr/>
        <w:t>no</w:t>
      </w:r>
      <w:r>
        <w:rPr>
          <w:spacing w:val="18"/>
        </w:rPr>
        <w:t> </w:t>
      </w:r>
      <w:r>
        <w:rPr/>
        <w:t>legal</w:t>
      </w:r>
      <w:r>
        <w:rPr>
          <w:spacing w:val="18"/>
        </w:rPr>
        <w:t> </w:t>
      </w:r>
      <w:r>
        <w:rPr/>
        <w:t>principle</w:t>
      </w:r>
      <w:r>
        <w:rPr>
          <w:spacing w:val="18"/>
        </w:rPr>
        <w:t> </w:t>
      </w:r>
      <w:r>
        <w:rPr/>
        <w:t>of</w:t>
      </w:r>
      <w:r>
        <w:rPr>
          <w:spacing w:val="18"/>
        </w:rPr>
        <w:t> </w:t>
      </w:r>
      <w:r>
        <w:rPr/>
        <w:t>good</w:t>
      </w:r>
      <w:r>
        <w:rPr>
          <w:spacing w:val="18"/>
        </w:rPr>
        <w:t> </w:t>
      </w:r>
      <w:r>
        <w:rPr/>
        <w:t>faith</w:t>
      </w:r>
      <w:r>
        <w:rPr>
          <w:spacing w:val="18"/>
        </w:rPr>
        <w:t> </w:t>
      </w:r>
      <w:r>
        <w:rPr/>
        <w:t>of</w:t>
      </w:r>
      <w:r>
        <w:rPr>
          <w:spacing w:val="18"/>
        </w:rPr>
        <w:t> </w:t>
      </w:r>
      <w:r>
        <w:rPr>
          <w:spacing w:val="-2"/>
        </w:rPr>
        <w:t>general</w:t>
      </w:r>
    </w:p>
    <w:p>
      <w:pPr>
        <w:pStyle w:val="BodyText"/>
        <w:tabs>
          <w:tab w:pos="7354" w:val="left" w:leader="none"/>
        </w:tabs>
        <w:spacing w:line="235" w:lineRule="auto" w:before="119"/>
        <w:ind w:left="165" w:right="168"/>
      </w:pPr>
      <w:r>
        <w:rPr/>
        <w:t>application,</w:t>
      </w:r>
      <w:r>
        <w:rPr>
          <w:spacing w:val="40"/>
        </w:rPr>
        <w:t> </w:t>
      </w:r>
      <w:r>
        <w:rPr/>
        <w:t>although</w:t>
      </w:r>
      <w:r>
        <w:rPr>
          <w:spacing w:val="40"/>
        </w:rPr>
        <w:t> </w:t>
      </w:r>
      <w:r>
        <w:rPr/>
        <w:t>some</w:t>
      </w:r>
      <w:r>
        <w:rPr>
          <w:spacing w:val="40"/>
        </w:rPr>
        <w:t> </w:t>
      </w:r>
      <w:r>
        <w:rPr/>
        <w:t>authors</w:t>
      </w:r>
      <w:r>
        <w:rPr>
          <w:spacing w:val="40"/>
        </w:rPr>
        <w:t> </w:t>
      </w:r>
      <w:r>
        <w:rPr/>
        <w:t>have</w:t>
      </w:r>
      <w:r>
        <w:rPr>
          <w:spacing w:val="40"/>
        </w:rPr>
        <w:t> </w:t>
      </w:r>
      <w:r>
        <w:rPr/>
        <w:t>argued</w:t>
      </w:r>
      <w:r>
        <w:rPr>
          <w:spacing w:val="40"/>
        </w:rPr>
        <w:t> </w:t>
      </w:r>
      <w:r>
        <w:rPr/>
        <w:t>that</w:t>
      </w:r>
      <w:r>
        <w:rPr>
          <w:spacing w:val="40"/>
        </w:rPr>
        <w:t> </w:t>
      </w:r>
      <w:r>
        <w:rPr/>
        <w:t>there</w:t>
      </w:r>
      <w:r>
        <w:rPr>
          <w:spacing w:val="40"/>
        </w:rPr>
        <w:t> </w:t>
      </w:r>
      <w:r>
        <w:rPr/>
        <w:t>should</w:t>
      </w:r>
      <w:r>
        <w:rPr>
          <w:spacing w:val="40"/>
        </w:rPr>
        <w:t> </w:t>
      </w:r>
      <w:r>
        <w:rPr/>
        <w:t>be.</w:t>
      </w:r>
      <w:r>
        <w:rPr>
          <w:spacing w:val="40"/>
        </w:rPr>
        <w:t> </w:t>
      </w:r>
      <w:r>
        <w:rPr>
          <w:color w:val="005DA1"/>
          <w:u w:val="single" w:color="005DA1"/>
          <w:vertAlign w:val="superscript"/>
        </w:rPr>
        <w:t>339</w:t>
      </w:r>
      <w:r>
        <w:rPr>
          <w:color w:val="005DA1"/>
          <w:vertAlign w:val="baseline"/>
        </w:rPr>
        <w:tab/>
      </w:r>
      <w:r>
        <w:rPr>
          <w:color w:val="005DA1"/>
          <w:position w:val="-2"/>
          <w:vertAlign w:val="baseline"/>
        </w:rPr>
        <w:drawing>
          <wp:inline distT="0" distB="0" distL="0" distR="0">
            <wp:extent cx="107988" cy="107988"/>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40"/>
          <w:vertAlign w:val="baseline"/>
        </w:rPr>
        <w:t> </w:t>
      </w:r>
      <w:r>
        <w:rPr>
          <w:vertAlign w:val="baseline"/>
        </w:rPr>
        <w:t>As</w:t>
      </w:r>
      <w:r>
        <w:rPr>
          <w:spacing w:val="35"/>
          <w:vertAlign w:val="baseline"/>
        </w:rPr>
        <w:t> </w:t>
      </w:r>
      <w:r>
        <w:rPr>
          <w:vertAlign w:val="baseline"/>
        </w:rPr>
        <w:t>Bingham</w:t>
      </w:r>
      <w:r>
        <w:rPr>
          <w:spacing w:val="35"/>
          <w:vertAlign w:val="baseline"/>
        </w:rPr>
        <w:t> </w:t>
      </w:r>
      <w:r>
        <w:rPr>
          <w:vertAlign w:val="baseline"/>
        </w:rPr>
        <w:t>L.J. famously observed:</w:t>
      </w:r>
    </w:p>
    <w:p>
      <w:pPr>
        <w:pStyle w:val="BodyText"/>
      </w:pPr>
    </w:p>
    <w:p>
      <w:pPr>
        <w:pStyle w:val="BodyText"/>
        <w:spacing w:before="126"/>
      </w:pPr>
    </w:p>
    <w:p>
      <w:pPr>
        <w:pStyle w:val="BodyText"/>
        <w:spacing w:line="235" w:lineRule="auto"/>
        <w:ind w:left="1545" w:right="167"/>
        <w:jc w:val="both"/>
      </w:pPr>
      <w:r>
        <w:rPr/>
        <w:t>“In many civil law systems, and perhaps in most legal systems outside the </w:t>
      </w:r>
      <w:r>
        <w:rPr/>
        <w:t>common law world, the law of obligations recognises and enforces an overriding principle that</w:t>
      </w:r>
      <w:r>
        <w:rPr>
          <w:spacing w:val="40"/>
        </w:rPr>
        <w:t> </w:t>
      </w:r>
      <w:r>
        <w:rPr/>
        <w:t>in making and carrying out contracts parties should act in good faith. This does not simply mean that they should not deceive each other, a principle which any legal system must recognise; its effect is perhaps most aptly conveyed by such metaphorical colloquialisms as ‘playing fair’, ‘coming clean’ or ‘putting one’s cards</w:t>
      </w:r>
      <w:r>
        <w:rPr>
          <w:spacing w:val="40"/>
        </w:rPr>
        <w:t> </w:t>
      </w:r>
      <w:r>
        <w:rPr/>
        <w:t>face upwards on the table.’ It is in essence a principle of fair open dealing … English </w:t>
      </w:r>
      <w:bookmarkStart w:name="_bookmark626" w:id="628"/>
      <w:bookmarkEnd w:id="628"/>
      <w:r>
        <w:rPr/>
        <w:t>law</w:t>
      </w:r>
      <w:r>
        <w:rPr/>
        <w:t> has, characteristically, committed itself to no such overriding principle but has developed</w:t>
      </w:r>
      <w:r>
        <w:rPr>
          <w:spacing w:val="10"/>
        </w:rPr>
        <w:t> </w:t>
      </w:r>
      <w:r>
        <w:rPr/>
        <w:t>piecemeal</w:t>
      </w:r>
      <w:r>
        <w:rPr>
          <w:spacing w:val="12"/>
        </w:rPr>
        <w:t> </w:t>
      </w:r>
      <w:r>
        <w:rPr/>
        <w:t>solutions</w:t>
      </w:r>
      <w:r>
        <w:rPr>
          <w:spacing w:val="12"/>
        </w:rPr>
        <w:t> </w:t>
      </w:r>
      <w:r>
        <w:rPr/>
        <w:t>in</w:t>
      </w:r>
      <w:r>
        <w:rPr>
          <w:spacing w:val="12"/>
        </w:rPr>
        <w:t> </w:t>
      </w:r>
      <w:r>
        <w:rPr/>
        <w:t>response</w:t>
      </w:r>
      <w:r>
        <w:rPr>
          <w:spacing w:val="12"/>
        </w:rPr>
        <w:t> </w:t>
      </w:r>
      <w:r>
        <w:rPr/>
        <w:t>to</w:t>
      </w:r>
      <w:r>
        <w:rPr>
          <w:spacing w:val="12"/>
        </w:rPr>
        <w:t> </w:t>
      </w:r>
      <w:r>
        <w:rPr/>
        <w:t>demonstrated</w:t>
      </w:r>
      <w:r>
        <w:rPr>
          <w:spacing w:val="12"/>
        </w:rPr>
        <w:t> </w:t>
      </w:r>
      <w:r>
        <w:rPr/>
        <w:t>problems</w:t>
      </w:r>
      <w:r>
        <w:rPr>
          <w:spacing w:val="12"/>
        </w:rPr>
        <w:t> </w:t>
      </w:r>
      <w:r>
        <w:rPr/>
        <w:t>of</w:t>
      </w:r>
      <w:r>
        <w:rPr>
          <w:spacing w:val="12"/>
        </w:rPr>
        <w:t> </w:t>
      </w:r>
      <w:r>
        <w:rPr>
          <w:spacing w:val="-2"/>
        </w:rPr>
        <w:t>unfairness.”</w:t>
      </w:r>
    </w:p>
    <w:p>
      <w:pPr>
        <w:spacing w:line="110" w:lineRule="exact" w:before="0"/>
        <w:ind w:left="1545" w:right="0" w:firstLine="0"/>
        <w:jc w:val="left"/>
        <w:rPr>
          <w:sz w:val="12"/>
        </w:rPr>
      </w:pPr>
      <w:r>
        <w:rPr>
          <w:color w:val="005DA1"/>
          <w:spacing w:val="-5"/>
          <w:sz w:val="12"/>
          <w:u w:val="single" w:color="005DA1"/>
        </w:rPr>
        <w:t>340</w:t>
      </w:r>
    </w:p>
    <w:p>
      <w:pPr>
        <w:spacing w:after="0" w:line="110" w:lineRule="exact"/>
        <w:jc w:val="left"/>
        <w:rPr>
          <w:sz w:val="12"/>
        </w:rPr>
        <w:sectPr>
          <w:headerReference w:type="default" r:id="rId21"/>
          <w:pgSz w:w="11900" w:h="16840"/>
          <w:pgMar w:header="971" w:footer="0" w:top="1300" w:bottom="280" w:left="1275" w:right="1275"/>
          <w:pgNumType w:start="1"/>
        </w:sectPr>
      </w:pPr>
    </w:p>
    <w:p>
      <w:pPr>
        <w:pStyle w:val="BodyText"/>
        <w:spacing w:before="160"/>
      </w:pPr>
    </w:p>
    <w:p>
      <w:pPr>
        <w:pStyle w:val="BodyText"/>
        <w:spacing w:line="235" w:lineRule="auto"/>
        <w:ind w:left="164" w:right="167"/>
        <w:jc w:val="both"/>
      </w:pPr>
      <w:r>
        <w:rPr>
          <w:position w:val="-2"/>
        </w:rPr>
        <w:drawing>
          <wp:inline distT="0" distB="0" distL="0" distR="0">
            <wp:extent cx="107988" cy="107988"/>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fact that at least some English judges have not been attracted by the idea of a general </w:t>
      </w:r>
      <w:r>
        <w:rPr/>
        <w:t>ground </w:t>
      </w:r>
      <w:bookmarkStart w:name="_bookmark627" w:id="629"/>
      <w:bookmarkEnd w:id="629"/>
      <w:r>
        <w:rPr/>
        <w:t>for</w:t>
      </w:r>
      <w:r>
        <w:rPr/>
        <w:t> relief for unfairness is also clear from judicial treatment of the attempt of Lord Denning M.R. to </w:t>
      </w:r>
      <w:bookmarkStart w:name="_bookmark628" w:id="630"/>
      <w:bookmarkEnd w:id="630"/>
      <w:r>
        <w:rPr/>
        <w:t>construct</w:t>
      </w:r>
      <w:r>
        <w:rPr/>
        <w:t> a general principle of “inequality of bargaining power” in </w:t>
      </w:r>
      <w:r>
        <w:rPr>
          <w:rFonts w:ascii="Arial" w:hAnsi="Arial"/>
          <w:i/>
        </w:rPr>
        <w:t>Lloyds Bank Ltd v Bundy </w:t>
      </w:r>
      <w:r>
        <w:rPr>
          <w:color w:val="005DA1"/>
          <w:u w:val="single" w:color="005DA1"/>
          <w:vertAlign w:val="superscript"/>
        </w:rPr>
        <w:t>341</w:t>
      </w:r>
      <w:r>
        <w:rPr>
          <w:color w:val="005DA1"/>
          <w:vertAlign w:val="baseline"/>
        </w:rPr>
        <w:t> </w:t>
      </w:r>
      <w:r>
        <w:rPr>
          <w:vertAlign w:val="baseline"/>
        </w:rPr>
        <w:t>and</w:t>
      </w:r>
      <w:r>
        <w:rPr>
          <w:spacing w:val="40"/>
          <w:vertAlign w:val="baseline"/>
        </w:rPr>
        <w:t> </w:t>
      </w:r>
      <w:r>
        <w:rPr>
          <w:vertAlign w:val="baseline"/>
        </w:rPr>
        <w:t>the</w:t>
      </w:r>
      <w:r>
        <w:rPr>
          <w:spacing w:val="-1"/>
          <w:vertAlign w:val="baseline"/>
        </w:rPr>
        <w:t> </w:t>
      </w:r>
      <w:r>
        <w:rPr>
          <w:vertAlign w:val="baseline"/>
        </w:rPr>
        <w:t>House</w:t>
      </w:r>
      <w:r>
        <w:rPr>
          <w:spacing w:val="-1"/>
          <w:vertAlign w:val="baseline"/>
        </w:rPr>
        <w:t> </w:t>
      </w:r>
      <w:r>
        <w:rPr>
          <w:vertAlign w:val="baseline"/>
        </w:rPr>
        <w:t>of</w:t>
      </w:r>
      <w:r>
        <w:rPr>
          <w:spacing w:val="-1"/>
          <w:vertAlign w:val="baseline"/>
        </w:rPr>
        <w:t> </w:t>
      </w:r>
      <w:r>
        <w:rPr>
          <w:vertAlign w:val="baseline"/>
        </w:rPr>
        <w:t>Lords’</w:t>
      </w:r>
      <w:r>
        <w:rPr>
          <w:spacing w:val="-1"/>
          <w:vertAlign w:val="baseline"/>
        </w:rPr>
        <w:t> </w:t>
      </w:r>
      <w:r>
        <w:rPr>
          <w:vertAlign w:val="baseline"/>
        </w:rPr>
        <w:t>refusal</w:t>
      </w:r>
      <w:r>
        <w:rPr>
          <w:spacing w:val="-1"/>
          <w:vertAlign w:val="baseline"/>
        </w:rPr>
        <w:t> </w:t>
      </w:r>
      <w:r>
        <w:rPr>
          <w:vertAlign w:val="baseline"/>
        </w:rPr>
        <w:t>in</w:t>
      </w:r>
      <w:r>
        <w:rPr>
          <w:spacing w:val="-1"/>
          <w:vertAlign w:val="baseline"/>
        </w:rPr>
        <w:t> </w:t>
      </w:r>
      <w:r>
        <w:rPr>
          <w:rFonts w:ascii="Arial" w:hAnsi="Arial"/>
          <w:i/>
          <w:vertAlign w:val="baseline"/>
        </w:rPr>
        <w:t>Walford</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Miles</w:t>
      </w:r>
      <w:r>
        <w:rPr>
          <w:rFonts w:ascii="Arial" w:hAnsi="Arial"/>
          <w:i/>
          <w:spacing w:val="-1"/>
          <w:vertAlign w:val="baseline"/>
        </w:rPr>
        <w:t> </w:t>
      </w:r>
      <w:r>
        <w:rPr>
          <w:color w:val="005DA1"/>
          <w:u w:val="single" w:color="005DA1"/>
          <w:vertAlign w:val="superscript"/>
        </w:rPr>
        <w:t>342</w:t>
      </w:r>
      <w:r>
        <w:rPr>
          <w:color w:val="005DA1"/>
          <w:spacing w:val="-1"/>
          <w:vertAlign w:val="baseline"/>
        </w:rPr>
        <w:t> </w:t>
      </w:r>
      <w:r>
        <w:rPr>
          <w:vertAlign w:val="baseline"/>
        </w:rPr>
        <w:t>to</w:t>
      </w:r>
      <w:r>
        <w:rPr>
          <w:spacing w:val="-1"/>
          <w:vertAlign w:val="baseline"/>
        </w:rPr>
        <w:t> </w:t>
      </w:r>
      <w:r>
        <w:rPr>
          <w:vertAlign w:val="baseline"/>
        </w:rPr>
        <w:t>imply</w:t>
      </w:r>
      <w:r>
        <w:rPr>
          <w:spacing w:val="-1"/>
          <w:vertAlign w:val="baseline"/>
        </w:rPr>
        <w:t> </w:t>
      </w:r>
      <w:r>
        <w:rPr>
          <w:vertAlign w:val="baseline"/>
        </w:rPr>
        <w:t>a</w:t>
      </w:r>
      <w:r>
        <w:rPr>
          <w:spacing w:val="-1"/>
          <w:vertAlign w:val="baseline"/>
        </w:rPr>
        <w:t> </w:t>
      </w:r>
      <w:r>
        <w:rPr>
          <w:vertAlign w:val="baseline"/>
        </w:rPr>
        <w:t>term</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“lock-out”</w:t>
      </w:r>
      <w:r>
        <w:rPr>
          <w:spacing w:val="-1"/>
          <w:vertAlign w:val="baseline"/>
        </w:rPr>
        <w:t> </w:t>
      </w:r>
      <w:r>
        <w:rPr>
          <w:vertAlign w:val="baseline"/>
        </w:rPr>
        <w:t>agreement</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party to it be obliged to continue to negotiate in good faith. Indeed, in that case, Lord Ackner stated that:</w:t>
      </w:r>
    </w:p>
    <w:p>
      <w:pPr>
        <w:pStyle w:val="BodyText"/>
      </w:pPr>
    </w:p>
    <w:p>
      <w:pPr>
        <w:pStyle w:val="BodyText"/>
        <w:spacing w:before="125"/>
      </w:pPr>
    </w:p>
    <w:p>
      <w:pPr>
        <w:pStyle w:val="BodyText"/>
        <w:spacing w:line="235" w:lineRule="auto"/>
        <w:ind w:left="1544" w:right="167"/>
        <w:jc w:val="both"/>
      </w:pPr>
      <w:bookmarkStart w:name="_bookmark629" w:id="631"/>
      <w:bookmarkEnd w:id="631"/>
      <w:r>
        <w:rPr/>
      </w:r>
      <w:r>
        <w:rPr/>
        <w:t>“… the concept of a duty to carry on negotiations in good faith is inherently repugnant </w:t>
      </w:r>
      <w:bookmarkStart w:name="_bookmark630" w:id="632"/>
      <w:bookmarkEnd w:id="632"/>
      <w:r>
        <w:rPr/>
        <w:t>to</w:t>
      </w:r>
      <w:r>
        <w:rPr/>
        <w:t> the adversarial position of the parties when involved in negotiations </w:t>
      </w:r>
      <w:r>
        <w:rPr>
          <w:color w:val="005DA1"/>
          <w:u w:val="single" w:color="005DA1"/>
          <w:vertAlign w:val="superscript"/>
        </w:rPr>
        <w:t>343</w:t>
      </w:r>
      <w:r>
        <w:rPr>
          <w:color w:val="005DA1"/>
          <w:vertAlign w:val="baseline"/>
        </w:rPr>
        <w:t> </w:t>
      </w:r>
      <w:r>
        <w:rPr>
          <w:vertAlign w:val="baseline"/>
        </w:rPr>
        <w:t>… [and] … unworkable in practice.” </w:t>
      </w:r>
      <w:r>
        <w:rPr>
          <w:color w:val="005DA1"/>
          <w:u w:val="single" w:color="005DA1"/>
          <w:vertAlign w:val="superscript"/>
        </w:rPr>
        <w:t>344</w:t>
      </w:r>
    </w:p>
    <w:p>
      <w:pPr>
        <w:pStyle w:val="BodyText"/>
        <w:spacing w:before="116"/>
      </w:pPr>
    </w:p>
    <w:p>
      <w:pPr>
        <w:pStyle w:val="BodyText"/>
        <w:spacing w:line="235" w:lineRule="auto"/>
        <w:ind w:left="165" w:right="167"/>
        <w:jc w:val="both"/>
      </w:pPr>
      <w:r>
        <w:rPr/>
        <w:t>Similarly, Potter L.J. observed in denying relevance to a injured party’s motive in termination of </w:t>
      </w:r>
      <w:r>
        <w:rPr/>
        <w:t>a contract, that:</w:t>
      </w:r>
    </w:p>
    <w:p>
      <w:pPr>
        <w:pStyle w:val="BodyText"/>
      </w:pPr>
    </w:p>
    <w:p>
      <w:pPr>
        <w:pStyle w:val="BodyText"/>
        <w:spacing w:before="126"/>
      </w:pPr>
    </w:p>
    <w:p>
      <w:pPr>
        <w:pStyle w:val="BodyText"/>
        <w:spacing w:line="235" w:lineRule="auto"/>
        <w:ind w:left="1545" w:right="167"/>
        <w:jc w:val="both"/>
      </w:pPr>
      <w:r>
        <w:rPr/>
        <w:t>“There is no general doctrine of good faith in the English law of contract. The </w:t>
      </w:r>
      <w:r>
        <w:rPr/>
        <w:t>[injured </w:t>
      </w:r>
      <w:bookmarkStart w:name="_bookmark631" w:id="633"/>
      <w:bookmarkEnd w:id="633"/>
      <w:r>
        <w:rPr/>
        <w:t>parties]</w:t>
      </w:r>
      <w:r>
        <w:rPr>
          <w:spacing w:val="9"/>
        </w:rPr>
        <w:t> </w:t>
      </w:r>
      <w:r>
        <w:rPr/>
        <w:t>are</w:t>
      </w:r>
      <w:r>
        <w:rPr>
          <w:spacing w:val="9"/>
        </w:rPr>
        <w:t> </w:t>
      </w:r>
      <w:r>
        <w:rPr/>
        <w:t>free</w:t>
      </w:r>
      <w:r>
        <w:rPr>
          <w:spacing w:val="9"/>
        </w:rPr>
        <w:t> </w:t>
      </w:r>
      <w:r>
        <w:rPr/>
        <w:t>to</w:t>
      </w:r>
      <w:r>
        <w:rPr>
          <w:spacing w:val="9"/>
        </w:rPr>
        <w:t> </w:t>
      </w:r>
      <w:r>
        <w:rPr/>
        <w:t>act</w:t>
      </w:r>
      <w:r>
        <w:rPr>
          <w:spacing w:val="9"/>
        </w:rPr>
        <w:t> </w:t>
      </w:r>
      <w:r>
        <w:rPr/>
        <w:t>as</w:t>
      </w:r>
      <w:r>
        <w:rPr>
          <w:spacing w:val="9"/>
        </w:rPr>
        <w:t> </w:t>
      </w:r>
      <w:r>
        <w:rPr/>
        <w:t>they</w:t>
      </w:r>
      <w:r>
        <w:rPr>
          <w:spacing w:val="9"/>
        </w:rPr>
        <w:t> </w:t>
      </w:r>
      <w:r>
        <w:rPr/>
        <w:t>wish,</w:t>
      </w:r>
      <w:r>
        <w:rPr>
          <w:spacing w:val="9"/>
        </w:rPr>
        <w:t> </w:t>
      </w:r>
      <w:r>
        <w:rPr/>
        <w:t>provided</w:t>
      </w:r>
      <w:r>
        <w:rPr>
          <w:spacing w:val="9"/>
        </w:rPr>
        <w:t> </w:t>
      </w:r>
      <w:r>
        <w:rPr/>
        <w:t>that</w:t>
      </w:r>
      <w:r>
        <w:rPr>
          <w:spacing w:val="9"/>
        </w:rPr>
        <w:t> </w:t>
      </w:r>
      <w:r>
        <w:rPr/>
        <w:t>they</w:t>
      </w:r>
      <w:r>
        <w:rPr>
          <w:spacing w:val="9"/>
        </w:rPr>
        <w:t> </w:t>
      </w:r>
      <w:r>
        <w:rPr/>
        <w:t>do</w:t>
      </w:r>
      <w:r>
        <w:rPr>
          <w:spacing w:val="9"/>
        </w:rPr>
        <w:t> </w:t>
      </w:r>
      <w:r>
        <w:rPr/>
        <w:t>not</w:t>
      </w:r>
      <w:r>
        <w:rPr>
          <w:spacing w:val="9"/>
        </w:rPr>
        <w:t> </w:t>
      </w:r>
      <w:r>
        <w:rPr/>
        <w:t>act</w:t>
      </w:r>
      <w:r>
        <w:rPr>
          <w:spacing w:val="9"/>
        </w:rPr>
        <w:t> </w:t>
      </w:r>
      <w:r>
        <w:rPr/>
        <w:t>in</w:t>
      </w:r>
      <w:r>
        <w:rPr>
          <w:spacing w:val="9"/>
        </w:rPr>
        <w:t> </w:t>
      </w:r>
      <w:r>
        <w:rPr/>
        <w:t>breach</w:t>
      </w:r>
      <w:r>
        <w:rPr>
          <w:spacing w:val="9"/>
        </w:rPr>
        <w:t> </w:t>
      </w:r>
      <w:r>
        <w:rPr/>
        <w:t>of</w:t>
      </w:r>
      <w:r>
        <w:rPr>
          <w:spacing w:val="9"/>
        </w:rPr>
        <w:t> </w:t>
      </w:r>
      <w:r>
        <w:rPr/>
        <w:t>a</w:t>
      </w:r>
      <w:r>
        <w:rPr>
          <w:spacing w:val="9"/>
        </w:rPr>
        <w:t> </w:t>
      </w:r>
      <w:r>
        <w:rPr>
          <w:spacing w:val="-4"/>
        </w:rPr>
        <w:t>term</w:t>
      </w:r>
    </w:p>
    <w:p>
      <w:pPr>
        <w:pStyle w:val="BodyText"/>
        <w:spacing w:before="115"/>
        <w:ind w:left="1545"/>
        <w:jc w:val="both"/>
        <w:rPr>
          <w:position w:val="-2"/>
        </w:rPr>
      </w:pPr>
      <w:r>
        <w:rPr/>
        <w:t>of the contract.” </w:t>
      </w:r>
      <w:r>
        <w:rPr>
          <w:color w:val="005DA1"/>
          <w:u w:val="single" w:color="005DA1"/>
          <w:vertAlign w:val="superscript"/>
        </w:rPr>
        <w:t>345</w:t>
      </w:r>
      <w:r>
        <w:rPr>
          <w:color w:val="005DA1"/>
          <w:spacing w:val="80"/>
          <w:w w:val="150"/>
          <w:vertAlign w:val="baseline"/>
        </w:rPr>
        <w:t> </w:t>
      </w:r>
      <w:r>
        <w:rPr>
          <w:color w:val="005DA1"/>
          <w:position w:val="-2"/>
          <w:vertAlign w:val="baseline"/>
        </w:rPr>
        <w:drawing>
          <wp:inline distT="0" distB="0" distL="0" distR="0">
            <wp:extent cx="107988" cy="107988"/>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2"/>
      </w:pPr>
    </w:p>
    <w:p>
      <w:pPr>
        <w:pStyle w:val="BodyText"/>
        <w:ind w:left="165"/>
      </w:pPr>
      <w:r>
        <w:rPr/>
        <w:t>And, very recently, Moore-Bick L.J. has observed </w:t>
      </w:r>
      <w:r>
        <w:rPr>
          <w:spacing w:val="-2"/>
        </w:rPr>
        <w:t>that:</w:t>
      </w:r>
    </w:p>
    <w:p>
      <w:pPr>
        <w:pStyle w:val="BodyText"/>
      </w:pPr>
    </w:p>
    <w:p>
      <w:pPr>
        <w:pStyle w:val="BodyText"/>
        <w:spacing w:before="125"/>
      </w:pPr>
    </w:p>
    <w:p>
      <w:pPr>
        <w:pStyle w:val="BodyText"/>
        <w:spacing w:line="235" w:lineRule="auto" w:before="1"/>
        <w:ind w:left="1545" w:right="167"/>
        <w:jc w:val="both"/>
      </w:pPr>
      <w:r>
        <w:rPr/>
        <w:t>“the better course is for the law to develop along established lines rather than </w:t>
      </w:r>
      <w:r>
        <w:rPr/>
        <w:t>to encourage judges to look for what the judge in this case called some ‘general organising principle’ drawn from cases of disparate kinds … There is … a real danger </w:t>
      </w:r>
      <w:bookmarkStart w:name="_bookmark632" w:id="634"/>
      <w:bookmarkEnd w:id="634"/>
      <w:r>
        <w:rPr/>
        <w:t>that</w:t>
      </w:r>
      <w:r>
        <w:rPr/>
        <w:t> if a general principle of good faith were established it would be invoked as often</w:t>
      </w:r>
      <w:r>
        <w:rPr>
          <w:spacing w:val="80"/>
        </w:rPr>
        <w:t> </w:t>
      </w:r>
      <w:r>
        <w:rPr/>
        <w:t>to</w:t>
      </w:r>
      <w:r>
        <w:rPr>
          <w:spacing w:val="8"/>
        </w:rPr>
        <w:t> </w:t>
      </w:r>
      <w:r>
        <w:rPr/>
        <w:t>undermine</w:t>
      </w:r>
      <w:r>
        <w:rPr>
          <w:spacing w:val="10"/>
        </w:rPr>
        <w:t> </w:t>
      </w:r>
      <w:r>
        <w:rPr/>
        <w:t>as</w:t>
      </w:r>
      <w:r>
        <w:rPr>
          <w:spacing w:val="10"/>
        </w:rPr>
        <w:t> </w:t>
      </w:r>
      <w:r>
        <w:rPr/>
        <w:t>to</w:t>
      </w:r>
      <w:r>
        <w:rPr>
          <w:spacing w:val="10"/>
        </w:rPr>
        <w:t> </w:t>
      </w:r>
      <w:r>
        <w:rPr/>
        <w:t>support</w:t>
      </w:r>
      <w:r>
        <w:rPr>
          <w:spacing w:val="10"/>
        </w:rPr>
        <w:t> </w:t>
      </w:r>
      <w:r>
        <w:rPr/>
        <w:t>the</w:t>
      </w:r>
      <w:r>
        <w:rPr>
          <w:spacing w:val="10"/>
        </w:rPr>
        <w:t> </w:t>
      </w:r>
      <w:r>
        <w:rPr/>
        <w:t>terms</w:t>
      </w:r>
      <w:r>
        <w:rPr>
          <w:spacing w:val="10"/>
        </w:rPr>
        <w:t> </w:t>
      </w:r>
      <w:r>
        <w:rPr/>
        <w:t>in</w:t>
      </w:r>
      <w:r>
        <w:rPr>
          <w:spacing w:val="10"/>
        </w:rPr>
        <w:t> </w:t>
      </w:r>
      <w:r>
        <w:rPr/>
        <w:t>which</w:t>
      </w:r>
      <w:r>
        <w:rPr>
          <w:spacing w:val="10"/>
        </w:rPr>
        <w:t> </w:t>
      </w:r>
      <w:r>
        <w:rPr/>
        <w:t>the</w:t>
      </w:r>
      <w:r>
        <w:rPr>
          <w:spacing w:val="10"/>
        </w:rPr>
        <w:t> </w:t>
      </w:r>
      <w:r>
        <w:rPr/>
        <w:t>parties</w:t>
      </w:r>
      <w:r>
        <w:rPr>
          <w:spacing w:val="10"/>
        </w:rPr>
        <w:t> </w:t>
      </w:r>
      <w:r>
        <w:rPr/>
        <w:t>have</w:t>
      </w:r>
      <w:r>
        <w:rPr>
          <w:spacing w:val="10"/>
        </w:rPr>
        <w:t> </w:t>
      </w:r>
      <w:r>
        <w:rPr/>
        <w:t>reached</w:t>
      </w:r>
      <w:r>
        <w:rPr>
          <w:spacing w:val="10"/>
        </w:rPr>
        <w:t> </w:t>
      </w:r>
      <w:r>
        <w:rPr>
          <w:spacing w:val="-2"/>
        </w:rPr>
        <w:t>agreement.””</w:t>
      </w:r>
    </w:p>
    <w:p>
      <w:pPr>
        <w:spacing w:before="93"/>
        <w:ind w:left="1545" w:right="0" w:firstLine="0"/>
        <w:jc w:val="left"/>
        <w:rPr>
          <w:sz w:val="12"/>
        </w:rPr>
      </w:pPr>
      <w:r>
        <w:rPr>
          <w:sz w:val="12"/>
        </w:rPr>
        <w:drawing>
          <wp:anchor distT="0" distB="0" distL="0" distR="0" allowOverlap="1" layoutInCell="1" locked="0" behindDoc="0" simplePos="0" relativeHeight="15788032">
            <wp:simplePos x="0" y="0"/>
            <wp:positionH relativeFrom="page">
              <wp:posOffset>2023719</wp:posOffset>
            </wp:positionH>
            <wp:positionV relativeFrom="paragraph">
              <wp:posOffset>100528</wp:posOffset>
            </wp:positionV>
            <wp:extent cx="107988" cy="107988"/>
            <wp:effectExtent l="0" t="0" r="0" b="0"/>
            <wp:wrapNone/>
            <wp:docPr id="238" name="Image 238"/>
            <wp:cNvGraphicFramePr>
              <a:graphicFrameLocks/>
            </wp:cNvGraphicFramePr>
            <a:graphic>
              <a:graphicData uri="http://schemas.openxmlformats.org/drawingml/2006/picture">
                <pic:pic>
                  <pic:nvPicPr>
                    <pic:cNvPr id="238" name="Image 238"/>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800">
        <w:r>
          <w:rPr>
            <w:color w:val="005DA1"/>
            <w:spacing w:val="-5"/>
            <w:sz w:val="12"/>
            <w:u w:val="single" w:color="005DA1"/>
          </w:rPr>
          <w:t>346</w:t>
        </w:r>
      </w:hyperlink>
    </w:p>
    <w:p>
      <w:pPr>
        <w:pStyle w:val="BodyText"/>
        <w:rPr>
          <w:sz w:val="12"/>
        </w:rPr>
      </w:pPr>
    </w:p>
    <w:p>
      <w:pPr>
        <w:pStyle w:val="BodyText"/>
        <w:rPr>
          <w:sz w:val="12"/>
        </w:rPr>
      </w:pPr>
    </w:p>
    <w:p>
      <w:pPr>
        <w:pStyle w:val="BodyText"/>
        <w:spacing w:before="41"/>
        <w:rPr>
          <w:sz w:val="12"/>
        </w:rPr>
      </w:pPr>
    </w:p>
    <w:p>
      <w:pPr>
        <w:spacing w:before="0"/>
        <w:ind w:left="165" w:right="0" w:firstLine="0"/>
        <w:jc w:val="left"/>
        <w:rPr>
          <w:sz w:val="20"/>
        </w:rPr>
      </w:pPr>
      <w:r>
        <w:rPr>
          <w:sz w:val="20"/>
        </w:rPr>
        <w:t>Moreover, according to Rix L.J. in</w:t>
      </w:r>
      <w:r>
        <w:rPr>
          <w:spacing w:val="-1"/>
          <w:sz w:val="20"/>
        </w:rPr>
        <w:t> </w:t>
      </w:r>
      <w:r>
        <w:rPr>
          <w:rFonts w:ascii="Arial"/>
          <w:i/>
          <w:sz w:val="20"/>
        </w:rPr>
        <w:t>ING Bank NV v Ros Roca </w:t>
      </w:r>
      <w:r>
        <w:rPr>
          <w:rFonts w:ascii="Arial"/>
          <w:i/>
          <w:spacing w:val="-5"/>
          <w:sz w:val="20"/>
        </w:rPr>
        <w:t>SA</w:t>
      </w:r>
      <w:r>
        <w:rPr>
          <w:spacing w:val="-5"/>
          <w:sz w:val="20"/>
        </w:rPr>
        <w:t>:</w:t>
      </w:r>
    </w:p>
    <w:p>
      <w:pPr>
        <w:pStyle w:val="BodyText"/>
      </w:pPr>
    </w:p>
    <w:p>
      <w:pPr>
        <w:pStyle w:val="BodyText"/>
        <w:spacing w:before="125"/>
      </w:pPr>
    </w:p>
    <w:p>
      <w:pPr>
        <w:pStyle w:val="BodyText"/>
        <w:spacing w:line="235" w:lineRule="auto"/>
        <w:ind w:left="1545" w:right="167"/>
        <w:jc w:val="both"/>
      </w:pPr>
      <w:r>
        <w:rPr/>
        <w:t>“Outside the insurance context, there is no obligation in general to bring difficulties</w:t>
      </w:r>
      <w:r>
        <w:rPr>
          <w:spacing w:val="40"/>
        </w:rPr>
        <w:t> </w:t>
      </w:r>
      <w:r>
        <w:rPr/>
        <w:t>and defects to the attention of a contract partner or prospective contract </w:t>
      </w:r>
      <w:r>
        <w:rPr/>
        <w:t>partner. Caveat emptor reflects a basic facet of English commercial law (the growth of consumer law has been moving in a different direction). Nor is there any general notion, as there is in the civil law, of a duty of good faith in commercial affairs,</w:t>
      </w:r>
      <w:r>
        <w:rPr>
          <w:spacing w:val="40"/>
        </w:rPr>
        <w:t> </w:t>
      </w:r>
      <w:r>
        <w:rPr/>
        <w:t>however much individual concepts of English common law, such as that of the reasonable man, and of waiver and estoppel itself, may be said to reflect such a </w:t>
      </w:r>
      <w:bookmarkStart w:name="_bookmark633" w:id="635"/>
      <w:bookmarkEnd w:id="635"/>
      <w:r>
        <w:rPr/>
        <w:t>notion.</w:t>
      </w:r>
      <w:r>
        <w:rPr/>
        <w:t> In such circumstances, silence is golden, for where there is no obligation to speak, silence gives no hostages to fortune.” </w:t>
      </w:r>
      <w:r>
        <w:rPr>
          <w:color w:val="005DA1"/>
          <w:u w:val="single" w:color="005DA1"/>
          <w:vertAlign w:val="superscript"/>
        </w:rPr>
        <w:t>347</w:t>
      </w:r>
    </w:p>
    <w:p>
      <w:pPr>
        <w:pStyle w:val="BodyText"/>
      </w:pPr>
    </w:p>
    <w:p>
      <w:pPr>
        <w:pStyle w:val="BodyText"/>
        <w:spacing w:before="195"/>
      </w:pPr>
    </w:p>
    <w:p>
      <w:pPr>
        <w:spacing w:before="0"/>
        <w:ind w:left="165" w:right="0" w:firstLine="0"/>
        <w:jc w:val="left"/>
        <w:rPr>
          <w:rFonts w:ascii="Arial"/>
          <w:b/>
          <w:sz w:val="24"/>
        </w:rPr>
      </w:pPr>
      <w:r>
        <w:rPr>
          <w:rFonts w:ascii="Arial"/>
          <w:b/>
          <w:sz w:val="24"/>
        </w:rPr>
        <w:t>1-</w:t>
      </w:r>
      <w:r>
        <w:rPr>
          <w:rFonts w:ascii="Arial"/>
          <w:b/>
          <w:spacing w:val="-5"/>
          <w:sz w:val="24"/>
        </w:rPr>
        <w:t>040</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 very stark example of the preference of English judges for the strict application of the terms of a </w:t>
      </w:r>
      <w:bookmarkStart w:name="_bookmark634" w:id="636"/>
      <w:bookmarkEnd w:id="636"/>
      <w:r>
        <w:rPr/>
        <w:t>contract</w:t>
      </w:r>
      <w:r>
        <w:rPr>
          <w:spacing w:val="-1"/>
        </w:rPr>
        <w:t> </w:t>
      </w:r>
      <w:r>
        <w:rPr/>
        <w:t>rather</w:t>
      </w:r>
      <w:r>
        <w:rPr>
          <w:spacing w:val="-1"/>
        </w:rPr>
        <w:t> </w:t>
      </w:r>
      <w:r>
        <w:rPr/>
        <w:t>than</w:t>
      </w:r>
      <w:r>
        <w:rPr>
          <w:spacing w:val="-1"/>
        </w:rPr>
        <w:t> </w:t>
      </w:r>
      <w:r>
        <w:rPr/>
        <w:t>tempering</w:t>
      </w:r>
      <w:r>
        <w:rPr>
          <w:spacing w:val="-1"/>
        </w:rPr>
        <w:t> </w:t>
      </w:r>
      <w:r>
        <w:rPr/>
        <w:t>their</w:t>
      </w:r>
      <w:r>
        <w:rPr>
          <w:spacing w:val="-1"/>
        </w:rPr>
        <w:t> </w:t>
      </w:r>
      <w:r>
        <w:rPr/>
        <w:t>effect</w:t>
      </w:r>
      <w:r>
        <w:rPr>
          <w:spacing w:val="-1"/>
        </w:rPr>
        <w:t> </w:t>
      </w:r>
      <w:r>
        <w:rPr/>
        <w:t>on</w:t>
      </w:r>
      <w:r>
        <w:rPr>
          <w:spacing w:val="-1"/>
        </w:rPr>
        <w:t> </w:t>
      </w:r>
      <w:r>
        <w:rPr/>
        <w:t>the</w:t>
      </w:r>
      <w:r>
        <w:rPr>
          <w:spacing w:val="-1"/>
        </w:rPr>
        <w:t> </w:t>
      </w:r>
      <w:r>
        <w:rPr/>
        <w:t>grounds</w:t>
      </w:r>
      <w:r>
        <w:rPr>
          <w:spacing w:val="-1"/>
        </w:rPr>
        <w:t> </w:t>
      </w:r>
      <w:r>
        <w:rPr/>
        <w:t>of</w:t>
      </w:r>
      <w:r>
        <w:rPr>
          <w:spacing w:val="-1"/>
        </w:rPr>
        <w:t> </w:t>
      </w:r>
      <w:r>
        <w:rPr/>
        <w:t>fairness</w:t>
      </w:r>
      <w:r>
        <w:rPr>
          <w:spacing w:val="-1"/>
        </w:rPr>
        <w:t> </w:t>
      </w:r>
      <w:r>
        <w:rPr/>
        <w:t>may</w:t>
      </w:r>
      <w:r>
        <w:rPr>
          <w:spacing w:val="-1"/>
        </w:rPr>
        <w:t> </w:t>
      </w:r>
      <w:r>
        <w:rPr/>
        <w:t>be</w:t>
      </w:r>
      <w:r>
        <w:rPr>
          <w:spacing w:val="-1"/>
        </w:rPr>
        <w:t> </w:t>
      </w:r>
      <w:r>
        <w:rPr/>
        <w:t>found</w:t>
      </w:r>
      <w:r>
        <w:rPr>
          <w:spacing w:val="-1"/>
        </w:rPr>
        <w:t> </w:t>
      </w:r>
      <w:r>
        <w:rPr/>
        <w:t>in</w:t>
      </w:r>
      <w:r>
        <w:rPr>
          <w:spacing w:val="-2"/>
        </w:rPr>
        <w:t> </w:t>
      </w:r>
      <w:r>
        <w:rPr>
          <w:rFonts w:ascii="Arial"/>
          <w:i/>
        </w:rPr>
        <w:t>Union</w:t>
      </w:r>
      <w:r>
        <w:rPr>
          <w:rFonts w:ascii="Arial"/>
          <w:i/>
          <w:spacing w:val="-1"/>
        </w:rPr>
        <w:t> </w:t>
      </w:r>
      <w:r>
        <w:rPr>
          <w:rFonts w:ascii="Arial"/>
          <w:i/>
        </w:rPr>
        <w:t>Eagle</w:t>
      </w:r>
      <w:r>
        <w:rPr>
          <w:rFonts w:ascii="Arial"/>
          <w:i/>
          <w:spacing w:val="-1"/>
        </w:rPr>
        <w:t> </w:t>
      </w:r>
      <w:r>
        <w:rPr>
          <w:rFonts w:ascii="Arial"/>
          <w:i/>
        </w:rPr>
        <w:t>Ltd v Golden Achievement Ltd</w:t>
      </w:r>
      <w:r>
        <w:rPr/>
        <w:t>. </w:t>
      </w:r>
      <w:r>
        <w:rPr>
          <w:color w:val="005DA1"/>
          <w:u w:val="single" w:color="005DA1"/>
          <w:vertAlign w:val="superscript"/>
        </w:rPr>
        <w:t>348</w:t>
      </w:r>
      <w:r>
        <w:rPr>
          <w:color w:val="005DA1"/>
          <w:vertAlign w:val="baseline"/>
        </w:rPr>
        <w:t> </w:t>
      </w:r>
      <w:r>
        <w:rPr>
          <w:vertAlign w:val="baseline"/>
        </w:rPr>
        <w:t>There, the Privy Council refused specific performance of a contract for the sale of land to its purchaser who had paid the price 10 minutes late, time having been made expressly of the essence for performance of this obligation. It rejected the argument that the courts enjoyed a discretion to relieve a party from the contractual consequences of late performance (stemming from its jurisdiction to relieve from forfeitures in equity). According to Lord Hoffmann:</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545" w:right="167"/>
        <w:jc w:val="both"/>
      </w:pPr>
      <w:r>
        <w:rPr/>
        <w:t>“The principle that equity will restrain the enforcement of legal rights when it would </w:t>
      </w:r>
      <w:r>
        <w:rPr/>
        <w:t>be unconscionable to insist upon them has an attractive breadth. But the reasons why</w:t>
      </w:r>
      <w:r>
        <w:rPr>
          <w:spacing w:val="80"/>
        </w:rPr>
        <w:t> </w:t>
      </w:r>
      <w:r>
        <w:rPr/>
        <w:t>the</w:t>
      </w:r>
      <w:r>
        <w:rPr>
          <w:spacing w:val="14"/>
        </w:rPr>
        <w:t> </w:t>
      </w:r>
      <w:r>
        <w:rPr/>
        <w:t>courts</w:t>
      </w:r>
      <w:r>
        <w:rPr>
          <w:spacing w:val="16"/>
        </w:rPr>
        <w:t> </w:t>
      </w:r>
      <w:r>
        <w:rPr/>
        <w:t>have</w:t>
      </w:r>
      <w:r>
        <w:rPr>
          <w:spacing w:val="16"/>
        </w:rPr>
        <w:t> </w:t>
      </w:r>
      <w:r>
        <w:rPr/>
        <w:t>rejected</w:t>
      </w:r>
      <w:r>
        <w:rPr>
          <w:spacing w:val="16"/>
        </w:rPr>
        <w:t> </w:t>
      </w:r>
      <w:r>
        <w:rPr/>
        <w:t>such</w:t>
      </w:r>
      <w:r>
        <w:rPr>
          <w:spacing w:val="16"/>
        </w:rPr>
        <w:t> </w:t>
      </w:r>
      <w:r>
        <w:rPr/>
        <w:t>generalisations</w:t>
      </w:r>
      <w:r>
        <w:rPr>
          <w:spacing w:val="16"/>
        </w:rPr>
        <w:t> </w:t>
      </w:r>
      <w:r>
        <w:rPr/>
        <w:t>are</w:t>
      </w:r>
      <w:r>
        <w:rPr>
          <w:spacing w:val="16"/>
        </w:rPr>
        <w:t> </w:t>
      </w:r>
      <w:r>
        <w:rPr/>
        <w:t>founded</w:t>
      </w:r>
      <w:r>
        <w:rPr>
          <w:spacing w:val="16"/>
        </w:rPr>
        <w:t> </w:t>
      </w:r>
      <w:r>
        <w:rPr/>
        <w:t>not</w:t>
      </w:r>
      <w:r>
        <w:rPr>
          <w:spacing w:val="16"/>
        </w:rPr>
        <w:t> </w:t>
      </w:r>
      <w:r>
        <w:rPr/>
        <w:t>merely</w:t>
      </w:r>
      <w:r>
        <w:rPr>
          <w:spacing w:val="16"/>
        </w:rPr>
        <w:t> </w:t>
      </w:r>
      <w:r>
        <w:rPr/>
        <w:t>upon</w:t>
      </w:r>
      <w:r>
        <w:rPr>
          <w:spacing w:val="16"/>
        </w:rPr>
        <w:t> </w:t>
      </w:r>
      <w:r>
        <w:rPr>
          <w:spacing w:val="-2"/>
        </w:rPr>
        <w:t>authority</w:t>
      </w:r>
    </w:p>
    <w:p>
      <w:pPr>
        <w:pStyle w:val="BodyText"/>
        <w:spacing w:line="235" w:lineRule="auto"/>
        <w:ind w:left="1545" w:right="167"/>
        <w:jc w:val="both"/>
      </w:pPr>
      <w:r>
        <w:rPr/>
        <w:t>… but also upon considerations of business. These are, in summary, that in many forms of transaction it is of great importance that if something happens for which the contract has made express provision, the parties should know with certainty that </w:t>
      </w:r>
      <w:r>
        <w:rPr/>
        <w:t>the terms of the contract will be enforced. The existence of an undefined discretion to </w:t>
      </w:r>
      <w:bookmarkStart w:name="_bookmark635" w:id="637"/>
      <w:bookmarkEnd w:id="637"/>
      <w:r>
        <w:rPr/>
        <w:t>refuse</w:t>
      </w:r>
      <w:r>
        <w:rPr/>
        <w:t> to enforce the contract on the ground that this would be ‘unconscionable’ is sufficient to create uncertainty.” </w:t>
      </w:r>
      <w:r>
        <w:rPr>
          <w:color w:val="005DA1"/>
          <w:u w:val="single" w:color="005DA1"/>
          <w:vertAlign w:val="superscript"/>
        </w:rPr>
        <w:t>349</w:t>
      </w:r>
    </w:p>
    <w:p>
      <w:pPr>
        <w:pStyle w:val="BodyText"/>
        <w:spacing w:before="113"/>
      </w:pPr>
    </w:p>
    <w:p>
      <w:pPr>
        <w:pStyle w:val="BodyText"/>
        <w:spacing w:line="235" w:lineRule="auto"/>
        <w:ind w:left="165" w:right="167"/>
        <w:jc w:val="both"/>
      </w:pPr>
      <w:bookmarkStart w:name="_bookmark636" w:id="638"/>
      <w:bookmarkEnd w:id="638"/>
      <w:r>
        <w:rPr/>
      </w:r>
      <w:r>
        <w:rPr/>
        <w:t>It is to be noted, though, that Lord Hoffmann recognised that “the same need for certainty is not present in all transactions”. </w:t>
      </w:r>
      <w:r>
        <w:rPr>
          <w:color w:val="005DA1"/>
          <w:u w:val="single" w:color="005DA1"/>
          <w:vertAlign w:val="superscript"/>
        </w:rPr>
        <w:t>350</w:t>
      </w:r>
    </w:p>
    <w:p>
      <w:pPr>
        <w:pStyle w:val="BodyText"/>
        <w:spacing w:before="89"/>
      </w:pPr>
    </w:p>
    <w:p>
      <w:pPr>
        <w:pStyle w:val="BodyText"/>
        <w:spacing w:line="235" w:lineRule="auto" w:before="1"/>
        <w:ind w:left="165" w:right="167"/>
        <w:jc w:val="both"/>
      </w:pPr>
      <w:r>
        <w:rPr/>
        <w:t>Moreover, the House of Lords has had occasion to hold that a party is not prevented from relying on the formal invalidity of a contract on the ground merely that it would be “unconscionable” to do so, in </w:t>
      </w:r>
      <w:bookmarkStart w:name="_bookmark637" w:id="639"/>
      <w:bookmarkEnd w:id="639"/>
      <w:r>
        <w:rPr/>
        <w:t>the</w:t>
      </w:r>
      <w:r>
        <w:rPr/>
        <w:t> absence of an unambiguous representation of the contract’s validity (not being the promise to </w:t>
      </w:r>
      <w:r>
        <w:rPr/>
        <w:t>be enforced itself) on which to base an estoppel. </w:t>
      </w:r>
      <w:r>
        <w:rPr>
          <w:color w:val="005DA1"/>
          <w:u w:val="single" w:color="005DA1"/>
          <w:vertAlign w:val="superscript"/>
        </w:rPr>
        <w:t>351</w:t>
      </w:r>
      <w:r>
        <w:rPr>
          <w:color w:val="005DA1"/>
          <w:vertAlign w:val="baseline"/>
        </w:rPr>
        <w:t> </w:t>
      </w:r>
      <w:r>
        <w:rPr>
          <w:vertAlign w:val="baseline"/>
        </w:rPr>
        <w:t>In the words of Lord Clyde:</w:t>
      </w:r>
    </w:p>
    <w:p>
      <w:pPr>
        <w:pStyle w:val="BodyText"/>
      </w:pPr>
    </w:p>
    <w:p>
      <w:pPr>
        <w:pStyle w:val="BodyText"/>
        <w:spacing w:before="125"/>
      </w:pPr>
    </w:p>
    <w:p>
      <w:pPr>
        <w:pStyle w:val="BodyText"/>
        <w:spacing w:line="235" w:lineRule="auto"/>
        <w:ind w:left="1545" w:right="167"/>
        <w:jc w:val="both"/>
      </w:pPr>
      <w:r>
        <w:rPr/>
        <w:t>“Without entering into questions of categorisation of different classes of estoppel, </w:t>
      </w:r>
      <w:r>
        <w:rPr/>
        <w:t>it seems to me that some recognisable structural framework must be established before </w:t>
      </w:r>
      <w:bookmarkStart w:name="_bookmark638" w:id="640"/>
      <w:bookmarkEnd w:id="640"/>
      <w:r>
        <w:rPr/>
        <w:t>recourse</w:t>
      </w:r>
      <w:r>
        <w:rPr/>
        <w:t> is had to the underlying idea of unconscionable conduct in the particular circumstances.” </w:t>
      </w:r>
      <w:r>
        <w:rPr>
          <w:color w:val="005DA1"/>
          <w:u w:val="single" w:color="005DA1"/>
          <w:vertAlign w:val="superscript"/>
        </w:rPr>
        <w:t>352</w:t>
      </w:r>
    </w:p>
    <w:p>
      <w:pPr>
        <w:pStyle w:val="BodyText"/>
        <w:spacing w:before="115"/>
      </w:pPr>
    </w:p>
    <w:p>
      <w:pPr>
        <w:pStyle w:val="BodyText"/>
        <w:spacing w:line="235" w:lineRule="auto"/>
        <w:ind w:left="165" w:right="167"/>
        <w:jc w:val="both"/>
      </w:pPr>
      <w:bookmarkStart w:name="_bookmark639" w:id="641"/>
      <w:bookmarkEnd w:id="641"/>
      <w:r>
        <w:rPr/>
      </w:r>
      <w:r>
        <w:rPr/>
        <w:t>Similarly, in </w:t>
      </w:r>
      <w:r>
        <w:rPr>
          <w:rFonts w:ascii="Arial" w:hAnsi="Arial"/>
          <w:i/>
        </w:rPr>
        <w:t>Cobbe v Yeoman’s Row Management Ltd </w:t>
      </w:r>
      <w:r>
        <w:rPr>
          <w:color w:val="005DA1"/>
          <w:u w:val="single" w:color="005DA1"/>
          <w:vertAlign w:val="superscript"/>
        </w:rPr>
        <w:t>353</w:t>
      </w:r>
      <w:r>
        <w:rPr>
          <w:color w:val="005DA1"/>
          <w:vertAlign w:val="baseline"/>
        </w:rPr>
        <w:t> </w:t>
      </w:r>
      <w:r>
        <w:rPr>
          <w:vertAlign w:val="baseline"/>
        </w:rPr>
        <w:t>(which concerned claims, inter alia, for proprietary estoppel and/or constructive trust arising from an oral agreement to develop another person’s land intended to be binding “in honour alone”), Lord Scott of Foscote observed that:</w:t>
      </w:r>
    </w:p>
    <w:p>
      <w:pPr>
        <w:pStyle w:val="BodyText"/>
      </w:pPr>
    </w:p>
    <w:p>
      <w:pPr>
        <w:pStyle w:val="BodyText"/>
        <w:spacing w:before="126"/>
      </w:pPr>
    </w:p>
    <w:p>
      <w:pPr>
        <w:pStyle w:val="BodyText"/>
        <w:spacing w:line="235" w:lineRule="auto"/>
        <w:ind w:left="1545" w:right="167"/>
        <w:jc w:val="both"/>
      </w:pPr>
      <w:r>
        <w:rPr/>
        <w:t>“… unconscionability of conduct may well lead to a remedy but, in my </w:t>
      </w:r>
      <w:r>
        <w:rPr/>
        <w:t>opinion, proprietary estoppel cannot be the route to it unless the ingredients for a proprietary estoppel are present … To treat a ‘proprietary estoppel equity’ as requiring neither a </w:t>
      </w:r>
      <w:bookmarkStart w:name="_bookmark640" w:id="642"/>
      <w:bookmarkEnd w:id="642"/>
      <w:r>
        <w:rPr/>
        <w:t>proprietary</w:t>
      </w:r>
      <w:r>
        <w:rPr/>
        <w:t> claim by the claimant nor an estoppel against the defendant but simply unconscionable behaviour is, in my respectful opinion, a recipe for confusion.” </w:t>
      </w:r>
      <w:r>
        <w:rPr>
          <w:color w:val="005DA1"/>
          <w:u w:val="single" w:color="005DA1"/>
          <w:vertAlign w:val="superscript"/>
        </w:rPr>
        <w:t>354</w:t>
      </w:r>
    </w:p>
    <w:p>
      <w:pPr>
        <w:pStyle w:val="BodyText"/>
        <w:spacing w:before="111"/>
      </w:pPr>
    </w:p>
    <w:p>
      <w:pPr>
        <w:pStyle w:val="BodyText"/>
        <w:ind w:left="165"/>
        <w:jc w:val="both"/>
      </w:pPr>
      <w:r>
        <w:rPr/>
        <w:t>Similarly, Lord Walker of Gestingthorpe considered that no cases cited before the </w:t>
      </w:r>
      <w:r>
        <w:rPr>
          <w:spacing w:val="-2"/>
        </w:rPr>
        <w:t>House:</w:t>
      </w:r>
    </w:p>
    <w:p>
      <w:pPr>
        <w:pStyle w:val="BodyText"/>
      </w:pPr>
    </w:p>
    <w:p>
      <w:pPr>
        <w:pStyle w:val="BodyText"/>
        <w:spacing w:before="125"/>
      </w:pPr>
    </w:p>
    <w:p>
      <w:pPr>
        <w:pStyle w:val="BodyText"/>
        <w:spacing w:line="235" w:lineRule="auto"/>
        <w:ind w:left="1545" w:right="167"/>
        <w:jc w:val="both"/>
      </w:pPr>
      <w:r>
        <w:rPr/>
        <w:t>“… cast doubt on the general principle that the court should be very slow to </w:t>
      </w:r>
      <w:r>
        <w:rPr/>
        <w:t>introduce uncertainty into commercial transactions by over-ready use of equitable concepts</w:t>
      </w:r>
      <w:r>
        <w:rPr>
          <w:spacing w:val="40"/>
        </w:rPr>
        <w:t> </w:t>
      </w:r>
      <w:bookmarkStart w:name="_bookmark641" w:id="643"/>
      <w:bookmarkEnd w:id="643"/>
      <w:r>
        <w:rPr/>
        <w:t>such</w:t>
      </w:r>
      <w:r>
        <w:rPr/>
        <w:t> as fiduciary obligations and equitable estoppel. That applies to commercial negotiations whether or not they are expressly stated to be subject to contract.” </w:t>
      </w:r>
      <w:r>
        <w:rPr>
          <w:color w:val="005DA1"/>
          <w:u w:val="single" w:color="005DA1"/>
          <w:vertAlign w:val="superscript"/>
        </w:rPr>
        <w:t>355</w:t>
      </w:r>
    </w:p>
    <w:p>
      <w:pPr>
        <w:pStyle w:val="BodyText"/>
        <w:spacing w:before="116"/>
      </w:pPr>
    </w:p>
    <w:p>
      <w:pPr>
        <w:pStyle w:val="BodyText"/>
        <w:spacing w:line="235" w:lineRule="auto"/>
        <w:ind w:left="164" w:right="167"/>
        <w:jc w:val="both"/>
      </w:pPr>
      <w:r>
        <w:rPr/>
        <w:t>Moreover, the courts do not generally allow a party to a contract to rely on public law defences </w:t>
      </w:r>
      <w:r>
        <w:rPr/>
        <w:t>(such as one based on its legitimate expectation) against its contractual partner where the latter’s claim is fundamentally</w:t>
      </w:r>
      <w:r>
        <w:rPr>
          <w:spacing w:val="-1"/>
        </w:rPr>
        <w:t> </w:t>
      </w:r>
      <w:r>
        <w:rPr/>
        <w:t>for</w:t>
      </w:r>
      <w:r>
        <w:rPr>
          <w:spacing w:val="-1"/>
        </w:rPr>
        <w:t> </w:t>
      </w:r>
      <w:r>
        <w:rPr/>
        <w:t>the</w:t>
      </w:r>
      <w:r>
        <w:rPr>
          <w:spacing w:val="-1"/>
        </w:rPr>
        <w:t> </w:t>
      </w:r>
      <w:r>
        <w:rPr/>
        <w:t>enforcement</w:t>
      </w:r>
      <w:r>
        <w:rPr>
          <w:spacing w:val="-1"/>
        </w:rPr>
        <w:t> </w:t>
      </w:r>
      <w:r>
        <w:rPr/>
        <w:t>of</w:t>
      </w:r>
      <w:r>
        <w:rPr>
          <w:spacing w:val="-1"/>
        </w:rPr>
        <w:t> </w:t>
      </w:r>
      <w:r>
        <w:rPr/>
        <w:t>a</w:t>
      </w:r>
      <w:r>
        <w:rPr>
          <w:spacing w:val="-1"/>
        </w:rPr>
        <w:t> </w:t>
      </w:r>
      <w:r>
        <w:rPr/>
        <w:t>commercial</w:t>
      </w:r>
      <w:r>
        <w:rPr>
          <w:spacing w:val="-1"/>
        </w:rPr>
        <w:t> </w:t>
      </w:r>
      <w:r>
        <w:rPr/>
        <w:t>bargain,</w:t>
      </w:r>
      <w:r>
        <w:rPr>
          <w:spacing w:val="-1"/>
        </w:rPr>
        <w:t> </w:t>
      </w:r>
      <w:r>
        <w:rPr/>
        <w:t>even</w:t>
      </w:r>
      <w:r>
        <w:rPr>
          <w:spacing w:val="-1"/>
        </w:rPr>
        <w:t> </w:t>
      </w:r>
      <w:r>
        <w:rPr/>
        <w:t>if</w:t>
      </w:r>
      <w:r>
        <w:rPr>
          <w:spacing w:val="-1"/>
        </w:rPr>
        <w:t> </w:t>
      </w:r>
      <w:r>
        <w:rPr/>
        <w:t>that</w:t>
      </w:r>
      <w:r>
        <w:rPr>
          <w:spacing w:val="-1"/>
        </w:rPr>
        <w:t> </w:t>
      </w:r>
      <w:r>
        <w:rPr/>
        <w:t>partner</w:t>
      </w:r>
      <w:r>
        <w:rPr>
          <w:spacing w:val="-1"/>
        </w:rPr>
        <w:t> </w:t>
      </w:r>
      <w:r>
        <w:rPr/>
        <w:t>was</w:t>
      </w:r>
      <w:r>
        <w:rPr>
          <w:spacing w:val="-1"/>
        </w:rPr>
        <w:t> </w:t>
      </w:r>
      <w:r>
        <w:rPr/>
        <w:t>a</w:t>
      </w:r>
      <w:r>
        <w:rPr>
          <w:spacing w:val="-1"/>
        </w:rPr>
        <w:t> </w:t>
      </w:r>
      <w:r>
        <w:rPr/>
        <w:t>public</w:t>
      </w:r>
      <w:r>
        <w:rPr>
          <w:spacing w:val="-1"/>
        </w:rPr>
        <w:t> </w:t>
      </w:r>
      <w:r>
        <w:rPr/>
        <w:t>authority </w:t>
      </w:r>
      <w:bookmarkStart w:name="_bookmark642" w:id="644"/>
      <w:bookmarkEnd w:id="644"/>
      <w:r>
        <w:rPr/>
        <w:t>acting</w:t>
      </w:r>
      <w:r>
        <w:rPr/>
        <w:t> under statutory powers, though it has been accepted that they could do so where “a true public law defence vitiates a contractual claim”. </w:t>
      </w:r>
      <w:r>
        <w:rPr>
          <w:color w:val="005DA1"/>
          <w:u w:val="single" w:color="005DA1"/>
          <w:vertAlign w:val="superscript"/>
        </w:rPr>
        <w:t>356</w:t>
      </w:r>
      <w:r>
        <w:rPr>
          <w:color w:val="005DA1"/>
          <w:vertAlign w:val="baseline"/>
        </w:rPr>
        <w:t> </w:t>
      </w:r>
      <w:r>
        <w:rPr>
          <w:vertAlign w:val="baseline"/>
        </w:rPr>
        <w:t>For this purpose, in the view of Lewison L.J., it cannot </w:t>
      </w:r>
      <w:bookmarkStart w:name="_bookmark643" w:id="645"/>
      <w:bookmarkEnd w:id="645"/>
      <w:r>
        <w:rPr>
          <w:vertAlign w:val="baseline"/>
        </w:rPr>
        <w:t>“usually</w:t>
      </w:r>
      <w:r>
        <w:rPr>
          <w:vertAlign w:val="baseline"/>
        </w:rPr>
        <w:t> be an abuse of power [in a public body] to exercise contractual rights freely conferred, even if the result may appear to be a harsh one”. </w:t>
      </w:r>
      <w:r>
        <w:rPr>
          <w:color w:val="005DA1"/>
          <w:u w:val="single" w:color="005DA1"/>
          <w:vertAlign w:val="superscript"/>
        </w:rPr>
        <w:t>357</w:t>
      </w:r>
    </w:p>
    <w:p>
      <w:pPr>
        <w:pStyle w:val="BodyText"/>
      </w:pPr>
    </w:p>
    <w:p>
      <w:pPr>
        <w:pStyle w:val="BodyText"/>
        <w:spacing w:before="36"/>
      </w:pPr>
    </w:p>
    <w:p>
      <w:pPr>
        <w:spacing w:before="0"/>
        <w:ind w:left="164" w:right="0" w:firstLine="0"/>
        <w:jc w:val="both"/>
        <w:rPr>
          <w:rFonts w:ascii="Arial"/>
          <w:b/>
          <w:sz w:val="18"/>
        </w:rPr>
      </w:pPr>
      <w:r>
        <w:rPr>
          <w:rFonts w:ascii="Arial"/>
          <w:b/>
          <w:sz w:val="18"/>
        </w:rPr>
        <w:t>Good faith in other common law </w:t>
      </w:r>
      <w:r>
        <w:rPr>
          <w:rFonts w:ascii="Arial"/>
          <w:b/>
          <w:spacing w:val="-2"/>
          <w:sz w:val="18"/>
        </w:rPr>
        <w:t>systems</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041</w:t>
      </w:r>
    </w:p>
    <w:p>
      <w:pPr>
        <w:spacing w:after="0"/>
        <w:jc w:val="left"/>
        <w:rPr>
          <w:rFonts w:ascii="Arial"/>
          <w:b/>
          <w:sz w:val="24"/>
        </w:rPr>
        <w:sectPr>
          <w:pgSz w:w="11900" w:h="16840"/>
          <w:pgMar w:header="971" w:footer="0" w:top="1300" w:bottom="280" w:left="1275" w:right="1275"/>
        </w:sectPr>
      </w:pPr>
    </w:p>
    <w:p>
      <w:pPr>
        <w:pStyle w:val="BodyText"/>
        <w:spacing w:before="206"/>
        <w:ind w:left="165"/>
        <w:jc w:val="both"/>
      </w:pPr>
      <w:r>
        <w:rPr/>
        <w:t>As Lord Brown-Wilkinson has </w:t>
      </w:r>
      <w:r>
        <w:rPr>
          <w:spacing w:val="-2"/>
        </w:rPr>
        <w:t>observed:</w:t>
      </w:r>
    </w:p>
    <w:p>
      <w:pPr>
        <w:pStyle w:val="BodyText"/>
      </w:pPr>
    </w:p>
    <w:p>
      <w:pPr>
        <w:pStyle w:val="BodyText"/>
        <w:spacing w:before="126"/>
      </w:pPr>
    </w:p>
    <w:p>
      <w:pPr>
        <w:pStyle w:val="BodyText"/>
        <w:spacing w:line="235" w:lineRule="auto"/>
        <w:ind w:left="1545" w:right="168"/>
        <w:jc w:val="both"/>
      </w:pPr>
      <w:bookmarkStart w:name="_bookmark644" w:id="646"/>
      <w:bookmarkEnd w:id="646"/>
      <w:r>
        <w:rPr/>
      </w:r>
      <w:r>
        <w:rPr/>
        <w:t>“… throughout the common law world it is a matter of controversy to what </w:t>
      </w:r>
      <w:r>
        <w:rPr/>
        <w:t>extent obligations of good faith are to be found in contractual relationships”, </w:t>
      </w:r>
      <w:r>
        <w:rPr>
          <w:color w:val="005DA1"/>
          <w:u w:val="single" w:color="005DA1"/>
          <w:vertAlign w:val="superscript"/>
        </w:rPr>
        <w:t>358</w:t>
      </w:r>
    </w:p>
    <w:p>
      <w:pPr>
        <w:pStyle w:val="BodyText"/>
        <w:spacing w:before="116"/>
      </w:pPr>
    </w:p>
    <w:p>
      <w:pPr>
        <w:pStyle w:val="BodyText"/>
        <w:spacing w:line="235" w:lineRule="auto"/>
        <w:ind w:left="164" w:right="167"/>
        <w:jc w:val="both"/>
      </w:pPr>
      <w:bookmarkStart w:name="_bookmark645" w:id="647"/>
      <w:bookmarkEnd w:id="647"/>
      <w:r>
        <w:rPr/>
      </w:r>
      <w:r>
        <w:rPr/>
        <w:t>and other common law systems have taken varying positions as to the relevance of good faith in the creation or the performance of contracts. </w:t>
      </w:r>
      <w:r>
        <w:rPr>
          <w:color w:val="005DA1"/>
          <w:u w:val="single" w:color="005DA1"/>
          <w:vertAlign w:val="superscript"/>
        </w:rPr>
        <w:t>359</w:t>
      </w:r>
      <w:r>
        <w:rPr>
          <w:color w:val="005DA1"/>
          <w:vertAlign w:val="baseline"/>
        </w:rPr>
        <w:t> </w:t>
      </w:r>
      <w:r>
        <w:rPr>
          <w:vertAlign w:val="baseline"/>
        </w:rPr>
        <w:t>Perhaps the most extensive use is taken by lawyers in </w:t>
      </w:r>
      <w:bookmarkStart w:name="_bookmark646" w:id="648"/>
      <w:bookmarkEnd w:id="648"/>
      <w:r>
        <w:rPr>
          <w:vertAlign w:val="baseline"/>
        </w:rPr>
        <w:t>the</w:t>
      </w:r>
      <w:r>
        <w:rPr>
          <w:vertAlign w:val="baseline"/>
        </w:rPr>
        <w:t> United States, the Restatement (Second) of Contracts requiring that “[e]very contract imposes upon each party a duty of good faith and fair dealing in its performance and enforcement”. </w:t>
      </w:r>
      <w:r>
        <w:rPr>
          <w:color w:val="005DA1"/>
          <w:u w:val="single" w:color="005DA1"/>
          <w:vertAlign w:val="superscript"/>
        </w:rPr>
        <w:t>360</w:t>
      </w:r>
      <w:r>
        <w:rPr>
          <w:color w:val="005DA1"/>
          <w:vertAlign w:val="baseline"/>
        </w:rPr>
        <w:t> </w:t>
      </w:r>
      <w:r>
        <w:rPr>
          <w:vertAlign w:val="baseline"/>
        </w:rPr>
        <w:t>In </w:t>
      </w:r>
      <w:bookmarkStart w:name="_bookmark647" w:id="649"/>
      <w:bookmarkEnd w:id="649"/>
      <w:r>
        <w:rPr>
          <w:vertAlign w:val="baseline"/>
        </w:rPr>
        <w:t>Australia</w:t>
      </w:r>
      <w:r>
        <w:rPr>
          <w:vertAlign w:val="baseline"/>
        </w:rPr>
        <w:t> too, courts and writers are generally quite open to the use of good faith, holding that an </w:t>
      </w:r>
      <w:bookmarkStart w:name="_bookmark648" w:id="650"/>
      <w:bookmarkEnd w:id="650"/>
      <w:r>
        <w:rPr>
          <w:vertAlign w:val="baseline"/>
        </w:rPr>
        <w:t>agreement</w:t>
      </w:r>
      <w:r>
        <w:rPr>
          <w:vertAlign w:val="baseline"/>
        </w:rPr>
        <w:t> to negotiate in good faith may be contractually enforceable, </w:t>
      </w:r>
      <w:r>
        <w:rPr>
          <w:color w:val="005DA1"/>
          <w:u w:val="single" w:color="005DA1"/>
          <w:vertAlign w:val="superscript"/>
        </w:rPr>
        <w:t>361</w:t>
      </w:r>
      <w:r>
        <w:rPr>
          <w:color w:val="005DA1"/>
          <w:vertAlign w:val="baseline"/>
        </w:rPr>
        <w:t> </w:t>
      </w:r>
      <w:r>
        <w:rPr>
          <w:vertAlign w:val="baseline"/>
        </w:rPr>
        <w:t>and willing to find implied terms requiring co-operation in performance, if not always good faith, between the parties. </w:t>
      </w:r>
      <w:r>
        <w:rPr>
          <w:color w:val="005DA1"/>
          <w:u w:val="single" w:color="005DA1"/>
          <w:vertAlign w:val="superscript"/>
        </w:rPr>
        <w:t>362</w:t>
      </w:r>
      <w:r>
        <w:rPr>
          <w:color w:val="005DA1"/>
          <w:vertAlign w:val="baseline"/>
        </w:rPr>
        <w:t> </w:t>
      </w:r>
      <w:bookmarkStart w:name="_bookmark649" w:id="651"/>
      <w:bookmarkEnd w:id="651"/>
      <w:r>
        <w:rPr>
          <w:color w:val="005DA1"/>
          <w:w w:val="92"/>
          <w:vertAlign w:val="baseline"/>
        </w:rPr>
      </w:r>
      <w:r>
        <w:rPr>
          <w:vertAlign w:val="baseline"/>
        </w:rPr>
        <w:t>Moreover, although earlier Canadian cases show considerable hesitation in accepting a general </w:t>
      </w:r>
      <w:r>
        <w:rPr>
          <w:vertAlign w:val="baseline"/>
        </w:rPr>
        <w:t>duty of good faith in either negotiation or performance of contract, </w:t>
      </w:r>
      <w:r>
        <w:rPr>
          <w:color w:val="005DA1"/>
          <w:u w:val="single" w:color="005DA1"/>
          <w:vertAlign w:val="superscript"/>
        </w:rPr>
        <w:t>363</w:t>
      </w:r>
      <w:r>
        <w:rPr>
          <w:color w:val="005DA1"/>
          <w:vertAlign w:val="baseline"/>
        </w:rPr>
        <w:t> </w:t>
      </w:r>
      <w:r>
        <w:rPr>
          <w:vertAlign w:val="baseline"/>
        </w:rPr>
        <w:t>the Canadian Supreme Court has recently ruled that there is “a general organizing principle of the common law of contract which underpins and informs the various rules in which the common law, in various situations and types of relationships, recognizes obligations of good faith contractual performance” and that “as a further </w:t>
      </w:r>
      <w:bookmarkStart w:name="_bookmark650" w:id="652"/>
      <w:bookmarkEnd w:id="652"/>
      <w:r>
        <w:rPr>
          <w:vertAlign w:val="baseline"/>
        </w:rPr>
        <w:t>manifestation</w:t>
      </w:r>
      <w:r>
        <w:rPr>
          <w:spacing w:val="-1"/>
          <w:vertAlign w:val="baseline"/>
        </w:rPr>
        <w:t> </w:t>
      </w:r>
      <w:r>
        <w:rPr>
          <w:vertAlign w:val="baseline"/>
        </w:rPr>
        <w:t>of</w:t>
      </w:r>
      <w:r>
        <w:rPr>
          <w:spacing w:val="-1"/>
          <w:vertAlign w:val="baseline"/>
        </w:rPr>
        <w:t> </w:t>
      </w:r>
      <w:r>
        <w:rPr>
          <w:vertAlign w:val="baseline"/>
        </w:rPr>
        <w:t>this</w:t>
      </w:r>
      <w:r>
        <w:rPr>
          <w:spacing w:val="-1"/>
          <w:vertAlign w:val="baseline"/>
        </w:rPr>
        <w:t> </w:t>
      </w:r>
      <w:r>
        <w:rPr>
          <w:vertAlign w:val="baseline"/>
        </w:rPr>
        <w:t>organizing</w:t>
      </w:r>
      <w:r>
        <w:rPr>
          <w:spacing w:val="-1"/>
          <w:vertAlign w:val="baseline"/>
        </w:rPr>
        <w:t> </w:t>
      </w:r>
      <w:r>
        <w:rPr>
          <w:vertAlign w:val="baseline"/>
        </w:rPr>
        <w:t>principle</w:t>
      </w:r>
      <w:r>
        <w:rPr>
          <w:spacing w:val="-1"/>
          <w:vertAlign w:val="baseline"/>
        </w:rPr>
        <w:t> </w:t>
      </w:r>
      <w:r>
        <w:rPr>
          <w:vertAlign w:val="baseline"/>
        </w:rPr>
        <w:t>of</w:t>
      </w:r>
      <w:r>
        <w:rPr>
          <w:spacing w:val="-1"/>
          <w:vertAlign w:val="baseline"/>
        </w:rPr>
        <w:t> </w:t>
      </w:r>
      <w:r>
        <w:rPr>
          <w:vertAlign w:val="baseline"/>
        </w:rPr>
        <w:t>good</w:t>
      </w:r>
      <w:r>
        <w:rPr>
          <w:spacing w:val="-1"/>
          <w:vertAlign w:val="baseline"/>
        </w:rPr>
        <w:t> </w:t>
      </w:r>
      <w:r>
        <w:rPr>
          <w:vertAlign w:val="baseline"/>
        </w:rPr>
        <w:t>faith,</w:t>
      </w:r>
      <w:r>
        <w:rPr>
          <w:spacing w:val="-1"/>
          <w:vertAlign w:val="baseline"/>
        </w:rPr>
        <w:t> </w:t>
      </w:r>
      <w:r>
        <w:rPr>
          <w:vertAlign w:val="baseline"/>
        </w:rPr>
        <w:t>…</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common</w:t>
      </w:r>
      <w:r>
        <w:rPr>
          <w:spacing w:val="-1"/>
          <w:vertAlign w:val="baseline"/>
        </w:rPr>
        <w:t> </w:t>
      </w:r>
      <w:r>
        <w:rPr>
          <w:vertAlign w:val="baseline"/>
        </w:rPr>
        <w:t>law</w:t>
      </w:r>
      <w:r>
        <w:rPr>
          <w:spacing w:val="-1"/>
          <w:vertAlign w:val="baseline"/>
        </w:rPr>
        <w:t> </w:t>
      </w:r>
      <w:r>
        <w:rPr>
          <w:vertAlign w:val="baseline"/>
        </w:rPr>
        <w:t>duty</w:t>
      </w:r>
      <w:r>
        <w:rPr>
          <w:spacing w:val="-1"/>
          <w:vertAlign w:val="baseline"/>
        </w:rPr>
        <w:t> </w:t>
      </w:r>
      <w:r>
        <w:rPr>
          <w:vertAlign w:val="baseline"/>
        </w:rPr>
        <w:t>which</w:t>
      </w:r>
      <w:r>
        <w:rPr>
          <w:spacing w:val="-1"/>
          <w:vertAlign w:val="baseline"/>
        </w:rPr>
        <w:t> </w:t>
      </w:r>
      <w:r>
        <w:rPr>
          <w:vertAlign w:val="baseline"/>
        </w:rPr>
        <w:t>applies</w:t>
      </w:r>
      <w:r>
        <w:rPr>
          <w:spacing w:val="-1"/>
          <w:vertAlign w:val="baseline"/>
        </w:rPr>
        <w:t> </w:t>
      </w:r>
      <w:r>
        <w:rPr>
          <w:vertAlign w:val="baseline"/>
        </w:rPr>
        <w:t>to all contracts to act honestly in the performance of contractual obligations.” </w:t>
      </w:r>
      <w:r>
        <w:rPr>
          <w:color w:val="005DA1"/>
          <w:u w:val="single" w:color="005DA1"/>
          <w:vertAlign w:val="superscript"/>
        </w:rPr>
        <w:t>364</w:t>
      </w:r>
      <w:r>
        <w:rPr>
          <w:color w:val="005DA1"/>
          <w:vertAlign w:val="baseline"/>
        </w:rPr>
        <w:t> </w:t>
      </w:r>
      <w:r>
        <w:rPr>
          <w:vertAlign w:val="baseline"/>
        </w:rPr>
        <w:t>However, the Canadian Supreme Court acknowledged that “the principle of good faith must be applied in a manner that is </w:t>
      </w:r>
      <w:bookmarkStart w:name="_bookmark651" w:id="653"/>
      <w:bookmarkEnd w:id="653"/>
      <w:r>
        <w:rPr>
          <w:vertAlign w:val="baseline"/>
        </w:rPr>
        <w:t>consistent</w:t>
      </w:r>
      <w:r>
        <w:rPr>
          <w:vertAlign w:val="baseline"/>
        </w:rPr>
        <w:t> with the fundamental commitments of the common law of contract which generally places great weight on the freedom of contracting parties to pursue their individual selfinterest.” </w:t>
      </w:r>
      <w:r>
        <w:rPr>
          <w:color w:val="005DA1"/>
          <w:u w:val="single" w:color="005DA1"/>
          <w:vertAlign w:val="superscript"/>
        </w:rPr>
        <w:t>365</w:t>
      </w:r>
    </w:p>
    <w:p>
      <w:pPr>
        <w:pStyle w:val="BodyText"/>
      </w:pPr>
    </w:p>
    <w:p>
      <w:pPr>
        <w:pStyle w:val="BodyText"/>
        <w:spacing w:before="32"/>
      </w:pPr>
    </w:p>
    <w:p>
      <w:pPr>
        <w:spacing w:before="0"/>
        <w:ind w:left="165" w:right="0" w:firstLine="0"/>
        <w:jc w:val="both"/>
        <w:rPr>
          <w:rFonts w:ascii="Arial"/>
          <w:b/>
          <w:sz w:val="18"/>
        </w:rPr>
      </w:pPr>
      <w:r>
        <w:rPr>
          <w:rFonts w:ascii="Arial"/>
          <w:b/>
          <w:sz w:val="18"/>
        </w:rPr>
        <w:t>Good faith in civil law </w:t>
      </w:r>
      <w:r>
        <w:rPr>
          <w:rFonts w:ascii="Arial"/>
          <w:b/>
          <w:spacing w:val="-2"/>
          <w:sz w:val="18"/>
        </w:rPr>
        <w:t>systems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042</w:t>
      </w:r>
    </w:p>
    <w:p>
      <w:pPr>
        <w:pStyle w:val="BodyText"/>
        <w:spacing w:line="235" w:lineRule="auto" w:before="202"/>
        <w:ind w:left="164" w:right="167"/>
        <w:jc w:val="both"/>
      </w:pPr>
      <w:bookmarkStart w:name="_bookmark652" w:id="654"/>
      <w:bookmarkEnd w:id="654"/>
      <w:r>
        <w:rPr/>
      </w:r>
      <w:r>
        <w:rPr/>
        <w:t>As Bingham L.J.’s observations quoted x above illustrate, </w:t>
      </w:r>
      <w:r>
        <w:rPr>
          <w:color w:val="005DA1"/>
          <w:u w:val="single" w:color="005DA1"/>
          <w:vertAlign w:val="superscript"/>
        </w:rPr>
        <w:t>366</w:t>
      </w:r>
      <w:r>
        <w:rPr>
          <w:color w:val="005DA1"/>
          <w:vertAlign w:val="baseline"/>
        </w:rPr>
        <w:t> </w:t>
      </w:r>
      <w:r>
        <w:rPr>
          <w:vertAlign w:val="baseline"/>
        </w:rPr>
        <w:t>in modern discussions of the English position contrasts are often drawn with use of the concept of good faith in civil law systems, i.e. those whose private law has derived substantially from doctrines and rules of Roman law. The </w:t>
      </w:r>
      <w:r>
        <w:rPr>
          <w:vertAlign w:val="baseline"/>
        </w:rPr>
        <w:t>practical interest of this use is heightened by the increasing reference to good faith or “good faith and fair dealing”</w:t>
      </w:r>
      <w:r>
        <w:rPr>
          <w:spacing w:val="-2"/>
          <w:vertAlign w:val="baseline"/>
        </w:rPr>
        <w:t> </w:t>
      </w:r>
      <w:r>
        <w:rPr>
          <w:vertAlign w:val="baseline"/>
        </w:rPr>
        <w:t>in</w:t>
      </w:r>
      <w:r>
        <w:rPr>
          <w:spacing w:val="-2"/>
          <w:vertAlign w:val="baseline"/>
        </w:rPr>
        <w:t> </w:t>
      </w:r>
      <w:r>
        <w:rPr>
          <w:vertAlign w:val="baseline"/>
        </w:rPr>
        <w:t>European</w:t>
      </w:r>
      <w:r>
        <w:rPr>
          <w:spacing w:val="-2"/>
          <w:vertAlign w:val="baseline"/>
        </w:rPr>
        <w:t> </w:t>
      </w:r>
      <w:r>
        <w:rPr>
          <w:vertAlign w:val="baseline"/>
        </w:rPr>
        <w:t>legislation</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area</w:t>
      </w:r>
      <w:r>
        <w:rPr>
          <w:spacing w:val="-2"/>
          <w:vertAlign w:val="baseline"/>
        </w:rPr>
        <w:t> </w:t>
      </w:r>
      <w:r>
        <w:rPr>
          <w:vertAlign w:val="baseline"/>
        </w:rPr>
        <w:t>of</w:t>
      </w:r>
      <w:r>
        <w:rPr>
          <w:spacing w:val="-2"/>
          <w:vertAlign w:val="baseline"/>
        </w:rPr>
        <w:t> </w:t>
      </w:r>
      <w:r>
        <w:rPr>
          <w:vertAlign w:val="baseline"/>
        </w:rPr>
        <w:t>contract</w:t>
      </w:r>
      <w:r>
        <w:rPr>
          <w:spacing w:val="-2"/>
          <w:vertAlign w:val="baseline"/>
        </w:rPr>
        <w:t> </w:t>
      </w:r>
      <w:r>
        <w:rPr>
          <w:vertAlign w:val="baseline"/>
        </w:rPr>
        <w:t>law</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possibility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Justice</w:t>
      </w:r>
      <w:r>
        <w:rPr>
          <w:spacing w:val="-2"/>
          <w:vertAlign w:val="baseline"/>
        </w:rPr>
        <w:t> </w:t>
      </w:r>
      <w:r>
        <w:rPr>
          <w:vertAlign w:val="baseline"/>
        </w:rPr>
        <w:t>of </w:t>
      </w:r>
      <w:bookmarkStart w:name="_bookmark653" w:id="655"/>
      <w:bookmarkEnd w:id="655"/>
      <w:r>
        <w:rPr>
          <w:vertAlign w:val="baseline"/>
        </w:rPr>
        <w:t>the</w:t>
      </w:r>
      <w:r>
        <w:rPr>
          <w:vertAlign w:val="baseline"/>
        </w:rPr>
        <w:t> EU drawing on its existing significance in the laws of the Member States in interpreting its significance there. </w:t>
      </w:r>
      <w:r>
        <w:rPr>
          <w:color w:val="005DA1"/>
          <w:u w:val="single" w:color="005DA1"/>
          <w:vertAlign w:val="superscript"/>
        </w:rPr>
        <w:t>367</w:t>
      </w:r>
      <w:r>
        <w:rPr>
          <w:color w:val="005DA1"/>
          <w:vertAlign w:val="baseline"/>
        </w:rPr>
        <w:t> </w:t>
      </w:r>
      <w:r>
        <w:rPr>
          <w:vertAlign w:val="baseline"/>
        </w:rPr>
        <w:t>In this respect, though, it is helpful to note that, even restricting the discussion</w:t>
      </w:r>
      <w:r>
        <w:rPr>
          <w:spacing w:val="40"/>
          <w:vertAlign w:val="baseline"/>
        </w:rPr>
        <w:t> </w:t>
      </w:r>
      <w:r>
        <w:rPr>
          <w:vertAlign w:val="baseline"/>
        </w:rPr>
        <w:t>to the legal systems of western Europe, there are very considerable divergences in both the significances given to “good faith” and its supposed linguistic equivalents and in the uses to which they are put within each legal system. So, in some (but not in all) systems, good faith has provided</w:t>
      </w:r>
      <w:r>
        <w:rPr>
          <w:spacing w:val="40"/>
          <w:vertAlign w:val="baseline"/>
        </w:rPr>
        <w:t> </w:t>
      </w:r>
      <w:r>
        <w:rPr>
          <w:vertAlign w:val="baseline"/>
        </w:rPr>
        <w:t>the basis of some pre-contractual grounds of relief or compensation (notably, as regards duties of disclosure and information and breaking-off from negotiations); the addition of “supplementary” obligations to those expressly provided either by the parties or by legislation; the control of unfair contract terms; the toughening of the sanction of deliberate breaches of contract; the control of the </w:t>
      </w:r>
      <w:bookmarkStart w:name="_bookmark654" w:id="656"/>
      <w:bookmarkEnd w:id="656"/>
      <w:r>
        <w:rPr>
          <w:vertAlign w:val="baseline"/>
        </w:rPr>
        <w:t>exercise</w:t>
      </w:r>
      <w:r>
        <w:rPr>
          <w:vertAlign w:val="baseline"/>
        </w:rPr>
        <w:t> of a party’s contractual right; and relief on account of supervening circumstances or the substantively unfair nature of the contract as a whole. </w:t>
      </w:r>
      <w:r>
        <w:rPr>
          <w:color w:val="005DA1"/>
          <w:u w:val="single" w:color="005DA1"/>
          <w:vertAlign w:val="superscript"/>
        </w:rPr>
        <w:t>368</w:t>
      </w:r>
      <w:r>
        <w:rPr>
          <w:color w:val="005DA1"/>
          <w:vertAlign w:val="baseline"/>
        </w:rPr>
        <w:t> </w:t>
      </w:r>
      <w:r>
        <w:rPr>
          <w:vertAlign w:val="baseline"/>
        </w:rPr>
        <w:t>In the result:</w:t>
      </w:r>
    </w:p>
    <w:p>
      <w:pPr>
        <w:pStyle w:val="BodyText"/>
      </w:pPr>
    </w:p>
    <w:p>
      <w:pPr>
        <w:pStyle w:val="BodyText"/>
        <w:spacing w:before="121"/>
      </w:pPr>
    </w:p>
    <w:p>
      <w:pPr>
        <w:pStyle w:val="BodyText"/>
        <w:spacing w:line="235" w:lineRule="auto"/>
        <w:ind w:left="1545" w:right="167"/>
        <w:jc w:val="both"/>
      </w:pPr>
      <w:r>
        <w:rPr/>
        <w:t>“… the notion of good faith (or its equivalents in the various languages … ) </w:t>
      </w:r>
      <w:r>
        <w:rPr/>
        <w:t>actually </w:t>
      </w:r>
      <w:bookmarkStart w:name="_bookmark655" w:id="657"/>
      <w:bookmarkEnd w:id="657"/>
      <w:r>
        <w:rPr/>
        <w:t>means</w:t>
      </w:r>
      <w:r>
        <w:rPr/>
        <w:t> different things both </w:t>
      </w:r>
      <w:r>
        <w:rPr>
          <w:rFonts w:ascii="Arial" w:hAnsi="Arial"/>
          <w:i/>
        </w:rPr>
        <w:t>within </w:t>
      </w:r>
      <w:r>
        <w:rPr/>
        <w:t>a particular legal system and </w:t>
      </w:r>
      <w:r>
        <w:rPr>
          <w:rFonts w:ascii="Arial" w:hAnsi="Arial"/>
          <w:i/>
        </w:rPr>
        <w:t>between </w:t>
      </w:r>
      <w:r>
        <w:rPr/>
        <w:t>the legal systems.” </w:t>
      </w:r>
      <w:r>
        <w:rPr>
          <w:color w:val="005DA1"/>
          <w:u w:val="single" w:color="005DA1"/>
          <w:vertAlign w:val="superscript"/>
        </w:rPr>
        <w:t>369</w:t>
      </w:r>
    </w:p>
    <w:p>
      <w:pPr>
        <w:pStyle w:val="BodyText"/>
        <w:spacing w:before="112"/>
      </w:pPr>
    </w:p>
    <w:p>
      <w:pPr>
        <w:pStyle w:val="BodyText"/>
        <w:ind w:left="165"/>
        <w:jc w:val="both"/>
      </w:pPr>
      <w:r>
        <w:rPr/>
        <w:t>And while in those legal systems which possess a general requirement of good </w:t>
      </w:r>
      <w:r>
        <w:rPr>
          <w:spacing w:val="-2"/>
        </w:rPr>
        <w:t>faith:</w:t>
      </w:r>
    </w:p>
    <w:p>
      <w:pPr>
        <w:pStyle w:val="BodyText"/>
      </w:pPr>
    </w:p>
    <w:p>
      <w:pPr>
        <w:pStyle w:val="BodyText"/>
        <w:spacing w:before="125"/>
      </w:pPr>
    </w:p>
    <w:p>
      <w:pPr>
        <w:pStyle w:val="BodyText"/>
        <w:spacing w:line="235" w:lineRule="auto"/>
        <w:ind w:left="1545" w:right="167"/>
        <w:jc w:val="both"/>
      </w:pPr>
      <w:r>
        <w:rPr/>
        <w:t>“… good faith is not devoid of meaning, a pious hope or incantation or simply </w:t>
      </w:r>
      <w:r>
        <w:rPr/>
        <w:t>a supertechnique waiting to be put to whatever legal end a legal system wishes (though it may act as a super-technique if required) … even where a particular meaning of good</w:t>
      </w:r>
      <w:r>
        <w:rPr>
          <w:spacing w:val="4"/>
        </w:rPr>
        <w:t> </w:t>
      </w:r>
      <w:r>
        <w:rPr/>
        <w:t>faith</w:t>
      </w:r>
      <w:r>
        <w:rPr>
          <w:spacing w:val="4"/>
        </w:rPr>
        <w:t> </w:t>
      </w:r>
      <w:r>
        <w:rPr/>
        <w:t>is</w:t>
      </w:r>
      <w:r>
        <w:rPr>
          <w:spacing w:val="4"/>
        </w:rPr>
        <w:t> </w:t>
      </w:r>
      <w:r>
        <w:rPr/>
        <w:t>accepted</w:t>
      </w:r>
      <w:r>
        <w:rPr>
          <w:spacing w:val="4"/>
        </w:rPr>
        <w:t> </w:t>
      </w:r>
      <w:r>
        <w:rPr/>
        <w:t>in</w:t>
      </w:r>
      <w:r>
        <w:rPr>
          <w:spacing w:val="4"/>
        </w:rPr>
        <w:t> </w:t>
      </w:r>
      <w:r>
        <w:rPr/>
        <w:t>two</w:t>
      </w:r>
      <w:r>
        <w:rPr>
          <w:spacing w:val="4"/>
        </w:rPr>
        <w:t> </w:t>
      </w:r>
      <w:r>
        <w:rPr/>
        <w:t>systems,</w:t>
      </w:r>
      <w:r>
        <w:rPr>
          <w:spacing w:val="4"/>
        </w:rPr>
        <w:t> </w:t>
      </w:r>
      <w:r>
        <w:rPr/>
        <w:t>this</w:t>
      </w:r>
      <w:r>
        <w:rPr>
          <w:spacing w:val="4"/>
        </w:rPr>
        <w:t> </w:t>
      </w:r>
      <w:r>
        <w:rPr/>
        <w:t>does</w:t>
      </w:r>
      <w:r>
        <w:rPr>
          <w:spacing w:val="4"/>
        </w:rPr>
        <w:t> </w:t>
      </w:r>
      <w:r>
        <w:rPr/>
        <w:t>not</w:t>
      </w:r>
      <w:r>
        <w:rPr>
          <w:spacing w:val="4"/>
        </w:rPr>
        <w:t> </w:t>
      </w:r>
      <w:r>
        <w:rPr/>
        <w:t>entail</w:t>
      </w:r>
      <w:r>
        <w:rPr>
          <w:spacing w:val="4"/>
        </w:rPr>
        <w:t> </w:t>
      </w:r>
      <w:r>
        <w:rPr/>
        <w:t>that</w:t>
      </w:r>
      <w:r>
        <w:rPr>
          <w:spacing w:val="4"/>
        </w:rPr>
        <w:t> </w:t>
      </w:r>
      <w:r>
        <w:rPr/>
        <w:t>they</w:t>
      </w:r>
      <w:r>
        <w:rPr>
          <w:spacing w:val="4"/>
        </w:rPr>
        <w:t> </w:t>
      </w:r>
      <w:r>
        <w:rPr/>
        <w:t>will</w:t>
      </w:r>
      <w:r>
        <w:rPr>
          <w:spacing w:val="4"/>
        </w:rPr>
        <w:t> </w:t>
      </w:r>
      <w:r>
        <w:rPr/>
        <w:t>take</w:t>
      </w:r>
      <w:r>
        <w:rPr>
          <w:spacing w:val="4"/>
        </w:rPr>
        <w:t> </w:t>
      </w:r>
      <w:r>
        <w:rPr/>
        <w:t>the</w:t>
      </w:r>
      <w:r>
        <w:rPr>
          <w:spacing w:val="4"/>
        </w:rPr>
        <w:t> </w:t>
      </w:r>
      <w:r>
        <w:rPr>
          <w:spacing w:val="-4"/>
        </w:rPr>
        <w:t>same</w:t>
      </w:r>
    </w:p>
    <w:p>
      <w:pPr>
        <w:pStyle w:val="BodyText"/>
        <w:spacing w:after="0" w:line="235" w:lineRule="auto"/>
        <w:jc w:val="both"/>
        <w:sectPr>
          <w:pgSz w:w="11900" w:h="16840"/>
          <w:pgMar w:header="971" w:footer="0" w:top="1300" w:bottom="280" w:left="1275" w:right="1275"/>
        </w:sectPr>
      </w:pPr>
    </w:p>
    <w:p>
      <w:pPr>
        <w:pStyle w:val="BodyText"/>
        <w:spacing w:before="163"/>
      </w:pPr>
    </w:p>
    <w:p>
      <w:pPr>
        <w:pStyle w:val="BodyText"/>
        <w:ind w:left="1545"/>
      </w:pPr>
      <w:bookmarkStart w:name="_bookmark656" w:id="658"/>
      <w:bookmarkEnd w:id="658"/>
      <w:r>
        <w:rPr/>
      </w:r>
      <w:r>
        <w:rPr/>
        <w:t>view of what it in fact requires in any given situation.”</w:t>
      </w:r>
      <w:r>
        <w:rPr>
          <w:spacing w:val="-1"/>
        </w:rPr>
        <w:t> </w:t>
      </w:r>
      <w:r>
        <w:rPr>
          <w:color w:val="005DA1"/>
          <w:spacing w:val="-5"/>
          <w:u w:val="single" w:color="005DA1"/>
          <w:vertAlign w:val="superscript"/>
        </w:rPr>
        <w:t>370</w:t>
      </w:r>
    </w:p>
    <w:p>
      <w:pPr>
        <w:pStyle w:val="BodyText"/>
        <w:spacing w:before="116"/>
      </w:pPr>
    </w:p>
    <w:p>
      <w:pPr>
        <w:pStyle w:val="BodyText"/>
        <w:spacing w:line="235" w:lineRule="auto"/>
        <w:ind w:left="165" w:right="166"/>
        <w:jc w:val="both"/>
      </w:pPr>
      <w:r>
        <w:rPr/>
        <w:t>Moreover, the extent of the use to which a legal system puts a potentially corrective principle such as good faith depends on the extent to which it is dissatisfied with its more particular, established laws </w:t>
      </w:r>
      <w:r>
        <w:rPr/>
        <w:t>of contract, on the availability of other legal techniques which have a similar corrective possibility and on the</w:t>
      </w:r>
      <w:r>
        <w:rPr>
          <w:spacing w:val="-2"/>
        </w:rPr>
        <w:t> </w:t>
      </w:r>
      <w:r>
        <w:rPr/>
        <w:t>perceived</w:t>
      </w:r>
      <w:r>
        <w:rPr>
          <w:spacing w:val="-2"/>
        </w:rPr>
        <w:t> </w:t>
      </w:r>
      <w:r>
        <w:rPr/>
        <w:t>appropriateness</w:t>
      </w:r>
      <w:r>
        <w:rPr>
          <w:spacing w:val="-2"/>
        </w:rPr>
        <w:t> </w:t>
      </w:r>
      <w:r>
        <w:rPr/>
        <w:t>of</w:t>
      </w:r>
      <w:r>
        <w:rPr>
          <w:spacing w:val="-2"/>
        </w:rPr>
        <w:t> </w:t>
      </w:r>
      <w:r>
        <w:rPr/>
        <w:t>judicial</w:t>
      </w:r>
      <w:r>
        <w:rPr>
          <w:spacing w:val="-2"/>
        </w:rPr>
        <w:t> </w:t>
      </w:r>
      <w:r>
        <w:rPr/>
        <w:t>as</w:t>
      </w:r>
      <w:r>
        <w:rPr>
          <w:spacing w:val="-2"/>
        </w:rPr>
        <w:t> </w:t>
      </w:r>
      <w:r>
        <w:rPr/>
        <w:t>opposed</w:t>
      </w:r>
      <w:r>
        <w:rPr>
          <w:spacing w:val="-2"/>
        </w:rPr>
        <w:t> </w:t>
      </w:r>
      <w:r>
        <w:rPr/>
        <w:t>to</w:t>
      </w:r>
      <w:r>
        <w:rPr>
          <w:spacing w:val="-2"/>
        </w:rPr>
        <w:t> </w:t>
      </w:r>
      <w:r>
        <w:rPr/>
        <w:t>legislative</w:t>
      </w:r>
      <w:r>
        <w:rPr>
          <w:spacing w:val="-2"/>
        </w:rPr>
        <w:t> </w:t>
      </w:r>
      <w:r>
        <w:rPr/>
        <w:t>intervention</w:t>
      </w:r>
      <w:r>
        <w:rPr>
          <w:spacing w:val="-2"/>
        </w:rPr>
        <w:t> </w:t>
      </w:r>
      <w:r>
        <w:rPr/>
        <w:t>in</w:t>
      </w:r>
      <w:r>
        <w:rPr>
          <w:spacing w:val="-2"/>
        </w:rPr>
        <w:t> </w:t>
      </w:r>
      <w:r>
        <w:rPr/>
        <w:t>the</w:t>
      </w:r>
      <w:r>
        <w:rPr>
          <w:spacing w:val="-2"/>
        </w:rPr>
        <w:t> </w:t>
      </w:r>
      <w:r>
        <w:rPr/>
        <w:t>area</w:t>
      </w:r>
      <w:r>
        <w:rPr>
          <w:spacing w:val="-2"/>
        </w:rPr>
        <w:t> </w:t>
      </w:r>
      <w:r>
        <w:rPr/>
        <w:t>in</w:t>
      </w:r>
      <w:r>
        <w:rPr>
          <w:spacing w:val="-2"/>
        </w:rPr>
        <w:t> </w:t>
      </w:r>
      <w:r>
        <w:rPr/>
        <w:t>question. For</w:t>
      </w:r>
      <w:r>
        <w:rPr>
          <w:spacing w:val="24"/>
        </w:rPr>
        <w:t> </w:t>
      </w:r>
      <w:r>
        <w:rPr/>
        <w:t>English</w:t>
      </w:r>
      <w:r>
        <w:rPr>
          <w:spacing w:val="26"/>
        </w:rPr>
        <w:t> </w:t>
      </w:r>
      <w:r>
        <w:rPr/>
        <w:t>law,</w:t>
      </w:r>
      <w:r>
        <w:rPr>
          <w:spacing w:val="26"/>
        </w:rPr>
        <w:t> </w:t>
      </w:r>
      <w:r>
        <w:rPr/>
        <w:t>the</w:t>
      </w:r>
      <w:r>
        <w:rPr>
          <w:spacing w:val="26"/>
        </w:rPr>
        <w:t> </w:t>
      </w:r>
      <w:r>
        <w:rPr/>
        <w:t>difference</w:t>
      </w:r>
      <w:r>
        <w:rPr>
          <w:spacing w:val="26"/>
        </w:rPr>
        <w:t> </w:t>
      </w:r>
      <w:r>
        <w:rPr/>
        <w:t>between</w:t>
      </w:r>
      <w:r>
        <w:rPr>
          <w:spacing w:val="26"/>
        </w:rPr>
        <w:t> </w:t>
      </w:r>
      <w:r>
        <w:rPr/>
        <w:t>resort</w:t>
      </w:r>
      <w:r>
        <w:rPr>
          <w:spacing w:val="26"/>
        </w:rPr>
        <w:t> </w:t>
      </w:r>
      <w:r>
        <w:rPr/>
        <w:t>to</w:t>
      </w:r>
      <w:r>
        <w:rPr>
          <w:spacing w:val="26"/>
        </w:rPr>
        <w:t> </w:t>
      </w:r>
      <w:r>
        <w:rPr/>
        <w:t>the</w:t>
      </w:r>
      <w:r>
        <w:rPr>
          <w:spacing w:val="26"/>
        </w:rPr>
        <w:t> </w:t>
      </w:r>
      <w:r>
        <w:rPr/>
        <w:t>“piecemeal</w:t>
      </w:r>
      <w:r>
        <w:rPr>
          <w:spacing w:val="26"/>
        </w:rPr>
        <w:t> </w:t>
      </w:r>
      <w:r>
        <w:rPr/>
        <w:t>solutions”</w:t>
      </w:r>
      <w:r>
        <w:rPr>
          <w:spacing w:val="26"/>
        </w:rPr>
        <w:t> </w:t>
      </w:r>
      <w:r>
        <w:rPr/>
        <w:t>mentioned</w:t>
      </w:r>
      <w:r>
        <w:rPr>
          <w:spacing w:val="26"/>
        </w:rPr>
        <w:t> </w:t>
      </w:r>
      <w:r>
        <w:rPr/>
        <w:t>by</w:t>
      </w:r>
      <w:r>
        <w:rPr>
          <w:spacing w:val="26"/>
        </w:rPr>
        <w:t> </w:t>
      </w:r>
      <w:r>
        <w:rPr>
          <w:spacing w:val="-2"/>
        </w:rPr>
        <w:t>Bingham</w:t>
      </w:r>
    </w:p>
    <w:p>
      <w:pPr>
        <w:pStyle w:val="BodyText"/>
        <w:spacing w:line="235" w:lineRule="auto"/>
        <w:ind w:left="165" w:right="167"/>
        <w:jc w:val="both"/>
      </w:pPr>
      <w:r>
        <w:rPr/>
        <w:t>L.J.</w:t>
      </w:r>
      <w:r>
        <w:rPr>
          <w:spacing w:val="-1"/>
        </w:rPr>
        <w:t> </w:t>
      </w:r>
      <w:r>
        <w:rPr/>
        <w:t>and</w:t>
      </w:r>
      <w:r>
        <w:rPr>
          <w:spacing w:val="-1"/>
        </w:rPr>
        <w:t> </w:t>
      </w:r>
      <w:r>
        <w:rPr/>
        <w:t>recognition</w:t>
      </w:r>
      <w:r>
        <w:rPr>
          <w:spacing w:val="-1"/>
        </w:rPr>
        <w:t> </w:t>
      </w:r>
      <w:r>
        <w:rPr/>
        <w:t>of</w:t>
      </w:r>
      <w:r>
        <w:rPr>
          <w:spacing w:val="-1"/>
        </w:rPr>
        <w:t> </w:t>
      </w:r>
      <w:r>
        <w:rPr/>
        <w:t>a</w:t>
      </w:r>
      <w:r>
        <w:rPr>
          <w:spacing w:val="-1"/>
        </w:rPr>
        <w:t> </w:t>
      </w:r>
      <w:r>
        <w:rPr/>
        <w:t>legal</w:t>
      </w:r>
      <w:r>
        <w:rPr>
          <w:spacing w:val="-2"/>
        </w:rPr>
        <w:t> </w:t>
      </w:r>
      <w:r>
        <w:rPr>
          <w:rFonts w:ascii="Arial"/>
          <w:i/>
        </w:rPr>
        <w:t>principle</w:t>
      </w:r>
      <w:r>
        <w:rPr>
          <w:rFonts w:ascii="Arial"/>
          <w:i/>
          <w:spacing w:val="-2"/>
        </w:rPr>
        <w:t> </w:t>
      </w:r>
      <w:r>
        <w:rPr/>
        <w:t>of</w:t>
      </w:r>
      <w:r>
        <w:rPr>
          <w:spacing w:val="-1"/>
        </w:rPr>
        <w:t> </w:t>
      </w:r>
      <w:r>
        <w:rPr/>
        <w:t>good</w:t>
      </w:r>
      <w:r>
        <w:rPr>
          <w:spacing w:val="-1"/>
        </w:rPr>
        <w:t> </w:t>
      </w:r>
      <w:r>
        <w:rPr/>
        <w:t>faith</w:t>
      </w:r>
      <w:r>
        <w:rPr>
          <w:spacing w:val="-1"/>
        </w:rPr>
        <w:t> </w:t>
      </w:r>
      <w:r>
        <w:rPr/>
        <w:t>in</w:t>
      </w:r>
      <w:r>
        <w:rPr>
          <w:spacing w:val="-1"/>
        </w:rPr>
        <w:t> </w:t>
      </w:r>
      <w:r>
        <w:rPr/>
        <w:t>contract</w:t>
      </w:r>
      <w:r>
        <w:rPr>
          <w:spacing w:val="-1"/>
        </w:rPr>
        <w:t> </w:t>
      </w:r>
      <w:r>
        <w:rPr/>
        <w:t>is</w:t>
      </w:r>
      <w:r>
        <w:rPr>
          <w:spacing w:val="-1"/>
        </w:rPr>
        <w:t> </w:t>
      </w:r>
      <w:r>
        <w:rPr/>
        <w:t>likely</w:t>
      </w:r>
      <w:r>
        <w:rPr>
          <w:spacing w:val="-1"/>
        </w:rPr>
        <w:t> </w:t>
      </w:r>
      <w:r>
        <w:rPr/>
        <w:t>to</w:t>
      </w:r>
      <w:r>
        <w:rPr>
          <w:spacing w:val="-1"/>
        </w:rPr>
        <w:t> </w:t>
      </w:r>
      <w:r>
        <w:rPr/>
        <w:t>be</w:t>
      </w:r>
      <w:r>
        <w:rPr>
          <w:spacing w:val="-1"/>
        </w:rPr>
        <w:t> </w:t>
      </w:r>
      <w:r>
        <w:rPr/>
        <w:t>that</w:t>
      </w:r>
      <w:r>
        <w:rPr>
          <w:spacing w:val="-1"/>
        </w:rPr>
        <w:t> </w:t>
      </w:r>
      <w:r>
        <w:rPr/>
        <w:t>the</w:t>
      </w:r>
      <w:r>
        <w:rPr>
          <w:spacing w:val="-1"/>
        </w:rPr>
        <w:t> </w:t>
      </w:r>
      <w:r>
        <w:rPr/>
        <w:t>latter</w:t>
      </w:r>
      <w:r>
        <w:rPr>
          <w:spacing w:val="-1"/>
        </w:rPr>
        <w:t> </w:t>
      </w:r>
      <w:r>
        <w:rPr/>
        <w:t>would</w:t>
      </w:r>
      <w:r>
        <w:rPr>
          <w:spacing w:val="-1"/>
        </w:rPr>
        <w:t> </w:t>
      </w:r>
      <w:r>
        <w:rPr/>
        <w:t>tend not merely to give a juridical unity to existing examples of situations in which good faith or fairness is </w:t>
      </w:r>
      <w:bookmarkStart w:name="_bookmark657" w:id="659"/>
      <w:bookmarkEnd w:id="659"/>
      <w:r>
        <w:rPr/>
        <w:t>considered</w:t>
      </w:r>
      <w:r>
        <w:rPr/>
        <w:t> relevant, but also to invite future courts to add further examples in new situations by way of application of the principle. </w:t>
      </w:r>
      <w:r>
        <w:rPr>
          <w:color w:val="005DA1"/>
          <w:u w:val="single" w:color="005DA1"/>
          <w:vertAlign w:val="superscript"/>
        </w:rPr>
        <w:t>371</w:t>
      </w:r>
      <w:r>
        <w:rPr>
          <w:color w:val="005DA1"/>
          <w:vertAlign w:val="baseline"/>
        </w:rPr>
        <w:t> </w:t>
      </w:r>
      <w:r>
        <w:rPr>
          <w:vertAlign w:val="baseline"/>
        </w:rPr>
        <w:t>Given the remarkably open-textured nature of good faith, this would lead to a very considerable degree of legal uncertainty, and could be seen as trespassing too far into the legislative domain.</w:t>
      </w:r>
    </w:p>
    <w:p>
      <w:pPr>
        <w:pStyle w:val="BodyText"/>
      </w:pPr>
    </w:p>
    <w:p>
      <w:pPr>
        <w:pStyle w:val="BodyText"/>
        <w:spacing w:before="34"/>
      </w:pPr>
    </w:p>
    <w:p>
      <w:pPr>
        <w:spacing w:before="0"/>
        <w:ind w:left="165" w:right="0" w:firstLine="0"/>
        <w:jc w:val="both"/>
        <w:rPr>
          <w:rFonts w:ascii="Arial" w:hAnsi="Arial"/>
          <w:b/>
          <w:sz w:val="18"/>
        </w:rPr>
      </w:pPr>
      <w:r>
        <w:rPr>
          <w:rFonts w:ascii="Arial" w:hAnsi="Arial"/>
          <w:b/>
          <w:sz w:val="18"/>
        </w:rPr>
        <w:t>“Good faith” and “good faith and fair dealing” in EU </w:t>
      </w:r>
      <w:r>
        <w:rPr>
          <w:rFonts w:ascii="Arial" w:hAnsi="Arial"/>
          <w:b/>
          <w:spacing w:val="-5"/>
          <w:sz w:val="18"/>
        </w:rPr>
        <w:t>law</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043</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EU legislation has had increased recourse to the concept of good faith in setting standards </w:t>
      </w:r>
      <w:r>
        <w:rPr/>
        <w:t>for various legal purposes. In this respect, a particularly prominent example is found in the reference to </w:t>
      </w:r>
      <w:bookmarkStart w:name="_bookmark658" w:id="660"/>
      <w:bookmarkEnd w:id="660"/>
      <w:r>
        <w:rPr/>
        <w:t>the</w:t>
      </w:r>
      <w:r>
        <w:rPr/>
        <w:t> “requirement of good faith” in the test of unfair terms in consumer contracts under the Directive of </w:t>
      </w:r>
      <w:bookmarkStart w:name="_bookmark659" w:id="661"/>
      <w:bookmarkEnd w:id="661"/>
      <w:r>
        <w:rPr/>
        <w:t>1993.</w:t>
      </w:r>
      <w:r>
        <w:rPr/>
        <w:t> </w:t>
      </w:r>
      <w:r>
        <w:rPr>
          <w:color w:val="005DA1"/>
          <w:u w:val="single" w:color="005DA1"/>
          <w:vertAlign w:val="superscript"/>
        </w:rPr>
        <w:t>372</w:t>
      </w:r>
      <w:r>
        <w:rPr>
          <w:color w:val="005DA1"/>
          <w:vertAlign w:val="baseline"/>
        </w:rPr>
        <w:t> </w:t>
      </w:r>
      <w:r>
        <w:rPr>
          <w:vertAlign w:val="baseline"/>
        </w:rPr>
        <w:t>The concept of “good faith and fair dealing” has also been used in the directive on late payment in commercial transactions as part of its control on unfair terms.</w:t>
      </w:r>
      <w:r>
        <w:rPr>
          <w:spacing w:val="-1"/>
          <w:vertAlign w:val="baseline"/>
        </w:rPr>
        <w:t> </w:t>
      </w:r>
      <w:r>
        <w:rPr>
          <w:color w:val="005DA1"/>
          <w:u w:val="single" w:color="005DA1"/>
          <w:vertAlign w:val="superscript"/>
        </w:rPr>
        <w:t>373</w:t>
      </w:r>
      <w:r>
        <w:rPr>
          <w:color w:val="005DA1"/>
          <w:vertAlign w:val="baseline"/>
        </w:rPr>
        <w:t> </w:t>
      </w:r>
      <w:r>
        <w:rPr>
          <w:vertAlign w:val="baseline"/>
        </w:rPr>
        <w:t>Moreover, good faith has been used for legal purposes other than the control of unfair terms. So, the Financial Services Distance</w:t>
      </w:r>
      <w:r>
        <w:rPr>
          <w:spacing w:val="-2"/>
          <w:vertAlign w:val="baseline"/>
        </w:rPr>
        <w:t> </w:t>
      </w:r>
      <w:r>
        <w:rPr>
          <w:vertAlign w:val="baseline"/>
        </w:rPr>
        <w:t>Marketing</w:t>
      </w:r>
      <w:r>
        <w:rPr>
          <w:spacing w:val="-2"/>
          <w:vertAlign w:val="baseline"/>
        </w:rPr>
        <w:t> </w:t>
      </w:r>
      <w:r>
        <w:rPr>
          <w:vertAlign w:val="baseline"/>
        </w:rPr>
        <w:t>Directive</w:t>
      </w:r>
      <w:r>
        <w:rPr>
          <w:spacing w:val="-2"/>
          <w:vertAlign w:val="baseline"/>
        </w:rPr>
        <w:t> </w:t>
      </w:r>
      <w:r>
        <w:rPr>
          <w:vertAlign w:val="baseline"/>
        </w:rPr>
        <w:t>of</w:t>
      </w:r>
      <w:r>
        <w:rPr>
          <w:spacing w:val="-2"/>
          <w:vertAlign w:val="baseline"/>
        </w:rPr>
        <w:t> </w:t>
      </w:r>
      <w:r>
        <w:rPr>
          <w:vertAlign w:val="baseline"/>
        </w:rPr>
        <w:t>2002</w:t>
      </w:r>
      <w:r>
        <w:rPr>
          <w:spacing w:val="-2"/>
          <w:vertAlign w:val="baseline"/>
        </w:rPr>
        <w:t> </w:t>
      </w:r>
      <w:r>
        <w:rPr>
          <w:vertAlign w:val="baseline"/>
        </w:rPr>
        <w:t>refers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“principles</w:t>
      </w:r>
      <w:r>
        <w:rPr>
          <w:spacing w:val="-2"/>
          <w:vertAlign w:val="baseline"/>
        </w:rPr>
        <w:t> </w:t>
      </w:r>
      <w:r>
        <w:rPr>
          <w:vertAlign w:val="baseline"/>
        </w:rPr>
        <w:t>of</w:t>
      </w:r>
      <w:r>
        <w:rPr>
          <w:spacing w:val="-2"/>
          <w:vertAlign w:val="baseline"/>
        </w:rPr>
        <w:t> </w:t>
      </w:r>
      <w:r>
        <w:rPr>
          <w:vertAlign w:val="baseline"/>
        </w:rPr>
        <w:t>good</w:t>
      </w:r>
      <w:r>
        <w:rPr>
          <w:spacing w:val="-2"/>
          <w:vertAlign w:val="baseline"/>
        </w:rPr>
        <w:t> </w:t>
      </w:r>
      <w:r>
        <w:rPr>
          <w:vertAlign w:val="baseline"/>
        </w:rPr>
        <w:t>faith</w:t>
      </w:r>
      <w:r>
        <w:rPr>
          <w:spacing w:val="-2"/>
          <w:vertAlign w:val="baseline"/>
        </w:rPr>
        <w:t> </w:t>
      </w:r>
      <w:r>
        <w:rPr>
          <w:vertAlign w:val="baseline"/>
        </w:rPr>
        <w:t>in</w:t>
      </w:r>
      <w:r>
        <w:rPr>
          <w:spacing w:val="-2"/>
          <w:vertAlign w:val="baseline"/>
        </w:rPr>
        <w:t> </w:t>
      </w:r>
      <w:r>
        <w:rPr>
          <w:vertAlign w:val="baseline"/>
        </w:rPr>
        <w:t>commercial</w:t>
      </w:r>
      <w:r>
        <w:rPr>
          <w:spacing w:val="-2"/>
          <w:vertAlign w:val="baseline"/>
        </w:rPr>
        <w:t> </w:t>
      </w:r>
      <w:r>
        <w:rPr>
          <w:vertAlign w:val="baseline"/>
        </w:rPr>
        <w:t>transactions” </w:t>
      </w:r>
      <w:bookmarkStart w:name="_bookmark660" w:id="662"/>
      <w:bookmarkEnd w:id="662"/>
      <w:r>
        <w:rPr>
          <w:vertAlign w:val="baseline"/>
        </w:rPr>
        <w:t>in</w:t>
      </w:r>
      <w:r>
        <w:rPr>
          <w:vertAlign w:val="baseline"/>
        </w:rPr>
        <w:t> setting the information which a supplier must provide to a consumer prior to the conclusion of the contract</w:t>
      </w:r>
      <w:r>
        <w:rPr>
          <w:spacing w:val="-3"/>
          <w:vertAlign w:val="baseline"/>
        </w:rPr>
        <w:t> </w:t>
      </w:r>
      <w:r>
        <w:rPr>
          <w:color w:val="005DA1"/>
          <w:u w:val="single" w:color="005DA1"/>
          <w:vertAlign w:val="superscript"/>
        </w:rPr>
        <w:t>374</w:t>
      </w:r>
      <w:r>
        <w:rPr>
          <w:color w:val="005DA1"/>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Unfair</w:t>
      </w:r>
      <w:r>
        <w:rPr>
          <w:spacing w:val="-3"/>
          <w:vertAlign w:val="baseline"/>
        </w:rPr>
        <w:t> </w:t>
      </w:r>
      <w:r>
        <w:rPr>
          <w:vertAlign w:val="baseline"/>
        </w:rPr>
        <w:t>Commercial</w:t>
      </w:r>
      <w:r>
        <w:rPr>
          <w:spacing w:val="-3"/>
          <w:vertAlign w:val="baseline"/>
        </w:rPr>
        <w:t> </w:t>
      </w:r>
      <w:r>
        <w:rPr>
          <w:vertAlign w:val="baseline"/>
        </w:rPr>
        <w:t>Practices</w:t>
      </w:r>
      <w:r>
        <w:rPr>
          <w:spacing w:val="-3"/>
          <w:vertAlign w:val="baseline"/>
        </w:rPr>
        <w:t> </w:t>
      </w:r>
      <w:r>
        <w:rPr>
          <w:vertAlign w:val="baseline"/>
        </w:rPr>
        <w:t>Directive</w:t>
      </w:r>
      <w:r>
        <w:rPr>
          <w:spacing w:val="-3"/>
          <w:vertAlign w:val="baseline"/>
        </w:rPr>
        <w:t> </w:t>
      </w:r>
      <w:r>
        <w:rPr>
          <w:vertAlign w:val="baseline"/>
        </w:rPr>
        <w:t>of</w:t>
      </w:r>
      <w:r>
        <w:rPr>
          <w:spacing w:val="-3"/>
          <w:vertAlign w:val="baseline"/>
        </w:rPr>
        <w:t> </w:t>
      </w:r>
      <w:r>
        <w:rPr>
          <w:vertAlign w:val="baseline"/>
        </w:rPr>
        <w:t>2005</w:t>
      </w:r>
      <w:r>
        <w:rPr>
          <w:spacing w:val="-3"/>
          <w:vertAlign w:val="baseline"/>
        </w:rPr>
        <w:t> </w:t>
      </w:r>
      <w:r>
        <w:rPr>
          <w:vertAlign w:val="baseline"/>
        </w:rPr>
        <w:t>sets</w:t>
      </w:r>
      <w:r>
        <w:rPr>
          <w:spacing w:val="-3"/>
          <w:vertAlign w:val="baseline"/>
        </w:rPr>
        <w:t> </w:t>
      </w:r>
      <w:r>
        <w:rPr>
          <w:vertAlign w:val="baseline"/>
        </w:rPr>
        <w:t>as</w:t>
      </w:r>
      <w:r>
        <w:rPr>
          <w:spacing w:val="-3"/>
          <w:vertAlign w:val="baseline"/>
        </w:rPr>
        <w:t> </w:t>
      </w:r>
      <w:r>
        <w:rPr>
          <w:vertAlign w:val="baseline"/>
        </w:rPr>
        <w:t>its</w:t>
      </w:r>
      <w:r>
        <w:rPr>
          <w:spacing w:val="-3"/>
          <w:vertAlign w:val="baseline"/>
        </w:rPr>
        <w:t> </w:t>
      </w:r>
      <w:r>
        <w:rPr>
          <w:vertAlign w:val="baseline"/>
        </w:rPr>
        <w:t>general</w:t>
      </w:r>
      <w:r>
        <w:rPr>
          <w:spacing w:val="-3"/>
          <w:vertAlign w:val="baseline"/>
        </w:rPr>
        <w:t> </w:t>
      </w:r>
      <w:r>
        <w:rPr>
          <w:vertAlign w:val="baseline"/>
        </w:rPr>
        <w:t>test</w:t>
      </w:r>
      <w:r>
        <w:rPr>
          <w:spacing w:val="-3"/>
          <w:vertAlign w:val="baseline"/>
        </w:rPr>
        <w:t> </w:t>
      </w:r>
      <w:r>
        <w:rPr>
          <w:vertAlign w:val="baseline"/>
        </w:rPr>
        <w:t>of</w:t>
      </w:r>
      <w:r>
        <w:rPr>
          <w:spacing w:val="-3"/>
          <w:vertAlign w:val="baseline"/>
        </w:rPr>
        <w:t> </w:t>
      </w:r>
      <w:r>
        <w:rPr>
          <w:vertAlign w:val="baseline"/>
        </w:rPr>
        <w:t>an</w:t>
      </w:r>
      <w:r>
        <w:rPr>
          <w:spacing w:val="-3"/>
          <w:vertAlign w:val="baseline"/>
        </w:rPr>
        <w:t> </w:t>
      </w:r>
      <w:r>
        <w:rPr>
          <w:vertAlign w:val="baseline"/>
        </w:rPr>
        <w:t>“unfair commercial</w:t>
      </w:r>
      <w:r>
        <w:rPr>
          <w:spacing w:val="-2"/>
          <w:vertAlign w:val="baseline"/>
        </w:rPr>
        <w:t> </w:t>
      </w:r>
      <w:r>
        <w:rPr>
          <w:vertAlign w:val="baseline"/>
        </w:rPr>
        <w:t>practice”</w:t>
      </w:r>
      <w:r>
        <w:rPr>
          <w:spacing w:val="-2"/>
          <w:vertAlign w:val="baseline"/>
        </w:rPr>
        <w:t> </w:t>
      </w:r>
      <w:r>
        <w:rPr>
          <w:vertAlign w:val="baseline"/>
        </w:rPr>
        <w:t>in</w:t>
      </w:r>
      <w:r>
        <w:rPr>
          <w:spacing w:val="-2"/>
          <w:vertAlign w:val="baseline"/>
        </w:rPr>
        <w:t> </w:t>
      </w:r>
      <w:r>
        <w:rPr>
          <w:vertAlign w:val="baseline"/>
        </w:rPr>
        <w:t>part</w:t>
      </w:r>
      <w:r>
        <w:rPr>
          <w:spacing w:val="-2"/>
          <w:vertAlign w:val="baseline"/>
        </w:rPr>
        <w:t> </w:t>
      </w:r>
      <w:r>
        <w:rPr>
          <w:vertAlign w:val="baseline"/>
        </w:rPr>
        <w:t>by</w:t>
      </w:r>
      <w:r>
        <w:rPr>
          <w:spacing w:val="-2"/>
          <w:vertAlign w:val="baseline"/>
        </w:rPr>
        <w:t> </w:t>
      </w:r>
      <w:r>
        <w:rPr>
          <w:vertAlign w:val="baseline"/>
        </w:rPr>
        <w:t>reference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“requirements</w:t>
      </w:r>
      <w:r>
        <w:rPr>
          <w:spacing w:val="-2"/>
          <w:vertAlign w:val="baseline"/>
        </w:rPr>
        <w:t> </w:t>
      </w:r>
      <w:r>
        <w:rPr>
          <w:vertAlign w:val="baseline"/>
        </w:rPr>
        <w:t>of</w:t>
      </w:r>
      <w:r>
        <w:rPr>
          <w:spacing w:val="-2"/>
          <w:vertAlign w:val="baseline"/>
        </w:rPr>
        <w:t> </w:t>
      </w:r>
      <w:r>
        <w:rPr>
          <w:vertAlign w:val="baseline"/>
        </w:rPr>
        <w:t>professional</w:t>
      </w:r>
      <w:r>
        <w:rPr>
          <w:spacing w:val="-2"/>
          <w:vertAlign w:val="baseline"/>
        </w:rPr>
        <w:t> </w:t>
      </w:r>
      <w:r>
        <w:rPr>
          <w:vertAlign w:val="baseline"/>
        </w:rPr>
        <w:t>diligence”,</w:t>
      </w:r>
      <w:r>
        <w:rPr>
          <w:spacing w:val="-2"/>
          <w:vertAlign w:val="baseline"/>
        </w:rPr>
        <w:t> </w:t>
      </w:r>
      <w:r>
        <w:rPr>
          <w:vertAlign w:val="baseline"/>
        </w:rPr>
        <w:t>which</w:t>
      </w:r>
      <w:r>
        <w:rPr>
          <w:spacing w:val="-2"/>
          <w:vertAlign w:val="baseline"/>
        </w:rPr>
        <w:t> </w:t>
      </w:r>
      <w:r>
        <w:rPr>
          <w:vertAlign w:val="baseline"/>
        </w:rPr>
        <w:t>is</w:t>
      </w:r>
      <w:r>
        <w:rPr>
          <w:spacing w:val="-2"/>
          <w:vertAlign w:val="baseline"/>
        </w:rPr>
        <w:t> </w:t>
      </w:r>
      <w:r>
        <w:rPr>
          <w:vertAlign w:val="baseline"/>
        </w:rPr>
        <w:t>then itself defined as:</w:t>
      </w:r>
    </w:p>
    <w:p>
      <w:pPr>
        <w:pStyle w:val="BodyText"/>
      </w:pPr>
    </w:p>
    <w:p>
      <w:pPr>
        <w:pStyle w:val="BodyText"/>
        <w:spacing w:before="123"/>
      </w:pPr>
    </w:p>
    <w:p>
      <w:pPr>
        <w:pStyle w:val="BodyText"/>
        <w:spacing w:line="235" w:lineRule="auto"/>
        <w:ind w:left="1545" w:right="167"/>
        <w:jc w:val="both"/>
      </w:pPr>
      <w:r>
        <w:rPr/>
        <w:t>“the standard of special skill and care which a trader may reasonably be expected </w:t>
      </w:r>
      <w:r>
        <w:rPr/>
        <w:t>to </w:t>
      </w:r>
      <w:bookmarkStart w:name="_bookmark661" w:id="663"/>
      <w:bookmarkEnd w:id="663"/>
      <w:r>
        <w:rPr/>
        <w:t>exercise</w:t>
      </w:r>
      <w:r>
        <w:rPr/>
        <w:t> towards consumers, commensurate with honest market practice and/or the general principle of good faith in the trader’s field of activity.” </w:t>
      </w:r>
      <w:r>
        <w:rPr>
          <w:color w:val="005DA1"/>
          <w:u w:val="single" w:color="005DA1"/>
          <w:vertAlign w:val="superscript"/>
        </w:rPr>
        <w:t>375</w:t>
      </w:r>
    </w:p>
    <w:p>
      <w:pPr>
        <w:pStyle w:val="BodyText"/>
        <w:spacing w:before="115"/>
      </w:pPr>
    </w:p>
    <w:p>
      <w:pPr>
        <w:pStyle w:val="BodyText"/>
        <w:spacing w:line="235" w:lineRule="auto"/>
        <w:ind w:left="165" w:right="167"/>
        <w:jc w:val="both"/>
      </w:pPr>
      <w:bookmarkStart w:name="_bookmark662" w:id="664"/>
      <w:bookmarkEnd w:id="664"/>
      <w:r>
        <w:rPr/>
      </w:r>
      <w:r>
        <w:rPr/>
        <w:t>Finally, “good faith” is used by Commercial Agents Directive 1986 to set the standard of the agents’ duties to their principals, providing that the “agent must … act dutifully and in good faith”. </w:t>
      </w:r>
      <w:r>
        <w:rPr>
          <w:color w:val="005DA1"/>
          <w:u w:val="single" w:color="005DA1"/>
          <w:vertAlign w:val="superscript"/>
        </w:rPr>
        <w:t>376</w:t>
      </w:r>
      <w:r>
        <w:rPr>
          <w:color w:val="005DA1"/>
          <w:vertAlign w:val="baseline"/>
        </w:rPr>
        <w:t> </w:t>
      </w:r>
      <w:r>
        <w:rPr>
          <w:vertAlign w:val="baseline"/>
        </w:rPr>
        <w:t>Apart from these particular examples of the use of “good faith” by EU legislation, the European Court </w:t>
      </w:r>
      <w:r>
        <w:rPr>
          <w:vertAlign w:val="baseline"/>
        </w:rPr>
        <w:t>of </w:t>
      </w:r>
      <w:bookmarkStart w:name="_bookmark663" w:id="665"/>
      <w:bookmarkEnd w:id="665"/>
      <w:r>
        <w:rPr>
          <w:vertAlign w:val="baseline"/>
        </w:rPr>
        <w:t>Justice</w:t>
      </w:r>
      <w:r>
        <w:rPr>
          <w:vertAlign w:val="baseline"/>
        </w:rPr>
        <w:t> has referred to good faith as a “principle of civil law”, although in a way which is not explicitly clear whether this principle is a principle of EU law or merely of the national law before the court. </w:t>
      </w:r>
      <w:r>
        <w:rPr>
          <w:color w:val="005DA1"/>
          <w:u w:val="single" w:color="005DA1"/>
          <w:vertAlign w:val="superscript"/>
        </w:rPr>
        <w:t>377</w:t>
      </w:r>
      <w:r>
        <w:rPr>
          <w:color w:val="005DA1"/>
          <w:vertAlign w:val="baseline"/>
        </w:rPr>
        <w:t> </w:t>
      </w:r>
      <w:r>
        <w:rPr>
          <w:vertAlign w:val="baseline"/>
        </w:rPr>
        <w:t>Support for the existence of such a general principle may be found in the earlier proposal for a Common European Sales Law, art.2 of which provided that:</w:t>
      </w:r>
    </w:p>
    <w:p>
      <w:pPr>
        <w:pStyle w:val="BodyText"/>
      </w:pPr>
    </w:p>
    <w:p>
      <w:pPr>
        <w:pStyle w:val="BodyText"/>
      </w:pPr>
    </w:p>
    <w:p>
      <w:pPr>
        <w:pStyle w:val="BodyText"/>
        <w:spacing w:before="104"/>
      </w:pPr>
    </w:p>
    <w:p>
      <w:pPr>
        <w:pStyle w:val="BodyText"/>
        <w:ind w:left="1545"/>
      </w:pPr>
      <w:r>
        <w:rPr>
          <w:spacing w:val="-5"/>
        </w:rPr>
        <w:t>“1.</w:t>
      </w:r>
    </w:p>
    <w:p>
      <w:pPr>
        <w:pStyle w:val="BodyText"/>
        <w:spacing w:before="110"/>
        <w:ind w:left="2025"/>
      </w:pPr>
      <w:r>
        <w:rPr/>
        <w:t>Each party has a duty to act in accordance with good faith and fair </w:t>
      </w:r>
      <w:r>
        <w:rPr>
          <w:spacing w:val="-2"/>
        </w:rPr>
        <w:t>dealing.</w:t>
      </w:r>
    </w:p>
    <w:p>
      <w:pPr>
        <w:pStyle w:val="BodyText"/>
      </w:pPr>
    </w:p>
    <w:p>
      <w:pPr>
        <w:pStyle w:val="BodyText"/>
        <w:spacing w:before="35"/>
      </w:pPr>
    </w:p>
    <w:p>
      <w:pPr>
        <w:pStyle w:val="BodyText"/>
        <w:ind w:left="1545"/>
      </w:pPr>
      <w:r>
        <w:rPr>
          <w:spacing w:val="-5"/>
        </w:rPr>
        <w:t>2.</w:t>
      </w:r>
    </w:p>
    <w:p>
      <w:pPr>
        <w:pStyle w:val="BodyText"/>
        <w:spacing w:line="235" w:lineRule="auto" w:before="114"/>
        <w:ind w:left="2025" w:right="167"/>
        <w:jc w:val="both"/>
      </w:pPr>
      <w:r>
        <w:rPr/>
        <w:t>Breach of this duty may preclude the party in breach from exercising or </w:t>
      </w:r>
      <w:r>
        <w:rPr/>
        <w:t>relying</w:t>
      </w:r>
      <w:r>
        <w:rPr>
          <w:spacing w:val="40"/>
        </w:rPr>
        <w:t> </w:t>
      </w:r>
      <w:r>
        <w:rPr/>
        <w:t>on a right, remedy or defence which that party would otherwise have, or may make the party liable for any loss thereby caused to the other party.</w:t>
      </w:r>
    </w:p>
    <w:p>
      <w:pPr>
        <w:pStyle w:val="BodyText"/>
        <w:spacing w:after="0" w:line="235" w:lineRule="auto"/>
        <w:jc w:val="both"/>
        <w:sectPr>
          <w:pgSz w:w="11900" w:h="16840"/>
          <w:pgMar w:header="971" w:footer="0" w:top="1300" w:bottom="280" w:left="1275" w:right="1275"/>
        </w:sectPr>
      </w:pPr>
    </w:p>
    <w:p>
      <w:pPr>
        <w:pStyle w:val="BodyText"/>
        <w:spacing w:before="56"/>
      </w:pPr>
    </w:p>
    <w:p>
      <w:pPr>
        <w:pStyle w:val="BodyText"/>
        <w:ind w:left="1545"/>
      </w:pPr>
      <w:r>
        <w:rPr>
          <w:spacing w:val="-5"/>
        </w:rPr>
        <w:t>3.</w:t>
      </w:r>
    </w:p>
    <w:p>
      <w:pPr>
        <w:pStyle w:val="BodyText"/>
        <w:spacing w:line="235" w:lineRule="auto" w:before="114"/>
        <w:ind w:left="2025"/>
      </w:pPr>
      <w:bookmarkStart w:name="_bookmark664" w:id="666"/>
      <w:bookmarkEnd w:id="666"/>
      <w:r>
        <w:rPr/>
      </w:r>
      <w:r>
        <w:rPr/>
        <w:t>The</w:t>
      </w:r>
      <w:r>
        <w:rPr>
          <w:spacing w:val="22"/>
        </w:rPr>
        <w:t> </w:t>
      </w:r>
      <w:r>
        <w:rPr/>
        <w:t>parties</w:t>
      </w:r>
      <w:r>
        <w:rPr>
          <w:spacing w:val="22"/>
        </w:rPr>
        <w:t> </w:t>
      </w:r>
      <w:r>
        <w:rPr/>
        <w:t>may</w:t>
      </w:r>
      <w:r>
        <w:rPr>
          <w:spacing w:val="22"/>
        </w:rPr>
        <w:t> </w:t>
      </w:r>
      <w:r>
        <w:rPr/>
        <w:t>not</w:t>
      </w:r>
      <w:r>
        <w:rPr>
          <w:spacing w:val="22"/>
        </w:rPr>
        <w:t> </w:t>
      </w:r>
      <w:r>
        <w:rPr/>
        <w:t>exclude</w:t>
      </w:r>
      <w:r>
        <w:rPr>
          <w:spacing w:val="22"/>
        </w:rPr>
        <w:t> </w:t>
      </w:r>
      <w:r>
        <w:rPr/>
        <w:t>the</w:t>
      </w:r>
      <w:r>
        <w:rPr>
          <w:spacing w:val="22"/>
        </w:rPr>
        <w:t> </w:t>
      </w:r>
      <w:r>
        <w:rPr/>
        <w:t>application</w:t>
      </w:r>
      <w:r>
        <w:rPr>
          <w:spacing w:val="22"/>
        </w:rPr>
        <w:t> </w:t>
      </w:r>
      <w:r>
        <w:rPr/>
        <w:t>of</w:t>
      </w:r>
      <w:r>
        <w:rPr>
          <w:spacing w:val="22"/>
        </w:rPr>
        <w:t> </w:t>
      </w:r>
      <w:r>
        <w:rPr/>
        <w:t>this</w:t>
      </w:r>
      <w:r>
        <w:rPr>
          <w:spacing w:val="22"/>
        </w:rPr>
        <w:t> </w:t>
      </w:r>
      <w:r>
        <w:rPr/>
        <w:t>Article</w:t>
      </w:r>
      <w:r>
        <w:rPr>
          <w:spacing w:val="22"/>
        </w:rPr>
        <w:t> </w:t>
      </w:r>
      <w:r>
        <w:rPr/>
        <w:t>or</w:t>
      </w:r>
      <w:r>
        <w:rPr>
          <w:spacing w:val="22"/>
        </w:rPr>
        <w:t> </w:t>
      </w:r>
      <w:r>
        <w:rPr/>
        <w:t>derogate</w:t>
      </w:r>
      <w:r>
        <w:rPr>
          <w:spacing w:val="22"/>
        </w:rPr>
        <w:t> </w:t>
      </w:r>
      <w:r>
        <w:rPr/>
        <w:t>from</w:t>
      </w:r>
      <w:r>
        <w:rPr>
          <w:spacing w:val="22"/>
        </w:rPr>
        <w:t> </w:t>
      </w:r>
      <w:r>
        <w:rPr/>
        <w:t>or vary its effects.” </w:t>
      </w:r>
      <w:r>
        <w:rPr>
          <w:color w:val="005DA1"/>
          <w:u w:val="single" w:color="005DA1"/>
          <w:vertAlign w:val="superscript"/>
        </w:rPr>
        <w:t>378</w:t>
      </w:r>
    </w:p>
    <w:p>
      <w:pPr>
        <w:pStyle w:val="BodyText"/>
      </w:pPr>
    </w:p>
    <w:p>
      <w:pPr>
        <w:pStyle w:val="BodyText"/>
        <w:spacing w:before="36"/>
      </w:pPr>
    </w:p>
    <w:p>
      <w:pPr>
        <w:pStyle w:val="BodyText"/>
        <w:ind w:left="165"/>
        <w:jc w:val="both"/>
      </w:pPr>
      <w:r>
        <w:rPr/>
        <w:t>The Proposed Regulation defined “good faith and fair dealing” </w:t>
      </w:r>
      <w:r>
        <w:rPr>
          <w:spacing w:val="-5"/>
        </w:rPr>
        <w:t>as</w:t>
      </w:r>
    </w:p>
    <w:p>
      <w:pPr>
        <w:pStyle w:val="BodyText"/>
      </w:pPr>
    </w:p>
    <w:p>
      <w:pPr>
        <w:pStyle w:val="BodyText"/>
        <w:spacing w:before="125"/>
      </w:pPr>
    </w:p>
    <w:p>
      <w:pPr>
        <w:pStyle w:val="BodyText"/>
        <w:spacing w:line="235" w:lineRule="auto"/>
        <w:ind w:left="1545"/>
      </w:pPr>
      <w:bookmarkStart w:name="_bookmark665" w:id="667"/>
      <w:bookmarkEnd w:id="667"/>
      <w:r>
        <w:rPr/>
      </w:r>
      <w:r>
        <w:rPr/>
        <w:t>“a standard of conduct characterised by honesty, openness and consideration for the interests of the other party to the transaction or relationship in question.” </w:t>
      </w:r>
      <w:r>
        <w:rPr>
          <w:color w:val="005DA1"/>
          <w:u w:val="single" w:color="005DA1"/>
          <w:vertAlign w:val="superscript"/>
        </w:rPr>
        <w:t>379</w:t>
      </w:r>
    </w:p>
    <w:p>
      <w:pPr>
        <w:pStyle w:val="BodyText"/>
        <w:spacing w:before="116"/>
      </w:pPr>
    </w:p>
    <w:p>
      <w:pPr>
        <w:pStyle w:val="BodyText"/>
        <w:spacing w:line="235" w:lineRule="auto"/>
        <w:ind w:left="165" w:right="166"/>
        <w:jc w:val="both"/>
      </w:pPr>
      <w:bookmarkStart w:name="_bookmark666" w:id="668"/>
      <w:bookmarkEnd w:id="668"/>
      <w:r>
        <w:rPr/>
      </w:r>
      <w:r>
        <w:rPr/>
        <w:t>The proposed optional Common European Sales Law would have been available only to contracts </w:t>
      </w:r>
      <w:r>
        <w:rPr/>
        <w:t>for the sale of goods, the supply of digital content and related services, </w:t>
      </w:r>
      <w:r>
        <w:rPr>
          <w:color w:val="005DA1"/>
          <w:u w:val="single" w:color="005DA1"/>
          <w:vertAlign w:val="superscript"/>
        </w:rPr>
        <w:t>380</w:t>
      </w:r>
      <w:r>
        <w:rPr>
          <w:color w:val="005DA1"/>
          <w:vertAlign w:val="baseline"/>
        </w:rPr>
        <w:t> </w:t>
      </w:r>
      <w:r>
        <w:rPr>
          <w:vertAlign w:val="baseline"/>
        </w:rPr>
        <w:t>but many of its provisions</w:t>
      </w:r>
      <w:r>
        <w:rPr>
          <w:spacing w:val="40"/>
          <w:vertAlign w:val="baseline"/>
        </w:rPr>
        <w:t> </w:t>
      </w:r>
      <w:r>
        <w:rPr>
          <w:vertAlign w:val="baseline"/>
        </w:rPr>
        <w:t>were equally appropriate to contract law in general. Apart from the general principle of good faith and </w:t>
      </w:r>
      <w:bookmarkStart w:name="_bookmark667" w:id="669"/>
      <w:bookmarkEnd w:id="669"/>
      <w:r>
        <w:rPr>
          <w:vertAlign w:val="baseline"/>
        </w:rPr>
        <w:t>fair</w:t>
      </w:r>
      <w:r>
        <w:rPr>
          <w:vertAlign w:val="baseline"/>
        </w:rPr>
        <w:t> dealing, the proposed Common European Sales Law made specific use of good faith and fair </w:t>
      </w:r>
      <w:bookmarkStart w:name="_bookmark668" w:id="670"/>
      <w:bookmarkEnd w:id="670"/>
      <w:r>
        <w:rPr>
          <w:vertAlign w:val="baseline"/>
        </w:rPr>
        <w:t>dealing</w:t>
      </w:r>
      <w:r>
        <w:rPr>
          <w:spacing w:val="-1"/>
          <w:vertAlign w:val="baseline"/>
        </w:rPr>
        <w:t> </w:t>
      </w:r>
      <w:r>
        <w:rPr>
          <w:vertAlign w:val="baseline"/>
        </w:rPr>
        <w:t>in</w:t>
      </w:r>
      <w:r>
        <w:rPr>
          <w:spacing w:val="-1"/>
          <w:vertAlign w:val="baseline"/>
        </w:rPr>
        <w:t> </w:t>
      </w:r>
      <w:r>
        <w:rPr>
          <w:vertAlign w:val="baseline"/>
        </w:rPr>
        <w:t>its</w:t>
      </w:r>
      <w:r>
        <w:rPr>
          <w:spacing w:val="-1"/>
          <w:vertAlign w:val="baseline"/>
        </w:rPr>
        <w:t> </w:t>
      </w:r>
      <w:r>
        <w:rPr>
          <w:vertAlign w:val="baseline"/>
        </w:rPr>
        <w:t>provisions</w:t>
      </w:r>
      <w:r>
        <w:rPr>
          <w:spacing w:val="-1"/>
          <w:vertAlign w:val="baseline"/>
        </w:rPr>
        <w:t> </w:t>
      </w:r>
      <w:r>
        <w:rPr>
          <w:vertAlign w:val="baseline"/>
        </w:rPr>
        <w:t>governing</w:t>
      </w:r>
      <w:r>
        <w:rPr>
          <w:spacing w:val="-1"/>
          <w:vertAlign w:val="baseline"/>
        </w:rPr>
        <w:t> </w:t>
      </w:r>
      <w:r>
        <w:rPr>
          <w:vertAlign w:val="baseline"/>
        </w:rPr>
        <w:t>duties</w:t>
      </w:r>
      <w:r>
        <w:rPr>
          <w:spacing w:val="-1"/>
          <w:vertAlign w:val="baseline"/>
        </w:rPr>
        <w:t> </w:t>
      </w:r>
      <w:r>
        <w:rPr>
          <w:vertAlign w:val="baseline"/>
        </w:rPr>
        <w:t>of</w:t>
      </w:r>
      <w:r>
        <w:rPr>
          <w:spacing w:val="-1"/>
          <w:vertAlign w:val="baseline"/>
        </w:rPr>
        <w:t> </w:t>
      </w:r>
      <w:r>
        <w:rPr>
          <w:vertAlign w:val="baseline"/>
        </w:rPr>
        <w:t>information</w:t>
      </w:r>
      <w:r>
        <w:rPr>
          <w:spacing w:val="-1"/>
          <w:vertAlign w:val="baseline"/>
        </w:rPr>
        <w:t> </w:t>
      </w:r>
      <w:r>
        <w:rPr>
          <w:vertAlign w:val="baseline"/>
        </w:rPr>
        <w:t>in</w:t>
      </w:r>
      <w:r>
        <w:rPr>
          <w:spacing w:val="-1"/>
          <w:vertAlign w:val="baseline"/>
        </w:rPr>
        <w:t> </w:t>
      </w:r>
      <w:r>
        <w:rPr>
          <w:vertAlign w:val="baseline"/>
        </w:rPr>
        <w:t>commercial</w:t>
      </w:r>
      <w:r>
        <w:rPr>
          <w:spacing w:val="-1"/>
          <w:vertAlign w:val="baseline"/>
        </w:rPr>
        <w:t> </w:t>
      </w:r>
      <w:r>
        <w:rPr>
          <w:vertAlign w:val="baseline"/>
        </w:rPr>
        <w:t>contracts,</w:t>
      </w:r>
      <w:r>
        <w:rPr>
          <w:spacing w:val="-2"/>
          <w:vertAlign w:val="baseline"/>
        </w:rPr>
        <w:t> </w:t>
      </w:r>
      <w:r>
        <w:rPr>
          <w:color w:val="005DA1"/>
          <w:u w:val="single" w:color="005DA1"/>
          <w:vertAlign w:val="superscript"/>
        </w:rPr>
        <w:t>381</w:t>
      </w:r>
      <w:r>
        <w:rPr>
          <w:color w:val="005DA1"/>
          <w:spacing w:val="-1"/>
          <w:vertAlign w:val="baseline"/>
        </w:rPr>
        <w:t> </w:t>
      </w:r>
      <w:r>
        <w:rPr>
          <w:vertAlign w:val="baseline"/>
        </w:rPr>
        <w:t>mistake,</w:t>
      </w:r>
      <w:r>
        <w:rPr>
          <w:spacing w:val="-1"/>
          <w:vertAlign w:val="baseline"/>
        </w:rPr>
        <w:t> </w:t>
      </w:r>
      <w:r>
        <w:rPr>
          <w:color w:val="005DA1"/>
          <w:u w:val="single" w:color="005DA1"/>
          <w:vertAlign w:val="superscript"/>
        </w:rPr>
        <w:t>382</w:t>
      </w:r>
      <w:r>
        <w:rPr>
          <w:color w:val="005DA1"/>
          <w:spacing w:val="-1"/>
          <w:vertAlign w:val="baseline"/>
        </w:rPr>
        <w:t> </w:t>
      </w:r>
      <w:r>
        <w:rPr>
          <w:vertAlign w:val="baseline"/>
        </w:rPr>
        <w:t>fraud, </w:t>
      </w:r>
      <w:r>
        <w:rPr>
          <w:color w:val="005DA1"/>
          <w:u w:val="single" w:color="005DA1"/>
          <w:vertAlign w:val="superscript"/>
        </w:rPr>
        <w:t>383</w:t>
      </w:r>
      <w:r>
        <w:rPr>
          <w:color w:val="005DA1"/>
          <w:spacing w:val="-1"/>
          <w:vertAlign w:val="baseline"/>
        </w:rPr>
        <w:t> </w:t>
      </w:r>
      <w:bookmarkStart w:name="_bookmark669" w:id="671"/>
      <w:bookmarkEnd w:id="671"/>
      <w:r>
        <w:rPr>
          <w:color w:val="005DA1"/>
          <w:spacing w:val="4"/>
          <w:vertAlign w:val="baseline"/>
        </w:rPr>
      </w:r>
      <w:r>
        <w:rPr>
          <w:vertAlign w:val="baseline"/>
        </w:rPr>
        <w:t>contractual</w:t>
      </w:r>
      <w:r>
        <w:rPr>
          <w:spacing w:val="-1"/>
          <w:vertAlign w:val="baseline"/>
        </w:rPr>
        <w:t> </w:t>
      </w:r>
      <w:r>
        <w:rPr>
          <w:vertAlign w:val="baseline"/>
        </w:rPr>
        <w:t>interpretation, </w:t>
      </w:r>
      <w:r>
        <w:rPr>
          <w:color w:val="005DA1"/>
          <w:u w:val="single" w:color="005DA1"/>
          <w:vertAlign w:val="superscript"/>
        </w:rPr>
        <w:t>384</w:t>
      </w:r>
      <w:r>
        <w:rPr>
          <w:color w:val="005DA1"/>
          <w:spacing w:val="-1"/>
          <w:vertAlign w:val="baseline"/>
        </w:rPr>
        <w:t> </w:t>
      </w:r>
      <w:r>
        <w:rPr>
          <w:vertAlign w:val="baseline"/>
        </w:rPr>
        <w:t>the</w:t>
      </w:r>
      <w:r>
        <w:rPr>
          <w:spacing w:val="-1"/>
          <w:vertAlign w:val="baseline"/>
        </w:rPr>
        <w:t> </w:t>
      </w:r>
      <w:r>
        <w:rPr>
          <w:vertAlign w:val="baseline"/>
        </w:rPr>
        <w:t>implication of</w:t>
      </w:r>
      <w:r>
        <w:rPr>
          <w:spacing w:val="-1"/>
          <w:vertAlign w:val="baseline"/>
        </w:rPr>
        <w:t> </w:t>
      </w:r>
      <w:r>
        <w:rPr>
          <w:vertAlign w:val="baseline"/>
        </w:rPr>
        <w:t>terms</w:t>
      </w:r>
      <w:r>
        <w:rPr>
          <w:spacing w:val="-1"/>
          <w:vertAlign w:val="baseline"/>
        </w:rPr>
        <w:t> </w:t>
      </w:r>
      <w:r>
        <w:rPr>
          <w:color w:val="005DA1"/>
          <w:u w:val="single" w:color="005DA1"/>
          <w:vertAlign w:val="superscript"/>
        </w:rPr>
        <w:t>385</w:t>
      </w:r>
      <w:r>
        <w:rPr>
          <w:color w:val="005DA1"/>
          <w:vertAlign w:val="baseline"/>
        </w:rPr>
        <w:t> </w:t>
      </w:r>
      <w:r>
        <w:rPr>
          <w:vertAlign w:val="baseline"/>
        </w:rPr>
        <w:t>and</w:t>
      </w:r>
      <w:r>
        <w:rPr>
          <w:spacing w:val="-1"/>
          <w:vertAlign w:val="baseline"/>
        </w:rPr>
        <w:t> </w:t>
      </w:r>
      <w:r>
        <w:rPr>
          <w:vertAlign w:val="baseline"/>
        </w:rPr>
        <w:t>unfair contract</w:t>
      </w:r>
      <w:r>
        <w:rPr>
          <w:spacing w:val="-1"/>
          <w:vertAlign w:val="baseline"/>
        </w:rPr>
        <w:t> </w:t>
      </w:r>
      <w:r>
        <w:rPr>
          <w:vertAlign w:val="baseline"/>
        </w:rPr>
        <w:t>terms.</w:t>
      </w:r>
      <w:r>
        <w:rPr>
          <w:spacing w:val="-1"/>
          <w:vertAlign w:val="baseline"/>
        </w:rPr>
        <w:t> </w:t>
      </w:r>
      <w:r>
        <w:rPr>
          <w:color w:val="005DA1"/>
          <w:u w:val="single" w:color="005DA1"/>
          <w:vertAlign w:val="superscript"/>
        </w:rPr>
        <w:t>386</w:t>
      </w:r>
      <w:r>
        <w:rPr>
          <w:color w:val="005DA1"/>
          <w:vertAlign w:val="baseline"/>
        </w:rPr>
        <w:t> </w:t>
      </w:r>
      <w:r>
        <w:rPr>
          <w:vertAlign w:val="baseline"/>
        </w:rPr>
        <w:t>However,</w:t>
      </w:r>
      <w:r>
        <w:rPr>
          <w:spacing w:val="-1"/>
          <w:vertAlign w:val="baseline"/>
        </w:rPr>
        <w:t> </w:t>
      </w:r>
      <w:r>
        <w:rPr>
          <w:spacing w:val="-5"/>
          <w:vertAlign w:val="baseline"/>
        </w:rPr>
        <w:t>the</w:t>
      </w:r>
    </w:p>
    <w:p>
      <w:pPr>
        <w:pStyle w:val="BodyText"/>
        <w:spacing w:line="235" w:lineRule="auto" w:before="118"/>
        <w:ind w:left="165" w:right="167"/>
        <w:jc w:val="both"/>
      </w:pPr>
      <w:r>
        <w:rPr/>
        <w:t>CESL Proposal was withdrawn by the Commission in 2014, </w:t>
      </w:r>
      <w:r>
        <w:rPr>
          <w:color w:val="005DA1"/>
          <w:u w:val="single" w:color="005DA1"/>
          <w:vertAlign w:val="superscript"/>
        </w:rPr>
        <w:t>387</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vertAlign w:val="baseline"/>
        </w:rPr>
        <w:t> </w:t>
      </w:r>
      <w:r>
        <w:rPr>
          <w:vertAlign w:val="baseline"/>
        </w:rPr>
        <w:t>and the legislative proposals </w:t>
      </w:r>
      <w:r>
        <w:rPr>
          <w:vertAlign w:val="baseline"/>
        </w:rPr>
        <w:t>put </w:t>
      </w:r>
      <w:bookmarkStart w:name="_bookmark670" w:id="672"/>
      <w:bookmarkEnd w:id="672"/>
      <w:r>
        <w:rPr>
          <w:vertAlign w:val="baseline"/>
        </w:rPr>
        <w:t>forward</w:t>
      </w:r>
      <w:r>
        <w:rPr>
          <w:spacing w:val="11"/>
          <w:vertAlign w:val="baseline"/>
        </w:rPr>
        <w:t> </w:t>
      </w:r>
      <w:r>
        <w:rPr>
          <w:vertAlign w:val="baseline"/>
        </w:rPr>
        <w:t>by</w:t>
      </w:r>
      <w:r>
        <w:rPr>
          <w:spacing w:val="11"/>
          <w:vertAlign w:val="baseline"/>
        </w:rPr>
        <w:t> </w:t>
      </w:r>
      <w:r>
        <w:rPr>
          <w:vertAlign w:val="baseline"/>
        </w:rPr>
        <w:t>the</w:t>
      </w:r>
      <w:r>
        <w:rPr>
          <w:spacing w:val="11"/>
          <w:vertAlign w:val="baseline"/>
        </w:rPr>
        <w:t> </w:t>
      </w:r>
      <w:r>
        <w:rPr>
          <w:vertAlign w:val="baseline"/>
        </w:rPr>
        <w:t>EU</w:t>
      </w:r>
      <w:r>
        <w:rPr>
          <w:spacing w:val="11"/>
          <w:vertAlign w:val="baseline"/>
        </w:rPr>
        <w:t> </w:t>
      </w:r>
      <w:r>
        <w:rPr>
          <w:vertAlign w:val="baseline"/>
        </w:rPr>
        <w:t>Commission</w:t>
      </w:r>
      <w:r>
        <w:rPr>
          <w:spacing w:val="11"/>
          <w:vertAlign w:val="baseline"/>
        </w:rPr>
        <w:t> </w:t>
      </w:r>
      <w:r>
        <w:rPr>
          <w:vertAlign w:val="baseline"/>
        </w:rPr>
        <w:t>instead</w:t>
      </w:r>
      <w:r>
        <w:rPr>
          <w:spacing w:val="11"/>
          <w:vertAlign w:val="baseline"/>
        </w:rPr>
        <w:t> </w:t>
      </w:r>
      <w:r>
        <w:rPr>
          <w:vertAlign w:val="baseline"/>
        </w:rPr>
        <w:t>are</w:t>
      </w:r>
      <w:r>
        <w:rPr>
          <w:spacing w:val="11"/>
          <w:vertAlign w:val="baseline"/>
        </w:rPr>
        <w:t> </w:t>
      </w:r>
      <w:r>
        <w:rPr>
          <w:vertAlign w:val="baseline"/>
        </w:rPr>
        <w:t>of</w:t>
      </w:r>
      <w:r>
        <w:rPr>
          <w:spacing w:val="11"/>
          <w:vertAlign w:val="baseline"/>
        </w:rPr>
        <w:t> </w:t>
      </w:r>
      <w:r>
        <w:rPr>
          <w:vertAlign w:val="baseline"/>
        </w:rPr>
        <w:t>much</w:t>
      </w:r>
      <w:r>
        <w:rPr>
          <w:spacing w:val="11"/>
          <w:vertAlign w:val="baseline"/>
        </w:rPr>
        <w:t> </w:t>
      </w:r>
      <w:r>
        <w:rPr>
          <w:vertAlign w:val="baseline"/>
        </w:rPr>
        <w:t>narrower</w:t>
      </w:r>
      <w:r>
        <w:rPr>
          <w:spacing w:val="11"/>
          <w:vertAlign w:val="baseline"/>
        </w:rPr>
        <w:t> </w:t>
      </w:r>
      <w:r>
        <w:rPr>
          <w:vertAlign w:val="baseline"/>
        </w:rPr>
        <w:t>scope</w:t>
      </w:r>
      <w:r>
        <w:rPr>
          <w:spacing w:val="11"/>
          <w:vertAlign w:val="baseline"/>
        </w:rPr>
        <w:t> </w:t>
      </w:r>
      <w:r>
        <w:rPr>
          <w:vertAlign w:val="baseline"/>
        </w:rPr>
        <w:t>than</w:t>
      </w:r>
      <w:r>
        <w:rPr>
          <w:spacing w:val="11"/>
          <w:vertAlign w:val="baseline"/>
        </w:rPr>
        <w:t> </w:t>
      </w:r>
      <w:r>
        <w:rPr>
          <w:vertAlign w:val="baseline"/>
        </w:rPr>
        <w:t>the</w:t>
      </w:r>
      <w:r>
        <w:rPr>
          <w:spacing w:val="11"/>
          <w:vertAlign w:val="baseline"/>
        </w:rPr>
        <w:t> </w:t>
      </w:r>
      <w:r>
        <w:rPr>
          <w:vertAlign w:val="baseline"/>
        </w:rPr>
        <w:t>CESL</w:t>
      </w:r>
      <w:r>
        <w:rPr>
          <w:spacing w:val="11"/>
          <w:vertAlign w:val="baseline"/>
        </w:rPr>
        <w:t> </w:t>
      </w:r>
      <w:r>
        <w:rPr>
          <w:vertAlign w:val="baseline"/>
        </w:rPr>
        <w:t>and</w:t>
      </w:r>
      <w:r>
        <w:rPr>
          <w:spacing w:val="11"/>
          <w:vertAlign w:val="baseline"/>
        </w:rPr>
        <w:t> </w:t>
      </w:r>
      <w:r>
        <w:rPr>
          <w:vertAlign w:val="baseline"/>
        </w:rPr>
        <w:t>do</w:t>
      </w:r>
      <w:r>
        <w:rPr>
          <w:spacing w:val="11"/>
          <w:vertAlign w:val="baseline"/>
        </w:rPr>
        <w:t> </w:t>
      </w:r>
      <w:r>
        <w:rPr>
          <w:vertAlign w:val="baseline"/>
        </w:rPr>
        <w:t>not</w:t>
      </w:r>
      <w:r>
        <w:rPr>
          <w:spacing w:val="11"/>
          <w:vertAlign w:val="baseline"/>
        </w:rPr>
        <w:t> </w:t>
      </w:r>
      <w:r>
        <w:rPr>
          <w:spacing w:val="-2"/>
          <w:vertAlign w:val="baseline"/>
        </w:rPr>
        <w:t>refer</w:t>
      </w:r>
    </w:p>
    <w:p>
      <w:pPr>
        <w:pStyle w:val="BodyText"/>
        <w:spacing w:before="116"/>
        <w:ind w:left="165"/>
        <w:jc w:val="both"/>
        <w:rPr>
          <w:position w:val="-2"/>
        </w:rPr>
      </w:pPr>
      <w:r>
        <w:rPr/>
        <w:t>to the concept of good faith. </w:t>
      </w:r>
      <w:r>
        <w:rPr>
          <w:color w:val="005DA1"/>
          <w:u w:val="single" w:color="005DA1"/>
          <w:vertAlign w:val="superscript"/>
        </w:rPr>
        <w:t>388</w:t>
      </w:r>
      <w:r>
        <w:rPr>
          <w:color w:val="005DA1"/>
          <w:spacing w:val="80"/>
          <w:w w:val="150"/>
          <w:vertAlign w:val="baseline"/>
        </w:rPr>
        <w:t> </w:t>
      </w:r>
      <w:r>
        <w:rPr>
          <w:color w:val="005DA1"/>
          <w:position w:val="-2"/>
          <w:vertAlign w:val="baseline"/>
        </w:rPr>
        <w:drawing>
          <wp:inline distT="0" distB="0" distL="0" distR="0">
            <wp:extent cx="107988" cy="107988"/>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Good faith, fairness or reasonableness relevant exceptionally in English </w:t>
      </w:r>
      <w:r>
        <w:rPr>
          <w:rFonts w:ascii="Arial"/>
          <w:b/>
          <w:spacing w:val="-5"/>
          <w:sz w:val="18"/>
        </w:rPr>
        <w:t>law</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044</w:t>
      </w:r>
    </w:p>
    <w:p>
      <w:pPr>
        <w:pStyle w:val="BodyText"/>
        <w:spacing w:line="235" w:lineRule="auto" w:before="203"/>
        <w:ind w:left="165" w:right="167"/>
        <w:jc w:val="both"/>
      </w:pPr>
      <w:r>
        <w:rPr/>
        <w:t>The following paragraphs set out a number of ways by which English law takes into </w:t>
      </w:r>
      <w:r>
        <w:rPr/>
        <w:t>account considerations of fairness which qualify the position established either by the general law or by a contract to govern the creation or the regulation of contractual relationships. Some of these refer explicitly to the notion of good faith, as is the case in contracts arising from fiduciary relations, </w:t>
      </w:r>
      <w:bookmarkStart w:name="_bookmark671" w:id="673"/>
      <w:bookmarkEnd w:id="673"/>
      <w:r>
        <w:rPr/>
        <w:t>contracts</w:t>
      </w:r>
      <w:r>
        <w:rPr/>
        <w:t> of partnership and of employment, and contracts of insurance (which are said to be of the utmost good faith) though the significance of this is much altered by recent legislation.</w:t>
      </w:r>
      <w:r>
        <w:rPr>
          <w:spacing w:val="-1"/>
        </w:rPr>
        <w:t> </w:t>
      </w:r>
      <w:r>
        <w:rPr>
          <w:color w:val="005DA1"/>
          <w:u w:val="single" w:color="005DA1"/>
          <w:vertAlign w:val="superscript"/>
        </w:rPr>
        <w:t>389</w:t>
      </w:r>
      <w:r>
        <w:rPr>
          <w:color w:val="005DA1"/>
          <w:vertAlign w:val="baseline"/>
        </w:rPr>
        <w:t> </w:t>
      </w:r>
      <w:r>
        <w:rPr>
          <w:vertAlign w:val="baseline"/>
        </w:rPr>
        <w:t>Sometimes, the law gives effect to the notion of good faith by way of the application of an exceptional rule and sometimes by the implication of a term. Moreover, other qualifications on the strictness of the express terms of the contract or on contract law itself do not refer explicitly to good faith, preferring rather to use the language of fairness, equitableness or reasonableness.</w:t>
      </w:r>
    </w:p>
    <w:p>
      <w:pPr>
        <w:pStyle w:val="BodyText"/>
      </w:pPr>
    </w:p>
    <w:p>
      <w:pPr>
        <w:pStyle w:val="BodyText"/>
        <w:spacing w:before="35"/>
      </w:pPr>
    </w:p>
    <w:p>
      <w:pPr>
        <w:pStyle w:val="ListParagraph"/>
        <w:numPr>
          <w:ilvl w:val="0"/>
          <w:numId w:val="5"/>
        </w:numPr>
        <w:tabs>
          <w:tab w:pos="384" w:val="left" w:leader="none"/>
        </w:tabs>
        <w:spacing w:line="240" w:lineRule="auto" w:before="0" w:after="0"/>
        <w:ind w:left="384" w:right="0" w:hanging="219"/>
        <w:jc w:val="left"/>
        <w:rPr>
          <w:b/>
          <w:sz w:val="18"/>
        </w:rPr>
      </w:pPr>
      <w:r>
        <w:rPr>
          <w:b/>
          <w:sz w:val="18"/>
        </w:rPr>
        <w:t>Duties to consider other party’s </w:t>
      </w:r>
      <w:r>
        <w:rPr>
          <w:b/>
          <w:spacing w:val="-2"/>
          <w:sz w:val="18"/>
        </w:rPr>
        <w:t>interest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045</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First, some particular types of contract attract rules (usually considered to be of law, </w:t>
      </w:r>
      <w:r>
        <w:rPr/>
        <w:t>though sometimes justified by reference to the implied intentions of the parties) which impose duties on one party to act other than in their own interest. This is most clearly the case in contracts under which a </w:t>
      </w:r>
      <w:bookmarkStart w:name="_bookmark672" w:id="674"/>
      <w:bookmarkEnd w:id="674"/>
      <w:r>
        <w:rPr/>
        <w:t>person</w:t>
      </w:r>
      <w:r>
        <w:rPr/>
        <w:t> assumes fiduciary duties, as is notably the case as regards agents, for a fiduciary must act honestly and must not allow his own interests to conflict with those of his principal. </w:t>
      </w:r>
      <w:r>
        <w:rPr>
          <w:color w:val="005DA1"/>
          <w:u w:val="single" w:color="005DA1"/>
          <w:vertAlign w:val="superscript"/>
        </w:rPr>
        <w:t>390</w:t>
      </w:r>
      <w:r>
        <w:rPr>
          <w:color w:val="005DA1"/>
          <w:vertAlign w:val="baseline"/>
        </w:rPr>
        <w:t> </w:t>
      </w:r>
      <w:r>
        <w:rPr>
          <w:vertAlign w:val="baseline"/>
        </w:rPr>
        <w:t>Indeed, the </w:t>
      </w:r>
      <w:bookmarkStart w:name="_bookmark673" w:id="675"/>
      <w:bookmarkEnd w:id="675"/>
      <w:r>
        <w:rPr>
          <w:vertAlign w:val="baseline"/>
        </w:rPr>
        <w:t>Commercial</w:t>
      </w:r>
      <w:r>
        <w:rPr>
          <w:vertAlign w:val="baseline"/>
        </w:rPr>
        <w:t> Agents (Council Directive) Regulations 1993, echoing the EU Directive that they </w:t>
      </w:r>
      <w:bookmarkStart w:name="_bookmark674" w:id="676"/>
      <w:bookmarkEnd w:id="676"/>
      <w:r>
        <w:rPr>
          <w:vertAlign w:val="baseline"/>
        </w:rPr>
        <w:t>implement,</w:t>
      </w:r>
      <w:r>
        <w:rPr>
          <w:vertAlign w:val="baseline"/>
        </w:rPr>
        <w:t> put the duties of agents to their principals expressly in terms of good faith. </w:t>
      </w:r>
      <w:r>
        <w:rPr>
          <w:color w:val="005DA1"/>
          <w:u w:val="single" w:color="005DA1"/>
          <w:vertAlign w:val="superscript"/>
        </w:rPr>
        <w:t>391</w:t>
      </w:r>
      <w:r>
        <w:rPr>
          <w:color w:val="005DA1"/>
          <w:vertAlign w:val="baseline"/>
        </w:rPr>
        <w:t> </w:t>
      </w:r>
      <w:r>
        <w:rPr>
          <w:vertAlign w:val="baseline"/>
        </w:rPr>
        <w:t>So too, it</w:t>
      </w:r>
      <w:r>
        <w:rPr>
          <w:spacing w:val="40"/>
          <w:vertAlign w:val="baseline"/>
        </w:rPr>
        <w:t> </w:t>
      </w:r>
      <w:r>
        <w:rPr>
          <w:vertAlign w:val="baseline"/>
        </w:rPr>
        <w:t>has been said that partnership is a “contract of good faith” </w:t>
      </w:r>
      <w:r>
        <w:rPr>
          <w:color w:val="005DA1"/>
          <w:u w:val="single" w:color="005DA1"/>
          <w:vertAlign w:val="superscript"/>
        </w:rPr>
        <w:t>392</w:t>
      </w:r>
      <w:r>
        <w:rPr>
          <w:color w:val="005DA1"/>
          <w:vertAlign w:val="baseline"/>
        </w:rPr>
        <w:t> </w:t>
      </w:r>
      <w:r>
        <w:rPr>
          <w:vertAlign w:val="baseline"/>
        </w:rPr>
        <w:t>and held that this means that </w:t>
      </w:r>
      <w:bookmarkStart w:name="_bookmark675" w:id="677"/>
      <w:bookmarkEnd w:id="677"/>
      <w:r>
        <w:rPr>
          <w:vertAlign w:val="baseline"/>
        </w:rPr>
        <w:t>prospective</w:t>
      </w:r>
      <w:r>
        <w:rPr>
          <w:spacing w:val="-2"/>
          <w:vertAlign w:val="baseline"/>
        </w:rPr>
        <w:t> </w:t>
      </w:r>
      <w:r>
        <w:rPr>
          <w:vertAlign w:val="baseline"/>
        </w:rPr>
        <w:t>partners</w:t>
      </w:r>
      <w:r>
        <w:rPr>
          <w:spacing w:val="-2"/>
          <w:vertAlign w:val="baseline"/>
        </w:rPr>
        <w:t> </w:t>
      </w:r>
      <w:r>
        <w:rPr>
          <w:vertAlign w:val="baseline"/>
        </w:rPr>
        <w:t>owe</w:t>
      </w:r>
      <w:r>
        <w:rPr>
          <w:spacing w:val="-2"/>
          <w:vertAlign w:val="baseline"/>
        </w:rPr>
        <w:t> </w:t>
      </w:r>
      <w:r>
        <w:rPr>
          <w:vertAlign w:val="baseline"/>
        </w:rPr>
        <w:t>each</w:t>
      </w:r>
      <w:r>
        <w:rPr>
          <w:spacing w:val="-2"/>
          <w:vertAlign w:val="baseline"/>
        </w:rPr>
        <w:t> </w:t>
      </w:r>
      <w:r>
        <w:rPr>
          <w:vertAlign w:val="baseline"/>
        </w:rPr>
        <w:t>other</w:t>
      </w:r>
      <w:r>
        <w:rPr>
          <w:spacing w:val="-2"/>
          <w:vertAlign w:val="baseline"/>
        </w:rPr>
        <w:t> </w:t>
      </w:r>
      <w:r>
        <w:rPr>
          <w:vertAlign w:val="baseline"/>
        </w:rPr>
        <w:t>a</w:t>
      </w:r>
      <w:r>
        <w:rPr>
          <w:spacing w:val="-2"/>
          <w:vertAlign w:val="baseline"/>
        </w:rPr>
        <w:t> </w:t>
      </w:r>
      <w:r>
        <w:rPr>
          <w:vertAlign w:val="baseline"/>
        </w:rPr>
        <w:t>duty</w:t>
      </w:r>
      <w:r>
        <w:rPr>
          <w:spacing w:val="-2"/>
          <w:vertAlign w:val="baseline"/>
        </w:rPr>
        <w:t> </w:t>
      </w:r>
      <w:r>
        <w:rPr>
          <w:vertAlign w:val="baseline"/>
        </w:rPr>
        <w:t>to</w:t>
      </w:r>
      <w:r>
        <w:rPr>
          <w:spacing w:val="-2"/>
          <w:vertAlign w:val="baseline"/>
        </w:rPr>
        <w:t> </w:t>
      </w:r>
      <w:r>
        <w:rPr>
          <w:vertAlign w:val="baseline"/>
        </w:rPr>
        <w:t>disclose</w:t>
      </w:r>
      <w:r>
        <w:rPr>
          <w:spacing w:val="-2"/>
          <w:vertAlign w:val="baseline"/>
        </w:rPr>
        <w:t> </w:t>
      </w:r>
      <w:r>
        <w:rPr>
          <w:vertAlign w:val="baseline"/>
        </w:rPr>
        <w:t>all</w:t>
      </w:r>
      <w:r>
        <w:rPr>
          <w:spacing w:val="-2"/>
          <w:vertAlign w:val="baseline"/>
        </w:rPr>
        <w:t> </w:t>
      </w:r>
      <w:r>
        <w:rPr>
          <w:vertAlign w:val="baseline"/>
        </w:rPr>
        <w:t>material</w:t>
      </w:r>
      <w:r>
        <w:rPr>
          <w:spacing w:val="-2"/>
          <w:vertAlign w:val="baseline"/>
        </w:rPr>
        <w:t> </w:t>
      </w:r>
      <w:r>
        <w:rPr>
          <w:vertAlign w:val="baseline"/>
        </w:rPr>
        <w:t>facts</w:t>
      </w:r>
      <w:r>
        <w:rPr>
          <w:spacing w:val="-2"/>
          <w:vertAlign w:val="baseline"/>
        </w:rPr>
        <w:t> </w:t>
      </w:r>
      <w:r>
        <w:rPr>
          <w:vertAlign w:val="baseline"/>
        </w:rPr>
        <w:t>of</w:t>
      </w:r>
      <w:r>
        <w:rPr>
          <w:spacing w:val="-2"/>
          <w:vertAlign w:val="baseline"/>
        </w:rPr>
        <w:t> </w:t>
      </w:r>
      <w:r>
        <w:rPr>
          <w:vertAlign w:val="baseline"/>
        </w:rPr>
        <w:t>which</w:t>
      </w:r>
      <w:r>
        <w:rPr>
          <w:spacing w:val="-2"/>
          <w:vertAlign w:val="baseline"/>
        </w:rPr>
        <w:t> </w:t>
      </w:r>
      <w:r>
        <w:rPr>
          <w:vertAlign w:val="baseline"/>
        </w:rPr>
        <w:t>each</w:t>
      </w:r>
      <w:r>
        <w:rPr>
          <w:spacing w:val="-2"/>
          <w:vertAlign w:val="baseline"/>
        </w:rPr>
        <w:t> </w:t>
      </w:r>
      <w:r>
        <w:rPr>
          <w:vertAlign w:val="baseline"/>
        </w:rPr>
        <w:t>has</w:t>
      </w:r>
      <w:r>
        <w:rPr>
          <w:spacing w:val="-2"/>
          <w:vertAlign w:val="baseline"/>
        </w:rPr>
        <w:t> </w:t>
      </w:r>
      <w:r>
        <w:rPr>
          <w:vertAlign w:val="baseline"/>
        </w:rPr>
        <w:t>knowledge and of which the other negotiating parties may not be aware. </w:t>
      </w:r>
      <w:r>
        <w:rPr>
          <w:color w:val="005DA1"/>
          <w:u w:val="single" w:color="005DA1"/>
          <w:vertAlign w:val="superscript"/>
        </w:rPr>
        <w:t>393</w:t>
      </w:r>
      <w:r>
        <w:rPr>
          <w:color w:val="005DA1"/>
          <w:vertAlign w:val="baseline"/>
        </w:rPr>
        <w:t> </w:t>
      </w:r>
      <w:r>
        <w:rPr>
          <w:vertAlign w:val="baseline"/>
        </w:rPr>
        <w:t>Another example may be found in relation to mortgages. Thus, the Privy Council has recognised that a mortgagee of property must exercise his powers in good faith and for the purpose of obtaining repayment of the debt, though</w:t>
      </w:r>
      <w:r>
        <w:rPr>
          <w:spacing w:val="40"/>
          <w:vertAlign w:val="baseline"/>
        </w:rPr>
        <w:t> </w:t>
      </w:r>
      <w:bookmarkStart w:name="_bookmark676" w:id="678"/>
      <w:bookmarkEnd w:id="678"/>
      <w:r>
        <w:rPr>
          <w:vertAlign w:val="baseline"/>
        </w:rPr>
        <w:t>given</w:t>
      </w:r>
      <w:r>
        <w:rPr>
          <w:spacing w:val="71"/>
          <w:w w:val="150"/>
          <w:vertAlign w:val="baseline"/>
        </w:rPr>
        <w:t> </w:t>
      </w:r>
      <w:r>
        <w:rPr>
          <w:vertAlign w:val="baseline"/>
        </w:rPr>
        <w:t>this</w:t>
      </w:r>
      <w:r>
        <w:rPr>
          <w:spacing w:val="71"/>
          <w:w w:val="150"/>
          <w:vertAlign w:val="baseline"/>
        </w:rPr>
        <w:t> </w:t>
      </w:r>
      <w:r>
        <w:rPr>
          <w:vertAlign w:val="baseline"/>
        </w:rPr>
        <w:t>purpose</w:t>
      </w:r>
      <w:r>
        <w:rPr>
          <w:spacing w:val="71"/>
          <w:w w:val="150"/>
          <w:vertAlign w:val="baseline"/>
        </w:rPr>
        <w:t> </w:t>
      </w:r>
      <w:r>
        <w:rPr>
          <w:vertAlign w:val="baseline"/>
        </w:rPr>
        <w:t>these</w:t>
      </w:r>
      <w:r>
        <w:rPr>
          <w:spacing w:val="71"/>
          <w:w w:val="150"/>
          <w:vertAlign w:val="baseline"/>
        </w:rPr>
        <w:t> </w:t>
      </w:r>
      <w:r>
        <w:rPr>
          <w:vertAlign w:val="baseline"/>
        </w:rPr>
        <w:t>powers</w:t>
      </w:r>
      <w:r>
        <w:rPr>
          <w:spacing w:val="72"/>
          <w:w w:val="150"/>
          <w:vertAlign w:val="baseline"/>
        </w:rPr>
        <w:t> </w:t>
      </w:r>
      <w:r>
        <w:rPr>
          <w:vertAlign w:val="baseline"/>
        </w:rPr>
        <w:t>may</w:t>
      </w:r>
      <w:r>
        <w:rPr>
          <w:spacing w:val="71"/>
          <w:w w:val="150"/>
          <w:vertAlign w:val="baseline"/>
        </w:rPr>
        <w:t> </w:t>
      </w:r>
      <w:r>
        <w:rPr>
          <w:vertAlign w:val="baseline"/>
        </w:rPr>
        <w:t>be</w:t>
      </w:r>
      <w:r>
        <w:rPr>
          <w:spacing w:val="71"/>
          <w:w w:val="150"/>
          <w:vertAlign w:val="baseline"/>
        </w:rPr>
        <w:t> </w:t>
      </w:r>
      <w:r>
        <w:rPr>
          <w:vertAlign w:val="baseline"/>
        </w:rPr>
        <w:t>exercised</w:t>
      </w:r>
      <w:r>
        <w:rPr>
          <w:spacing w:val="71"/>
          <w:w w:val="150"/>
          <w:vertAlign w:val="baseline"/>
        </w:rPr>
        <w:t> </w:t>
      </w:r>
      <w:r>
        <w:rPr>
          <w:vertAlign w:val="baseline"/>
        </w:rPr>
        <w:t>in</w:t>
      </w:r>
      <w:r>
        <w:rPr>
          <w:spacing w:val="71"/>
          <w:w w:val="150"/>
          <w:vertAlign w:val="baseline"/>
        </w:rPr>
        <w:t> </w:t>
      </w:r>
      <w:r>
        <w:rPr>
          <w:vertAlign w:val="baseline"/>
        </w:rPr>
        <w:t>such</w:t>
      </w:r>
      <w:r>
        <w:rPr>
          <w:spacing w:val="72"/>
          <w:w w:val="150"/>
          <w:vertAlign w:val="baseline"/>
        </w:rPr>
        <w:t> </w:t>
      </w:r>
      <w:r>
        <w:rPr>
          <w:vertAlign w:val="baseline"/>
        </w:rPr>
        <w:t>a</w:t>
      </w:r>
      <w:r>
        <w:rPr>
          <w:spacing w:val="71"/>
          <w:w w:val="150"/>
          <w:vertAlign w:val="baseline"/>
        </w:rPr>
        <w:t> </w:t>
      </w:r>
      <w:r>
        <w:rPr>
          <w:vertAlign w:val="baseline"/>
        </w:rPr>
        <w:t>way</w:t>
      </w:r>
      <w:r>
        <w:rPr>
          <w:spacing w:val="71"/>
          <w:w w:val="150"/>
          <w:vertAlign w:val="baseline"/>
        </w:rPr>
        <w:t> </w:t>
      </w:r>
      <w:r>
        <w:rPr>
          <w:vertAlign w:val="baseline"/>
        </w:rPr>
        <w:t>that</w:t>
      </w:r>
      <w:r>
        <w:rPr>
          <w:spacing w:val="71"/>
          <w:w w:val="150"/>
          <w:vertAlign w:val="baseline"/>
        </w:rPr>
        <w:t> </w:t>
      </w:r>
      <w:r>
        <w:rPr>
          <w:spacing w:val="-2"/>
          <w:vertAlign w:val="baseline"/>
        </w:rPr>
        <w:t>disadvantageous</w:t>
      </w:r>
    </w:p>
    <w:p>
      <w:pPr>
        <w:pStyle w:val="BodyText"/>
        <w:spacing w:before="111"/>
        <w:ind w:left="165"/>
        <w:jc w:val="both"/>
      </w:pPr>
      <w:r>
        <w:rPr/>
        <w:t>consequences</w:t>
      </w:r>
      <w:r>
        <w:rPr>
          <w:spacing w:val="50"/>
        </w:rPr>
        <w:t> </w:t>
      </w:r>
      <w:r>
        <w:rPr/>
        <w:t>accrue</w:t>
      </w:r>
      <w:r>
        <w:rPr>
          <w:spacing w:val="51"/>
        </w:rPr>
        <w:t> </w:t>
      </w:r>
      <w:r>
        <w:rPr/>
        <w:t>to</w:t>
      </w:r>
      <w:r>
        <w:rPr>
          <w:spacing w:val="51"/>
        </w:rPr>
        <w:t> </w:t>
      </w:r>
      <w:r>
        <w:rPr/>
        <w:t>the</w:t>
      </w:r>
      <w:r>
        <w:rPr>
          <w:spacing w:val="51"/>
        </w:rPr>
        <w:t> </w:t>
      </w:r>
      <w:r>
        <w:rPr/>
        <w:t>borrower.</w:t>
      </w:r>
      <w:r>
        <w:rPr>
          <w:spacing w:val="51"/>
        </w:rPr>
        <w:t> </w:t>
      </w:r>
      <w:r>
        <w:rPr>
          <w:color w:val="005DA1"/>
          <w:u w:val="single" w:color="005DA1"/>
          <w:vertAlign w:val="superscript"/>
        </w:rPr>
        <w:t>394</w:t>
      </w:r>
      <w:r>
        <w:rPr>
          <w:color w:val="005DA1"/>
          <w:spacing w:val="78"/>
          <w:w w:val="150"/>
          <w:vertAlign w:val="baseline"/>
        </w:rPr>
        <w:t>  </w:t>
      </w:r>
      <w:r>
        <w:rPr>
          <w:color w:val="005DA1"/>
          <w:spacing w:val="-7"/>
          <w:position w:val="-2"/>
          <w:vertAlign w:val="baseline"/>
        </w:rPr>
        <w:drawing>
          <wp:inline distT="0" distB="0" distL="0" distR="0">
            <wp:extent cx="107988" cy="107988"/>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spacing w:val="64"/>
          <w:vertAlign w:val="baseline"/>
        </w:rPr>
        <w:t> </w:t>
      </w:r>
      <w:r>
        <w:rPr>
          <w:vertAlign w:val="baseline"/>
        </w:rPr>
        <w:t>And</w:t>
      </w:r>
      <w:r>
        <w:rPr>
          <w:spacing w:val="51"/>
          <w:vertAlign w:val="baseline"/>
        </w:rPr>
        <w:t> </w:t>
      </w:r>
      <w:r>
        <w:rPr>
          <w:vertAlign w:val="baseline"/>
        </w:rPr>
        <w:t>at</w:t>
      </w:r>
      <w:r>
        <w:rPr>
          <w:spacing w:val="51"/>
          <w:vertAlign w:val="baseline"/>
        </w:rPr>
        <w:t> </w:t>
      </w:r>
      <w:r>
        <w:rPr>
          <w:vertAlign w:val="baseline"/>
        </w:rPr>
        <w:t>common</w:t>
      </w:r>
      <w:r>
        <w:rPr>
          <w:spacing w:val="51"/>
          <w:vertAlign w:val="baseline"/>
        </w:rPr>
        <w:t> </w:t>
      </w:r>
      <w:r>
        <w:rPr>
          <w:vertAlign w:val="baseline"/>
        </w:rPr>
        <w:t>law</w:t>
      </w:r>
      <w:r>
        <w:rPr>
          <w:spacing w:val="51"/>
          <w:vertAlign w:val="baseline"/>
        </w:rPr>
        <w:t> </w:t>
      </w:r>
      <w:r>
        <w:rPr>
          <w:vertAlign w:val="baseline"/>
        </w:rPr>
        <w:t>the</w:t>
      </w:r>
      <w:r>
        <w:rPr>
          <w:spacing w:val="51"/>
          <w:vertAlign w:val="baseline"/>
        </w:rPr>
        <w:t> </w:t>
      </w:r>
      <w:r>
        <w:rPr>
          <w:vertAlign w:val="baseline"/>
        </w:rPr>
        <w:t>parties</w:t>
      </w:r>
      <w:r>
        <w:rPr>
          <w:spacing w:val="51"/>
          <w:vertAlign w:val="baseline"/>
        </w:rPr>
        <w:t> </w:t>
      </w:r>
      <w:r>
        <w:rPr>
          <w:vertAlign w:val="baseline"/>
        </w:rPr>
        <w:t>to</w:t>
      </w:r>
      <w:r>
        <w:rPr>
          <w:spacing w:val="51"/>
          <w:vertAlign w:val="baseline"/>
        </w:rPr>
        <w:t> </w:t>
      </w:r>
      <w:r>
        <w:rPr>
          <w:vertAlign w:val="baseline"/>
        </w:rPr>
        <w:t>contracts</w:t>
      </w:r>
      <w:r>
        <w:rPr>
          <w:spacing w:val="51"/>
          <w:vertAlign w:val="baseline"/>
        </w:rPr>
        <w:t> </w:t>
      </w:r>
      <w:r>
        <w:rPr>
          <w:spacing w:val="-5"/>
          <w:vertAlign w:val="baseline"/>
        </w:rPr>
        <w:t>of</w:t>
      </w:r>
    </w:p>
    <w:p>
      <w:pPr>
        <w:pStyle w:val="BodyText"/>
        <w:spacing w:after="0"/>
        <w:jc w:val="both"/>
        <w:sectPr>
          <w:pgSz w:w="11900" w:h="16840"/>
          <w:pgMar w:header="971" w:footer="0" w:top="1300" w:bottom="280" w:left="1275" w:right="1275"/>
        </w:sectPr>
      </w:pPr>
    </w:p>
    <w:p>
      <w:pPr>
        <w:pStyle w:val="BodyText"/>
        <w:spacing w:line="235" w:lineRule="auto" w:before="110"/>
        <w:ind w:left="165" w:right="167"/>
        <w:jc w:val="both"/>
      </w:pPr>
      <w:r>
        <w:rPr/>
        <w:t>insurance owe each other duties of “the utmost good faith”, the most important consequence of which </w:t>
      </w:r>
      <w:bookmarkStart w:name="_bookmark677" w:id="679"/>
      <w:bookmarkEnd w:id="679"/>
      <w:r>
        <w:rPr/>
        <w:t>is</w:t>
      </w:r>
      <w:r>
        <w:rPr/>
        <w:t> the imposition of extensive obligations of disclosure, though this law has been partly abrogated and widely amended by statute. </w:t>
      </w:r>
      <w:r>
        <w:rPr>
          <w:color w:val="005DA1"/>
          <w:u w:val="single" w:color="005DA1"/>
          <w:vertAlign w:val="superscript"/>
        </w:rPr>
        <w:t>395</w:t>
      </w:r>
      <w:r>
        <w:rPr>
          <w:color w:val="005DA1"/>
          <w:vertAlign w:val="baseline"/>
        </w:rPr>
        <w:t> </w:t>
      </w:r>
      <w:r>
        <w:rPr>
          <w:vertAlign w:val="baseline"/>
        </w:rPr>
        <w:t>Moreover, a contract may give rise to fiduciary duties in one party </w:t>
      </w:r>
      <w:r>
        <w:rPr>
          <w:vertAlign w:val="baseline"/>
        </w:rPr>
        <w:t>to the other in other circumstances. So, for example, in a contract of joint venture for the development of premises under which A provided finance and B managed the development and the disposal of its funds</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were</w:t>
      </w:r>
      <w:r>
        <w:rPr>
          <w:spacing w:val="-1"/>
          <w:vertAlign w:val="baseline"/>
        </w:rPr>
        <w:t> </w:t>
      </w:r>
      <w:r>
        <w:rPr>
          <w:vertAlign w:val="baseline"/>
        </w:rPr>
        <w:t>to</w:t>
      </w:r>
      <w:r>
        <w:rPr>
          <w:spacing w:val="-1"/>
          <w:vertAlign w:val="baseline"/>
        </w:rPr>
        <w:t> </w:t>
      </w:r>
      <w:r>
        <w:rPr>
          <w:vertAlign w:val="baseline"/>
        </w:rPr>
        <w:t>share</w:t>
      </w:r>
      <w:r>
        <w:rPr>
          <w:spacing w:val="-1"/>
          <w:vertAlign w:val="baseline"/>
        </w:rPr>
        <w:t> </w:t>
      </w:r>
      <w:r>
        <w:rPr>
          <w:vertAlign w:val="baseline"/>
        </w:rPr>
        <w:t>the</w:t>
      </w:r>
      <w:r>
        <w:rPr>
          <w:spacing w:val="-1"/>
          <w:vertAlign w:val="baseline"/>
        </w:rPr>
        <w:t> </w:t>
      </w:r>
      <w:r>
        <w:rPr>
          <w:vertAlign w:val="baseline"/>
        </w:rPr>
        <w:t>profits,</w:t>
      </w:r>
      <w:r>
        <w:rPr>
          <w:spacing w:val="-1"/>
          <w:vertAlign w:val="baseline"/>
        </w:rPr>
        <w:t> </w:t>
      </w:r>
      <w:r>
        <w:rPr>
          <w:vertAlign w:val="baseline"/>
        </w:rPr>
        <w:t>B</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to</w:t>
      </w:r>
      <w:r>
        <w:rPr>
          <w:spacing w:val="-1"/>
          <w:vertAlign w:val="baseline"/>
        </w:rPr>
        <w:t> </w:t>
      </w:r>
      <w:r>
        <w:rPr>
          <w:vertAlign w:val="baseline"/>
        </w:rPr>
        <w:t>owe</w:t>
      </w:r>
      <w:r>
        <w:rPr>
          <w:spacing w:val="-1"/>
          <w:vertAlign w:val="baseline"/>
        </w:rPr>
        <w:t> </w:t>
      </w:r>
      <w:r>
        <w:rPr>
          <w:vertAlign w:val="baseline"/>
        </w:rPr>
        <w:t>a</w:t>
      </w:r>
      <w:r>
        <w:rPr>
          <w:spacing w:val="-1"/>
          <w:vertAlign w:val="baseline"/>
        </w:rPr>
        <w:t> </w:t>
      </w:r>
      <w:r>
        <w:rPr>
          <w:vertAlign w:val="baseline"/>
        </w:rPr>
        <w:t>fiduciary</w:t>
      </w:r>
      <w:r>
        <w:rPr>
          <w:spacing w:val="-1"/>
          <w:vertAlign w:val="baseline"/>
        </w:rPr>
        <w:t> </w:t>
      </w:r>
      <w:r>
        <w:rPr>
          <w:vertAlign w:val="baseline"/>
        </w:rPr>
        <w:t>duty</w:t>
      </w:r>
      <w:r>
        <w:rPr>
          <w:spacing w:val="-1"/>
          <w:vertAlign w:val="baseline"/>
        </w:rPr>
        <w:t> </w:t>
      </w:r>
      <w:r>
        <w:rPr>
          <w:vertAlign w:val="baseline"/>
        </w:rPr>
        <w:t>of</w:t>
      </w:r>
      <w:r>
        <w:rPr>
          <w:spacing w:val="-1"/>
          <w:vertAlign w:val="baseline"/>
        </w:rPr>
        <w:t> </w:t>
      </w:r>
      <w:r>
        <w:rPr>
          <w:vertAlign w:val="baseline"/>
        </w:rPr>
        <w:t>good</w:t>
      </w:r>
      <w:r>
        <w:rPr>
          <w:spacing w:val="-1"/>
          <w:vertAlign w:val="baseline"/>
        </w:rPr>
        <w:t> </w:t>
      </w:r>
      <w:r>
        <w:rPr>
          <w:vertAlign w:val="baseline"/>
        </w:rPr>
        <w:t>faith</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in </w:t>
      </w:r>
      <w:bookmarkStart w:name="_bookmark678" w:id="680"/>
      <w:bookmarkEnd w:id="680"/>
      <w:r>
        <w:rPr>
          <w:vertAlign w:val="baseline"/>
        </w:rPr>
        <w:t>respect</w:t>
      </w:r>
      <w:r>
        <w:rPr>
          <w:vertAlign w:val="baseline"/>
        </w:rPr>
        <w:t> of the venture assets, with the result that B was prohibited from using or paying to itself any part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proceeds</w:t>
      </w:r>
      <w:r>
        <w:rPr>
          <w:spacing w:val="-3"/>
          <w:vertAlign w:val="baseline"/>
        </w:rPr>
        <w:t> </w:t>
      </w:r>
      <w:r>
        <w:rPr>
          <w:vertAlign w:val="baseline"/>
        </w:rPr>
        <w:t>except</w:t>
      </w:r>
      <w:r>
        <w:rPr>
          <w:spacing w:val="-3"/>
          <w:vertAlign w:val="baseline"/>
        </w:rPr>
        <w:t> </w:t>
      </w:r>
      <w:r>
        <w:rPr>
          <w:vertAlign w:val="baseline"/>
        </w:rPr>
        <w:t>as</w:t>
      </w:r>
      <w:r>
        <w:rPr>
          <w:spacing w:val="-3"/>
          <w:vertAlign w:val="baseline"/>
        </w:rPr>
        <w:t> </w:t>
      </w:r>
      <w:r>
        <w:rPr>
          <w:vertAlign w:val="baseline"/>
        </w:rPr>
        <w:t>regards</w:t>
      </w:r>
      <w:r>
        <w:rPr>
          <w:spacing w:val="-3"/>
          <w:vertAlign w:val="baseline"/>
        </w:rPr>
        <w:t> </w:t>
      </w:r>
      <w:r>
        <w:rPr>
          <w:vertAlign w:val="baseline"/>
        </w:rPr>
        <w:t>the</w:t>
      </w:r>
      <w:r>
        <w:rPr>
          <w:spacing w:val="-3"/>
          <w:vertAlign w:val="baseline"/>
        </w:rPr>
        <w:t> </w:t>
      </w:r>
      <w:r>
        <w:rPr>
          <w:vertAlign w:val="baseline"/>
        </w:rPr>
        <w:t>venture</w:t>
      </w:r>
      <w:r>
        <w:rPr>
          <w:spacing w:val="-3"/>
          <w:vertAlign w:val="baseline"/>
        </w:rPr>
        <w:t> </w:t>
      </w:r>
      <w:r>
        <w:rPr>
          <w:vertAlign w:val="baseline"/>
        </w:rPr>
        <w:t>expenses</w:t>
      </w:r>
      <w:r>
        <w:rPr>
          <w:spacing w:val="-3"/>
          <w:vertAlign w:val="baseline"/>
        </w:rPr>
        <w:t> </w:t>
      </w:r>
      <w:r>
        <w:rPr>
          <w:vertAlign w:val="baseline"/>
        </w:rPr>
        <w:t>or</w:t>
      </w:r>
      <w:r>
        <w:rPr>
          <w:spacing w:val="-3"/>
          <w:vertAlign w:val="baseline"/>
        </w:rPr>
        <w:t> </w:t>
      </w:r>
      <w:r>
        <w:rPr>
          <w:vertAlign w:val="baseline"/>
        </w:rPr>
        <w:t>in</w:t>
      </w:r>
      <w:r>
        <w:rPr>
          <w:spacing w:val="-3"/>
          <w:vertAlign w:val="baseline"/>
        </w:rPr>
        <w:t> </w:t>
      </w:r>
      <w:r>
        <w:rPr>
          <w:vertAlign w:val="baseline"/>
        </w:rPr>
        <w:t>accordance</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agreement.</w:t>
      </w:r>
      <w:r>
        <w:rPr>
          <w:spacing w:val="-3"/>
          <w:vertAlign w:val="baseline"/>
        </w:rPr>
        <w:t> </w:t>
      </w:r>
      <w:r>
        <w:rPr>
          <w:color w:val="005DA1"/>
          <w:u w:val="single" w:color="005DA1"/>
          <w:vertAlign w:val="superscript"/>
        </w:rPr>
        <w:t>396</w:t>
      </w:r>
      <w:r>
        <w:rPr>
          <w:color w:val="005DA1"/>
          <w:vertAlign w:val="baseline"/>
        </w:rPr>
        <w:t> </w:t>
      </w:r>
      <w:r>
        <w:rPr>
          <w:vertAlign w:val="baseline"/>
        </w:rPr>
        <w:t>On the other hand, while a contractual and a fiduciary relationship may co-exist between the same parties in this way, it has been said that:</w:t>
      </w:r>
    </w:p>
    <w:p>
      <w:pPr>
        <w:pStyle w:val="BodyText"/>
      </w:pPr>
    </w:p>
    <w:p>
      <w:pPr>
        <w:pStyle w:val="BodyText"/>
        <w:spacing w:before="123"/>
      </w:pPr>
    </w:p>
    <w:p>
      <w:pPr>
        <w:pStyle w:val="BodyText"/>
        <w:spacing w:line="235" w:lineRule="auto"/>
        <w:ind w:left="1545" w:right="167"/>
        <w:jc w:val="both"/>
      </w:pPr>
      <w:r>
        <w:rPr/>
        <w:t>“the courts must be careful not to distort the parties’ contractual bargain by the inappropriate introduction of equitable principles. In a commercial context wider </w:t>
      </w:r>
      <w:r>
        <w:rPr/>
        <w:t>duties will not lightly be implied. Fiduciary duties do not commonly arise outside the settled categories of fiduciary relationships, not least because independently contracting </w:t>
      </w:r>
      <w:bookmarkStart w:name="_bookmark679" w:id="681"/>
      <w:bookmarkEnd w:id="681"/>
      <w:r>
        <w:rPr/>
        <w:t>parties</w:t>
      </w:r>
      <w:r>
        <w:rPr/>
        <w:t> do not undertake normally to subordinate their own commercial interests to another.” </w:t>
      </w:r>
      <w:r>
        <w:rPr>
          <w:color w:val="005DA1"/>
          <w:u w:val="single" w:color="005DA1"/>
          <w:vertAlign w:val="superscript"/>
        </w:rPr>
        <w:t>397</w:t>
      </w:r>
    </w:p>
    <w:p>
      <w:pPr>
        <w:pStyle w:val="BodyText"/>
        <w:spacing w:before="115"/>
      </w:pPr>
    </w:p>
    <w:p>
      <w:pPr>
        <w:pStyle w:val="BodyText"/>
        <w:spacing w:line="235" w:lineRule="auto"/>
        <w:ind w:left="165" w:right="167"/>
        <w:jc w:val="both"/>
      </w:pPr>
      <w:r>
        <w:rPr/>
        <w:t>For this purpose, while a fiduciary must act in good faith, the existence of an express contract </w:t>
      </w:r>
      <w:r>
        <w:rPr/>
        <w:t>term </w:t>
      </w:r>
      <w:bookmarkStart w:name="_bookmark680" w:id="682"/>
      <w:bookmarkEnd w:id="682"/>
      <w:r>
        <w:rPr/>
        <w:t>requiring</w:t>
      </w:r>
      <w:r>
        <w:rPr/>
        <w:t> good faith in one or more parties does not necessarily mean that a fiduciary relationship </w:t>
      </w:r>
      <w:bookmarkStart w:name="_bookmark681" w:id="683"/>
      <w:bookmarkEnd w:id="683"/>
      <w:r>
        <w:rPr/>
        <w:t>exists.</w:t>
      </w:r>
      <w:r>
        <w:rPr/>
        <w:t> </w:t>
      </w:r>
      <w:r>
        <w:rPr>
          <w:color w:val="005DA1"/>
          <w:u w:val="single" w:color="005DA1"/>
          <w:vertAlign w:val="superscript"/>
        </w:rPr>
        <w:t>398</w:t>
      </w:r>
      <w:r>
        <w:rPr>
          <w:color w:val="005DA1"/>
          <w:vertAlign w:val="baseline"/>
        </w:rPr>
        <w:t> </w:t>
      </w:r>
      <w:r>
        <w:rPr>
          <w:vertAlign w:val="baseline"/>
        </w:rPr>
        <w:t>Moreover, any fiduciary duties which do exist in a party or parties to a contract must “be moulded to fit the contractual framework”. </w:t>
      </w:r>
      <w:r>
        <w:rPr>
          <w:color w:val="005DA1"/>
          <w:u w:val="single" w:color="005DA1"/>
          <w:vertAlign w:val="superscript"/>
        </w:rPr>
        <w:t>399</w:t>
      </w:r>
    </w:p>
    <w:p>
      <w:pPr>
        <w:pStyle w:val="BodyText"/>
      </w:pPr>
    </w:p>
    <w:p>
      <w:pPr>
        <w:pStyle w:val="BodyText"/>
        <w:spacing w:before="37"/>
      </w:pPr>
    </w:p>
    <w:p>
      <w:pPr>
        <w:pStyle w:val="ListParagraph"/>
        <w:numPr>
          <w:ilvl w:val="0"/>
          <w:numId w:val="5"/>
        </w:numPr>
        <w:tabs>
          <w:tab w:pos="434" w:val="left" w:leader="none"/>
        </w:tabs>
        <w:spacing w:line="240" w:lineRule="auto" w:before="0" w:after="0"/>
        <w:ind w:left="434" w:right="0" w:hanging="269"/>
        <w:jc w:val="left"/>
        <w:rPr>
          <w:b/>
          <w:sz w:val="18"/>
        </w:rPr>
      </w:pPr>
      <w:r>
        <w:rPr>
          <w:b/>
          <w:sz w:val="18"/>
        </w:rPr>
        <w:t>Express terms as to good faith or </w:t>
      </w:r>
      <w:r>
        <w:rPr>
          <w:b/>
          <w:spacing w:val="-2"/>
          <w:sz w:val="18"/>
        </w:rPr>
        <w:t>fairness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046</w:t>
      </w:r>
    </w:p>
    <w:p>
      <w:pPr>
        <w:pStyle w:val="BodyText"/>
        <w:spacing w:line="235" w:lineRule="auto" w:before="203"/>
        <w:ind w:left="165" w:right="167"/>
        <w:jc w:val="both"/>
      </w:pPr>
      <w:r>
        <w:rPr/>
        <w:t>Sometimes, the express terms of a contract require one or both of the parties to act fairly or in </w:t>
      </w:r>
      <w:r>
        <w:rPr/>
        <w:t>good faith towards the other in a particular context or respect or more generally.</w:t>
      </w:r>
    </w:p>
    <w:p>
      <w:pPr>
        <w:pStyle w:val="BodyText"/>
      </w:pPr>
    </w:p>
    <w:p>
      <w:pPr>
        <w:pStyle w:val="BodyText"/>
        <w:spacing w:before="38"/>
      </w:pPr>
    </w:p>
    <w:p>
      <w:pPr>
        <w:spacing w:before="0"/>
        <w:ind w:left="165" w:right="0" w:firstLine="0"/>
        <w:jc w:val="left"/>
        <w:rPr>
          <w:rFonts w:ascii="Arial"/>
          <w:b/>
          <w:sz w:val="18"/>
        </w:rPr>
      </w:pPr>
      <w:r>
        <w:rPr>
          <w:rFonts w:ascii="Arial"/>
          <w:b/>
          <w:sz w:val="18"/>
        </w:rPr>
        <w:t>Express term to negotiate in good </w:t>
      </w:r>
      <w:r>
        <w:rPr>
          <w:rFonts w:ascii="Arial"/>
          <w:b/>
          <w:spacing w:val="-2"/>
          <w:sz w:val="18"/>
        </w:rPr>
        <w:t>faith</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047</w:t>
      </w:r>
    </w:p>
    <w:p>
      <w:pPr>
        <w:pStyle w:val="BodyText"/>
        <w:spacing w:line="235" w:lineRule="auto" w:before="203"/>
        <w:ind w:left="164" w:right="167"/>
        <w:jc w:val="both"/>
      </w:pPr>
      <w:bookmarkStart w:name="_bookmark682" w:id="684"/>
      <w:bookmarkEnd w:id="684"/>
      <w:r>
        <w:rPr/>
      </w:r>
      <w:r>
        <w:rPr/>
        <w:t>In the case of good faith, the validity of such a term remains doubtful owing to the view expressed by Lord Ackner in </w:t>
      </w:r>
      <w:r>
        <w:rPr>
          <w:rFonts w:ascii="Arial" w:hAnsi="Arial"/>
          <w:i/>
        </w:rPr>
        <w:t>Walford v Miles </w:t>
      </w:r>
      <w:r>
        <w:rPr/>
        <w:t>that a duty to negotiate in good faith is “unworkable in practice”. </w:t>
      </w:r>
      <w:r>
        <w:rPr>
          <w:color w:val="005DA1"/>
          <w:u w:val="single" w:color="005DA1"/>
          <w:vertAlign w:val="superscript"/>
        </w:rPr>
        <w:t>400</w:t>
      </w:r>
      <w:r>
        <w:rPr>
          <w:color w:val="005DA1"/>
          <w:vertAlign w:val="baseline"/>
        </w:rPr>
        <w:t> </w:t>
      </w:r>
      <w:bookmarkStart w:name="_bookmark683" w:id="685"/>
      <w:bookmarkEnd w:id="685"/>
      <w:r>
        <w:rPr>
          <w:color w:val="005DA1"/>
          <w:w w:val="92"/>
          <w:vertAlign w:val="baseline"/>
        </w:rPr>
      </w:r>
      <w:r>
        <w:rPr>
          <w:vertAlign w:val="baseline"/>
        </w:rPr>
        <w:t>This view has been followed by some later courts, which have seen an express agreement </w:t>
      </w:r>
      <w:r>
        <w:rPr>
          <w:vertAlign w:val="baseline"/>
        </w:rPr>
        <w:t>to </w:t>
      </w:r>
      <w:bookmarkStart w:name="_bookmark684" w:id="686"/>
      <w:bookmarkEnd w:id="686"/>
      <w:r>
        <w:rPr>
          <w:vertAlign w:val="baseline"/>
        </w:rPr>
        <w:t>negotiate</w:t>
      </w:r>
      <w:r>
        <w:rPr>
          <w:vertAlign w:val="baseline"/>
        </w:rPr>
        <w:t> in good faith as an (unenforceable) agreement to agree. </w:t>
      </w:r>
      <w:r>
        <w:rPr>
          <w:color w:val="005DA1"/>
          <w:u w:val="single" w:color="005DA1"/>
          <w:vertAlign w:val="superscript"/>
        </w:rPr>
        <w:t>401</w:t>
      </w:r>
      <w:r>
        <w:rPr>
          <w:color w:val="005DA1"/>
          <w:vertAlign w:val="baseline"/>
        </w:rPr>
        <w:t> </w:t>
      </w:r>
      <w:r>
        <w:rPr>
          <w:vertAlign w:val="baseline"/>
        </w:rPr>
        <w:t>However, a rather more liberal approach was taken to this question in </w:t>
      </w:r>
      <w:r>
        <w:rPr>
          <w:rFonts w:ascii="Arial" w:hAnsi="Arial"/>
          <w:i/>
          <w:vertAlign w:val="baseline"/>
        </w:rPr>
        <w:t>Petromec Inc v Petroleo Brasileiro SA Petrobras (No.3)</w:t>
      </w:r>
      <w:r>
        <w:rPr>
          <w:vertAlign w:val="baseline"/>
        </w:rPr>
        <w:t>. </w:t>
      </w:r>
      <w:r>
        <w:rPr>
          <w:color w:val="005DA1"/>
          <w:u w:val="single" w:color="005DA1"/>
          <w:vertAlign w:val="superscript"/>
        </w:rPr>
        <w:t>402</w:t>
      </w:r>
      <w:r>
        <w:rPr>
          <w:color w:val="005DA1"/>
          <w:vertAlign w:val="baseline"/>
        </w:rPr>
        <w:t> </w:t>
      </w:r>
      <w:r>
        <w:rPr>
          <w:vertAlign w:val="baseline"/>
        </w:rPr>
        <w:t>In </w:t>
      </w:r>
      <w:bookmarkStart w:name="_bookmark685" w:id="687"/>
      <w:bookmarkEnd w:id="687"/>
      <w:r>
        <w:rPr>
          <w:vertAlign w:val="baseline"/>
        </w:rPr>
        <w:t>that</w:t>
      </w:r>
      <w:r>
        <w:rPr>
          <w:vertAlign w:val="baseline"/>
        </w:rPr>
        <w:t> case the Court of Appeal considered that Lord Ackner’s observations were not appropriate (nor binding on it </w:t>
      </w:r>
      <w:r>
        <w:rPr>
          <w:color w:val="005DA1"/>
          <w:u w:val="single" w:color="005DA1"/>
          <w:vertAlign w:val="superscript"/>
        </w:rPr>
        <w:t>403</w:t>
      </w:r>
      <w:r>
        <w:rPr>
          <w:vertAlign w:val="baseline"/>
        </w:rPr>
        <w:t>) to determine the validity of an express obligation to negotiate in good faith contained in a complex concluded contract which had been drafted by City of London solicitors. The term in question formed part of a contract supplementing a complex series of contractual arrangements relating to the purchase, “upgrading” and hire of an oil production platform, and provided for the negotiation</w:t>
      </w:r>
      <w:r>
        <w:rPr>
          <w:spacing w:val="-1"/>
          <w:vertAlign w:val="baseline"/>
        </w:rPr>
        <w:t> </w:t>
      </w:r>
      <w:r>
        <w:rPr>
          <w:vertAlign w:val="baseline"/>
        </w:rPr>
        <w:t>in</w:t>
      </w:r>
      <w:r>
        <w:rPr>
          <w:spacing w:val="-1"/>
          <w:vertAlign w:val="baseline"/>
        </w:rPr>
        <w:t> </w:t>
      </w:r>
      <w:r>
        <w:rPr>
          <w:vertAlign w:val="baseline"/>
        </w:rPr>
        <w:t>good</w:t>
      </w:r>
      <w:r>
        <w:rPr>
          <w:spacing w:val="-1"/>
          <w:vertAlign w:val="baseline"/>
        </w:rPr>
        <w:t> </w:t>
      </w:r>
      <w:r>
        <w:rPr>
          <w:vertAlign w:val="baseline"/>
        </w:rPr>
        <w:t>faith</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cost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upgrading</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platform</w:t>
      </w:r>
      <w:r>
        <w:rPr>
          <w:spacing w:val="-1"/>
          <w:vertAlign w:val="baseline"/>
        </w:rPr>
        <w:t> </w:t>
      </w:r>
      <w:r>
        <w:rPr>
          <w:vertAlign w:val="baseline"/>
        </w:rPr>
        <w:t>for</w:t>
      </w:r>
      <w:r>
        <w:rPr>
          <w:spacing w:val="-1"/>
          <w:vertAlign w:val="baseline"/>
        </w:rPr>
        <w:t> </w:t>
      </w:r>
      <w:r>
        <w:rPr>
          <w:vertAlign w:val="baseline"/>
        </w:rPr>
        <w:t>use</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particular</w:t>
      </w:r>
      <w:r>
        <w:rPr>
          <w:spacing w:val="-1"/>
          <w:vertAlign w:val="baseline"/>
        </w:rPr>
        <w:t> </w:t>
      </w:r>
      <w:r>
        <w:rPr>
          <w:vertAlign w:val="baseline"/>
        </w:rPr>
        <w:t>oil</w:t>
      </w:r>
      <w:r>
        <w:rPr>
          <w:spacing w:val="-1"/>
          <w:vertAlign w:val="baseline"/>
        </w:rPr>
        <w:t> </w:t>
      </w:r>
      <w:r>
        <w:rPr>
          <w:vertAlign w:val="baseline"/>
        </w:rPr>
        <w:t>field.</w:t>
      </w:r>
      <w:r>
        <w:rPr>
          <w:spacing w:val="-1"/>
          <w:vertAlign w:val="baseline"/>
        </w:rPr>
        <w:t> </w:t>
      </w:r>
      <w:r>
        <w:rPr>
          <w:vertAlign w:val="baseline"/>
        </w:rPr>
        <w:t>On </w:t>
      </w:r>
      <w:bookmarkStart w:name="_bookmark686" w:id="688"/>
      <w:bookmarkEnd w:id="688"/>
      <w:r>
        <w:rPr>
          <w:vertAlign w:val="baseline"/>
        </w:rPr>
        <w:t>the</w:t>
      </w:r>
      <w:r>
        <w:rPr>
          <w:vertAlign w:val="baseline"/>
        </w:rPr>
        <w:t> loss by fire of the platform, the question arose, inter alia, of the applicability and enforceability of the term as to negotiation in good faith. Having held it inapplicable as a matter of construction, </w:t>
      </w:r>
      <w:r>
        <w:rPr>
          <w:color w:val="005DA1"/>
          <w:u w:val="single" w:color="005DA1"/>
          <w:vertAlign w:val="superscript"/>
        </w:rPr>
        <w:t>404</w:t>
      </w:r>
      <w:r>
        <w:rPr>
          <w:color w:val="005DA1"/>
          <w:vertAlign w:val="baseline"/>
        </w:rPr>
        <w:t> </w:t>
      </w:r>
      <w:r>
        <w:rPr>
          <w:vertAlign w:val="baseline"/>
        </w:rPr>
        <w:t>Longmore L.J. nevertheless considered whether the term would have been enforceable. In this respect, he noted that there were three traditional objections to enforcing an obligation to negotiate in good faith:</w:t>
      </w:r>
    </w:p>
    <w:p>
      <w:pPr>
        <w:pStyle w:val="BodyText"/>
      </w:pPr>
    </w:p>
    <w:p>
      <w:pPr>
        <w:pStyle w:val="BodyText"/>
        <w:spacing w:before="116"/>
      </w:pPr>
    </w:p>
    <w:p>
      <w:pPr>
        <w:pStyle w:val="BodyText"/>
        <w:spacing w:line="227" w:lineRule="exact" w:before="1"/>
        <w:ind w:left="1545"/>
        <w:jc w:val="both"/>
      </w:pPr>
      <w:r>
        <w:rPr/>
        <w:t>“(1)</w:t>
      </w:r>
      <w:r>
        <w:rPr>
          <w:spacing w:val="7"/>
        </w:rPr>
        <w:t> </w:t>
      </w:r>
      <w:r>
        <w:rPr/>
        <w:t>…</w:t>
      </w:r>
      <w:r>
        <w:rPr>
          <w:spacing w:val="7"/>
        </w:rPr>
        <w:t> </w:t>
      </w:r>
      <w:r>
        <w:rPr/>
        <w:t>that</w:t>
      </w:r>
      <w:r>
        <w:rPr>
          <w:spacing w:val="7"/>
        </w:rPr>
        <w:t> </w:t>
      </w:r>
      <w:r>
        <w:rPr/>
        <w:t>the</w:t>
      </w:r>
      <w:r>
        <w:rPr>
          <w:spacing w:val="7"/>
        </w:rPr>
        <w:t> </w:t>
      </w:r>
      <w:r>
        <w:rPr/>
        <w:t>obligation</w:t>
      </w:r>
      <w:r>
        <w:rPr>
          <w:spacing w:val="7"/>
        </w:rPr>
        <w:t> </w:t>
      </w:r>
      <w:r>
        <w:rPr/>
        <w:t>is</w:t>
      </w:r>
      <w:r>
        <w:rPr>
          <w:spacing w:val="7"/>
        </w:rPr>
        <w:t> </w:t>
      </w:r>
      <w:r>
        <w:rPr/>
        <w:t>an</w:t>
      </w:r>
      <w:r>
        <w:rPr>
          <w:spacing w:val="7"/>
        </w:rPr>
        <w:t> </w:t>
      </w:r>
      <w:r>
        <w:rPr/>
        <w:t>agreement</w:t>
      </w:r>
      <w:r>
        <w:rPr>
          <w:spacing w:val="7"/>
        </w:rPr>
        <w:t> </w:t>
      </w:r>
      <w:r>
        <w:rPr/>
        <w:t>to</w:t>
      </w:r>
      <w:r>
        <w:rPr>
          <w:spacing w:val="7"/>
        </w:rPr>
        <w:t> </w:t>
      </w:r>
      <w:r>
        <w:rPr/>
        <w:t>agree</w:t>
      </w:r>
      <w:r>
        <w:rPr>
          <w:spacing w:val="7"/>
        </w:rPr>
        <w:t> </w:t>
      </w:r>
      <w:r>
        <w:rPr/>
        <w:t>and</w:t>
      </w:r>
      <w:r>
        <w:rPr>
          <w:spacing w:val="7"/>
        </w:rPr>
        <w:t> </w:t>
      </w:r>
      <w:r>
        <w:rPr/>
        <w:t>thus</w:t>
      </w:r>
      <w:r>
        <w:rPr>
          <w:spacing w:val="7"/>
        </w:rPr>
        <w:t> </w:t>
      </w:r>
      <w:r>
        <w:rPr/>
        <w:t>too</w:t>
      </w:r>
      <w:r>
        <w:rPr>
          <w:spacing w:val="7"/>
        </w:rPr>
        <w:t> </w:t>
      </w:r>
      <w:r>
        <w:rPr/>
        <w:t>uncertain</w:t>
      </w:r>
      <w:r>
        <w:rPr>
          <w:spacing w:val="7"/>
        </w:rPr>
        <w:t> </w:t>
      </w:r>
      <w:r>
        <w:rPr/>
        <w:t>to</w:t>
      </w:r>
      <w:r>
        <w:rPr>
          <w:spacing w:val="7"/>
        </w:rPr>
        <w:t> </w:t>
      </w:r>
      <w:r>
        <w:rPr>
          <w:spacing w:val="-2"/>
        </w:rPr>
        <w:t>enforce,</w:t>
      </w:r>
    </w:p>
    <w:p>
      <w:pPr>
        <w:pStyle w:val="BodyText"/>
        <w:spacing w:line="235" w:lineRule="auto" w:before="1"/>
        <w:ind w:left="1545" w:right="167"/>
        <w:jc w:val="both"/>
      </w:pPr>
      <w:r>
        <w:rPr/>
        <w:t>(2) that it is difficult, if not impossible, to say where, if negotiations are brought to an end, the termination is brought about in good or in bad faith, and (3) that, since it </w:t>
      </w:r>
      <w:r>
        <w:rPr/>
        <w:t>can never</w:t>
      </w:r>
      <w:r>
        <w:rPr>
          <w:spacing w:val="10"/>
        </w:rPr>
        <w:t> </w:t>
      </w:r>
      <w:r>
        <w:rPr/>
        <w:t>be</w:t>
      </w:r>
      <w:r>
        <w:rPr>
          <w:spacing w:val="12"/>
        </w:rPr>
        <w:t> </w:t>
      </w:r>
      <w:r>
        <w:rPr/>
        <w:t>known</w:t>
      </w:r>
      <w:r>
        <w:rPr>
          <w:spacing w:val="12"/>
        </w:rPr>
        <w:t> </w:t>
      </w:r>
      <w:r>
        <w:rPr/>
        <w:t>whether</w:t>
      </w:r>
      <w:r>
        <w:rPr>
          <w:spacing w:val="12"/>
        </w:rPr>
        <w:t> </w:t>
      </w:r>
      <w:r>
        <w:rPr/>
        <w:t>good</w:t>
      </w:r>
      <w:r>
        <w:rPr>
          <w:spacing w:val="12"/>
        </w:rPr>
        <w:t> </w:t>
      </w:r>
      <w:r>
        <w:rPr/>
        <w:t>faith</w:t>
      </w:r>
      <w:r>
        <w:rPr>
          <w:spacing w:val="12"/>
        </w:rPr>
        <w:t> </w:t>
      </w:r>
      <w:r>
        <w:rPr/>
        <w:t>negotiations</w:t>
      </w:r>
      <w:r>
        <w:rPr>
          <w:spacing w:val="12"/>
        </w:rPr>
        <w:t> </w:t>
      </w:r>
      <w:r>
        <w:rPr/>
        <w:t>would</w:t>
      </w:r>
      <w:r>
        <w:rPr>
          <w:spacing w:val="12"/>
        </w:rPr>
        <w:t> </w:t>
      </w:r>
      <w:r>
        <w:rPr/>
        <w:t>have</w:t>
      </w:r>
      <w:r>
        <w:rPr>
          <w:spacing w:val="12"/>
        </w:rPr>
        <w:t> </w:t>
      </w:r>
      <w:r>
        <w:rPr/>
        <w:t>produced</w:t>
      </w:r>
      <w:r>
        <w:rPr>
          <w:spacing w:val="12"/>
        </w:rPr>
        <w:t> </w:t>
      </w:r>
      <w:r>
        <w:rPr/>
        <w:t>an</w:t>
      </w:r>
      <w:r>
        <w:rPr>
          <w:spacing w:val="12"/>
        </w:rPr>
        <w:t> </w:t>
      </w:r>
      <w:r>
        <w:rPr>
          <w:spacing w:val="-2"/>
        </w:rPr>
        <w:t>agreement</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545" w:right="167"/>
        <w:jc w:val="both"/>
      </w:pPr>
      <w:bookmarkStart w:name="_bookmark687" w:id="689"/>
      <w:bookmarkEnd w:id="689"/>
      <w:r>
        <w:rPr/>
      </w:r>
      <w:r>
        <w:rPr/>
        <w:t>at all or what the terms of any agreement would have been if it would have </w:t>
      </w:r>
      <w:r>
        <w:rPr/>
        <w:t>been reached, it is impossible to assess any loss caused by breach of the obligation.” </w:t>
      </w:r>
      <w:r>
        <w:rPr>
          <w:color w:val="005DA1"/>
          <w:u w:val="single" w:color="005DA1"/>
          <w:vertAlign w:val="superscript"/>
        </w:rPr>
        <w:t>405</w:t>
      </w:r>
    </w:p>
    <w:p>
      <w:pPr>
        <w:pStyle w:val="BodyText"/>
        <w:spacing w:before="116"/>
      </w:pPr>
    </w:p>
    <w:p>
      <w:pPr>
        <w:pStyle w:val="BodyText"/>
        <w:spacing w:line="235" w:lineRule="auto"/>
        <w:ind w:left="165" w:right="167"/>
        <w:jc w:val="both"/>
      </w:pPr>
      <w:r>
        <w:rPr/>
        <w:t>In the view of the learned Lord Justice, the first of these objections carried little weight in the </w:t>
      </w:r>
      <w:r>
        <w:rPr/>
        <w:t>context as the express obligation to negotiate in good faith was contained in a contract which it was accepted was generally enforceable; and the third objection could be overcome as the obligation to negotiate in question</w:t>
      </w:r>
      <w:r>
        <w:rPr>
          <w:spacing w:val="-1"/>
        </w:rPr>
        <w:t> </w:t>
      </w:r>
      <w:r>
        <w:rPr/>
        <w:t>related</w:t>
      </w:r>
      <w:r>
        <w:rPr>
          <w:spacing w:val="-1"/>
        </w:rPr>
        <w:t> </w:t>
      </w:r>
      <w:r>
        <w:rPr/>
        <w:t>to</w:t>
      </w:r>
      <w:r>
        <w:rPr>
          <w:spacing w:val="-1"/>
        </w:rPr>
        <w:t> </w:t>
      </w:r>
      <w:r>
        <w:rPr/>
        <w:t>a</w:t>
      </w:r>
      <w:r>
        <w:rPr>
          <w:spacing w:val="-1"/>
        </w:rPr>
        <w:t> </w:t>
      </w:r>
      <w:r>
        <w:rPr/>
        <w:t>limited</w:t>
      </w:r>
      <w:r>
        <w:rPr>
          <w:spacing w:val="-1"/>
        </w:rPr>
        <w:t> </w:t>
      </w:r>
      <w:r>
        <w:rPr/>
        <w:t>aspect</w:t>
      </w:r>
      <w:r>
        <w:rPr>
          <w:spacing w:val="-1"/>
        </w:rPr>
        <w:t> </w:t>
      </w:r>
      <w:r>
        <w:rPr/>
        <w:t>of</w:t>
      </w:r>
      <w:r>
        <w:rPr>
          <w:spacing w:val="-1"/>
        </w:rPr>
        <w:t> </w:t>
      </w:r>
      <w:r>
        <w:rPr/>
        <w:t>the</w:t>
      </w:r>
      <w:r>
        <w:rPr>
          <w:spacing w:val="-1"/>
        </w:rPr>
        <w:t> </w:t>
      </w:r>
      <w:r>
        <w:rPr/>
        <w:t>extra</w:t>
      </w:r>
      <w:r>
        <w:rPr>
          <w:spacing w:val="-1"/>
        </w:rPr>
        <w:t> </w:t>
      </w:r>
      <w:r>
        <w:rPr/>
        <w:t>costs</w:t>
      </w:r>
      <w:r>
        <w:rPr>
          <w:spacing w:val="-1"/>
        </w:rPr>
        <w:t> </w:t>
      </w:r>
      <w:r>
        <w:rPr/>
        <w:t>involved</w:t>
      </w:r>
      <w:r>
        <w:rPr>
          <w:spacing w:val="-1"/>
        </w:rPr>
        <w:t> </w:t>
      </w:r>
      <w:r>
        <w:rPr/>
        <w:t>in</w:t>
      </w:r>
      <w:r>
        <w:rPr>
          <w:spacing w:val="-1"/>
        </w:rPr>
        <w:t> </w:t>
      </w:r>
      <w:r>
        <w:rPr/>
        <w:t>the</w:t>
      </w:r>
      <w:r>
        <w:rPr>
          <w:spacing w:val="-1"/>
        </w:rPr>
        <w:t> </w:t>
      </w:r>
      <w:r>
        <w:rPr/>
        <w:t>upgrade</w:t>
      </w:r>
      <w:r>
        <w:rPr>
          <w:spacing w:val="-1"/>
        </w:rPr>
        <w:t> </w:t>
      </w:r>
      <w:r>
        <w:rPr/>
        <w:t>of</w:t>
      </w:r>
      <w:r>
        <w:rPr>
          <w:spacing w:val="-1"/>
        </w:rPr>
        <w:t> </w:t>
      </w:r>
      <w:r>
        <w:rPr/>
        <w:t>the</w:t>
      </w:r>
      <w:r>
        <w:rPr>
          <w:spacing w:val="-1"/>
        </w:rPr>
        <w:t> </w:t>
      </w:r>
      <w:r>
        <w:rPr/>
        <w:t>platform</w:t>
      </w:r>
      <w:r>
        <w:rPr>
          <w:spacing w:val="-1"/>
        </w:rPr>
        <w:t> </w:t>
      </w:r>
      <w:r>
        <w:rPr/>
        <w:t>and</w:t>
      </w:r>
      <w:r>
        <w:rPr>
          <w:spacing w:val="-1"/>
        </w:rPr>
        <w:t> </w:t>
      </w:r>
      <w:r>
        <w:rPr/>
        <w:t>so,</w:t>
      </w:r>
      <w:r>
        <w:rPr>
          <w:spacing w:val="-1"/>
        </w:rPr>
        <w:t> </w:t>
      </w:r>
      <w:r>
        <w:rPr/>
        <w:t>if </w:t>
      </w:r>
      <w:bookmarkStart w:name="_bookmark688" w:id="690"/>
      <w:bookmarkEnd w:id="690"/>
      <w:r>
        <w:rPr/>
        <w:t>agreement</w:t>
      </w:r>
      <w:r>
        <w:rPr/>
        <w:t> were not reached, the court could itself ascertain the losses arising, these being likely to be the same as the reasonable cost of the upgrade. </w:t>
      </w:r>
      <w:r>
        <w:rPr>
          <w:color w:val="005DA1"/>
          <w:u w:val="single" w:color="005DA1"/>
          <w:vertAlign w:val="superscript"/>
        </w:rPr>
        <w:t>406</w:t>
      </w:r>
      <w:r>
        <w:rPr>
          <w:color w:val="005DA1"/>
          <w:vertAlign w:val="baseline"/>
        </w:rPr>
        <w:t> </w:t>
      </w:r>
      <w:r>
        <w:rPr>
          <w:vertAlign w:val="baseline"/>
        </w:rPr>
        <w:t>Rather:</w:t>
      </w:r>
    </w:p>
    <w:p>
      <w:pPr>
        <w:pStyle w:val="BodyText"/>
      </w:pPr>
    </w:p>
    <w:p>
      <w:pPr>
        <w:pStyle w:val="BodyText"/>
        <w:spacing w:before="124"/>
      </w:pPr>
    </w:p>
    <w:p>
      <w:pPr>
        <w:pStyle w:val="BodyText"/>
        <w:spacing w:line="235" w:lineRule="auto" w:before="1"/>
        <w:ind w:left="1545" w:right="167"/>
        <w:jc w:val="both"/>
      </w:pPr>
      <w:r>
        <w:rPr/>
        <w:t>“It is the second objection that is likely to give rise to the greatest problem viz that </w:t>
      </w:r>
      <w:r>
        <w:rPr/>
        <w:t>the concept of bringing negotiations to an end in bad faith is somewhat elusive. But the difficulty of a problem should not be an excuse for the court to withhold relevant assistance from the parties by declaring a blanket unenforceability of the obligation.”</w:t>
      </w:r>
    </w:p>
    <w:p>
      <w:pPr>
        <w:pStyle w:val="BodyText"/>
        <w:spacing w:before="115"/>
      </w:pPr>
    </w:p>
    <w:p>
      <w:pPr>
        <w:pStyle w:val="BodyText"/>
        <w:spacing w:line="235" w:lineRule="auto"/>
        <w:ind w:left="164" w:right="167"/>
        <w:jc w:val="both"/>
      </w:pPr>
      <w:bookmarkStart w:name="_bookmark689" w:id="691"/>
      <w:bookmarkEnd w:id="691"/>
      <w:r>
        <w:rPr/>
      </w:r>
      <w:r>
        <w:rPr/>
        <w:t>However, he added that in the absence of fraud, it would be unlikely that there would be a finding of bad faith. </w:t>
      </w:r>
      <w:r>
        <w:rPr>
          <w:color w:val="005DA1"/>
          <w:u w:val="single" w:color="005DA1"/>
          <w:vertAlign w:val="superscript"/>
        </w:rPr>
        <w:t>407</w:t>
      </w:r>
      <w:r>
        <w:rPr>
          <w:color w:val="005DA1"/>
          <w:vertAlign w:val="baseline"/>
        </w:rPr>
        <w:t> </w:t>
      </w:r>
      <w:r>
        <w:rPr>
          <w:vertAlign w:val="baseline"/>
        </w:rPr>
        <w:t>Overall, therefore, given the inclusion of a term of “comparatively narrow scope” which had been “deliberately and expressly” entered by the parties to a professionally drafted </w:t>
      </w:r>
      <w:r>
        <w:rPr>
          <w:vertAlign w:val="baseline"/>
        </w:rPr>
        <w:t>commercial </w:t>
      </w:r>
      <w:bookmarkStart w:name="_bookmark690" w:id="692"/>
      <w:bookmarkEnd w:id="692"/>
      <w:r>
        <w:rPr>
          <w:vertAlign w:val="baseline"/>
        </w:rPr>
        <w:t>contract,</w:t>
      </w:r>
      <w:r>
        <w:rPr>
          <w:vertAlign w:val="baseline"/>
        </w:rPr>
        <w:t> Longmore L.J. concluded that it would be “a strong thing to declare [it] unenforceable” as</w:t>
      </w:r>
      <w:r>
        <w:rPr>
          <w:spacing w:val="40"/>
          <w:vertAlign w:val="baseline"/>
        </w:rPr>
        <w:t> </w:t>
      </w:r>
      <w:r>
        <w:rPr>
          <w:vertAlign w:val="baseline"/>
        </w:rPr>
        <w:t>this would “defeat the reasonable expectations of honest men”. </w:t>
      </w:r>
      <w:r>
        <w:rPr>
          <w:color w:val="005DA1"/>
          <w:u w:val="single" w:color="005DA1"/>
          <w:vertAlign w:val="superscript"/>
        </w:rPr>
        <w:t>408</w:t>
      </w:r>
      <w:r>
        <w:rPr>
          <w:color w:val="005DA1"/>
          <w:vertAlign w:val="baseline"/>
        </w:rPr>
        <w:t> </w:t>
      </w:r>
      <w:r>
        <w:rPr>
          <w:vertAlign w:val="baseline"/>
        </w:rPr>
        <w:t>This approach has been followed</w:t>
      </w:r>
      <w:r>
        <w:rPr>
          <w:spacing w:val="40"/>
          <w:vertAlign w:val="baseline"/>
        </w:rPr>
        <w:t> </w:t>
      </w:r>
      <w:bookmarkStart w:name="_bookmark691" w:id="693"/>
      <w:bookmarkEnd w:id="693"/>
      <w:r>
        <w:rPr>
          <w:vertAlign w:val="baseline"/>
        </w:rPr>
        <w:t>at</w:t>
      </w:r>
      <w:r>
        <w:rPr>
          <w:vertAlign w:val="baseline"/>
        </w:rPr>
        <w:t> first instance so as to allow the enforcement of a contract term to seek to resolve any dispute or claim by “friendly discussions” for a period of four weeks before proceeding to arbitration. </w:t>
      </w:r>
      <w:r>
        <w:rPr>
          <w:color w:val="005DA1"/>
          <w:u w:val="single" w:color="005DA1"/>
          <w:vertAlign w:val="superscript"/>
        </w:rPr>
        <w:t>409</w:t>
      </w:r>
    </w:p>
    <w:p>
      <w:pPr>
        <w:pStyle w:val="BodyText"/>
      </w:pPr>
    </w:p>
    <w:p>
      <w:pPr>
        <w:pStyle w:val="BodyText"/>
        <w:spacing w:before="36"/>
      </w:pPr>
    </w:p>
    <w:p>
      <w:pPr>
        <w:spacing w:before="0"/>
        <w:ind w:left="165" w:right="0" w:firstLine="0"/>
        <w:jc w:val="both"/>
        <w:rPr>
          <w:rFonts w:ascii="Arial"/>
          <w:b/>
          <w:sz w:val="18"/>
        </w:rPr>
      </w:pPr>
      <w:r>
        <w:rPr>
          <w:rFonts w:ascii="Arial"/>
          <w:b/>
          <w:sz w:val="18"/>
        </w:rPr>
        <w:t>Express term to act in good </w:t>
      </w:r>
      <w:r>
        <w:rPr>
          <w:rFonts w:ascii="Arial"/>
          <w:b/>
          <w:spacing w:val="-2"/>
          <w:sz w:val="18"/>
        </w:rPr>
        <w:t>faith</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048</w:t>
      </w:r>
    </w:p>
    <w:p>
      <w:pPr>
        <w:pStyle w:val="BodyText"/>
        <w:spacing w:line="340" w:lineRule="atLeast" w:before="209"/>
        <w:ind w:left="165" w:right="167"/>
        <w:jc w:val="both"/>
      </w:pPr>
      <w:r>
        <w:rPr>
          <w:position w:val="-2"/>
        </w:rPr>
        <w:drawing>
          <wp:inline distT="0" distB="0" distL="0" distR="0">
            <wp:extent cx="107988" cy="107988"/>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692" w:id="694"/>
      <w:bookmarkEnd w:id="694"/>
      <w:r>
        <w:rPr>
          <w:rFonts w:ascii="Times New Roman"/>
          <w:spacing w:val="7"/>
        </w:rPr>
      </w:r>
      <w:r>
        <w:rPr/>
        <w:t>In a series of recent cases the courts have considered the proper approach to express terms </w:t>
      </w:r>
      <w:r>
        <w:rPr/>
        <w:t>which </w:t>
      </w:r>
      <w:bookmarkStart w:name="_bookmark693" w:id="695"/>
      <w:bookmarkEnd w:id="695"/>
      <w:r>
        <w:rPr/>
        <w:t>require</w:t>
      </w:r>
      <w:r>
        <w:rPr/>
        <w:t> one or more of the parties to a contract to act in good faith or with the utmost good faith. </w:t>
      </w:r>
      <w:r>
        <w:rPr>
          <w:color w:val="005DA1"/>
          <w:u w:val="single" w:color="005DA1"/>
          <w:vertAlign w:val="superscript"/>
        </w:rPr>
        <w:t>410</w:t>
      </w:r>
    </w:p>
    <w:p>
      <w:pPr>
        <w:pStyle w:val="BodyText"/>
        <w:spacing w:line="235" w:lineRule="auto" w:before="4"/>
        <w:ind w:left="164" w:right="167"/>
        <w:jc w:val="both"/>
      </w:pPr>
      <w:r>
        <w:rPr>
          <w:position w:val="-2"/>
        </w:rPr>
        <w:drawing>
          <wp:inline distT="0" distB="0" distL="0" distR="0">
            <wp:extent cx="107988" cy="107988"/>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In </w:t>
      </w:r>
      <w:r>
        <w:rPr>
          <w:rFonts w:ascii="Arial"/>
          <w:i/>
        </w:rPr>
        <w:t>Berkeley Community Villages Ltd v Pullen </w:t>
      </w:r>
      <w:r>
        <w:rPr>
          <w:color w:val="005DA1"/>
          <w:u w:val="single" w:color="005DA1"/>
          <w:vertAlign w:val="superscript"/>
        </w:rPr>
        <w:t>411</w:t>
      </w:r>
      <w:r>
        <w:rPr>
          <w:color w:val="005DA1"/>
          <w:vertAlign w:val="baseline"/>
        </w:rPr>
        <w:t> </w:t>
      </w:r>
      <w:r>
        <w:rPr>
          <w:vertAlign w:val="baseline"/>
        </w:rPr>
        <w:t>a property developer contracted with owners of land to use its expertise to maximise the potential for development of a substantial part of the land in return for a fee payable in certain circumstances. The contract contained an express term that:</w:t>
      </w:r>
    </w:p>
    <w:p>
      <w:pPr>
        <w:pStyle w:val="BodyText"/>
      </w:pPr>
    </w:p>
    <w:p>
      <w:pPr>
        <w:pStyle w:val="BodyText"/>
        <w:spacing w:before="125"/>
      </w:pPr>
    </w:p>
    <w:p>
      <w:pPr>
        <w:pStyle w:val="BodyText"/>
        <w:spacing w:line="235" w:lineRule="auto"/>
        <w:ind w:left="1544" w:right="167"/>
        <w:jc w:val="both"/>
      </w:pPr>
      <w:r>
        <w:rPr/>
        <w:t>“… [i]n all matters relating to this Agreement the parties will act with the utmost good faith towards one another and will act reasonably and prudently at all times.”</w:t>
      </w:r>
    </w:p>
    <w:p>
      <w:pPr>
        <w:pStyle w:val="BodyText"/>
        <w:spacing w:before="116"/>
      </w:pPr>
    </w:p>
    <w:p>
      <w:pPr>
        <w:pStyle w:val="BodyText"/>
        <w:spacing w:line="235" w:lineRule="auto"/>
        <w:ind w:left="164" w:right="167"/>
        <w:jc w:val="both"/>
      </w:pPr>
      <w:r>
        <w:rPr/>
        <w:t>Although the developer made efforts to promote the owners’ land (including towards obtaining a Planning Consent of considerable value), the owners wished to sell the land in question to a third party for a very large sum. The developer, which argued that the would-be sale price reflected </w:t>
      </w:r>
      <w:r>
        <w:rPr/>
        <w:t>the significant improvement in its planning prospects, applied for an injunction to prevent the owners from selling or otherwise disposing of the land. Morgan J. agreed to grant such an injunction, holding first that, as a matter of construction, the express term imposed on the owners:</w:t>
      </w:r>
    </w:p>
    <w:p>
      <w:pPr>
        <w:pStyle w:val="BodyText"/>
      </w:pPr>
    </w:p>
    <w:p>
      <w:pPr>
        <w:pStyle w:val="BodyText"/>
        <w:spacing w:before="125"/>
      </w:pPr>
    </w:p>
    <w:p>
      <w:pPr>
        <w:pStyle w:val="BodyText"/>
        <w:spacing w:line="235" w:lineRule="auto"/>
        <w:ind w:left="1544" w:right="167"/>
        <w:jc w:val="both"/>
      </w:pPr>
      <w:r>
        <w:rPr/>
        <w:t>“… a contractual obligation to observe reasonable commercial standards of fair dealing in accordance with their actions which related to the Agreement and also </w:t>
      </w:r>
      <w:bookmarkStart w:name="_bookmark694" w:id="696"/>
      <w:bookmarkEnd w:id="696"/>
      <w:r>
        <w:rPr/>
        <w:t>[required]</w:t>
      </w:r>
      <w:r>
        <w:rPr/>
        <w:t> faithfulness to the agreed common purpose and consistency with the justified expectations of the [developer].” </w:t>
      </w:r>
      <w:r>
        <w:rPr>
          <w:color w:val="005DA1"/>
          <w:u w:val="single" w:color="005DA1"/>
          <w:vertAlign w:val="superscript"/>
        </w:rPr>
        <w:t>412</w:t>
      </w:r>
    </w:p>
    <w:p>
      <w:pPr>
        <w:pStyle w:val="BodyText"/>
        <w:spacing w:before="115"/>
      </w:pPr>
    </w:p>
    <w:p>
      <w:pPr>
        <w:pStyle w:val="BodyText"/>
        <w:spacing w:line="235" w:lineRule="auto"/>
        <w:ind w:left="165" w:right="167"/>
        <w:jc w:val="both"/>
      </w:pPr>
      <w:r>
        <w:rPr/>
        <w:t>He</w:t>
      </w:r>
      <w:r>
        <w:rPr>
          <w:spacing w:val="-1"/>
        </w:rPr>
        <w:t> </w:t>
      </w:r>
      <w:r>
        <w:rPr/>
        <w:t>held,</w:t>
      </w:r>
      <w:r>
        <w:rPr>
          <w:spacing w:val="-1"/>
        </w:rPr>
        <w:t> </w:t>
      </w:r>
      <w:r>
        <w:rPr/>
        <w:t>secondly,</w:t>
      </w:r>
      <w:r>
        <w:rPr>
          <w:spacing w:val="-1"/>
        </w:rPr>
        <w:t> </w:t>
      </w:r>
      <w:r>
        <w:rPr/>
        <w:t>that</w:t>
      </w:r>
      <w:r>
        <w:rPr>
          <w:spacing w:val="-1"/>
        </w:rPr>
        <w:t> </w:t>
      </w:r>
      <w:r>
        <w:rPr/>
        <w:t>in</w:t>
      </w:r>
      <w:r>
        <w:rPr>
          <w:spacing w:val="-1"/>
        </w:rPr>
        <w:t> </w:t>
      </w:r>
      <w:r>
        <w:rPr/>
        <w:t>the</w:t>
      </w:r>
      <w:r>
        <w:rPr>
          <w:spacing w:val="-1"/>
        </w:rPr>
        <w:t> </w:t>
      </w:r>
      <w:r>
        <w:rPr/>
        <w:t>circumstances</w:t>
      </w:r>
      <w:r>
        <w:rPr>
          <w:spacing w:val="-1"/>
        </w:rPr>
        <w:t> </w:t>
      </w:r>
      <w:r>
        <w:rPr/>
        <w:t>the</w:t>
      </w:r>
      <w:r>
        <w:rPr>
          <w:spacing w:val="-1"/>
        </w:rPr>
        <w:t> </w:t>
      </w:r>
      <w:r>
        <w:rPr/>
        <w:t>intended</w:t>
      </w:r>
      <w:r>
        <w:rPr>
          <w:spacing w:val="-1"/>
        </w:rPr>
        <w:t> </w:t>
      </w:r>
      <w:r>
        <w:rPr/>
        <w:t>sale</w:t>
      </w:r>
      <w:r>
        <w:rPr>
          <w:spacing w:val="-1"/>
        </w:rPr>
        <w:t> </w:t>
      </w:r>
      <w:r>
        <w:rPr/>
        <w:t>would</w:t>
      </w:r>
      <w:r>
        <w:rPr>
          <w:spacing w:val="-1"/>
        </w:rPr>
        <w:t> </w:t>
      </w:r>
      <w:r>
        <w:rPr/>
        <w:t>amount</w:t>
      </w:r>
      <w:r>
        <w:rPr>
          <w:spacing w:val="-1"/>
        </w:rPr>
        <w:t> </w:t>
      </w:r>
      <w:r>
        <w:rPr/>
        <w:t>to</w:t>
      </w:r>
      <w:r>
        <w:rPr>
          <w:spacing w:val="-1"/>
        </w:rPr>
        <w:t> </w:t>
      </w:r>
      <w:r>
        <w:rPr/>
        <w:t>breach</w:t>
      </w:r>
      <w:r>
        <w:rPr>
          <w:spacing w:val="-1"/>
        </w:rPr>
        <w:t> </w:t>
      </w:r>
      <w:r>
        <w:rPr/>
        <w:t>of</w:t>
      </w:r>
      <w:r>
        <w:rPr>
          <w:spacing w:val="-1"/>
        </w:rPr>
        <w:t> </w:t>
      </w:r>
      <w:r>
        <w:rPr/>
        <w:t>the</w:t>
      </w:r>
      <w:r>
        <w:rPr>
          <w:spacing w:val="-1"/>
        </w:rPr>
        <w:t> </w:t>
      </w:r>
      <w:r>
        <w:rPr/>
        <w:t>owners’ obligation of good faith on the grounds that: the developer had invested considerable time and incurred</w:t>
      </w:r>
      <w:r>
        <w:rPr>
          <w:spacing w:val="16"/>
        </w:rPr>
        <w:t> </w:t>
      </w:r>
      <w:r>
        <w:rPr/>
        <w:t>expense</w:t>
      </w:r>
      <w:r>
        <w:rPr>
          <w:spacing w:val="16"/>
        </w:rPr>
        <w:t> </w:t>
      </w:r>
      <w:r>
        <w:rPr/>
        <w:t>as</w:t>
      </w:r>
      <w:r>
        <w:rPr>
          <w:spacing w:val="16"/>
        </w:rPr>
        <w:t> </w:t>
      </w:r>
      <w:r>
        <w:rPr/>
        <w:t>a</w:t>
      </w:r>
      <w:r>
        <w:rPr>
          <w:spacing w:val="16"/>
        </w:rPr>
        <w:t> </w:t>
      </w:r>
      <w:r>
        <w:rPr/>
        <w:t>result</w:t>
      </w:r>
      <w:r>
        <w:rPr>
          <w:spacing w:val="16"/>
        </w:rPr>
        <w:t> </w:t>
      </w:r>
      <w:r>
        <w:rPr/>
        <w:t>of</w:t>
      </w:r>
      <w:r>
        <w:rPr>
          <w:spacing w:val="16"/>
        </w:rPr>
        <w:t> </w:t>
      </w:r>
      <w:r>
        <w:rPr/>
        <w:t>which</w:t>
      </w:r>
      <w:r>
        <w:rPr>
          <w:spacing w:val="16"/>
        </w:rPr>
        <w:t> </w:t>
      </w:r>
      <w:r>
        <w:rPr/>
        <w:t>the</w:t>
      </w:r>
      <w:r>
        <w:rPr>
          <w:spacing w:val="16"/>
        </w:rPr>
        <w:t> </w:t>
      </w:r>
      <w:r>
        <w:rPr/>
        <w:t>value</w:t>
      </w:r>
      <w:r>
        <w:rPr>
          <w:spacing w:val="16"/>
        </w:rPr>
        <w:t> </w:t>
      </w:r>
      <w:r>
        <w:rPr/>
        <w:t>of</w:t>
      </w:r>
      <w:r>
        <w:rPr>
          <w:spacing w:val="16"/>
        </w:rPr>
        <w:t> </w:t>
      </w:r>
      <w:r>
        <w:rPr/>
        <w:t>the</w:t>
      </w:r>
      <w:r>
        <w:rPr>
          <w:spacing w:val="16"/>
        </w:rPr>
        <w:t> </w:t>
      </w:r>
      <w:r>
        <w:rPr/>
        <w:t>land</w:t>
      </w:r>
      <w:r>
        <w:rPr>
          <w:spacing w:val="16"/>
        </w:rPr>
        <w:t> </w:t>
      </w:r>
      <w:r>
        <w:rPr/>
        <w:t>had</w:t>
      </w:r>
      <w:r>
        <w:rPr>
          <w:spacing w:val="16"/>
        </w:rPr>
        <w:t> </w:t>
      </w:r>
      <w:r>
        <w:rPr/>
        <w:t>been</w:t>
      </w:r>
      <w:r>
        <w:rPr>
          <w:spacing w:val="16"/>
        </w:rPr>
        <w:t> </w:t>
      </w:r>
      <w:r>
        <w:rPr/>
        <w:t>significantly</w:t>
      </w:r>
      <w:r>
        <w:rPr>
          <w:spacing w:val="16"/>
        </w:rPr>
        <w:t> </w:t>
      </w:r>
      <w:r>
        <w:rPr/>
        <w:t>enhanced;</w:t>
      </w:r>
      <w:r>
        <w:rPr>
          <w:spacing w:val="16"/>
        </w:rPr>
        <w:t> </w:t>
      </w:r>
      <w:r>
        <w:rPr/>
        <w:t>on</w:t>
      </w:r>
      <w:r>
        <w:rPr>
          <w:spacing w:val="16"/>
        </w:rPr>
        <w:t> </w:t>
      </w:r>
      <w:r>
        <w:rPr>
          <w:spacing w:val="-5"/>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terms</w:t>
      </w:r>
      <w:r>
        <w:rPr>
          <w:spacing w:val="-1"/>
        </w:rPr>
        <w:t> </w:t>
      </w:r>
      <w:r>
        <w:rPr/>
        <w:t>of</w:t>
      </w:r>
      <w:r>
        <w:rPr>
          <w:spacing w:val="-1"/>
        </w:rPr>
        <w:t> </w:t>
      </w:r>
      <w:r>
        <w:rPr/>
        <w:t>the</w:t>
      </w:r>
      <w:r>
        <w:rPr>
          <w:spacing w:val="-1"/>
        </w:rPr>
        <w:t> </w:t>
      </w:r>
      <w:r>
        <w:rPr/>
        <w:t>contract,</w:t>
      </w:r>
      <w:r>
        <w:rPr>
          <w:spacing w:val="-1"/>
        </w:rPr>
        <w:t> </w:t>
      </w:r>
      <w:r>
        <w:rPr/>
        <w:t>the</w:t>
      </w:r>
      <w:r>
        <w:rPr>
          <w:spacing w:val="-1"/>
        </w:rPr>
        <w:t> </w:t>
      </w:r>
      <w:r>
        <w:rPr/>
        <w:t>owner</w:t>
      </w:r>
      <w:r>
        <w:rPr>
          <w:spacing w:val="-1"/>
        </w:rPr>
        <w:t> </w:t>
      </w:r>
      <w:r>
        <w:rPr/>
        <w:t>was</w:t>
      </w:r>
      <w:r>
        <w:rPr>
          <w:spacing w:val="-1"/>
        </w:rPr>
        <w:t> </w:t>
      </w:r>
      <w:r>
        <w:rPr/>
        <w:t>not</w:t>
      </w:r>
      <w:r>
        <w:rPr>
          <w:spacing w:val="-1"/>
        </w:rPr>
        <w:t> </w:t>
      </w:r>
      <w:r>
        <w:rPr/>
        <w:t>obliged</w:t>
      </w:r>
      <w:r>
        <w:rPr>
          <w:spacing w:val="-1"/>
        </w:rPr>
        <w:t> </w:t>
      </w:r>
      <w:r>
        <w:rPr/>
        <w:t>to</w:t>
      </w:r>
      <w:r>
        <w:rPr>
          <w:spacing w:val="-1"/>
        </w:rPr>
        <w:t> </w:t>
      </w:r>
      <w:r>
        <w:rPr/>
        <w:t>pay</w:t>
      </w:r>
      <w:r>
        <w:rPr>
          <w:spacing w:val="-1"/>
        </w:rPr>
        <w:t> </w:t>
      </w:r>
      <w:r>
        <w:rPr/>
        <w:t>a</w:t>
      </w:r>
      <w:r>
        <w:rPr>
          <w:spacing w:val="-1"/>
        </w:rPr>
        <w:t> </w:t>
      </w:r>
      <w:r>
        <w:rPr/>
        <w:t>reasonable</w:t>
      </w:r>
      <w:r>
        <w:rPr>
          <w:spacing w:val="-1"/>
        </w:rPr>
        <w:t> </w:t>
      </w:r>
      <w:r>
        <w:rPr/>
        <w:t>fee</w:t>
      </w:r>
      <w:r>
        <w:rPr>
          <w:spacing w:val="-1"/>
        </w:rPr>
        <w:t> </w:t>
      </w:r>
      <w:r>
        <w:rPr/>
        <w:t>to</w:t>
      </w:r>
      <w:r>
        <w:rPr>
          <w:spacing w:val="-1"/>
        </w:rPr>
        <w:t> </w:t>
      </w:r>
      <w:r>
        <w:rPr/>
        <w:t>the</w:t>
      </w:r>
      <w:r>
        <w:rPr>
          <w:spacing w:val="-1"/>
        </w:rPr>
        <w:t> </w:t>
      </w:r>
      <w:r>
        <w:rPr/>
        <w:t>developer</w:t>
      </w:r>
      <w:r>
        <w:rPr>
          <w:spacing w:val="-1"/>
        </w:rPr>
        <w:t> </w:t>
      </w:r>
      <w:r>
        <w:rPr/>
        <w:t>on</w:t>
      </w:r>
      <w:r>
        <w:rPr>
          <w:spacing w:val="-1"/>
        </w:rPr>
        <w:t> </w:t>
      </w:r>
      <w:r>
        <w:rPr/>
        <w:t>the</w:t>
      </w:r>
      <w:r>
        <w:rPr>
          <w:spacing w:val="-1"/>
        </w:rPr>
        <w:t> </w:t>
      </w:r>
      <w:r>
        <w:rPr/>
        <w:t>sale; in any event, the developer’s expectations were that they would promote the land to obtain </w:t>
      </w:r>
      <w:r>
        <w:rPr/>
        <w:t>planning consent and sale in the open market (whereupon they would be entitled to a fee under the express </w:t>
      </w:r>
      <w:bookmarkStart w:name="_bookmark695" w:id="697"/>
      <w:bookmarkEnd w:id="697"/>
      <w:r>
        <w:rPr/>
        <w:t>terms</w:t>
      </w:r>
      <w:r>
        <w:rPr/>
        <w:t> of the contract); the third party buyer would not be bound by the terms of the contract; and, </w:t>
      </w:r>
      <w:bookmarkStart w:name="_bookmark696" w:id="698"/>
      <w:bookmarkEnd w:id="698"/>
      <w:r>
        <w:rPr/>
        <w:t>finally,</w:t>
      </w:r>
      <w:r>
        <w:rPr/>
        <w:t> the owner put forward no extenuating circumstances or hardship. </w:t>
      </w:r>
      <w:r>
        <w:rPr>
          <w:color w:val="005DA1"/>
          <w:u w:val="single" w:color="005DA1"/>
          <w:vertAlign w:val="superscript"/>
        </w:rPr>
        <w:t>413</w:t>
      </w:r>
      <w:r>
        <w:rPr>
          <w:color w:val="005DA1"/>
          <w:vertAlign w:val="baseline"/>
        </w:rPr>
        <w:t> </w:t>
      </w:r>
      <w:r>
        <w:rPr>
          <w:rFonts w:ascii="Arial" w:hAnsi="Arial"/>
          <w:i/>
          <w:vertAlign w:val="baseline"/>
        </w:rPr>
        <w:t>Berkeley Community Villages Ltd v Pullen </w:t>
      </w:r>
      <w:r>
        <w:rPr>
          <w:vertAlign w:val="baseline"/>
        </w:rPr>
        <w:t>was considered in </w:t>
      </w:r>
      <w:r>
        <w:rPr>
          <w:rFonts w:ascii="Arial" w:hAnsi="Arial"/>
          <w:i/>
          <w:vertAlign w:val="baseline"/>
        </w:rPr>
        <w:t>Gold Group Properties Ltd v BDW Trading Ltd</w:t>
      </w:r>
      <w:r>
        <w:rPr>
          <w:vertAlign w:val="baseline"/>
        </w:rPr>
        <w:t>. </w:t>
      </w:r>
      <w:r>
        <w:rPr>
          <w:color w:val="005DA1"/>
          <w:u w:val="single" w:color="005DA1"/>
          <w:vertAlign w:val="superscript"/>
        </w:rPr>
        <w:t>414</w:t>
      </w:r>
      <w:r>
        <w:rPr>
          <w:color w:val="005DA1"/>
          <w:vertAlign w:val="baseline"/>
        </w:rPr>
        <w:t> </w:t>
      </w:r>
      <w:r>
        <w:rPr>
          <w:vertAlign w:val="baseline"/>
        </w:rPr>
        <w:t>There A, a property developer, agreed by contract to construct dwellings on land owned by B; B was then to sell the dwellings, sharing the revenue with A. Minimum sale prices for each of the properties were</w:t>
      </w:r>
      <w:r>
        <w:rPr>
          <w:spacing w:val="80"/>
          <w:vertAlign w:val="baseline"/>
        </w:rPr>
        <w:t> </w:t>
      </w:r>
      <w:r>
        <w:rPr>
          <w:vertAlign w:val="baseline"/>
        </w:rPr>
        <w:t>agreed</w:t>
      </w:r>
      <w:r>
        <w:rPr>
          <w:spacing w:val="-2"/>
          <w:vertAlign w:val="baseline"/>
        </w:rPr>
        <w:t> </w:t>
      </w:r>
      <w:r>
        <w:rPr>
          <w:vertAlign w:val="baseline"/>
        </w:rPr>
        <w:t>together</w:t>
      </w:r>
      <w:r>
        <w:rPr>
          <w:spacing w:val="-2"/>
          <w:vertAlign w:val="baseline"/>
        </w:rPr>
        <w:t> </w:t>
      </w:r>
      <w:r>
        <w:rPr>
          <w:vertAlign w:val="baseline"/>
        </w:rPr>
        <w:t>with</w:t>
      </w:r>
      <w:r>
        <w:rPr>
          <w:spacing w:val="-2"/>
          <w:vertAlign w:val="baseline"/>
        </w:rPr>
        <w:t> </w:t>
      </w:r>
      <w:r>
        <w:rPr>
          <w:vertAlign w:val="baseline"/>
        </w:rPr>
        <w:t>revenue</w:t>
      </w:r>
      <w:r>
        <w:rPr>
          <w:spacing w:val="-2"/>
          <w:vertAlign w:val="baseline"/>
        </w:rPr>
        <w:t> </w:t>
      </w:r>
      <w:r>
        <w:rPr>
          <w:vertAlign w:val="baseline"/>
        </w:rPr>
        <w:t>sharing</w:t>
      </w:r>
      <w:r>
        <w:rPr>
          <w:spacing w:val="-2"/>
          <w:vertAlign w:val="baseline"/>
        </w:rPr>
        <w:t> </w:t>
      </w:r>
      <w:r>
        <w:rPr>
          <w:vertAlign w:val="baseline"/>
        </w:rPr>
        <w:t>provisions.</w:t>
      </w:r>
      <w:r>
        <w:rPr>
          <w:spacing w:val="-2"/>
          <w:vertAlign w:val="baseline"/>
        </w:rPr>
        <w:t> </w:t>
      </w:r>
      <w:r>
        <w:rPr>
          <w:vertAlign w:val="baseline"/>
        </w:rPr>
        <w:t>An</w:t>
      </w:r>
      <w:r>
        <w:rPr>
          <w:spacing w:val="-2"/>
          <w:vertAlign w:val="baseline"/>
        </w:rPr>
        <w:t> </w:t>
      </w:r>
      <w:r>
        <w:rPr>
          <w:vertAlign w:val="baseline"/>
        </w:rPr>
        <w:t>express</w:t>
      </w:r>
      <w:r>
        <w:rPr>
          <w:spacing w:val="-2"/>
          <w:vertAlign w:val="baseline"/>
        </w:rPr>
        <w:t> </w:t>
      </w:r>
      <w:r>
        <w:rPr>
          <w:vertAlign w:val="baseline"/>
        </w:rPr>
        <w:t>term</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required</w:t>
      </w:r>
      <w:r>
        <w:rPr>
          <w:spacing w:val="-2"/>
          <w:vertAlign w:val="baseline"/>
        </w:rPr>
        <w:t> </w:t>
      </w:r>
      <w:r>
        <w:rPr>
          <w:vertAlign w:val="baseline"/>
        </w:rPr>
        <w:t>each</w:t>
      </w:r>
      <w:r>
        <w:rPr>
          <w:spacing w:val="-2"/>
          <w:vertAlign w:val="baseline"/>
        </w:rPr>
        <w:t> </w:t>
      </w:r>
      <w:r>
        <w:rPr>
          <w:vertAlign w:val="baseline"/>
        </w:rPr>
        <w:t>of</w:t>
      </w:r>
      <w:r>
        <w:rPr>
          <w:spacing w:val="-2"/>
          <w:vertAlign w:val="baseline"/>
        </w:rPr>
        <w:t> </w:t>
      </w:r>
      <w:r>
        <w:rPr>
          <w:vertAlign w:val="baseline"/>
        </w:rPr>
        <w:t>the parties “at all times to act in good faith towards the other and use all reasonable endeavours to</w:t>
      </w:r>
      <w:r>
        <w:rPr>
          <w:spacing w:val="40"/>
          <w:vertAlign w:val="baseline"/>
        </w:rPr>
        <w:t> </w:t>
      </w:r>
      <w:r>
        <w:rPr>
          <w:vertAlign w:val="baseline"/>
        </w:rPr>
        <w:t>ensure the observance by themselves of the terms of this Agreement …”. A failed to develop the land and was sued for damages for repudiatory breach of contract by B, to which A countered that B was</w:t>
      </w:r>
      <w:r>
        <w:rPr>
          <w:spacing w:val="40"/>
          <w:vertAlign w:val="baseline"/>
        </w:rPr>
        <w:t> </w:t>
      </w:r>
      <w:r>
        <w:rPr>
          <w:vertAlign w:val="baseline"/>
        </w:rPr>
        <w:t>in repudiatory breach of this express term requiring good faith by refusing to countenance any </w:t>
      </w:r>
      <w:bookmarkStart w:name="_bookmark697" w:id="699"/>
      <w:bookmarkEnd w:id="699"/>
      <w:r>
        <w:rPr>
          <w:vertAlign w:val="baseline"/>
        </w:rPr>
        <w:t>negotiation</w:t>
      </w:r>
      <w:r>
        <w:rPr>
          <w:vertAlign w:val="baseline"/>
        </w:rPr>
        <w:t> or revision of their agreement so as to address the difficulties caused by a fall in the property market and insisting that the minimum prices which it contained were for its benefit alone. </w:t>
      </w:r>
      <w:r>
        <w:rPr>
          <w:color w:val="005DA1"/>
          <w:u w:val="single" w:color="005DA1"/>
          <w:vertAlign w:val="superscript"/>
        </w:rPr>
        <w:t>415</w:t>
      </w:r>
      <w:r>
        <w:rPr>
          <w:color w:val="005DA1"/>
          <w:vertAlign w:val="baseline"/>
        </w:rPr>
        <w:t> </w:t>
      </w:r>
      <w:r>
        <w:rPr>
          <w:vertAlign w:val="baseline"/>
        </w:rPr>
        <w:t>Having cited the dictum of Morgan J. in </w:t>
      </w:r>
      <w:r>
        <w:rPr>
          <w:rFonts w:ascii="Arial" w:hAnsi="Arial"/>
          <w:i/>
          <w:vertAlign w:val="baseline"/>
        </w:rPr>
        <w:t>Berkeley Community Villages Ltd v Pullen </w:t>
      </w:r>
      <w:r>
        <w:rPr>
          <w:vertAlign w:val="baseline"/>
        </w:rPr>
        <w:t>quoted above, Judge Stephen Furst Q.C. quoted the observations of Barrett J. in the Supreme Court of New South Wales in </w:t>
      </w:r>
      <w:r>
        <w:rPr>
          <w:rFonts w:ascii="Arial" w:hAnsi="Arial"/>
          <w:i/>
          <w:vertAlign w:val="baseline"/>
        </w:rPr>
        <w:t>Overlook v Foxtel </w:t>
      </w:r>
      <w:r>
        <w:rPr>
          <w:vertAlign w:val="baseline"/>
        </w:rPr>
        <w:t>to the effect that:</w:t>
      </w:r>
    </w:p>
    <w:p>
      <w:pPr>
        <w:pStyle w:val="BodyText"/>
      </w:pPr>
    </w:p>
    <w:p>
      <w:pPr>
        <w:pStyle w:val="BodyText"/>
        <w:spacing w:before="120"/>
      </w:pPr>
    </w:p>
    <w:p>
      <w:pPr>
        <w:pStyle w:val="BodyText"/>
        <w:spacing w:line="235" w:lineRule="auto"/>
        <w:ind w:left="1545" w:right="167"/>
        <w:jc w:val="both"/>
      </w:pPr>
      <w:r>
        <w:rPr/>
        <w:t>“… the party subject to the obligation [of good faith] is not required to subordinate the party’s own interests, so long as pursuit of those interests does not entail unreasonable interference with the enjoyment of a benefit conferred by the </w:t>
      </w:r>
      <w:r>
        <w:rPr/>
        <w:t>express contractual terms so that the enjoyment becomes (or could become) … ‘nugatory, worthless or, perhaps, seriously undermined’ … the implied obligation of good faith underwrites the spirit of the contract and supports the integrity of its character. A party is</w:t>
      </w:r>
      <w:r>
        <w:rPr>
          <w:spacing w:val="-1"/>
        </w:rPr>
        <w:t> </w:t>
      </w:r>
      <w:r>
        <w:rPr/>
        <w:t>precluded</w:t>
      </w:r>
      <w:r>
        <w:rPr>
          <w:spacing w:val="-1"/>
        </w:rPr>
        <w:t> </w:t>
      </w:r>
      <w:r>
        <w:rPr/>
        <w:t>from</w:t>
      </w:r>
      <w:r>
        <w:rPr>
          <w:spacing w:val="-1"/>
        </w:rPr>
        <w:t> </w:t>
      </w:r>
      <w:r>
        <w:rPr/>
        <w:t>cynical</w:t>
      </w:r>
      <w:r>
        <w:rPr>
          <w:spacing w:val="-1"/>
        </w:rPr>
        <w:t> </w:t>
      </w:r>
      <w:r>
        <w:rPr/>
        <w:t>resort</w:t>
      </w:r>
      <w:r>
        <w:rPr>
          <w:spacing w:val="-1"/>
        </w:rPr>
        <w:t> </w:t>
      </w:r>
      <w:r>
        <w:rPr/>
        <w:t>to</w:t>
      </w:r>
      <w:r>
        <w:rPr>
          <w:spacing w:val="-1"/>
        </w:rPr>
        <w:t> </w:t>
      </w:r>
      <w:r>
        <w:rPr/>
        <w:t>the</w:t>
      </w:r>
      <w:r>
        <w:rPr>
          <w:spacing w:val="-1"/>
        </w:rPr>
        <w:t> </w:t>
      </w:r>
      <w:r>
        <w:rPr/>
        <w:t>black</w:t>
      </w:r>
      <w:r>
        <w:rPr>
          <w:spacing w:val="-1"/>
        </w:rPr>
        <w:t> </w:t>
      </w:r>
      <w:r>
        <w:rPr/>
        <w:t>letter.</w:t>
      </w:r>
      <w:r>
        <w:rPr>
          <w:spacing w:val="-1"/>
        </w:rPr>
        <w:t> </w:t>
      </w:r>
      <w:r>
        <w:rPr/>
        <w:t>But</w:t>
      </w:r>
      <w:r>
        <w:rPr>
          <w:spacing w:val="-1"/>
        </w:rPr>
        <w:t> </w:t>
      </w:r>
      <w:r>
        <w:rPr/>
        <w:t>no</w:t>
      </w:r>
      <w:r>
        <w:rPr>
          <w:spacing w:val="-1"/>
        </w:rPr>
        <w:t> </w:t>
      </w:r>
      <w:r>
        <w:rPr/>
        <w:t>party</w:t>
      </w:r>
      <w:r>
        <w:rPr>
          <w:spacing w:val="-1"/>
        </w:rPr>
        <w:t> </w:t>
      </w:r>
      <w:r>
        <w:rPr/>
        <w:t>is</w:t>
      </w:r>
      <w:r>
        <w:rPr>
          <w:spacing w:val="-1"/>
        </w:rPr>
        <w:t> </w:t>
      </w:r>
      <w:r>
        <w:rPr/>
        <w:t>fixed</w:t>
      </w:r>
      <w:r>
        <w:rPr>
          <w:spacing w:val="-1"/>
        </w:rPr>
        <w:t> </w:t>
      </w:r>
      <w:r>
        <w:rPr/>
        <w:t>with</w:t>
      </w:r>
      <w:r>
        <w:rPr>
          <w:spacing w:val="-1"/>
        </w:rPr>
        <w:t> </w:t>
      </w:r>
      <w:r>
        <w:rPr/>
        <w:t>the</w:t>
      </w:r>
      <w:r>
        <w:rPr>
          <w:spacing w:val="-1"/>
        </w:rPr>
        <w:t> </w:t>
      </w:r>
      <w:r>
        <w:rPr/>
        <w:t>duty</w:t>
      </w:r>
      <w:r>
        <w:rPr>
          <w:spacing w:val="-1"/>
        </w:rPr>
        <w:t> </w:t>
      </w:r>
      <w:r>
        <w:rPr/>
        <w:t>to subordinate self-interest entirely which is the lot of the fiduciary … The duty is not a duty to prefer the interests of the other contracting party. It is, rather, a duty to </w:t>
      </w:r>
      <w:bookmarkStart w:name="_bookmark698" w:id="700"/>
      <w:bookmarkEnd w:id="700"/>
      <w:r>
        <w:rPr/>
        <w:t>recognise</w:t>
      </w:r>
      <w:r>
        <w:rPr>
          <w:spacing w:val="10"/>
        </w:rPr>
        <w:t> </w:t>
      </w:r>
      <w:r>
        <w:rPr/>
        <w:t>and</w:t>
      </w:r>
      <w:r>
        <w:rPr>
          <w:spacing w:val="10"/>
        </w:rPr>
        <w:t> </w:t>
      </w:r>
      <w:r>
        <w:rPr/>
        <w:t>to</w:t>
      </w:r>
      <w:r>
        <w:rPr>
          <w:spacing w:val="10"/>
        </w:rPr>
        <w:t> </w:t>
      </w:r>
      <w:r>
        <w:rPr/>
        <w:t>have</w:t>
      </w:r>
      <w:r>
        <w:rPr>
          <w:spacing w:val="10"/>
        </w:rPr>
        <w:t> </w:t>
      </w:r>
      <w:r>
        <w:rPr/>
        <w:t>due</w:t>
      </w:r>
      <w:r>
        <w:rPr>
          <w:spacing w:val="10"/>
        </w:rPr>
        <w:t> </w:t>
      </w:r>
      <w:r>
        <w:rPr/>
        <w:t>regard</w:t>
      </w:r>
      <w:r>
        <w:rPr>
          <w:spacing w:val="10"/>
        </w:rPr>
        <w:t> </w:t>
      </w:r>
      <w:r>
        <w:rPr/>
        <w:t>to</w:t>
      </w:r>
      <w:r>
        <w:rPr>
          <w:spacing w:val="10"/>
        </w:rPr>
        <w:t> </w:t>
      </w:r>
      <w:r>
        <w:rPr/>
        <w:t>the</w:t>
      </w:r>
      <w:r>
        <w:rPr>
          <w:spacing w:val="10"/>
        </w:rPr>
        <w:t> </w:t>
      </w:r>
      <w:r>
        <w:rPr/>
        <w:t>legitimate</w:t>
      </w:r>
      <w:r>
        <w:rPr>
          <w:spacing w:val="10"/>
        </w:rPr>
        <w:t> </w:t>
      </w:r>
      <w:r>
        <w:rPr/>
        <w:t>interests</w:t>
      </w:r>
      <w:r>
        <w:rPr>
          <w:spacing w:val="10"/>
        </w:rPr>
        <w:t> </w:t>
      </w:r>
      <w:r>
        <w:rPr/>
        <w:t>of</w:t>
      </w:r>
      <w:r>
        <w:rPr>
          <w:spacing w:val="10"/>
        </w:rPr>
        <w:t> </w:t>
      </w:r>
      <w:r>
        <w:rPr/>
        <w:t>both</w:t>
      </w:r>
      <w:r>
        <w:rPr>
          <w:spacing w:val="10"/>
        </w:rPr>
        <w:t> </w:t>
      </w:r>
      <w:r>
        <w:rPr/>
        <w:t>the</w:t>
      </w:r>
      <w:r>
        <w:rPr>
          <w:spacing w:val="10"/>
        </w:rPr>
        <w:t> </w:t>
      </w:r>
      <w:r>
        <w:rPr/>
        <w:t>parties</w:t>
      </w:r>
      <w:r>
        <w:rPr>
          <w:spacing w:val="10"/>
        </w:rPr>
        <w:t> </w:t>
      </w:r>
      <w:r>
        <w:rPr/>
        <w:t>in</w:t>
      </w:r>
      <w:r>
        <w:rPr>
          <w:spacing w:val="10"/>
        </w:rPr>
        <w:t> </w:t>
      </w:r>
      <w:r>
        <w:rPr>
          <w:spacing w:val="-5"/>
        </w:rPr>
        <w:t>the</w:t>
      </w:r>
    </w:p>
    <w:p>
      <w:pPr>
        <w:pStyle w:val="BodyText"/>
        <w:spacing w:before="113"/>
        <w:ind w:left="1545"/>
        <w:jc w:val="both"/>
        <w:rPr>
          <w:position w:val="-2"/>
        </w:rPr>
      </w:pPr>
      <w:r>
        <w:rPr/>
        <w:t>enjoyment of the fruits of the contract as delineated by its terms.” </w:t>
      </w:r>
      <w:r>
        <w:rPr>
          <w:color w:val="005DA1"/>
          <w:u w:val="single" w:color="005DA1"/>
          <w:vertAlign w:val="superscript"/>
        </w:rPr>
        <w:t>416</w:t>
      </w:r>
      <w:r>
        <w:rPr>
          <w:color w:val="005DA1"/>
          <w:spacing w:val="80"/>
          <w:w w:val="150"/>
          <w:vertAlign w:val="baseline"/>
        </w:rPr>
        <w:t> </w:t>
      </w:r>
      <w:r>
        <w:rPr>
          <w:color w:val="005DA1"/>
          <w:position w:val="-2"/>
          <w:vertAlign w:val="baseline"/>
        </w:rPr>
        <w:drawing>
          <wp:inline distT="0" distB="0" distL="0" distR="0">
            <wp:extent cx="107988" cy="107988"/>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1"/>
      </w:pPr>
    </w:p>
    <w:p>
      <w:pPr>
        <w:pStyle w:val="BodyText"/>
        <w:spacing w:line="227" w:lineRule="exact"/>
        <w:ind w:left="165"/>
        <w:jc w:val="both"/>
      </w:pPr>
      <w:r>
        <w:rPr/>
        <w:t>In</w:t>
      </w:r>
      <w:r>
        <w:rPr>
          <w:spacing w:val="11"/>
        </w:rPr>
        <w:t> </w:t>
      </w:r>
      <w:r>
        <w:rPr/>
        <w:t>applying</w:t>
      </w:r>
      <w:r>
        <w:rPr>
          <w:spacing w:val="11"/>
        </w:rPr>
        <w:t> </w:t>
      </w:r>
      <w:r>
        <w:rPr/>
        <w:t>this</w:t>
      </w:r>
      <w:r>
        <w:rPr>
          <w:spacing w:val="11"/>
        </w:rPr>
        <w:t> </w:t>
      </w:r>
      <w:r>
        <w:rPr/>
        <w:t>approach</w:t>
      </w:r>
      <w:r>
        <w:rPr>
          <w:spacing w:val="11"/>
        </w:rPr>
        <w:t> </w:t>
      </w:r>
      <w:r>
        <w:rPr/>
        <w:t>to</w:t>
      </w:r>
      <w:r>
        <w:rPr>
          <w:spacing w:val="11"/>
        </w:rPr>
        <w:t> </w:t>
      </w:r>
      <w:r>
        <w:rPr/>
        <w:t>the</w:t>
      </w:r>
      <w:r>
        <w:rPr>
          <w:spacing w:val="11"/>
        </w:rPr>
        <w:t> </w:t>
      </w:r>
      <w:r>
        <w:rPr/>
        <w:t>meaning</w:t>
      </w:r>
      <w:r>
        <w:rPr>
          <w:spacing w:val="11"/>
        </w:rPr>
        <w:t> </w:t>
      </w:r>
      <w:r>
        <w:rPr/>
        <w:t>of</w:t>
      </w:r>
      <w:r>
        <w:rPr>
          <w:spacing w:val="11"/>
        </w:rPr>
        <w:t> </w:t>
      </w:r>
      <w:r>
        <w:rPr/>
        <w:t>good</w:t>
      </w:r>
      <w:r>
        <w:rPr>
          <w:spacing w:val="11"/>
        </w:rPr>
        <w:t> </w:t>
      </w:r>
      <w:r>
        <w:rPr/>
        <w:t>faith</w:t>
      </w:r>
      <w:r>
        <w:rPr>
          <w:spacing w:val="11"/>
        </w:rPr>
        <w:t> </w:t>
      </w:r>
      <w:r>
        <w:rPr/>
        <w:t>on</w:t>
      </w:r>
      <w:r>
        <w:rPr>
          <w:spacing w:val="11"/>
        </w:rPr>
        <w:t> </w:t>
      </w:r>
      <w:r>
        <w:rPr/>
        <w:t>the</w:t>
      </w:r>
      <w:r>
        <w:rPr>
          <w:spacing w:val="11"/>
        </w:rPr>
        <w:t> </w:t>
      </w:r>
      <w:r>
        <w:rPr/>
        <w:t>facts</w:t>
      </w:r>
      <w:r>
        <w:rPr>
          <w:spacing w:val="11"/>
        </w:rPr>
        <w:t> </w:t>
      </w:r>
      <w:r>
        <w:rPr/>
        <w:t>before</w:t>
      </w:r>
      <w:r>
        <w:rPr>
          <w:spacing w:val="11"/>
        </w:rPr>
        <w:t> </w:t>
      </w:r>
      <w:r>
        <w:rPr/>
        <w:t>him,</w:t>
      </w:r>
      <w:r>
        <w:rPr>
          <w:spacing w:val="11"/>
        </w:rPr>
        <w:t> </w:t>
      </w:r>
      <w:r>
        <w:rPr/>
        <w:t>Judge</w:t>
      </w:r>
      <w:r>
        <w:rPr>
          <w:spacing w:val="11"/>
        </w:rPr>
        <w:t> </w:t>
      </w:r>
      <w:r>
        <w:rPr/>
        <w:t>Stephen</w:t>
      </w:r>
      <w:r>
        <w:rPr>
          <w:spacing w:val="11"/>
        </w:rPr>
        <w:t> </w:t>
      </w:r>
      <w:r>
        <w:rPr>
          <w:spacing w:val="-2"/>
        </w:rPr>
        <w:t>Furst</w:t>
      </w:r>
    </w:p>
    <w:p>
      <w:pPr>
        <w:pStyle w:val="BodyText"/>
        <w:spacing w:line="227" w:lineRule="exact"/>
        <w:ind w:left="165"/>
      </w:pPr>
      <w:r>
        <w:rPr/>
        <w:t>Q.C. concluded </w:t>
      </w:r>
      <w:r>
        <w:rPr>
          <w:spacing w:val="-2"/>
        </w:rPr>
        <w:t>that,</w:t>
      </w:r>
    </w:p>
    <w:p>
      <w:pPr>
        <w:pStyle w:val="BodyText"/>
      </w:pPr>
    </w:p>
    <w:p>
      <w:pPr>
        <w:pStyle w:val="BodyText"/>
        <w:spacing w:before="126"/>
      </w:pPr>
    </w:p>
    <w:p>
      <w:pPr>
        <w:pStyle w:val="BodyText"/>
        <w:spacing w:line="235" w:lineRule="auto"/>
        <w:ind w:left="1545" w:right="167"/>
        <w:jc w:val="both"/>
      </w:pPr>
      <w:r>
        <w:rPr/>
        <w:t>“good faith, whilst requiring the parties to act in a way that will allow both parties to </w:t>
      </w:r>
      <w:bookmarkStart w:name="_bookmark699" w:id="701"/>
      <w:bookmarkEnd w:id="701"/>
      <w:r>
        <w:rPr/>
        <w:t>enjoy</w:t>
      </w:r>
      <w:r>
        <w:rPr>
          <w:spacing w:val="-2"/>
        </w:rPr>
        <w:t> </w:t>
      </w:r>
      <w:r>
        <w:rPr/>
        <w:t>the</w:t>
      </w:r>
      <w:r>
        <w:rPr>
          <w:spacing w:val="-2"/>
        </w:rPr>
        <w:t> </w:t>
      </w:r>
      <w:r>
        <w:rPr/>
        <w:t>anticipated</w:t>
      </w:r>
      <w:r>
        <w:rPr>
          <w:spacing w:val="-2"/>
        </w:rPr>
        <w:t> </w:t>
      </w:r>
      <w:r>
        <w:rPr/>
        <w:t>benefits</w:t>
      </w:r>
      <w:r>
        <w:rPr>
          <w:spacing w:val="-2"/>
        </w:rPr>
        <w:t> </w:t>
      </w:r>
      <w:r>
        <w:rPr/>
        <w:t>of</w:t>
      </w:r>
      <w:r>
        <w:rPr>
          <w:spacing w:val="-2"/>
        </w:rPr>
        <w:t> </w:t>
      </w:r>
      <w:r>
        <w:rPr/>
        <w:t>the</w:t>
      </w:r>
      <w:r>
        <w:rPr>
          <w:spacing w:val="-2"/>
        </w:rPr>
        <w:t> </w:t>
      </w:r>
      <w:r>
        <w:rPr/>
        <w:t>contract,</w:t>
      </w:r>
      <w:r>
        <w:rPr>
          <w:spacing w:val="-2"/>
        </w:rPr>
        <w:t> </w:t>
      </w:r>
      <w:r>
        <w:rPr/>
        <w:t>does</w:t>
      </w:r>
      <w:r>
        <w:rPr>
          <w:spacing w:val="-2"/>
        </w:rPr>
        <w:t> </w:t>
      </w:r>
      <w:r>
        <w:rPr/>
        <w:t>not</w:t>
      </w:r>
      <w:r>
        <w:rPr>
          <w:spacing w:val="-2"/>
        </w:rPr>
        <w:t> </w:t>
      </w:r>
      <w:r>
        <w:rPr/>
        <w:t>require</w:t>
      </w:r>
      <w:r>
        <w:rPr>
          <w:spacing w:val="-2"/>
        </w:rPr>
        <w:t> </w:t>
      </w:r>
      <w:r>
        <w:rPr/>
        <w:t>either</w:t>
      </w:r>
      <w:r>
        <w:rPr>
          <w:spacing w:val="-2"/>
        </w:rPr>
        <w:t> </w:t>
      </w:r>
      <w:r>
        <w:rPr/>
        <w:t>party</w:t>
      </w:r>
      <w:r>
        <w:rPr>
          <w:spacing w:val="-2"/>
        </w:rPr>
        <w:t> </w:t>
      </w:r>
      <w:r>
        <w:rPr/>
        <w:t>to</w:t>
      </w:r>
      <w:r>
        <w:rPr>
          <w:spacing w:val="-2"/>
        </w:rPr>
        <w:t> </w:t>
      </w:r>
      <w:r>
        <w:rPr/>
        <w:t>give</w:t>
      </w:r>
      <w:r>
        <w:rPr>
          <w:spacing w:val="-2"/>
        </w:rPr>
        <w:t> </w:t>
      </w:r>
      <w:r>
        <w:rPr/>
        <w:t>up</w:t>
      </w:r>
      <w:r>
        <w:rPr>
          <w:spacing w:val="-2"/>
        </w:rPr>
        <w:t> </w:t>
      </w:r>
      <w:r>
        <w:rPr/>
        <w:t>a freely negotiated financial advantage clearly embedded in the contract.” </w:t>
      </w:r>
      <w:r>
        <w:rPr>
          <w:color w:val="005DA1"/>
          <w:u w:val="single" w:color="005DA1"/>
          <w:vertAlign w:val="superscript"/>
        </w:rPr>
        <w:t>417</w:t>
      </w:r>
    </w:p>
    <w:p>
      <w:pPr>
        <w:pStyle w:val="BodyText"/>
        <w:spacing w:before="115"/>
      </w:pPr>
    </w:p>
    <w:p>
      <w:pPr>
        <w:pStyle w:val="BodyText"/>
        <w:spacing w:line="235" w:lineRule="auto" w:before="1"/>
        <w:ind w:left="165" w:right="167"/>
        <w:jc w:val="both"/>
      </w:pPr>
      <w:r>
        <w:rPr/>
        <w:t>He therefore found for the landowners B, holding that the owners were not in breach of </w:t>
      </w:r>
      <w:r>
        <w:rPr/>
        <w:t>their</w:t>
      </w:r>
      <w:r>
        <w:rPr>
          <w:spacing w:val="80"/>
        </w:rPr>
        <w:t> </w:t>
      </w:r>
      <w:r>
        <w:rPr/>
        <w:t>obligation to act in good faith in refusing to accept or negotiate on the basis of the developer’s (A’s) </w:t>
      </w:r>
      <w:bookmarkStart w:name="_bookmark700" w:id="702"/>
      <w:bookmarkEnd w:id="702"/>
      <w:r>
        <w:rPr/>
        <w:t>offer</w:t>
      </w:r>
      <w:r>
        <w:rPr/>
        <w:t> to delay the development for two years or to revise the revenue sharing agreement in the contract. </w:t>
      </w:r>
      <w:r>
        <w:rPr>
          <w:color w:val="005DA1"/>
          <w:u w:val="single" w:color="005DA1"/>
          <w:vertAlign w:val="superscript"/>
        </w:rPr>
        <w:t>418</w:t>
      </w:r>
    </w:p>
    <w:p>
      <w:pPr>
        <w:pStyle w:val="BodyText"/>
        <w:spacing w:before="208"/>
      </w:pPr>
    </w:p>
    <w:p>
      <w:pPr>
        <w:spacing w:line="235" w:lineRule="auto" w:before="0"/>
        <w:ind w:left="165" w:right="167" w:firstLine="0"/>
        <w:jc w:val="both"/>
        <w:rPr>
          <w:sz w:val="20"/>
        </w:rPr>
      </w:pPr>
      <w:r>
        <w:rPr>
          <w:position w:val="-2"/>
        </w:rPr>
        <w:drawing>
          <wp:inline distT="0" distB="0" distL="0" distR="0">
            <wp:extent cx="107988" cy="107988"/>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701" w:id="703"/>
      <w:bookmarkEnd w:id="703"/>
      <w:r>
        <w:rPr>
          <w:rFonts w:ascii="Times New Roman"/>
          <w:spacing w:val="12"/>
          <w:sz w:val="20"/>
        </w:rPr>
      </w:r>
      <w:r>
        <w:rPr>
          <w:sz w:val="20"/>
        </w:rPr>
        <w:t>The approach of Morgan J. in </w:t>
      </w:r>
      <w:r>
        <w:rPr>
          <w:rFonts w:ascii="Arial"/>
          <w:i/>
          <w:sz w:val="20"/>
        </w:rPr>
        <w:t>Berkeley Community Villages Ltd v Pullen </w:t>
      </w:r>
      <w:r>
        <w:rPr>
          <w:sz w:val="20"/>
        </w:rPr>
        <w:t>was followed by Vos J. </w:t>
      </w:r>
      <w:r>
        <w:rPr>
          <w:sz w:val="20"/>
        </w:rPr>
        <w:t>in </w:t>
      </w:r>
      <w:r>
        <w:rPr>
          <w:rFonts w:ascii="Arial"/>
          <w:i/>
          <w:sz w:val="20"/>
        </w:rPr>
        <w:t>CPC Group Ltd v Qatari Diar Real Estate Investment Co</w:t>
      </w:r>
      <w:r>
        <w:rPr>
          <w:sz w:val="20"/>
        </w:rPr>
        <w:t>. </w:t>
      </w:r>
      <w:r>
        <w:rPr>
          <w:color w:val="005DA1"/>
          <w:sz w:val="20"/>
          <w:u w:val="single" w:color="005DA1"/>
          <w:vertAlign w:val="superscript"/>
        </w:rPr>
        <w:t>419</w:t>
      </w:r>
      <w:r>
        <w:rPr>
          <w:color w:val="005DA1"/>
          <w:sz w:val="20"/>
          <w:vertAlign w:val="baseline"/>
        </w:rPr>
        <w:t> </w:t>
      </w:r>
      <w:r>
        <w:rPr>
          <w:sz w:val="20"/>
          <w:vertAlign w:val="baseline"/>
        </w:rPr>
        <w:t>This case concerned a number of issues arising from a contract of joint venture for the development of a large site in London, including alleged breaches of an express term which required its parties to:</w:t>
      </w:r>
    </w:p>
    <w:p>
      <w:pPr>
        <w:pStyle w:val="BodyText"/>
      </w:pPr>
    </w:p>
    <w:p>
      <w:pPr>
        <w:pStyle w:val="BodyText"/>
        <w:spacing w:before="125"/>
      </w:pPr>
    </w:p>
    <w:p>
      <w:pPr>
        <w:pStyle w:val="BodyText"/>
        <w:spacing w:line="235" w:lineRule="auto"/>
        <w:ind w:left="1545" w:right="167"/>
        <w:jc w:val="both"/>
      </w:pPr>
      <w:r>
        <w:rPr/>
        <w:t>“act in the utmost good faith towards each other in relation to the matters set out [in the contract] and [the defendant] shall use all reasonable but commercially </w:t>
      </w:r>
      <w:r>
        <w:rPr/>
        <w:t>prudent endeavours to enable the achievement of the various threshold events and Payment Dates [for the benefit of the claimant] …”.</w:t>
      </w:r>
    </w:p>
    <w:p>
      <w:pPr>
        <w:pStyle w:val="BodyText"/>
        <w:spacing w:before="112"/>
      </w:pPr>
    </w:p>
    <w:p>
      <w:pPr>
        <w:pStyle w:val="BodyText"/>
        <w:ind w:left="165"/>
        <w:jc w:val="both"/>
      </w:pPr>
      <w:r>
        <w:rPr/>
        <w:t>In Vos J.’s view, in the </w:t>
      </w:r>
      <w:r>
        <w:rPr>
          <w:spacing w:val="-2"/>
        </w:rPr>
        <w:t>context:</w:t>
      </w:r>
    </w:p>
    <w:p>
      <w:pPr>
        <w:pStyle w:val="BodyText"/>
        <w:spacing w:after="0"/>
        <w:jc w:val="both"/>
        <w:sectPr>
          <w:pgSz w:w="11900" w:h="16840"/>
          <w:pgMar w:header="971" w:footer="0" w:top="1300" w:bottom="280" w:left="1275" w:right="1275"/>
        </w:sectPr>
      </w:pPr>
    </w:p>
    <w:p>
      <w:pPr>
        <w:pStyle w:val="BodyText"/>
      </w:pPr>
    </w:p>
    <w:p>
      <w:pPr>
        <w:pStyle w:val="BodyText"/>
      </w:pPr>
    </w:p>
    <w:p>
      <w:pPr>
        <w:pStyle w:val="BodyText"/>
        <w:spacing w:before="7"/>
      </w:pPr>
    </w:p>
    <w:p>
      <w:pPr>
        <w:pStyle w:val="BodyText"/>
        <w:spacing w:line="235" w:lineRule="auto"/>
        <w:ind w:left="1545" w:right="167"/>
        <w:jc w:val="both"/>
      </w:pPr>
      <w:r>
        <w:rPr/>
        <w:t>“the obligation of utmost good faith in the [contract] was to adhere to the spirit of </w:t>
      </w:r>
      <w:r>
        <w:rPr/>
        <w:t>the contract,</w:t>
      </w:r>
      <w:r>
        <w:rPr>
          <w:spacing w:val="-2"/>
        </w:rPr>
        <w:t> </w:t>
      </w:r>
      <w:r>
        <w:rPr/>
        <w:t>which</w:t>
      </w:r>
      <w:r>
        <w:rPr>
          <w:spacing w:val="-2"/>
        </w:rPr>
        <w:t> </w:t>
      </w:r>
      <w:r>
        <w:rPr/>
        <w:t>was</w:t>
      </w:r>
      <w:r>
        <w:rPr>
          <w:spacing w:val="-2"/>
        </w:rPr>
        <w:t> </w:t>
      </w:r>
      <w:r>
        <w:rPr/>
        <w:t>to</w:t>
      </w:r>
      <w:r>
        <w:rPr>
          <w:spacing w:val="-2"/>
        </w:rPr>
        <w:t> </w:t>
      </w:r>
      <w:r>
        <w:rPr/>
        <w:t>seek</w:t>
      </w:r>
      <w:r>
        <w:rPr>
          <w:spacing w:val="-2"/>
        </w:rPr>
        <w:t> </w:t>
      </w:r>
      <w:r>
        <w:rPr/>
        <w:t>to</w:t>
      </w:r>
      <w:r>
        <w:rPr>
          <w:spacing w:val="-2"/>
        </w:rPr>
        <w:t> </w:t>
      </w:r>
      <w:r>
        <w:rPr/>
        <w:t>obtain</w:t>
      </w:r>
      <w:r>
        <w:rPr>
          <w:spacing w:val="-2"/>
        </w:rPr>
        <w:t> </w:t>
      </w:r>
      <w:r>
        <w:rPr/>
        <w:t>planning</w:t>
      </w:r>
      <w:r>
        <w:rPr>
          <w:spacing w:val="-2"/>
        </w:rPr>
        <w:t> </w:t>
      </w:r>
      <w:r>
        <w:rPr/>
        <w:t>consent</w:t>
      </w:r>
      <w:r>
        <w:rPr>
          <w:spacing w:val="-2"/>
        </w:rPr>
        <w:t> </w:t>
      </w:r>
      <w:r>
        <w:rPr/>
        <w:t>for</w:t>
      </w:r>
      <w:r>
        <w:rPr>
          <w:spacing w:val="-2"/>
        </w:rPr>
        <w:t> </w:t>
      </w:r>
      <w:r>
        <w:rPr/>
        <w:t>the</w:t>
      </w:r>
      <w:r>
        <w:rPr>
          <w:spacing w:val="-2"/>
        </w:rPr>
        <w:t> </w:t>
      </w:r>
      <w:r>
        <w:rPr/>
        <w:t>maximum</w:t>
      </w:r>
      <w:r>
        <w:rPr>
          <w:spacing w:val="-2"/>
        </w:rPr>
        <w:t> </w:t>
      </w:r>
      <w:r>
        <w:rPr/>
        <w:t>Development Area in the shortest possible time, and to observe reasonable commercial standards</w:t>
      </w:r>
      <w:r>
        <w:rPr>
          <w:spacing w:val="40"/>
        </w:rPr>
        <w:t> </w:t>
      </w:r>
      <w:bookmarkStart w:name="_bookmark702" w:id="704"/>
      <w:bookmarkEnd w:id="704"/>
      <w:r>
        <w:rPr/>
        <w:t>of</w:t>
      </w:r>
      <w:r>
        <w:rPr/>
        <w:t> fair dealing, and to be faithful to the agreed common purpose, and to act consistently with the justified expectations of the parties.” </w:t>
      </w:r>
      <w:r>
        <w:rPr>
          <w:color w:val="005DA1"/>
          <w:u w:val="single" w:color="005DA1"/>
          <w:vertAlign w:val="superscript"/>
        </w:rPr>
        <w:t>420</w:t>
      </w:r>
    </w:p>
    <w:p>
      <w:pPr>
        <w:pStyle w:val="BodyText"/>
        <w:spacing w:before="115"/>
      </w:pPr>
    </w:p>
    <w:p>
      <w:pPr>
        <w:pStyle w:val="BodyText"/>
        <w:spacing w:line="235" w:lineRule="auto"/>
        <w:ind w:left="165" w:right="166"/>
        <w:jc w:val="both"/>
      </w:pPr>
      <w:r>
        <w:rPr/>
        <w:t>While the learned judge did not require “to decide whether this obligation could only be broken if </w:t>
      </w:r>
      <w:r>
        <w:rPr/>
        <w:t>[the defendant or the claimant] acted in bad faith”, he considered that “it might be hard to understand, as </w:t>
      </w:r>
      <w:bookmarkStart w:name="_bookmark703" w:id="705"/>
      <w:bookmarkEnd w:id="705"/>
      <w:r>
        <w:rPr/>
        <w:t>Lord</w:t>
      </w:r>
      <w:r>
        <w:rPr>
          <w:spacing w:val="6"/>
        </w:rPr>
        <w:t> </w:t>
      </w:r>
      <w:r>
        <w:rPr/>
        <w:t>Scott</w:t>
      </w:r>
      <w:r>
        <w:rPr>
          <w:spacing w:val="6"/>
        </w:rPr>
        <w:t> </w:t>
      </w:r>
      <w:r>
        <w:rPr/>
        <w:t>said</w:t>
      </w:r>
      <w:r>
        <w:rPr>
          <w:spacing w:val="6"/>
        </w:rPr>
        <w:t> </w:t>
      </w:r>
      <w:r>
        <w:rPr/>
        <w:t>in</w:t>
      </w:r>
      <w:r>
        <w:rPr>
          <w:spacing w:val="6"/>
        </w:rPr>
        <w:t> </w:t>
      </w:r>
      <w:r>
        <w:rPr/>
        <w:t>Manifest</w:t>
      </w:r>
      <w:r>
        <w:rPr>
          <w:spacing w:val="6"/>
        </w:rPr>
        <w:t> </w:t>
      </w:r>
      <w:r>
        <w:rPr/>
        <w:t>Shipping,</w:t>
      </w:r>
      <w:r>
        <w:rPr>
          <w:spacing w:val="6"/>
        </w:rPr>
        <w:t> </w:t>
      </w:r>
      <w:r>
        <w:rPr/>
        <w:t>how,</w:t>
      </w:r>
      <w:r>
        <w:rPr>
          <w:spacing w:val="6"/>
        </w:rPr>
        <w:t> </w:t>
      </w:r>
      <w:r>
        <w:rPr/>
        <w:t>without</w:t>
      </w:r>
      <w:r>
        <w:rPr>
          <w:spacing w:val="6"/>
        </w:rPr>
        <w:t> </w:t>
      </w:r>
      <w:r>
        <w:rPr/>
        <w:t>bad</w:t>
      </w:r>
      <w:r>
        <w:rPr>
          <w:spacing w:val="6"/>
        </w:rPr>
        <w:t> </w:t>
      </w:r>
      <w:r>
        <w:rPr/>
        <w:t>faith,</w:t>
      </w:r>
      <w:r>
        <w:rPr>
          <w:spacing w:val="6"/>
        </w:rPr>
        <w:t> </w:t>
      </w:r>
      <w:r>
        <w:rPr/>
        <w:t>there</w:t>
      </w:r>
      <w:r>
        <w:rPr>
          <w:spacing w:val="6"/>
        </w:rPr>
        <w:t> </w:t>
      </w:r>
      <w:r>
        <w:rPr/>
        <w:t>can</w:t>
      </w:r>
      <w:r>
        <w:rPr>
          <w:spacing w:val="6"/>
        </w:rPr>
        <w:t> </w:t>
      </w:r>
      <w:r>
        <w:rPr/>
        <w:t>be</w:t>
      </w:r>
      <w:r>
        <w:rPr>
          <w:spacing w:val="6"/>
        </w:rPr>
        <w:t> </w:t>
      </w:r>
      <w:r>
        <w:rPr/>
        <w:t>a</w:t>
      </w:r>
      <w:r>
        <w:rPr>
          <w:spacing w:val="6"/>
        </w:rPr>
        <w:t> </w:t>
      </w:r>
      <w:r>
        <w:rPr/>
        <w:t>breach</w:t>
      </w:r>
      <w:r>
        <w:rPr>
          <w:spacing w:val="6"/>
        </w:rPr>
        <w:t> </w:t>
      </w:r>
      <w:r>
        <w:rPr/>
        <w:t>of</w:t>
      </w:r>
      <w:r>
        <w:rPr>
          <w:spacing w:val="6"/>
        </w:rPr>
        <w:t> </w:t>
      </w:r>
      <w:r>
        <w:rPr/>
        <w:t>a</w:t>
      </w:r>
      <w:r>
        <w:rPr>
          <w:spacing w:val="6"/>
        </w:rPr>
        <w:t> </w:t>
      </w:r>
      <w:r>
        <w:rPr/>
        <w:t>‘duty</w:t>
      </w:r>
      <w:r>
        <w:rPr>
          <w:spacing w:val="6"/>
        </w:rPr>
        <w:t> </w:t>
      </w:r>
      <w:r>
        <w:rPr/>
        <w:t>of</w:t>
      </w:r>
      <w:r>
        <w:rPr>
          <w:spacing w:val="6"/>
        </w:rPr>
        <w:t> </w:t>
      </w:r>
      <w:r>
        <w:rPr>
          <w:spacing w:val="-4"/>
        </w:rPr>
        <w:t>good</w:t>
      </w:r>
    </w:p>
    <w:p>
      <w:pPr>
        <w:pStyle w:val="BodyText"/>
        <w:spacing w:line="235" w:lineRule="auto" w:before="119"/>
        <w:ind w:left="165" w:right="168"/>
        <w:jc w:val="both"/>
      </w:pPr>
      <w:bookmarkStart w:name="_bookmark704" w:id="706"/>
      <w:bookmarkEnd w:id="706"/>
      <w:r>
        <w:rPr/>
      </w:r>
      <w:r>
        <w:rPr/>
        <w:t>faith, utmost or otherwise”’. </w:t>
      </w:r>
      <w:r>
        <w:rPr>
          <w:color w:val="005DA1"/>
          <w:u w:val="single" w:color="005DA1"/>
          <w:vertAlign w:val="superscript"/>
        </w:rPr>
        <w:t>421</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12"/>
          <w:vertAlign w:val="baseline"/>
        </w:rPr>
        <w:t> </w:t>
      </w:r>
      <w:r>
        <w:rPr>
          <w:vertAlign w:val="baseline"/>
        </w:rPr>
        <w:t>On the facts, however, he found that there had been no breach of the obligation of utmost good faith as so interpreted. </w:t>
      </w:r>
      <w:r>
        <w:rPr>
          <w:color w:val="005DA1"/>
          <w:u w:val="single" w:color="005DA1"/>
          <w:vertAlign w:val="superscript"/>
        </w:rPr>
        <w:t>422</w:t>
      </w:r>
    </w:p>
    <w:p>
      <w:pPr>
        <w:pStyle w:val="BodyText"/>
        <w:spacing w:before="80"/>
      </w:pPr>
    </w:p>
    <w:p>
      <w:pPr>
        <w:spacing w:before="0"/>
        <w:ind w:left="165" w:right="0" w:firstLine="0"/>
        <w:jc w:val="left"/>
        <w:rPr>
          <w:rFonts w:ascii="Arial"/>
          <w:b/>
          <w:sz w:val="24"/>
        </w:rPr>
      </w:pPr>
      <w:r>
        <w:rPr>
          <w:rFonts w:ascii="Arial"/>
          <w:b/>
          <w:sz w:val="24"/>
        </w:rPr>
        <w:t>1-</w:t>
      </w:r>
      <w:r>
        <w:rPr>
          <w:rFonts w:ascii="Arial"/>
          <w:b/>
          <w:spacing w:val="-5"/>
          <w:sz w:val="24"/>
        </w:rPr>
        <w:t>049</w:t>
      </w:r>
    </w:p>
    <w:p>
      <w:pPr>
        <w:pStyle w:val="BodyText"/>
        <w:spacing w:before="93"/>
        <w:rPr>
          <w:rFonts w:ascii="Arial"/>
          <w:b/>
        </w:rPr>
      </w:pPr>
    </w:p>
    <w:p>
      <w:pPr>
        <w:spacing w:line="235" w:lineRule="auto" w:before="0"/>
        <w:ind w:left="165" w:right="167" w:firstLine="0"/>
        <w:jc w:val="both"/>
        <w:rPr>
          <w:sz w:val="20"/>
        </w:rPr>
      </w:pPr>
      <w:r>
        <w:rPr>
          <w:position w:val="-2"/>
        </w:rPr>
        <w:drawing>
          <wp:inline distT="0" distB="0" distL="0" distR="0">
            <wp:extent cx="107988" cy="107988"/>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705" w:id="707"/>
      <w:bookmarkEnd w:id="707"/>
      <w:r>
        <w:rPr>
          <w:rFonts w:ascii="Times New Roman"/>
          <w:spacing w:val="15"/>
          <w:sz w:val="20"/>
        </w:rPr>
      </w:r>
      <w:r>
        <w:rPr>
          <w:sz w:val="20"/>
        </w:rPr>
        <w:t>In </w:t>
      </w:r>
      <w:r>
        <w:rPr>
          <w:rFonts w:ascii="Arial"/>
          <w:i/>
          <w:sz w:val="20"/>
        </w:rPr>
        <w:t>Mid Essex Hospital Services NHS Trust v Compass Group UK and Ireland Ltd (t/a Medirest) </w:t>
      </w:r>
      <w:r>
        <w:rPr>
          <w:color w:val="005DA1"/>
          <w:sz w:val="20"/>
          <w:u w:val="single" w:color="005DA1"/>
          <w:vertAlign w:val="superscript"/>
        </w:rPr>
        <w:t>423</w:t>
      </w:r>
      <w:r>
        <w:rPr>
          <w:color w:val="005DA1"/>
          <w:sz w:val="20"/>
          <w:vertAlign w:val="baseline"/>
        </w:rPr>
        <w:t> </w:t>
      </w:r>
      <w:r>
        <w:rPr>
          <w:sz w:val="20"/>
          <w:vertAlign w:val="baseline"/>
        </w:rPr>
        <w:t>the Court of Appeal considered the significance of an express term in a detailed contract for the supply of catering and cleaning services for a seven-year period by a contractor to an NHS Trust at one of its hospitals. The term in question provided that:</w:t>
      </w:r>
    </w:p>
    <w:p>
      <w:pPr>
        <w:pStyle w:val="BodyText"/>
      </w:pPr>
    </w:p>
    <w:p>
      <w:pPr>
        <w:pStyle w:val="BodyText"/>
        <w:spacing w:before="125"/>
      </w:pPr>
    </w:p>
    <w:p>
      <w:pPr>
        <w:pStyle w:val="BodyText"/>
        <w:spacing w:line="235" w:lineRule="auto"/>
        <w:ind w:left="1545" w:right="167"/>
        <w:jc w:val="both"/>
      </w:pPr>
      <w:r>
        <w:rPr/>
        <w:t>“The Trust and the Contractor will co-operate with each other in good faith and will take all reasonable action as is necessary for the efficient transmission of </w:t>
      </w:r>
      <w:r>
        <w:rPr/>
        <w:t>information and instructions and to enable the Trust … to derive the full benefit of the Contract.”</w:t>
      </w:r>
    </w:p>
    <w:p>
      <w:pPr>
        <w:pStyle w:val="BodyText"/>
        <w:spacing w:before="116"/>
      </w:pPr>
    </w:p>
    <w:p>
      <w:pPr>
        <w:pStyle w:val="BodyText"/>
        <w:spacing w:line="235" w:lineRule="auto"/>
        <w:ind w:left="164" w:right="167"/>
        <w:jc w:val="both"/>
      </w:pPr>
      <w:r>
        <w:rPr/>
        <w:t>At first instance, it had been held that “it accorded with commercial common sense for there to be </w:t>
      </w:r>
      <w:r>
        <w:rPr/>
        <w:t>a </w:t>
      </w:r>
      <w:bookmarkStart w:name="_bookmark706" w:id="708"/>
      <w:bookmarkEnd w:id="708"/>
      <w:r>
        <w:rPr/>
        <w:t>general</w:t>
      </w:r>
      <w:r>
        <w:rPr/>
        <w:t> obligation on both parties to co-operate in good faith” and that the Trust’s behaviour constituted breach of this obligation. </w:t>
      </w:r>
      <w:r>
        <w:rPr>
          <w:color w:val="005DA1"/>
          <w:u w:val="single" w:color="005DA1"/>
          <w:vertAlign w:val="superscript"/>
        </w:rPr>
        <w:t>424</w:t>
      </w:r>
      <w:r>
        <w:rPr>
          <w:color w:val="005DA1"/>
          <w:vertAlign w:val="baseline"/>
        </w:rPr>
        <w:t> </w:t>
      </w:r>
      <w:r>
        <w:rPr>
          <w:vertAlign w:val="baseline"/>
        </w:rPr>
        <w:t>The Court of Appeal disagreed, reversing the decision below. First,</w:t>
      </w:r>
      <w:r>
        <w:rPr>
          <w:spacing w:val="-1"/>
          <w:vertAlign w:val="baseline"/>
        </w:rPr>
        <w:t> </w:t>
      </w:r>
      <w:r>
        <w:rPr>
          <w:vertAlign w:val="baseline"/>
        </w:rPr>
        <w:t>on</w:t>
      </w:r>
      <w:r>
        <w:rPr>
          <w:spacing w:val="-1"/>
          <w:vertAlign w:val="baseline"/>
        </w:rPr>
        <w:t> </w:t>
      </w:r>
      <w:r>
        <w:rPr>
          <w:vertAlign w:val="baseline"/>
        </w:rPr>
        <w:t>its</w:t>
      </w:r>
      <w:r>
        <w:rPr>
          <w:spacing w:val="-1"/>
          <w:vertAlign w:val="baseline"/>
        </w:rPr>
        <w:t> </w:t>
      </w:r>
      <w:r>
        <w:rPr>
          <w:vertAlign w:val="baseline"/>
        </w:rPr>
        <w:t>proper</w:t>
      </w:r>
      <w:r>
        <w:rPr>
          <w:spacing w:val="-1"/>
          <w:vertAlign w:val="baseline"/>
        </w:rPr>
        <w:t> </w:t>
      </w:r>
      <w:r>
        <w:rPr>
          <w:vertAlign w:val="baseline"/>
        </w:rPr>
        <w:t>construction</w:t>
      </w:r>
      <w:r>
        <w:rPr>
          <w:spacing w:val="-1"/>
          <w:vertAlign w:val="baseline"/>
        </w:rPr>
        <w:t> </w:t>
      </w:r>
      <w:r>
        <w:rPr>
          <w:vertAlign w:val="baseline"/>
        </w:rPr>
        <w:t>the</w:t>
      </w:r>
      <w:r>
        <w:rPr>
          <w:spacing w:val="-1"/>
          <w:vertAlign w:val="baseline"/>
        </w:rPr>
        <w:t> </w:t>
      </w:r>
      <w:r>
        <w:rPr>
          <w:vertAlign w:val="baseline"/>
        </w:rPr>
        <w:t>term</w:t>
      </w:r>
      <w:r>
        <w:rPr>
          <w:spacing w:val="-1"/>
          <w:vertAlign w:val="baseline"/>
        </w:rPr>
        <w:t> </w:t>
      </w:r>
      <w:r>
        <w:rPr>
          <w:vertAlign w:val="baseline"/>
        </w:rPr>
        <w:t>did</w:t>
      </w:r>
      <w:r>
        <w:rPr>
          <w:spacing w:val="-1"/>
          <w:vertAlign w:val="baseline"/>
        </w:rPr>
        <w:t> </w:t>
      </w:r>
      <w:r>
        <w:rPr>
          <w:vertAlign w:val="baseline"/>
        </w:rPr>
        <w:t>not</w:t>
      </w:r>
      <w:r>
        <w:rPr>
          <w:spacing w:val="-1"/>
          <w:vertAlign w:val="baseline"/>
        </w:rPr>
        <w:t> </w:t>
      </w:r>
      <w:r>
        <w:rPr>
          <w:vertAlign w:val="baseline"/>
        </w:rPr>
        <w:t>create</w:t>
      </w:r>
      <w:r>
        <w:rPr>
          <w:spacing w:val="-1"/>
          <w:vertAlign w:val="baseline"/>
        </w:rPr>
        <w:t> </w:t>
      </w:r>
      <w:r>
        <w:rPr>
          <w:vertAlign w:val="baseline"/>
        </w:rPr>
        <w:t>a</w:t>
      </w:r>
      <w:r>
        <w:rPr>
          <w:spacing w:val="-1"/>
          <w:vertAlign w:val="baseline"/>
        </w:rPr>
        <w:t> </w:t>
      </w:r>
      <w:r>
        <w:rPr>
          <w:vertAlign w:val="baseline"/>
        </w:rPr>
        <w:t>general</w:t>
      </w:r>
      <w:r>
        <w:rPr>
          <w:spacing w:val="-1"/>
          <w:vertAlign w:val="baseline"/>
        </w:rPr>
        <w:t> </w:t>
      </w:r>
      <w:r>
        <w:rPr>
          <w:vertAlign w:val="baseline"/>
        </w:rPr>
        <w:t>obligation</w:t>
      </w:r>
      <w:r>
        <w:rPr>
          <w:spacing w:val="-1"/>
          <w:vertAlign w:val="baseline"/>
        </w:rPr>
        <w:t> </w:t>
      </w:r>
      <w:r>
        <w:rPr>
          <w:vertAlign w:val="baseline"/>
        </w:rPr>
        <w:t>to</w:t>
      </w:r>
      <w:r>
        <w:rPr>
          <w:spacing w:val="-1"/>
          <w:vertAlign w:val="baseline"/>
        </w:rPr>
        <w:t> </w:t>
      </w:r>
      <w:r>
        <w:rPr>
          <w:vertAlign w:val="baseline"/>
        </w:rPr>
        <w:t>co-operate</w:t>
      </w:r>
      <w:r>
        <w:rPr>
          <w:spacing w:val="-1"/>
          <w:vertAlign w:val="baseline"/>
        </w:rPr>
        <w:t> </w:t>
      </w:r>
      <w:r>
        <w:rPr>
          <w:vertAlign w:val="baseline"/>
        </w:rPr>
        <w:t>in</w:t>
      </w:r>
      <w:r>
        <w:rPr>
          <w:spacing w:val="-1"/>
          <w:vertAlign w:val="baseline"/>
        </w:rPr>
        <w:t> </w:t>
      </w:r>
      <w:r>
        <w:rPr>
          <w:vertAlign w:val="baseline"/>
        </w:rPr>
        <w:t>good</w:t>
      </w:r>
      <w:r>
        <w:rPr>
          <w:spacing w:val="-1"/>
          <w:vertAlign w:val="baseline"/>
        </w:rPr>
        <w:t> </w:t>
      </w:r>
      <w:r>
        <w:rPr>
          <w:vertAlign w:val="baseline"/>
        </w:rPr>
        <w:t>faith which “qualifies or reinforces all of the obligations of the parties in all situations where they interact”, </w:t>
      </w:r>
      <w:bookmarkStart w:name="_bookmark707" w:id="709"/>
      <w:bookmarkEnd w:id="709"/>
      <w:r>
        <w:rPr>
          <w:vertAlign w:val="baseline"/>
        </w:rPr>
        <w:t>but</w:t>
      </w:r>
      <w:r>
        <w:rPr>
          <w:spacing w:val="11"/>
          <w:vertAlign w:val="baseline"/>
        </w:rPr>
        <w:t> </w:t>
      </w:r>
      <w:r>
        <w:rPr>
          <w:vertAlign w:val="baseline"/>
        </w:rPr>
        <w:t>rather</w:t>
      </w:r>
      <w:r>
        <w:rPr>
          <w:spacing w:val="11"/>
          <w:vertAlign w:val="baseline"/>
        </w:rPr>
        <w:t> </w:t>
      </w:r>
      <w:r>
        <w:rPr>
          <w:vertAlign w:val="baseline"/>
        </w:rPr>
        <w:t>the</w:t>
      </w:r>
      <w:r>
        <w:rPr>
          <w:spacing w:val="11"/>
          <w:vertAlign w:val="baseline"/>
        </w:rPr>
        <w:t> </w:t>
      </w:r>
      <w:r>
        <w:rPr>
          <w:vertAlign w:val="baseline"/>
        </w:rPr>
        <w:t>term</w:t>
      </w:r>
      <w:r>
        <w:rPr>
          <w:spacing w:val="11"/>
          <w:vertAlign w:val="baseline"/>
        </w:rPr>
        <w:t> </w:t>
      </w:r>
      <w:r>
        <w:rPr>
          <w:vertAlign w:val="baseline"/>
        </w:rPr>
        <w:t>was</w:t>
      </w:r>
      <w:r>
        <w:rPr>
          <w:spacing w:val="11"/>
          <w:vertAlign w:val="baseline"/>
        </w:rPr>
        <w:t> </w:t>
      </w:r>
      <w:r>
        <w:rPr>
          <w:vertAlign w:val="baseline"/>
        </w:rPr>
        <w:t>“specifically</w:t>
      </w:r>
      <w:r>
        <w:rPr>
          <w:spacing w:val="11"/>
          <w:vertAlign w:val="baseline"/>
        </w:rPr>
        <w:t> </w:t>
      </w:r>
      <w:r>
        <w:rPr>
          <w:vertAlign w:val="baseline"/>
        </w:rPr>
        <w:t>focused</w:t>
      </w:r>
      <w:r>
        <w:rPr>
          <w:spacing w:val="11"/>
          <w:vertAlign w:val="baseline"/>
        </w:rPr>
        <w:t> </w:t>
      </w:r>
      <w:r>
        <w:rPr>
          <w:vertAlign w:val="baseline"/>
        </w:rPr>
        <w:t>upon</w:t>
      </w:r>
      <w:r>
        <w:rPr>
          <w:spacing w:val="11"/>
          <w:vertAlign w:val="baseline"/>
        </w:rPr>
        <w:t> </w:t>
      </w:r>
      <w:r>
        <w:rPr>
          <w:vertAlign w:val="baseline"/>
        </w:rPr>
        <w:t>the</w:t>
      </w:r>
      <w:r>
        <w:rPr>
          <w:spacing w:val="11"/>
          <w:vertAlign w:val="baseline"/>
        </w:rPr>
        <w:t> </w:t>
      </w:r>
      <w:r>
        <w:rPr>
          <w:vertAlign w:val="baseline"/>
        </w:rPr>
        <w:t>two</w:t>
      </w:r>
      <w:r>
        <w:rPr>
          <w:spacing w:val="11"/>
          <w:vertAlign w:val="baseline"/>
        </w:rPr>
        <w:t> </w:t>
      </w:r>
      <w:r>
        <w:rPr>
          <w:vertAlign w:val="baseline"/>
        </w:rPr>
        <w:t>purposes</w:t>
      </w:r>
      <w:r>
        <w:rPr>
          <w:spacing w:val="11"/>
          <w:vertAlign w:val="baseline"/>
        </w:rPr>
        <w:t> </w:t>
      </w:r>
      <w:r>
        <w:rPr>
          <w:vertAlign w:val="baseline"/>
        </w:rPr>
        <w:t>stated</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second</w:t>
      </w:r>
      <w:r>
        <w:rPr>
          <w:spacing w:val="11"/>
          <w:vertAlign w:val="baseline"/>
        </w:rPr>
        <w:t> </w:t>
      </w:r>
      <w:r>
        <w:rPr>
          <w:vertAlign w:val="baseline"/>
        </w:rPr>
        <w:t>half</w:t>
      </w:r>
      <w:r>
        <w:rPr>
          <w:spacing w:val="11"/>
          <w:vertAlign w:val="baseline"/>
        </w:rPr>
        <w:t> </w:t>
      </w:r>
      <w:r>
        <w:rPr>
          <w:vertAlign w:val="baseline"/>
        </w:rPr>
        <w:t>of</w:t>
      </w:r>
      <w:r>
        <w:rPr>
          <w:spacing w:val="11"/>
          <w:vertAlign w:val="baseline"/>
        </w:rPr>
        <w:t> </w:t>
      </w:r>
      <w:r>
        <w:rPr>
          <w:spacing w:val="-4"/>
          <w:vertAlign w:val="baseline"/>
        </w:rPr>
        <w:t>that</w:t>
      </w:r>
    </w:p>
    <w:p>
      <w:pPr>
        <w:pStyle w:val="BodyText"/>
        <w:spacing w:line="235" w:lineRule="auto" w:before="118"/>
        <w:ind w:left="164" w:right="167"/>
        <w:jc w:val="both"/>
      </w:pPr>
      <w:r>
        <w:rPr/>
        <w:t>sentence”. </w:t>
      </w:r>
      <w:r>
        <w:rPr>
          <w:color w:val="005DA1"/>
          <w:u w:val="single" w:color="005DA1"/>
          <w:vertAlign w:val="superscript"/>
        </w:rPr>
        <w:t>425</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vertAlign w:val="baseline"/>
        </w:rPr>
        <w:t> </w:t>
      </w:r>
      <w:r>
        <w:rPr>
          <w:vertAlign w:val="baseline"/>
        </w:rPr>
        <w:t>As Beatson L.J. observed, “care must be taken not to construe a general </w:t>
      </w:r>
      <w:r>
        <w:rPr>
          <w:vertAlign w:val="baseline"/>
        </w:rPr>
        <w:t>and potentially openended obligation such as the obligation to ‘co-operate’ or ‘to act in good faith’ as </w:t>
      </w:r>
      <w:bookmarkStart w:name="_bookmark708" w:id="710"/>
      <w:bookmarkEnd w:id="710"/>
      <w:r>
        <w:rPr>
          <w:vertAlign w:val="baseline"/>
        </w:rPr>
        <w:t>covering</w:t>
      </w:r>
      <w:r>
        <w:rPr>
          <w:vertAlign w:val="baseline"/>
        </w:rPr>
        <w:t> the same ground as other, more specific provisions, lest it cut across those more specific </w:t>
      </w:r>
      <w:bookmarkStart w:name="_bookmark709" w:id="711"/>
      <w:bookmarkEnd w:id="711"/>
      <w:r>
        <w:rPr>
          <w:vertAlign w:val="baseline"/>
        </w:rPr>
        <w:t>provisions</w:t>
      </w:r>
      <w:r>
        <w:rPr>
          <w:vertAlign w:val="baseline"/>
        </w:rPr>
        <w:t> and any limitations in them”. </w:t>
      </w:r>
      <w:r>
        <w:rPr>
          <w:color w:val="005DA1"/>
          <w:u w:val="single" w:color="005DA1"/>
          <w:vertAlign w:val="superscript"/>
        </w:rPr>
        <w:t>426</w:t>
      </w:r>
      <w:r>
        <w:rPr>
          <w:color w:val="005DA1"/>
          <w:vertAlign w:val="baseline"/>
        </w:rPr>
        <w:t> </w:t>
      </w:r>
      <w:r>
        <w:rPr>
          <w:vertAlign w:val="baseline"/>
        </w:rPr>
        <w:t>Secondly, the Court of Appeal considered that “it is clear from the authorities that the content of a duty of good faith is heavily conditioned by its context” </w:t>
      </w:r>
      <w:r>
        <w:rPr>
          <w:color w:val="005DA1"/>
          <w:u w:val="single" w:color="005DA1"/>
          <w:vertAlign w:val="superscript"/>
        </w:rPr>
        <w:t>427</w:t>
      </w:r>
      <w:r>
        <w:rPr>
          <w:color w:val="005DA1"/>
          <w:spacing w:val="40"/>
          <w:vertAlign w:val="baseline"/>
        </w:rPr>
        <w:t> </w:t>
      </w:r>
      <w:bookmarkStart w:name="_bookmark710" w:id="712"/>
      <w:bookmarkEnd w:id="712"/>
      <w:r>
        <w:rPr>
          <w:color w:val="005DA1"/>
          <w:w w:val="92"/>
          <w:vertAlign w:val="baseline"/>
        </w:rPr>
      </w:r>
      <w:r>
        <w:rPr>
          <w:vertAlign w:val="baseline"/>
        </w:rPr>
        <w:t>and in the context the relevant term means that the “parties will work together honestly endeavouring to achieve the two stated purposes”. </w:t>
      </w:r>
      <w:r>
        <w:rPr>
          <w:color w:val="005DA1"/>
          <w:u w:val="single" w:color="005DA1"/>
          <w:vertAlign w:val="superscript"/>
        </w:rPr>
        <w:t>428</w:t>
      </w:r>
      <w:r>
        <w:rPr>
          <w:color w:val="005DA1"/>
          <w:vertAlign w:val="baseline"/>
        </w:rPr>
        <w:t> </w:t>
      </w:r>
      <w:r>
        <w:rPr>
          <w:vertAlign w:val="baseline"/>
        </w:rPr>
        <w:t>Having so decided, the Court of Appeal held that the </w:t>
      </w:r>
      <w:bookmarkStart w:name="_bookmark711" w:id="713"/>
      <w:bookmarkEnd w:id="713"/>
      <w:r>
        <w:rPr>
          <w:vertAlign w:val="baseline"/>
        </w:rPr>
        <w:t>behaviour</w:t>
      </w:r>
      <w:r>
        <w:rPr>
          <w:vertAlign w:val="baseline"/>
        </w:rPr>
        <w:t> complained of by the contractor related to neither of the purposes set by the term; nor had there been any finding of dishonesty by the Trust. </w:t>
      </w:r>
      <w:r>
        <w:rPr>
          <w:color w:val="005DA1"/>
          <w:u w:val="single" w:color="005DA1"/>
          <w:vertAlign w:val="superscript"/>
        </w:rPr>
        <w:t>429</w:t>
      </w:r>
      <w:r>
        <w:rPr>
          <w:color w:val="005DA1"/>
          <w:vertAlign w:val="baseline"/>
        </w:rPr>
        <w:t> </w:t>
      </w:r>
      <w:r>
        <w:rPr>
          <w:vertAlign w:val="baseline"/>
        </w:rPr>
        <w:t>As a result, the Trust was not in breach of its obligation under this express term.</w:t>
      </w:r>
    </w:p>
    <w:p>
      <w:pPr>
        <w:pStyle w:val="BodyText"/>
      </w:pPr>
    </w:p>
    <w:p>
      <w:pPr>
        <w:pStyle w:val="BodyText"/>
        <w:spacing w:before="34"/>
      </w:pPr>
    </w:p>
    <w:p>
      <w:pPr>
        <w:spacing w:before="1"/>
        <w:ind w:left="165" w:right="0" w:firstLine="0"/>
        <w:jc w:val="both"/>
        <w:rPr>
          <w:rFonts w:ascii="Arial"/>
          <w:b/>
          <w:sz w:val="18"/>
        </w:rPr>
      </w:pPr>
      <w:r>
        <w:rPr>
          <w:rFonts w:ascii="Arial"/>
          <w:b/>
          <w:sz w:val="18"/>
        </w:rPr>
        <w:t>Express term to act </w:t>
      </w:r>
      <w:r>
        <w:rPr>
          <w:rFonts w:ascii="Arial"/>
          <w:b/>
          <w:spacing w:val="-2"/>
          <w:sz w:val="18"/>
        </w:rPr>
        <w:t>fairly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050</w:t>
      </w:r>
    </w:p>
    <w:p>
      <w:pPr>
        <w:pStyle w:val="BodyText"/>
        <w:spacing w:line="235" w:lineRule="auto" w:before="202"/>
        <w:ind w:left="165" w:right="167"/>
        <w:jc w:val="both"/>
      </w:pPr>
      <w:bookmarkStart w:name="_bookmark712" w:id="714"/>
      <w:bookmarkEnd w:id="714"/>
      <w:r>
        <w:rPr/>
      </w:r>
      <w:r>
        <w:rPr/>
        <w:t>In a very different context, in </w:t>
      </w:r>
      <w:r>
        <w:rPr>
          <w:rFonts w:ascii="Arial" w:hAnsi="Arial"/>
          <w:i/>
        </w:rPr>
        <w:t>Gray v Marlborough College </w:t>
      </w:r>
      <w:r>
        <w:rPr>
          <w:color w:val="005DA1"/>
          <w:u w:val="single" w:color="005DA1"/>
          <w:vertAlign w:val="superscript"/>
        </w:rPr>
        <w:t>430</w:t>
      </w:r>
      <w:r>
        <w:rPr>
          <w:color w:val="005DA1"/>
          <w:vertAlign w:val="baseline"/>
        </w:rPr>
        <w:t> </w:t>
      </w:r>
      <w:r>
        <w:rPr>
          <w:vertAlign w:val="baseline"/>
        </w:rPr>
        <w:t>the Court of Appeal considered the significance of an express term in the standard contract between an independent school and the parent of one of its pupils which required the headmaster of the school to consult the pupil’s parents and</w:t>
      </w:r>
      <w:r>
        <w:rPr>
          <w:spacing w:val="-1"/>
          <w:vertAlign w:val="baseline"/>
        </w:rPr>
        <w:t> </w:t>
      </w:r>
      <w:r>
        <w:rPr>
          <w:vertAlign w:val="baseline"/>
        </w:rPr>
        <w:t>generally</w:t>
      </w:r>
      <w:r>
        <w:rPr>
          <w:spacing w:val="-1"/>
          <w:vertAlign w:val="baseline"/>
        </w:rPr>
        <w:t> </w:t>
      </w:r>
      <w:r>
        <w:rPr>
          <w:vertAlign w:val="baseline"/>
        </w:rPr>
        <w:t>to</w:t>
      </w:r>
      <w:r>
        <w:rPr>
          <w:spacing w:val="-1"/>
          <w:vertAlign w:val="baseline"/>
        </w:rPr>
        <w:t> </w:t>
      </w:r>
      <w:r>
        <w:rPr>
          <w:vertAlign w:val="baseline"/>
        </w:rPr>
        <w:t>act</w:t>
      </w:r>
      <w:r>
        <w:rPr>
          <w:spacing w:val="-1"/>
          <w:vertAlign w:val="baseline"/>
        </w:rPr>
        <w:t> </w:t>
      </w:r>
      <w:r>
        <w:rPr>
          <w:vertAlign w:val="baseline"/>
        </w:rPr>
        <w:t>fairly</w:t>
      </w:r>
      <w:r>
        <w:rPr>
          <w:spacing w:val="-1"/>
          <w:vertAlign w:val="baseline"/>
        </w:rPr>
        <w:t> </w:t>
      </w:r>
      <w:r>
        <w:rPr>
          <w:vertAlign w:val="baseline"/>
        </w:rPr>
        <w:t>before</w:t>
      </w:r>
      <w:r>
        <w:rPr>
          <w:spacing w:val="-1"/>
          <w:vertAlign w:val="baseline"/>
        </w:rPr>
        <w:t> </w:t>
      </w:r>
      <w:r>
        <w:rPr>
          <w:vertAlign w:val="baseline"/>
        </w:rPr>
        <w:t>requiring</w:t>
      </w:r>
      <w:r>
        <w:rPr>
          <w:spacing w:val="-1"/>
          <w:vertAlign w:val="baseline"/>
        </w:rPr>
        <w:t> </w:t>
      </w:r>
      <w:r>
        <w:rPr>
          <w:vertAlign w:val="baseline"/>
        </w:rPr>
        <w:t>the</w:t>
      </w:r>
      <w:r>
        <w:rPr>
          <w:spacing w:val="-1"/>
          <w:vertAlign w:val="baseline"/>
        </w:rPr>
        <w:t> </w:t>
      </w:r>
      <w:r>
        <w:rPr>
          <w:vertAlign w:val="baseline"/>
        </w:rPr>
        <w:t>pupil’s</w:t>
      </w:r>
      <w:r>
        <w:rPr>
          <w:spacing w:val="-1"/>
          <w:vertAlign w:val="baseline"/>
        </w:rPr>
        <w:t> </w:t>
      </w:r>
      <w:r>
        <w:rPr>
          <w:vertAlign w:val="baseline"/>
        </w:rPr>
        <w:t>removal</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school.</w:t>
      </w:r>
      <w:r>
        <w:rPr>
          <w:spacing w:val="-1"/>
          <w:vertAlign w:val="baseline"/>
        </w:rPr>
        <w:t> </w:t>
      </w:r>
      <w:r>
        <w:rPr>
          <w:vertAlign w:val="baseline"/>
        </w:rPr>
        <w:t>For</w:t>
      </w:r>
      <w:r>
        <w:rPr>
          <w:spacing w:val="-1"/>
          <w:vertAlign w:val="baseline"/>
        </w:rPr>
        <w:t> </w:t>
      </w:r>
      <w:r>
        <w:rPr>
          <w:vertAlign w:val="baseline"/>
        </w:rPr>
        <w:t>this</w:t>
      </w:r>
      <w:r>
        <w:rPr>
          <w:spacing w:val="-1"/>
          <w:vertAlign w:val="baseline"/>
        </w:rPr>
        <w:t> </w:t>
      </w:r>
      <w:r>
        <w:rPr>
          <w:vertAlign w:val="baseline"/>
        </w:rPr>
        <w:t>purpose,</w:t>
      </w:r>
      <w:r>
        <w:rPr>
          <w:spacing w:val="-1"/>
          <w:vertAlign w:val="baseline"/>
        </w:rPr>
        <w:t> </w:t>
      </w:r>
      <w:r>
        <w:rPr>
          <w:vertAlign w:val="baseline"/>
        </w:rPr>
        <w:t>in</w:t>
      </w:r>
      <w:r>
        <w:rPr>
          <w:spacing w:val="-1"/>
          <w:vertAlign w:val="baseline"/>
        </w:rPr>
        <w:t> </w:t>
      </w:r>
      <w:r>
        <w:rPr>
          <w:vertAlign w:val="baseline"/>
        </w:rPr>
        <w:t>the view of Auld L.J.:</w:t>
      </w:r>
    </w:p>
    <w:p>
      <w:pPr>
        <w:pStyle w:val="BodyText"/>
      </w:pPr>
    </w:p>
    <w:p>
      <w:pPr>
        <w:pStyle w:val="BodyText"/>
        <w:spacing w:before="121"/>
      </w:pPr>
    </w:p>
    <w:p>
      <w:pPr>
        <w:pStyle w:val="BodyText"/>
        <w:spacing w:before="1"/>
        <w:ind w:left="1545"/>
        <w:jc w:val="both"/>
      </w:pPr>
      <w:r>
        <w:rPr/>
        <w:t>“…</w:t>
      </w:r>
      <w:r>
        <w:rPr>
          <w:spacing w:val="8"/>
        </w:rPr>
        <w:t> </w:t>
      </w:r>
      <w:r>
        <w:rPr/>
        <w:t>fairness</w:t>
      </w:r>
      <w:r>
        <w:rPr>
          <w:spacing w:val="8"/>
        </w:rPr>
        <w:t> </w:t>
      </w:r>
      <w:r>
        <w:rPr/>
        <w:t>is</w:t>
      </w:r>
      <w:r>
        <w:rPr>
          <w:spacing w:val="8"/>
        </w:rPr>
        <w:t> </w:t>
      </w:r>
      <w:r>
        <w:rPr/>
        <w:t>a</w:t>
      </w:r>
      <w:r>
        <w:rPr>
          <w:spacing w:val="8"/>
        </w:rPr>
        <w:t> </w:t>
      </w:r>
      <w:r>
        <w:rPr/>
        <w:t>flexible</w:t>
      </w:r>
      <w:r>
        <w:rPr>
          <w:spacing w:val="8"/>
        </w:rPr>
        <w:t> </w:t>
      </w:r>
      <w:r>
        <w:rPr/>
        <w:t>principle</w:t>
      </w:r>
      <w:r>
        <w:rPr>
          <w:spacing w:val="8"/>
        </w:rPr>
        <w:t> </w:t>
      </w:r>
      <w:r>
        <w:rPr/>
        <w:t>and</w:t>
      </w:r>
      <w:r>
        <w:rPr>
          <w:spacing w:val="8"/>
        </w:rPr>
        <w:t> </w:t>
      </w:r>
      <w:r>
        <w:rPr/>
        <w:t>highly</w:t>
      </w:r>
      <w:r>
        <w:rPr>
          <w:spacing w:val="8"/>
        </w:rPr>
        <w:t> </w:t>
      </w:r>
      <w:r>
        <w:rPr/>
        <w:t>fact-sensitive</w:t>
      </w:r>
      <w:r>
        <w:rPr>
          <w:spacing w:val="8"/>
        </w:rPr>
        <w:t> </w:t>
      </w:r>
      <w:r>
        <w:rPr/>
        <w:t>in</w:t>
      </w:r>
      <w:r>
        <w:rPr>
          <w:spacing w:val="8"/>
        </w:rPr>
        <w:t> </w:t>
      </w:r>
      <w:r>
        <w:rPr/>
        <w:t>its</w:t>
      </w:r>
      <w:r>
        <w:rPr>
          <w:spacing w:val="8"/>
        </w:rPr>
        <w:t> </w:t>
      </w:r>
      <w:r>
        <w:rPr/>
        <w:t>application.</w:t>
      </w:r>
      <w:r>
        <w:rPr>
          <w:spacing w:val="8"/>
        </w:rPr>
        <w:t> </w:t>
      </w:r>
      <w:r>
        <w:rPr/>
        <w:t>That</w:t>
      </w:r>
      <w:r>
        <w:rPr>
          <w:spacing w:val="8"/>
        </w:rPr>
        <w:t> </w:t>
      </w:r>
      <w:r>
        <w:rPr/>
        <w:t>is</w:t>
      </w:r>
      <w:r>
        <w:rPr>
          <w:spacing w:val="8"/>
        </w:rPr>
        <w:t> </w:t>
      </w:r>
      <w:r>
        <w:rPr>
          <w:spacing w:val="-5"/>
        </w:rPr>
        <w:t>so</w:t>
      </w:r>
    </w:p>
    <w:p>
      <w:pPr>
        <w:pStyle w:val="BodyText"/>
        <w:spacing w:after="0"/>
        <w:jc w:val="both"/>
        <w:sectPr>
          <w:pgSz w:w="11900" w:h="16840"/>
          <w:pgMar w:header="971" w:footer="0" w:top="1300" w:bottom="280" w:left="1275" w:right="1275"/>
        </w:sectPr>
      </w:pPr>
    </w:p>
    <w:p>
      <w:pPr>
        <w:pStyle w:val="BodyText"/>
        <w:spacing w:before="167"/>
      </w:pPr>
    </w:p>
    <w:p>
      <w:pPr>
        <w:pStyle w:val="BodyText"/>
        <w:spacing w:line="235" w:lineRule="auto"/>
        <w:ind w:left="1545" w:right="167"/>
        <w:jc w:val="both"/>
      </w:pPr>
      <w:r>
        <w:rPr/>
        <w:t>whether</w:t>
      </w:r>
      <w:r>
        <w:rPr>
          <w:spacing w:val="-1"/>
        </w:rPr>
        <w:t> </w:t>
      </w:r>
      <w:r>
        <w:rPr/>
        <w:t>a</w:t>
      </w:r>
      <w:r>
        <w:rPr>
          <w:spacing w:val="-1"/>
        </w:rPr>
        <w:t> </w:t>
      </w:r>
      <w:r>
        <w:rPr/>
        <w:t>duty</w:t>
      </w:r>
      <w:r>
        <w:rPr>
          <w:spacing w:val="-1"/>
        </w:rPr>
        <w:t> </w:t>
      </w:r>
      <w:r>
        <w:rPr/>
        <w:t>to</w:t>
      </w:r>
      <w:r>
        <w:rPr>
          <w:spacing w:val="-1"/>
        </w:rPr>
        <w:t> </w:t>
      </w:r>
      <w:r>
        <w:rPr/>
        <w:t>act</w:t>
      </w:r>
      <w:r>
        <w:rPr>
          <w:spacing w:val="-1"/>
        </w:rPr>
        <w:t> </w:t>
      </w:r>
      <w:r>
        <w:rPr/>
        <w:t>fairly</w:t>
      </w:r>
      <w:r>
        <w:rPr>
          <w:spacing w:val="-1"/>
        </w:rPr>
        <w:t> </w:t>
      </w:r>
      <w:r>
        <w:rPr/>
        <w:t>is</w:t>
      </w:r>
      <w:r>
        <w:rPr>
          <w:spacing w:val="-1"/>
        </w:rPr>
        <w:t> </w:t>
      </w:r>
      <w:r>
        <w:rPr/>
        <w:t>one</w:t>
      </w:r>
      <w:r>
        <w:rPr>
          <w:spacing w:val="-1"/>
        </w:rPr>
        <w:t> </w:t>
      </w:r>
      <w:r>
        <w:rPr/>
        <w:t>of</w:t>
      </w:r>
      <w:r>
        <w:rPr>
          <w:spacing w:val="-1"/>
        </w:rPr>
        <w:t> </w:t>
      </w:r>
      <w:r>
        <w:rPr/>
        <w:t>public</w:t>
      </w:r>
      <w:r>
        <w:rPr>
          <w:spacing w:val="-1"/>
        </w:rPr>
        <w:t> </w:t>
      </w:r>
      <w:r>
        <w:rPr/>
        <w:t>law</w:t>
      </w:r>
      <w:r>
        <w:rPr>
          <w:spacing w:val="-1"/>
        </w:rPr>
        <w:t> </w:t>
      </w:r>
      <w:r>
        <w:rPr/>
        <w:t>or</w:t>
      </w:r>
      <w:r>
        <w:rPr>
          <w:spacing w:val="-1"/>
        </w:rPr>
        <w:t> </w:t>
      </w:r>
      <w:r>
        <w:rPr/>
        <w:t>contractual</w:t>
      </w:r>
      <w:r>
        <w:rPr>
          <w:spacing w:val="-1"/>
        </w:rPr>
        <w:t> </w:t>
      </w:r>
      <w:r>
        <w:rPr/>
        <w:t>in</w:t>
      </w:r>
      <w:r>
        <w:rPr>
          <w:spacing w:val="-1"/>
        </w:rPr>
        <w:t> </w:t>
      </w:r>
      <w:r>
        <w:rPr/>
        <w:t>nature.</w:t>
      </w:r>
      <w:r>
        <w:rPr>
          <w:spacing w:val="-1"/>
        </w:rPr>
        <w:t> </w:t>
      </w:r>
      <w:r>
        <w:rPr/>
        <w:t>Much</w:t>
      </w:r>
      <w:r>
        <w:rPr>
          <w:spacing w:val="-1"/>
        </w:rPr>
        <w:t> </w:t>
      </w:r>
      <w:r>
        <w:rPr/>
        <w:t>depends on the context of and procedural framework in which a decision is made, the nature of </w:t>
      </w:r>
      <w:bookmarkStart w:name="_bookmark713" w:id="715"/>
      <w:bookmarkEnd w:id="715"/>
      <w:r>
        <w:rPr/>
        <w:t>the</w:t>
      </w:r>
      <w:r>
        <w:rPr/>
        <w:t> decision, who made it, how it was made, what is at stake and the contribution, if any, by those affected by it to the chain of events leading to it.” </w:t>
      </w:r>
      <w:r>
        <w:rPr>
          <w:color w:val="005DA1"/>
          <w:u w:val="single" w:color="005DA1"/>
          <w:vertAlign w:val="superscript"/>
        </w:rPr>
        <w:t>431</w:t>
      </w:r>
    </w:p>
    <w:p>
      <w:pPr>
        <w:pStyle w:val="BodyText"/>
        <w:spacing w:before="115"/>
      </w:pPr>
    </w:p>
    <w:p>
      <w:pPr>
        <w:pStyle w:val="BodyText"/>
        <w:spacing w:line="235" w:lineRule="auto"/>
        <w:ind w:left="164"/>
      </w:pPr>
      <w:bookmarkStart w:name="_bookmark714" w:id="716"/>
      <w:bookmarkEnd w:id="716"/>
      <w:r>
        <w:rPr/>
      </w:r>
      <w:r>
        <w:rPr/>
        <w:t>As will be seen, the courts have sometimes also seen some </w:t>
      </w:r>
      <w:r>
        <w:rPr>
          <w:rFonts w:ascii="Arial"/>
          <w:i/>
        </w:rPr>
        <w:t>implied </w:t>
      </w:r>
      <w:r>
        <w:rPr/>
        <w:t>contractual duties to act fairly </w:t>
      </w:r>
      <w:r>
        <w:rPr/>
        <w:t>as analogous to public law duties, though sometimes this analogy has been rejected. </w:t>
      </w:r>
      <w:r>
        <w:rPr>
          <w:color w:val="005DA1"/>
          <w:u w:val="single" w:color="005DA1"/>
          <w:vertAlign w:val="superscript"/>
        </w:rPr>
        <w:t>432</w:t>
      </w:r>
    </w:p>
    <w:p>
      <w:pPr>
        <w:pStyle w:val="BodyText"/>
      </w:pPr>
    </w:p>
    <w:p>
      <w:pPr>
        <w:pStyle w:val="BodyText"/>
        <w:spacing w:before="38"/>
      </w:pPr>
    </w:p>
    <w:p>
      <w:pPr>
        <w:pStyle w:val="ListParagraph"/>
        <w:numPr>
          <w:ilvl w:val="0"/>
          <w:numId w:val="5"/>
        </w:numPr>
        <w:tabs>
          <w:tab w:pos="484" w:val="left" w:leader="none"/>
        </w:tabs>
        <w:spacing w:line="240" w:lineRule="auto" w:before="0" w:after="0"/>
        <w:ind w:left="484" w:right="0" w:hanging="319"/>
        <w:jc w:val="left"/>
        <w:rPr>
          <w:b/>
          <w:sz w:val="18"/>
        </w:rPr>
      </w:pPr>
      <w:r>
        <w:rPr>
          <w:b/>
          <w:sz w:val="18"/>
        </w:rPr>
        <w:t>Contractual </w:t>
      </w:r>
      <w:r>
        <w:rPr>
          <w:b/>
          <w:spacing w:val="-2"/>
          <w:sz w:val="18"/>
        </w:rPr>
        <w:t>interpretation</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051</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Considerations of fairness and reasonableness are more generally relevant to the way in </w:t>
      </w:r>
      <w:r>
        <w:rPr/>
        <w:t>which English courts treat the consequences of making contracts in several different ways. First, the</w:t>
      </w:r>
      <w:r>
        <w:rPr>
          <w:spacing w:val="40"/>
        </w:rPr>
        <w:t> </w:t>
      </w:r>
      <w:r>
        <w:rPr/>
        <w:t>fairness or reasonableness of the result reached is clearly relevant to the interpretation of the express </w:t>
      </w:r>
      <w:bookmarkStart w:name="_bookmark715" w:id="717"/>
      <w:bookmarkEnd w:id="717"/>
      <w:r>
        <w:rPr/>
        <w:t>terms</w:t>
      </w:r>
      <w:r>
        <w:rPr/>
        <w:t> which the parties have made. The courts have long made clear that, in general, they should look to the intention of the parties rather than the strict letter of a contract’s stipulations </w:t>
      </w:r>
      <w:r>
        <w:rPr>
          <w:color w:val="005DA1"/>
          <w:u w:val="single" w:color="005DA1"/>
          <w:vertAlign w:val="superscript"/>
        </w:rPr>
        <w:t>433</w:t>
      </w:r>
      <w:r>
        <w:rPr>
          <w:color w:val="005DA1"/>
          <w:vertAlign w:val="baseline"/>
        </w:rPr>
        <w:t> </w:t>
      </w:r>
      <w:r>
        <w:rPr>
          <w:vertAlign w:val="baseline"/>
        </w:rPr>
        <w:t>and in interpreting their intention, the courts look at the factual matrix of the contract:</w:t>
      </w:r>
    </w:p>
    <w:p>
      <w:pPr>
        <w:pStyle w:val="BodyText"/>
      </w:pPr>
    </w:p>
    <w:p>
      <w:pPr>
        <w:pStyle w:val="BodyText"/>
        <w:spacing w:before="124"/>
      </w:pPr>
    </w:p>
    <w:p>
      <w:pPr>
        <w:pStyle w:val="BodyText"/>
        <w:spacing w:line="235" w:lineRule="auto" w:before="1"/>
        <w:ind w:left="1545" w:right="167"/>
        <w:jc w:val="both"/>
      </w:pPr>
      <w:r>
        <w:rPr/>
        <w:t>“… modern principles of construction require the court to have regard to the commercial background, the context of the contract and the circumstances of the parties, and to consider whether, against that background and in that context, to give </w:t>
      </w:r>
      <w:bookmarkStart w:name="_bookmark716" w:id="718"/>
      <w:bookmarkEnd w:id="718"/>
      <w:r>
        <w:rPr/>
        <w:t>the</w:t>
      </w:r>
      <w:r>
        <w:rPr>
          <w:spacing w:val="-2"/>
        </w:rPr>
        <w:t> </w:t>
      </w:r>
      <w:r>
        <w:rPr/>
        <w:t>words</w:t>
      </w:r>
      <w:r>
        <w:rPr>
          <w:spacing w:val="-2"/>
        </w:rPr>
        <w:t> </w:t>
      </w:r>
      <w:r>
        <w:rPr/>
        <w:t>a</w:t>
      </w:r>
      <w:r>
        <w:rPr>
          <w:spacing w:val="-2"/>
        </w:rPr>
        <w:t> </w:t>
      </w:r>
      <w:r>
        <w:rPr/>
        <w:t>particular</w:t>
      </w:r>
      <w:r>
        <w:rPr>
          <w:spacing w:val="-2"/>
        </w:rPr>
        <w:t> </w:t>
      </w:r>
      <w:r>
        <w:rPr/>
        <w:t>or</w:t>
      </w:r>
      <w:r>
        <w:rPr>
          <w:spacing w:val="-2"/>
        </w:rPr>
        <w:t> </w:t>
      </w:r>
      <w:r>
        <w:rPr/>
        <w:t>restricted</w:t>
      </w:r>
      <w:r>
        <w:rPr>
          <w:spacing w:val="-2"/>
        </w:rPr>
        <w:t> </w:t>
      </w:r>
      <w:r>
        <w:rPr/>
        <w:t>meaning</w:t>
      </w:r>
      <w:r>
        <w:rPr>
          <w:spacing w:val="-2"/>
        </w:rPr>
        <w:t> </w:t>
      </w:r>
      <w:r>
        <w:rPr/>
        <w:t>would</w:t>
      </w:r>
      <w:r>
        <w:rPr>
          <w:spacing w:val="-2"/>
        </w:rPr>
        <w:t> </w:t>
      </w:r>
      <w:r>
        <w:rPr/>
        <w:t>lead</w:t>
      </w:r>
      <w:r>
        <w:rPr>
          <w:spacing w:val="-2"/>
        </w:rPr>
        <w:t> </w:t>
      </w:r>
      <w:r>
        <w:rPr/>
        <w:t>to</w:t>
      </w:r>
      <w:r>
        <w:rPr>
          <w:spacing w:val="-2"/>
        </w:rPr>
        <w:t> </w:t>
      </w:r>
      <w:r>
        <w:rPr/>
        <w:t>an</w:t>
      </w:r>
      <w:r>
        <w:rPr>
          <w:spacing w:val="-2"/>
        </w:rPr>
        <w:t> </w:t>
      </w:r>
      <w:r>
        <w:rPr/>
        <w:t>apparently</w:t>
      </w:r>
      <w:r>
        <w:rPr>
          <w:spacing w:val="-2"/>
        </w:rPr>
        <w:t> </w:t>
      </w:r>
      <w:r>
        <w:rPr/>
        <w:t>unreasonable and unfair result.” </w:t>
      </w:r>
      <w:r>
        <w:rPr>
          <w:color w:val="005DA1"/>
          <w:u w:val="single" w:color="005DA1"/>
          <w:vertAlign w:val="superscript"/>
        </w:rPr>
        <w:t>434</w:t>
      </w:r>
    </w:p>
    <w:p>
      <w:pPr>
        <w:pStyle w:val="BodyText"/>
        <w:spacing w:before="114"/>
      </w:pPr>
    </w:p>
    <w:p>
      <w:pPr>
        <w:pStyle w:val="BodyText"/>
        <w:spacing w:line="235" w:lineRule="auto" w:before="1"/>
        <w:ind w:left="164" w:right="167"/>
        <w:jc w:val="both"/>
      </w:pPr>
      <w:bookmarkStart w:name="_bookmark717" w:id="719"/>
      <w:bookmarkEnd w:id="719"/>
      <w:r>
        <w:rPr/>
      </w:r>
      <w:r>
        <w:rPr/>
        <w:t>As Lord Reid earlier observed, “[t]he more unreasonable the result the more unlikely it is that the parties can have intended it”. </w:t>
      </w:r>
      <w:r>
        <w:rPr>
          <w:color w:val="005DA1"/>
          <w:u w:val="single" w:color="005DA1"/>
          <w:vertAlign w:val="superscript"/>
        </w:rPr>
        <w:t>435</w:t>
      </w:r>
      <w:r>
        <w:rPr>
          <w:color w:val="005DA1"/>
          <w:vertAlign w:val="baseline"/>
        </w:rPr>
        <w:t> </w:t>
      </w:r>
      <w:r>
        <w:rPr>
          <w:vertAlign w:val="baseline"/>
        </w:rPr>
        <w:t>The Supreme Court has recently confirmed in the context of a commercial guarantee that “[i]f there are two possible constructions, the court is entitled to prefer the </w:t>
      </w:r>
      <w:bookmarkStart w:name="_bookmark718" w:id="720"/>
      <w:bookmarkEnd w:id="720"/>
      <w:r>
        <w:rPr>
          <w:vertAlign w:val="baseline"/>
        </w:rPr>
        <w:t>construction</w:t>
      </w:r>
      <w:r>
        <w:rPr>
          <w:vertAlign w:val="baseline"/>
        </w:rPr>
        <w:t> which is consistent with business common sense and to reject the other”, although </w:t>
      </w:r>
      <w:r>
        <w:rPr>
          <w:vertAlign w:val="baseline"/>
        </w:rPr>
        <w:t>it added that “[w]here the parties have used unambiguous language, the court must apply it”. </w:t>
      </w:r>
      <w:r>
        <w:rPr>
          <w:color w:val="005DA1"/>
          <w:u w:val="single" w:color="005DA1"/>
          <w:vertAlign w:val="superscript"/>
        </w:rPr>
        <w:t>436</w:t>
      </w:r>
      <w:r>
        <w:rPr>
          <w:color w:val="005DA1"/>
          <w:vertAlign w:val="baseline"/>
        </w:rPr>
        <w:t> </w:t>
      </w:r>
      <w:r>
        <w:rPr>
          <w:vertAlign w:val="baseline"/>
        </w:rPr>
        <w:t>Furthermore, while the Supreme Court in </w:t>
      </w:r>
      <w:r>
        <w:rPr>
          <w:rFonts w:ascii="Arial" w:hAnsi="Arial"/>
          <w:i/>
          <w:vertAlign w:val="baseline"/>
        </w:rPr>
        <w:t>Arnold v Britton </w:t>
      </w:r>
      <w:r>
        <w:rPr>
          <w:vertAlign w:val="baseline"/>
        </w:rPr>
        <w:t>recently reaffirmed that the meaning of </w:t>
      </w:r>
      <w:bookmarkStart w:name="_bookmark719" w:id="721"/>
      <w:bookmarkEnd w:id="721"/>
      <w:r>
        <w:rPr>
          <w:vertAlign w:val="baseline"/>
        </w:rPr>
        <w:t>words</w:t>
      </w:r>
      <w:r>
        <w:rPr>
          <w:spacing w:val="20"/>
          <w:vertAlign w:val="baseline"/>
        </w:rPr>
        <w:t> </w:t>
      </w:r>
      <w:r>
        <w:rPr>
          <w:vertAlign w:val="baseline"/>
        </w:rPr>
        <w:t>in</w:t>
      </w:r>
      <w:r>
        <w:rPr>
          <w:spacing w:val="22"/>
          <w:vertAlign w:val="baseline"/>
        </w:rPr>
        <w:t> </w:t>
      </w:r>
      <w:r>
        <w:rPr>
          <w:vertAlign w:val="baseline"/>
        </w:rPr>
        <w:t>a</w:t>
      </w:r>
      <w:r>
        <w:rPr>
          <w:spacing w:val="22"/>
          <w:vertAlign w:val="baseline"/>
        </w:rPr>
        <w:t> </w:t>
      </w:r>
      <w:r>
        <w:rPr>
          <w:vertAlign w:val="baseline"/>
        </w:rPr>
        <w:t>contract</w:t>
      </w:r>
      <w:r>
        <w:rPr>
          <w:spacing w:val="22"/>
          <w:vertAlign w:val="baseline"/>
        </w:rPr>
        <w:t> </w:t>
      </w:r>
      <w:r>
        <w:rPr>
          <w:vertAlign w:val="baseline"/>
        </w:rPr>
        <w:t>must</w:t>
      </w:r>
      <w:r>
        <w:rPr>
          <w:spacing w:val="22"/>
          <w:vertAlign w:val="baseline"/>
        </w:rPr>
        <w:t> </w:t>
      </w:r>
      <w:r>
        <w:rPr>
          <w:vertAlign w:val="baseline"/>
        </w:rPr>
        <w:t>be</w:t>
      </w:r>
      <w:r>
        <w:rPr>
          <w:spacing w:val="22"/>
          <w:vertAlign w:val="baseline"/>
        </w:rPr>
        <w:t> </w:t>
      </w:r>
      <w:r>
        <w:rPr>
          <w:vertAlign w:val="baseline"/>
        </w:rPr>
        <w:t>seen</w:t>
      </w:r>
      <w:r>
        <w:rPr>
          <w:spacing w:val="22"/>
          <w:vertAlign w:val="baseline"/>
        </w:rPr>
        <w:t> </w:t>
      </w:r>
      <w:r>
        <w:rPr>
          <w:vertAlign w:val="baseline"/>
        </w:rPr>
        <w:t>in</w:t>
      </w:r>
      <w:r>
        <w:rPr>
          <w:spacing w:val="22"/>
          <w:vertAlign w:val="baseline"/>
        </w:rPr>
        <w:t> </w:t>
      </w:r>
      <w:r>
        <w:rPr>
          <w:vertAlign w:val="baseline"/>
        </w:rPr>
        <w:t>their</w:t>
      </w:r>
      <w:r>
        <w:rPr>
          <w:spacing w:val="22"/>
          <w:vertAlign w:val="baseline"/>
        </w:rPr>
        <w:t> </w:t>
      </w:r>
      <w:r>
        <w:rPr>
          <w:vertAlign w:val="baseline"/>
        </w:rPr>
        <w:t>“documentary,</w:t>
      </w:r>
      <w:r>
        <w:rPr>
          <w:spacing w:val="22"/>
          <w:vertAlign w:val="baseline"/>
        </w:rPr>
        <w:t> </w:t>
      </w:r>
      <w:r>
        <w:rPr>
          <w:vertAlign w:val="baseline"/>
        </w:rPr>
        <w:t>factual</w:t>
      </w:r>
      <w:r>
        <w:rPr>
          <w:spacing w:val="22"/>
          <w:vertAlign w:val="baseline"/>
        </w:rPr>
        <w:t> </w:t>
      </w:r>
      <w:r>
        <w:rPr>
          <w:vertAlign w:val="baseline"/>
        </w:rPr>
        <w:t>and</w:t>
      </w:r>
      <w:r>
        <w:rPr>
          <w:spacing w:val="22"/>
          <w:vertAlign w:val="baseline"/>
        </w:rPr>
        <w:t> </w:t>
      </w:r>
      <w:r>
        <w:rPr>
          <w:vertAlign w:val="baseline"/>
        </w:rPr>
        <w:t>commercial</w:t>
      </w:r>
      <w:r>
        <w:rPr>
          <w:spacing w:val="22"/>
          <w:vertAlign w:val="baseline"/>
        </w:rPr>
        <w:t> </w:t>
      </w:r>
      <w:r>
        <w:rPr>
          <w:vertAlign w:val="baseline"/>
        </w:rPr>
        <w:t>context”,</w:t>
      </w:r>
      <w:r>
        <w:rPr>
          <w:spacing w:val="22"/>
          <w:vertAlign w:val="baseline"/>
        </w:rPr>
        <w:t> </w:t>
      </w:r>
      <w:r>
        <w:rPr>
          <w:spacing w:val="-2"/>
          <w:vertAlign w:val="baseline"/>
        </w:rPr>
        <w:t>including</w:t>
      </w:r>
    </w:p>
    <w:p>
      <w:pPr>
        <w:pStyle w:val="BodyText"/>
        <w:spacing w:line="346" w:lineRule="exact" w:before="24"/>
        <w:ind w:left="165" w:right="167"/>
        <w:jc w:val="both"/>
      </w:pPr>
      <w:bookmarkStart w:name="_bookmark720" w:id="722"/>
      <w:bookmarkEnd w:id="722"/>
      <w:r>
        <w:rPr/>
      </w:r>
      <w:r>
        <w:rPr/>
        <w:t>“commercial common sense”, </w:t>
      </w:r>
      <w:r>
        <w:rPr>
          <w:color w:val="005DA1"/>
          <w:u w:val="single" w:color="005DA1"/>
          <w:vertAlign w:val="superscript"/>
        </w:rPr>
        <w:t>437</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40"/>
          <w:vertAlign w:val="baseline"/>
        </w:rPr>
        <w:t> </w:t>
      </w:r>
      <w:r>
        <w:rPr>
          <w:vertAlign w:val="baseline"/>
        </w:rPr>
        <w:t>the latter and the surrounding circumstances “should not </w:t>
      </w:r>
      <w:r>
        <w:rPr>
          <w:vertAlign w:val="baseline"/>
        </w:rPr>
        <w:t>be invoked to undervalue the importance of the language of the provision which is to be construed” </w:t>
      </w:r>
      <w:r>
        <w:rPr>
          <w:color w:val="005DA1"/>
          <w:u w:val="single" w:color="005DA1"/>
          <w:vertAlign w:val="superscript"/>
        </w:rPr>
        <w:t>438</w:t>
      </w:r>
    </w:p>
    <w:p>
      <w:pPr>
        <w:pStyle w:val="BodyText"/>
        <w:spacing w:line="197" w:lineRule="exact"/>
        <w:ind w:left="335"/>
        <w:jc w:val="both"/>
      </w:pPr>
      <w:r>
        <w:rPr/>
        <w:drawing>
          <wp:anchor distT="0" distB="0" distL="0" distR="0" allowOverlap="1" layoutInCell="1" locked="0" behindDoc="0" simplePos="0" relativeHeight="15788544">
            <wp:simplePos x="0" y="0"/>
            <wp:positionH relativeFrom="page">
              <wp:posOffset>914400</wp:posOffset>
            </wp:positionH>
            <wp:positionV relativeFrom="paragraph">
              <wp:posOffset>7230</wp:posOffset>
            </wp:positionV>
            <wp:extent cx="107988" cy="107988"/>
            <wp:effectExtent l="0" t="0" r="0" b="0"/>
            <wp:wrapNone/>
            <wp:docPr id="254" name="Image 254"/>
            <wp:cNvGraphicFramePr>
              <a:graphicFrameLocks/>
            </wp:cNvGraphicFramePr>
            <a:graphic>
              <a:graphicData uri="http://schemas.openxmlformats.org/drawingml/2006/picture">
                <pic:pic>
                  <pic:nvPicPr>
                    <pic:cNvPr id="254" name="Image 25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21" w:id="723"/>
      <w:bookmarkEnd w:id="723"/>
      <w:r>
        <w:rPr/>
      </w:r>
      <w:r>
        <w:rPr/>
        <w:t>:</w:t>
      </w:r>
      <w:r>
        <w:rPr>
          <w:spacing w:val="1"/>
        </w:rPr>
        <w:t> </w:t>
      </w:r>
      <w:r>
        <w:rPr/>
        <w:t>“[t]he</w:t>
      </w:r>
      <w:r>
        <w:rPr>
          <w:spacing w:val="1"/>
        </w:rPr>
        <w:t> </w:t>
      </w:r>
      <w:r>
        <w:rPr/>
        <w:t>purpose</w:t>
      </w:r>
      <w:r>
        <w:rPr>
          <w:spacing w:val="1"/>
        </w:rPr>
        <w:t> </w:t>
      </w:r>
      <w:r>
        <w:rPr/>
        <w:t>of</w:t>
      </w:r>
      <w:r>
        <w:rPr>
          <w:spacing w:val="1"/>
        </w:rPr>
        <w:t> </w:t>
      </w:r>
      <w:r>
        <w:rPr/>
        <w:t>interpretation</w:t>
      </w:r>
      <w:r>
        <w:rPr>
          <w:spacing w:val="1"/>
        </w:rPr>
        <w:t> </w:t>
      </w:r>
      <w:r>
        <w:rPr/>
        <w:t>is</w:t>
      </w:r>
      <w:r>
        <w:rPr>
          <w:spacing w:val="1"/>
        </w:rPr>
        <w:t> </w:t>
      </w:r>
      <w:r>
        <w:rPr/>
        <w:t>to</w:t>
      </w:r>
      <w:r>
        <w:rPr>
          <w:spacing w:val="1"/>
        </w:rPr>
        <w:t> </w:t>
      </w:r>
      <w:r>
        <w:rPr/>
        <w:t>identify</w:t>
      </w:r>
      <w:r>
        <w:rPr>
          <w:spacing w:val="1"/>
        </w:rPr>
        <w:t> </w:t>
      </w:r>
      <w:r>
        <w:rPr/>
        <w:t>what</w:t>
      </w:r>
      <w:r>
        <w:rPr>
          <w:spacing w:val="1"/>
        </w:rPr>
        <w:t> </w:t>
      </w:r>
      <w:r>
        <w:rPr/>
        <w:t>the</w:t>
      </w:r>
      <w:r>
        <w:rPr>
          <w:spacing w:val="1"/>
        </w:rPr>
        <w:t> </w:t>
      </w:r>
      <w:r>
        <w:rPr/>
        <w:t>parties</w:t>
      </w:r>
      <w:r>
        <w:rPr>
          <w:spacing w:val="1"/>
        </w:rPr>
        <w:t> </w:t>
      </w:r>
      <w:r>
        <w:rPr/>
        <w:t>have</w:t>
      </w:r>
      <w:r>
        <w:rPr>
          <w:spacing w:val="1"/>
        </w:rPr>
        <w:t> </w:t>
      </w:r>
      <w:r>
        <w:rPr/>
        <w:t>agreed,</w:t>
      </w:r>
      <w:r>
        <w:rPr>
          <w:spacing w:val="1"/>
        </w:rPr>
        <w:t> </w:t>
      </w:r>
      <w:r>
        <w:rPr/>
        <w:t>not</w:t>
      </w:r>
      <w:r>
        <w:rPr>
          <w:spacing w:val="1"/>
        </w:rPr>
        <w:t> </w:t>
      </w:r>
      <w:r>
        <w:rPr/>
        <w:t>what</w:t>
      </w:r>
      <w:r>
        <w:rPr>
          <w:spacing w:val="1"/>
        </w:rPr>
        <w:t> </w:t>
      </w:r>
      <w:r>
        <w:rPr/>
        <w:t>the</w:t>
      </w:r>
      <w:r>
        <w:rPr>
          <w:spacing w:val="1"/>
        </w:rPr>
        <w:t> </w:t>
      </w:r>
      <w:r>
        <w:rPr/>
        <w:t>court</w:t>
      </w:r>
      <w:r>
        <w:rPr>
          <w:spacing w:val="1"/>
        </w:rPr>
        <w:t> </w:t>
      </w:r>
      <w:r>
        <w:rPr>
          <w:spacing w:val="-2"/>
        </w:rPr>
        <w:t>thinks</w:t>
      </w:r>
    </w:p>
    <w:p>
      <w:pPr>
        <w:pStyle w:val="BodyText"/>
        <w:spacing w:line="235" w:lineRule="auto" w:before="119"/>
        <w:ind w:left="164" w:right="167"/>
        <w:jc w:val="both"/>
      </w:pPr>
      <w:r>
        <w:rPr/>
        <w:t>that</w:t>
      </w:r>
      <w:r>
        <w:rPr>
          <w:spacing w:val="-3"/>
        </w:rPr>
        <w:t> </w:t>
      </w:r>
      <w:r>
        <w:rPr/>
        <w:t>they</w:t>
      </w:r>
      <w:r>
        <w:rPr>
          <w:spacing w:val="-3"/>
        </w:rPr>
        <w:t> </w:t>
      </w:r>
      <w:r>
        <w:rPr/>
        <w:t>should</w:t>
      </w:r>
      <w:r>
        <w:rPr>
          <w:spacing w:val="-3"/>
        </w:rPr>
        <w:t> </w:t>
      </w:r>
      <w:r>
        <w:rPr/>
        <w:t>have</w:t>
      </w:r>
      <w:r>
        <w:rPr>
          <w:spacing w:val="-3"/>
        </w:rPr>
        <w:t> </w:t>
      </w:r>
      <w:r>
        <w:rPr/>
        <w:t>agreed”.</w:t>
      </w:r>
      <w:r>
        <w:rPr>
          <w:spacing w:val="-3"/>
        </w:rPr>
        <w:t> </w:t>
      </w:r>
      <w:r>
        <w:rPr>
          <w:color w:val="005DA1"/>
          <w:u w:val="single" w:color="005DA1"/>
          <w:vertAlign w:val="superscript"/>
        </w:rPr>
        <w:t>439</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other</w:t>
      </w:r>
      <w:r>
        <w:rPr>
          <w:spacing w:val="-3"/>
          <w:vertAlign w:val="baseline"/>
        </w:rPr>
        <w:t> </w:t>
      </w:r>
      <w:r>
        <w:rPr>
          <w:vertAlign w:val="baseline"/>
        </w:rPr>
        <w:t>hand,</w:t>
      </w:r>
      <w:r>
        <w:rPr>
          <w:spacing w:val="-3"/>
          <w:vertAlign w:val="baseline"/>
        </w:rPr>
        <w:t> </w:t>
      </w:r>
      <w:r>
        <w:rPr>
          <w:vertAlign w:val="baseline"/>
        </w:rPr>
        <w:t>other</w:t>
      </w:r>
      <w:r>
        <w:rPr>
          <w:spacing w:val="-3"/>
          <w:vertAlign w:val="baseline"/>
        </w:rPr>
        <w:t> </w:t>
      </w:r>
      <w:r>
        <w:rPr>
          <w:vertAlign w:val="baseline"/>
        </w:rPr>
        <w:t>principles</w:t>
      </w:r>
      <w:r>
        <w:rPr>
          <w:spacing w:val="-3"/>
          <w:vertAlign w:val="baseline"/>
        </w:rPr>
        <w:t> </w:t>
      </w:r>
      <w:r>
        <w:rPr>
          <w:vertAlign w:val="baseline"/>
        </w:rPr>
        <w:t>governing</w:t>
      </w:r>
      <w:r>
        <w:rPr>
          <w:spacing w:val="-3"/>
          <w:vertAlign w:val="baseline"/>
        </w:rPr>
        <w:t> </w:t>
      </w:r>
      <w:r>
        <w:rPr>
          <w:vertAlign w:val="baseline"/>
        </w:rPr>
        <w:t>the</w:t>
      </w:r>
      <w:r>
        <w:rPr>
          <w:spacing w:val="-3"/>
          <w:vertAlign w:val="baseline"/>
        </w:rPr>
        <w:t> </w:t>
      </w:r>
      <w:r>
        <w:rPr>
          <w:vertAlign w:val="baseline"/>
        </w:rPr>
        <w:t>relationship</w:t>
      </w:r>
      <w:r>
        <w:rPr>
          <w:spacing w:val="-3"/>
          <w:vertAlign w:val="baseline"/>
        </w:rPr>
        <w:t> </w:t>
      </w:r>
      <w:r>
        <w:rPr>
          <w:vertAlign w:val="baseline"/>
        </w:rPr>
        <w:t>of </w:t>
      </w:r>
      <w:bookmarkStart w:name="_bookmark722" w:id="724"/>
      <w:bookmarkEnd w:id="724"/>
      <w:r>
        <w:rPr>
          <w:vertAlign w:val="baseline"/>
        </w:rPr>
        <w:t>the</w:t>
      </w:r>
      <w:r>
        <w:rPr>
          <w:vertAlign w:val="baseline"/>
        </w:rPr>
        <w:t> parties also find their formal source in the construction of the contract: so, for example, the courts accept</w:t>
      </w:r>
      <w:r>
        <w:rPr>
          <w:spacing w:val="-3"/>
          <w:vertAlign w:val="baseline"/>
        </w:rPr>
        <w:t> </w:t>
      </w:r>
      <w:r>
        <w:rPr>
          <w:vertAlign w:val="baseline"/>
        </w:rPr>
        <w:t>that,</w:t>
      </w:r>
      <w:r>
        <w:rPr>
          <w:spacing w:val="-3"/>
          <w:vertAlign w:val="baseline"/>
        </w:rPr>
        <w:t> </w:t>
      </w:r>
      <w:r>
        <w:rPr>
          <w:vertAlign w:val="baseline"/>
        </w:rPr>
        <w:t>in</w:t>
      </w:r>
      <w:r>
        <w:rPr>
          <w:spacing w:val="-3"/>
          <w:vertAlign w:val="baseline"/>
        </w:rPr>
        <w:t> </w:t>
      </w:r>
      <w:r>
        <w:rPr>
          <w:vertAlign w:val="baseline"/>
        </w:rPr>
        <w:t>general,</w:t>
      </w:r>
      <w:r>
        <w:rPr>
          <w:spacing w:val="-3"/>
          <w:vertAlign w:val="baseline"/>
        </w:rPr>
        <w:t> </w:t>
      </w:r>
      <w:r>
        <w:rPr>
          <w:vertAlign w:val="baseline"/>
        </w:rPr>
        <w:t>a</w:t>
      </w:r>
      <w:r>
        <w:rPr>
          <w:spacing w:val="-3"/>
          <w:vertAlign w:val="baseline"/>
        </w:rPr>
        <w:t> </w:t>
      </w:r>
      <w:r>
        <w:rPr>
          <w:vertAlign w:val="baseline"/>
        </w:rPr>
        <w:t>party</w:t>
      </w:r>
      <w:r>
        <w:rPr>
          <w:spacing w:val="-3"/>
          <w:vertAlign w:val="baseline"/>
        </w:rPr>
        <w:t> </w:t>
      </w:r>
      <w:r>
        <w:rPr>
          <w:vertAlign w:val="baseline"/>
        </w:rPr>
        <w:t>in</w:t>
      </w:r>
      <w:r>
        <w:rPr>
          <w:spacing w:val="-3"/>
          <w:vertAlign w:val="baseline"/>
        </w:rPr>
        <w:t> </w:t>
      </w:r>
      <w:r>
        <w:rPr>
          <w:vertAlign w:val="baseline"/>
        </w:rPr>
        <w:t>default</w:t>
      </w:r>
      <w:r>
        <w:rPr>
          <w:spacing w:val="-3"/>
          <w:vertAlign w:val="baseline"/>
        </w:rPr>
        <w:t> </w:t>
      </w:r>
      <w:r>
        <w:rPr>
          <w:vertAlign w:val="baseline"/>
        </w:rPr>
        <w:t>under</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cannot</w:t>
      </w:r>
      <w:r>
        <w:rPr>
          <w:spacing w:val="-3"/>
          <w:vertAlign w:val="baseline"/>
        </w:rPr>
        <w:t> </w:t>
      </w:r>
      <w:r>
        <w:rPr>
          <w:vertAlign w:val="baseline"/>
        </w:rPr>
        <w:t>take</w:t>
      </w:r>
      <w:r>
        <w:rPr>
          <w:spacing w:val="-3"/>
          <w:vertAlign w:val="baseline"/>
        </w:rPr>
        <w:t> </w:t>
      </w:r>
      <w:r>
        <w:rPr>
          <w:vertAlign w:val="baseline"/>
        </w:rPr>
        <w:t>advantage</w:t>
      </w:r>
      <w:r>
        <w:rPr>
          <w:spacing w:val="-3"/>
          <w:vertAlign w:val="baseline"/>
        </w:rPr>
        <w:t> </w:t>
      </w:r>
      <w:r>
        <w:rPr>
          <w:vertAlign w:val="baseline"/>
        </w:rPr>
        <w:t>of</w:t>
      </w:r>
      <w:r>
        <w:rPr>
          <w:spacing w:val="-3"/>
          <w:vertAlign w:val="baseline"/>
        </w:rPr>
        <w:t> </w:t>
      </w:r>
      <w:r>
        <w:rPr>
          <w:vertAlign w:val="baseline"/>
        </w:rPr>
        <w:t>his</w:t>
      </w:r>
      <w:r>
        <w:rPr>
          <w:spacing w:val="-3"/>
          <w:vertAlign w:val="baseline"/>
        </w:rPr>
        <w:t> </w:t>
      </w:r>
      <w:r>
        <w:rPr>
          <w:vertAlign w:val="baseline"/>
        </w:rPr>
        <w:t>own</w:t>
      </w:r>
      <w:r>
        <w:rPr>
          <w:spacing w:val="-3"/>
          <w:vertAlign w:val="baseline"/>
        </w:rPr>
        <w:t> </w:t>
      </w:r>
      <w:r>
        <w:rPr>
          <w:vertAlign w:val="baseline"/>
        </w:rPr>
        <w:t>wrong,</w:t>
      </w:r>
      <w:r>
        <w:rPr>
          <w:spacing w:val="-4"/>
          <w:vertAlign w:val="baseline"/>
        </w:rPr>
        <w:t> </w:t>
      </w:r>
      <w:r>
        <w:rPr>
          <w:color w:val="005DA1"/>
          <w:u w:val="single" w:color="005DA1"/>
          <w:vertAlign w:val="superscript"/>
        </w:rPr>
        <w:t>440</w:t>
      </w:r>
      <w:r>
        <w:rPr>
          <w:color w:val="005DA1"/>
          <w:vertAlign w:val="baseline"/>
        </w:rPr>
        <w:t> </w:t>
      </w:r>
      <w:r>
        <w:rPr>
          <w:vertAlign w:val="baseline"/>
        </w:rPr>
        <w:t>an idea which in some other legal systems is put in terms of the adage nemo auditur </w:t>
      </w:r>
      <w:r>
        <w:rPr>
          <w:vertAlign w:val="baseline"/>
        </w:rPr>
        <w:t>turpitudinem suam allegans. Another example of English law’s occasional imposition of a requirement of fairness may be found in the situation where a contract on its terms provides that a particular act of one of its parties (or their agent) will result in or affect a liability in the other: here, the courts have held that this act must be made fairly to have this effect. This result has been long established in the context of the issuing of certificates by an owner’s agent (for example, his architect) in respect of building work </w:t>
      </w:r>
      <w:bookmarkStart w:name="_bookmark723" w:id="725"/>
      <w:bookmarkEnd w:id="725"/>
      <w:r>
        <w:rPr>
          <w:vertAlign w:val="baseline"/>
        </w:rPr>
        <w:t>having</w:t>
      </w:r>
      <w:r>
        <w:rPr>
          <w:vertAlign w:val="baseline"/>
        </w:rPr>
        <w:t> been properly executed: here, the certification holds good only if the agent acts fairly as between the two parties to the contract. </w:t>
      </w:r>
      <w:r>
        <w:rPr>
          <w:color w:val="005DA1"/>
          <w:u w:val="single" w:color="005DA1"/>
          <w:vertAlign w:val="superscript"/>
        </w:rPr>
        <w:t>441</w:t>
      </w:r>
      <w:r>
        <w:rPr>
          <w:color w:val="005DA1"/>
          <w:vertAlign w:val="baseline"/>
        </w:rPr>
        <w:t> </w:t>
      </w:r>
      <w:r>
        <w:rPr>
          <w:vertAlign w:val="baseline"/>
        </w:rPr>
        <w:t>Similarly, where a charterparty provided that the ship’s master’s “notice of readiness” to receive cargo would, after a delay, start “notice time” running so as</w:t>
      </w:r>
      <w:r>
        <w:rPr>
          <w:spacing w:val="40"/>
          <w:vertAlign w:val="baseline"/>
        </w:rPr>
        <w:t> </w:t>
      </w:r>
      <w:r>
        <w:rPr>
          <w:vertAlign w:val="baseline"/>
        </w:rPr>
        <w:t>to allow its owner to claim demurrage, it was observed that:</w:t>
      </w:r>
    </w:p>
    <w:p>
      <w:pPr>
        <w:pStyle w:val="BodyText"/>
      </w:pPr>
    </w:p>
    <w:p>
      <w:pPr>
        <w:pStyle w:val="BodyText"/>
        <w:spacing w:before="121"/>
      </w:pPr>
    </w:p>
    <w:p>
      <w:pPr>
        <w:pStyle w:val="BodyText"/>
        <w:spacing w:line="235" w:lineRule="auto" w:before="1"/>
        <w:ind w:left="1544" w:right="167"/>
        <w:jc w:val="both"/>
      </w:pPr>
      <w:r>
        <w:rPr/>
        <w:t>“… a notice of readiness proved to be given by the master or chief officer </w:t>
      </w:r>
      <w:r>
        <w:rPr/>
        <w:t>with knowledge that it was untrue, that is to say in the knowledge that the vessel was not then</w:t>
      </w:r>
      <w:r>
        <w:rPr>
          <w:spacing w:val="15"/>
        </w:rPr>
        <w:t> </w:t>
      </w:r>
      <w:r>
        <w:rPr/>
        <w:t>ready</w:t>
      </w:r>
      <w:r>
        <w:rPr>
          <w:spacing w:val="15"/>
        </w:rPr>
        <w:t> </w:t>
      </w:r>
      <w:r>
        <w:rPr/>
        <w:t>would</w:t>
      </w:r>
      <w:r>
        <w:rPr>
          <w:spacing w:val="15"/>
        </w:rPr>
        <w:t> </w:t>
      </w:r>
      <w:r>
        <w:rPr/>
        <w:t>be</w:t>
      </w:r>
      <w:r>
        <w:rPr>
          <w:spacing w:val="15"/>
        </w:rPr>
        <w:t> </w:t>
      </w:r>
      <w:r>
        <w:rPr/>
        <w:t>ineffective</w:t>
      </w:r>
      <w:r>
        <w:rPr>
          <w:spacing w:val="15"/>
        </w:rPr>
        <w:t> </w:t>
      </w:r>
      <w:r>
        <w:rPr/>
        <w:t>to</w:t>
      </w:r>
      <w:r>
        <w:rPr>
          <w:spacing w:val="15"/>
        </w:rPr>
        <w:t> </w:t>
      </w:r>
      <w:r>
        <w:rPr/>
        <w:t>start</w:t>
      </w:r>
      <w:r>
        <w:rPr>
          <w:spacing w:val="15"/>
        </w:rPr>
        <w:t> </w:t>
      </w:r>
      <w:r>
        <w:rPr/>
        <w:t>time</w:t>
      </w:r>
      <w:r>
        <w:rPr>
          <w:spacing w:val="15"/>
        </w:rPr>
        <w:t> </w:t>
      </w:r>
      <w:r>
        <w:rPr/>
        <w:t>running.</w:t>
      </w:r>
      <w:r>
        <w:rPr>
          <w:spacing w:val="15"/>
        </w:rPr>
        <w:t> </w:t>
      </w:r>
      <w:r>
        <w:rPr/>
        <w:t>There</w:t>
      </w:r>
      <w:r>
        <w:rPr>
          <w:spacing w:val="15"/>
        </w:rPr>
        <w:t> </w:t>
      </w:r>
      <w:r>
        <w:rPr/>
        <w:t>must</w:t>
      </w:r>
      <w:r>
        <w:rPr>
          <w:spacing w:val="15"/>
        </w:rPr>
        <w:t> </w:t>
      </w:r>
      <w:r>
        <w:rPr/>
        <w:t>by</w:t>
      </w:r>
      <w:r>
        <w:rPr>
          <w:spacing w:val="15"/>
        </w:rPr>
        <w:t> </w:t>
      </w:r>
      <w:r>
        <w:rPr/>
        <w:t>implication</w:t>
      </w:r>
      <w:r>
        <w:rPr>
          <w:spacing w:val="15"/>
        </w:rPr>
        <w:t> </w:t>
      </w:r>
      <w:r>
        <w:rPr/>
        <w:t>be</w:t>
      </w:r>
      <w:r>
        <w:rPr>
          <w:spacing w:val="15"/>
        </w:rPr>
        <w:t> </w:t>
      </w:r>
      <w:r>
        <w:rPr>
          <w:spacing w:val="-10"/>
        </w:rPr>
        <w:t>a</w:t>
      </w:r>
    </w:p>
    <w:p>
      <w:pPr>
        <w:pStyle w:val="BodyText"/>
        <w:spacing w:after="0" w:line="235" w:lineRule="auto"/>
        <w:jc w:val="both"/>
        <w:sectPr>
          <w:pgSz w:w="11900" w:h="16840"/>
          <w:pgMar w:header="971" w:footer="0" w:top="1300" w:bottom="280" w:left="1275" w:right="1275"/>
        </w:sectPr>
      </w:pPr>
    </w:p>
    <w:p>
      <w:pPr>
        <w:pStyle w:val="BodyText"/>
        <w:spacing w:before="163"/>
      </w:pPr>
    </w:p>
    <w:p>
      <w:pPr>
        <w:pStyle w:val="BodyText"/>
        <w:ind w:left="1545"/>
      </w:pPr>
      <w:bookmarkStart w:name="_bookmark724" w:id="726"/>
      <w:bookmarkEnd w:id="726"/>
      <w:r>
        <w:rPr/>
      </w:r>
      <w:r>
        <w:rPr/>
        <w:t>requirement of good faith.”</w:t>
      </w:r>
      <w:r>
        <w:rPr>
          <w:spacing w:val="-1"/>
        </w:rPr>
        <w:t> </w:t>
      </w:r>
      <w:r>
        <w:rPr>
          <w:color w:val="005DA1"/>
          <w:spacing w:val="-5"/>
          <w:u w:val="single" w:color="005DA1"/>
          <w:vertAlign w:val="superscript"/>
        </w:rPr>
        <w:t>442</w:t>
      </w:r>
    </w:p>
    <w:p>
      <w:pPr>
        <w:pStyle w:val="BodyText"/>
      </w:pPr>
    </w:p>
    <w:p>
      <w:pPr>
        <w:pStyle w:val="BodyText"/>
      </w:pPr>
    </w:p>
    <w:p>
      <w:pPr>
        <w:pStyle w:val="BodyText"/>
        <w:spacing w:before="154"/>
      </w:pPr>
    </w:p>
    <w:p>
      <w:pPr>
        <w:pStyle w:val="ListParagraph"/>
        <w:numPr>
          <w:ilvl w:val="0"/>
          <w:numId w:val="5"/>
        </w:numPr>
        <w:tabs>
          <w:tab w:pos="485" w:val="left" w:leader="none"/>
        </w:tabs>
        <w:spacing w:line="240" w:lineRule="auto" w:before="0" w:after="0"/>
        <w:ind w:left="485" w:right="0" w:hanging="320"/>
        <w:jc w:val="left"/>
        <w:rPr>
          <w:b/>
          <w:sz w:val="18"/>
        </w:rPr>
      </w:pPr>
      <w:r>
        <w:rPr>
          <w:b/>
          <w:sz w:val="18"/>
        </w:rPr>
        <w:t>Implied </w:t>
      </w:r>
      <w:r>
        <w:rPr>
          <w:b/>
          <w:spacing w:val="-2"/>
          <w:sz w:val="18"/>
        </w:rPr>
        <w:t>terms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052</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725" w:id="727"/>
      <w:bookmarkEnd w:id="727"/>
      <w:r>
        <w:rPr>
          <w:rFonts w:ascii="Times New Roman" w:hAnsi="Times New Roman"/>
          <w:spacing w:val="9"/>
        </w:rPr>
      </w:r>
      <w:r>
        <w:rPr/>
        <w:t>As has been indicated, </w:t>
      </w:r>
      <w:r>
        <w:rPr>
          <w:color w:val="005DA1"/>
          <w:u w:val="single" w:color="005DA1"/>
          <w:vertAlign w:val="superscript"/>
        </w:rPr>
        <w:t>443</w:t>
      </w:r>
      <w:r>
        <w:rPr>
          <w:color w:val="005DA1"/>
          <w:vertAlign w:val="baseline"/>
        </w:rPr>
        <w:t> </w:t>
      </w:r>
      <w:r>
        <w:rPr>
          <w:vertAlign w:val="baseline"/>
        </w:rPr>
        <w:t>the common law often resorts to the implication of a term in a contract in a case which could otherwise be considered to be a matter of “good faith in the performance of a contract”. Thus, for example, the House of Lords accepted that a term is to be implied in contracts of employment to the effect that the:</w:t>
      </w:r>
    </w:p>
    <w:p>
      <w:pPr>
        <w:pStyle w:val="BodyText"/>
      </w:pPr>
    </w:p>
    <w:p>
      <w:pPr>
        <w:pStyle w:val="BodyText"/>
        <w:spacing w:before="126"/>
      </w:pPr>
    </w:p>
    <w:p>
      <w:pPr>
        <w:pStyle w:val="BodyText"/>
        <w:spacing w:line="235" w:lineRule="auto"/>
        <w:ind w:left="1545" w:right="167"/>
        <w:jc w:val="both"/>
      </w:pPr>
      <w:r>
        <w:rPr/>
        <w:t>“… employer [will] not, without reasonable and proper cause, conduct itself in a </w:t>
      </w:r>
      <w:bookmarkStart w:name="_bookmark726" w:id="728"/>
      <w:bookmarkEnd w:id="728"/>
      <w:r>
        <w:rPr/>
        <w:t>manner</w:t>
      </w:r>
      <w:r>
        <w:rPr/>
        <w:t> likely to destroy or seriously damage the relationship of confidence and trust between employer and employee.” </w:t>
      </w:r>
      <w:r>
        <w:rPr>
          <w:color w:val="005DA1"/>
          <w:u w:val="single" w:color="005DA1"/>
          <w:vertAlign w:val="superscript"/>
        </w:rPr>
        <w:t>444</w:t>
      </w:r>
    </w:p>
    <w:p>
      <w:pPr>
        <w:pStyle w:val="BodyText"/>
        <w:spacing w:before="115"/>
      </w:pPr>
    </w:p>
    <w:p>
      <w:pPr>
        <w:pStyle w:val="BodyText"/>
        <w:spacing w:line="235" w:lineRule="auto"/>
        <w:ind w:left="164" w:right="167"/>
        <w:jc w:val="both"/>
      </w:pPr>
      <w:bookmarkStart w:name="_bookmark727" w:id="729"/>
      <w:bookmarkEnd w:id="729"/>
      <w:r>
        <w:rPr/>
      </w:r>
      <w:r>
        <w:rPr/>
        <w:t>The courts sometimes refer to this as an implied term requiring good faith and loyalty in both</w:t>
      </w:r>
      <w:r>
        <w:rPr>
          <w:spacing w:val="40"/>
        </w:rPr>
        <w:t> </w:t>
      </w:r>
      <w:r>
        <w:rPr/>
        <w:t>employer and employee. </w:t>
      </w:r>
      <w:r>
        <w:rPr>
          <w:color w:val="005DA1"/>
          <w:u w:val="single" w:color="005DA1"/>
          <w:vertAlign w:val="superscript"/>
        </w:rPr>
        <w:t>445</w:t>
      </w:r>
      <w:r>
        <w:rPr>
          <w:color w:val="005DA1"/>
          <w:vertAlign w:val="baseline"/>
        </w:rPr>
        <w:t> </w:t>
      </w:r>
      <w:r>
        <w:rPr>
          <w:vertAlign w:val="baseline"/>
        </w:rPr>
        <w:t>Sometimes, indeed, an implied term imposes a duty on an employer to </w:t>
      </w:r>
      <w:bookmarkStart w:name="_bookmark728" w:id="730"/>
      <w:bookmarkEnd w:id="730"/>
      <w:r>
        <w:rPr>
          <w:vertAlign w:val="baseline"/>
        </w:rPr>
        <w:t>act</w:t>
      </w:r>
      <w:r>
        <w:rPr>
          <w:spacing w:val="-1"/>
          <w:vertAlign w:val="baseline"/>
        </w:rPr>
        <w:t> </w:t>
      </w:r>
      <w:r>
        <w:rPr>
          <w:vertAlign w:val="baseline"/>
        </w:rPr>
        <w:t>positively</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interests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employee.</w:t>
      </w:r>
      <w:r>
        <w:rPr>
          <w:spacing w:val="-1"/>
          <w:vertAlign w:val="baseline"/>
        </w:rPr>
        <w:t> </w:t>
      </w:r>
      <w:r>
        <w:rPr>
          <w:vertAlign w:val="baseline"/>
        </w:rPr>
        <w:t>So,</w:t>
      </w:r>
      <w:r>
        <w:rPr>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in</w:t>
      </w:r>
      <w:r>
        <w:rPr>
          <w:spacing w:val="-2"/>
          <w:vertAlign w:val="baseline"/>
        </w:rPr>
        <w:t> </w:t>
      </w:r>
      <w:r>
        <w:rPr>
          <w:rFonts w:ascii="Arial" w:hAnsi="Arial"/>
          <w:i/>
          <w:vertAlign w:val="baseline"/>
        </w:rPr>
        <w:t>Scally</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Southern</w:t>
      </w:r>
      <w:r>
        <w:rPr>
          <w:rFonts w:ascii="Arial" w:hAnsi="Arial"/>
          <w:i/>
          <w:spacing w:val="-1"/>
          <w:vertAlign w:val="baseline"/>
        </w:rPr>
        <w:t> </w:t>
      </w:r>
      <w:r>
        <w:rPr>
          <w:rFonts w:ascii="Arial" w:hAnsi="Arial"/>
          <w:i/>
          <w:vertAlign w:val="baseline"/>
        </w:rPr>
        <w:t>Health</w:t>
      </w:r>
      <w:r>
        <w:rPr>
          <w:rFonts w:ascii="Arial" w:hAnsi="Arial"/>
          <w:i/>
          <w:spacing w:val="-1"/>
          <w:vertAlign w:val="baseline"/>
        </w:rPr>
        <w:t> </w:t>
      </w:r>
      <w:r>
        <w:rPr>
          <w:rFonts w:ascii="Arial" w:hAnsi="Arial"/>
          <w:i/>
          <w:vertAlign w:val="baseline"/>
        </w:rPr>
        <w:t>and</w:t>
      </w:r>
      <w:r>
        <w:rPr>
          <w:rFonts w:ascii="Arial" w:hAnsi="Arial"/>
          <w:i/>
          <w:spacing w:val="-1"/>
          <w:vertAlign w:val="baseline"/>
        </w:rPr>
        <w:t> </w:t>
      </w:r>
      <w:r>
        <w:rPr>
          <w:rFonts w:ascii="Arial" w:hAnsi="Arial"/>
          <w:i/>
          <w:vertAlign w:val="baseline"/>
        </w:rPr>
        <w:t>Social Services Board</w:t>
      </w:r>
      <w:r>
        <w:rPr>
          <w:vertAlign w:val="baseline"/>
        </w:rPr>
        <w:t>, </w:t>
      </w:r>
      <w:r>
        <w:rPr>
          <w:color w:val="005DA1"/>
          <w:u w:val="single" w:color="005DA1"/>
          <w:vertAlign w:val="superscript"/>
        </w:rPr>
        <w:t>446</w:t>
      </w:r>
      <w:r>
        <w:rPr>
          <w:color w:val="005DA1"/>
          <w:vertAlign w:val="baseline"/>
        </w:rPr>
        <w:t> </w:t>
      </w:r>
      <w:r>
        <w:rPr>
          <w:vertAlign w:val="baseline"/>
        </w:rPr>
        <w:t>the House of Lords held that an employer who knew that its employees had a valuable right under the terms of their contracts of employment (here, relating to the enhancement of their pension rights), in a situation where it was reasonable for the employee to be unaware of that right (as it stemmed from a collective agreement), was under a duty to take reasonable steps to</w:t>
      </w:r>
      <w:r>
        <w:rPr>
          <w:spacing w:val="40"/>
          <w:vertAlign w:val="baseline"/>
        </w:rPr>
        <w:t> </w:t>
      </w:r>
      <w:r>
        <w:rPr>
          <w:vertAlign w:val="baseline"/>
        </w:rPr>
        <w:t>inform those employees of their rights. And again in the context of employment, it has been accepted that where an employee bonus scheme gives the employer a very wide discretion as to the payment </w:t>
      </w:r>
      <w:bookmarkStart w:name="_bookmark729" w:id="731"/>
      <w:bookmarkEnd w:id="731"/>
      <w:r>
        <w:rPr>
          <w:vertAlign w:val="baseline"/>
        </w:rPr>
        <w:t>and</w:t>
      </w:r>
      <w:r>
        <w:rPr>
          <w:vertAlign w:val="baseline"/>
        </w:rPr>
        <w:t> size of bonus, this discretion must nevertheless be exercised bona fide, rationally and not perversely. </w:t>
      </w:r>
      <w:r>
        <w:rPr>
          <w:color w:val="005DA1"/>
          <w:u w:val="single" w:color="005DA1"/>
          <w:vertAlign w:val="superscript"/>
        </w:rPr>
        <w:t>447</w:t>
      </w:r>
      <w:r>
        <w:rPr>
          <w:color w:val="005DA1"/>
          <w:vertAlign w:val="baseline"/>
        </w:rPr>
        <w:t> </w:t>
      </w:r>
      <w:r>
        <w:rPr>
          <w:vertAlign w:val="baseline"/>
        </w:rPr>
        <w:t>An example drawn from another context may be found in the courts’ implication of a term in a contract of sale of the goodwill of a business that the seller is not entitled to solicit the </w:t>
      </w:r>
      <w:bookmarkStart w:name="_bookmark730" w:id="732"/>
      <w:bookmarkEnd w:id="732"/>
      <w:r>
        <w:rPr>
          <w:vertAlign w:val="baseline"/>
        </w:rPr>
        <w:t>business’s</w:t>
      </w:r>
      <w:r>
        <w:rPr>
          <w:vertAlign w:val="baseline"/>
        </w:rPr>
        <w:t> former customers, it being “not an honest thing to pocket the price and then to recapture </w:t>
      </w:r>
      <w:bookmarkStart w:name="_bookmark731" w:id="733"/>
      <w:bookmarkEnd w:id="733"/>
      <w:r>
        <w:rPr>
          <w:vertAlign w:val="baseline"/>
        </w:rPr>
        <w:t>the</w:t>
      </w:r>
      <w:r>
        <w:rPr>
          <w:vertAlign w:val="baseline"/>
        </w:rPr>
        <w:t> subject of sale”, </w:t>
      </w:r>
      <w:r>
        <w:rPr>
          <w:color w:val="005DA1"/>
          <w:u w:val="single" w:color="005DA1"/>
          <w:vertAlign w:val="superscript"/>
        </w:rPr>
        <w:t>448</w:t>
      </w:r>
      <w:r>
        <w:rPr>
          <w:color w:val="005DA1"/>
          <w:vertAlign w:val="baseline"/>
        </w:rPr>
        <w:t> </w:t>
      </w:r>
      <w:r>
        <w:rPr>
          <w:vertAlign w:val="baseline"/>
        </w:rPr>
        <w:t>though the courts do not go further and accept that the seller is not entitled to compete with his purchaser in the absence of express provision. </w:t>
      </w:r>
      <w:r>
        <w:rPr>
          <w:color w:val="005DA1"/>
          <w:u w:val="single" w:color="005DA1"/>
          <w:vertAlign w:val="superscript"/>
        </w:rPr>
        <w:t>449</w:t>
      </w:r>
      <w:r>
        <w:rPr>
          <w:color w:val="005DA1"/>
          <w:vertAlign w:val="baseline"/>
        </w:rPr>
        <w:t> </w:t>
      </w:r>
      <w:r>
        <w:rPr>
          <w:vertAlign w:val="baseline"/>
        </w:rPr>
        <w:t>And where a buyer has returned defective goods to their seller for inspection and, if possible, repair (it not being clear as to the nature of the problem), and the seller has repaired them, the latter has been held to bear an implied obligation to inform the buyer about the nature of the defect and what has been done to repair it, as this information was necessary in the circumstances of the case for the buyer to make a properly </w:t>
      </w:r>
      <w:bookmarkStart w:name="_bookmark732" w:id="734"/>
      <w:bookmarkEnd w:id="734"/>
      <w:r>
        <w:rPr>
          <w:vertAlign w:val="baseline"/>
        </w:rPr>
        <w:t>informed</w:t>
      </w:r>
      <w:r>
        <w:rPr>
          <w:vertAlign w:val="baseline"/>
        </w:rPr>
        <w:t> choice between accepting and rejecting the goods as it was entitled to do under the contract </w:t>
      </w:r>
      <w:bookmarkStart w:name="_bookmark733" w:id="735"/>
      <w:bookmarkEnd w:id="735"/>
      <w:r>
        <w:rPr>
          <w:vertAlign w:val="baseline"/>
        </w:rPr>
        <w:t>of</w:t>
      </w:r>
      <w:r>
        <w:rPr>
          <w:vertAlign w:val="baseline"/>
        </w:rPr>
        <w:t> sale. </w:t>
      </w:r>
      <w:r>
        <w:rPr>
          <w:color w:val="005DA1"/>
          <w:u w:val="single" w:color="005DA1"/>
          <w:vertAlign w:val="superscript"/>
        </w:rPr>
        <w:t>450</w:t>
      </w:r>
      <w:r>
        <w:rPr>
          <w:color w:val="005DA1"/>
          <w:vertAlign w:val="baseline"/>
        </w:rPr>
        <w:t> </w:t>
      </w:r>
      <w:r>
        <w:rPr>
          <w:vertAlign w:val="baseline"/>
        </w:rPr>
        <w:t>And the courts have been willing to imply duties of honesty and good faith in contracts for joint business ventures and similar types of contract. </w:t>
      </w:r>
      <w:r>
        <w:rPr>
          <w:color w:val="005DA1"/>
          <w:u w:val="single" w:color="005DA1"/>
          <w:vertAlign w:val="superscript"/>
        </w:rPr>
        <w:t>451</w:t>
      </w:r>
      <w:r>
        <w:rPr>
          <w:color w:val="005DA1"/>
          <w:vertAlign w:val="baseline"/>
        </w:rPr>
        <w:t> </w:t>
      </w:r>
      <w:r>
        <w:rPr>
          <w:vertAlign w:val="baseline"/>
        </w:rPr>
        <w:t>On the other hand, it has been said that a court should not imply a term requiring good faith in a party to a contract where it would be </w:t>
      </w:r>
      <w:bookmarkStart w:name="_bookmark734" w:id="736"/>
      <w:bookmarkEnd w:id="736"/>
      <w:r>
        <w:rPr>
          <w:vertAlign w:val="baseline"/>
        </w:rPr>
        <w:t>“inconsistent</w:t>
      </w:r>
      <w:r>
        <w:rPr>
          <w:vertAlign w:val="baseline"/>
        </w:rPr>
        <w:t> with the express terms which set out the parties’ mutual obligations”, though this leaves a duty of honesty. </w:t>
      </w:r>
      <w:r>
        <w:rPr>
          <w:color w:val="005DA1"/>
          <w:u w:val="single" w:color="005DA1"/>
          <w:vertAlign w:val="superscript"/>
        </w:rPr>
        <w:t>452</w:t>
      </w:r>
      <w:r>
        <w:rPr>
          <w:color w:val="005DA1"/>
          <w:vertAlign w:val="baseline"/>
        </w:rPr>
        <w:t> </w:t>
      </w:r>
      <w:r>
        <w:rPr>
          <w:vertAlign w:val="baseline"/>
        </w:rPr>
        <w:t>Moreover, even in those types of contract which involve “a high degree of communication, co-operation and predictable performance based on mutual trust and confidence and </w:t>
      </w:r>
      <w:bookmarkStart w:name="_bookmark735" w:id="737"/>
      <w:bookmarkEnd w:id="737"/>
      <w:r>
        <w:rPr>
          <w:vertAlign w:val="baseline"/>
        </w:rPr>
        <w:t>expectations</w:t>
      </w:r>
      <w:r>
        <w:rPr>
          <w:spacing w:val="35"/>
          <w:vertAlign w:val="baseline"/>
        </w:rPr>
        <w:t> </w:t>
      </w:r>
      <w:r>
        <w:rPr>
          <w:vertAlign w:val="baseline"/>
        </w:rPr>
        <w:t>of</w:t>
      </w:r>
      <w:r>
        <w:rPr>
          <w:spacing w:val="35"/>
          <w:vertAlign w:val="baseline"/>
        </w:rPr>
        <w:t> </w:t>
      </w:r>
      <w:r>
        <w:rPr>
          <w:vertAlign w:val="baseline"/>
        </w:rPr>
        <w:t>loyalty”,</w:t>
      </w:r>
      <w:r>
        <w:rPr>
          <w:spacing w:val="35"/>
          <w:vertAlign w:val="baseline"/>
        </w:rPr>
        <w:t> </w:t>
      </w:r>
      <w:r>
        <w:rPr>
          <w:vertAlign w:val="baseline"/>
        </w:rPr>
        <w:t>in</w:t>
      </w:r>
      <w:r>
        <w:rPr>
          <w:spacing w:val="35"/>
          <w:vertAlign w:val="baseline"/>
        </w:rPr>
        <w:t> </w:t>
      </w:r>
      <w:r>
        <w:rPr>
          <w:vertAlign w:val="baseline"/>
        </w:rPr>
        <w:t>which</w:t>
      </w:r>
      <w:r>
        <w:rPr>
          <w:spacing w:val="35"/>
          <w:vertAlign w:val="baseline"/>
        </w:rPr>
        <w:t> </w:t>
      </w:r>
      <w:r>
        <w:rPr>
          <w:vertAlign w:val="baseline"/>
        </w:rPr>
        <w:t>the</w:t>
      </w:r>
      <w:r>
        <w:rPr>
          <w:spacing w:val="35"/>
          <w:vertAlign w:val="baseline"/>
        </w:rPr>
        <w:t> </w:t>
      </w:r>
      <w:r>
        <w:rPr>
          <w:vertAlign w:val="baseline"/>
        </w:rPr>
        <w:t>courts</w:t>
      </w:r>
      <w:r>
        <w:rPr>
          <w:spacing w:val="35"/>
          <w:vertAlign w:val="baseline"/>
        </w:rPr>
        <w:t> </w:t>
      </w:r>
      <w:r>
        <w:rPr>
          <w:vertAlign w:val="baseline"/>
        </w:rPr>
        <w:t>may</w:t>
      </w:r>
      <w:r>
        <w:rPr>
          <w:spacing w:val="35"/>
          <w:vertAlign w:val="baseline"/>
        </w:rPr>
        <w:t> </w:t>
      </w:r>
      <w:r>
        <w:rPr>
          <w:vertAlign w:val="baseline"/>
        </w:rPr>
        <w:t>be</w:t>
      </w:r>
      <w:r>
        <w:rPr>
          <w:spacing w:val="35"/>
          <w:vertAlign w:val="baseline"/>
        </w:rPr>
        <w:t> </w:t>
      </w:r>
      <w:r>
        <w:rPr>
          <w:vertAlign w:val="baseline"/>
        </w:rPr>
        <w:t>willing</w:t>
      </w:r>
      <w:r>
        <w:rPr>
          <w:spacing w:val="35"/>
          <w:vertAlign w:val="baseline"/>
        </w:rPr>
        <w:t> </w:t>
      </w:r>
      <w:r>
        <w:rPr>
          <w:vertAlign w:val="baseline"/>
        </w:rPr>
        <w:t>to</w:t>
      </w:r>
      <w:r>
        <w:rPr>
          <w:spacing w:val="35"/>
          <w:vertAlign w:val="baseline"/>
        </w:rPr>
        <w:t> </w:t>
      </w:r>
      <w:r>
        <w:rPr>
          <w:vertAlign w:val="baseline"/>
        </w:rPr>
        <w:t>imply</w:t>
      </w:r>
      <w:r>
        <w:rPr>
          <w:spacing w:val="35"/>
          <w:vertAlign w:val="baseline"/>
        </w:rPr>
        <w:t> </w:t>
      </w:r>
      <w:r>
        <w:rPr>
          <w:vertAlign w:val="baseline"/>
        </w:rPr>
        <w:t>a</w:t>
      </w:r>
      <w:r>
        <w:rPr>
          <w:spacing w:val="35"/>
          <w:vertAlign w:val="baseline"/>
        </w:rPr>
        <w:t> </w:t>
      </w:r>
      <w:r>
        <w:rPr>
          <w:vertAlign w:val="baseline"/>
        </w:rPr>
        <w:t>duty</w:t>
      </w:r>
      <w:r>
        <w:rPr>
          <w:spacing w:val="35"/>
          <w:vertAlign w:val="baseline"/>
        </w:rPr>
        <w:t> </w:t>
      </w:r>
      <w:r>
        <w:rPr>
          <w:vertAlign w:val="baseline"/>
        </w:rPr>
        <w:t>of</w:t>
      </w:r>
      <w:r>
        <w:rPr>
          <w:spacing w:val="35"/>
          <w:vertAlign w:val="baseline"/>
        </w:rPr>
        <w:t> </w:t>
      </w:r>
      <w:r>
        <w:rPr>
          <w:vertAlign w:val="baseline"/>
        </w:rPr>
        <w:t>good</w:t>
      </w:r>
      <w:r>
        <w:rPr>
          <w:spacing w:val="35"/>
          <w:vertAlign w:val="baseline"/>
        </w:rPr>
        <w:t> </w:t>
      </w:r>
      <w:r>
        <w:rPr>
          <w:vertAlign w:val="baseline"/>
        </w:rPr>
        <w:t>faith,</w:t>
      </w:r>
      <w:r>
        <w:rPr>
          <w:spacing w:val="35"/>
          <w:vertAlign w:val="baseline"/>
        </w:rPr>
        <w:t> </w:t>
      </w:r>
      <w:r>
        <w:rPr>
          <w:vertAlign w:val="baseline"/>
        </w:rPr>
        <w:t>this</w:t>
      </w:r>
      <w:r>
        <w:rPr>
          <w:spacing w:val="35"/>
          <w:vertAlign w:val="baseline"/>
        </w:rPr>
        <w:t> </w:t>
      </w:r>
      <w:r>
        <w:rPr>
          <w:spacing w:val="-4"/>
          <w:vertAlign w:val="baseline"/>
        </w:rPr>
        <w:t>will</w:t>
      </w:r>
    </w:p>
    <w:p>
      <w:pPr>
        <w:pStyle w:val="BodyText"/>
        <w:spacing w:line="360" w:lineRule="auto" w:before="106"/>
        <w:ind w:left="164" w:right="167"/>
        <w:jc w:val="both"/>
        <w:rPr>
          <w:position w:val="-2"/>
        </w:rPr>
      </w:pPr>
      <w:bookmarkStart w:name="_bookmark736" w:id="738"/>
      <w:bookmarkEnd w:id="738"/>
      <w:r>
        <w:rPr/>
      </w:r>
      <w:r>
        <w:rPr/>
        <w:t>depend on the terms of the particular contract </w:t>
      </w:r>
      <w:r>
        <w:rPr>
          <w:color w:val="005DA1"/>
          <w:u w:val="single" w:color="005DA1"/>
          <w:vertAlign w:val="superscript"/>
        </w:rPr>
        <w:t>453</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vertAlign w:val="baseline"/>
        </w:rPr>
        <w:t>: “an implication of a duty of good faith will </w:t>
      </w:r>
      <w:r>
        <w:rPr>
          <w:vertAlign w:val="baseline"/>
        </w:rPr>
        <w:t>only</w:t>
      </w:r>
      <w:r>
        <w:rPr>
          <w:spacing w:val="40"/>
          <w:vertAlign w:val="baseline"/>
        </w:rPr>
        <w:t> </w:t>
      </w:r>
      <w:r>
        <w:rPr>
          <w:vertAlign w:val="baseline"/>
        </w:rPr>
        <w:t>be possible where the language of the contract, viewed against its context, permits it”. </w:t>
      </w:r>
      <w:r>
        <w:rPr>
          <w:color w:val="005DA1"/>
          <w:u w:val="single" w:color="005DA1"/>
          <w:vertAlign w:val="superscript"/>
        </w:rPr>
        <w:t>454</w:t>
      </w:r>
      <w:r>
        <w:rPr>
          <w:color w:val="005DA1"/>
          <w:spacing w:val="80"/>
          <w:vertAlign w:val="baseline"/>
        </w:rPr>
        <w:t> </w:t>
      </w:r>
      <w:r>
        <w:rPr>
          <w:color w:val="005DA1"/>
          <w:position w:val="-2"/>
          <w:vertAlign w:val="baseline"/>
        </w:rPr>
        <w:drawing>
          <wp:inline distT="0" distB="0" distL="0" distR="0">
            <wp:extent cx="107988" cy="107988"/>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6"/>
        <w:rPr>
          <w:sz w:val="18"/>
        </w:rPr>
      </w:pPr>
    </w:p>
    <w:p>
      <w:pPr>
        <w:spacing w:before="0"/>
        <w:ind w:left="165" w:right="0" w:firstLine="0"/>
        <w:jc w:val="left"/>
        <w:rPr>
          <w:rFonts w:ascii="Arial"/>
          <w:b/>
          <w:sz w:val="18"/>
        </w:rPr>
      </w:pPr>
      <w:r>
        <w:rPr>
          <w:rFonts w:ascii="Arial"/>
          <w:b/>
          <w:sz w:val="18"/>
        </w:rPr>
        <w:t>A general implied term to perform in good </w:t>
      </w:r>
      <w:r>
        <w:rPr>
          <w:rFonts w:ascii="Arial"/>
          <w:b/>
          <w:spacing w:val="-2"/>
          <w:sz w:val="18"/>
        </w:rPr>
        <w:t>faith?</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053</w:t>
      </w:r>
    </w:p>
    <w:p>
      <w:pPr>
        <w:pStyle w:val="BodyText"/>
        <w:spacing w:before="213"/>
        <w:rPr>
          <w:rFonts w:ascii="Arial"/>
          <w:b/>
        </w:rPr>
      </w:pPr>
    </w:p>
    <w:p>
      <w:pPr>
        <w:tabs>
          <w:tab w:pos="5684" w:val="left" w:leader="none"/>
        </w:tabs>
        <w:spacing w:line="235" w:lineRule="auto" w:before="0"/>
        <w:ind w:left="165" w:right="167" w:firstLine="0"/>
        <w:jc w:val="left"/>
        <w:rPr>
          <w:sz w:val="20"/>
        </w:rPr>
      </w:pPr>
      <w:r>
        <w:rPr>
          <w:position w:val="-2"/>
        </w:rPr>
        <w:drawing>
          <wp:inline distT="0" distB="0" distL="0" distR="0">
            <wp:extent cx="107988" cy="107988"/>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7"/>
          <w:sz w:val="20"/>
        </w:rPr>
        <w:t> </w:t>
      </w:r>
      <w:bookmarkStart w:name="_bookmark737" w:id="739"/>
      <w:bookmarkEnd w:id="739"/>
      <w:r>
        <w:rPr>
          <w:rFonts w:ascii="Times New Roman"/>
          <w:spacing w:val="-23"/>
          <w:sz w:val="20"/>
        </w:rPr>
      </w:r>
      <w:r>
        <w:rPr>
          <w:sz w:val="20"/>
        </w:rPr>
        <w:t>In </w:t>
      </w:r>
      <w:r>
        <w:rPr>
          <w:rFonts w:ascii="Arial"/>
          <w:i/>
          <w:sz w:val="20"/>
        </w:rPr>
        <w:t>Yam Seng Pte Ltd v International Trade Corp Ltd </w:t>
      </w:r>
      <w:r>
        <w:rPr>
          <w:color w:val="005DA1"/>
          <w:sz w:val="20"/>
          <w:u w:val="single" w:color="005DA1"/>
          <w:vertAlign w:val="superscript"/>
        </w:rPr>
        <w:t>455</w:t>
      </w:r>
      <w:r>
        <w:rPr>
          <w:color w:val="005DA1"/>
          <w:sz w:val="20"/>
          <w:vertAlign w:val="baseline"/>
        </w:rPr>
        <w:tab/>
      </w:r>
      <w:r>
        <w:rPr>
          <w:color w:val="005DA1"/>
          <w:position w:val="-2"/>
          <w:sz w:val="20"/>
          <w:vertAlign w:val="baseline"/>
        </w:rPr>
        <w:drawing>
          <wp:inline distT="0" distB="0" distL="0" distR="0">
            <wp:extent cx="107988" cy="107988"/>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r>
        <w:rPr>
          <w:rFonts w:ascii="Times New Roman"/>
          <w:color w:val="005DA1"/>
          <w:spacing w:val="21"/>
          <w:sz w:val="20"/>
          <w:vertAlign w:val="baseline"/>
        </w:rPr>
        <w:t> </w:t>
      </w:r>
      <w:r>
        <w:rPr>
          <w:sz w:val="20"/>
          <w:vertAlign w:val="baseline"/>
        </w:rPr>
        <w:t>Leggatt J. considered, obiter, that </w:t>
      </w:r>
      <w:r>
        <w:rPr>
          <w:sz w:val="20"/>
          <w:vertAlign w:val="baseline"/>
        </w:rPr>
        <w:t>a contract</w:t>
      </w:r>
      <w:r>
        <w:rPr>
          <w:spacing w:val="15"/>
          <w:sz w:val="20"/>
          <w:vertAlign w:val="baseline"/>
        </w:rPr>
        <w:t> </w:t>
      </w:r>
      <w:r>
        <w:rPr>
          <w:sz w:val="20"/>
          <w:vertAlign w:val="baseline"/>
        </w:rPr>
        <w:t>for</w:t>
      </w:r>
      <w:r>
        <w:rPr>
          <w:spacing w:val="15"/>
          <w:sz w:val="20"/>
          <w:vertAlign w:val="baseline"/>
        </w:rPr>
        <w:t> </w:t>
      </w:r>
      <w:r>
        <w:rPr>
          <w:sz w:val="20"/>
          <w:vertAlign w:val="baseline"/>
        </w:rPr>
        <w:t>a</w:t>
      </w:r>
      <w:r>
        <w:rPr>
          <w:spacing w:val="15"/>
          <w:sz w:val="20"/>
          <w:vertAlign w:val="baseline"/>
        </w:rPr>
        <w:t> </w:t>
      </w:r>
      <w:r>
        <w:rPr>
          <w:sz w:val="20"/>
          <w:vertAlign w:val="baseline"/>
        </w:rPr>
        <w:t>licence</w:t>
      </w:r>
      <w:r>
        <w:rPr>
          <w:spacing w:val="15"/>
          <w:sz w:val="20"/>
          <w:vertAlign w:val="baseline"/>
        </w:rPr>
        <w:t> </w:t>
      </w:r>
      <w:r>
        <w:rPr>
          <w:sz w:val="20"/>
          <w:vertAlign w:val="baseline"/>
        </w:rPr>
        <w:t>to</w:t>
      </w:r>
      <w:r>
        <w:rPr>
          <w:spacing w:val="15"/>
          <w:sz w:val="20"/>
          <w:vertAlign w:val="baseline"/>
        </w:rPr>
        <w:t> </w:t>
      </w:r>
      <w:r>
        <w:rPr>
          <w:sz w:val="20"/>
          <w:vertAlign w:val="baseline"/>
        </w:rPr>
        <w:t>distribute</w:t>
      </w:r>
      <w:r>
        <w:rPr>
          <w:spacing w:val="15"/>
          <w:sz w:val="20"/>
          <w:vertAlign w:val="baseline"/>
        </w:rPr>
        <w:t> </w:t>
      </w:r>
      <w:r>
        <w:rPr>
          <w:sz w:val="20"/>
          <w:vertAlign w:val="baseline"/>
        </w:rPr>
        <w:t>and</w:t>
      </w:r>
      <w:r>
        <w:rPr>
          <w:spacing w:val="15"/>
          <w:sz w:val="20"/>
          <w:vertAlign w:val="baseline"/>
        </w:rPr>
        <w:t> </w:t>
      </w:r>
      <w:r>
        <w:rPr>
          <w:sz w:val="20"/>
          <w:vertAlign w:val="baseline"/>
        </w:rPr>
        <w:t>for</w:t>
      </w:r>
      <w:r>
        <w:rPr>
          <w:spacing w:val="15"/>
          <w:sz w:val="20"/>
          <w:vertAlign w:val="baseline"/>
        </w:rPr>
        <w:t> </w:t>
      </w:r>
      <w:r>
        <w:rPr>
          <w:sz w:val="20"/>
          <w:vertAlign w:val="baseline"/>
        </w:rPr>
        <w:t>the</w:t>
      </w:r>
      <w:r>
        <w:rPr>
          <w:spacing w:val="15"/>
          <w:sz w:val="20"/>
          <w:vertAlign w:val="baseline"/>
        </w:rPr>
        <w:t> </w:t>
      </w:r>
      <w:r>
        <w:rPr>
          <w:sz w:val="20"/>
          <w:vertAlign w:val="baseline"/>
        </w:rPr>
        <w:t>supply</w:t>
      </w:r>
      <w:r>
        <w:rPr>
          <w:spacing w:val="15"/>
          <w:sz w:val="20"/>
          <w:vertAlign w:val="baseline"/>
        </w:rPr>
        <w:t> </w:t>
      </w:r>
      <w:r>
        <w:rPr>
          <w:sz w:val="20"/>
          <w:vertAlign w:val="baseline"/>
        </w:rPr>
        <w:t>of</w:t>
      </w:r>
      <w:r>
        <w:rPr>
          <w:spacing w:val="15"/>
          <w:sz w:val="20"/>
          <w:vertAlign w:val="baseline"/>
        </w:rPr>
        <w:t> </w:t>
      </w:r>
      <w:r>
        <w:rPr>
          <w:sz w:val="20"/>
          <w:vertAlign w:val="baseline"/>
        </w:rPr>
        <w:t>branded</w:t>
      </w:r>
      <w:r>
        <w:rPr>
          <w:spacing w:val="15"/>
          <w:sz w:val="20"/>
          <w:vertAlign w:val="baseline"/>
        </w:rPr>
        <w:t> </w:t>
      </w:r>
      <w:r>
        <w:rPr>
          <w:sz w:val="20"/>
          <w:vertAlign w:val="baseline"/>
        </w:rPr>
        <w:t>goods</w:t>
      </w:r>
      <w:r>
        <w:rPr>
          <w:spacing w:val="15"/>
          <w:sz w:val="20"/>
          <w:vertAlign w:val="baseline"/>
        </w:rPr>
        <w:t> </w:t>
      </w:r>
      <w:r>
        <w:rPr>
          <w:sz w:val="20"/>
          <w:vertAlign w:val="baseline"/>
        </w:rPr>
        <w:t>contained</w:t>
      </w:r>
      <w:r>
        <w:rPr>
          <w:spacing w:val="15"/>
          <w:sz w:val="20"/>
          <w:vertAlign w:val="baseline"/>
        </w:rPr>
        <w:t> </w:t>
      </w:r>
      <w:r>
        <w:rPr>
          <w:sz w:val="20"/>
          <w:vertAlign w:val="baseline"/>
        </w:rPr>
        <w:t>an</w:t>
      </w:r>
      <w:r>
        <w:rPr>
          <w:spacing w:val="15"/>
          <w:sz w:val="20"/>
          <w:vertAlign w:val="baseline"/>
        </w:rPr>
        <w:t> </w:t>
      </w:r>
      <w:r>
        <w:rPr>
          <w:sz w:val="20"/>
          <w:vertAlign w:val="baseline"/>
        </w:rPr>
        <w:t>implied</w:t>
      </w:r>
      <w:r>
        <w:rPr>
          <w:spacing w:val="15"/>
          <w:sz w:val="20"/>
          <w:vertAlign w:val="baseline"/>
        </w:rPr>
        <w:t> </w:t>
      </w:r>
      <w:r>
        <w:rPr>
          <w:sz w:val="20"/>
          <w:vertAlign w:val="baseline"/>
        </w:rPr>
        <w:t>term</w:t>
      </w:r>
      <w:r>
        <w:rPr>
          <w:spacing w:val="15"/>
          <w:sz w:val="20"/>
          <w:vertAlign w:val="baseline"/>
        </w:rPr>
        <w:t> </w:t>
      </w:r>
      <w:r>
        <w:rPr>
          <w:spacing w:val="-5"/>
          <w:sz w:val="20"/>
          <w:vertAlign w:val="baseline"/>
        </w:rPr>
        <w:t>of</w:t>
      </w:r>
    </w:p>
    <w:p>
      <w:pPr>
        <w:spacing w:after="0" w:line="235" w:lineRule="auto"/>
        <w:jc w:val="left"/>
        <w:rPr>
          <w:sz w:val="20"/>
        </w:rPr>
        <w:sectPr>
          <w:pgSz w:w="11900" w:h="16840"/>
          <w:pgMar w:header="971" w:footer="0" w:top="1300" w:bottom="280" w:left="1275" w:right="1275"/>
        </w:sectPr>
      </w:pPr>
    </w:p>
    <w:p>
      <w:pPr>
        <w:pStyle w:val="BodyText"/>
        <w:spacing w:line="235" w:lineRule="auto" w:before="110"/>
        <w:ind w:left="164" w:right="167"/>
        <w:jc w:val="both"/>
      </w:pPr>
      <w:bookmarkStart w:name="_bookmark738" w:id="740"/>
      <w:bookmarkEnd w:id="740"/>
      <w:r>
        <w:rPr/>
      </w:r>
      <w:r>
        <w:rPr/>
        <w:t>good</w:t>
      </w:r>
      <w:r>
        <w:rPr>
          <w:spacing w:val="-1"/>
        </w:rPr>
        <w:t> </w:t>
      </w:r>
      <w:r>
        <w:rPr/>
        <w:t>faith</w:t>
      </w:r>
      <w:r>
        <w:rPr>
          <w:spacing w:val="-1"/>
        </w:rPr>
        <w:t> </w:t>
      </w:r>
      <w:r>
        <w:rPr/>
        <w:t>in</w:t>
      </w:r>
      <w:r>
        <w:rPr>
          <w:spacing w:val="-1"/>
        </w:rPr>
        <w:t> </w:t>
      </w:r>
      <w:r>
        <w:rPr/>
        <w:t>its</w:t>
      </w:r>
      <w:r>
        <w:rPr>
          <w:spacing w:val="-1"/>
        </w:rPr>
        <w:t> </w:t>
      </w:r>
      <w:r>
        <w:rPr/>
        <w:t>performance</w:t>
      </w:r>
      <w:r>
        <w:rPr>
          <w:spacing w:val="-1"/>
        </w:rPr>
        <w:t> </w:t>
      </w:r>
      <w:r>
        <w:rPr/>
        <w:t>which</w:t>
      </w:r>
      <w:r>
        <w:rPr>
          <w:spacing w:val="-1"/>
        </w:rPr>
        <w:t> </w:t>
      </w:r>
      <w:r>
        <w:rPr/>
        <w:t>had</w:t>
      </w:r>
      <w:r>
        <w:rPr>
          <w:spacing w:val="-1"/>
        </w:rPr>
        <w:t> </w:t>
      </w:r>
      <w:r>
        <w:rPr/>
        <w:t>the</w:t>
      </w:r>
      <w:r>
        <w:rPr>
          <w:spacing w:val="-1"/>
        </w:rPr>
        <w:t> </w:t>
      </w:r>
      <w:r>
        <w:rPr/>
        <w:t>significance</w:t>
      </w:r>
      <w:r>
        <w:rPr>
          <w:spacing w:val="-1"/>
        </w:rPr>
        <w:t> </w:t>
      </w:r>
      <w:r>
        <w:rPr/>
        <w:t>in</w:t>
      </w:r>
      <w:r>
        <w:rPr>
          <w:spacing w:val="-1"/>
        </w:rPr>
        <w:t> </w:t>
      </w:r>
      <w:r>
        <w:rPr/>
        <w:t>the</w:t>
      </w:r>
      <w:r>
        <w:rPr>
          <w:spacing w:val="-1"/>
        </w:rPr>
        <w:t> </w:t>
      </w:r>
      <w:r>
        <w:rPr/>
        <w:t>context</w:t>
      </w:r>
      <w:r>
        <w:rPr>
          <w:spacing w:val="-1"/>
        </w:rPr>
        <w:t> </w:t>
      </w:r>
      <w:r>
        <w:rPr/>
        <w:t>of</w:t>
      </w:r>
      <w:r>
        <w:rPr>
          <w:spacing w:val="-1"/>
        </w:rPr>
        <w:t> </w:t>
      </w:r>
      <w:r>
        <w:rPr/>
        <w:t>not</w:t>
      </w:r>
      <w:r>
        <w:rPr>
          <w:spacing w:val="-2"/>
        </w:rPr>
        <w:t> </w:t>
      </w:r>
      <w:r>
        <w:rPr>
          <w:rFonts w:ascii="Arial" w:hAnsi="Arial"/>
          <w:i/>
        </w:rPr>
        <w:t>knowingly</w:t>
      </w:r>
      <w:r>
        <w:rPr>
          <w:rFonts w:ascii="Arial" w:hAnsi="Arial"/>
          <w:i/>
          <w:spacing w:val="-1"/>
        </w:rPr>
        <w:t> </w:t>
      </w:r>
      <w:r>
        <w:rPr/>
        <w:t>providing</w:t>
      </w:r>
      <w:r>
        <w:rPr>
          <w:spacing w:val="-1"/>
        </w:rPr>
        <w:t> </w:t>
      </w:r>
      <w:r>
        <w:rPr/>
        <w:t>false information on which the other party was likely to rely. </w:t>
      </w:r>
      <w:r>
        <w:rPr>
          <w:color w:val="005DA1"/>
          <w:u w:val="single" w:color="005DA1"/>
          <w:vertAlign w:val="superscript"/>
        </w:rPr>
        <w:t>456</w:t>
      </w:r>
      <w:r>
        <w:rPr>
          <w:color w:val="005DA1"/>
          <w:vertAlign w:val="baseline"/>
        </w:rPr>
        <w:t> </w:t>
      </w:r>
      <w:r>
        <w:rPr>
          <w:vertAlign w:val="baseline"/>
        </w:rPr>
        <w:t>While this decision may be fitted easily into </w:t>
      </w:r>
      <w:bookmarkStart w:name="_bookmark739" w:id="741"/>
      <w:bookmarkEnd w:id="741"/>
      <w:r>
        <w:rPr>
          <w:vertAlign w:val="baseline"/>
        </w:rPr>
        <w:t>established</w:t>
      </w:r>
      <w:r>
        <w:rPr>
          <w:vertAlign w:val="baseline"/>
        </w:rPr>
        <w:t> case-law on the implication of terms of good faith in particular circumstances or as regards particular types of contract, </w:t>
      </w:r>
      <w:r>
        <w:rPr>
          <w:color w:val="005DA1"/>
          <w:u w:val="single" w:color="005DA1"/>
          <w:vertAlign w:val="superscript"/>
        </w:rPr>
        <w:t>457</w:t>
      </w:r>
      <w:r>
        <w:rPr>
          <w:color w:val="005DA1"/>
          <w:vertAlign w:val="baseline"/>
        </w:rPr>
        <w:t> </w:t>
      </w:r>
      <w:r>
        <w:rPr>
          <w:vertAlign w:val="baseline"/>
        </w:rPr>
        <w:t>in the course of a lengthy discussion of implied terms as to </w:t>
      </w:r>
      <w:bookmarkStart w:name="_bookmark740" w:id="742"/>
      <w:bookmarkEnd w:id="742"/>
      <w:r>
        <w:rPr>
          <w:vertAlign w:val="baseline"/>
        </w:rPr>
        <w:t>good</w:t>
      </w:r>
      <w:r>
        <w:rPr>
          <w:vertAlign w:val="baseline"/>
        </w:rPr>
        <w:t> faith, Leggatt J. appeared on occasion to go further and argue in favour of the implication of a </w:t>
      </w:r>
      <w:bookmarkStart w:name="_bookmark741" w:id="743"/>
      <w:bookmarkEnd w:id="743"/>
      <w:r>
        <w:rPr>
          <w:vertAlign w:val="baseline"/>
        </w:rPr>
        <w:t>term</w:t>
      </w:r>
      <w:r>
        <w:rPr>
          <w:vertAlign w:val="baseline"/>
        </w:rPr>
        <w:t> requiring good faith in performance not merely in what he referred to as “relational contracts” </w:t>
      </w:r>
      <w:r>
        <w:rPr>
          <w:color w:val="005DA1"/>
          <w:u w:val="single" w:color="005DA1"/>
          <w:vertAlign w:val="superscript"/>
        </w:rPr>
        <w:t>458</w:t>
      </w:r>
      <w:r>
        <w:rPr>
          <w:color w:val="005DA1"/>
          <w:vertAlign w:val="baseline"/>
        </w:rPr>
        <w:t> </w:t>
      </w:r>
      <w:r>
        <w:rPr>
          <w:vertAlign w:val="baseline"/>
        </w:rPr>
        <w:t>but</w:t>
      </w:r>
      <w:r>
        <w:rPr>
          <w:spacing w:val="-1"/>
          <w:vertAlign w:val="baseline"/>
        </w:rPr>
        <w:t> </w:t>
      </w:r>
      <w:r>
        <w:rPr>
          <w:vertAlign w:val="baseline"/>
        </w:rPr>
        <w:t>in</w:t>
      </w:r>
      <w:r>
        <w:rPr>
          <w:spacing w:val="-1"/>
          <w:vertAlign w:val="baseline"/>
        </w:rPr>
        <w:t> </w:t>
      </w:r>
      <w:r>
        <w:rPr>
          <w:vertAlign w:val="baseline"/>
        </w:rPr>
        <w:t>most,</w:t>
      </w:r>
      <w:r>
        <w:rPr>
          <w:spacing w:val="-1"/>
          <w:vertAlign w:val="baseline"/>
        </w:rPr>
        <w:t> </w:t>
      </w:r>
      <w:r>
        <w:rPr>
          <w:vertAlign w:val="baseline"/>
        </w:rPr>
        <w:t>if</w:t>
      </w:r>
      <w:r>
        <w:rPr>
          <w:spacing w:val="-1"/>
          <w:vertAlign w:val="baseline"/>
        </w:rPr>
        <w:t> </w:t>
      </w:r>
      <w:r>
        <w:rPr>
          <w:vertAlign w:val="baseline"/>
        </w:rPr>
        <w:t>not</w:t>
      </w:r>
      <w:r>
        <w:rPr>
          <w:spacing w:val="-1"/>
          <w:vertAlign w:val="baseline"/>
        </w:rPr>
        <w:t> </w:t>
      </w:r>
      <w:r>
        <w:rPr>
          <w:vertAlign w:val="baseline"/>
        </w:rPr>
        <w:t>all,</w:t>
      </w:r>
      <w:r>
        <w:rPr>
          <w:spacing w:val="-1"/>
          <w:vertAlign w:val="baseline"/>
        </w:rPr>
        <w:t> </w:t>
      </w:r>
      <w:r>
        <w:rPr>
          <w:vertAlign w:val="baseline"/>
        </w:rPr>
        <w:t>commercial</w:t>
      </w:r>
      <w:r>
        <w:rPr>
          <w:spacing w:val="-1"/>
          <w:vertAlign w:val="baseline"/>
        </w:rPr>
        <w:t> </w:t>
      </w:r>
      <w:r>
        <w:rPr>
          <w:vertAlign w:val="baseline"/>
        </w:rPr>
        <w:t>contracts</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ground</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expectations</w:t>
      </w:r>
      <w:r>
        <w:rPr>
          <w:spacing w:val="-1"/>
          <w:vertAlign w:val="baseline"/>
        </w:rPr>
        <w:t> </w:t>
      </w:r>
      <w:r>
        <w:rPr>
          <w:vertAlign w:val="baseline"/>
        </w:rPr>
        <w:t>of</w:t>
      </w:r>
      <w:r>
        <w:rPr>
          <w:spacing w:val="-1"/>
          <w:vertAlign w:val="baseline"/>
        </w:rPr>
        <w:t> </w:t>
      </w:r>
      <w:r>
        <w:rPr>
          <w:vertAlign w:val="baseline"/>
        </w:rPr>
        <w:t>their</w:t>
      </w:r>
      <w:r>
        <w:rPr>
          <w:spacing w:val="-1"/>
          <w:vertAlign w:val="baseline"/>
        </w:rPr>
        <w:t> </w:t>
      </w:r>
      <w:r>
        <w:rPr>
          <w:vertAlign w:val="baseline"/>
        </w:rPr>
        <w:t>parties.</w:t>
      </w:r>
      <w:r>
        <w:rPr>
          <w:spacing w:val="-2"/>
          <w:vertAlign w:val="baseline"/>
        </w:rPr>
        <w:t> </w:t>
      </w:r>
      <w:r>
        <w:rPr>
          <w:color w:val="005DA1"/>
          <w:u w:val="single" w:color="005DA1"/>
          <w:vertAlign w:val="superscript"/>
        </w:rPr>
        <w:t>459</w:t>
      </w:r>
      <w:r>
        <w:rPr>
          <w:color w:val="005DA1"/>
          <w:spacing w:val="-1"/>
          <w:vertAlign w:val="baseline"/>
        </w:rPr>
        <w:t> </w:t>
      </w:r>
      <w:r>
        <w:rPr>
          <w:vertAlign w:val="baseline"/>
        </w:rPr>
        <w:t>In</w:t>
      </w:r>
      <w:r>
        <w:rPr>
          <w:spacing w:val="-1"/>
          <w:vertAlign w:val="baseline"/>
        </w:rPr>
        <w:t> </w:t>
      </w:r>
      <w:r>
        <w:rPr>
          <w:vertAlign w:val="baseline"/>
        </w:rPr>
        <w:t>his view, for this purpose, while good faith may have the significance of honesty, “not all bad faith</w:t>
      </w:r>
      <w:r>
        <w:rPr>
          <w:spacing w:val="80"/>
          <w:vertAlign w:val="baseline"/>
        </w:rPr>
        <w:t> </w:t>
      </w:r>
      <w:bookmarkStart w:name="_bookmark742" w:id="744"/>
      <w:bookmarkEnd w:id="744"/>
      <w:r>
        <w:rPr>
          <w:vertAlign w:val="baseline"/>
        </w:rPr>
        <w:t>conduct</w:t>
      </w:r>
      <w:r>
        <w:rPr>
          <w:spacing w:val="1"/>
          <w:vertAlign w:val="baseline"/>
        </w:rPr>
        <w:t> </w:t>
      </w:r>
      <w:r>
        <w:rPr>
          <w:vertAlign w:val="baseline"/>
        </w:rPr>
        <w:t>would</w:t>
      </w:r>
      <w:r>
        <w:rPr>
          <w:spacing w:val="1"/>
          <w:vertAlign w:val="baseline"/>
        </w:rPr>
        <w:t> </w:t>
      </w:r>
      <w:r>
        <w:rPr>
          <w:vertAlign w:val="baseline"/>
        </w:rPr>
        <w:t>necessarily</w:t>
      </w:r>
      <w:r>
        <w:rPr>
          <w:spacing w:val="1"/>
          <w:vertAlign w:val="baseline"/>
        </w:rPr>
        <w:t> </w:t>
      </w:r>
      <w:r>
        <w:rPr>
          <w:vertAlign w:val="baseline"/>
        </w:rPr>
        <w:t>be</w:t>
      </w:r>
      <w:r>
        <w:rPr>
          <w:spacing w:val="1"/>
          <w:vertAlign w:val="baseline"/>
        </w:rPr>
        <w:t> </w:t>
      </w:r>
      <w:r>
        <w:rPr>
          <w:vertAlign w:val="baseline"/>
        </w:rPr>
        <w:t>described</w:t>
      </w:r>
      <w:r>
        <w:rPr>
          <w:spacing w:val="1"/>
          <w:vertAlign w:val="baseline"/>
        </w:rPr>
        <w:t> </w:t>
      </w:r>
      <w:r>
        <w:rPr>
          <w:vertAlign w:val="baseline"/>
        </w:rPr>
        <w:t>as</w:t>
      </w:r>
      <w:r>
        <w:rPr>
          <w:spacing w:val="1"/>
          <w:vertAlign w:val="baseline"/>
        </w:rPr>
        <w:t> </w:t>
      </w:r>
      <w:r>
        <w:rPr>
          <w:vertAlign w:val="baseline"/>
        </w:rPr>
        <w:t>dishonest.</w:t>
      </w:r>
      <w:r>
        <w:rPr>
          <w:spacing w:val="1"/>
          <w:vertAlign w:val="baseline"/>
        </w:rPr>
        <w:t> </w:t>
      </w:r>
      <w:r>
        <w:rPr>
          <w:vertAlign w:val="baseline"/>
        </w:rPr>
        <w:t>Other</w:t>
      </w:r>
      <w:r>
        <w:rPr>
          <w:spacing w:val="1"/>
          <w:vertAlign w:val="baseline"/>
        </w:rPr>
        <w:t> </w:t>
      </w:r>
      <w:r>
        <w:rPr>
          <w:vertAlign w:val="baseline"/>
        </w:rPr>
        <w:t>epithets</w:t>
      </w:r>
      <w:r>
        <w:rPr>
          <w:spacing w:val="1"/>
          <w:vertAlign w:val="baseline"/>
        </w:rPr>
        <w:t> </w:t>
      </w:r>
      <w:r>
        <w:rPr>
          <w:vertAlign w:val="baseline"/>
        </w:rPr>
        <w:t>which</w:t>
      </w:r>
      <w:r>
        <w:rPr>
          <w:spacing w:val="1"/>
          <w:vertAlign w:val="baseline"/>
        </w:rPr>
        <w:t> </w:t>
      </w:r>
      <w:r>
        <w:rPr>
          <w:vertAlign w:val="baseline"/>
        </w:rPr>
        <w:t>might</w:t>
      </w:r>
      <w:r>
        <w:rPr>
          <w:spacing w:val="1"/>
          <w:vertAlign w:val="baseline"/>
        </w:rPr>
        <w:t> </w:t>
      </w:r>
      <w:r>
        <w:rPr>
          <w:vertAlign w:val="baseline"/>
        </w:rPr>
        <w:t>be</w:t>
      </w:r>
      <w:r>
        <w:rPr>
          <w:spacing w:val="1"/>
          <w:vertAlign w:val="baseline"/>
        </w:rPr>
        <w:t> </w:t>
      </w:r>
      <w:r>
        <w:rPr>
          <w:vertAlign w:val="baseline"/>
        </w:rPr>
        <w:t>used</w:t>
      </w:r>
      <w:r>
        <w:rPr>
          <w:spacing w:val="1"/>
          <w:vertAlign w:val="baseline"/>
        </w:rPr>
        <w:t> </w:t>
      </w:r>
      <w:r>
        <w:rPr>
          <w:vertAlign w:val="baseline"/>
        </w:rPr>
        <w:t>to</w:t>
      </w:r>
      <w:r>
        <w:rPr>
          <w:spacing w:val="1"/>
          <w:vertAlign w:val="baseline"/>
        </w:rPr>
        <w:t> </w:t>
      </w:r>
      <w:r>
        <w:rPr>
          <w:spacing w:val="-2"/>
          <w:vertAlign w:val="baseline"/>
        </w:rPr>
        <w:t>describe</w:t>
      </w:r>
    </w:p>
    <w:p>
      <w:pPr>
        <w:pStyle w:val="BodyText"/>
        <w:spacing w:line="235" w:lineRule="auto" w:before="117"/>
        <w:ind w:left="165" w:right="167"/>
        <w:jc w:val="both"/>
      </w:pPr>
      <w:r>
        <w:rPr/>
        <w:t>such conduct include ‘improper’, ‘commercially unacceptable’ or ‘unconscionable”’. </w:t>
      </w:r>
      <w:r>
        <w:rPr>
          <w:color w:val="005DA1"/>
          <w:u w:val="single" w:color="005DA1"/>
          <w:vertAlign w:val="superscript"/>
        </w:rPr>
        <w:t>460</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With respect, the implication of such an implied term applicable generally (or even widely) to commercial </w:t>
      </w:r>
      <w:bookmarkStart w:name="_bookmark743" w:id="745"/>
      <w:bookmarkEnd w:id="745"/>
      <w:r>
        <w:rPr>
          <w:vertAlign w:val="baseline"/>
        </w:rPr>
        <w:t>contracts</w:t>
      </w:r>
      <w:r>
        <w:rPr>
          <w:vertAlign w:val="baseline"/>
        </w:rPr>
        <w:t> would undermine to an unjustified extent English law’s general position rejecting a general legal requirement of good faith. </w:t>
      </w:r>
      <w:r>
        <w:rPr>
          <w:color w:val="005DA1"/>
          <w:u w:val="single" w:color="005DA1"/>
          <w:vertAlign w:val="superscript"/>
        </w:rPr>
        <w:t>461</w:t>
      </w:r>
      <w:r>
        <w:rPr>
          <w:color w:val="005DA1"/>
          <w:vertAlign w:val="baseline"/>
        </w:rPr>
        <w:t> </w:t>
      </w:r>
      <w:r>
        <w:rPr>
          <w:vertAlign w:val="baseline"/>
        </w:rPr>
        <w:t>Subsequent judicial comments on Leggatt J.’s discussion have suggested that it should not be seen as establishing a principle of general application to all commercial contracts, but rather as recognising a particular example of a contract where a term as to good faith (meaning honesty) should be implied. In particular, in </w:t>
      </w:r>
      <w:r>
        <w:rPr>
          <w:rFonts w:ascii="Arial" w:hAnsi="Arial"/>
          <w:i/>
          <w:vertAlign w:val="baseline"/>
        </w:rPr>
        <w:t>Mid Essex Hospital Services NHS Trust v Compass Group UK and Ireland Ltd (t/a Medirest) </w:t>
      </w:r>
      <w:r>
        <w:rPr>
          <w:vertAlign w:val="baseline"/>
        </w:rPr>
        <w:t>Jackson L.J. noted that, while there is no </w:t>
      </w:r>
      <w:bookmarkStart w:name="_bookmark744" w:id="746"/>
      <w:bookmarkEnd w:id="746"/>
      <w:r>
        <w:rPr>
          <w:vertAlign w:val="baseline"/>
        </w:rPr>
        <w:t>general</w:t>
      </w:r>
      <w:r>
        <w:rPr>
          <w:spacing w:val="7"/>
          <w:vertAlign w:val="baseline"/>
        </w:rPr>
        <w:t> </w:t>
      </w:r>
      <w:r>
        <w:rPr>
          <w:vertAlign w:val="baseline"/>
        </w:rPr>
        <w:t>doctrine</w:t>
      </w:r>
      <w:r>
        <w:rPr>
          <w:spacing w:val="7"/>
          <w:vertAlign w:val="baseline"/>
        </w:rPr>
        <w:t> </w:t>
      </w:r>
      <w:r>
        <w:rPr>
          <w:vertAlign w:val="baseline"/>
        </w:rPr>
        <w:t>of</w:t>
      </w:r>
      <w:r>
        <w:rPr>
          <w:spacing w:val="7"/>
          <w:vertAlign w:val="baseline"/>
        </w:rPr>
        <w:t> </w:t>
      </w:r>
      <w:r>
        <w:rPr>
          <w:vertAlign w:val="baseline"/>
        </w:rPr>
        <w:t>“good</w:t>
      </w:r>
      <w:r>
        <w:rPr>
          <w:spacing w:val="7"/>
          <w:vertAlign w:val="baseline"/>
        </w:rPr>
        <w:t> </w:t>
      </w:r>
      <w:r>
        <w:rPr>
          <w:vertAlign w:val="baseline"/>
        </w:rPr>
        <w:t>faith”</w:t>
      </w:r>
      <w:r>
        <w:rPr>
          <w:spacing w:val="7"/>
          <w:vertAlign w:val="baseline"/>
        </w:rPr>
        <w:t> </w:t>
      </w:r>
      <w:r>
        <w:rPr>
          <w:vertAlign w:val="baseline"/>
        </w:rPr>
        <w:t>in</w:t>
      </w:r>
      <w:r>
        <w:rPr>
          <w:spacing w:val="7"/>
          <w:vertAlign w:val="baseline"/>
        </w:rPr>
        <w:t> </w:t>
      </w:r>
      <w:r>
        <w:rPr>
          <w:vertAlign w:val="baseline"/>
        </w:rPr>
        <w:t>English</w:t>
      </w:r>
      <w:r>
        <w:rPr>
          <w:spacing w:val="7"/>
          <w:vertAlign w:val="baseline"/>
        </w:rPr>
        <w:t> </w:t>
      </w:r>
      <w:r>
        <w:rPr>
          <w:vertAlign w:val="baseline"/>
        </w:rPr>
        <w:t>contract</w:t>
      </w:r>
      <w:r>
        <w:rPr>
          <w:spacing w:val="7"/>
          <w:vertAlign w:val="baseline"/>
        </w:rPr>
        <w:t> </w:t>
      </w:r>
      <w:r>
        <w:rPr>
          <w:vertAlign w:val="baseline"/>
        </w:rPr>
        <w:t>law,</w:t>
      </w:r>
      <w:r>
        <w:rPr>
          <w:spacing w:val="7"/>
          <w:vertAlign w:val="baseline"/>
        </w:rPr>
        <w:t> </w:t>
      </w:r>
      <w:r>
        <w:rPr>
          <w:vertAlign w:val="baseline"/>
        </w:rPr>
        <w:t>a</w:t>
      </w:r>
      <w:r>
        <w:rPr>
          <w:spacing w:val="7"/>
          <w:vertAlign w:val="baseline"/>
        </w:rPr>
        <w:t> </w:t>
      </w:r>
      <w:r>
        <w:rPr>
          <w:vertAlign w:val="baseline"/>
        </w:rPr>
        <w:t>duty</w:t>
      </w:r>
      <w:r>
        <w:rPr>
          <w:spacing w:val="7"/>
          <w:vertAlign w:val="baseline"/>
        </w:rPr>
        <w:t> </w:t>
      </w:r>
      <w:r>
        <w:rPr>
          <w:vertAlign w:val="baseline"/>
        </w:rPr>
        <w:t>of</w:t>
      </w:r>
      <w:r>
        <w:rPr>
          <w:spacing w:val="7"/>
          <w:vertAlign w:val="baseline"/>
        </w:rPr>
        <w:t> </w:t>
      </w:r>
      <w:r>
        <w:rPr>
          <w:vertAlign w:val="baseline"/>
        </w:rPr>
        <w:t>good</w:t>
      </w:r>
      <w:r>
        <w:rPr>
          <w:spacing w:val="7"/>
          <w:vertAlign w:val="baseline"/>
        </w:rPr>
        <w:t> </w:t>
      </w:r>
      <w:r>
        <w:rPr>
          <w:vertAlign w:val="baseline"/>
        </w:rPr>
        <w:t>faith</w:t>
      </w:r>
      <w:r>
        <w:rPr>
          <w:spacing w:val="7"/>
          <w:vertAlign w:val="baseline"/>
        </w:rPr>
        <w:t> </w:t>
      </w:r>
      <w:r>
        <w:rPr>
          <w:vertAlign w:val="baseline"/>
        </w:rPr>
        <w:t>may</w:t>
      </w:r>
      <w:r>
        <w:rPr>
          <w:spacing w:val="7"/>
          <w:vertAlign w:val="baseline"/>
        </w:rPr>
        <w:t> </w:t>
      </w:r>
      <w:r>
        <w:rPr>
          <w:vertAlign w:val="baseline"/>
        </w:rPr>
        <w:t>be</w:t>
      </w:r>
      <w:r>
        <w:rPr>
          <w:spacing w:val="7"/>
          <w:vertAlign w:val="baseline"/>
        </w:rPr>
        <w:t> </w:t>
      </w:r>
      <w:r>
        <w:rPr>
          <w:vertAlign w:val="baseline"/>
        </w:rPr>
        <w:t>implied</w:t>
      </w:r>
      <w:r>
        <w:rPr>
          <w:spacing w:val="7"/>
          <w:vertAlign w:val="baseline"/>
        </w:rPr>
        <w:t> </w:t>
      </w:r>
      <w:r>
        <w:rPr>
          <w:vertAlign w:val="baseline"/>
        </w:rPr>
        <w:t>by</w:t>
      </w:r>
      <w:r>
        <w:rPr>
          <w:spacing w:val="7"/>
          <w:vertAlign w:val="baseline"/>
        </w:rPr>
        <w:t> </w:t>
      </w:r>
      <w:r>
        <w:rPr>
          <w:vertAlign w:val="baseline"/>
        </w:rPr>
        <w:t>law</w:t>
      </w:r>
      <w:r>
        <w:rPr>
          <w:spacing w:val="7"/>
          <w:vertAlign w:val="baseline"/>
        </w:rPr>
        <w:t> </w:t>
      </w:r>
      <w:r>
        <w:rPr>
          <w:spacing w:val="-5"/>
          <w:vertAlign w:val="baseline"/>
        </w:rPr>
        <w:t>as</w:t>
      </w:r>
    </w:p>
    <w:p>
      <w:pPr>
        <w:spacing w:line="235" w:lineRule="auto" w:before="116"/>
        <w:ind w:left="165" w:right="168" w:firstLine="0"/>
        <w:jc w:val="both"/>
        <w:rPr>
          <w:sz w:val="20"/>
        </w:rPr>
      </w:pPr>
      <w:r>
        <w:rPr>
          <w:sz w:val="20"/>
        </w:rPr>
        <w:t>an incident of certain categories of contract, citing </w:t>
      </w:r>
      <w:r>
        <w:rPr>
          <w:rFonts w:ascii="Arial"/>
          <w:i/>
          <w:sz w:val="20"/>
        </w:rPr>
        <w:t>Yam Seng Pte Ltd </w:t>
      </w:r>
      <w:r>
        <w:rPr>
          <w:sz w:val="20"/>
        </w:rPr>
        <w:t>as an example. </w:t>
      </w:r>
      <w:r>
        <w:rPr>
          <w:color w:val="005DA1"/>
          <w:sz w:val="20"/>
          <w:u w:val="single" w:color="005DA1"/>
          <w:vertAlign w:val="superscript"/>
        </w:rPr>
        <w:t>462</w:t>
      </w:r>
      <w:r>
        <w:rPr>
          <w:color w:val="005DA1"/>
          <w:spacing w:val="80"/>
          <w:w w:val="150"/>
          <w:sz w:val="20"/>
          <w:vertAlign w:val="baseline"/>
        </w:rPr>
        <w:t> </w:t>
      </w:r>
      <w:r>
        <w:rPr>
          <w:color w:val="005DA1"/>
          <w:spacing w:val="11"/>
          <w:position w:val="-2"/>
          <w:sz w:val="20"/>
          <w:vertAlign w:val="baseline"/>
        </w:rPr>
        <w:drawing>
          <wp:inline distT="0" distB="0" distL="0" distR="0">
            <wp:extent cx="107988" cy="107988"/>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sz w:val="20"/>
          <w:vertAlign w:val="baseline"/>
        </w:rPr>
      </w:r>
      <w:r>
        <w:rPr>
          <w:rFonts w:ascii="Times New Roman"/>
          <w:color w:val="005DA1"/>
          <w:spacing w:val="-4"/>
          <w:sz w:val="20"/>
          <w:vertAlign w:val="baseline"/>
        </w:rPr>
        <w:t> </w:t>
      </w:r>
      <w:r>
        <w:rPr>
          <w:sz w:val="20"/>
          <w:vertAlign w:val="baseline"/>
        </w:rPr>
        <w:t>Similarly, in </w:t>
      </w:r>
      <w:r>
        <w:rPr>
          <w:rFonts w:ascii="Arial"/>
          <w:i/>
          <w:sz w:val="20"/>
          <w:vertAlign w:val="baseline"/>
        </w:rPr>
        <w:t>Greenclose Ltd v National Westminster Bank Plc </w:t>
      </w:r>
      <w:r>
        <w:rPr>
          <w:sz w:val="20"/>
          <w:vertAlign w:val="baseline"/>
        </w:rPr>
        <w:t>Andrews J. observed that:</w:t>
      </w:r>
    </w:p>
    <w:p>
      <w:pPr>
        <w:pStyle w:val="BodyText"/>
      </w:pPr>
    </w:p>
    <w:p>
      <w:pPr>
        <w:pStyle w:val="BodyText"/>
        <w:spacing w:before="126"/>
      </w:pPr>
    </w:p>
    <w:p>
      <w:pPr>
        <w:pStyle w:val="BodyText"/>
        <w:spacing w:line="235" w:lineRule="auto"/>
        <w:ind w:left="1545"/>
      </w:pPr>
      <w:r>
        <w:rPr/>
        <w:t>“there is no general doctrine of good faith in English contract law and such a term is</w:t>
      </w:r>
      <w:r>
        <w:rPr>
          <w:spacing w:val="40"/>
        </w:rPr>
        <w:t> </w:t>
      </w:r>
      <w:bookmarkStart w:name="_bookmark745" w:id="747"/>
      <w:bookmarkEnd w:id="747"/>
      <w:r>
        <w:rPr/>
        <w:t>unlikely</w:t>
      </w:r>
      <w:r>
        <w:rPr>
          <w:spacing w:val="60"/>
          <w:w w:val="150"/>
        </w:rPr>
        <w:t> </w:t>
      </w:r>
      <w:r>
        <w:rPr/>
        <w:t>to</w:t>
      </w:r>
      <w:r>
        <w:rPr>
          <w:spacing w:val="60"/>
          <w:w w:val="150"/>
        </w:rPr>
        <w:t> </w:t>
      </w:r>
      <w:r>
        <w:rPr/>
        <w:t>arise</w:t>
      </w:r>
      <w:r>
        <w:rPr>
          <w:spacing w:val="60"/>
          <w:w w:val="150"/>
        </w:rPr>
        <w:t> </w:t>
      </w:r>
      <w:r>
        <w:rPr/>
        <w:t>by</w:t>
      </w:r>
      <w:r>
        <w:rPr>
          <w:spacing w:val="60"/>
          <w:w w:val="150"/>
        </w:rPr>
        <w:t> </w:t>
      </w:r>
      <w:r>
        <w:rPr/>
        <w:t>way</w:t>
      </w:r>
      <w:r>
        <w:rPr>
          <w:spacing w:val="61"/>
          <w:w w:val="150"/>
        </w:rPr>
        <w:t> </w:t>
      </w:r>
      <w:r>
        <w:rPr/>
        <w:t>of</w:t>
      </w:r>
      <w:r>
        <w:rPr>
          <w:spacing w:val="60"/>
          <w:w w:val="150"/>
        </w:rPr>
        <w:t> </w:t>
      </w:r>
      <w:r>
        <w:rPr/>
        <w:t>necessary</w:t>
      </w:r>
      <w:r>
        <w:rPr>
          <w:spacing w:val="60"/>
          <w:w w:val="150"/>
        </w:rPr>
        <w:t> </w:t>
      </w:r>
      <w:r>
        <w:rPr/>
        <w:t>implication</w:t>
      </w:r>
      <w:r>
        <w:rPr>
          <w:spacing w:val="60"/>
          <w:w w:val="150"/>
        </w:rPr>
        <w:t> </w:t>
      </w:r>
      <w:r>
        <w:rPr/>
        <w:t>in</w:t>
      </w:r>
      <w:r>
        <w:rPr>
          <w:spacing w:val="60"/>
          <w:w w:val="150"/>
        </w:rPr>
        <w:t> </w:t>
      </w:r>
      <w:r>
        <w:rPr/>
        <w:t>a</w:t>
      </w:r>
      <w:r>
        <w:rPr>
          <w:spacing w:val="61"/>
          <w:w w:val="150"/>
        </w:rPr>
        <w:t> </w:t>
      </w:r>
      <w:r>
        <w:rPr/>
        <w:t>contract</w:t>
      </w:r>
      <w:r>
        <w:rPr>
          <w:spacing w:val="60"/>
          <w:w w:val="150"/>
        </w:rPr>
        <w:t> </w:t>
      </w:r>
      <w:r>
        <w:rPr/>
        <w:t>between</w:t>
      </w:r>
      <w:r>
        <w:rPr>
          <w:spacing w:val="60"/>
          <w:w w:val="150"/>
        </w:rPr>
        <w:t> </w:t>
      </w:r>
      <w:r>
        <w:rPr>
          <w:spacing w:val="-5"/>
        </w:rPr>
        <w:t>two</w:t>
      </w:r>
    </w:p>
    <w:p>
      <w:pPr>
        <w:pStyle w:val="BodyText"/>
        <w:spacing w:before="116"/>
        <w:ind w:left="1545"/>
        <w:rPr>
          <w:position w:val="-2"/>
        </w:rPr>
      </w:pPr>
      <w:r>
        <w:rPr/>
        <w:t>sophisticated commercial parties negotiating at arms’ length.” </w:t>
      </w:r>
      <w:r>
        <w:rPr>
          <w:color w:val="005DA1"/>
          <w:u w:val="single" w:color="005DA1"/>
          <w:vertAlign w:val="superscript"/>
        </w:rPr>
        <w:t>463</w:t>
      </w:r>
      <w:r>
        <w:rPr>
          <w:color w:val="005DA1"/>
          <w:spacing w:val="80"/>
          <w:w w:val="150"/>
          <w:vertAlign w:val="baseline"/>
        </w:rPr>
        <w:t> </w:t>
      </w:r>
      <w:r>
        <w:rPr>
          <w:color w:val="005DA1"/>
          <w:position w:val="-2"/>
          <w:vertAlign w:val="baseline"/>
        </w:rPr>
        <w:drawing>
          <wp:inline distT="0" distB="0" distL="0" distR="0">
            <wp:extent cx="107988" cy="107988"/>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5"/>
      </w:pPr>
    </w:p>
    <w:p>
      <w:pPr>
        <w:pStyle w:val="BodyText"/>
        <w:spacing w:line="235" w:lineRule="auto"/>
        <w:ind w:left="165" w:right="167"/>
        <w:jc w:val="both"/>
      </w:pPr>
      <w:r>
        <w:rPr/>
        <w:t>In Andrew J.’s view, </w:t>
      </w:r>
      <w:r>
        <w:rPr>
          <w:rFonts w:ascii="Arial" w:hAnsi="Arial"/>
          <w:i/>
        </w:rPr>
        <w:t>Yam Seng Pte Ltd </w:t>
      </w:r>
      <w:r>
        <w:rPr/>
        <w:t>is not to be regarded as laying down any general </w:t>
      </w:r>
      <w:r>
        <w:rPr/>
        <w:t>principle </w:t>
      </w:r>
      <w:bookmarkStart w:name="_bookmark746" w:id="748"/>
      <w:bookmarkEnd w:id="748"/>
      <w:r>
        <w:rPr/>
        <w:t>applicable</w:t>
      </w:r>
      <w:r>
        <w:rPr>
          <w:spacing w:val="36"/>
        </w:rPr>
        <w:t> </w:t>
      </w:r>
      <w:r>
        <w:rPr/>
        <w:t>to</w:t>
      </w:r>
      <w:r>
        <w:rPr>
          <w:spacing w:val="36"/>
        </w:rPr>
        <w:t> </w:t>
      </w:r>
      <w:r>
        <w:rPr/>
        <w:t>all</w:t>
      </w:r>
      <w:r>
        <w:rPr>
          <w:spacing w:val="36"/>
        </w:rPr>
        <w:t> </w:t>
      </w:r>
      <w:r>
        <w:rPr/>
        <w:t>commercial</w:t>
      </w:r>
      <w:r>
        <w:rPr>
          <w:spacing w:val="36"/>
        </w:rPr>
        <w:t> </w:t>
      </w:r>
      <w:r>
        <w:rPr/>
        <w:t>contracts,</w:t>
      </w:r>
      <w:r>
        <w:rPr>
          <w:spacing w:val="36"/>
        </w:rPr>
        <w:t> </w:t>
      </w:r>
      <w:r>
        <w:rPr/>
        <w:t>but</w:t>
      </w:r>
      <w:r>
        <w:rPr>
          <w:spacing w:val="36"/>
        </w:rPr>
        <w:t> </w:t>
      </w:r>
      <w:r>
        <w:rPr/>
        <w:t>rather</w:t>
      </w:r>
      <w:r>
        <w:rPr>
          <w:spacing w:val="36"/>
        </w:rPr>
        <w:t> </w:t>
      </w:r>
      <w:r>
        <w:rPr/>
        <w:t>“the</w:t>
      </w:r>
      <w:r>
        <w:rPr>
          <w:spacing w:val="36"/>
        </w:rPr>
        <w:t> </w:t>
      </w:r>
      <w:r>
        <w:rPr/>
        <w:t>implication</w:t>
      </w:r>
      <w:r>
        <w:rPr>
          <w:spacing w:val="36"/>
        </w:rPr>
        <w:t> </w:t>
      </w:r>
      <w:r>
        <w:rPr/>
        <w:t>of</w:t>
      </w:r>
      <w:r>
        <w:rPr>
          <w:spacing w:val="36"/>
        </w:rPr>
        <w:t> </w:t>
      </w:r>
      <w:r>
        <w:rPr/>
        <w:t>an</w:t>
      </w:r>
      <w:r>
        <w:rPr>
          <w:spacing w:val="36"/>
        </w:rPr>
        <w:t> </w:t>
      </w:r>
      <w:r>
        <w:rPr/>
        <w:t>obligation</w:t>
      </w:r>
      <w:r>
        <w:rPr>
          <w:spacing w:val="36"/>
        </w:rPr>
        <w:t> </w:t>
      </w:r>
      <w:r>
        <w:rPr/>
        <w:t>of</w:t>
      </w:r>
      <w:r>
        <w:rPr>
          <w:spacing w:val="36"/>
        </w:rPr>
        <w:t> </w:t>
      </w:r>
      <w:r>
        <w:rPr/>
        <w:t>good</w:t>
      </w:r>
      <w:r>
        <w:rPr>
          <w:spacing w:val="36"/>
        </w:rPr>
        <w:t> </w:t>
      </w:r>
      <w:r>
        <w:rPr/>
        <w:t>faith</w:t>
      </w:r>
      <w:r>
        <w:rPr>
          <w:spacing w:val="36"/>
        </w:rPr>
        <w:t> </w:t>
      </w:r>
      <w:r>
        <w:rPr>
          <w:spacing w:val="-5"/>
        </w:rPr>
        <w:t>is</w:t>
      </w:r>
    </w:p>
    <w:p>
      <w:pPr>
        <w:pStyle w:val="BodyText"/>
        <w:spacing w:line="235" w:lineRule="auto" w:before="120"/>
        <w:ind w:left="165" w:right="168"/>
        <w:jc w:val="both"/>
        <w:rPr>
          <w:rFonts w:ascii="Arial" w:hAnsi="Arial"/>
          <w:i/>
        </w:rPr>
      </w:pPr>
      <w:r>
        <w:rPr/>
        <w:t>heavily dependent on the context,” as Leggatt J. expressly recognised. </w:t>
      </w:r>
      <w:r>
        <w:rPr>
          <w:color w:val="005DA1"/>
          <w:u w:val="single" w:color="005DA1"/>
          <w:vertAlign w:val="superscript"/>
        </w:rPr>
        <w:t>464</w:t>
      </w:r>
      <w:r>
        <w:rPr>
          <w:color w:val="005DA1"/>
          <w:spacing w:val="80"/>
          <w:w w:val="150"/>
          <w:vertAlign w:val="baseline"/>
        </w:rPr>
        <w:t> </w:t>
      </w:r>
      <w:r>
        <w:rPr>
          <w:color w:val="005DA1"/>
          <w:spacing w:val="10"/>
          <w:position w:val="-2"/>
          <w:vertAlign w:val="baseline"/>
        </w:rPr>
        <w:drawing>
          <wp:inline distT="0" distB="0" distL="0" distR="0">
            <wp:extent cx="107988" cy="107988"/>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10"/>
          <w:vertAlign w:val="baseline"/>
        </w:rPr>
        <w:t> </w:t>
      </w:r>
      <w:r>
        <w:rPr>
          <w:vertAlign w:val="baseline"/>
        </w:rPr>
        <w:t>Moreover, the</w:t>
      </w:r>
      <w:r>
        <w:rPr>
          <w:spacing w:val="40"/>
          <w:vertAlign w:val="baseline"/>
        </w:rPr>
        <w:t> </w:t>
      </w:r>
      <w:bookmarkStart w:name="_bookmark747" w:id="749"/>
      <w:bookmarkEnd w:id="749"/>
      <w:r>
        <w:rPr>
          <w:vertAlign w:val="baseline"/>
        </w:rPr>
        <w:t>approach</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Supreme</w:t>
      </w:r>
      <w:r>
        <w:rPr>
          <w:spacing w:val="22"/>
          <w:vertAlign w:val="baseline"/>
        </w:rPr>
        <w:t> </w:t>
      </w:r>
      <w:r>
        <w:rPr>
          <w:vertAlign w:val="baseline"/>
        </w:rPr>
        <w:t>Court</w:t>
      </w:r>
      <w:r>
        <w:rPr>
          <w:spacing w:val="22"/>
          <w:vertAlign w:val="baseline"/>
        </w:rPr>
        <w:t> </w:t>
      </w:r>
      <w:r>
        <w:rPr>
          <w:vertAlign w:val="baseline"/>
        </w:rPr>
        <w:t>to</w:t>
      </w:r>
      <w:r>
        <w:rPr>
          <w:spacing w:val="22"/>
          <w:vertAlign w:val="baseline"/>
        </w:rPr>
        <w:t> </w:t>
      </w:r>
      <w:r>
        <w:rPr>
          <w:vertAlign w:val="baseline"/>
        </w:rPr>
        <w:t>the</w:t>
      </w:r>
      <w:r>
        <w:rPr>
          <w:spacing w:val="22"/>
          <w:vertAlign w:val="baseline"/>
        </w:rPr>
        <w:t> </w:t>
      </w:r>
      <w:r>
        <w:rPr>
          <w:vertAlign w:val="baseline"/>
        </w:rPr>
        <w:t>implication</w:t>
      </w:r>
      <w:r>
        <w:rPr>
          <w:spacing w:val="22"/>
          <w:vertAlign w:val="baseline"/>
        </w:rPr>
        <w:t> </w:t>
      </w:r>
      <w:r>
        <w:rPr>
          <w:vertAlign w:val="baseline"/>
        </w:rPr>
        <w:t>of</w:t>
      </w:r>
      <w:r>
        <w:rPr>
          <w:spacing w:val="22"/>
          <w:vertAlign w:val="baseline"/>
        </w:rPr>
        <w:t> </w:t>
      </w:r>
      <w:r>
        <w:rPr>
          <w:vertAlign w:val="baseline"/>
        </w:rPr>
        <w:t>terms</w:t>
      </w:r>
      <w:r>
        <w:rPr>
          <w:spacing w:val="22"/>
          <w:vertAlign w:val="baseline"/>
        </w:rPr>
        <w:t> </w:t>
      </w:r>
      <w:r>
        <w:rPr>
          <w:vertAlign w:val="baseline"/>
        </w:rPr>
        <w:t>in</w:t>
      </w:r>
      <w:r>
        <w:rPr>
          <w:spacing w:val="22"/>
          <w:vertAlign w:val="baseline"/>
        </w:rPr>
        <w:t> </w:t>
      </w:r>
      <w:r>
        <w:rPr>
          <w:rFonts w:ascii="Arial" w:hAnsi="Arial"/>
          <w:i/>
          <w:vertAlign w:val="baseline"/>
        </w:rPr>
        <w:t>Marks</w:t>
      </w:r>
      <w:r>
        <w:rPr>
          <w:rFonts w:ascii="Arial" w:hAnsi="Arial"/>
          <w:i/>
          <w:spacing w:val="22"/>
          <w:vertAlign w:val="baseline"/>
        </w:rPr>
        <w:t> </w:t>
      </w:r>
      <w:r>
        <w:rPr>
          <w:rFonts w:ascii="Arial" w:hAnsi="Arial"/>
          <w:i/>
          <w:vertAlign w:val="baseline"/>
        </w:rPr>
        <w:t>&amp;</w:t>
      </w:r>
      <w:r>
        <w:rPr>
          <w:rFonts w:ascii="Arial" w:hAnsi="Arial"/>
          <w:i/>
          <w:spacing w:val="22"/>
          <w:vertAlign w:val="baseline"/>
        </w:rPr>
        <w:t> </w:t>
      </w:r>
      <w:r>
        <w:rPr>
          <w:rFonts w:ascii="Arial" w:hAnsi="Arial"/>
          <w:i/>
          <w:vertAlign w:val="baseline"/>
        </w:rPr>
        <w:t>Spencer</w:t>
      </w:r>
      <w:r>
        <w:rPr>
          <w:rFonts w:ascii="Arial" w:hAnsi="Arial"/>
          <w:i/>
          <w:spacing w:val="22"/>
          <w:vertAlign w:val="baseline"/>
        </w:rPr>
        <w:t> </w:t>
      </w:r>
      <w:r>
        <w:rPr>
          <w:rFonts w:ascii="Arial" w:hAnsi="Arial"/>
          <w:i/>
          <w:vertAlign w:val="baseline"/>
        </w:rPr>
        <w:t>Plc</w:t>
      </w:r>
      <w:r>
        <w:rPr>
          <w:rFonts w:ascii="Arial" w:hAnsi="Arial"/>
          <w:i/>
          <w:spacing w:val="22"/>
          <w:vertAlign w:val="baseline"/>
        </w:rPr>
        <w:t> </w:t>
      </w:r>
      <w:r>
        <w:rPr>
          <w:rFonts w:ascii="Arial" w:hAnsi="Arial"/>
          <w:i/>
          <w:vertAlign w:val="baseline"/>
        </w:rPr>
        <w:t>v</w:t>
      </w:r>
      <w:r>
        <w:rPr>
          <w:rFonts w:ascii="Arial" w:hAnsi="Arial"/>
          <w:i/>
          <w:spacing w:val="22"/>
          <w:vertAlign w:val="baseline"/>
        </w:rPr>
        <w:t> </w:t>
      </w:r>
      <w:r>
        <w:rPr>
          <w:rFonts w:ascii="Arial" w:hAnsi="Arial"/>
          <w:i/>
          <w:vertAlign w:val="baseline"/>
        </w:rPr>
        <w:t>BNP</w:t>
      </w:r>
      <w:r>
        <w:rPr>
          <w:rFonts w:ascii="Arial" w:hAnsi="Arial"/>
          <w:i/>
          <w:spacing w:val="22"/>
          <w:vertAlign w:val="baseline"/>
        </w:rPr>
        <w:t> </w:t>
      </w:r>
      <w:r>
        <w:rPr>
          <w:rFonts w:ascii="Arial" w:hAnsi="Arial"/>
          <w:i/>
          <w:spacing w:val="-2"/>
          <w:vertAlign w:val="baseline"/>
        </w:rPr>
        <w:t>Paribas</w:t>
      </w:r>
    </w:p>
    <w:p>
      <w:pPr>
        <w:pStyle w:val="BodyText"/>
        <w:spacing w:line="235" w:lineRule="auto" w:before="119"/>
        <w:ind w:left="164" w:right="167"/>
        <w:jc w:val="both"/>
      </w:pPr>
      <w:r>
        <w:rPr>
          <w:rFonts w:ascii="Arial" w:hAnsi="Arial"/>
          <w:i/>
        </w:rPr>
        <w:t>Securities Services Trust Co (Jersey) Ltd </w:t>
      </w:r>
      <w:r>
        <w:rPr>
          <w:color w:val="005DA1"/>
          <w:u w:val="single" w:color="005DA1"/>
          <w:vertAlign w:val="superscript"/>
        </w:rPr>
        <w:t>465</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8"/>
          <w:vertAlign w:val="baseline"/>
        </w:rPr>
        <w:t> </w:t>
      </w:r>
      <w:r>
        <w:rPr>
          <w:vertAlign w:val="baseline"/>
        </w:rPr>
        <w:t>may lead to a greater reluctance in the courts to</w:t>
      </w:r>
      <w:r>
        <w:rPr>
          <w:spacing w:val="40"/>
          <w:vertAlign w:val="baseline"/>
        </w:rPr>
        <w:t> </w:t>
      </w:r>
      <w:r>
        <w:rPr>
          <w:vertAlign w:val="baseline"/>
        </w:rPr>
        <w:t>imply terms requiring good faith in at least some commercial contracts: as Lord Neuberger </w:t>
      </w:r>
      <w:r>
        <w:rPr>
          <w:vertAlign w:val="baseline"/>
        </w:rPr>
        <w:t>of </w:t>
      </w:r>
      <w:bookmarkStart w:name="_bookmark748" w:id="750"/>
      <w:bookmarkEnd w:id="750"/>
      <w:r>
        <w:rPr>
          <w:vertAlign w:val="baseline"/>
        </w:rPr>
        <w:t>Abbotsbury</w:t>
      </w:r>
      <w:r>
        <w:rPr>
          <w:spacing w:val="10"/>
          <w:vertAlign w:val="baseline"/>
        </w:rPr>
        <w:t> </w:t>
      </w:r>
      <w:r>
        <w:rPr>
          <w:vertAlign w:val="baseline"/>
        </w:rPr>
        <w:t>P.S.C.</w:t>
      </w:r>
      <w:r>
        <w:rPr>
          <w:spacing w:val="10"/>
          <w:vertAlign w:val="baseline"/>
        </w:rPr>
        <w:t> </w:t>
      </w:r>
      <w:r>
        <w:rPr>
          <w:vertAlign w:val="baseline"/>
        </w:rPr>
        <w:t>there</w:t>
      </w:r>
      <w:r>
        <w:rPr>
          <w:spacing w:val="10"/>
          <w:vertAlign w:val="baseline"/>
        </w:rPr>
        <w:t> </w:t>
      </w:r>
      <w:r>
        <w:rPr>
          <w:vertAlign w:val="baseline"/>
        </w:rPr>
        <w:t>observed,</w:t>
      </w:r>
      <w:r>
        <w:rPr>
          <w:spacing w:val="10"/>
          <w:vertAlign w:val="baseline"/>
        </w:rPr>
        <w:t> </w:t>
      </w:r>
      <w:r>
        <w:rPr>
          <w:vertAlign w:val="baseline"/>
        </w:rPr>
        <w:t>“a</w:t>
      </w:r>
      <w:r>
        <w:rPr>
          <w:spacing w:val="10"/>
          <w:vertAlign w:val="baseline"/>
        </w:rPr>
        <w:t> </w:t>
      </w:r>
      <w:r>
        <w:rPr>
          <w:vertAlign w:val="baseline"/>
        </w:rPr>
        <w:t>term</w:t>
      </w:r>
      <w:r>
        <w:rPr>
          <w:spacing w:val="10"/>
          <w:vertAlign w:val="baseline"/>
        </w:rPr>
        <w:t> </w:t>
      </w:r>
      <w:r>
        <w:rPr>
          <w:vertAlign w:val="baseline"/>
        </w:rPr>
        <w:t>should</w:t>
      </w:r>
      <w:r>
        <w:rPr>
          <w:spacing w:val="10"/>
          <w:vertAlign w:val="baseline"/>
        </w:rPr>
        <w:t> </w:t>
      </w:r>
      <w:r>
        <w:rPr>
          <w:vertAlign w:val="baseline"/>
        </w:rPr>
        <w:t>not</w:t>
      </w:r>
      <w:r>
        <w:rPr>
          <w:spacing w:val="10"/>
          <w:vertAlign w:val="baseline"/>
        </w:rPr>
        <w:t> </w:t>
      </w:r>
      <w:r>
        <w:rPr>
          <w:vertAlign w:val="baseline"/>
        </w:rPr>
        <w:t>be</w:t>
      </w:r>
      <w:r>
        <w:rPr>
          <w:spacing w:val="10"/>
          <w:vertAlign w:val="baseline"/>
        </w:rPr>
        <w:t> </w:t>
      </w:r>
      <w:r>
        <w:rPr>
          <w:vertAlign w:val="baseline"/>
        </w:rPr>
        <w:t>implied</w:t>
      </w:r>
      <w:r>
        <w:rPr>
          <w:spacing w:val="10"/>
          <w:vertAlign w:val="baseline"/>
        </w:rPr>
        <w:t> </w:t>
      </w:r>
      <w:r>
        <w:rPr>
          <w:vertAlign w:val="baseline"/>
        </w:rPr>
        <w:t>into</w:t>
      </w:r>
      <w:r>
        <w:rPr>
          <w:spacing w:val="10"/>
          <w:vertAlign w:val="baseline"/>
        </w:rPr>
        <w:t> </w:t>
      </w:r>
      <w:r>
        <w:rPr>
          <w:vertAlign w:val="baseline"/>
        </w:rPr>
        <w:t>a</w:t>
      </w:r>
      <w:r>
        <w:rPr>
          <w:spacing w:val="10"/>
          <w:vertAlign w:val="baseline"/>
        </w:rPr>
        <w:t> </w:t>
      </w:r>
      <w:r>
        <w:rPr>
          <w:vertAlign w:val="baseline"/>
        </w:rPr>
        <w:t>detailed</w:t>
      </w:r>
      <w:r>
        <w:rPr>
          <w:spacing w:val="10"/>
          <w:vertAlign w:val="baseline"/>
        </w:rPr>
        <w:t> </w:t>
      </w:r>
      <w:r>
        <w:rPr>
          <w:vertAlign w:val="baseline"/>
        </w:rPr>
        <w:t>commercial</w:t>
      </w:r>
      <w:r>
        <w:rPr>
          <w:spacing w:val="10"/>
          <w:vertAlign w:val="baseline"/>
        </w:rPr>
        <w:t> </w:t>
      </w:r>
      <w:r>
        <w:rPr>
          <w:spacing w:val="-2"/>
          <w:vertAlign w:val="baseline"/>
        </w:rPr>
        <w:t>contract</w:t>
      </w:r>
    </w:p>
    <w:p>
      <w:pPr>
        <w:pStyle w:val="BodyText"/>
        <w:spacing w:before="115"/>
        <w:ind w:left="164"/>
        <w:jc w:val="both"/>
        <w:rPr>
          <w:position w:val="-2"/>
        </w:rPr>
      </w:pPr>
      <w:r>
        <w:rPr/>
        <w:t>merely because it appears fair”. </w:t>
      </w:r>
      <w:r>
        <w:rPr>
          <w:color w:val="005DA1"/>
          <w:u w:val="single" w:color="005DA1"/>
          <w:vertAlign w:val="superscript"/>
        </w:rPr>
        <w:t>466</w:t>
      </w:r>
      <w:r>
        <w:rPr>
          <w:color w:val="005DA1"/>
          <w:spacing w:val="80"/>
          <w:w w:val="150"/>
          <w:vertAlign w:val="baseline"/>
        </w:rPr>
        <w:t> </w:t>
      </w:r>
      <w:r>
        <w:rPr>
          <w:color w:val="005DA1"/>
          <w:position w:val="-2"/>
          <w:vertAlign w:val="baseline"/>
        </w:rPr>
        <w:drawing>
          <wp:inline distT="0" distB="0" distL="0" distR="0">
            <wp:extent cx="107988" cy="107988"/>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Implied restrictions on broad contractual </w:t>
      </w:r>
      <w:r>
        <w:rPr>
          <w:rFonts w:ascii="Arial"/>
          <w:b/>
          <w:spacing w:val="-2"/>
          <w:sz w:val="18"/>
        </w:rPr>
        <w:t>powers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054</w:t>
      </w:r>
    </w:p>
    <w:p>
      <w:pPr>
        <w:pStyle w:val="BodyText"/>
        <w:spacing w:line="235" w:lineRule="auto" w:before="202"/>
        <w:ind w:left="165" w:right="167"/>
        <w:jc w:val="both"/>
        <w:rPr>
          <w:rFonts w:ascii="Arial"/>
          <w:i/>
        </w:rPr>
      </w:pPr>
      <w:bookmarkStart w:name="_bookmark749" w:id="751"/>
      <w:bookmarkEnd w:id="751"/>
      <w:r>
        <w:rPr/>
      </w:r>
      <w:r>
        <w:rPr/>
        <w:t>The courts have also sometimes used the implication of a term to restrict the ambit of a unilateral discretionary</w:t>
      </w:r>
      <w:r>
        <w:rPr>
          <w:spacing w:val="-2"/>
        </w:rPr>
        <w:t> </w:t>
      </w:r>
      <w:r>
        <w:rPr/>
        <w:t>power</w:t>
      </w:r>
      <w:r>
        <w:rPr>
          <w:spacing w:val="-1"/>
        </w:rPr>
        <w:t> </w:t>
      </w:r>
      <w:r>
        <w:rPr/>
        <w:t>conferred</w:t>
      </w:r>
      <w:r>
        <w:rPr>
          <w:spacing w:val="-1"/>
        </w:rPr>
        <w:t> </w:t>
      </w:r>
      <w:r>
        <w:rPr/>
        <w:t>on</w:t>
      </w:r>
      <w:r>
        <w:rPr>
          <w:spacing w:val="-1"/>
        </w:rPr>
        <w:t> </w:t>
      </w:r>
      <w:r>
        <w:rPr/>
        <w:t>one</w:t>
      </w:r>
      <w:r>
        <w:rPr>
          <w:spacing w:val="-1"/>
        </w:rPr>
        <w:t> </w:t>
      </w:r>
      <w:r>
        <w:rPr/>
        <w:t>of</w:t>
      </w:r>
      <w:r>
        <w:rPr>
          <w:spacing w:val="-1"/>
        </w:rPr>
        <w:t> </w:t>
      </w:r>
      <w:r>
        <w:rPr/>
        <w:t>the</w:t>
      </w:r>
      <w:r>
        <w:rPr>
          <w:spacing w:val="-1"/>
        </w:rPr>
        <w:t> </w:t>
      </w:r>
      <w:r>
        <w:rPr/>
        <w:t>parties</w:t>
      </w:r>
      <w:r>
        <w:rPr>
          <w:spacing w:val="-1"/>
        </w:rPr>
        <w:t> </w:t>
      </w:r>
      <w:r>
        <w:rPr/>
        <w:t>by</w:t>
      </w:r>
      <w:r>
        <w:rPr>
          <w:spacing w:val="-1"/>
        </w:rPr>
        <w:t> </w:t>
      </w:r>
      <w:r>
        <w:rPr/>
        <w:t>the</w:t>
      </w:r>
      <w:r>
        <w:rPr>
          <w:spacing w:val="-1"/>
        </w:rPr>
        <w:t> </w:t>
      </w:r>
      <w:r>
        <w:rPr/>
        <w:t>contract.</w:t>
      </w:r>
      <w:r>
        <w:rPr>
          <w:spacing w:val="-2"/>
        </w:rPr>
        <w:t> </w:t>
      </w:r>
      <w:r>
        <w:rPr>
          <w:color w:val="005DA1"/>
          <w:u w:val="single" w:color="005DA1"/>
          <w:vertAlign w:val="superscript"/>
        </w:rPr>
        <w:t>467</w:t>
      </w:r>
      <w:r>
        <w:rPr>
          <w:color w:val="005DA1"/>
          <w:spacing w:val="-1"/>
          <w:vertAlign w:val="baseline"/>
        </w:rPr>
        <w:t> </w:t>
      </w:r>
      <w:r>
        <w:rPr>
          <w:vertAlign w:val="baseline"/>
        </w:rPr>
        <w:t>In</w:t>
      </w:r>
      <w:r>
        <w:rPr>
          <w:spacing w:val="-1"/>
          <w:vertAlign w:val="baseline"/>
        </w:rPr>
        <w:t> </w:t>
      </w:r>
      <w:r>
        <w:rPr>
          <w:rFonts w:ascii="Arial"/>
          <w:i/>
          <w:vertAlign w:val="baseline"/>
        </w:rPr>
        <w:t>Paragon</w:t>
      </w:r>
      <w:r>
        <w:rPr>
          <w:rFonts w:ascii="Arial"/>
          <w:i/>
          <w:spacing w:val="-1"/>
          <w:vertAlign w:val="baseline"/>
        </w:rPr>
        <w:t> </w:t>
      </w:r>
      <w:r>
        <w:rPr>
          <w:rFonts w:ascii="Arial"/>
          <w:i/>
          <w:vertAlign w:val="baseline"/>
        </w:rPr>
        <w:t>Finance</w:t>
      </w:r>
      <w:r>
        <w:rPr>
          <w:rFonts w:ascii="Arial"/>
          <w:i/>
          <w:spacing w:val="-1"/>
          <w:vertAlign w:val="baseline"/>
        </w:rPr>
        <w:t> </w:t>
      </w:r>
      <w:r>
        <w:rPr>
          <w:rFonts w:ascii="Arial"/>
          <w:i/>
          <w:vertAlign w:val="baseline"/>
        </w:rPr>
        <w:t>Plc</w:t>
      </w:r>
      <w:r>
        <w:rPr>
          <w:rFonts w:ascii="Arial"/>
          <w:i/>
          <w:spacing w:val="-1"/>
          <w:vertAlign w:val="baseline"/>
        </w:rPr>
        <w:t> </w:t>
      </w:r>
      <w:r>
        <w:rPr>
          <w:rFonts w:ascii="Arial"/>
          <w:i/>
          <w:vertAlign w:val="baseline"/>
        </w:rPr>
        <w:t>v</w:t>
      </w:r>
      <w:r>
        <w:rPr>
          <w:rFonts w:ascii="Arial"/>
          <w:i/>
          <w:spacing w:val="-1"/>
          <w:vertAlign w:val="baseline"/>
        </w:rPr>
        <w:t> </w:t>
      </w:r>
      <w:r>
        <w:rPr>
          <w:rFonts w:ascii="Arial"/>
          <w:i/>
          <w:spacing w:val="-4"/>
          <w:vertAlign w:val="baseline"/>
        </w:rPr>
        <w:t>Nash</w:t>
      </w:r>
    </w:p>
    <w:p>
      <w:pPr>
        <w:pStyle w:val="BodyText"/>
        <w:spacing w:line="235" w:lineRule="auto"/>
        <w:ind w:left="165" w:right="167"/>
        <w:jc w:val="both"/>
      </w:pPr>
      <w:r>
        <w:rPr>
          <w:color w:val="005DA1"/>
          <w:u w:val="single" w:color="005DA1"/>
          <w:vertAlign w:val="superscript"/>
        </w:rPr>
        <w:t>468</w:t>
      </w:r>
      <w:r>
        <w:rPr>
          <w:color w:val="005DA1"/>
          <w:vertAlign w:val="baseline"/>
        </w:rPr>
        <w:t> </w:t>
      </w:r>
      <w:r>
        <w:rPr>
          <w:vertAlign w:val="baseline"/>
        </w:rPr>
        <w:t>a mortgage company possessed a power expressed in very general terms to vary the interest</w:t>
      </w:r>
      <w:r>
        <w:rPr>
          <w:spacing w:val="40"/>
          <w:vertAlign w:val="baseline"/>
        </w:rPr>
        <w:t> </w:t>
      </w:r>
      <w:bookmarkStart w:name="_bookmark750" w:id="752"/>
      <w:bookmarkEnd w:id="752"/>
      <w:r>
        <w:rPr>
          <w:vertAlign w:val="baseline"/>
        </w:rPr>
        <w:t>rates</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of</w:t>
      </w:r>
      <w:r>
        <w:rPr>
          <w:spacing w:val="-1"/>
          <w:vertAlign w:val="baseline"/>
        </w:rPr>
        <w:t> </w:t>
      </w:r>
      <w:r>
        <w:rPr>
          <w:vertAlign w:val="baseline"/>
        </w:rPr>
        <w:t>consumer</w:t>
      </w:r>
      <w:r>
        <w:rPr>
          <w:spacing w:val="-1"/>
          <w:vertAlign w:val="baseline"/>
        </w:rPr>
        <w:t> </w:t>
      </w:r>
      <w:r>
        <w:rPr>
          <w:vertAlign w:val="baseline"/>
        </w:rPr>
        <w:t>credit.</w:t>
      </w:r>
      <w:r>
        <w:rPr>
          <w:spacing w:val="-1"/>
          <w:vertAlign w:val="baseline"/>
        </w:rPr>
        <w:t> </w:t>
      </w:r>
      <w:r>
        <w:rPr>
          <w:vertAlign w:val="baseline"/>
        </w:rPr>
        <w:t>Drawing</w:t>
      </w:r>
      <w:r>
        <w:rPr>
          <w:spacing w:val="-1"/>
          <w:vertAlign w:val="baseline"/>
        </w:rPr>
        <w:t> </w:t>
      </w:r>
      <w:r>
        <w:rPr>
          <w:vertAlign w:val="baseline"/>
        </w:rPr>
        <w:t>on</w:t>
      </w:r>
      <w:r>
        <w:rPr>
          <w:spacing w:val="-1"/>
          <w:vertAlign w:val="baseline"/>
        </w:rPr>
        <w:t> </w:t>
      </w:r>
      <w:r>
        <w:rPr>
          <w:vertAlign w:val="baseline"/>
        </w:rPr>
        <w:t>analogies</w:t>
      </w:r>
      <w:r>
        <w:rPr>
          <w:spacing w:val="-1"/>
          <w:vertAlign w:val="baseline"/>
        </w:rPr>
        <w:t> </w:t>
      </w:r>
      <w:r>
        <w:rPr>
          <w:vertAlign w:val="baseline"/>
        </w:rPr>
        <w:t>from</w:t>
      </w:r>
      <w:r>
        <w:rPr>
          <w:spacing w:val="-1"/>
          <w:vertAlign w:val="baseline"/>
        </w:rPr>
        <w:t> </w:t>
      </w:r>
      <w:r>
        <w:rPr>
          <w:vertAlign w:val="baseline"/>
        </w:rPr>
        <w:t>public</w:t>
      </w:r>
      <w:r>
        <w:rPr>
          <w:spacing w:val="-1"/>
          <w:vertAlign w:val="baseline"/>
        </w:rPr>
        <w:t> </w:t>
      </w:r>
      <w:r>
        <w:rPr>
          <w:vertAlign w:val="baseline"/>
        </w:rPr>
        <w:t>law,</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Appeal</w:t>
      </w:r>
      <w:r>
        <w:rPr>
          <w:spacing w:val="-1"/>
          <w:vertAlign w:val="baseline"/>
        </w:rPr>
        <w:t> </w:t>
      </w:r>
      <w:r>
        <w:rPr>
          <w:vertAlign w:val="baseline"/>
        </w:rPr>
        <w:t>held </w:t>
      </w:r>
      <w:bookmarkStart w:name="_bookmark751" w:id="753"/>
      <w:bookmarkEnd w:id="753"/>
      <w:r>
        <w:rPr>
          <w:vertAlign w:val="baseline"/>
        </w:rPr>
        <w:t>that</w:t>
      </w:r>
      <w:r>
        <w:rPr>
          <w:vertAlign w:val="baseline"/>
        </w:rPr>
        <w:t> this power was “not completely unfettered” </w:t>
      </w:r>
      <w:r>
        <w:rPr>
          <w:color w:val="005DA1"/>
          <w:u w:val="single" w:color="005DA1"/>
          <w:vertAlign w:val="superscript"/>
        </w:rPr>
        <w:t>469</w:t>
      </w:r>
      <w:r>
        <w:rPr>
          <w:color w:val="005DA1"/>
          <w:vertAlign w:val="baseline"/>
        </w:rPr>
        <w:t> </w:t>
      </w:r>
      <w:r>
        <w:rPr>
          <w:vertAlign w:val="baseline"/>
        </w:rPr>
        <w:t>and implied a term that “it should not be exercised dishonestly, for an improper purpose, capriciously or arbitrarily”. </w:t>
      </w:r>
      <w:r>
        <w:rPr>
          <w:color w:val="005DA1"/>
          <w:u w:val="single" w:color="005DA1"/>
          <w:vertAlign w:val="superscript"/>
        </w:rPr>
        <w:t>470</w:t>
      </w:r>
      <w:r>
        <w:rPr>
          <w:color w:val="005DA1"/>
          <w:vertAlign w:val="baseline"/>
        </w:rPr>
        <w:t> </w:t>
      </w:r>
      <w:r>
        <w:rPr>
          <w:vertAlign w:val="baseline"/>
        </w:rPr>
        <w:t>While the court was prepared to imply a term that the interest rate would not be set in a way that “no reasonable lender, </w:t>
      </w:r>
      <w:r>
        <w:rPr>
          <w:vertAlign w:val="baseline"/>
        </w:rPr>
        <w:t>acting </w:t>
      </w:r>
      <w:bookmarkStart w:name="_bookmark752" w:id="754"/>
      <w:bookmarkEnd w:id="754"/>
      <w:r>
        <w:rPr>
          <w:vertAlign w:val="baseline"/>
        </w:rPr>
        <w:t>reasonably,</w:t>
      </w:r>
      <w:r>
        <w:rPr>
          <w:vertAlign w:val="baseline"/>
        </w:rPr>
        <w:t> would do”, this was not the same as saying that the lender could not impose unreasonable rates. </w:t>
      </w:r>
      <w:r>
        <w:rPr>
          <w:color w:val="005DA1"/>
          <w:u w:val="single" w:color="005DA1"/>
          <w:vertAlign w:val="superscript"/>
        </w:rPr>
        <w:t>471</w:t>
      </w:r>
      <w:r>
        <w:rPr>
          <w:color w:val="005DA1"/>
          <w:vertAlign w:val="baseline"/>
        </w:rPr>
        <w:t> </w:t>
      </w:r>
      <w:r>
        <w:rPr>
          <w:vertAlign w:val="baseline"/>
        </w:rPr>
        <w:t>On the other hand, in </w:t>
      </w:r>
      <w:r>
        <w:rPr>
          <w:rFonts w:ascii="Arial" w:hAnsi="Arial"/>
          <w:i/>
          <w:vertAlign w:val="baseline"/>
        </w:rPr>
        <w:t>Paragon Finance Plc v Pender </w:t>
      </w:r>
      <w:r>
        <w:rPr>
          <w:color w:val="005DA1"/>
          <w:u w:val="single" w:color="005DA1"/>
          <w:vertAlign w:val="superscript"/>
        </w:rPr>
        <w:t>472</w:t>
      </w:r>
      <w:r>
        <w:rPr>
          <w:color w:val="005DA1"/>
          <w:vertAlign w:val="baseline"/>
        </w:rPr>
        <w:t> </w:t>
      </w:r>
      <w:r>
        <w:rPr>
          <w:vertAlign w:val="baseline"/>
        </w:rPr>
        <w:t>it was held that this approach should not mean:</w:t>
      </w:r>
    </w:p>
    <w:p>
      <w:pPr>
        <w:pStyle w:val="BodyText"/>
      </w:pPr>
    </w:p>
    <w:p>
      <w:pPr>
        <w:pStyle w:val="BodyText"/>
        <w:spacing w:before="123"/>
      </w:pPr>
    </w:p>
    <w:p>
      <w:pPr>
        <w:pStyle w:val="BodyText"/>
        <w:spacing w:line="235" w:lineRule="auto"/>
        <w:ind w:left="1545" w:right="167"/>
        <w:jc w:val="both"/>
      </w:pPr>
      <w:r>
        <w:rPr/>
        <w:t>“… that a lender may not, </w:t>
      </w:r>
      <w:r>
        <w:rPr>
          <w:rFonts w:ascii="Arial" w:hAnsi="Arial"/>
          <w:i/>
        </w:rPr>
        <w:t>for a genuine commercial reason</w:t>
      </w:r>
      <w:r>
        <w:rPr/>
        <w:t>, adopt a policy of </w:t>
      </w:r>
      <w:r>
        <w:rPr/>
        <w:t>raising interest rates to levels at which its borrowers generally, or a particular category of its borrowers, may be expected to consider refinancing their borrowings at more favourable</w:t>
      </w:r>
      <w:r>
        <w:rPr>
          <w:spacing w:val="23"/>
        </w:rPr>
        <w:t> </w:t>
      </w:r>
      <w:r>
        <w:rPr/>
        <w:t>rates</w:t>
      </w:r>
      <w:r>
        <w:rPr>
          <w:spacing w:val="25"/>
        </w:rPr>
        <w:t> </w:t>
      </w:r>
      <w:r>
        <w:rPr/>
        <w:t>of</w:t>
      </w:r>
      <w:r>
        <w:rPr>
          <w:spacing w:val="25"/>
        </w:rPr>
        <w:t> </w:t>
      </w:r>
      <w:r>
        <w:rPr/>
        <w:t>interest</w:t>
      </w:r>
      <w:r>
        <w:rPr>
          <w:spacing w:val="25"/>
        </w:rPr>
        <w:t> </w:t>
      </w:r>
      <w:r>
        <w:rPr/>
        <w:t>offered</w:t>
      </w:r>
      <w:r>
        <w:rPr>
          <w:spacing w:val="25"/>
        </w:rPr>
        <w:t> </w:t>
      </w:r>
      <w:r>
        <w:rPr/>
        <w:t>by</w:t>
      </w:r>
      <w:r>
        <w:rPr>
          <w:spacing w:val="25"/>
        </w:rPr>
        <w:t> </w:t>
      </w:r>
      <w:r>
        <w:rPr/>
        <w:t>other</w:t>
      </w:r>
      <w:r>
        <w:rPr>
          <w:spacing w:val="25"/>
        </w:rPr>
        <w:t> </w:t>
      </w:r>
      <w:r>
        <w:rPr/>
        <w:t>commercial</w:t>
      </w:r>
      <w:r>
        <w:rPr>
          <w:spacing w:val="25"/>
        </w:rPr>
        <w:t> </w:t>
      </w:r>
      <w:r>
        <w:rPr/>
        <w:t>lenders.</w:t>
      </w:r>
      <w:r>
        <w:rPr>
          <w:spacing w:val="25"/>
        </w:rPr>
        <w:t> </w:t>
      </w:r>
      <w:r>
        <w:rPr/>
        <w:t>Save</w:t>
      </w:r>
      <w:r>
        <w:rPr>
          <w:spacing w:val="25"/>
        </w:rPr>
        <w:t> </w:t>
      </w:r>
      <w:r>
        <w:rPr/>
        <w:t>as</w:t>
      </w:r>
      <w:r>
        <w:rPr>
          <w:spacing w:val="25"/>
        </w:rPr>
        <w:t> </w:t>
      </w:r>
      <w:r>
        <w:rPr>
          <w:spacing w:val="-2"/>
        </w:rPr>
        <w:t>otherwise</w:t>
      </w:r>
    </w:p>
    <w:p>
      <w:pPr>
        <w:pStyle w:val="BodyText"/>
        <w:spacing w:after="0" w:line="235" w:lineRule="auto"/>
        <w:jc w:val="both"/>
        <w:sectPr>
          <w:pgSz w:w="11900" w:h="16840"/>
          <w:pgMar w:header="971" w:footer="0" w:top="1300" w:bottom="280" w:left="1275" w:right="1275"/>
        </w:sectPr>
      </w:pPr>
    </w:p>
    <w:p>
      <w:pPr>
        <w:pStyle w:val="BodyText"/>
        <w:spacing w:line="235" w:lineRule="auto" w:before="170"/>
        <w:ind w:left="1545"/>
      </w:pPr>
      <w:bookmarkStart w:name="_bookmark753" w:id="755"/>
      <w:bookmarkEnd w:id="755"/>
      <w:r>
        <w:rPr/>
      </w:r>
      <w:r>
        <w:rPr/>
        <w:t>expressly</w:t>
      </w:r>
      <w:r>
        <w:rPr>
          <w:spacing w:val="35"/>
        </w:rPr>
        <w:t> </w:t>
      </w:r>
      <w:r>
        <w:rPr/>
        <w:t>agreed</w:t>
      </w:r>
      <w:r>
        <w:rPr>
          <w:spacing w:val="35"/>
        </w:rPr>
        <w:t> </w:t>
      </w:r>
      <w:r>
        <w:rPr/>
        <w:t>with</w:t>
      </w:r>
      <w:r>
        <w:rPr>
          <w:spacing w:val="35"/>
        </w:rPr>
        <w:t> </w:t>
      </w:r>
      <w:r>
        <w:rPr/>
        <w:t>its</w:t>
      </w:r>
      <w:r>
        <w:rPr>
          <w:spacing w:val="35"/>
        </w:rPr>
        <w:t> </w:t>
      </w:r>
      <w:r>
        <w:rPr/>
        <w:t>borrowers,</w:t>
      </w:r>
      <w:r>
        <w:rPr>
          <w:spacing w:val="35"/>
        </w:rPr>
        <w:t> </w:t>
      </w:r>
      <w:r>
        <w:rPr/>
        <w:t>a</w:t>
      </w:r>
      <w:r>
        <w:rPr>
          <w:spacing w:val="35"/>
        </w:rPr>
        <w:t> </w:t>
      </w:r>
      <w:r>
        <w:rPr/>
        <w:t>commercial</w:t>
      </w:r>
      <w:r>
        <w:rPr>
          <w:spacing w:val="35"/>
        </w:rPr>
        <w:t> </w:t>
      </w:r>
      <w:r>
        <w:rPr/>
        <w:t>lender</w:t>
      </w:r>
      <w:r>
        <w:rPr>
          <w:spacing w:val="35"/>
        </w:rPr>
        <w:t> </w:t>
      </w:r>
      <w:r>
        <w:rPr/>
        <w:t>is</w:t>
      </w:r>
      <w:r>
        <w:rPr>
          <w:spacing w:val="35"/>
        </w:rPr>
        <w:t> </w:t>
      </w:r>
      <w:r>
        <w:rPr/>
        <w:t>…</w:t>
      </w:r>
      <w:r>
        <w:rPr>
          <w:spacing w:val="35"/>
        </w:rPr>
        <w:t> </w:t>
      </w:r>
      <w:r>
        <w:rPr/>
        <w:t>free</w:t>
      </w:r>
      <w:r>
        <w:rPr>
          <w:spacing w:val="35"/>
        </w:rPr>
        <w:t> </w:t>
      </w:r>
      <w:r>
        <w:rPr/>
        <w:t>to</w:t>
      </w:r>
      <w:r>
        <w:rPr>
          <w:spacing w:val="35"/>
        </w:rPr>
        <w:t> </w:t>
      </w:r>
      <w:r>
        <w:rPr/>
        <w:t>conduct</w:t>
      </w:r>
      <w:r>
        <w:rPr>
          <w:spacing w:val="35"/>
        </w:rPr>
        <w:t> </w:t>
      </w:r>
      <w:r>
        <w:rPr/>
        <w:t>its business in what it genuinely believes to be its best commercial interest.” </w:t>
      </w:r>
      <w:r>
        <w:rPr>
          <w:color w:val="005DA1"/>
          <w:u w:val="single" w:color="005DA1"/>
          <w:vertAlign w:val="superscript"/>
        </w:rPr>
        <w:t>473</w:t>
      </w:r>
    </w:p>
    <w:p>
      <w:pPr>
        <w:pStyle w:val="BodyText"/>
        <w:spacing w:before="116"/>
      </w:pPr>
    </w:p>
    <w:p>
      <w:pPr>
        <w:pStyle w:val="BodyText"/>
        <w:spacing w:line="235" w:lineRule="auto"/>
        <w:ind w:left="164" w:right="167"/>
        <w:jc w:val="both"/>
      </w:pPr>
      <w:bookmarkStart w:name="_bookmark754" w:id="756"/>
      <w:bookmarkEnd w:id="756"/>
      <w:r>
        <w:rPr/>
      </w:r>
      <w:r>
        <w:rPr/>
        <w:t>In a different context, in </w:t>
      </w:r>
      <w:r>
        <w:rPr>
          <w:rFonts w:ascii="Arial" w:hAnsi="Arial"/>
          <w:i/>
        </w:rPr>
        <w:t>Lymington Marina Ltd v MacNamara </w:t>
      </w:r>
      <w:r>
        <w:rPr>
          <w:color w:val="005DA1"/>
          <w:u w:val="single" w:color="005DA1"/>
          <w:vertAlign w:val="superscript"/>
        </w:rPr>
        <w:t>474</w:t>
      </w:r>
      <w:r>
        <w:rPr>
          <w:color w:val="005DA1"/>
          <w:vertAlign w:val="baseline"/>
        </w:rPr>
        <w:t> </w:t>
      </w:r>
      <w:r>
        <w:rPr>
          <w:vertAlign w:val="baseline"/>
        </w:rPr>
        <w:t>the Court of Appeal accepted that it should imply some limitations on the exercise of a contractual power in one of the parties drawn in </w:t>
      </w:r>
      <w:bookmarkStart w:name="_bookmark755" w:id="757"/>
      <w:bookmarkEnd w:id="757"/>
      <w:r>
        <w:rPr>
          <w:vertAlign w:val="baseline"/>
        </w:rPr>
        <w:t>very</w:t>
      </w:r>
      <w:r>
        <w:rPr>
          <w:vertAlign w:val="baseline"/>
        </w:rPr>
        <w:t> broad terms, but it considered that the standard to be applied should not be too onerous, </w:t>
      </w:r>
      <w:r>
        <w:rPr>
          <w:vertAlign w:val="baseline"/>
        </w:rPr>
        <w:t>nor should it rest on public law principle. </w:t>
      </w:r>
      <w:r>
        <w:rPr>
          <w:color w:val="005DA1"/>
          <w:u w:val="single" w:color="005DA1"/>
          <w:vertAlign w:val="superscript"/>
        </w:rPr>
        <w:t>475</w:t>
      </w:r>
      <w:r>
        <w:rPr>
          <w:color w:val="005DA1"/>
          <w:vertAlign w:val="baseline"/>
        </w:rPr>
        <w:t> </w:t>
      </w:r>
      <w:r>
        <w:rPr>
          <w:vertAlign w:val="baseline"/>
        </w:rPr>
        <w:t>The case concerned a contractual licence to berth a yacht at</w:t>
      </w:r>
      <w:r>
        <w:rPr>
          <w:spacing w:val="40"/>
          <w:vertAlign w:val="baseline"/>
        </w:rPr>
        <w:t> </w:t>
      </w:r>
      <w:r>
        <w:rPr>
          <w:vertAlign w:val="baseline"/>
        </w:rPr>
        <w:t>a marina, the express terms of which provided that the licensee was entitled to authorise a third party to exercise his rights for a period of between one month and one year “provided that such party first be approved” by the licensor who operated the marina. In these circumstances, the Court of Appeal was clear that the grounds on which approval of the sub-licence might be withheld were limited to </w:t>
      </w:r>
      <w:bookmarkStart w:name="_bookmark756" w:id="758"/>
      <w:bookmarkEnd w:id="758"/>
      <w:r>
        <w:rPr>
          <w:vertAlign w:val="baseline"/>
        </w:rPr>
        <w:t>those</w:t>
      </w:r>
      <w:r>
        <w:rPr>
          <w:vertAlign w:val="baseline"/>
        </w:rPr>
        <w:t> relating to the sub-licensee himself and his proposed use, and more generally could not be “wholly unreasonable” or be made “arbitrarily”, “capriciously” or “in bad faith”. </w:t>
      </w:r>
      <w:r>
        <w:rPr>
          <w:color w:val="005DA1"/>
          <w:u w:val="single" w:color="005DA1"/>
          <w:vertAlign w:val="superscript"/>
        </w:rPr>
        <w:t>476</w:t>
      </w:r>
      <w:r>
        <w:rPr>
          <w:color w:val="005DA1"/>
          <w:vertAlign w:val="baseline"/>
        </w:rPr>
        <w:t> </w:t>
      </w:r>
      <w:r>
        <w:rPr>
          <w:vertAlign w:val="baseline"/>
        </w:rPr>
        <w:t>However, it refused</w:t>
      </w:r>
      <w:r>
        <w:rPr>
          <w:spacing w:val="40"/>
          <w:vertAlign w:val="baseline"/>
        </w:rPr>
        <w:t> </w:t>
      </w:r>
      <w:r>
        <w:rPr>
          <w:vertAlign w:val="baseline"/>
        </w:rPr>
        <w:t>to imply a term in the contract that the approval should be “objectively justifiable” as this was neither </w:t>
      </w:r>
      <w:bookmarkStart w:name="_bookmark757" w:id="759"/>
      <w:bookmarkEnd w:id="759"/>
      <w:r>
        <w:rPr>
          <w:vertAlign w:val="baseline"/>
        </w:rPr>
        <w:t>so</w:t>
      </w:r>
      <w:r>
        <w:rPr>
          <w:vertAlign w:val="baseline"/>
        </w:rPr>
        <w:t> obvious that the parties would not have thought it necessary to mention nor necessary to give the contract business efficacy. </w:t>
      </w:r>
      <w:r>
        <w:rPr>
          <w:color w:val="005DA1"/>
          <w:u w:val="single" w:color="005DA1"/>
          <w:vertAlign w:val="superscript"/>
        </w:rPr>
        <w:t>477</w:t>
      </w:r>
    </w:p>
    <w:p>
      <w:pPr>
        <w:pStyle w:val="BodyText"/>
        <w:spacing w:before="205"/>
      </w:pPr>
    </w:p>
    <w:p>
      <w:pPr>
        <w:spacing w:line="235" w:lineRule="auto" w:before="0"/>
        <w:ind w:left="165" w:right="167" w:firstLine="0"/>
        <w:jc w:val="both"/>
        <w:rPr>
          <w:sz w:val="20"/>
        </w:rPr>
      </w:pPr>
      <w:r>
        <w:rPr>
          <w:position w:val="-2"/>
        </w:rPr>
        <w:drawing>
          <wp:inline distT="0" distB="0" distL="0" distR="0">
            <wp:extent cx="107988" cy="107988"/>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758" w:id="760"/>
      <w:bookmarkEnd w:id="760"/>
      <w:r>
        <w:rPr>
          <w:rFonts w:ascii="Times New Roman"/>
          <w:spacing w:val="-22"/>
          <w:sz w:val="20"/>
        </w:rPr>
      </w:r>
      <w:r>
        <w:rPr>
          <w:sz w:val="20"/>
        </w:rPr>
        <w:t>Similarly, in </w:t>
      </w:r>
      <w:r>
        <w:rPr>
          <w:rFonts w:ascii="Arial"/>
          <w:i/>
          <w:sz w:val="20"/>
        </w:rPr>
        <w:t>Socimer International Bank Ltd v Standard Bank London Ltd </w:t>
      </w:r>
      <w:r>
        <w:rPr>
          <w:color w:val="005DA1"/>
          <w:sz w:val="20"/>
          <w:u w:val="single" w:color="005DA1"/>
          <w:vertAlign w:val="superscript"/>
        </w:rPr>
        <w:t>478</w:t>
      </w:r>
      <w:r>
        <w:rPr>
          <w:color w:val="005DA1"/>
          <w:sz w:val="20"/>
          <w:vertAlign w:val="baseline"/>
        </w:rPr>
        <w:t> </w:t>
      </w:r>
      <w:r>
        <w:rPr>
          <w:sz w:val="20"/>
          <w:vertAlign w:val="baseline"/>
        </w:rPr>
        <w:t>in the context of an express contractual discretion in a seller of securities on a forward basis to value assets on default of payment by the buyer), Rix L.J. observed that:</w:t>
      </w:r>
    </w:p>
    <w:p>
      <w:pPr>
        <w:pStyle w:val="BodyText"/>
      </w:pPr>
    </w:p>
    <w:p>
      <w:pPr>
        <w:pStyle w:val="BodyText"/>
        <w:spacing w:before="126"/>
      </w:pPr>
    </w:p>
    <w:p>
      <w:pPr>
        <w:pStyle w:val="BodyText"/>
        <w:spacing w:line="235" w:lineRule="auto"/>
        <w:ind w:left="1545" w:right="167"/>
        <w:jc w:val="both"/>
      </w:pPr>
      <w:r>
        <w:rPr/>
        <w:t>“… a decision-maker’s discretion will be limited, as a matter of necessary </w:t>
      </w:r>
      <w:r>
        <w:rPr/>
        <w:t>implication, by</w:t>
      </w:r>
      <w:r>
        <w:rPr>
          <w:spacing w:val="-1"/>
        </w:rPr>
        <w:t> </w:t>
      </w:r>
      <w:r>
        <w:rPr/>
        <w:t>concepts</w:t>
      </w:r>
      <w:r>
        <w:rPr>
          <w:spacing w:val="-1"/>
        </w:rPr>
        <w:t> </w:t>
      </w:r>
      <w:r>
        <w:rPr/>
        <w:t>of</w:t>
      </w:r>
      <w:r>
        <w:rPr>
          <w:spacing w:val="-1"/>
        </w:rPr>
        <w:t> </w:t>
      </w:r>
      <w:r>
        <w:rPr/>
        <w:t>honesty,</w:t>
      </w:r>
      <w:r>
        <w:rPr>
          <w:spacing w:val="-1"/>
        </w:rPr>
        <w:t> </w:t>
      </w:r>
      <w:r>
        <w:rPr/>
        <w:t>good</w:t>
      </w:r>
      <w:r>
        <w:rPr>
          <w:spacing w:val="-1"/>
        </w:rPr>
        <w:t> </w:t>
      </w:r>
      <w:r>
        <w:rPr/>
        <w:t>faith,</w:t>
      </w:r>
      <w:r>
        <w:rPr>
          <w:spacing w:val="-1"/>
        </w:rPr>
        <w:t> </w:t>
      </w:r>
      <w:r>
        <w:rPr/>
        <w:t>and</w:t>
      </w:r>
      <w:r>
        <w:rPr>
          <w:spacing w:val="-1"/>
        </w:rPr>
        <w:t> </w:t>
      </w:r>
      <w:r>
        <w:rPr/>
        <w:t>genuineness,</w:t>
      </w:r>
      <w:r>
        <w:rPr>
          <w:spacing w:val="-1"/>
        </w:rPr>
        <w:t> </w:t>
      </w:r>
      <w:r>
        <w:rPr/>
        <w:t>and</w:t>
      </w:r>
      <w:r>
        <w:rPr>
          <w:spacing w:val="-1"/>
        </w:rPr>
        <w:t> </w:t>
      </w:r>
      <w:r>
        <w:rPr/>
        <w:t>the</w:t>
      </w:r>
      <w:r>
        <w:rPr>
          <w:spacing w:val="-1"/>
        </w:rPr>
        <w:t> </w:t>
      </w:r>
      <w:r>
        <w:rPr/>
        <w:t>need</w:t>
      </w:r>
      <w:r>
        <w:rPr>
          <w:spacing w:val="-1"/>
        </w:rPr>
        <w:t> </w:t>
      </w:r>
      <w:r>
        <w:rPr/>
        <w:t>for</w:t>
      </w:r>
      <w:r>
        <w:rPr>
          <w:spacing w:val="-1"/>
        </w:rPr>
        <w:t> </w:t>
      </w:r>
      <w:r>
        <w:rPr/>
        <w:t>the</w:t>
      </w:r>
      <w:r>
        <w:rPr>
          <w:spacing w:val="-1"/>
        </w:rPr>
        <w:t> </w:t>
      </w:r>
      <w:r>
        <w:rPr/>
        <w:t>absence</w:t>
      </w:r>
      <w:r>
        <w:rPr>
          <w:spacing w:val="-1"/>
        </w:rPr>
        <w:t> </w:t>
      </w:r>
      <w:r>
        <w:rPr/>
        <w:t>of arbitrariness, capriciousness, perversity and irrationality. The concern is that the discretion should not be abused. Reasonableness and unreasonableness are also concepts deployed in this context, but only in a sense analogous to </w:t>
      </w:r>
      <w:r>
        <w:rPr>
          <w:rFonts w:ascii="Arial" w:hAnsi="Arial"/>
          <w:i/>
        </w:rPr>
        <w:t>Wednesbury </w:t>
      </w:r>
      <w:r>
        <w:rPr/>
        <w:t>unreasonableness, not in the sense in which that expression is used when speaking</w:t>
      </w:r>
      <w:r>
        <w:rPr>
          <w:spacing w:val="40"/>
        </w:rPr>
        <w:t> </w:t>
      </w:r>
      <w:r>
        <w:rPr/>
        <w:t>of the duty to take reasonable care, or when otherwise deploying entirely objective </w:t>
      </w:r>
      <w:bookmarkStart w:name="_bookmark759" w:id="761"/>
      <w:bookmarkEnd w:id="761"/>
      <w:r>
        <w:rPr/>
        <w:t>criteria:</w:t>
      </w:r>
      <w:r>
        <w:rPr/>
        <w:t> as for instance when there might be an implication of a term requiring the fixing of a reasonable price, or a reasonable time.” </w:t>
      </w:r>
      <w:r>
        <w:rPr>
          <w:color w:val="005DA1"/>
          <w:u w:val="single" w:color="005DA1"/>
          <w:vertAlign w:val="superscript"/>
        </w:rPr>
        <w:t>479</w:t>
      </w:r>
    </w:p>
    <w:p>
      <w:pPr>
        <w:pStyle w:val="BodyText"/>
        <w:spacing w:before="109"/>
      </w:pPr>
    </w:p>
    <w:p>
      <w:pPr>
        <w:pStyle w:val="BodyText"/>
        <w:spacing w:before="1"/>
        <w:ind w:left="165"/>
        <w:jc w:val="both"/>
      </w:pPr>
      <w:r>
        <w:rPr/>
        <w:t>Rix L.J. agreed with the observation of Laws L.J. in the course of argument </w:t>
      </w:r>
      <w:r>
        <w:rPr>
          <w:spacing w:val="-2"/>
        </w:rPr>
        <w:t>that:</w:t>
      </w:r>
    </w:p>
    <w:p>
      <w:pPr>
        <w:pStyle w:val="BodyText"/>
      </w:pPr>
    </w:p>
    <w:p>
      <w:pPr>
        <w:pStyle w:val="BodyText"/>
        <w:spacing w:before="125"/>
      </w:pPr>
    </w:p>
    <w:p>
      <w:pPr>
        <w:pStyle w:val="BodyText"/>
        <w:spacing w:line="235" w:lineRule="auto"/>
        <w:ind w:left="1545" w:right="167"/>
        <w:jc w:val="both"/>
      </w:pPr>
      <w:r>
        <w:rPr/>
        <w:t>“… pursuant to the </w:t>
      </w:r>
      <w:r>
        <w:rPr>
          <w:rFonts w:ascii="Arial" w:hAnsi="Arial"/>
          <w:i/>
        </w:rPr>
        <w:t>Wednesbury </w:t>
      </w:r>
      <w:r>
        <w:rPr/>
        <w:t>rationality test, the decision remains that of </w:t>
      </w:r>
      <w:r>
        <w:rPr/>
        <w:t>the </w:t>
      </w:r>
      <w:bookmarkStart w:name="_bookmark760" w:id="762"/>
      <w:bookmarkEnd w:id="762"/>
      <w:r>
        <w:rPr/>
        <w:t>decision</w:t>
      </w:r>
      <w:r>
        <w:rPr/>
        <w:t> maker, whereas on entirely objective criteria of reasonableness the decision maker becomes the court itself.” </w:t>
      </w:r>
      <w:r>
        <w:rPr>
          <w:color w:val="005DA1"/>
          <w:u w:val="single" w:color="005DA1"/>
          <w:vertAlign w:val="superscript"/>
        </w:rPr>
        <w:t>480</w:t>
      </w:r>
    </w:p>
    <w:p>
      <w:pPr>
        <w:pStyle w:val="BodyText"/>
        <w:spacing w:before="116"/>
      </w:pPr>
    </w:p>
    <w:p>
      <w:pPr>
        <w:pStyle w:val="BodyText"/>
        <w:spacing w:line="235" w:lineRule="auto"/>
        <w:ind w:left="164" w:right="167"/>
        <w:jc w:val="both"/>
        <w:rPr>
          <w:rFonts w:ascii="Arial" w:hAnsi="Arial"/>
          <w:i/>
        </w:rPr>
      </w:pPr>
      <w:r>
        <w:rPr/>
        <w:t>The Court of Appeal therefore rejected the contention that the seller’s decision as to valuation of the </w:t>
      </w:r>
      <w:bookmarkStart w:name="_bookmark761" w:id="763"/>
      <w:bookmarkEnd w:id="763"/>
      <w:r>
        <w:rPr/>
        <w:t>assets</w:t>
      </w:r>
      <w:r>
        <w:rPr>
          <w:spacing w:val="-1"/>
        </w:rPr>
        <w:t> </w:t>
      </w:r>
      <w:r>
        <w:rPr/>
        <w:t>had</w:t>
      </w:r>
      <w:r>
        <w:rPr>
          <w:spacing w:val="-1"/>
        </w:rPr>
        <w:t> </w:t>
      </w:r>
      <w:r>
        <w:rPr/>
        <w:t>to</w:t>
      </w:r>
      <w:r>
        <w:rPr>
          <w:spacing w:val="-1"/>
        </w:rPr>
        <w:t> </w:t>
      </w:r>
      <w:r>
        <w:rPr/>
        <w:t>be</w:t>
      </w:r>
      <w:r>
        <w:rPr>
          <w:spacing w:val="-1"/>
        </w:rPr>
        <w:t> </w:t>
      </w:r>
      <w:r>
        <w:rPr/>
        <w:t>exercised</w:t>
      </w:r>
      <w:r>
        <w:rPr>
          <w:spacing w:val="-1"/>
        </w:rPr>
        <w:t> </w:t>
      </w:r>
      <w:r>
        <w:rPr/>
        <w:t>with</w:t>
      </w:r>
      <w:r>
        <w:rPr>
          <w:spacing w:val="-1"/>
        </w:rPr>
        <w:t> </w:t>
      </w:r>
      <w:r>
        <w:rPr/>
        <w:t>reasonable</w:t>
      </w:r>
      <w:r>
        <w:rPr>
          <w:spacing w:val="-1"/>
        </w:rPr>
        <w:t> </w:t>
      </w:r>
      <w:r>
        <w:rPr/>
        <w:t>care</w:t>
      </w:r>
      <w:r>
        <w:rPr>
          <w:spacing w:val="-1"/>
        </w:rPr>
        <w:t> </w:t>
      </w:r>
      <w:r>
        <w:rPr/>
        <w:t>(an</w:t>
      </w:r>
      <w:r>
        <w:rPr>
          <w:spacing w:val="-1"/>
        </w:rPr>
        <w:t> </w:t>
      </w:r>
      <w:r>
        <w:rPr/>
        <w:t>implied</w:t>
      </w:r>
      <w:r>
        <w:rPr>
          <w:spacing w:val="-1"/>
        </w:rPr>
        <w:t> </w:t>
      </w:r>
      <w:r>
        <w:rPr/>
        <w:t>term</w:t>
      </w:r>
      <w:r>
        <w:rPr>
          <w:spacing w:val="-1"/>
        </w:rPr>
        <w:t> </w:t>
      </w:r>
      <w:r>
        <w:rPr/>
        <w:t>which</w:t>
      </w:r>
      <w:r>
        <w:rPr>
          <w:spacing w:val="-1"/>
        </w:rPr>
        <w:t> </w:t>
      </w:r>
      <w:r>
        <w:rPr/>
        <w:t>was</w:t>
      </w:r>
      <w:r>
        <w:rPr>
          <w:spacing w:val="-1"/>
        </w:rPr>
        <w:t> </w:t>
      </w:r>
      <w:r>
        <w:rPr/>
        <w:t>both</w:t>
      </w:r>
      <w:r>
        <w:rPr>
          <w:spacing w:val="-1"/>
        </w:rPr>
        <w:t> </w:t>
      </w:r>
      <w:r>
        <w:rPr/>
        <w:t>unnecessary</w:t>
      </w:r>
      <w:r>
        <w:rPr>
          <w:spacing w:val="-1"/>
        </w:rPr>
        <w:t> </w:t>
      </w:r>
      <w:r>
        <w:rPr/>
        <w:t>and</w:t>
      </w:r>
      <w:r>
        <w:rPr>
          <w:spacing w:val="-1"/>
        </w:rPr>
        <w:t> </w:t>
      </w:r>
      <w:r>
        <w:rPr/>
        <w:t>of uncertain content in the context),</w:t>
      </w:r>
      <w:r>
        <w:rPr>
          <w:spacing w:val="-1"/>
        </w:rPr>
        <w:t> </w:t>
      </w:r>
      <w:r>
        <w:rPr>
          <w:color w:val="005DA1"/>
          <w:u w:val="single" w:color="005DA1"/>
          <w:vertAlign w:val="superscript"/>
        </w:rPr>
        <w:t>481</w:t>
      </w:r>
      <w:r>
        <w:rPr>
          <w:color w:val="005DA1"/>
          <w:vertAlign w:val="baseline"/>
        </w:rPr>
        <w:t> </w:t>
      </w:r>
      <w:r>
        <w:rPr>
          <w:vertAlign w:val="baseline"/>
        </w:rPr>
        <w:t>rejecting also for this purpose the analogy (accepted by the court </w:t>
      </w:r>
      <w:bookmarkStart w:name="_bookmark762" w:id="764"/>
      <w:bookmarkEnd w:id="764"/>
      <w:r>
        <w:rPr>
          <w:vertAlign w:val="baseline"/>
        </w:rPr>
        <w:t>below)</w:t>
      </w:r>
      <w:r>
        <w:rPr>
          <w:vertAlign w:val="baseline"/>
        </w:rPr>
        <w:t> between the position of the parties to the commercial contract before it and the relationship </w:t>
      </w:r>
      <w:bookmarkStart w:name="_bookmark763" w:id="765"/>
      <w:bookmarkEnd w:id="765"/>
      <w:r>
        <w:rPr>
          <w:vertAlign w:val="baseline"/>
        </w:rPr>
        <w:t>between</w:t>
      </w:r>
      <w:r>
        <w:rPr>
          <w:spacing w:val="57"/>
          <w:vertAlign w:val="baseline"/>
        </w:rPr>
        <w:t> </w:t>
      </w:r>
      <w:r>
        <w:rPr>
          <w:vertAlign w:val="baseline"/>
        </w:rPr>
        <w:t>a</w:t>
      </w:r>
      <w:r>
        <w:rPr>
          <w:spacing w:val="58"/>
          <w:vertAlign w:val="baseline"/>
        </w:rPr>
        <w:t> </w:t>
      </w:r>
      <w:r>
        <w:rPr>
          <w:vertAlign w:val="baseline"/>
        </w:rPr>
        <w:t>mortgagor</w:t>
      </w:r>
      <w:r>
        <w:rPr>
          <w:spacing w:val="58"/>
          <w:vertAlign w:val="baseline"/>
        </w:rPr>
        <w:t> </w:t>
      </w:r>
      <w:r>
        <w:rPr>
          <w:vertAlign w:val="baseline"/>
        </w:rPr>
        <w:t>and</w:t>
      </w:r>
      <w:r>
        <w:rPr>
          <w:spacing w:val="58"/>
          <w:vertAlign w:val="baseline"/>
        </w:rPr>
        <w:t> </w:t>
      </w:r>
      <w:r>
        <w:rPr>
          <w:vertAlign w:val="baseline"/>
        </w:rPr>
        <w:t>a</w:t>
      </w:r>
      <w:r>
        <w:rPr>
          <w:spacing w:val="58"/>
          <w:vertAlign w:val="baseline"/>
        </w:rPr>
        <w:t> </w:t>
      </w:r>
      <w:r>
        <w:rPr>
          <w:vertAlign w:val="baseline"/>
        </w:rPr>
        <w:t>mortgagee.</w:t>
      </w:r>
      <w:r>
        <w:rPr>
          <w:spacing w:val="57"/>
          <w:vertAlign w:val="baseline"/>
        </w:rPr>
        <w:t> </w:t>
      </w:r>
      <w:r>
        <w:rPr>
          <w:color w:val="005DA1"/>
          <w:u w:val="single" w:color="005DA1"/>
          <w:vertAlign w:val="superscript"/>
        </w:rPr>
        <w:t>482</w:t>
      </w:r>
      <w:r>
        <w:rPr>
          <w:color w:val="005DA1"/>
          <w:spacing w:val="57"/>
          <w:vertAlign w:val="baseline"/>
        </w:rPr>
        <w:t> </w:t>
      </w:r>
      <w:r>
        <w:rPr>
          <w:vertAlign w:val="baseline"/>
        </w:rPr>
        <w:t>And</w:t>
      </w:r>
      <w:r>
        <w:rPr>
          <w:spacing w:val="58"/>
          <w:vertAlign w:val="baseline"/>
        </w:rPr>
        <w:t> </w:t>
      </w:r>
      <w:r>
        <w:rPr>
          <w:vertAlign w:val="baseline"/>
        </w:rPr>
        <w:t>in</w:t>
      </w:r>
      <w:r>
        <w:rPr>
          <w:spacing w:val="58"/>
          <w:vertAlign w:val="baseline"/>
        </w:rPr>
        <w:t> </w:t>
      </w:r>
      <w:r>
        <w:rPr>
          <w:rFonts w:ascii="Arial" w:hAnsi="Arial"/>
          <w:i/>
          <w:vertAlign w:val="baseline"/>
        </w:rPr>
        <w:t>Mid</w:t>
      </w:r>
      <w:r>
        <w:rPr>
          <w:rFonts w:ascii="Arial" w:hAnsi="Arial"/>
          <w:i/>
          <w:spacing w:val="58"/>
          <w:vertAlign w:val="baseline"/>
        </w:rPr>
        <w:t> </w:t>
      </w:r>
      <w:r>
        <w:rPr>
          <w:rFonts w:ascii="Arial" w:hAnsi="Arial"/>
          <w:i/>
          <w:vertAlign w:val="baseline"/>
        </w:rPr>
        <w:t>Essex</w:t>
      </w:r>
      <w:r>
        <w:rPr>
          <w:rFonts w:ascii="Arial" w:hAnsi="Arial"/>
          <w:i/>
          <w:spacing w:val="58"/>
          <w:vertAlign w:val="baseline"/>
        </w:rPr>
        <w:t> </w:t>
      </w:r>
      <w:r>
        <w:rPr>
          <w:rFonts w:ascii="Arial" w:hAnsi="Arial"/>
          <w:i/>
          <w:vertAlign w:val="baseline"/>
        </w:rPr>
        <w:t>Hospital</w:t>
      </w:r>
      <w:r>
        <w:rPr>
          <w:rFonts w:ascii="Arial" w:hAnsi="Arial"/>
          <w:i/>
          <w:spacing w:val="58"/>
          <w:vertAlign w:val="baseline"/>
        </w:rPr>
        <w:t> </w:t>
      </w:r>
      <w:r>
        <w:rPr>
          <w:rFonts w:ascii="Arial" w:hAnsi="Arial"/>
          <w:i/>
          <w:vertAlign w:val="baseline"/>
        </w:rPr>
        <w:t>Services</w:t>
      </w:r>
      <w:r>
        <w:rPr>
          <w:rFonts w:ascii="Arial" w:hAnsi="Arial"/>
          <w:i/>
          <w:spacing w:val="57"/>
          <w:vertAlign w:val="baseline"/>
        </w:rPr>
        <w:t> </w:t>
      </w:r>
      <w:r>
        <w:rPr>
          <w:rFonts w:ascii="Arial" w:hAnsi="Arial"/>
          <w:i/>
          <w:vertAlign w:val="baseline"/>
        </w:rPr>
        <w:t>NHS</w:t>
      </w:r>
      <w:r>
        <w:rPr>
          <w:rFonts w:ascii="Arial" w:hAnsi="Arial"/>
          <w:i/>
          <w:spacing w:val="58"/>
          <w:vertAlign w:val="baseline"/>
        </w:rPr>
        <w:t> </w:t>
      </w:r>
      <w:r>
        <w:rPr>
          <w:rFonts w:ascii="Arial" w:hAnsi="Arial"/>
          <w:i/>
          <w:vertAlign w:val="baseline"/>
        </w:rPr>
        <w:t>Trust</w:t>
      </w:r>
      <w:r>
        <w:rPr>
          <w:rFonts w:ascii="Arial" w:hAnsi="Arial"/>
          <w:i/>
          <w:spacing w:val="58"/>
          <w:vertAlign w:val="baseline"/>
        </w:rPr>
        <w:t> </w:t>
      </w:r>
      <w:r>
        <w:rPr>
          <w:rFonts w:ascii="Arial" w:hAnsi="Arial"/>
          <w:i/>
          <w:spacing w:val="-10"/>
          <w:vertAlign w:val="baseline"/>
        </w:rPr>
        <w:t>v</w:t>
      </w:r>
    </w:p>
    <w:p>
      <w:pPr>
        <w:pStyle w:val="BodyText"/>
        <w:spacing w:line="235" w:lineRule="auto" w:before="118"/>
        <w:ind w:left="165" w:right="167"/>
        <w:jc w:val="both"/>
      </w:pPr>
      <w:r>
        <w:rPr>
          <w:rFonts w:ascii="Arial" w:hAnsi="Arial"/>
          <w:i/>
        </w:rPr>
        <w:t>Compass Group UK and Ireland Ltd (t/a Medirest) </w:t>
      </w:r>
      <w:r>
        <w:rPr>
          <w:color w:val="005DA1"/>
          <w:u w:val="single" w:color="005DA1"/>
          <w:vertAlign w:val="superscript"/>
        </w:rPr>
        <w:t>483</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8"/>
          <w:vertAlign w:val="baseline"/>
        </w:rPr>
        <w:t> </w:t>
      </w:r>
      <w:r>
        <w:rPr>
          <w:vertAlign w:val="baseline"/>
        </w:rPr>
        <w:t>the Court of Appeal considered whether the decision-making of a party under particular terms of its contract was impliedly subject to a term that it should not do so “in an arbitrary, capricious or irrational manner”. Jackson L.J. (with whom </w:t>
      </w:r>
      <w:r>
        <w:rPr>
          <w:vertAlign w:val="baseline"/>
        </w:rPr>
        <w:t>Lewison </w:t>
      </w:r>
      <w:bookmarkStart w:name="_bookmark764" w:id="766"/>
      <w:bookmarkEnd w:id="766"/>
      <w:r>
        <w:rPr>
          <w:vertAlign w:val="baseline"/>
        </w:rPr>
        <w:t>and</w:t>
      </w:r>
      <w:r>
        <w:rPr>
          <w:spacing w:val="5"/>
          <w:vertAlign w:val="baseline"/>
        </w:rPr>
        <w:t> </w:t>
      </w:r>
      <w:r>
        <w:rPr>
          <w:vertAlign w:val="baseline"/>
        </w:rPr>
        <w:t>Beatson</w:t>
      </w:r>
      <w:r>
        <w:rPr>
          <w:spacing w:val="5"/>
          <w:vertAlign w:val="baseline"/>
        </w:rPr>
        <w:t> </w:t>
      </w:r>
      <w:r>
        <w:rPr>
          <w:vertAlign w:val="baseline"/>
        </w:rPr>
        <w:t>L.JJ.</w:t>
      </w:r>
      <w:r>
        <w:rPr>
          <w:spacing w:val="5"/>
          <w:vertAlign w:val="baseline"/>
        </w:rPr>
        <w:t> </w:t>
      </w:r>
      <w:r>
        <w:rPr>
          <w:vertAlign w:val="baseline"/>
        </w:rPr>
        <w:t>agreed)</w:t>
      </w:r>
      <w:r>
        <w:rPr>
          <w:spacing w:val="5"/>
          <w:vertAlign w:val="baseline"/>
        </w:rPr>
        <w:t> </w:t>
      </w:r>
      <w:r>
        <w:rPr>
          <w:vertAlign w:val="baseline"/>
        </w:rPr>
        <w:t>reviewed</w:t>
      </w:r>
      <w:r>
        <w:rPr>
          <w:spacing w:val="5"/>
          <w:vertAlign w:val="baseline"/>
        </w:rPr>
        <w:t> </w:t>
      </w:r>
      <w:r>
        <w:rPr>
          <w:vertAlign w:val="baseline"/>
        </w:rPr>
        <w:t>the</w:t>
      </w:r>
      <w:r>
        <w:rPr>
          <w:spacing w:val="5"/>
          <w:vertAlign w:val="baseline"/>
        </w:rPr>
        <w:t> </w:t>
      </w:r>
      <w:r>
        <w:rPr>
          <w:vertAlign w:val="baseline"/>
        </w:rPr>
        <w:t>authorities</w:t>
      </w:r>
      <w:r>
        <w:rPr>
          <w:spacing w:val="5"/>
          <w:vertAlign w:val="baseline"/>
        </w:rPr>
        <w:t> </w:t>
      </w:r>
      <w:r>
        <w:rPr>
          <w:vertAlign w:val="baseline"/>
        </w:rPr>
        <w:t>that</w:t>
      </w:r>
      <w:r>
        <w:rPr>
          <w:spacing w:val="5"/>
          <w:vertAlign w:val="baseline"/>
        </w:rPr>
        <w:t> </w:t>
      </w:r>
      <w:r>
        <w:rPr>
          <w:vertAlign w:val="baseline"/>
        </w:rPr>
        <w:t>accepted</w:t>
      </w:r>
      <w:r>
        <w:rPr>
          <w:spacing w:val="5"/>
          <w:vertAlign w:val="baseline"/>
        </w:rPr>
        <w:t> </w:t>
      </w:r>
      <w:r>
        <w:rPr>
          <w:vertAlign w:val="baseline"/>
        </w:rPr>
        <w:t>such</w:t>
      </w:r>
      <w:r>
        <w:rPr>
          <w:spacing w:val="5"/>
          <w:vertAlign w:val="baseline"/>
        </w:rPr>
        <w:t> </w:t>
      </w:r>
      <w:r>
        <w:rPr>
          <w:vertAlign w:val="baseline"/>
        </w:rPr>
        <w:t>a</w:t>
      </w:r>
      <w:r>
        <w:rPr>
          <w:spacing w:val="5"/>
          <w:vertAlign w:val="baseline"/>
        </w:rPr>
        <w:t> </w:t>
      </w:r>
      <w:r>
        <w:rPr>
          <w:vertAlign w:val="baseline"/>
        </w:rPr>
        <w:t>qualification</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spacing w:val="-2"/>
          <w:vertAlign w:val="baseline"/>
        </w:rPr>
        <w:t>exercise</w:t>
      </w:r>
    </w:p>
    <w:p>
      <w:pPr>
        <w:spacing w:line="235" w:lineRule="auto" w:before="118"/>
        <w:ind w:left="165" w:right="168" w:firstLine="0"/>
        <w:jc w:val="left"/>
        <w:rPr>
          <w:sz w:val="20"/>
        </w:rPr>
      </w:pPr>
      <w:r>
        <w:rPr>
          <w:sz w:val="20"/>
        </w:rPr>
        <w:t>of</w:t>
      </w:r>
      <w:r>
        <w:rPr>
          <w:spacing w:val="16"/>
          <w:sz w:val="20"/>
        </w:rPr>
        <w:t> </w:t>
      </w:r>
      <w:r>
        <w:rPr>
          <w:sz w:val="20"/>
        </w:rPr>
        <w:t>a</w:t>
      </w:r>
      <w:r>
        <w:rPr>
          <w:spacing w:val="16"/>
          <w:sz w:val="20"/>
        </w:rPr>
        <w:t> </w:t>
      </w:r>
      <w:r>
        <w:rPr>
          <w:sz w:val="20"/>
        </w:rPr>
        <w:t>contractual</w:t>
      </w:r>
      <w:r>
        <w:rPr>
          <w:spacing w:val="16"/>
          <w:sz w:val="20"/>
        </w:rPr>
        <w:t> </w:t>
      </w:r>
      <w:r>
        <w:rPr>
          <w:sz w:val="20"/>
        </w:rPr>
        <w:t>discretion,</w:t>
      </w:r>
      <w:r>
        <w:rPr>
          <w:spacing w:val="16"/>
          <w:sz w:val="20"/>
        </w:rPr>
        <w:t> </w:t>
      </w:r>
      <w:r>
        <w:rPr>
          <w:sz w:val="20"/>
        </w:rPr>
        <w:t>notably </w:t>
      </w:r>
      <w:r>
        <w:rPr>
          <w:rFonts w:ascii="Arial"/>
          <w:i/>
          <w:sz w:val="20"/>
        </w:rPr>
        <w:t>Socimer</w:t>
      </w:r>
      <w:r>
        <w:rPr>
          <w:rFonts w:ascii="Arial"/>
          <w:i/>
          <w:spacing w:val="16"/>
          <w:sz w:val="20"/>
        </w:rPr>
        <w:t> </w:t>
      </w:r>
      <w:r>
        <w:rPr>
          <w:rFonts w:ascii="Arial"/>
          <w:i/>
          <w:sz w:val="20"/>
        </w:rPr>
        <w:t>International</w:t>
      </w:r>
      <w:r>
        <w:rPr>
          <w:rFonts w:ascii="Arial"/>
          <w:i/>
          <w:spacing w:val="16"/>
          <w:sz w:val="20"/>
        </w:rPr>
        <w:t> </w:t>
      </w:r>
      <w:r>
        <w:rPr>
          <w:rFonts w:ascii="Arial"/>
          <w:i/>
          <w:sz w:val="20"/>
        </w:rPr>
        <w:t>Bank</w:t>
      </w:r>
      <w:r>
        <w:rPr>
          <w:rFonts w:ascii="Arial"/>
          <w:i/>
          <w:spacing w:val="16"/>
          <w:sz w:val="20"/>
        </w:rPr>
        <w:t> </w:t>
      </w:r>
      <w:r>
        <w:rPr>
          <w:rFonts w:ascii="Arial"/>
          <w:i/>
          <w:sz w:val="20"/>
        </w:rPr>
        <w:t>Ltd</w:t>
      </w:r>
      <w:r>
        <w:rPr>
          <w:rFonts w:ascii="Arial"/>
          <w:i/>
          <w:spacing w:val="16"/>
          <w:sz w:val="20"/>
        </w:rPr>
        <w:t> </w:t>
      </w:r>
      <w:r>
        <w:rPr>
          <w:rFonts w:ascii="Arial"/>
          <w:i/>
          <w:sz w:val="20"/>
        </w:rPr>
        <w:t>v</w:t>
      </w:r>
      <w:r>
        <w:rPr>
          <w:rFonts w:ascii="Arial"/>
          <w:i/>
          <w:spacing w:val="16"/>
          <w:sz w:val="20"/>
        </w:rPr>
        <w:t> </w:t>
      </w:r>
      <w:r>
        <w:rPr>
          <w:rFonts w:ascii="Arial"/>
          <w:i/>
          <w:sz w:val="20"/>
        </w:rPr>
        <w:t>Standard</w:t>
      </w:r>
      <w:r>
        <w:rPr>
          <w:rFonts w:ascii="Arial"/>
          <w:i/>
          <w:spacing w:val="16"/>
          <w:sz w:val="20"/>
        </w:rPr>
        <w:t> </w:t>
      </w:r>
      <w:r>
        <w:rPr>
          <w:rFonts w:ascii="Arial"/>
          <w:i/>
          <w:sz w:val="20"/>
        </w:rPr>
        <w:t>Bank</w:t>
      </w:r>
      <w:r>
        <w:rPr>
          <w:rFonts w:ascii="Arial"/>
          <w:i/>
          <w:spacing w:val="16"/>
          <w:sz w:val="20"/>
        </w:rPr>
        <w:t> </w:t>
      </w:r>
      <w:r>
        <w:rPr>
          <w:rFonts w:ascii="Arial"/>
          <w:i/>
          <w:sz w:val="20"/>
        </w:rPr>
        <w:t>London</w:t>
      </w:r>
      <w:r>
        <w:rPr>
          <w:rFonts w:ascii="Arial"/>
          <w:i/>
          <w:spacing w:val="16"/>
          <w:sz w:val="20"/>
        </w:rPr>
        <w:t> </w:t>
      </w:r>
      <w:r>
        <w:rPr>
          <w:rFonts w:ascii="Arial"/>
          <w:i/>
          <w:sz w:val="20"/>
        </w:rPr>
        <w:t>Ltd</w:t>
      </w:r>
      <w:r>
        <w:rPr>
          <w:sz w:val="20"/>
        </w:rPr>
        <w:t>,</w:t>
      </w:r>
      <w:r>
        <w:rPr>
          <w:spacing w:val="16"/>
          <w:sz w:val="20"/>
        </w:rPr>
        <w:t> </w:t>
      </w:r>
      <w:r>
        <w:rPr>
          <w:color w:val="005DA1"/>
          <w:sz w:val="20"/>
          <w:u w:val="single" w:color="005DA1"/>
          <w:vertAlign w:val="superscript"/>
        </w:rPr>
        <w:t>484</w:t>
      </w:r>
      <w:r>
        <w:rPr>
          <w:color w:val="005DA1"/>
          <w:sz w:val="20"/>
          <w:vertAlign w:val="baseline"/>
        </w:rPr>
        <w:t> </w:t>
      </w:r>
      <w:r>
        <w:rPr>
          <w:color w:val="005DA1"/>
          <w:position w:val="-2"/>
          <w:sz w:val="20"/>
          <w:vertAlign w:val="baseline"/>
        </w:rPr>
        <w:drawing>
          <wp:inline distT="0" distB="0" distL="0" distR="0">
            <wp:extent cx="107988" cy="107988"/>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r>
        <w:rPr>
          <w:rFonts w:ascii="Times New Roman"/>
          <w:color w:val="005DA1"/>
          <w:sz w:val="20"/>
          <w:vertAlign w:val="baseline"/>
        </w:rPr>
        <w:t> </w:t>
      </w:r>
      <w:r>
        <w:rPr>
          <w:sz w:val="20"/>
          <w:vertAlign w:val="baseline"/>
        </w:rPr>
        <w:t>but distinguished the contractual terms with which these cases dealt and the relevant terms </w:t>
      </w:r>
      <w:r>
        <w:rPr>
          <w:sz w:val="20"/>
          <w:vertAlign w:val="baseline"/>
        </w:rPr>
        <w:t>before the court:</w:t>
      </w:r>
    </w:p>
    <w:p>
      <w:pPr>
        <w:pStyle w:val="BodyText"/>
      </w:pPr>
    </w:p>
    <w:p>
      <w:pPr>
        <w:pStyle w:val="BodyText"/>
        <w:spacing w:before="126"/>
      </w:pPr>
    </w:p>
    <w:p>
      <w:pPr>
        <w:pStyle w:val="BodyText"/>
        <w:spacing w:line="235" w:lineRule="auto"/>
        <w:ind w:left="1545" w:right="167"/>
        <w:jc w:val="both"/>
      </w:pPr>
      <w:r>
        <w:rPr/>
        <w:t>“[a]n important feature of the … authorities is that in each case the discretion does not involve a simple decision whether or not to exercise an absolute contractual right. </w:t>
      </w:r>
      <w:r>
        <w:rPr/>
        <w:t>The discretion</w:t>
      </w:r>
      <w:r>
        <w:rPr>
          <w:spacing w:val="3"/>
        </w:rPr>
        <w:t> </w:t>
      </w:r>
      <w:r>
        <w:rPr/>
        <w:t>involved</w:t>
      </w:r>
      <w:r>
        <w:rPr>
          <w:spacing w:val="3"/>
        </w:rPr>
        <w:t> </w:t>
      </w:r>
      <w:r>
        <w:rPr/>
        <w:t>making</w:t>
      </w:r>
      <w:r>
        <w:rPr>
          <w:spacing w:val="3"/>
        </w:rPr>
        <w:t> </w:t>
      </w:r>
      <w:r>
        <w:rPr/>
        <w:t>an</w:t>
      </w:r>
      <w:r>
        <w:rPr>
          <w:spacing w:val="3"/>
        </w:rPr>
        <w:t> </w:t>
      </w:r>
      <w:r>
        <w:rPr/>
        <w:t>assessment</w:t>
      </w:r>
      <w:r>
        <w:rPr>
          <w:spacing w:val="3"/>
        </w:rPr>
        <w:t> </w:t>
      </w:r>
      <w:r>
        <w:rPr/>
        <w:t>or</w:t>
      </w:r>
      <w:r>
        <w:rPr>
          <w:spacing w:val="3"/>
        </w:rPr>
        <w:t> </w:t>
      </w:r>
      <w:r>
        <w:rPr/>
        <w:t>choosing</w:t>
      </w:r>
      <w:r>
        <w:rPr>
          <w:spacing w:val="3"/>
        </w:rPr>
        <w:t> </w:t>
      </w:r>
      <w:r>
        <w:rPr/>
        <w:t>from</w:t>
      </w:r>
      <w:r>
        <w:rPr>
          <w:spacing w:val="3"/>
        </w:rPr>
        <w:t> </w:t>
      </w:r>
      <w:r>
        <w:rPr/>
        <w:t>a</w:t>
      </w:r>
      <w:r>
        <w:rPr>
          <w:spacing w:val="3"/>
        </w:rPr>
        <w:t> </w:t>
      </w:r>
      <w:r>
        <w:rPr/>
        <w:t>range</w:t>
      </w:r>
      <w:r>
        <w:rPr>
          <w:spacing w:val="3"/>
        </w:rPr>
        <w:t> </w:t>
      </w:r>
      <w:r>
        <w:rPr/>
        <w:t>of</w:t>
      </w:r>
      <w:r>
        <w:rPr>
          <w:spacing w:val="3"/>
        </w:rPr>
        <w:t> </w:t>
      </w:r>
      <w:r>
        <w:rPr/>
        <w:t>options,</w:t>
      </w:r>
      <w:r>
        <w:rPr>
          <w:spacing w:val="3"/>
        </w:rPr>
        <w:t> </w:t>
      </w:r>
      <w:r>
        <w:rPr>
          <w:spacing w:val="-2"/>
        </w:rPr>
        <w:t>taking</w:t>
      </w:r>
    </w:p>
    <w:p>
      <w:pPr>
        <w:pStyle w:val="BodyText"/>
        <w:spacing w:after="0" w:line="235" w:lineRule="auto"/>
        <w:jc w:val="both"/>
        <w:sectPr>
          <w:pgSz w:w="11900" w:h="16840"/>
          <w:pgMar w:header="971" w:footer="0" w:top="1300" w:bottom="280" w:left="1275" w:right="1275"/>
        </w:sectPr>
      </w:pPr>
    </w:p>
    <w:p>
      <w:pPr>
        <w:pStyle w:val="BodyText"/>
        <w:spacing w:before="227"/>
      </w:pPr>
    </w:p>
    <w:p>
      <w:pPr>
        <w:pStyle w:val="BodyText"/>
        <w:spacing w:line="235" w:lineRule="auto"/>
        <w:ind w:left="1545" w:right="167"/>
        <w:jc w:val="both"/>
      </w:pPr>
      <w:r>
        <w:rPr/>
        <w:t>into account the interests of both parties. In any contract under which one party </w:t>
      </w:r>
      <w:r>
        <w:rPr/>
        <w:t>is permitted to exercise such a discretion, there is an implied term. The precise formulation of that term has been variously expressed in the authorities. In essence, however, it is that the relevant party will not exercise its discretion in an arbitrary, </w:t>
      </w:r>
      <w:bookmarkStart w:name="_bookmark765" w:id="767"/>
      <w:bookmarkEnd w:id="767"/>
      <w:r>
        <w:rPr/>
        <w:t>capricious</w:t>
      </w:r>
      <w:r>
        <w:rPr/>
        <w:t> or irrational manner. Such a term is extremely difficult to exclude, although</w:t>
      </w:r>
      <w:r>
        <w:rPr>
          <w:spacing w:val="80"/>
        </w:rPr>
        <w:t> </w:t>
      </w:r>
      <w:r>
        <w:rPr/>
        <w:t>I would not say it is utterly impossible to do so.” </w:t>
      </w:r>
      <w:r>
        <w:rPr>
          <w:color w:val="005DA1"/>
          <w:u w:val="single" w:color="005DA1"/>
          <w:vertAlign w:val="superscript"/>
        </w:rPr>
        <w:t>485</w:t>
      </w:r>
    </w:p>
    <w:p>
      <w:pPr>
        <w:pStyle w:val="BodyText"/>
        <w:spacing w:before="114"/>
      </w:pPr>
    </w:p>
    <w:p>
      <w:pPr>
        <w:pStyle w:val="BodyText"/>
        <w:spacing w:line="235" w:lineRule="auto" w:before="1"/>
        <w:ind w:left="165" w:right="167"/>
        <w:jc w:val="both"/>
      </w:pPr>
      <w:r>
        <w:rPr/>
        <w:t>In the contract before the Court of Appeal, an NHS Trust had agreed to employ the respondent to supply catering and cleaning services for seven years for one of its hospitals. Under the contract, the Trust was entitled to award “service failure points” in respect of failures in the provision of </w:t>
      </w:r>
      <w:r>
        <w:rPr/>
        <w:t>the</w:t>
      </w:r>
      <w:r>
        <w:rPr>
          <w:spacing w:val="40"/>
        </w:rPr>
        <w:t> </w:t>
      </w:r>
      <w:r>
        <w:rPr/>
        <w:t>services, the contract specifying both how these points should be calculated and their consequences for the contractor in terms of deductions from its remuneration and possible termination of the contract. This being the case, the Court of Appeal held that the contract left no room for discretion in the calculation of the “service failure points” nor in their deduction from the remuneration and, as a </w:t>
      </w:r>
      <w:bookmarkStart w:name="_bookmark766" w:id="768"/>
      <w:bookmarkEnd w:id="768"/>
      <w:r>
        <w:rPr/>
        <w:t>result,</w:t>
      </w:r>
      <w:r>
        <w:rPr/>
        <w:t> there could be no implied term not to act in relation to this calculation or deduction in an arbitrary,</w:t>
      </w:r>
      <w:r>
        <w:rPr>
          <w:spacing w:val="-2"/>
        </w:rPr>
        <w:t> </w:t>
      </w:r>
      <w:r>
        <w:rPr/>
        <w:t>irrational</w:t>
      </w:r>
      <w:r>
        <w:rPr>
          <w:spacing w:val="-2"/>
        </w:rPr>
        <w:t> </w:t>
      </w:r>
      <w:r>
        <w:rPr/>
        <w:t>or</w:t>
      </w:r>
      <w:r>
        <w:rPr>
          <w:spacing w:val="-2"/>
        </w:rPr>
        <w:t> </w:t>
      </w:r>
      <w:r>
        <w:rPr/>
        <w:t>capricious</w:t>
      </w:r>
      <w:r>
        <w:rPr>
          <w:spacing w:val="-2"/>
        </w:rPr>
        <w:t> </w:t>
      </w:r>
      <w:r>
        <w:rPr/>
        <w:t>manner</w:t>
      </w:r>
      <w:r>
        <w:rPr>
          <w:spacing w:val="-2"/>
        </w:rPr>
        <w:t> </w:t>
      </w:r>
      <w:r>
        <w:rPr/>
        <w:t>when</w:t>
      </w:r>
      <w:r>
        <w:rPr>
          <w:spacing w:val="-2"/>
        </w:rPr>
        <w:t> </w:t>
      </w:r>
      <w:r>
        <w:rPr/>
        <w:t>assessing</w:t>
      </w:r>
      <w:r>
        <w:rPr>
          <w:spacing w:val="-2"/>
        </w:rPr>
        <w:t> </w:t>
      </w:r>
      <w:r>
        <w:rPr/>
        <w:t>these</w:t>
      </w:r>
      <w:r>
        <w:rPr>
          <w:spacing w:val="-2"/>
        </w:rPr>
        <w:t> </w:t>
      </w:r>
      <w:r>
        <w:rPr/>
        <w:t>matters.</w:t>
      </w:r>
      <w:r>
        <w:rPr>
          <w:spacing w:val="-3"/>
        </w:rPr>
        <w:t> </w:t>
      </w:r>
      <w:r>
        <w:rPr>
          <w:color w:val="005DA1"/>
          <w:u w:val="single" w:color="005DA1"/>
          <w:vertAlign w:val="superscript"/>
        </w:rPr>
        <w:t>486</w:t>
      </w:r>
      <w:r>
        <w:rPr>
          <w:color w:val="005DA1"/>
          <w:spacing w:val="-2"/>
          <w:vertAlign w:val="baseline"/>
        </w:rPr>
        <w:t> </w:t>
      </w:r>
      <w:r>
        <w:rPr>
          <w:vertAlign w:val="baseline"/>
        </w:rPr>
        <w:t>As</w:t>
      </w:r>
      <w:r>
        <w:rPr>
          <w:spacing w:val="-2"/>
          <w:vertAlign w:val="baseline"/>
        </w:rPr>
        <w:t> </w:t>
      </w:r>
      <w:r>
        <w:rPr>
          <w:vertAlign w:val="baseline"/>
        </w:rPr>
        <w:t>Lewison</w:t>
      </w:r>
      <w:r>
        <w:rPr>
          <w:spacing w:val="-2"/>
          <w:vertAlign w:val="baseline"/>
        </w:rPr>
        <w:t> </w:t>
      </w:r>
      <w:r>
        <w:rPr>
          <w:vertAlign w:val="baseline"/>
        </w:rPr>
        <w:t>L.J.</w:t>
      </w:r>
      <w:r>
        <w:rPr>
          <w:spacing w:val="-2"/>
          <w:vertAlign w:val="baseline"/>
        </w:rPr>
        <w:t> </w:t>
      </w:r>
      <w:r>
        <w:rPr>
          <w:vertAlign w:val="baseline"/>
        </w:rPr>
        <w:t>observed, while “it was up to the Trust to decide whether or not to levy payment deductions; and whether or not </w:t>
      </w:r>
      <w:bookmarkStart w:name="_bookmark767" w:id="769"/>
      <w:bookmarkEnd w:id="769"/>
      <w:r>
        <w:rPr>
          <w:vertAlign w:val="baseline"/>
        </w:rPr>
        <w:t>to</w:t>
      </w:r>
      <w:r>
        <w:rPr>
          <w:vertAlign w:val="baseline"/>
        </w:rPr>
        <w:t> award [service failure points]”, in doing so “[e]ither the Trust was right or wrong in its application of </w:t>
      </w:r>
      <w:bookmarkStart w:name="_bookmark768" w:id="770"/>
      <w:bookmarkEnd w:id="770"/>
      <w:r>
        <w:rPr>
          <w:vertAlign w:val="baseline"/>
        </w:rPr>
        <w:t>the</w:t>
      </w:r>
      <w:r>
        <w:rPr>
          <w:spacing w:val="8"/>
          <w:vertAlign w:val="baseline"/>
        </w:rPr>
        <w:t> </w:t>
      </w:r>
      <w:r>
        <w:rPr>
          <w:vertAlign w:val="baseline"/>
        </w:rPr>
        <w:t>contract</w:t>
      </w:r>
      <w:r>
        <w:rPr>
          <w:spacing w:val="8"/>
          <w:vertAlign w:val="baseline"/>
        </w:rPr>
        <w:t> </w:t>
      </w:r>
      <w:r>
        <w:rPr>
          <w:vertAlign w:val="baseline"/>
        </w:rPr>
        <w:t>terms</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facts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case”.</w:t>
      </w:r>
      <w:r>
        <w:rPr>
          <w:spacing w:val="8"/>
          <w:vertAlign w:val="baseline"/>
        </w:rPr>
        <w:t> </w:t>
      </w:r>
      <w:r>
        <w:rPr>
          <w:color w:val="005DA1"/>
          <w:u w:val="single" w:color="005DA1"/>
          <w:vertAlign w:val="superscript"/>
        </w:rPr>
        <w:t>487</w:t>
      </w:r>
      <w:r>
        <w:rPr>
          <w:color w:val="005DA1"/>
          <w:spacing w:val="8"/>
          <w:vertAlign w:val="baseline"/>
        </w:rPr>
        <w:t> </w:t>
      </w:r>
      <w:r>
        <w:rPr>
          <w:vertAlign w:val="baseline"/>
        </w:rPr>
        <w:t>In</w:t>
      </w:r>
      <w:r>
        <w:rPr>
          <w:spacing w:val="8"/>
          <w:vertAlign w:val="baseline"/>
        </w:rPr>
        <w:t> </w:t>
      </w:r>
      <w:r>
        <w:rPr>
          <w:vertAlign w:val="baseline"/>
        </w:rPr>
        <w:t>these</w:t>
      </w:r>
      <w:r>
        <w:rPr>
          <w:spacing w:val="8"/>
          <w:vertAlign w:val="baseline"/>
        </w:rPr>
        <w:t> </w:t>
      </w:r>
      <w:r>
        <w:rPr>
          <w:vertAlign w:val="baseline"/>
        </w:rPr>
        <w:t>circumstances,</w:t>
      </w:r>
      <w:r>
        <w:rPr>
          <w:spacing w:val="8"/>
          <w:vertAlign w:val="baseline"/>
        </w:rPr>
        <w:t> </w:t>
      </w:r>
      <w:r>
        <w:rPr>
          <w:vertAlign w:val="baseline"/>
        </w:rPr>
        <w:t>the</w:t>
      </w:r>
      <w:r>
        <w:rPr>
          <w:spacing w:val="8"/>
          <w:vertAlign w:val="baseline"/>
        </w:rPr>
        <w:t> </w:t>
      </w:r>
      <w:r>
        <w:rPr>
          <w:vertAlign w:val="baseline"/>
        </w:rPr>
        <w:t>Trust</w:t>
      </w:r>
      <w:r>
        <w:rPr>
          <w:spacing w:val="8"/>
          <w:vertAlign w:val="baseline"/>
        </w:rPr>
        <w:t> </w:t>
      </w:r>
      <w:r>
        <w:rPr>
          <w:vertAlign w:val="baseline"/>
        </w:rPr>
        <w:t>had</w:t>
      </w:r>
      <w:r>
        <w:rPr>
          <w:spacing w:val="8"/>
          <w:vertAlign w:val="baseline"/>
        </w:rPr>
        <w:t> </w:t>
      </w:r>
      <w:r>
        <w:rPr>
          <w:vertAlign w:val="baseline"/>
        </w:rPr>
        <w:t>no</w:t>
      </w:r>
      <w:r>
        <w:rPr>
          <w:spacing w:val="8"/>
          <w:vertAlign w:val="baseline"/>
        </w:rPr>
        <w:t> </w:t>
      </w:r>
      <w:r>
        <w:rPr>
          <w:vertAlign w:val="baseline"/>
        </w:rPr>
        <w:t>discretion</w:t>
      </w:r>
      <w:r>
        <w:rPr>
          <w:spacing w:val="8"/>
          <w:vertAlign w:val="baseline"/>
        </w:rPr>
        <w:t> </w:t>
      </w:r>
      <w:r>
        <w:rPr>
          <w:spacing w:val="-5"/>
          <w:vertAlign w:val="baseline"/>
        </w:rPr>
        <w:t>to</w:t>
      </w:r>
    </w:p>
    <w:p>
      <w:pPr>
        <w:pStyle w:val="BodyText"/>
        <w:spacing w:before="111"/>
        <w:ind w:left="164"/>
        <w:jc w:val="both"/>
        <w:rPr>
          <w:position w:val="-2"/>
        </w:rPr>
      </w:pPr>
      <w:r>
        <w:rPr/>
        <w:t>exercise in these matters. </w:t>
      </w:r>
      <w:r>
        <w:rPr>
          <w:color w:val="005DA1"/>
          <w:u w:val="single" w:color="005DA1"/>
          <w:vertAlign w:val="superscript"/>
        </w:rPr>
        <w:t>488</w:t>
      </w:r>
      <w:r>
        <w:rPr>
          <w:color w:val="005DA1"/>
          <w:spacing w:val="80"/>
          <w:w w:val="150"/>
          <w:vertAlign w:val="baseline"/>
        </w:rPr>
        <w:t> </w:t>
      </w:r>
      <w:r>
        <w:rPr>
          <w:color w:val="005DA1"/>
          <w:position w:val="-2"/>
          <w:vertAlign w:val="baseline"/>
        </w:rPr>
        <w:drawing>
          <wp:inline distT="0" distB="0" distL="0" distR="0">
            <wp:extent cx="107988" cy="107988"/>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34"/>
        <w:rPr>
          <w:sz w:val="24"/>
        </w:rPr>
      </w:pPr>
    </w:p>
    <w:p>
      <w:pPr>
        <w:spacing w:before="0"/>
        <w:ind w:left="165" w:right="0" w:firstLine="0"/>
        <w:jc w:val="left"/>
        <w:rPr>
          <w:rFonts w:ascii="Arial"/>
          <w:b/>
          <w:sz w:val="24"/>
        </w:rPr>
      </w:pPr>
      <w:r>
        <w:rPr>
          <w:rFonts w:ascii="Arial"/>
          <w:b/>
          <w:sz w:val="24"/>
        </w:rPr>
        <w:t>1-</w:t>
      </w:r>
      <w:r>
        <w:rPr>
          <w:rFonts w:ascii="Arial"/>
          <w:b/>
          <w:spacing w:val="-4"/>
          <w:sz w:val="24"/>
        </w:rPr>
        <w:t>054A</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Most recently, in </w:t>
      </w:r>
      <w:r>
        <w:rPr>
          <w:rFonts w:ascii="Arial"/>
          <w:i/>
        </w:rPr>
        <w:t>Braganza v BP Shipping Ltd </w:t>
      </w:r>
      <w:r>
        <w:rPr/>
        <w:t>an employer had a power under the contract </w:t>
      </w:r>
      <w:r>
        <w:rPr/>
        <w:t>of employment to determine the facts surrounding the death of its employee while serving on its vessel </w:t>
      </w:r>
      <w:bookmarkStart w:name="_bookmark769" w:id="771"/>
      <w:bookmarkEnd w:id="771"/>
      <w:r>
        <w:rPr/>
        <w:t>at</w:t>
      </w:r>
      <w:r>
        <w:rPr>
          <w:spacing w:val="80"/>
        </w:rPr>
        <w:t> </w:t>
      </w:r>
      <w:r>
        <w:rPr/>
        <w:t>sea;</w:t>
      </w:r>
      <w:r>
        <w:rPr>
          <w:spacing w:val="80"/>
        </w:rPr>
        <w:t> </w:t>
      </w:r>
      <w:r>
        <w:rPr/>
        <w:t>the</w:t>
      </w:r>
      <w:r>
        <w:rPr>
          <w:spacing w:val="80"/>
        </w:rPr>
        <w:t> </w:t>
      </w:r>
      <w:r>
        <w:rPr/>
        <w:t>employer</w:t>
      </w:r>
      <w:r>
        <w:rPr>
          <w:spacing w:val="80"/>
        </w:rPr>
        <w:t> </w:t>
      </w:r>
      <w:r>
        <w:rPr/>
        <w:t>had</w:t>
      </w:r>
      <w:r>
        <w:rPr>
          <w:spacing w:val="80"/>
        </w:rPr>
        <w:t> </w:t>
      </w:r>
      <w:r>
        <w:rPr/>
        <w:t>decided</w:t>
      </w:r>
      <w:r>
        <w:rPr>
          <w:spacing w:val="80"/>
        </w:rPr>
        <w:t> </w:t>
      </w:r>
      <w:r>
        <w:rPr/>
        <w:t>that</w:t>
      </w:r>
      <w:r>
        <w:rPr>
          <w:spacing w:val="80"/>
        </w:rPr>
        <w:t> </w:t>
      </w:r>
      <w:r>
        <w:rPr/>
        <w:t>he</w:t>
      </w:r>
      <w:r>
        <w:rPr>
          <w:spacing w:val="80"/>
        </w:rPr>
        <w:t> </w:t>
      </w:r>
      <w:r>
        <w:rPr/>
        <w:t>had</w:t>
      </w:r>
      <w:r>
        <w:rPr>
          <w:spacing w:val="80"/>
        </w:rPr>
        <w:t> </w:t>
      </w:r>
      <w:r>
        <w:rPr/>
        <w:t>committed</w:t>
      </w:r>
      <w:r>
        <w:rPr>
          <w:spacing w:val="80"/>
        </w:rPr>
        <w:t> </w:t>
      </w:r>
      <w:r>
        <w:rPr/>
        <w:t>suicide,</w:t>
      </w:r>
      <w:r>
        <w:rPr>
          <w:spacing w:val="80"/>
        </w:rPr>
        <w:t> </w:t>
      </w:r>
      <w:r>
        <w:rPr/>
        <w:t>with</w:t>
      </w:r>
      <w:r>
        <w:rPr>
          <w:spacing w:val="80"/>
        </w:rPr>
        <w:t> </w:t>
      </w:r>
      <w:r>
        <w:rPr/>
        <w:t>the</w:t>
      </w:r>
      <w:r>
        <w:rPr>
          <w:spacing w:val="80"/>
        </w:rPr>
        <w:t> </w:t>
      </w:r>
      <w:r>
        <w:rPr/>
        <w:t>result</w:t>
      </w:r>
      <w:r>
        <w:rPr>
          <w:spacing w:val="80"/>
        </w:rPr>
        <w:t> </w:t>
      </w:r>
      <w:r>
        <w:rPr/>
        <w:t>that</w:t>
      </w:r>
      <w:r>
        <w:rPr>
          <w:spacing w:val="80"/>
        </w:rPr>
        <w:t> </w:t>
      </w:r>
      <w:r>
        <w:rPr/>
        <w:t>no death-in-service payments were payable to his widow under the contract. </w:t>
      </w:r>
      <w:r>
        <w:rPr>
          <w:color w:val="005DA1"/>
          <w:u w:val="single" w:color="005DA1"/>
          <w:vertAlign w:val="superscript"/>
        </w:rPr>
        <w:t>489</w:t>
      </w:r>
      <w:r>
        <w:rPr>
          <w:color w:val="005DA1"/>
          <w:vertAlign w:val="baseline"/>
        </w:rPr>
        <w:t> </w:t>
      </w:r>
      <w:r>
        <w:rPr>
          <w:vertAlign w:val="baseline"/>
        </w:rPr>
        <w:t>The Supreme Court was agreed on the principles applicable. According to Lady Hale D.P.S.C.:</w:t>
      </w:r>
    </w:p>
    <w:p>
      <w:pPr>
        <w:pStyle w:val="BodyText"/>
      </w:pPr>
    </w:p>
    <w:p>
      <w:pPr>
        <w:pStyle w:val="BodyText"/>
        <w:spacing w:before="125"/>
      </w:pPr>
    </w:p>
    <w:p>
      <w:pPr>
        <w:pStyle w:val="BodyText"/>
        <w:spacing w:line="235" w:lineRule="auto"/>
        <w:ind w:left="1545" w:right="167"/>
        <w:jc w:val="both"/>
      </w:pPr>
      <w:r>
        <w:rPr/>
        <w:t>“Contractual terms in which one party to the contract is given the power to exercise a discretion, or to form an opinion as to relevant facts, are extremely common. It is </w:t>
      </w:r>
      <w:r>
        <w:rPr/>
        <w:t>not for</w:t>
      </w:r>
      <w:r>
        <w:rPr>
          <w:spacing w:val="-1"/>
        </w:rPr>
        <w:t> </w:t>
      </w:r>
      <w:r>
        <w:rPr/>
        <w:t>the</w:t>
      </w:r>
      <w:r>
        <w:rPr>
          <w:spacing w:val="-1"/>
        </w:rPr>
        <w:t> </w:t>
      </w:r>
      <w:r>
        <w:rPr/>
        <w:t>courts</w:t>
      </w:r>
      <w:r>
        <w:rPr>
          <w:spacing w:val="-1"/>
        </w:rPr>
        <w:t> </w:t>
      </w:r>
      <w:r>
        <w:rPr/>
        <w:t>to</w:t>
      </w:r>
      <w:r>
        <w:rPr>
          <w:spacing w:val="-1"/>
        </w:rPr>
        <w:t> </w:t>
      </w:r>
      <w:r>
        <w:rPr/>
        <w:t>rewrite</w:t>
      </w:r>
      <w:r>
        <w:rPr>
          <w:spacing w:val="-1"/>
        </w:rPr>
        <w:t> </w:t>
      </w:r>
      <w:r>
        <w:rPr/>
        <w:t>the</w:t>
      </w:r>
      <w:r>
        <w:rPr>
          <w:spacing w:val="-1"/>
        </w:rPr>
        <w:t> </w:t>
      </w:r>
      <w:r>
        <w:rPr/>
        <w:t>parties’</w:t>
      </w:r>
      <w:r>
        <w:rPr>
          <w:spacing w:val="-1"/>
        </w:rPr>
        <w:t> </w:t>
      </w:r>
      <w:r>
        <w:rPr/>
        <w:t>bargain</w:t>
      </w:r>
      <w:r>
        <w:rPr>
          <w:spacing w:val="-1"/>
        </w:rPr>
        <w:t> </w:t>
      </w:r>
      <w:r>
        <w:rPr/>
        <w:t>for</w:t>
      </w:r>
      <w:r>
        <w:rPr>
          <w:spacing w:val="-1"/>
        </w:rPr>
        <w:t> </w:t>
      </w:r>
      <w:r>
        <w:rPr/>
        <w:t>them,</w:t>
      </w:r>
      <w:r>
        <w:rPr>
          <w:spacing w:val="-1"/>
        </w:rPr>
        <w:t> </w:t>
      </w:r>
      <w:r>
        <w:rPr/>
        <w:t>still</w:t>
      </w:r>
      <w:r>
        <w:rPr>
          <w:spacing w:val="-1"/>
        </w:rPr>
        <w:t> </w:t>
      </w:r>
      <w:r>
        <w:rPr/>
        <w:t>less</w:t>
      </w:r>
      <w:r>
        <w:rPr>
          <w:spacing w:val="-1"/>
        </w:rPr>
        <w:t> </w:t>
      </w:r>
      <w:r>
        <w:rPr/>
        <w:t>to</w:t>
      </w:r>
      <w:r>
        <w:rPr>
          <w:spacing w:val="-1"/>
        </w:rPr>
        <w:t> </w:t>
      </w:r>
      <w:r>
        <w:rPr/>
        <w:t>substitute</w:t>
      </w:r>
      <w:r>
        <w:rPr>
          <w:spacing w:val="-1"/>
        </w:rPr>
        <w:t> </w:t>
      </w:r>
      <w:r>
        <w:rPr/>
        <w:t>themselves for the contractually agreed decision-maker. Nevertheless, the party who is charged with</w:t>
      </w:r>
      <w:r>
        <w:rPr>
          <w:spacing w:val="-2"/>
        </w:rPr>
        <w:t> </w:t>
      </w:r>
      <w:r>
        <w:rPr/>
        <w:t>making</w:t>
      </w:r>
      <w:r>
        <w:rPr>
          <w:spacing w:val="-2"/>
        </w:rPr>
        <w:t> </w:t>
      </w:r>
      <w:r>
        <w:rPr/>
        <w:t>decisions</w:t>
      </w:r>
      <w:r>
        <w:rPr>
          <w:spacing w:val="-2"/>
        </w:rPr>
        <w:t> </w:t>
      </w:r>
      <w:r>
        <w:rPr/>
        <w:t>which</w:t>
      </w:r>
      <w:r>
        <w:rPr>
          <w:spacing w:val="-2"/>
        </w:rPr>
        <w:t> </w:t>
      </w:r>
      <w:r>
        <w:rPr/>
        <w:t>affect</w:t>
      </w:r>
      <w:r>
        <w:rPr>
          <w:spacing w:val="-2"/>
        </w:rPr>
        <w:t> </w:t>
      </w:r>
      <w:r>
        <w:rPr/>
        <w:t>the</w:t>
      </w:r>
      <w:r>
        <w:rPr>
          <w:spacing w:val="-2"/>
        </w:rPr>
        <w:t> </w:t>
      </w:r>
      <w:r>
        <w:rPr/>
        <w:t>rights</w:t>
      </w:r>
      <w:r>
        <w:rPr>
          <w:spacing w:val="-2"/>
        </w:rPr>
        <w:t> </w:t>
      </w:r>
      <w:r>
        <w:rPr/>
        <w:t>of</w:t>
      </w:r>
      <w:r>
        <w:rPr>
          <w:spacing w:val="-2"/>
        </w:rPr>
        <w:t> </w:t>
      </w:r>
      <w:r>
        <w:rPr/>
        <w:t>both</w:t>
      </w:r>
      <w:r>
        <w:rPr>
          <w:spacing w:val="-2"/>
        </w:rPr>
        <w:t> </w:t>
      </w:r>
      <w:r>
        <w:rPr/>
        <w:t>parties</w:t>
      </w:r>
      <w:r>
        <w:rPr>
          <w:spacing w:val="-2"/>
        </w:rPr>
        <w:t> </w:t>
      </w:r>
      <w:r>
        <w:rPr/>
        <w:t>to</w:t>
      </w:r>
      <w:r>
        <w:rPr>
          <w:spacing w:val="-2"/>
        </w:rPr>
        <w:t> </w:t>
      </w:r>
      <w:r>
        <w:rPr/>
        <w:t>the</w:t>
      </w:r>
      <w:r>
        <w:rPr>
          <w:spacing w:val="-2"/>
        </w:rPr>
        <w:t> </w:t>
      </w:r>
      <w:r>
        <w:rPr/>
        <w:t>contract</w:t>
      </w:r>
      <w:r>
        <w:rPr>
          <w:spacing w:val="-2"/>
        </w:rPr>
        <w:t> </w:t>
      </w:r>
      <w:r>
        <w:rPr/>
        <w:t>has</w:t>
      </w:r>
      <w:r>
        <w:rPr>
          <w:spacing w:val="-2"/>
        </w:rPr>
        <w:t> </w:t>
      </w:r>
      <w:r>
        <w:rPr/>
        <w:t>a</w:t>
      </w:r>
      <w:r>
        <w:rPr>
          <w:spacing w:val="-2"/>
        </w:rPr>
        <w:t> </w:t>
      </w:r>
      <w:r>
        <w:rPr/>
        <w:t>clear conflict</w:t>
      </w:r>
      <w:r>
        <w:rPr>
          <w:spacing w:val="-1"/>
        </w:rPr>
        <w:t> </w:t>
      </w:r>
      <w:r>
        <w:rPr/>
        <w:t>of</w:t>
      </w:r>
      <w:r>
        <w:rPr>
          <w:spacing w:val="-1"/>
        </w:rPr>
        <w:t> </w:t>
      </w:r>
      <w:r>
        <w:rPr/>
        <w:t>interest.</w:t>
      </w:r>
      <w:r>
        <w:rPr>
          <w:spacing w:val="-1"/>
        </w:rPr>
        <w:t> </w:t>
      </w:r>
      <w:r>
        <w:rPr/>
        <w:t>That</w:t>
      </w:r>
      <w:r>
        <w:rPr>
          <w:spacing w:val="-1"/>
        </w:rPr>
        <w:t> </w:t>
      </w:r>
      <w:r>
        <w:rPr/>
        <w:t>conflict</w:t>
      </w:r>
      <w:r>
        <w:rPr>
          <w:spacing w:val="-1"/>
        </w:rPr>
        <w:t> </w:t>
      </w:r>
      <w:r>
        <w:rPr/>
        <w:t>is</w:t>
      </w:r>
      <w:r>
        <w:rPr>
          <w:spacing w:val="-1"/>
        </w:rPr>
        <w:t> </w:t>
      </w:r>
      <w:r>
        <w:rPr/>
        <w:t>heightened</w:t>
      </w:r>
      <w:r>
        <w:rPr>
          <w:spacing w:val="-1"/>
        </w:rPr>
        <w:t> </w:t>
      </w:r>
      <w:r>
        <w:rPr/>
        <w:t>where</w:t>
      </w:r>
      <w:r>
        <w:rPr>
          <w:spacing w:val="-1"/>
        </w:rPr>
        <w:t> </w:t>
      </w:r>
      <w:r>
        <w:rPr/>
        <w:t>there</w:t>
      </w:r>
      <w:r>
        <w:rPr>
          <w:spacing w:val="-1"/>
        </w:rPr>
        <w:t> </w:t>
      </w:r>
      <w:r>
        <w:rPr/>
        <w:t>is</w:t>
      </w:r>
      <w:r>
        <w:rPr>
          <w:spacing w:val="-1"/>
        </w:rPr>
        <w:t> </w:t>
      </w:r>
      <w:r>
        <w:rPr/>
        <w:t>a</w:t>
      </w:r>
      <w:r>
        <w:rPr>
          <w:spacing w:val="-1"/>
        </w:rPr>
        <w:t> </w:t>
      </w:r>
      <w:r>
        <w:rPr/>
        <w:t>significant</w:t>
      </w:r>
      <w:r>
        <w:rPr>
          <w:spacing w:val="-1"/>
        </w:rPr>
        <w:t> </w:t>
      </w:r>
      <w:r>
        <w:rPr/>
        <w:t>imbalance</w:t>
      </w:r>
      <w:r>
        <w:rPr>
          <w:spacing w:val="-1"/>
        </w:rPr>
        <w:t> </w:t>
      </w:r>
      <w:r>
        <w:rPr/>
        <w:t>of power between the contracting parties as there often will be in an employment contract.</w:t>
      </w:r>
      <w:r>
        <w:rPr>
          <w:spacing w:val="-1"/>
        </w:rPr>
        <w:t> </w:t>
      </w:r>
      <w:r>
        <w:rPr/>
        <w:t>The</w:t>
      </w:r>
      <w:r>
        <w:rPr>
          <w:spacing w:val="-1"/>
        </w:rPr>
        <w:t> </w:t>
      </w:r>
      <w:r>
        <w:rPr/>
        <w:t>courts</w:t>
      </w:r>
      <w:r>
        <w:rPr>
          <w:spacing w:val="-1"/>
        </w:rPr>
        <w:t> </w:t>
      </w:r>
      <w:r>
        <w:rPr/>
        <w:t>have</w:t>
      </w:r>
      <w:r>
        <w:rPr>
          <w:spacing w:val="-1"/>
        </w:rPr>
        <w:t> </w:t>
      </w:r>
      <w:r>
        <w:rPr/>
        <w:t>therefore</w:t>
      </w:r>
      <w:r>
        <w:rPr>
          <w:spacing w:val="-1"/>
        </w:rPr>
        <w:t> </w:t>
      </w:r>
      <w:r>
        <w:rPr/>
        <w:t>sought</w:t>
      </w:r>
      <w:r>
        <w:rPr>
          <w:spacing w:val="-1"/>
        </w:rPr>
        <w:t> </w:t>
      </w:r>
      <w:r>
        <w:rPr/>
        <w:t>to</w:t>
      </w:r>
      <w:r>
        <w:rPr>
          <w:spacing w:val="-1"/>
        </w:rPr>
        <w:t> </w:t>
      </w:r>
      <w:r>
        <w:rPr/>
        <w:t>ensure</w:t>
      </w:r>
      <w:r>
        <w:rPr>
          <w:spacing w:val="-1"/>
        </w:rPr>
        <w:t> </w:t>
      </w:r>
      <w:r>
        <w:rPr/>
        <w:t>that</w:t>
      </w:r>
      <w:r>
        <w:rPr>
          <w:spacing w:val="-1"/>
        </w:rPr>
        <w:t> </w:t>
      </w:r>
      <w:r>
        <w:rPr/>
        <w:t>such</w:t>
      </w:r>
      <w:r>
        <w:rPr>
          <w:spacing w:val="-1"/>
        </w:rPr>
        <w:t> </w:t>
      </w:r>
      <w:r>
        <w:rPr/>
        <w:t>contractual</w:t>
      </w:r>
      <w:r>
        <w:rPr>
          <w:spacing w:val="-1"/>
        </w:rPr>
        <w:t> </w:t>
      </w:r>
      <w:r>
        <w:rPr/>
        <w:t>powers</w:t>
      </w:r>
      <w:r>
        <w:rPr>
          <w:spacing w:val="-1"/>
        </w:rPr>
        <w:t> </w:t>
      </w:r>
      <w:r>
        <w:rPr/>
        <w:t>are not abused. They have done so by implying a term as to the manner in which such </w:t>
      </w:r>
      <w:bookmarkStart w:name="_bookmark770" w:id="772"/>
      <w:bookmarkEnd w:id="772"/>
      <w:r>
        <w:rPr/>
        <w:t>powers</w:t>
      </w:r>
      <w:r>
        <w:rPr/>
        <w:t> may be exercised, a term which may vary according to the terms of the contract and the context in which the decision-making power is given.” </w:t>
      </w:r>
      <w:r>
        <w:rPr>
          <w:color w:val="005DA1"/>
          <w:u w:val="single" w:color="005DA1"/>
          <w:vertAlign w:val="superscript"/>
        </w:rPr>
        <w:t>490</w:t>
      </w:r>
    </w:p>
    <w:p>
      <w:pPr>
        <w:pStyle w:val="BodyText"/>
        <w:spacing w:before="112"/>
      </w:pPr>
    </w:p>
    <w:p>
      <w:pPr>
        <w:pStyle w:val="BodyText"/>
        <w:spacing w:line="235" w:lineRule="auto" w:before="1"/>
        <w:ind w:left="164" w:right="167"/>
        <w:jc w:val="both"/>
      </w:pPr>
      <w:bookmarkStart w:name="_bookmark771" w:id="773"/>
      <w:bookmarkEnd w:id="773"/>
      <w:r>
        <w:rPr/>
      </w:r>
      <w:r>
        <w:rPr/>
        <w:t>In this respect, the Supreme Court approved Rix L.J.’s view of the authorities in </w:t>
      </w:r>
      <w:r>
        <w:rPr>
          <w:rFonts w:ascii="Arial" w:hAnsi="Arial"/>
          <w:i/>
        </w:rPr>
        <w:t>Socimer International </w:t>
      </w:r>
      <w:bookmarkStart w:name="_bookmark772" w:id="774"/>
      <w:bookmarkEnd w:id="774"/>
      <w:r>
        <w:rPr>
          <w:rFonts w:ascii="Arial" w:hAnsi="Arial"/>
          <w:i/>
        </w:rPr>
        <w:t>Bank</w:t>
      </w:r>
      <w:r>
        <w:rPr>
          <w:rFonts w:ascii="Arial" w:hAnsi="Arial"/>
          <w:i/>
        </w:rPr>
        <w:t> Ltd </w:t>
      </w:r>
      <w:r>
        <w:rPr>
          <w:color w:val="005DA1"/>
          <w:u w:val="single" w:color="005DA1"/>
          <w:vertAlign w:val="superscript"/>
        </w:rPr>
        <w:t>491</w:t>
      </w:r>
      <w:r>
        <w:rPr>
          <w:color w:val="005DA1"/>
          <w:vertAlign w:val="baseline"/>
        </w:rPr>
        <w:t> </w:t>
      </w:r>
      <w:r>
        <w:rPr>
          <w:vertAlign w:val="baseline"/>
        </w:rPr>
        <w:t>and accepted the parallel earlier drawn with the control of decision-making by public bodies under a statutory or prerogative power, </w:t>
      </w:r>
      <w:r>
        <w:rPr>
          <w:color w:val="005DA1"/>
          <w:u w:val="single" w:color="005DA1"/>
          <w:vertAlign w:val="superscript"/>
        </w:rPr>
        <w:t>492</w:t>
      </w:r>
      <w:r>
        <w:rPr>
          <w:color w:val="005DA1"/>
          <w:vertAlign w:val="baseline"/>
        </w:rPr>
        <w:t> </w:t>
      </w:r>
      <w:r>
        <w:rPr>
          <w:vertAlign w:val="baseline"/>
        </w:rPr>
        <w:t>while noting the “understandable reluctance” of the </w:t>
      </w:r>
      <w:bookmarkStart w:name="_bookmark773" w:id="775"/>
      <w:bookmarkEnd w:id="775"/>
      <w:r>
        <w:rPr>
          <w:vertAlign w:val="baseline"/>
        </w:rPr>
        <w:t>courts</w:t>
      </w:r>
      <w:r>
        <w:rPr>
          <w:vertAlign w:val="baseline"/>
        </w:rPr>
        <w:t> to adopt the “fully developed rigour of the principles of judicial review of administrative action in a contractual context” and their difficulty in articulating the difference. </w:t>
      </w:r>
      <w:r>
        <w:rPr>
          <w:color w:val="005DA1"/>
          <w:u w:val="single" w:color="005DA1"/>
          <w:vertAlign w:val="superscript"/>
        </w:rPr>
        <w:t>493</w:t>
      </w:r>
      <w:r>
        <w:rPr>
          <w:color w:val="005DA1"/>
          <w:vertAlign w:val="baseline"/>
        </w:rPr>
        <w:t> </w:t>
      </w:r>
      <w:r>
        <w:rPr>
          <w:vertAlign w:val="baseline"/>
        </w:rPr>
        <w:t>In this particular context the Supreme Court held that the contractual power in the employer to decide the facts surrounding the employee’s death was subject to an implied term that “the decision-making process be lawful and </w:t>
      </w:r>
      <w:bookmarkStart w:name="_bookmark774" w:id="776"/>
      <w:bookmarkEnd w:id="776"/>
      <w:r>
        <w:rPr>
          <w:vertAlign w:val="baseline"/>
        </w:rPr>
        <w:t>rational</w:t>
      </w:r>
      <w:r>
        <w:rPr>
          <w:vertAlign w:val="baseline"/>
        </w:rPr>
        <w:t> in the public law sense, that the decision is made rationally (as well as in good faith) and consistently with its contractual purpose”. </w:t>
      </w:r>
      <w:r>
        <w:rPr>
          <w:color w:val="005DA1"/>
          <w:u w:val="single" w:color="005DA1"/>
          <w:vertAlign w:val="superscript"/>
        </w:rPr>
        <w:t>494</w:t>
      </w:r>
      <w:r>
        <w:rPr>
          <w:color w:val="005DA1"/>
          <w:vertAlign w:val="baseline"/>
        </w:rPr>
        <w:t> </w:t>
      </w:r>
      <w:r>
        <w:rPr>
          <w:vertAlign w:val="baseline"/>
        </w:rPr>
        <w:t>This meant that “both limbs of the </w:t>
      </w:r>
      <w:r>
        <w:rPr>
          <w:rFonts w:ascii="Arial" w:hAnsi="Arial"/>
          <w:i/>
          <w:vertAlign w:val="baseline"/>
        </w:rPr>
        <w:t>Wednesbury </w:t>
      </w:r>
      <w:bookmarkStart w:name="_bookmark775" w:id="777"/>
      <w:bookmarkEnd w:id="777"/>
      <w:r>
        <w:rPr>
          <w:rFonts w:ascii="Arial" w:hAnsi="Arial"/>
          <w:i/>
          <w:vertAlign w:val="baseline"/>
        </w:rPr>
      </w:r>
      <w:r>
        <w:rPr>
          <w:vertAlign w:val="baseline"/>
        </w:rPr>
        <w:t>formulation in the rationality test” applied, i.e. imposing requirements both as to the decision-</w:t>
      </w:r>
      <w:r>
        <w:rPr>
          <w:vertAlign w:val="baseline"/>
        </w:rPr>
        <w:t>making process (considerations properly to be taken into account and ones not to be taken into account) </w:t>
      </w:r>
      <w:r>
        <w:rPr>
          <w:color w:val="005DA1"/>
          <w:u w:val="single" w:color="005DA1"/>
          <w:vertAlign w:val="superscript"/>
        </w:rPr>
        <w:t>495</w:t>
      </w:r>
      <w:r>
        <w:rPr>
          <w:color w:val="005DA1"/>
          <w:vertAlign w:val="baseline"/>
        </w:rPr>
        <w:t> </w:t>
      </w:r>
      <w:bookmarkStart w:name="_bookmark776" w:id="778"/>
      <w:bookmarkEnd w:id="778"/>
      <w:r>
        <w:rPr>
          <w:color w:val="005DA1"/>
          <w:w w:val="92"/>
          <w:vertAlign w:val="baseline"/>
        </w:rPr>
      </w:r>
      <w:r>
        <w:rPr>
          <w:vertAlign w:val="baseline"/>
        </w:rPr>
        <w:t>and</w:t>
      </w:r>
      <w:r>
        <w:rPr>
          <w:spacing w:val="11"/>
          <w:vertAlign w:val="baseline"/>
        </w:rPr>
        <w:t> </w:t>
      </w:r>
      <w:r>
        <w:rPr>
          <w:vertAlign w:val="baseline"/>
        </w:rPr>
        <w:t>as</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outcome</w:t>
      </w:r>
      <w:r>
        <w:rPr>
          <w:spacing w:val="11"/>
          <w:vertAlign w:val="baseline"/>
        </w:rPr>
        <w:t> </w:t>
      </w:r>
      <w:r>
        <w:rPr>
          <w:vertAlign w:val="baseline"/>
        </w:rPr>
        <w:t>(the</w:t>
      </w:r>
      <w:r>
        <w:rPr>
          <w:spacing w:val="11"/>
          <w:vertAlign w:val="baseline"/>
        </w:rPr>
        <w:t> </w:t>
      </w:r>
      <w:r>
        <w:rPr>
          <w:vertAlign w:val="baseline"/>
        </w:rPr>
        <w:t>result</w:t>
      </w:r>
      <w:r>
        <w:rPr>
          <w:spacing w:val="11"/>
          <w:vertAlign w:val="baseline"/>
        </w:rPr>
        <w:t> </w:t>
      </w:r>
      <w:r>
        <w:rPr>
          <w:vertAlign w:val="baseline"/>
        </w:rPr>
        <w:t>not</w:t>
      </w:r>
      <w:r>
        <w:rPr>
          <w:spacing w:val="11"/>
          <w:vertAlign w:val="baseline"/>
        </w:rPr>
        <w:t> </w:t>
      </w:r>
      <w:r>
        <w:rPr>
          <w:vertAlign w:val="baseline"/>
        </w:rPr>
        <w:t>being</w:t>
      </w:r>
      <w:r>
        <w:rPr>
          <w:spacing w:val="11"/>
          <w:vertAlign w:val="baseline"/>
        </w:rPr>
        <w:t> </w:t>
      </w:r>
      <w:r>
        <w:rPr>
          <w:vertAlign w:val="baseline"/>
        </w:rPr>
        <w:t>“so</w:t>
      </w:r>
      <w:r>
        <w:rPr>
          <w:spacing w:val="11"/>
          <w:vertAlign w:val="baseline"/>
        </w:rPr>
        <w:t> </w:t>
      </w:r>
      <w:r>
        <w:rPr>
          <w:vertAlign w:val="baseline"/>
        </w:rPr>
        <w:t>outrageous</w:t>
      </w:r>
      <w:r>
        <w:rPr>
          <w:spacing w:val="11"/>
          <w:vertAlign w:val="baseline"/>
        </w:rPr>
        <w:t> </w:t>
      </w:r>
      <w:r>
        <w:rPr>
          <w:vertAlign w:val="baseline"/>
        </w:rPr>
        <w:t>that</w:t>
      </w:r>
      <w:r>
        <w:rPr>
          <w:spacing w:val="11"/>
          <w:vertAlign w:val="baseline"/>
        </w:rPr>
        <w:t> </w:t>
      </w:r>
      <w:r>
        <w:rPr>
          <w:vertAlign w:val="baseline"/>
        </w:rPr>
        <w:t>no</w:t>
      </w:r>
      <w:r>
        <w:rPr>
          <w:spacing w:val="11"/>
          <w:vertAlign w:val="baseline"/>
        </w:rPr>
        <w:t> </w:t>
      </w:r>
      <w:r>
        <w:rPr>
          <w:vertAlign w:val="baseline"/>
        </w:rPr>
        <w:t>reasonable</w:t>
      </w:r>
      <w:r>
        <w:rPr>
          <w:spacing w:val="11"/>
          <w:vertAlign w:val="baseline"/>
        </w:rPr>
        <w:t> </w:t>
      </w:r>
      <w:r>
        <w:rPr>
          <w:vertAlign w:val="baseline"/>
        </w:rPr>
        <w:t>decision-maker</w:t>
      </w:r>
      <w:r>
        <w:rPr>
          <w:spacing w:val="11"/>
          <w:vertAlign w:val="baseline"/>
        </w:rPr>
        <w:t> </w:t>
      </w:r>
      <w:r>
        <w:rPr>
          <w:spacing w:val="-2"/>
          <w:vertAlign w:val="baseline"/>
        </w:rPr>
        <w:t>could</w:t>
      </w:r>
    </w:p>
    <w:p>
      <w:pPr>
        <w:pStyle w:val="BodyText"/>
        <w:spacing w:line="235" w:lineRule="auto" w:before="115"/>
        <w:ind w:left="164" w:right="167"/>
        <w:jc w:val="both"/>
      </w:pPr>
      <w:r>
        <w:rPr/>
        <w:t>have reached it”). </w:t>
      </w:r>
      <w:r>
        <w:rPr>
          <w:color w:val="005DA1"/>
          <w:u w:val="single" w:color="005DA1"/>
          <w:vertAlign w:val="superscript"/>
        </w:rPr>
        <w:t>496</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10"/>
          <w:vertAlign w:val="baseline"/>
        </w:rPr>
        <w:t> </w:t>
      </w:r>
      <w:r>
        <w:rPr>
          <w:vertAlign w:val="baseline"/>
        </w:rPr>
        <w:t>In the case before them, the majority of the Supreme Court held that the employer</w:t>
      </w:r>
      <w:r>
        <w:rPr>
          <w:spacing w:val="9"/>
          <w:vertAlign w:val="baseline"/>
        </w:rPr>
        <w:t> </w:t>
      </w:r>
      <w:r>
        <w:rPr>
          <w:vertAlign w:val="baseline"/>
        </w:rPr>
        <w:t>should</w:t>
      </w:r>
      <w:r>
        <w:rPr>
          <w:spacing w:val="11"/>
          <w:vertAlign w:val="baseline"/>
        </w:rPr>
        <w:t> </w:t>
      </w:r>
      <w:r>
        <w:rPr>
          <w:vertAlign w:val="baseline"/>
        </w:rPr>
        <w:t>not</w:t>
      </w:r>
      <w:r>
        <w:rPr>
          <w:spacing w:val="11"/>
          <w:vertAlign w:val="baseline"/>
        </w:rPr>
        <w:t> </w:t>
      </w:r>
      <w:r>
        <w:rPr>
          <w:vertAlign w:val="baseline"/>
        </w:rPr>
        <w:t>simply</w:t>
      </w:r>
      <w:r>
        <w:rPr>
          <w:spacing w:val="11"/>
          <w:vertAlign w:val="baseline"/>
        </w:rPr>
        <w:t> </w:t>
      </w:r>
      <w:r>
        <w:rPr>
          <w:vertAlign w:val="baseline"/>
        </w:rPr>
        <w:t>have</w:t>
      </w:r>
      <w:r>
        <w:rPr>
          <w:spacing w:val="11"/>
          <w:vertAlign w:val="baseline"/>
        </w:rPr>
        <w:t> </w:t>
      </w:r>
      <w:r>
        <w:rPr>
          <w:vertAlign w:val="baseline"/>
        </w:rPr>
        <w:t>accepted</w:t>
      </w:r>
      <w:r>
        <w:rPr>
          <w:spacing w:val="11"/>
          <w:vertAlign w:val="baseline"/>
        </w:rPr>
        <w:t> </w:t>
      </w:r>
      <w:r>
        <w:rPr>
          <w:vertAlign w:val="baseline"/>
        </w:rPr>
        <w:t>the</w:t>
      </w:r>
      <w:r>
        <w:rPr>
          <w:spacing w:val="11"/>
          <w:vertAlign w:val="baseline"/>
        </w:rPr>
        <w:t> </w:t>
      </w:r>
      <w:r>
        <w:rPr>
          <w:vertAlign w:val="baseline"/>
        </w:rPr>
        <w:t>conclusion</w:t>
      </w:r>
      <w:r>
        <w:rPr>
          <w:spacing w:val="11"/>
          <w:vertAlign w:val="baseline"/>
        </w:rPr>
        <w:t> </w:t>
      </w:r>
      <w:r>
        <w:rPr>
          <w:vertAlign w:val="baseline"/>
        </w:rPr>
        <w:t>of</w:t>
      </w:r>
      <w:r>
        <w:rPr>
          <w:spacing w:val="11"/>
          <w:vertAlign w:val="baseline"/>
        </w:rPr>
        <w:t> </w:t>
      </w:r>
      <w:r>
        <w:rPr>
          <w:vertAlign w:val="baseline"/>
        </w:rPr>
        <w:t>its</w:t>
      </w:r>
      <w:r>
        <w:rPr>
          <w:spacing w:val="11"/>
          <w:vertAlign w:val="baseline"/>
        </w:rPr>
        <w:t> </w:t>
      </w:r>
      <w:r>
        <w:rPr>
          <w:vertAlign w:val="baseline"/>
        </w:rPr>
        <w:t>investigators’</w:t>
      </w:r>
      <w:r>
        <w:rPr>
          <w:spacing w:val="11"/>
          <w:vertAlign w:val="baseline"/>
        </w:rPr>
        <w:t> </w:t>
      </w:r>
      <w:r>
        <w:rPr>
          <w:vertAlign w:val="baseline"/>
        </w:rPr>
        <w:t>report</w:t>
      </w:r>
      <w:r>
        <w:rPr>
          <w:spacing w:val="11"/>
          <w:vertAlign w:val="baseline"/>
        </w:rPr>
        <w:t> </w:t>
      </w:r>
      <w:r>
        <w:rPr>
          <w:vertAlign w:val="baseline"/>
        </w:rPr>
        <w:t>(whose</w:t>
      </w:r>
      <w:r>
        <w:rPr>
          <w:spacing w:val="11"/>
          <w:vertAlign w:val="baseline"/>
        </w:rPr>
        <w:t> </w:t>
      </w:r>
      <w:r>
        <w:rPr>
          <w:spacing w:val="-2"/>
          <w:vertAlign w:val="baseline"/>
        </w:rPr>
        <w:t>purpose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was to determine if its systems could be improved) in deciding whether its employee had </w:t>
      </w:r>
      <w:r>
        <w:rPr/>
        <w:t>committed </w:t>
      </w:r>
      <w:bookmarkStart w:name="_bookmark777" w:id="779"/>
      <w:bookmarkEnd w:id="779"/>
      <w:r>
        <w:rPr/>
        <w:t>suicide,</w:t>
      </w:r>
      <w:r>
        <w:rPr/>
        <w:t> and had relied on insubstantial evidence and had failed to take all relevant matters into </w:t>
      </w:r>
      <w:bookmarkStart w:name="_bookmark778" w:id="780"/>
      <w:bookmarkEnd w:id="780"/>
      <w:r>
        <w:rPr/>
        <w:t>account.</w:t>
      </w:r>
      <w:r>
        <w:rPr>
          <w:spacing w:val="7"/>
        </w:rPr>
        <w:t> </w:t>
      </w:r>
      <w:r>
        <w:rPr>
          <w:color w:val="005DA1"/>
          <w:u w:val="single" w:color="005DA1"/>
          <w:vertAlign w:val="superscript"/>
        </w:rPr>
        <w:t>497</w:t>
      </w:r>
      <w:r>
        <w:rPr>
          <w:color w:val="005DA1"/>
          <w:spacing w:val="8"/>
          <w:vertAlign w:val="baseline"/>
        </w:rPr>
        <w:t> </w:t>
      </w:r>
      <w:r>
        <w:rPr>
          <w:vertAlign w:val="baseline"/>
        </w:rPr>
        <w:t>As</w:t>
      </w:r>
      <w:r>
        <w:rPr>
          <w:spacing w:val="8"/>
          <w:vertAlign w:val="baseline"/>
        </w:rPr>
        <w:t> </w:t>
      </w:r>
      <w:r>
        <w:rPr>
          <w:vertAlign w:val="baseline"/>
        </w:rPr>
        <w:t>a</w:t>
      </w:r>
      <w:r>
        <w:rPr>
          <w:spacing w:val="8"/>
          <w:vertAlign w:val="baseline"/>
        </w:rPr>
        <w:t> </w:t>
      </w:r>
      <w:r>
        <w:rPr>
          <w:vertAlign w:val="baseline"/>
        </w:rPr>
        <w:t>result,</w:t>
      </w:r>
      <w:r>
        <w:rPr>
          <w:spacing w:val="8"/>
          <w:vertAlign w:val="baseline"/>
        </w:rPr>
        <w:t> </w:t>
      </w:r>
      <w:r>
        <w:rPr>
          <w:vertAlign w:val="baseline"/>
        </w:rPr>
        <w:t>the</w:t>
      </w:r>
      <w:r>
        <w:rPr>
          <w:spacing w:val="8"/>
          <w:vertAlign w:val="baseline"/>
        </w:rPr>
        <w:t> </w:t>
      </w:r>
      <w:r>
        <w:rPr>
          <w:vertAlign w:val="baseline"/>
        </w:rPr>
        <w:t>decision</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employer</w:t>
      </w:r>
      <w:r>
        <w:rPr>
          <w:spacing w:val="8"/>
          <w:vertAlign w:val="baseline"/>
        </w:rPr>
        <w:t> </w:t>
      </w:r>
      <w:r>
        <w:rPr>
          <w:vertAlign w:val="baseline"/>
        </w:rPr>
        <w:t>could</w:t>
      </w:r>
      <w:r>
        <w:rPr>
          <w:spacing w:val="8"/>
          <w:vertAlign w:val="baseline"/>
        </w:rPr>
        <w:t> </w:t>
      </w:r>
      <w:r>
        <w:rPr>
          <w:vertAlign w:val="baseline"/>
        </w:rPr>
        <w:t>not</w:t>
      </w:r>
      <w:r>
        <w:rPr>
          <w:spacing w:val="8"/>
          <w:vertAlign w:val="baseline"/>
        </w:rPr>
        <w:t> </w:t>
      </w:r>
      <w:r>
        <w:rPr>
          <w:vertAlign w:val="baseline"/>
        </w:rPr>
        <w:t>stand</w:t>
      </w:r>
      <w:r>
        <w:rPr>
          <w:spacing w:val="8"/>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employee’s</w:t>
      </w:r>
      <w:r>
        <w:rPr>
          <w:spacing w:val="8"/>
          <w:vertAlign w:val="baseline"/>
        </w:rPr>
        <w:t> </w:t>
      </w:r>
      <w:r>
        <w:rPr>
          <w:vertAlign w:val="baseline"/>
        </w:rPr>
        <w:t>widow</w:t>
      </w:r>
      <w:r>
        <w:rPr>
          <w:spacing w:val="8"/>
          <w:vertAlign w:val="baseline"/>
        </w:rPr>
        <w:t> </w:t>
      </w:r>
      <w:r>
        <w:rPr>
          <w:spacing w:val="-5"/>
          <w:vertAlign w:val="baseline"/>
        </w:rPr>
        <w:t>was</w:t>
      </w:r>
    </w:p>
    <w:p>
      <w:pPr>
        <w:pStyle w:val="BodyText"/>
        <w:spacing w:before="115"/>
        <w:ind w:left="165"/>
        <w:jc w:val="both"/>
        <w:rPr>
          <w:position w:val="-2"/>
        </w:rPr>
      </w:pPr>
      <w:r>
        <w:rPr/>
        <w:t>entitled to the death-in-service payment. </w:t>
      </w:r>
      <w:r>
        <w:rPr>
          <w:color w:val="005DA1"/>
          <w:u w:val="single" w:color="005DA1"/>
          <w:vertAlign w:val="superscript"/>
        </w:rPr>
        <w:t>498</w:t>
      </w:r>
      <w:r>
        <w:rPr>
          <w:color w:val="005DA1"/>
          <w:spacing w:val="80"/>
          <w:w w:val="150"/>
          <w:vertAlign w:val="baseline"/>
        </w:rPr>
        <w:t> </w:t>
      </w:r>
      <w:r>
        <w:rPr>
          <w:color w:val="005DA1"/>
          <w:position w:val="-2"/>
          <w:vertAlign w:val="baseline"/>
        </w:rPr>
        <w:drawing>
          <wp:inline distT="0" distB="0" distL="0" distR="0">
            <wp:extent cx="107988" cy="107988"/>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pStyle w:val="ListParagraph"/>
        <w:numPr>
          <w:ilvl w:val="0"/>
          <w:numId w:val="5"/>
        </w:numPr>
        <w:tabs>
          <w:tab w:pos="435" w:val="left" w:leader="none"/>
        </w:tabs>
        <w:spacing w:line="240" w:lineRule="auto" w:before="0" w:after="0"/>
        <w:ind w:left="435" w:right="0" w:hanging="270"/>
        <w:jc w:val="left"/>
        <w:rPr>
          <w:b/>
          <w:sz w:val="18"/>
        </w:rPr>
      </w:pPr>
      <w:r>
        <w:rPr>
          <w:b/>
          <w:sz w:val="18"/>
        </w:rPr>
        <w:t>Reasonableness and legitimate interest in relation to remedies for </w:t>
      </w:r>
      <w:r>
        <w:rPr>
          <w:b/>
          <w:spacing w:val="-2"/>
          <w:sz w:val="18"/>
        </w:rPr>
        <w:t>breach</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055</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 number of the rules governing remedies for breach of contract take into account what </w:t>
      </w:r>
      <w:r>
        <w:rPr/>
        <w:t>is reasonable and this can leave considerable room for a court to assess the fairness or</w:t>
      </w:r>
      <w:r>
        <w:rPr>
          <w:spacing w:val="40"/>
        </w:rPr>
        <w:t> </w:t>
      </w:r>
      <w:bookmarkStart w:name="_bookmark779" w:id="781"/>
      <w:bookmarkEnd w:id="781"/>
      <w:r>
        <w:rPr/>
        <w:t>appropriateness</w:t>
      </w:r>
      <w:r>
        <w:rPr/>
        <w:t> of the remedy. This is the case notably as regards restrictions on the availability of </w:t>
      </w:r>
      <w:bookmarkStart w:name="_bookmark780" w:id="782"/>
      <w:bookmarkEnd w:id="782"/>
      <w:r>
        <w:rPr/>
        <w:t>damages</w:t>
      </w:r>
      <w:r>
        <w:rPr/>
        <w:t> based on the cost of re-instatement, </w:t>
      </w:r>
      <w:r>
        <w:rPr>
          <w:color w:val="005DA1"/>
          <w:u w:val="single" w:color="005DA1"/>
          <w:vertAlign w:val="superscript"/>
        </w:rPr>
        <w:t>499</w:t>
      </w:r>
      <w:r>
        <w:rPr>
          <w:color w:val="005DA1"/>
          <w:vertAlign w:val="baseline"/>
        </w:rPr>
        <w:t> </w:t>
      </w:r>
      <w:r>
        <w:rPr>
          <w:vertAlign w:val="baseline"/>
        </w:rPr>
        <w:t>the injured party’s duty to mitigate </w:t>
      </w:r>
      <w:r>
        <w:rPr>
          <w:color w:val="005DA1"/>
          <w:u w:val="single" w:color="005DA1"/>
          <w:vertAlign w:val="superscript"/>
        </w:rPr>
        <w:t>500</w:t>
      </w:r>
      <w:r>
        <w:rPr>
          <w:color w:val="005DA1"/>
          <w:vertAlign w:val="baseline"/>
        </w:rPr>
        <w:t> </w:t>
      </w:r>
      <w:r>
        <w:rPr>
          <w:vertAlign w:val="baseline"/>
        </w:rPr>
        <w:t>and the law of remoteness</w:t>
      </w:r>
      <w:r>
        <w:rPr>
          <w:spacing w:val="-1"/>
          <w:vertAlign w:val="baseline"/>
        </w:rPr>
        <w:t> </w:t>
      </w:r>
      <w:r>
        <w:rPr>
          <w:vertAlign w:val="baseline"/>
        </w:rPr>
        <w:t>of</w:t>
      </w:r>
      <w:r>
        <w:rPr>
          <w:spacing w:val="-1"/>
          <w:vertAlign w:val="baseline"/>
        </w:rPr>
        <w:t> </w:t>
      </w:r>
      <w:r>
        <w:rPr>
          <w:vertAlign w:val="baseline"/>
        </w:rPr>
        <w:t>damage.</w:t>
      </w:r>
      <w:r>
        <w:rPr>
          <w:spacing w:val="-1"/>
          <w:vertAlign w:val="baseline"/>
        </w:rPr>
        <w:t> </w:t>
      </w:r>
      <w:r>
        <w:rPr>
          <w:color w:val="005DA1"/>
          <w:u w:val="single" w:color="005DA1"/>
          <w:vertAlign w:val="superscript"/>
        </w:rPr>
        <w:t>501</w:t>
      </w:r>
      <w:r>
        <w:rPr>
          <w:color w:val="005DA1"/>
          <w:spacing w:val="-1"/>
          <w:vertAlign w:val="baseline"/>
        </w:rPr>
        <w:t> </w:t>
      </w:r>
      <w:r>
        <w:rPr>
          <w:vertAlign w:val="baseline"/>
        </w:rPr>
        <w:t>Furthermore,</w:t>
      </w:r>
      <w:r>
        <w:rPr>
          <w:spacing w:val="-1"/>
          <w:vertAlign w:val="baseline"/>
        </w:rPr>
        <w:t> </w:t>
      </w:r>
      <w:r>
        <w:rPr>
          <w:vertAlign w:val="baseline"/>
        </w:rPr>
        <w:t>the</w:t>
      </w:r>
      <w:r>
        <w:rPr>
          <w:spacing w:val="-1"/>
          <w:vertAlign w:val="baseline"/>
        </w:rPr>
        <w:t> </w:t>
      </w:r>
      <w:r>
        <w:rPr>
          <w:vertAlign w:val="baseline"/>
        </w:rPr>
        <w:t>ability</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injured</w:t>
      </w:r>
      <w:r>
        <w:rPr>
          <w:spacing w:val="-1"/>
          <w:vertAlign w:val="baseline"/>
        </w:rPr>
        <w:t> </w:t>
      </w:r>
      <w:r>
        <w:rPr>
          <w:vertAlign w:val="baseline"/>
        </w:rPr>
        <w:t>party</w:t>
      </w:r>
      <w:r>
        <w:rPr>
          <w:spacing w:val="-1"/>
          <w:vertAlign w:val="baseline"/>
        </w:rPr>
        <w:t> </w:t>
      </w:r>
      <w:r>
        <w:rPr>
          <w:vertAlign w:val="baseline"/>
        </w:rPr>
        <w:t>faced</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repudiatory</w:t>
      </w:r>
      <w:r>
        <w:rPr>
          <w:spacing w:val="-1"/>
          <w:vertAlign w:val="baseline"/>
        </w:rPr>
        <w:t> </w:t>
      </w:r>
      <w:r>
        <w:rPr>
          <w:vertAlign w:val="baseline"/>
        </w:rPr>
        <w:t>breach </w:t>
      </w:r>
      <w:bookmarkStart w:name="_bookmark781" w:id="783"/>
      <w:bookmarkEnd w:id="783"/>
      <w:r>
        <w:rPr>
          <w:vertAlign w:val="baseline"/>
        </w:rPr>
        <w:t>by</w:t>
      </w:r>
      <w:r>
        <w:rPr>
          <w:spacing w:val="29"/>
          <w:vertAlign w:val="baseline"/>
        </w:rPr>
        <w:t> </w:t>
      </w:r>
      <w:r>
        <w:rPr>
          <w:vertAlign w:val="baseline"/>
        </w:rPr>
        <w:t>the</w:t>
      </w:r>
      <w:r>
        <w:rPr>
          <w:spacing w:val="29"/>
          <w:vertAlign w:val="baseline"/>
        </w:rPr>
        <w:t> </w:t>
      </w:r>
      <w:r>
        <w:rPr>
          <w:vertAlign w:val="baseline"/>
        </w:rPr>
        <w:t>other</w:t>
      </w:r>
      <w:r>
        <w:rPr>
          <w:spacing w:val="29"/>
          <w:vertAlign w:val="baseline"/>
        </w:rPr>
        <w:t> </w:t>
      </w:r>
      <w:r>
        <w:rPr>
          <w:vertAlign w:val="baseline"/>
        </w:rPr>
        <w:t>party</w:t>
      </w:r>
      <w:r>
        <w:rPr>
          <w:spacing w:val="29"/>
          <w:vertAlign w:val="baseline"/>
        </w:rPr>
        <w:t> </w:t>
      </w:r>
      <w:r>
        <w:rPr>
          <w:vertAlign w:val="baseline"/>
        </w:rPr>
        <w:t>to</w:t>
      </w:r>
      <w:r>
        <w:rPr>
          <w:spacing w:val="29"/>
          <w:vertAlign w:val="baseline"/>
        </w:rPr>
        <w:t> </w:t>
      </w:r>
      <w:r>
        <w:rPr>
          <w:vertAlign w:val="baseline"/>
        </w:rPr>
        <w:t>affirm,</w:t>
      </w:r>
      <w:r>
        <w:rPr>
          <w:spacing w:val="29"/>
          <w:vertAlign w:val="baseline"/>
        </w:rPr>
        <w:t> </w:t>
      </w:r>
      <w:r>
        <w:rPr>
          <w:vertAlign w:val="baseline"/>
        </w:rPr>
        <w:t>perform</w:t>
      </w:r>
      <w:r>
        <w:rPr>
          <w:spacing w:val="29"/>
          <w:vertAlign w:val="baseline"/>
        </w:rPr>
        <w:t> </w:t>
      </w:r>
      <w:r>
        <w:rPr>
          <w:vertAlign w:val="baseline"/>
        </w:rPr>
        <w:t>and</w:t>
      </w:r>
      <w:r>
        <w:rPr>
          <w:spacing w:val="29"/>
          <w:vertAlign w:val="baseline"/>
        </w:rPr>
        <w:t> </w:t>
      </w:r>
      <w:r>
        <w:rPr>
          <w:vertAlign w:val="baseline"/>
        </w:rPr>
        <w:t>recover</w:t>
      </w:r>
      <w:r>
        <w:rPr>
          <w:spacing w:val="29"/>
          <w:vertAlign w:val="baseline"/>
        </w:rPr>
        <w:t> </w:t>
      </w:r>
      <w:r>
        <w:rPr>
          <w:vertAlign w:val="baseline"/>
        </w:rPr>
        <w:t>the</w:t>
      </w:r>
      <w:r>
        <w:rPr>
          <w:spacing w:val="29"/>
          <w:vertAlign w:val="baseline"/>
        </w:rPr>
        <w:t> </w:t>
      </w:r>
      <w:r>
        <w:rPr>
          <w:vertAlign w:val="baseline"/>
        </w:rPr>
        <w:t>price</w:t>
      </w:r>
      <w:r>
        <w:rPr>
          <w:spacing w:val="29"/>
          <w:vertAlign w:val="baseline"/>
        </w:rPr>
        <w:t> </w:t>
      </w:r>
      <w:r>
        <w:rPr>
          <w:vertAlign w:val="baseline"/>
        </w:rPr>
        <w:t>is</w:t>
      </w:r>
      <w:r>
        <w:rPr>
          <w:spacing w:val="29"/>
          <w:vertAlign w:val="baseline"/>
        </w:rPr>
        <w:t> </w:t>
      </w:r>
      <w:r>
        <w:rPr>
          <w:vertAlign w:val="baseline"/>
        </w:rPr>
        <w:t>subject</w:t>
      </w:r>
      <w:r>
        <w:rPr>
          <w:spacing w:val="29"/>
          <w:vertAlign w:val="baseline"/>
        </w:rPr>
        <w:t> </w:t>
      </w:r>
      <w:r>
        <w:rPr>
          <w:vertAlign w:val="baseline"/>
        </w:rPr>
        <w:t>to</w:t>
      </w:r>
      <w:r>
        <w:rPr>
          <w:spacing w:val="29"/>
          <w:vertAlign w:val="baseline"/>
        </w:rPr>
        <w:t> </w:t>
      </w:r>
      <w:r>
        <w:rPr>
          <w:vertAlign w:val="baseline"/>
        </w:rPr>
        <w:t>the</w:t>
      </w:r>
      <w:r>
        <w:rPr>
          <w:spacing w:val="29"/>
          <w:vertAlign w:val="baseline"/>
        </w:rPr>
        <w:t> </w:t>
      </w:r>
      <w:r>
        <w:rPr>
          <w:vertAlign w:val="baseline"/>
        </w:rPr>
        <w:t>injured</w:t>
      </w:r>
      <w:r>
        <w:rPr>
          <w:spacing w:val="29"/>
          <w:vertAlign w:val="baseline"/>
        </w:rPr>
        <w:t> </w:t>
      </w:r>
      <w:r>
        <w:rPr>
          <w:vertAlign w:val="baseline"/>
        </w:rPr>
        <w:t>party</w:t>
      </w:r>
      <w:r>
        <w:rPr>
          <w:spacing w:val="29"/>
          <w:vertAlign w:val="baseline"/>
        </w:rPr>
        <w:t> </w:t>
      </w:r>
      <w:r>
        <w:rPr>
          <w:vertAlign w:val="baseline"/>
        </w:rPr>
        <w:t>having</w:t>
      </w:r>
      <w:r>
        <w:rPr>
          <w:spacing w:val="29"/>
          <w:vertAlign w:val="baseline"/>
        </w:rPr>
        <w:t> </w:t>
      </w:r>
      <w:r>
        <w:rPr>
          <w:spacing w:val="-10"/>
          <w:vertAlign w:val="baseline"/>
        </w:rPr>
        <w:t>a</w:t>
      </w:r>
    </w:p>
    <w:p>
      <w:pPr>
        <w:pStyle w:val="BodyText"/>
        <w:spacing w:line="235" w:lineRule="auto" w:before="117"/>
        <w:ind w:left="165" w:right="167"/>
        <w:jc w:val="both"/>
      </w:pPr>
      <w:r>
        <w:rPr/>
        <w:t>legitimate interest in doing so. </w:t>
      </w:r>
      <w:r>
        <w:rPr>
          <w:color w:val="005DA1"/>
          <w:u w:val="single" w:color="005DA1"/>
          <w:vertAlign w:val="superscript"/>
        </w:rPr>
        <w:t>502</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4"/>
          <w:vertAlign w:val="baseline"/>
        </w:rPr>
        <w:t> </w:t>
      </w:r>
      <w:r>
        <w:rPr>
          <w:vertAlign w:val="baseline"/>
        </w:rPr>
        <w:t>And the Supreme Court has held that a contract term stipulating payment of a sum of money on breach of contract will be a penalty clause at common law (and so </w:t>
      </w:r>
      <w:bookmarkStart w:name="_bookmark782" w:id="784"/>
      <w:bookmarkEnd w:id="784"/>
      <w:r>
        <w:rPr>
          <w:vertAlign w:val="baseline"/>
        </w:rPr>
        <w:t>unenforceable)</w:t>
      </w:r>
      <w:r>
        <w:rPr>
          <w:spacing w:val="29"/>
          <w:vertAlign w:val="baseline"/>
        </w:rPr>
        <w:t> </w:t>
      </w:r>
      <w:r>
        <w:rPr>
          <w:vertAlign w:val="baseline"/>
        </w:rPr>
        <w:t>only</w:t>
      </w:r>
      <w:r>
        <w:rPr>
          <w:spacing w:val="29"/>
          <w:vertAlign w:val="baseline"/>
        </w:rPr>
        <w:t> </w:t>
      </w:r>
      <w:r>
        <w:rPr>
          <w:vertAlign w:val="baseline"/>
        </w:rPr>
        <w:t>if</w:t>
      </w:r>
      <w:r>
        <w:rPr>
          <w:spacing w:val="29"/>
          <w:vertAlign w:val="baseline"/>
        </w:rPr>
        <w:t> </w:t>
      </w:r>
      <w:r>
        <w:rPr>
          <w:vertAlign w:val="baseline"/>
        </w:rPr>
        <w:t>the</w:t>
      </w:r>
      <w:r>
        <w:rPr>
          <w:spacing w:val="29"/>
          <w:vertAlign w:val="baseline"/>
        </w:rPr>
        <w:t> </w:t>
      </w:r>
      <w:r>
        <w:rPr>
          <w:vertAlign w:val="baseline"/>
        </w:rPr>
        <w:t>term</w:t>
      </w:r>
      <w:r>
        <w:rPr>
          <w:spacing w:val="29"/>
          <w:vertAlign w:val="baseline"/>
        </w:rPr>
        <w:t> </w:t>
      </w:r>
      <w:r>
        <w:rPr>
          <w:vertAlign w:val="baseline"/>
        </w:rPr>
        <w:t>does</w:t>
      </w:r>
      <w:r>
        <w:rPr>
          <w:spacing w:val="29"/>
          <w:vertAlign w:val="baseline"/>
        </w:rPr>
        <w:t> </w:t>
      </w:r>
      <w:r>
        <w:rPr>
          <w:vertAlign w:val="baseline"/>
        </w:rPr>
        <w:t>not</w:t>
      </w:r>
      <w:r>
        <w:rPr>
          <w:spacing w:val="29"/>
          <w:vertAlign w:val="baseline"/>
        </w:rPr>
        <w:t> </w:t>
      </w:r>
      <w:r>
        <w:rPr>
          <w:vertAlign w:val="baseline"/>
        </w:rPr>
        <w:t>serve</w:t>
      </w:r>
      <w:r>
        <w:rPr>
          <w:spacing w:val="29"/>
          <w:vertAlign w:val="baseline"/>
        </w:rPr>
        <w:t> </w:t>
      </w:r>
      <w:r>
        <w:rPr>
          <w:vertAlign w:val="baseline"/>
        </w:rPr>
        <w:t>a</w:t>
      </w:r>
      <w:r>
        <w:rPr>
          <w:spacing w:val="29"/>
          <w:vertAlign w:val="baseline"/>
        </w:rPr>
        <w:t> </w:t>
      </w:r>
      <w:r>
        <w:rPr>
          <w:vertAlign w:val="baseline"/>
        </w:rPr>
        <w:t>legitimate</w:t>
      </w:r>
      <w:r>
        <w:rPr>
          <w:spacing w:val="29"/>
          <w:vertAlign w:val="baseline"/>
        </w:rPr>
        <w:t> </w:t>
      </w:r>
      <w:r>
        <w:rPr>
          <w:vertAlign w:val="baseline"/>
        </w:rPr>
        <w:t>interest</w:t>
      </w:r>
      <w:r>
        <w:rPr>
          <w:spacing w:val="29"/>
          <w:vertAlign w:val="baseline"/>
        </w:rPr>
        <w:t> </w:t>
      </w:r>
      <w:r>
        <w:rPr>
          <w:vertAlign w:val="baseline"/>
        </w:rPr>
        <w:t>and</w:t>
      </w:r>
      <w:r>
        <w:rPr>
          <w:spacing w:val="29"/>
          <w:vertAlign w:val="baseline"/>
        </w:rPr>
        <w:t> </w:t>
      </w:r>
      <w:r>
        <w:rPr>
          <w:vertAlign w:val="baseline"/>
        </w:rPr>
        <w:t>if</w:t>
      </w:r>
      <w:r>
        <w:rPr>
          <w:spacing w:val="29"/>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circumstances</w:t>
      </w:r>
      <w:r>
        <w:rPr>
          <w:spacing w:val="29"/>
          <w:vertAlign w:val="baseline"/>
        </w:rPr>
        <w:t> </w:t>
      </w:r>
      <w:r>
        <w:rPr>
          <w:spacing w:val="-5"/>
          <w:vertAlign w:val="baseline"/>
        </w:rPr>
        <w:t>its</w:t>
      </w:r>
    </w:p>
    <w:p>
      <w:pPr>
        <w:pStyle w:val="BodyText"/>
        <w:spacing w:line="235" w:lineRule="auto" w:before="119"/>
        <w:ind w:left="165" w:right="167"/>
        <w:jc w:val="both"/>
      </w:pPr>
      <w:r>
        <w:rPr/>
        <w:t>amount is extravagant, exorbitant or unconscionable. </w:t>
      </w:r>
      <w:r>
        <w:rPr>
          <w:color w:val="005DA1"/>
          <w:u w:val="single" w:color="005DA1"/>
          <w:vertAlign w:val="superscript"/>
        </w:rPr>
        <w:t>503</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9"/>
          <w:vertAlign w:val="baseline"/>
        </w:rPr>
        <w:t> </w:t>
      </w:r>
      <w:r>
        <w:rPr>
          <w:vertAlign w:val="baseline"/>
        </w:rPr>
        <w:t>Finally, the availability of some of the special remedies for consumers in respect of breach of the statutory (implied) terms (for example of </w:t>
      </w:r>
      <w:bookmarkStart w:name="_bookmark783" w:id="785"/>
      <w:bookmarkEnd w:id="785"/>
      <w:r>
        <w:rPr>
          <w:vertAlign w:val="baseline"/>
        </w:rPr>
        <w:t>the</w:t>
      </w:r>
      <w:r>
        <w:rPr>
          <w:vertAlign w:val="baseline"/>
        </w:rPr>
        <w:t> satisfactory quality of goods) require consideration of the proportionality of the remedy as compared to other possible remedies. </w:t>
      </w:r>
      <w:r>
        <w:rPr>
          <w:color w:val="005DA1"/>
          <w:u w:val="single" w:color="005DA1"/>
          <w:vertAlign w:val="superscript"/>
        </w:rPr>
        <w:t>504</w:t>
      </w:r>
    </w:p>
    <w:p>
      <w:pPr>
        <w:pStyle w:val="BodyText"/>
      </w:pPr>
    </w:p>
    <w:p>
      <w:pPr>
        <w:pStyle w:val="BodyText"/>
        <w:spacing w:before="37"/>
      </w:pPr>
    </w:p>
    <w:p>
      <w:pPr>
        <w:pStyle w:val="ListParagraph"/>
        <w:numPr>
          <w:ilvl w:val="0"/>
          <w:numId w:val="5"/>
        </w:numPr>
        <w:tabs>
          <w:tab w:pos="485" w:val="left" w:leader="none"/>
        </w:tabs>
        <w:spacing w:line="240" w:lineRule="auto" w:before="0" w:after="0"/>
        <w:ind w:left="485" w:right="0" w:hanging="320"/>
        <w:jc w:val="left"/>
        <w:rPr>
          <w:b/>
          <w:sz w:val="18"/>
        </w:rPr>
      </w:pPr>
      <w:r>
        <w:rPr>
          <w:b/>
          <w:sz w:val="18"/>
        </w:rPr>
        <w:t>Equitable and statutory </w:t>
      </w:r>
      <w:r>
        <w:rPr>
          <w:b/>
          <w:spacing w:val="-2"/>
          <w:sz w:val="18"/>
        </w:rPr>
        <w:t>discretions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056</w:t>
      </w:r>
    </w:p>
    <w:p>
      <w:pPr>
        <w:pStyle w:val="BodyText"/>
        <w:spacing w:line="235" w:lineRule="auto" w:before="202"/>
        <w:ind w:left="165" w:right="167"/>
        <w:jc w:val="both"/>
      </w:pPr>
      <w:bookmarkStart w:name="_bookmark784" w:id="786"/>
      <w:bookmarkEnd w:id="786"/>
      <w:r>
        <w:rPr/>
      </w:r>
      <w:r>
        <w:rPr/>
        <w:t>General considerations of fairness are also relevant to the availability of certain equitable </w:t>
      </w:r>
      <w:r>
        <w:rPr/>
        <w:t>doctrines which are significant in the contractual context, notably promissory and proprietary estoppel, </w:t>
      </w:r>
      <w:r>
        <w:rPr>
          <w:color w:val="005DA1"/>
          <w:u w:val="single" w:color="005DA1"/>
          <w:vertAlign w:val="superscript"/>
        </w:rPr>
        <w:t>505</w:t>
      </w:r>
      <w:r>
        <w:rPr>
          <w:color w:val="005DA1"/>
          <w:vertAlign w:val="baseline"/>
        </w:rPr>
        <w:t> </w:t>
      </w:r>
      <w:r>
        <w:rPr>
          <w:vertAlign w:val="baseline"/>
        </w:rPr>
        <w:t>as </w:t>
      </w:r>
      <w:bookmarkStart w:name="_bookmark785" w:id="787"/>
      <w:bookmarkEnd w:id="787"/>
      <w:r>
        <w:rPr>
          <w:vertAlign w:val="baseline"/>
        </w:rPr>
        <w:t>well</w:t>
      </w:r>
      <w:r>
        <w:rPr>
          <w:vertAlign w:val="baseline"/>
        </w:rPr>
        <w:t> as to the equitable remedies of specific performance and injunction which are sometimes available on breach. </w:t>
      </w:r>
      <w:r>
        <w:rPr>
          <w:color w:val="005DA1"/>
          <w:u w:val="single" w:color="005DA1"/>
          <w:vertAlign w:val="superscript"/>
        </w:rPr>
        <w:t>506</w:t>
      </w:r>
      <w:r>
        <w:rPr>
          <w:color w:val="005DA1"/>
          <w:vertAlign w:val="baseline"/>
        </w:rPr>
        <w:t> </w:t>
      </w:r>
      <w:r>
        <w:rPr>
          <w:vertAlign w:val="baseline"/>
        </w:rPr>
        <w:t>To these, modern statutes have added discretions given to the courts to act according to the dictates of justice, equity or reasonableness (as the case may be) in relation to the </w:t>
      </w:r>
      <w:bookmarkStart w:name="_bookmark786" w:id="788"/>
      <w:bookmarkEnd w:id="788"/>
      <w:r>
        <w:rPr>
          <w:vertAlign w:val="baseline"/>
        </w:rPr>
        <w:t>exercise</w:t>
      </w:r>
      <w:r>
        <w:rPr>
          <w:vertAlign w:val="baseline"/>
        </w:rPr>
        <w:t> of other remedies by parties to contracts, notably, in relation to rescission for </w:t>
      </w:r>
      <w:bookmarkStart w:name="_bookmark787" w:id="789"/>
      <w:bookmarkEnd w:id="789"/>
      <w:r>
        <w:rPr>
          <w:vertAlign w:val="baseline"/>
        </w:rPr>
        <w:t>misrepresentation</w:t>
      </w:r>
      <w:r>
        <w:rPr>
          <w:spacing w:val="-3"/>
          <w:vertAlign w:val="baseline"/>
        </w:rPr>
        <w:t> </w:t>
      </w:r>
      <w:r>
        <w:rPr>
          <w:color w:val="005DA1"/>
          <w:u w:val="single" w:color="005DA1"/>
          <w:vertAlign w:val="superscript"/>
        </w:rPr>
        <w:t>507</w:t>
      </w:r>
      <w:r>
        <w:rPr>
          <w:color w:val="005DA1"/>
          <w:spacing w:val="-3"/>
          <w:vertAlign w:val="baseline"/>
        </w:rPr>
        <w:t> </w:t>
      </w:r>
      <w:r>
        <w:rPr>
          <w:vertAlign w:val="baseline"/>
        </w:rPr>
        <w:t>and</w:t>
      </w:r>
      <w:r>
        <w:rPr>
          <w:spacing w:val="-3"/>
          <w:vertAlign w:val="baseline"/>
        </w:rPr>
        <w:t> </w:t>
      </w:r>
      <w:r>
        <w:rPr>
          <w:vertAlign w:val="baseline"/>
        </w:rPr>
        <w:t>termination</w:t>
      </w:r>
      <w:r>
        <w:rPr>
          <w:spacing w:val="-3"/>
          <w:vertAlign w:val="baseline"/>
        </w:rPr>
        <w:t> </w:t>
      </w:r>
      <w:r>
        <w:rPr>
          <w:vertAlign w:val="baseline"/>
        </w:rPr>
        <w:t>for</w:t>
      </w:r>
      <w:r>
        <w:rPr>
          <w:spacing w:val="-3"/>
          <w:vertAlign w:val="baseline"/>
        </w:rPr>
        <w:t> </w:t>
      </w:r>
      <w:r>
        <w:rPr>
          <w:vertAlign w:val="baseline"/>
        </w:rPr>
        <w:t>breach</w:t>
      </w:r>
      <w:r>
        <w:rPr>
          <w:spacing w:val="-3"/>
          <w:vertAlign w:val="baseline"/>
        </w:rPr>
        <w:t> </w:t>
      </w:r>
      <w:r>
        <w:rPr>
          <w:vertAlign w:val="baseline"/>
        </w:rPr>
        <w:t>in</w:t>
      </w:r>
      <w:r>
        <w:rPr>
          <w:spacing w:val="-3"/>
          <w:vertAlign w:val="baseline"/>
        </w:rPr>
        <w:t> </w:t>
      </w:r>
      <w:r>
        <w:rPr>
          <w:vertAlign w:val="baseline"/>
        </w:rPr>
        <w:t>contracts</w:t>
      </w:r>
      <w:r>
        <w:rPr>
          <w:spacing w:val="-3"/>
          <w:vertAlign w:val="baseline"/>
        </w:rPr>
        <w:t> </w:t>
      </w:r>
      <w:r>
        <w:rPr>
          <w:vertAlign w:val="baseline"/>
        </w:rPr>
        <w:t>of</w:t>
      </w:r>
      <w:r>
        <w:rPr>
          <w:spacing w:val="-3"/>
          <w:vertAlign w:val="baseline"/>
        </w:rPr>
        <w:t> </w:t>
      </w:r>
      <w:r>
        <w:rPr>
          <w:vertAlign w:val="baseline"/>
        </w:rPr>
        <w:t>sale</w:t>
      </w:r>
      <w:r>
        <w:rPr>
          <w:spacing w:val="-3"/>
          <w:vertAlign w:val="baseline"/>
        </w:rPr>
        <w:t> </w:t>
      </w:r>
      <w:r>
        <w:rPr>
          <w:vertAlign w:val="baseline"/>
        </w:rPr>
        <w:t>of</w:t>
      </w:r>
      <w:r>
        <w:rPr>
          <w:spacing w:val="-3"/>
          <w:vertAlign w:val="baseline"/>
        </w:rPr>
        <w:t> </w:t>
      </w:r>
      <w:r>
        <w:rPr>
          <w:vertAlign w:val="baseline"/>
        </w:rPr>
        <w:t>goods</w:t>
      </w:r>
      <w:r>
        <w:rPr>
          <w:spacing w:val="-4"/>
          <w:vertAlign w:val="baseline"/>
        </w:rPr>
        <w:t> </w:t>
      </w:r>
      <w:r>
        <w:rPr>
          <w:color w:val="005DA1"/>
          <w:u w:val="single" w:color="005DA1"/>
          <w:vertAlign w:val="superscript"/>
        </w:rPr>
        <w:t>508</w:t>
      </w:r>
      <w:r>
        <w:rPr>
          <w:color w:val="005DA1"/>
          <w:spacing w:val="-3"/>
          <w:vertAlign w:val="baseline"/>
        </w:rPr>
        <w:t> </w:t>
      </w:r>
      <w:r>
        <w:rPr>
          <w:vertAlign w:val="baseline"/>
        </w:rPr>
        <w:t>and</w:t>
      </w:r>
      <w:r>
        <w:rPr>
          <w:spacing w:val="-3"/>
          <w:vertAlign w:val="baseline"/>
        </w:rPr>
        <w:t> </w:t>
      </w:r>
      <w:r>
        <w:rPr>
          <w:vertAlign w:val="baseline"/>
        </w:rPr>
        <w:t>also</w:t>
      </w:r>
      <w:r>
        <w:rPr>
          <w:spacing w:val="-3"/>
          <w:vertAlign w:val="baseline"/>
        </w:rPr>
        <w:t> </w:t>
      </w:r>
      <w:r>
        <w:rPr>
          <w:vertAlign w:val="baseline"/>
        </w:rPr>
        <w:t>in</w:t>
      </w:r>
      <w:r>
        <w:rPr>
          <w:spacing w:val="-3"/>
          <w:vertAlign w:val="baseline"/>
        </w:rPr>
        <w:t> </w:t>
      </w:r>
      <w:r>
        <w:rPr>
          <w:vertAlign w:val="baseline"/>
        </w:rPr>
        <w:t>relation</w:t>
      </w:r>
      <w:r>
        <w:rPr>
          <w:spacing w:val="-3"/>
          <w:vertAlign w:val="baseline"/>
        </w:rPr>
        <w:t> </w:t>
      </w:r>
      <w:r>
        <w:rPr>
          <w:vertAlign w:val="baseline"/>
        </w:rPr>
        <w:t>to contracts which have been frustrated. </w:t>
      </w:r>
      <w:r>
        <w:rPr>
          <w:color w:val="005DA1"/>
          <w:u w:val="single" w:color="005DA1"/>
          <w:vertAlign w:val="superscript"/>
        </w:rPr>
        <w:t>509</w:t>
      </w:r>
    </w:p>
    <w:p>
      <w:pPr>
        <w:pStyle w:val="BodyText"/>
      </w:pPr>
    </w:p>
    <w:p>
      <w:pPr>
        <w:pStyle w:val="BodyText"/>
        <w:spacing w:before="37"/>
      </w:pPr>
      <w:r>
        <w:rPr/>
        <mc:AlternateContent>
          <mc:Choice Requires="wps">
            <w:drawing>
              <wp:anchor distT="0" distB="0" distL="0" distR="0" allowOverlap="1" layoutInCell="1" locked="0" behindDoc="1" simplePos="0" relativeHeight="487648256">
                <wp:simplePos x="0" y="0"/>
                <wp:positionH relativeFrom="page">
                  <wp:posOffset>914400</wp:posOffset>
                </wp:positionH>
                <wp:positionV relativeFrom="paragraph">
                  <wp:posOffset>185091</wp:posOffset>
                </wp:positionV>
                <wp:extent cx="5724525" cy="1270"/>
                <wp:effectExtent l="0" t="0" r="0" b="0"/>
                <wp:wrapTopAndBottom/>
                <wp:docPr id="277" name="Graphic 277"/>
                <wp:cNvGraphicFramePr>
                  <a:graphicFrameLocks/>
                </wp:cNvGraphicFramePr>
                <a:graphic>
                  <a:graphicData uri="http://schemas.microsoft.com/office/word/2010/wordprocessingShape">
                    <wps:wsp>
                      <wps:cNvPr id="277" name="Graphic 27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74109pt;width:450.75pt;height:.1pt;mso-position-horizontal-relative:page;mso-position-vertical-relative:paragraph;z-index:-15668224;mso-wrap-distance-left:0;mso-wrap-distance-right:0" id="docshape25"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788" w:id="790"/>
      <w:bookmarkEnd w:id="790"/>
      <w:r>
        <w:rPr/>
      </w:r>
      <w:hyperlink w:history="true" w:anchor="_bookmark620">
        <w:r>
          <w:rPr>
            <w:color w:val="005DA1"/>
            <w:spacing w:val="-4"/>
            <w:position w:val="5"/>
            <w:sz w:val="14"/>
            <w:u w:val="single" w:color="005DA1"/>
          </w:rPr>
          <w:t>334</w:t>
        </w:r>
      </w:hyperlink>
      <w:r>
        <w:rPr>
          <w:spacing w:val="-4"/>
          <w:position w:val="5"/>
          <w:sz w:val="14"/>
        </w:rPr>
        <w:t>.</w:t>
      </w:r>
      <w:r>
        <w:rPr>
          <w:position w:val="5"/>
          <w:sz w:val="14"/>
        </w:rPr>
        <w:tab/>
      </w:r>
      <w:r>
        <w:rPr>
          <w:sz w:val="20"/>
        </w:rPr>
        <w:t>Above, para.1-</w:t>
      </w:r>
      <w:r>
        <w:rPr>
          <w:spacing w:val="-4"/>
          <w:sz w:val="20"/>
        </w:rPr>
        <w:t>038.</w:t>
      </w:r>
    </w:p>
    <w:p>
      <w:pPr>
        <w:pStyle w:val="BodyText"/>
        <w:spacing w:before="5"/>
      </w:pPr>
    </w:p>
    <w:p>
      <w:pPr>
        <w:pStyle w:val="BodyText"/>
        <w:tabs>
          <w:tab w:pos="705" w:val="left" w:leader="none"/>
        </w:tabs>
        <w:ind w:left="165"/>
      </w:pPr>
      <w:bookmarkStart w:name="_bookmark789" w:id="791"/>
      <w:bookmarkEnd w:id="791"/>
      <w:r>
        <w:rPr/>
      </w:r>
      <w:hyperlink w:history="true" w:anchor="_bookmark621">
        <w:r>
          <w:rPr>
            <w:color w:val="005DA1"/>
            <w:spacing w:val="-4"/>
            <w:position w:val="5"/>
            <w:sz w:val="14"/>
            <w:u w:val="single" w:color="005DA1"/>
          </w:rPr>
          <w:t>335</w:t>
        </w:r>
      </w:hyperlink>
      <w:r>
        <w:rPr>
          <w:spacing w:val="-4"/>
          <w:position w:val="5"/>
          <w:sz w:val="14"/>
        </w:rPr>
        <w:t>.</w:t>
      </w:r>
      <w:r>
        <w:rPr>
          <w:position w:val="5"/>
          <w:sz w:val="14"/>
        </w:rPr>
        <w:tab/>
      </w:r>
      <w:r>
        <w:rPr/>
        <w:t>See below, paras 8-130 et </w:t>
      </w:r>
      <w:r>
        <w:rPr>
          <w:spacing w:val="-4"/>
        </w:rPr>
        <w:t>seq.</w:t>
      </w:r>
    </w:p>
    <w:p>
      <w:pPr>
        <w:pStyle w:val="BodyText"/>
        <w:spacing w:before="9"/>
      </w:pPr>
    </w:p>
    <w:p>
      <w:pPr>
        <w:pStyle w:val="BodyText"/>
        <w:spacing w:line="235" w:lineRule="auto"/>
        <w:ind w:left="705" w:right="167" w:hanging="541"/>
        <w:jc w:val="both"/>
      </w:pPr>
      <w:bookmarkStart w:name="_bookmark790" w:id="792"/>
      <w:bookmarkEnd w:id="792"/>
      <w:r>
        <w:rPr/>
      </w:r>
      <w:hyperlink w:history="true" w:anchor="_bookmark622">
        <w:r>
          <w:rPr>
            <w:color w:val="005DA1"/>
            <w:position w:val="5"/>
            <w:sz w:val="14"/>
            <w:u w:val="single" w:color="005DA1"/>
          </w:rPr>
          <w:t>336</w:t>
        </w:r>
      </w:hyperlink>
      <w:r>
        <w:rPr>
          <w:position w:val="5"/>
          <w:sz w:val="14"/>
        </w:rPr>
        <w:t>.</w:t>
      </w:r>
      <w:r>
        <w:rPr>
          <w:spacing w:val="80"/>
          <w:w w:val="150"/>
          <w:position w:val="5"/>
          <w:sz w:val="14"/>
        </w:rPr>
        <w:t> </w:t>
      </w:r>
      <w:r>
        <w:rPr/>
        <w:t>art.1:201(1) of the Principles of European Contract Law provides that “[e]ach party must act in accordance with good faith and fair dealing”. cf. the provision in the proposed </w:t>
      </w:r>
      <w:r>
        <w:rPr/>
        <w:t>Common European</w:t>
      </w:r>
      <w:r>
        <w:rPr>
          <w:spacing w:val="-2"/>
        </w:rPr>
        <w:t> </w:t>
      </w:r>
      <w:r>
        <w:rPr/>
        <w:t>Sales</w:t>
      </w:r>
      <w:r>
        <w:rPr>
          <w:spacing w:val="-2"/>
        </w:rPr>
        <w:t> </w:t>
      </w:r>
      <w:r>
        <w:rPr/>
        <w:t>Law</w:t>
      </w:r>
      <w:r>
        <w:rPr>
          <w:spacing w:val="-2"/>
        </w:rPr>
        <w:t> </w:t>
      </w:r>
      <w:r>
        <w:rPr/>
        <w:t>(above,</w:t>
      </w:r>
      <w:r>
        <w:rPr>
          <w:spacing w:val="-2"/>
        </w:rPr>
        <w:t> </w:t>
      </w:r>
      <w:r>
        <w:rPr/>
        <w:t>para.1-013),</w:t>
      </w:r>
      <w:r>
        <w:rPr>
          <w:spacing w:val="-2"/>
        </w:rPr>
        <w:t> </w:t>
      </w:r>
      <w:r>
        <w:rPr/>
        <w:t>art.1(1)</w:t>
      </w:r>
      <w:r>
        <w:rPr>
          <w:spacing w:val="-2"/>
        </w:rPr>
        <w:t> </w:t>
      </w:r>
      <w:r>
        <w:rPr/>
        <w:t>which</w:t>
      </w:r>
      <w:r>
        <w:rPr>
          <w:spacing w:val="-2"/>
        </w:rPr>
        <w:t> </w:t>
      </w:r>
      <w:r>
        <w:rPr/>
        <w:t>provides</w:t>
      </w:r>
      <w:r>
        <w:rPr>
          <w:spacing w:val="-2"/>
        </w:rPr>
        <w:t> </w:t>
      </w:r>
      <w:r>
        <w:rPr/>
        <w:t>that</w:t>
      </w:r>
      <w:r>
        <w:rPr>
          <w:spacing w:val="-2"/>
        </w:rPr>
        <w:t> </w:t>
      </w:r>
      <w:r>
        <w:rPr/>
        <w:t>“Each</w:t>
      </w:r>
      <w:r>
        <w:rPr>
          <w:spacing w:val="-2"/>
        </w:rPr>
        <w:t> </w:t>
      </w:r>
      <w:r>
        <w:rPr/>
        <w:t>party</w:t>
      </w:r>
      <w:r>
        <w:rPr>
          <w:spacing w:val="-2"/>
        </w:rPr>
        <w:t> </w:t>
      </w:r>
      <w:r>
        <w:rPr/>
        <w:t>has</w:t>
      </w:r>
      <w:r>
        <w:rPr>
          <w:spacing w:val="-2"/>
        </w:rPr>
        <w:t> </w:t>
      </w:r>
      <w:r>
        <w:rPr/>
        <w:t>a</w:t>
      </w:r>
      <w:r>
        <w:rPr>
          <w:spacing w:val="-2"/>
        </w:rPr>
        <w:t> </w:t>
      </w:r>
      <w:r>
        <w:rPr/>
        <w:t>duty</w:t>
      </w:r>
      <w:r>
        <w:rPr>
          <w:spacing w:val="-2"/>
        </w:rPr>
        <w:t> </w:t>
      </w:r>
      <w:r>
        <w:rPr/>
        <w:t>to act in accordance with good faith and fair dealing”: see further below, para.1-043.</w:t>
      </w:r>
    </w:p>
    <w:p>
      <w:pPr>
        <w:pStyle w:val="BodyText"/>
        <w:spacing w:before="5"/>
      </w:pPr>
    </w:p>
    <w:p>
      <w:pPr>
        <w:pStyle w:val="BodyText"/>
        <w:tabs>
          <w:tab w:pos="705" w:val="left" w:leader="none"/>
        </w:tabs>
        <w:ind w:left="165"/>
      </w:pPr>
      <w:bookmarkStart w:name="_bookmark791" w:id="793"/>
      <w:bookmarkEnd w:id="793"/>
      <w:r>
        <w:rPr/>
      </w:r>
      <w:hyperlink w:history="true" w:anchor="_bookmark623">
        <w:r>
          <w:rPr>
            <w:color w:val="005DA1"/>
            <w:spacing w:val="-4"/>
            <w:position w:val="5"/>
            <w:sz w:val="14"/>
            <w:u w:val="single" w:color="005DA1"/>
          </w:rPr>
          <w:t>337</w:t>
        </w:r>
      </w:hyperlink>
      <w:r>
        <w:rPr>
          <w:spacing w:val="-4"/>
          <w:position w:val="5"/>
          <w:sz w:val="14"/>
        </w:rPr>
        <w:t>.</w:t>
      </w:r>
      <w:r>
        <w:rPr>
          <w:position w:val="5"/>
          <w:sz w:val="14"/>
        </w:rPr>
        <w:tab/>
      </w:r>
      <w:r>
        <w:rPr/>
        <w:t>See Vol.II, paras 42-030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792" w:id="794"/>
      <w:bookmarkEnd w:id="794"/>
      <w:r>
        <w:rPr/>
      </w:r>
      <w:hyperlink w:history="true" w:anchor="_bookmark624">
        <w:r>
          <w:rPr>
            <w:color w:val="005DA1"/>
            <w:spacing w:val="-4"/>
            <w:position w:val="5"/>
            <w:sz w:val="14"/>
            <w:u w:val="single" w:color="005DA1"/>
          </w:rPr>
          <w:t>338</w:t>
        </w:r>
      </w:hyperlink>
      <w:r>
        <w:rPr>
          <w:spacing w:val="-4"/>
          <w:position w:val="5"/>
          <w:sz w:val="14"/>
        </w:rPr>
        <w:t>.</w:t>
      </w:r>
      <w:r>
        <w:rPr>
          <w:position w:val="5"/>
          <w:sz w:val="14"/>
        </w:rPr>
        <w:tab/>
      </w:r>
      <w:r>
        <w:rPr>
          <w:rFonts w:ascii="Arial"/>
          <w:i/>
          <w:sz w:val="20"/>
        </w:rPr>
        <w:t>Carter v Boehm (1766) 3 Burr. 1905, </w:t>
      </w:r>
      <w:r>
        <w:rPr>
          <w:rFonts w:ascii="Arial"/>
          <w:i/>
          <w:spacing w:val="-2"/>
          <w:sz w:val="20"/>
        </w:rPr>
        <w:t>1910</w:t>
      </w:r>
      <w:r>
        <w:rPr>
          <w:spacing w:val="-2"/>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793" w:id="795"/>
      <w:bookmarkEnd w:id="795"/>
      <w:r>
        <w:rPr/>
      </w:r>
      <w:hyperlink w:history="true" w:anchor="_bookmark625">
        <w:r>
          <w:rPr>
            <w:color w:val="005DA1"/>
            <w:spacing w:val="-4"/>
            <w:sz w:val="14"/>
            <w:u w:val="single" w:color="005DA1"/>
          </w:rPr>
          <w:t>339</w:t>
        </w:r>
      </w:hyperlink>
      <w:r>
        <w:rPr>
          <w:spacing w:val="-4"/>
          <w:sz w:val="14"/>
        </w:rPr>
        <w:t>.</w:t>
      </w:r>
    </w:p>
    <w:p>
      <w:pPr>
        <w:spacing w:line="235" w:lineRule="auto" w:before="213"/>
        <w:ind w:left="165" w:right="168" w:firstLine="170"/>
        <w:jc w:val="right"/>
        <w:rPr>
          <w:rFonts w:ascii="Arial" w:hAnsi="Arial"/>
          <w:i/>
          <w:sz w:val="20"/>
        </w:rPr>
      </w:pPr>
      <w:r>
        <w:rPr/>
        <w:br w:type="column"/>
      </w:r>
      <w:r>
        <w:rPr>
          <w:sz w:val="20"/>
        </w:rPr>
        <w:t>Bridge (1984) 9 Can. Bus. L.J. 385; Collins, </w:t>
      </w:r>
      <w:r>
        <w:rPr>
          <w:rFonts w:ascii="Arial" w:hAnsi="Arial"/>
          <w:i/>
          <w:sz w:val="20"/>
        </w:rPr>
        <w:t>The Law of Contract</w:t>
      </w:r>
      <w:r>
        <w:rPr>
          <w:sz w:val="20"/>
        </w:rPr>
        <w:t>, 4th edn (2003), Chs 13 </w:t>
      </w:r>
      <w:r>
        <w:rPr>
          <w:sz w:val="20"/>
        </w:rPr>
        <w:t>and 15; Finn in Finn, </w:t>
      </w:r>
      <w:r>
        <w:rPr>
          <w:rFonts w:ascii="Arial" w:hAnsi="Arial"/>
          <w:i/>
          <w:sz w:val="20"/>
        </w:rPr>
        <w:t>Essays on Contract Law </w:t>
      </w:r>
      <w:r>
        <w:rPr>
          <w:sz w:val="20"/>
        </w:rPr>
        <w:t>(1987), p.104; Lücke in Finn, </w:t>
      </w:r>
      <w:r>
        <w:rPr>
          <w:rFonts w:ascii="Arial" w:hAnsi="Arial"/>
          <w:i/>
          <w:sz w:val="20"/>
        </w:rPr>
        <w:t>Essays on Contract </w:t>
      </w:r>
      <w:r>
        <w:rPr>
          <w:rFonts w:ascii="Arial" w:hAnsi="Arial"/>
          <w:i/>
          <w:spacing w:val="-5"/>
          <w:sz w:val="20"/>
        </w:rPr>
        <w:t>Law</w:t>
      </w:r>
    </w:p>
    <w:p>
      <w:pPr>
        <w:pStyle w:val="BodyText"/>
        <w:spacing w:line="223" w:lineRule="exact"/>
        <w:ind w:right="167"/>
        <w:jc w:val="right"/>
      </w:pPr>
      <w:r>
        <w:rPr/>
        <w:drawing>
          <wp:anchor distT="0" distB="0" distL="0" distR="0" allowOverlap="1" layoutInCell="1" locked="0" behindDoc="0" simplePos="0" relativeHeight="15789568">
            <wp:simplePos x="0" y="0"/>
            <wp:positionH relativeFrom="page">
              <wp:posOffset>1257846</wp:posOffset>
            </wp:positionH>
            <wp:positionV relativeFrom="paragraph">
              <wp:posOffset>-260793</wp:posOffset>
            </wp:positionV>
            <wp:extent cx="107988" cy="107988"/>
            <wp:effectExtent l="0" t="0" r="0" b="0"/>
            <wp:wrapNone/>
            <wp:docPr id="278" name="Image 278"/>
            <wp:cNvGraphicFramePr>
              <a:graphicFrameLocks/>
            </wp:cNvGraphicFramePr>
            <a:graphic>
              <a:graphicData uri="http://schemas.openxmlformats.org/drawingml/2006/picture">
                <pic:pic>
                  <pic:nvPicPr>
                    <pic:cNvPr id="278" name="Image 278"/>
                    <pic:cNvPicPr/>
                  </pic:nvPicPr>
                  <pic:blipFill>
                    <a:blip r:embed="rId6" cstate="print"/>
                    <a:stretch>
                      <a:fillRect/>
                    </a:stretch>
                  </pic:blipFill>
                  <pic:spPr>
                    <a:xfrm>
                      <a:off x="0" y="0"/>
                      <a:ext cx="107988" cy="107988"/>
                    </a:xfrm>
                    <a:prstGeom prst="rect">
                      <a:avLst/>
                    </a:prstGeom>
                  </pic:spPr>
                </pic:pic>
              </a:graphicData>
            </a:graphic>
          </wp:anchor>
        </w:drawing>
      </w:r>
      <w:r>
        <w:rPr/>
        <w:t>,</w:t>
      </w:r>
      <w:r>
        <w:rPr>
          <w:spacing w:val="23"/>
        </w:rPr>
        <w:t> </w:t>
      </w:r>
      <w:r>
        <w:rPr/>
        <w:t>p.155;</w:t>
      </w:r>
      <w:r>
        <w:rPr>
          <w:spacing w:val="23"/>
        </w:rPr>
        <w:t> </w:t>
      </w:r>
      <w:r>
        <w:rPr/>
        <w:t>Steyn</w:t>
      </w:r>
      <w:r>
        <w:rPr>
          <w:spacing w:val="23"/>
        </w:rPr>
        <w:t> </w:t>
      </w:r>
      <w:r>
        <w:rPr/>
        <w:t>(1991)</w:t>
      </w:r>
      <w:r>
        <w:rPr>
          <w:spacing w:val="23"/>
        </w:rPr>
        <w:t> </w:t>
      </w:r>
      <w:r>
        <w:rPr/>
        <w:t>Denning</w:t>
      </w:r>
      <w:r>
        <w:rPr>
          <w:spacing w:val="23"/>
        </w:rPr>
        <w:t> </w:t>
      </w:r>
      <w:r>
        <w:rPr/>
        <w:t>L.J.</w:t>
      </w:r>
      <w:r>
        <w:rPr>
          <w:spacing w:val="23"/>
        </w:rPr>
        <w:t> </w:t>
      </w:r>
      <w:r>
        <w:rPr/>
        <w:t>131;</w:t>
      </w:r>
      <w:r>
        <w:rPr>
          <w:spacing w:val="23"/>
        </w:rPr>
        <w:t> </w:t>
      </w:r>
      <w:r>
        <w:rPr/>
        <w:t>Carter</w:t>
      </w:r>
      <w:r>
        <w:rPr>
          <w:spacing w:val="23"/>
        </w:rPr>
        <w:t> </w:t>
      </w:r>
      <w:r>
        <w:rPr/>
        <w:t>and</w:t>
      </w:r>
      <w:r>
        <w:rPr>
          <w:spacing w:val="23"/>
        </w:rPr>
        <w:t> </w:t>
      </w:r>
      <w:r>
        <w:rPr/>
        <w:t>Furmston</w:t>
      </w:r>
      <w:r>
        <w:rPr>
          <w:spacing w:val="23"/>
        </w:rPr>
        <w:t> </w:t>
      </w:r>
      <w:r>
        <w:rPr/>
        <w:t>(1994)</w:t>
      </w:r>
      <w:r>
        <w:rPr>
          <w:spacing w:val="23"/>
        </w:rPr>
        <w:t> </w:t>
      </w:r>
      <w:r>
        <w:rPr/>
        <w:t>8</w:t>
      </w:r>
      <w:r>
        <w:rPr>
          <w:spacing w:val="23"/>
        </w:rPr>
        <w:t> </w:t>
      </w:r>
      <w:r>
        <w:rPr/>
        <w:t>J.C.L.</w:t>
      </w:r>
      <w:r>
        <w:rPr>
          <w:spacing w:val="23"/>
        </w:rPr>
        <w:t> </w:t>
      </w:r>
      <w:r>
        <w:rPr/>
        <w:t>1;</w:t>
      </w:r>
      <w:r>
        <w:rPr>
          <w:spacing w:val="23"/>
        </w:rPr>
        <w:t> </w:t>
      </w:r>
      <w:r>
        <w:rPr>
          <w:spacing w:val="-2"/>
        </w:rPr>
        <w:t>Brownsword</w:t>
      </w:r>
    </w:p>
    <w:p>
      <w:pPr>
        <w:pStyle w:val="BodyText"/>
        <w:spacing w:line="227" w:lineRule="exact"/>
        <w:ind w:right="168"/>
        <w:jc w:val="right"/>
        <w:rPr>
          <w:rFonts w:ascii="Arial"/>
          <w:i/>
        </w:rPr>
      </w:pPr>
      <w:r>
        <w:rPr/>
        <w:t>(1994)</w:t>
      </w:r>
      <w:r>
        <w:rPr>
          <w:spacing w:val="16"/>
        </w:rPr>
        <w:t> </w:t>
      </w:r>
      <w:r>
        <w:rPr/>
        <w:t>7</w:t>
      </w:r>
      <w:r>
        <w:rPr>
          <w:spacing w:val="16"/>
        </w:rPr>
        <w:t> </w:t>
      </w:r>
      <w:r>
        <w:rPr/>
        <w:t>J.C.L.</w:t>
      </w:r>
      <w:r>
        <w:rPr>
          <w:spacing w:val="16"/>
        </w:rPr>
        <w:t> </w:t>
      </w:r>
      <w:r>
        <w:rPr/>
        <w:t>197;</w:t>
      </w:r>
      <w:r>
        <w:rPr>
          <w:spacing w:val="16"/>
        </w:rPr>
        <w:t> </w:t>
      </w:r>
      <w:r>
        <w:rPr/>
        <w:t>Staughton</w:t>
      </w:r>
      <w:r>
        <w:rPr>
          <w:spacing w:val="16"/>
        </w:rPr>
        <w:t> </w:t>
      </w:r>
      <w:r>
        <w:rPr/>
        <w:t>(1994)</w:t>
      </w:r>
      <w:r>
        <w:rPr>
          <w:spacing w:val="16"/>
        </w:rPr>
        <w:t> </w:t>
      </w:r>
      <w:r>
        <w:rPr/>
        <w:t>7</w:t>
      </w:r>
      <w:r>
        <w:rPr>
          <w:spacing w:val="16"/>
        </w:rPr>
        <w:t> </w:t>
      </w:r>
      <w:r>
        <w:rPr/>
        <w:t>J.C.L.</w:t>
      </w:r>
      <w:r>
        <w:rPr>
          <w:spacing w:val="16"/>
        </w:rPr>
        <w:t> </w:t>
      </w:r>
      <w:r>
        <w:rPr/>
        <w:t>193;</w:t>
      </w:r>
      <w:r>
        <w:rPr>
          <w:spacing w:val="16"/>
        </w:rPr>
        <w:t> </w:t>
      </w:r>
      <w:r>
        <w:rPr/>
        <w:t>Beatson</w:t>
      </w:r>
      <w:r>
        <w:rPr>
          <w:spacing w:val="16"/>
        </w:rPr>
        <w:t> </w:t>
      </w:r>
      <w:r>
        <w:rPr/>
        <w:t>and</w:t>
      </w:r>
      <w:r>
        <w:rPr>
          <w:spacing w:val="16"/>
        </w:rPr>
        <w:t> </w:t>
      </w:r>
      <w:r>
        <w:rPr/>
        <w:t>Friedmann,</w:t>
      </w:r>
      <w:r>
        <w:rPr>
          <w:spacing w:val="16"/>
        </w:rPr>
        <w:t> </w:t>
      </w:r>
      <w:r>
        <w:rPr>
          <w:rFonts w:ascii="Arial"/>
          <w:i/>
        </w:rPr>
        <w:t>Good</w:t>
      </w:r>
      <w:r>
        <w:rPr>
          <w:rFonts w:ascii="Arial"/>
          <w:i/>
          <w:spacing w:val="16"/>
        </w:rPr>
        <w:t> </w:t>
      </w:r>
      <w:r>
        <w:rPr>
          <w:rFonts w:ascii="Arial"/>
          <w:i/>
        </w:rPr>
        <w:t>Faith</w:t>
      </w:r>
      <w:r>
        <w:rPr>
          <w:rFonts w:ascii="Arial"/>
          <w:i/>
          <w:spacing w:val="16"/>
        </w:rPr>
        <w:t> </w:t>
      </w:r>
      <w:r>
        <w:rPr>
          <w:rFonts w:ascii="Arial"/>
          <w:i/>
          <w:spacing w:val="-5"/>
        </w:rPr>
        <w:t>and</w:t>
      </w:r>
    </w:p>
    <w:p>
      <w:pPr>
        <w:pStyle w:val="BodyText"/>
        <w:spacing w:after="0" w:line="227" w:lineRule="exact"/>
        <w:jc w:val="right"/>
        <w:rPr>
          <w:rFonts w:ascii="Arial"/>
          <w:i/>
        </w:rPr>
        <w:sectPr>
          <w:type w:val="continuous"/>
          <w:pgSz w:w="11900" w:h="16840"/>
          <w:pgMar w:header="971" w:footer="0" w:top="1300" w:bottom="280" w:left="1275" w:right="1275"/>
          <w:cols w:num="2" w:equalWidth="0">
            <w:col w:w="478" w:space="63"/>
            <w:col w:w="8809"/>
          </w:cols>
        </w:sectPr>
      </w:pPr>
    </w:p>
    <w:p>
      <w:pPr>
        <w:spacing w:line="235" w:lineRule="auto" w:before="110"/>
        <w:ind w:left="705" w:right="167" w:firstLine="0"/>
        <w:jc w:val="both"/>
        <w:rPr>
          <w:sz w:val="20"/>
        </w:rPr>
      </w:pPr>
      <w:r>
        <w:rPr>
          <w:rFonts w:ascii="Arial"/>
          <w:i/>
          <w:sz w:val="20"/>
        </w:rPr>
        <w:t>Fault in Contract Law </w:t>
      </w:r>
      <w:r>
        <w:rPr>
          <w:sz w:val="20"/>
        </w:rPr>
        <w:t>(1995), especially the essays by Beatson and Friedmann, p.3; Cohen, p.25;</w:t>
      </w:r>
      <w:r>
        <w:rPr>
          <w:spacing w:val="40"/>
          <w:sz w:val="20"/>
        </w:rPr>
        <w:t> </w:t>
      </w:r>
      <w:r>
        <w:rPr>
          <w:sz w:val="20"/>
        </w:rPr>
        <w:t>McKendrick,</w:t>
      </w:r>
      <w:r>
        <w:rPr>
          <w:spacing w:val="40"/>
          <w:sz w:val="20"/>
        </w:rPr>
        <w:t> </w:t>
      </w:r>
      <w:r>
        <w:rPr>
          <w:sz w:val="20"/>
        </w:rPr>
        <w:t>p.305;</w:t>
      </w:r>
      <w:r>
        <w:rPr>
          <w:spacing w:val="40"/>
          <w:sz w:val="20"/>
        </w:rPr>
        <w:t> </w:t>
      </w:r>
      <w:r>
        <w:rPr>
          <w:sz w:val="20"/>
        </w:rPr>
        <w:t>Friedmann,</w:t>
      </w:r>
      <w:r>
        <w:rPr>
          <w:spacing w:val="40"/>
          <w:sz w:val="20"/>
        </w:rPr>
        <w:t> </w:t>
      </w:r>
      <w:r>
        <w:rPr>
          <w:sz w:val="20"/>
        </w:rPr>
        <w:t>p.399;</w:t>
      </w:r>
      <w:r>
        <w:rPr>
          <w:spacing w:val="40"/>
          <w:sz w:val="20"/>
        </w:rPr>
        <w:t> </w:t>
      </w:r>
      <w:r>
        <w:rPr>
          <w:sz w:val="20"/>
        </w:rPr>
        <w:t>Brownsword</w:t>
      </w:r>
      <w:r>
        <w:rPr>
          <w:spacing w:val="40"/>
          <w:sz w:val="20"/>
        </w:rPr>
        <w:t> </w:t>
      </w:r>
      <w:r>
        <w:rPr>
          <w:sz w:val="20"/>
        </w:rPr>
        <w:t>in</w:t>
      </w:r>
      <w:r>
        <w:rPr>
          <w:spacing w:val="40"/>
          <w:sz w:val="20"/>
        </w:rPr>
        <w:t> </w:t>
      </w:r>
      <w:r>
        <w:rPr>
          <w:sz w:val="20"/>
        </w:rPr>
        <w:t>Deakin</w:t>
      </w:r>
      <w:r>
        <w:rPr>
          <w:spacing w:val="40"/>
          <w:sz w:val="20"/>
        </w:rPr>
        <w:t> </w:t>
      </w:r>
      <w:r>
        <w:rPr>
          <w:sz w:val="20"/>
        </w:rPr>
        <w:t>and</w:t>
      </w:r>
      <w:r>
        <w:rPr>
          <w:spacing w:val="40"/>
          <w:sz w:val="20"/>
        </w:rPr>
        <w:t> </w:t>
      </w:r>
      <w:r>
        <w:rPr>
          <w:sz w:val="20"/>
        </w:rPr>
        <w:t>Michie,</w:t>
      </w:r>
      <w:r>
        <w:rPr>
          <w:spacing w:val="40"/>
          <w:sz w:val="20"/>
        </w:rPr>
        <w:t> </w:t>
      </w:r>
      <w:r>
        <w:rPr>
          <w:rFonts w:ascii="Arial"/>
          <w:i/>
          <w:sz w:val="20"/>
        </w:rPr>
        <w:t>Contracts, Co-operation</w:t>
      </w:r>
      <w:r>
        <w:rPr>
          <w:rFonts w:ascii="Arial"/>
          <w:i/>
          <w:spacing w:val="24"/>
          <w:sz w:val="20"/>
        </w:rPr>
        <w:t> </w:t>
      </w:r>
      <w:r>
        <w:rPr>
          <w:rFonts w:ascii="Arial"/>
          <w:i/>
          <w:sz w:val="20"/>
        </w:rPr>
        <w:t>and</w:t>
      </w:r>
      <w:r>
        <w:rPr>
          <w:rFonts w:ascii="Arial"/>
          <w:i/>
          <w:spacing w:val="24"/>
          <w:sz w:val="20"/>
        </w:rPr>
        <w:t> </w:t>
      </w:r>
      <w:r>
        <w:rPr>
          <w:rFonts w:ascii="Arial"/>
          <w:i/>
          <w:sz w:val="20"/>
        </w:rPr>
        <w:t>Competition</w:t>
      </w:r>
      <w:r>
        <w:rPr>
          <w:rFonts w:ascii="Arial"/>
          <w:i/>
          <w:spacing w:val="23"/>
          <w:sz w:val="20"/>
        </w:rPr>
        <w:t> </w:t>
      </w:r>
      <w:r>
        <w:rPr>
          <w:sz w:val="20"/>
        </w:rPr>
        <w:t>(1997),</w:t>
      </w:r>
      <w:r>
        <w:rPr>
          <w:spacing w:val="24"/>
          <w:sz w:val="20"/>
        </w:rPr>
        <w:t> </w:t>
      </w:r>
      <w:r>
        <w:rPr>
          <w:sz w:val="20"/>
        </w:rPr>
        <w:t>p.255;</w:t>
      </w:r>
      <w:r>
        <w:rPr>
          <w:spacing w:val="24"/>
          <w:sz w:val="20"/>
        </w:rPr>
        <w:t> </w:t>
      </w:r>
      <w:r>
        <w:rPr>
          <w:sz w:val="20"/>
        </w:rPr>
        <w:t>Stein</w:t>
      </w:r>
      <w:r>
        <w:rPr>
          <w:spacing w:val="24"/>
          <w:sz w:val="20"/>
        </w:rPr>
        <w:t> </w:t>
      </w:r>
      <w:r>
        <w:rPr>
          <w:sz w:val="20"/>
        </w:rPr>
        <w:t>(1997)</w:t>
      </w:r>
      <w:r>
        <w:rPr>
          <w:spacing w:val="24"/>
          <w:sz w:val="20"/>
        </w:rPr>
        <w:t> </w:t>
      </w:r>
      <w:r>
        <w:rPr>
          <w:sz w:val="20"/>
        </w:rPr>
        <w:t>113</w:t>
      </w:r>
      <w:r>
        <w:rPr>
          <w:spacing w:val="24"/>
          <w:sz w:val="20"/>
        </w:rPr>
        <w:t> </w:t>
      </w:r>
      <w:r>
        <w:rPr>
          <w:sz w:val="20"/>
        </w:rPr>
        <w:t>L.Q.R.</w:t>
      </w:r>
      <w:r>
        <w:rPr>
          <w:spacing w:val="24"/>
          <w:sz w:val="20"/>
        </w:rPr>
        <w:t> </w:t>
      </w:r>
      <w:r>
        <w:rPr>
          <w:sz w:val="20"/>
        </w:rPr>
        <w:t>433;</w:t>
      </w:r>
      <w:r>
        <w:rPr>
          <w:spacing w:val="24"/>
          <w:sz w:val="20"/>
        </w:rPr>
        <w:t> </w:t>
      </w:r>
      <w:r>
        <w:rPr>
          <w:sz w:val="20"/>
        </w:rPr>
        <w:t>Teubner</w:t>
      </w:r>
      <w:r>
        <w:rPr>
          <w:spacing w:val="24"/>
          <w:sz w:val="20"/>
        </w:rPr>
        <w:t> </w:t>
      </w:r>
      <w:r>
        <w:rPr>
          <w:sz w:val="20"/>
        </w:rPr>
        <w:t>(1998)</w:t>
      </w:r>
      <w:r>
        <w:rPr>
          <w:spacing w:val="24"/>
          <w:sz w:val="20"/>
        </w:rPr>
        <w:t> </w:t>
      </w:r>
      <w:r>
        <w:rPr>
          <w:spacing w:val="-10"/>
          <w:sz w:val="20"/>
        </w:rPr>
        <w:t>6</w:t>
      </w:r>
    </w:p>
    <w:p>
      <w:pPr>
        <w:pStyle w:val="BodyText"/>
        <w:spacing w:line="235" w:lineRule="auto"/>
        <w:ind w:left="705" w:right="167"/>
        <w:jc w:val="both"/>
      </w:pPr>
      <w:r>
        <w:rPr/>
        <w:t>M.L.R. 11; Brownsword [1997] C.L.P. 111; McKendrick, </w:t>
      </w:r>
      <w:r>
        <w:rPr>
          <w:rFonts w:ascii="Arial" w:hAnsi="Arial"/>
          <w:i/>
        </w:rPr>
        <w:t>Contract Law</w:t>
      </w:r>
      <w:r>
        <w:rPr/>
        <w:t>, 6th edn (2014), Ch.15; Smith, </w:t>
      </w:r>
      <w:r>
        <w:rPr>
          <w:rFonts w:ascii="Arial" w:hAnsi="Arial"/>
          <w:i/>
        </w:rPr>
        <w:t>Atiyah’s Introduction to the Law of Contract</w:t>
      </w:r>
      <w:r>
        <w:rPr/>
        <w:t>, 6th edn (2006), pp.164-166. Burrows, </w:t>
      </w:r>
      <w:r>
        <w:rPr>
          <w:rFonts w:ascii="Arial" w:hAnsi="Arial"/>
          <w:i/>
        </w:rPr>
        <w:t>A Restatement of the English Law of Contract </w:t>
      </w:r>
      <w:r>
        <w:rPr/>
        <w:t>(2016) considers that it remains clear that there </w:t>
      </w:r>
      <w:r>
        <w:rPr/>
        <w:t>is no free-standing rule imposing a duty to perform in good faith in English law, though notes that English law sometimes comes to the same result by implying a term: commentary to s.5, p.50; commentary to ss.15(3)–(4), p.93; on the latter, see Vol.I, paras 1-052—1-054A.</w:t>
      </w:r>
    </w:p>
    <w:p>
      <w:pPr>
        <w:pStyle w:val="BodyText"/>
        <w:spacing w:before="3"/>
      </w:pPr>
    </w:p>
    <w:p>
      <w:pPr>
        <w:tabs>
          <w:tab w:pos="705" w:val="left" w:leader="none"/>
        </w:tabs>
        <w:spacing w:line="227" w:lineRule="exact" w:before="0"/>
        <w:ind w:left="165" w:right="0" w:firstLine="0"/>
        <w:jc w:val="left"/>
        <w:rPr>
          <w:sz w:val="20"/>
        </w:rPr>
      </w:pPr>
      <w:bookmarkStart w:name="_bookmark794" w:id="796"/>
      <w:bookmarkEnd w:id="796"/>
      <w:r>
        <w:rPr/>
      </w:r>
      <w:hyperlink w:history="true" w:anchor="_bookmark626">
        <w:r>
          <w:rPr>
            <w:color w:val="005DA1"/>
            <w:spacing w:val="-4"/>
            <w:position w:val="5"/>
            <w:sz w:val="14"/>
            <w:u w:val="single" w:color="005DA1"/>
          </w:rPr>
          <w:t>340</w:t>
        </w:r>
      </w:hyperlink>
      <w:r>
        <w:rPr>
          <w:spacing w:val="-4"/>
          <w:position w:val="5"/>
          <w:sz w:val="14"/>
        </w:rPr>
        <w:t>.</w:t>
      </w:r>
      <w:r>
        <w:rPr>
          <w:position w:val="5"/>
          <w:sz w:val="14"/>
        </w:rPr>
        <w:tab/>
      </w:r>
      <w:r>
        <w:rPr>
          <w:rFonts w:ascii="Arial"/>
          <w:i/>
          <w:sz w:val="20"/>
        </w:rPr>
        <w:t>Interfoto</w:t>
      </w:r>
      <w:r>
        <w:rPr>
          <w:rFonts w:ascii="Arial"/>
          <w:i/>
          <w:spacing w:val="5"/>
          <w:sz w:val="20"/>
        </w:rPr>
        <w:t> </w:t>
      </w:r>
      <w:r>
        <w:rPr>
          <w:rFonts w:ascii="Arial"/>
          <w:i/>
          <w:sz w:val="20"/>
        </w:rPr>
        <w:t>Picture</w:t>
      </w:r>
      <w:r>
        <w:rPr>
          <w:rFonts w:ascii="Arial"/>
          <w:i/>
          <w:spacing w:val="6"/>
          <w:sz w:val="20"/>
        </w:rPr>
        <w:t> </w:t>
      </w:r>
      <w:r>
        <w:rPr>
          <w:rFonts w:ascii="Arial"/>
          <w:i/>
          <w:sz w:val="20"/>
        </w:rPr>
        <w:t>Library</w:t>
      </w:r>
      <w:r>
        <w:rPr>
          <w:rFonts w:ascii="Arial"/>
          <w:i/>
          <w:spacing w:val="6"/>
          <w:sz w:val="20"/>
        </w:rPr>
        <w:t> </w:t>
      </w:r>
      <w:r>
        <w:rPr>
          <w:rFonts w:ascii="Arial"/>
          <w:i/>
          <w:sz w:val="20"/>
        </w:rPr>
        <w:t>Ltd</w:t>
      </w:r>
      <w:r>
        <w:rPr>
          <w:rFonts w:ascii="Arial"/>
          <w:i/>
          <w:spacing w:val="6"/>
          <w:sz w:val="20"/>
        </w:rPr>
        <w:t> </w:t>
      </w:r>
      <w:r>
        <w:rPr>
          <w:rFonts w:ascii="Arial"/>
          <w:i/>
          <w:sz w:val="20"/>
        </w:rPr>
        <w:t>v</w:t>
      </w:r>
      <w:r>
        <w:rPr>
          <w:rFonts w:ascii="Arial"/>
          <w:i/>
          <w:spacing w:val="6"/>
          <w:sz w:val="20"/>
        </w:rPr>
        <w:t> </w:t>
      </w:r>
      <w:r>
        <w:rPr>
          <w:rFonts w:ascii="Arial"/>
          <w:i/>
          <w:sz w:val="20"/>
        </w:rPr>
        <w:t>Stilletto</w:t>
      </w:r>
      <w:r>
        <w:rPr>
          <w:rFonts w:ascii="Arial"/>
          <w:i/>
          <w:spacing w:val="6"/>
          <w:sz w:val="20"/>
        </w:rPr>
        <w:t> </w:t>
      </w:r>
      <w:r>
        <w:rPr>
          <w:rFonts w:ascii="Arial"/>
          <w:i/>
          <w:sz w:val="20"/>
        </w:rPr>
        <w:t>Visual</w:t>
      </w:r>
      <w:r>
        <w:rPr>
          <w:rFonts w:ascii="Arial"/>
          <w:i/>
          <w:spacing w:val="6"/>
          <w:sz w:val="20"/>
        </w:rPr>
        <w:t> </w:t>
      </w:r>
      <w:r>
        <w:rPr>
          <w:rFonts w:ascii="Arial"/>
          <w:i/>
          <w:sz w:val="20"/>
        </w:rPr>
        <w:t>Programmes</w:t>
      </w:r>
      <w:r>
        <w:rPr>
          <w:rFonts w:ascii="Arial"/>
          <w:i/>
          <w:spacing w:val="6"/>
          <w:sz w:val="20"/>
        </w:rPr>
        <w:t> </w:t>
      </w:r>
      <w:r>
        <w:rPr>
          <w:rFonts w:ascii="Arial"/>
          <w:i/>
          <w:sz w:val="20"/>
        </w:rPr>
        <w:t>Ltd</w:t>
      </w:r>
      <w:r>
        <w:rPr>
          <w:rFonts w:ascii="Arial"/>
          <w:i/>
          <w:spacing w:val="6"/>
          <w:sz w:val="20"/>
        </w:rPr>
        <w:t> </w:t>
      </w:r>
      <w:r>
        <w:rPr>
          <w:rFonts w:ascii="Arial"/>
          <w:i/>
          <w:sz w:val="20"/>
        </w:rPr>
        <w:t>[1989]</w:t>
      </w:r>
      <w:r>
        <w:rPr>
          <w:rFonts w:ascii="Arial"/>
          <w:i/>
          <w:spacing w:val="6"/>
          <w:sz w:val="20"/>
        </w:rPr>
        <w:t> </w:t>
      </w:r>
      <w:r>
        <w:rPr>
          <w:rFonts w:ascii="Arial"/>
          <w:i/>
          <w:sz w:val="20"/>
        </w:rPr>
        <w:t>1</w:t>
      </w:r>
      <w:r>
        <w:rPr>
          <w:rFonts w:ascii="Arial"/>
          <w:i/>
          <w:spacing w:val="6"/>
          <w:sz w:val="20"/>
        </w:rPr>
        <w:t> </w:t>
      </w:r>
      <w:r>
        <w:rPr>
          <w:rFonts w:ascii="Arial"/>
          <w:i/>
          <w:sz w:val="20"/>
        </w:rPr>
        <w:t>Q.B.</w:t>
      </w:r>
      <w:r>
        <w:rPr>
          <w:rFonts w:ascii="Arial"/>
          <w:i/>
          <w:spacing w:val="6"/>
          <w:sz w:val="20"/>
        </w:rPr>
        <w:t> </w:t>
      </w:r>
      <w:r>
        <w:rPr>
          <w:rFonts w:ascii="Arial"/>
          <w:i/>
          <w:sz w:val="20"/>
        </w:rPr>
        <w:t>433,</w:t>
      </w:r>
      <w:r>
        <w:rPr>
          <w:rFonts w:ascii="Arial"/>
          <w:i/>
          <w:spacing w:val="6"/>
          <w:sz w:val="20"/>
        </w:rPr>
        <w:t> </w:t>
      </w:r>
      <w:r>
        <w:rPr>
          <w:rFonts w:ascii="Arial"/>
          <w:i/>
          <w:sz w:val="20"/>
        </w:rPr>
        <w:t>439</w:t>
      </w:r>
      <w:r>
        <w:rPr>
          <w:sz w:val="20"/>
        </w:rPr>
        <w:t>.</w:t>
      </w:r>
      <w:r>
        <w:rPr>
          <w:spacing w:val="6"/>
          <w:sz w:val="20"/>
        </w:rPr>
        <w:t> </w:t>
      </w:r>
      <w:r>
        <w:rPr>
          <w:spacing w:val="-2"/>
          <w:sz w:val="20"/>
        </w:rPr>
        <w:t>Bingham</w:t>
      </w:r>
    </w:p>
    <w:p>
      <w:pPr>
        <w:pStyle w:val="BodyText"/>
        <w:spacing w:line="235" w:lineRule="auto" w:before="1"/>
        <w:ind w:left="705" w:right="167"/>
        <w:jc w:val="both"/>
      </w:pPr>
      <w:r>
        <w:rPr/>
        <w:t>L.J. gave as illustrations of these solutions equity’s striking down of unconscionable </w:t>
      </w:r>
      <w:r>
        <w:rPr/>
        <w:t>bargains (see</w:t>
      </w:r>
      <w:r>
        <w:rPr>
          <w:spacing w:val="35"/>
        </w:rPr>
        <w:t> </w:t>
      </w:r>
      <w:r>
        <w:rPr/>
        <w:t>below,</w:t>
      </w:r>
      <w:r>
        <w:rPr>
          <w:spacing w:val="35"/>
        </w:rPr>
        <w:t> </w:t>
      </w:r>
      <w:r>
        <w:rPr/>
        <w:t>paras</w:t>
      </w:r>
      <w:r>
        <w:rPr>
          <w:spacing w:val="35"/>
        </w:rPr>
        <w:t> </w:t>
      </w:r>
      <w:r>
        <w:rPr/>
        <w:t>8-130</w:t>
      </w:r>
      <w:r>
        <w:rPr>
          <w:spacing w:val="35"/>
        </w:rPr>
        <w:t> </w:t>
      </w:r>
      <w:r>
        <w:rPr/>
        <w:t>et</w:t>
      </w:r>
      <w:r>
        <w:rPr>
          <w:spacing w:val="35"/>
        </w:rPr>
        <w:t> </w:t>
      </w:r>
      <w:r>
        <w:rPr/>
        <w:t>seq.),</w:t>
      </w:r>
      <w:r>
        <w:rPr>
          <w:spacing w:val="35"/>
        </w:rPr>
        <w:t> </w:t>
      </w:r>
      <w:r>
        <w:rPr/>
        <w:t>statutory</w:t>
      </w:r>
      <w:r>
        <w:rPr>
          <w:spacing w:val="35"/>
        </w:rPr>
        <w:t> </w:t>
      </w:r>
      <w:r>
        <w:rPr/>
        <w:t>control</w:t>
      </w:r>
      <w:r>
        <w:rPr>
          <w:spacing w:val="35"/>
        </w:rPr>
        <w:t> </w:t>
      </w:r>
      <w:r>
        <w:rPr/>
        <w:t>of</w:t>
      </w:r>
      <w:r>
        <w:rPr>
          <w:spacing w:val="35"/>
        </w:rPr>
        <w:t> </w:t>
      </w:r>
      <w:r>
        <w:rPr/>
        <w:t>exemption</w:t>
      </w:r>
      <w:r>
        <w:rPr>
          <w:spacing w:val="35"/>
        </w:rPr>
        <w:t> </w:t>
      </w:r>
      <w:r>
        <w:rPr/>
        <w:t>clauses</w:t>
      </w:r>
      <w:r>
        <w:rPr>
          <w:spacing w:val="35"/>
        </w:rPr>
        <w:t> </w:t>
      </w:r>
      <w:r>
        <w:rPr/>
        <w:t>(see</w:t>
      </w:r>
      <w:r>
        <w:rPr>
          <w:spacing w:val="35"/>
        </w:rPr>
        <w:t> </w:t>
      </w:r>
      <w:r>
        <w:rPr/>
        <w:t>below,</w:t>
      </w:r>
      <w:r>
        <w:rPr>
          <w:spacing w:val="35"/>
        </w:rPr>
        <w:t> </w:t>
      </w:r>
      <w:r>
        <w:rPr/>
        <w:t>paras 15-066 et seq.) and hire-purchase (see Vol.II, paras 39-356 et seq.) and the ineffectiveness </w:t>
      </w:r>
      <w:r>
        <w:rPr/>
        <w:t>of penalty clauses (see below, paras 26-178 et seq.). See similarly, </w:t>
      </w:r>
      <w:r>
        <w:rPr>
          <w:rFonts w:ascii="Arial" w:hAnsi="Arial"/>
          <w:i/>
        </w:rPr>
        <w:t>Director General of Fair Trading v First National Bank [2001] UKHL 52, [2002] 1 A.C. 507 </w:t>
      </w:r>
      <w:r>
        <w:rPr/>
        <w:t>at [17] (Lord Bingham of Cornhill), on which see Vol.II, para.38-249.</w:t>
      </w:r>
    </w:p>
    <w:p>
      <w:pPr>
        <w:pStyle w:val="BodyText"/>
        <w:spacing w:before="4"/>
      </w:pPr>
    </w:p>
    <w:p>
      <w:pPr>
        <w:tabs>
          <w:tab w:pos="705" w:val="left" w:leader="none"/>
        </w:tabs>
        <w:spacing w:before="0"/>
        <w:ind w:left="165" w:right="0" w:firstLine="0"/>
        <w:jc w:val="left"/>
        <w:rPr>
          <w:sz w:val="20"/>
        </w:rPr>
      </w:pPr>
      <w:bookmarkStart w:name="_bookmark795" w:id="797"/>
      <w:bookmarkEnd w:id="797"/>
      <w:r>
        <w:rPr/>
      </w:r>
      <w:hyperlink w:history="true" w:anchor="_bookmark627">
        <w:r>
          <w:rPr>
            <w:color w:val="005DA1"/>
            <w:spacing w:val="-4"/>
            <w:position w:val="5"/>
            <w:sz w:val="14"/>
            <w:u w:val="single" w:color="005DA1"/>
          </w:rPr>
          <w:t>341</w:t>
        </w:r>
      </w:hyperlink>
      <w:r>
        <w:rPr>
          <w:spacing w:val="-4"/>
          <w:position w:val="5"/>
          <w:sz w:val="14"/>
        </w:rPr>
        <w:t>.</w:t>
      </w:r>
      <w:r>
        <w:rPr>
          <w:position w:val="5"/>
          <w:sz w:val="14"/>
        </w:rPr>
        <w:tab/>
      </w:r>
      <w:r>
        <w:rPr>
          <w:rFonts w:ascii="Arial"/>
          <w:i/>
          <w:sz w:val="20"/>
        </w:rPr>
        <w:t>[1975]</w:t>
      </w:r>
      <w:r>
        <w:rPr>
          <w:rFonts w:ascii="Arial"/>
          <w:i/>
          <w:spacing w:val="-1"/>
          <w:sz w:val="20"/>
        </w:rPr>
        <w:t> </w:t>
      </w:r>
      <w:r>
        <w:rPr>
          <w:rFonts w:ascii="Arial"/>
          <w:i/>
          <w:sz w:val="20"/>
        </w:rPr>
        <w:t>Q.B. 326, 339</w:t>
      </w:r>
      <w:r>
        <w:rPr>
          <w:sz w:val="20"/>
        </w:rPr>
        <w:t>; and see below, para.8-</w:t>
      </w:r>
      <w:r>
        <w:rPr>
          <w:spacing w:val="-4"/>
          <w:sz w:val="20"/>
        </w:rPr>
        <w:t>143.</w:t>
      </w:r>
    </w:p>
    <w:p>
      <w:pPr>
        <w:pStyle w:val="BodyText"/>
        <w:spacing w:before="5"/>
      </w:pPr>
    </w:p>
    <w:p>
      <w:pPr>
        <w:tabs>
          <w:tab w:pos="705" w:val="left" w:leader="none"/>
        </w:tabs>
        <w:spacing w:line="227" w:lineRule="exact" w:before="0"/>
        <w:ind w:left="165" w:right="0" w:firstLine="0"/>
        <w:jc w:val="left"/>
        <w:rPr>
          <w:sz w:val="20"/>
        </w:rPr>
      </w:pPr>
      <w:bookmarkStart w:name="_bookmark796" w:id="798"/>
      <w:bookmarkEnd w:id="798"/>
      <w:r>
        <w:rPr/>
      </w:r>
      <w:hyperlink w:history="true" w:anchor="_bookmark628">
        <w:r>
          <w:rPr>
            <w:color w:val="005DA1"/>
            <w:spacing w:val="-4"/>
            <w:position w:val="5"/>
            <w:sz w:val="14"/>
            <w:u w:val="single" w:color="005DA1"/>
          </w:rPr>
          <w:t>342</w:t>
        </w:r>
      </w:hyperlink>
      <w:r>
        <w:rPr>
          <w:spacing w:val="-4"/>
          <w:position w:val="5"/>
          <w:sz w:val="14"/>
        </w:rPr>
        <w:t>.</w:t>
      </w:r>
      <w:r>
        <w:rPr>
          <w:position w:val="5"/>
          <w:sz w:val="14"/>
        </w:rPr>
        <w:tab/>
      </w:r>
      <w:r>
        <w:rPr>
          <w:rFonts w:ascii="Arial"/>
          <w:i/>
          <w:sz w:val="20"/>
        </w:rPr>
        <w:t>Walford</w:t>
      </w:r>
      <w:r>
        <w:rPr>
          <w:rFonts w:ascii="Arial"/>
          <w:i/>
          <w:spacing w:val="7"/>
          <w:sz w:val="20"/>
        </w:rPr>
        <w:t> </w:t>
      </w:r>
      <w:r>
        <w:rPr>
          <w:rFonts w:ascii="Arial"/>
          <w:i/>
          <w:sz w:val="20"/>
        </w:rPr>
        <w:t>v</w:t>
      </w:r>
      <w:r>
        <w:rPr>
          <w:rFonts w:ascii="Arial"/>
          <w:i/>
          <w:spacing w:val="10"/>
          <w:sz w:val="20"/>
        </w:rPr>
        <w:t> </w:t>
      </w:r>
      <w:r>
        <w:rPr>
          <w:rFonts w:ascii="Arial"/>
          <w:i/>
          <w:sz w:val="20"/>
        </w:rPr>
        <w:t>Miles</w:t>
      </w:r>
      <w:r>
        <w:rPr>
          <w:rFonts w:ascii="Arial"/>
          <w:i/>
          <w:spacing w:val="10"/>
          <w:sz w:val="20"/>
        </w:rPr>
        <w:t> </w:t>
      </w:r>
      <w:r>
        <w:rPr>
          <w:rFonts w:ascii="Arial"/>
          <w:i/>
          <w:sz w:val="20"/>
        </w:rPr>
        <w:t>[1992]</w:t>
      </w:r>
      <w:r>
        <w:rPr>
          <w:rFonts w:ascii="Arial"/>
          <w:i/>
          <w:spacing w:val="10"/>
          <w:sz w:val="20"/>
        </w:rPr>
        <w:t> </w:t>
      </w:r>
      <w:r>
        <w:rPr>
          <w:rFonts w:ascii="Arial"/>
          <w:i/>
          <w:sz w:val="20"/>
        </w:rPr>
        <w:t>2</w:t>
      </w:r>
      <w:r>
        <w:rPr>
          <w:rFonts w:ascii="Arial"/>
          <w:i/>
          <w:spacing w:val="10"/>
          <w:sz w:val="20"/>
        </w:rPr>
        <w:t> </w:t>
      </w:r>
      <w:r>
        <w:rPr>
          <w:rFonts w:ascii="Arial"/>
          <w:i/>
          <w:sz w:val="20"/>
        </w:rPr>
        <w:t>A.C.</w:t>
      </w:r>
      <w:r>
        <w:rPr>
          <w:rFonts w:ascii="Arial"/>
          <w:i/>
          <w:spacing w:val="10"/>
          <w:sz w:val="20"/>
        </w:rPr>
        <w:t> </w:t>
      </w:r>
      <w:r>
        <w:rPr>
          <w:rFonts w:ascii="Arial"/>
          <w:i/>
          <w:sz w:val="20"/>
        </w:rPr>
        <w:t>128,</w:t>
      </w:r>
      <w:r>
        <w:rPr>
          <w:rFonts w:ascii="Arial"/>
          <w:i/>
          <w:spacing w:val="10"/>
          <w:sz w:val="20"/>
        </w:rPr>
        <w:t> </w:t>
      </w:r>
      <w:r>
        <w:rPr>
          <w:rFonts w:ascii="Arial"/>
          <w:i/>
          <w:sz w:val="20"/>
        </w:rPr>
        <w:t>138</w:t>
      </w:r>
      <w:r>
        <w:rPr>
          <w:sz w:val="20"/>
        </w:rPr>
        <w:t>.</w:t>
      </w:r>
      <w:r>
        <w:rPr>
          <w:spacing w:val="10"/>
          <w:sz w:val="20"/>
        </w:rPr>
        <w:t> </w:t>
      </w:r>
      <w:r>
        <w:rPr>
          <w:sz w:val="20"/>
        </w:rPr>
        <w:t>cf.</w:t>
      </w:r>
      <w:r>
        <w:rPr>
          <w:spacing w:val="10"/>
          <w:sz w:val="20"/>
        </w:rPr>
        <w:t> </w:t>
      </w:r>
      <w:r>
        <w:rPr>
          <w:rFonts w:ascii="Arial"/>
          <w:i/>
          <w:sz w:val="20"/>
        </w:rPr>
        <w:t>Little</w:t>
      </w:r>
      <w:r>
        <w:rPr>
          <w:rFonts w:ascii="Arial"/>
          <w:i/>
          <w:spacing w:val="10"/>
          <w:sz w:val="20"/>
        </w:rPr>
        <w:t> </w:t>
      </w:r>
      <w:r>
        <w:rPr>
          <w:rFonts w:ascii="Arial"/>
          <w:i/>
          <w:sz w:val="20"/>
        </w:rPr>
        <w:t>v</w:t>
      </w:r>
      <w:r>
        <w:rPr>
          <w:rFonts w:ascii="Arial"/>
          <w:i/>
          <w:spacing w:val="10"/>
          <w:sz w:val="20"/>
        </w:rPr>
        <w:t> </w:t>
      </w:r>
      <w:r>
        <w:rPr>
          <w:rFonts w:ascii="Arial"/>
          <w:i/>
          <w:sz w:val="20"/>
        </w:rPr>
        <w:t>Courage</w:t>
      </w:r>
      <w:r>
        <w:rPr>
          <w:rFonts w:ascii="Arial"/>
          <w:i/>
          <w:spacing w:val="10"/>
          <w:sz w:val="20"/>
        </w:rPr>
        <w:t> </w:t>
      </w:r>
      <w:r>
        <w:rPr>
          <w:rFonts w:ascii="Arial"/>
          <w:i/>
          <w:sz w:val="20"/>
        </w:rPr>
        <w:t>Ltd,</w:t>
      </w:r>
      <w:r>
        <w:rPr>
          <w:rFonts w:ascii="Arial"/>
          <w:i/>
          <w:spacing w:val="10"/>
          <w:sz w:val="20"/>
        </w:rPr>
        <w:t> </w:t>
      </w:r>
      <w:r>
        <w:rPr>
          <w:rFonts w:ascii="Arial"/>
          <w:i/>
          <w:sz w:val="20"/>
        </w:rPr>
        <w:t>The</w:t>
      </w:r>
      <w:r>
        <w:rPr>
          <w:rFonts w:ascii="Arial"/>
          <w:i/>
          <w:spacing w:val="10"/>
          <w:sz w:val="20"/>
        </w:rPr>
        <w:t> </w:t>
      </w:r>
      <w:r>
        <w:rPr>
          <w:rFonts w:ascii="Arial"/>
          <w:i/>
          <w:sz w:val="20"/>
        </w:rPr>
        <w:t>Times,</w:t>
      </w:r>
      <w:r>
        <w:rPr>
          <w:rFonts w:ascii="Arial"/>
          <w:i/>
          <w:spacing w:val="10"/>
          <w:sz w:val="20"/>
        </w:rPr>
        <w:t> </w:t>
      </w:r>
      <w:r>
        <w:rPr>
          <w:rFonts w:ascii="Arial"/>
          <w:i/>
          <w:sz w:val="20"/>
        </w:rPr>
        <w:t>January</w:t>
      </w:r>
      <w:r>
        <w:rPr>
          <w:rFonts w:ascii="Arial"/>
          <w:i/>
          <w:spacing w:val="10"/>
          <w:sz w:val="20"/>
        </w:rPr>
        <w:t> </w:t>
      </w:r>
      <w:r>
        <w:rPr>
          <w:rFonts w:ascii="Arial"/>
          <w:i/>
          <w:sz w:val="20"/>
        </w:rPr>
        <w:t>19,</w:t>
      </w:r>
      <w:r>
        <w:rPr>
          <w:rFonts w:ascii="Arial"/>
          <w:i/>
          <w:spacing w:val="10"/>
          <w:sz w:val="20"/>
        </w:rPr>
        <w:t> </w:t>
      </w:r>
      <w:r>
        <w:rPr>
          <w:rFonts w:ascii="Arial"/>
          <w:i/>
          <w:spacing w:val="-2"/>
          <w:sz w:val="20"/>
        </w:rPr>
        <w:t>1994</w:t>
      </w:r>
      <w:r>
        <w:rPr>
          <w:spacing w:val="-2"/>
          <w:sz w:val="20"/>
        </w:rPr>
        <w:t>;</w:t>
      </w:r>
    </w:p>
    <w:p>
      <w:pPr>
        <w:spacing w:line="235" w:lineRule="auto" w:before="2"/>
        <w:ind w:left="705" w:right="167" w:firstLine="0"/>
        <w:jc w:val="both"/>
        <w:rPr>
          <w:sz w:val="20"/>
        </w:rPr>
      </w:pPr>
      <w:r>
        <w:rPr>
          <w:rFonts w:ascii="Arial" w:hAnsi="Arial"/>
          <w:i/>
          <w:sz w:val="20"/>
        </w:rPr>
        <w:t>Cobbe v Yeomans Row Management Ltd [2006] EWCA Civ 1139, [2006] 1 W.L.R. 2964 </w:t>
      </w:r>
      <w:r>
        <w:rPr>
          <w:sz w:val="20"/>
        </w:rPr>
        <w:t>at [4]. The CA’s decision on the facts applying the doctrine of proprietary estoppel was overturned by the House of Lords: see </w:t>
      </w:r>
      <w:r>
        <w:rPr>
          <w:rFonts w:ascii="Arial" w:hAnsi="Arial"/>
          <w:i/>
          <w:sz w:val="20"/>
        </w:rPr>
        <w:t>[2008] UKHL 55 </w:t>
      </w:r>
      <w:r>
        <w:rPr>
          <w:sz w:val="20"/>
        </w:rPr>
        <w:t>and below, paras 4-161—4-162.</w:t>
      </w:r>
    </w:p>
    <w:p>
      <w:pPr>
        <w:pStyle w:val="BodyText"/>
        <w:spacing w:before="8"/>
      </w:pPr>
    </w:p>
    <w:p>
      <w:pPr>
        <w:tabs>
          <w:tab w:pos="705" w:val="left" w:leader="none"/>
        </w:tabs>
        <w:spacing w:line="235" w:lineRule="auto" w:before="0"/>
        <w:ind w:left="705" w:right="168" w:hanging="541"/>
        <w:jc w:val="left"/>
        <w:rPr>
          <w:sz w:val="20"/>
        </w:rPr>
      </w:pPr>
      <w:bookmarkStart w:name="_bookmark797" w:id="799"/>
      <w:bookmarkEnd w:id="799"/>
      <w:r>
        <w:rPr/>
      </w:r>
      <w:hyperlink w:history="true" w:anchor="_bookmark629">
        <w:r>
          <w:rPr>
            <w:color w:val="005DA1"/>
            <w:spacing w:val="-4"/>
            <w:position w:val="5"/>
            <w:sz w:val="14"/>
            <w:u w:val="single" w:color="005DA1"/>
          </w:rPr>
          <w:t>343</w:t>
        </w:r>
      </w:hyperlink>
      <w:r>
        <w:rPr>
          <w:spacing w:val="-4"/>
          <w:position w:val="5"/>
          <w:sz w:val="14"/>
        </w:rPr>
        <w:t>.</w:t>
      </w:r>
      <w:r>
        <w:rPr>
          <w:position w:val="5"/>
          <w:sz w:val="14"/>
        </w:rPr>
        <w:tab/>
      </w:r>
      <w:r>
        <w:rPr>
          <w:rFonts w:ascii="Arial" w:hAnsi="Arial"/>
          <w:i/>
          <w:sz w:val="20"/>
        </w:rPr>
        <w:t>[1992] 2 A.C. 128, 138</w:t>
      </w:r>
      <w:r>
        <w:rPr>
          <w:sz w:val="20"/>
        </w:rPr>
        <w:t>. The agreement was held unenforceable on the grounds of uncertainty, and see below, paras 2-143—2-145.</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798" w:id="800"/>
      <w:bookmarkEnd w:id="800"/>
      <w:r>
        <w:rPr/>
      </w:r>
      <w:hyperlink w:history="true" w:anchor="_bookmark630">
        <w:r>
          <w:rPr>
            <w:color w:val="005DA1"/>
            <w:spacing w:val="-4"/>
            <w:position w:val="5"/>
            <w:sz w:val="14"/>
            <w:u w:val="single" w:color="005DA1"/>
          </w:rPr>
          <w:t>344</w:t>
        </w:r>
      </w:hyperlink>
      <w:r>
        <w:rPr>
          <w:spacing w:val="-4"/>
          <w:position w:val="5"/>
          <w:sz w:val="14"/>
        </w:rPr>
        <w:t>.</w:t>
      </w:r>
      <w:r>
        <w:rPr>
          <w:position w:val="5"/>
          <w:sz w:val="14"/>
        </w:rPr>
        <w:tab/>
      </w:r>
      <w:r>
        <w:rPr>
          <w:rFonts w:ascii="Arial"/>
          <w:i/>
          <w:sz w:val="20"/>
        </w:rPr>
        <w:t>[1992]</w:t>
      </w:r>
      <w:r>
        <w:rPr>
          <w:rFonts w:ascii="Arial"/>
          <w:i/>
          <w:spacing w:val="1"/>
          <w:sz w:val="20"/>
        </w:rPr>
        <w:t> </w:t>
      </w:r>
      <w:r>
        <w:rPr>
          <w:rFonts w:ascii="Arial"/>
          <w:i/>
          <w:sz w:val="20"/>
        </w:rPr>
        <w:t>2</w:t>
      </w:r>
      <w:r>
        <w:rPr>
          <w:rFonts w:ascii="Arial"/>
          <w:i/>
          <w:spacing w:val="4"/>
          <w:sz w:val="20"/>
        </w:rPr>
        <w:t> </w:t>
      </w:r>
      <w:r>
        <w:rPr>
          <w:rFonts w:ascii="Arial"/>
          <w:i/>
          <w:sz w:val="20"/>
        </w:rPr>
        <w:t>A.C.</w:t>
      </w:r>
      <w:r>
        <w:rPr>
          <w:rFonts w:ascii="Arial"/>
          <w:i/>
          <w:spacing w:val="4"/>
          <w:sz w:val="20"/>
        </w:rPr>
        <w:t> </w:t>
      </w:r>
      <w:r>
        <w:rPr>
          <w:rFonts w:ascii="Arial"/>
          <w:i/>
          <w:sz w:val="20"/>
        </w:rPr>
        <w:t>128,</w:t>
      </w:r>
      <w:r>
        <w:rPr>
          <w:rFonts w:ascii="Arial"/>
          <w:i/>
          <w:spacing w:val="4"/>
          <w:sz w:val="20"/>
        </w:rPr>
        <w:t> </w:t>
      </w:r>
      <w:r>
        <w:rPr>
          <w:rFonts w:ascii="Arial"/>
          <w:i/>
          <w:sz w:val="20"/>
        </w:rPr>
        <w:t>138</w:t>
      </w:r>
      <w:r>
        <w:rPr>
          <w:sz w:val="20"/>
        </w:rPr>
        <w:t>.</w:t>
      </w:r>
      <w:r>
        <w:rPr>
          <w:spacing w:val="4"/>
          <w:sz w:val="20"/>
        </w:rPr>
        <w:t> </w:t>
      </w:r>
      <w:r>
        <w:rPr>
          <w:sz w:val="20"/>
        </w:rPr>
        <w:t>In</w:t>
      </w:r>
      <w:r>
        <w:rPr>
          <w:spacing w:val="4"/>
          <w:sz w:val="20"/>
        </w:rPr>
        <w:t> </w:t>
      </w:r>
      <w:r>
        <w:rPr>
          <w:rFonts w:ascii="Arial"/>
          <w:i/>
          <w:sz w:val="20"/>
        </w:rPr>
        <w:t>Banque</w:t>
      </w:r>
      <w:r>
        <w:rPr>
          <w:rFonts w:ascii="Arial"/>
          <w:i/>
          <w:spacing w:val="4"/>
          <w:sz w:val="20"/>
        </w:rPr>
        <w:t> </w:t>
      </w:r>
      <w:r>
        <w:rPr>
          <w:rFonts w:ascii="Arial"/>
          <w:i/>
          <w:sz w:val="20"/>
        </w:rPr>
        <w:t>Keyser</w:t>
      </w:r>
      <w:r>
        <w:rPr>
          <w:rFonts w:ascii="Arial"/>
          <w:i/>
          <w:spacing w:val="4"/>
          <w:sz w:val="20"/>
        </w:rPr>
        <w:t> </w:t>
      </w:r>
      <w:r>
        <w:rPr>
          <w:rFonts w:ascii="Arial"/>
          <w:i/>
          <w:sz w:val="20"/>
        </w:rPr>
        <w:t>Ullmann</w:t>
      </w:r>
      <w:r>
        <w:rPr>
          <w:rFonts w:ascii="Arial"/>
          <w:i/>
          <w:spacing w:val="4"/>
          <w:sz w:val="20"/>
        </w:rPr>
        <w:t> </w:t>
      </w:r>
      <w:r>
        <w:rPr>
          <w:rFonts w:ascii="Arial"/>
          <w:i/>
          <w:sz w:val="20"/>
        </w:rPr>
        <w:t>SA</w:t>
      </w:r>
      <w:r>
        <w:rPr>
          <w:rFonts w:ascii="Arial"/>
          <w:i/>
          <w:spacing w:val="4"/>
          <w:sz w:val="20"/>
        </w:rPr>
        <w:t> </w:t>
      </w:r>
      <w:r>
        <w:rPr>
          <w:rFonts w:ascii="Arial"/>
          <w:i/>
          <w:sz w:val="20"/>
        </w:rPr>
        <w:t>v</w:t>
      </w:r>
      <w:r>
        <w:rPr>
          <w:rFonts w:ascii="Arial"/>
          <w:i/>
          <w:spacing w:val="4"/>
          <w:sz w:val="20"/>
        </w:rPr>
        <w:t> </w:t>
      </w:r>
      <w:r>
        <w:rPr>
          <w:rFonts w:ascii="Arial"/>
          <w:i/>
          <w:sz w:val="20"/>
        </w:rPr>
        <w:t>Skandia</w:t>
      </w:r>
      <w:r>
        <w:rPr>
          <w:rFonts w:ascii="Arial"/>
          <w:i/>
          <w:spacing w:val="4"/>
          <w:sz w:val="20"/>
        </w:rPr>
        <w:t> </w:t>
      </w:r>
      <w:r>
        <w:rPr>
          <w:rFonts w:ascii="Arial"/>
          <w:i/>
          <w:sz w:val="20"/>
        </w:rPr>
        <w:t>(UK)</w:t>
      </w:r>
      <w:r>
        <w:rPr>
          <w:rFonts w:ascii="Arial"/>
          <w:i/>
          <w:spacing w:val="4"/>
          <w:sz w:val="20"/>
        </w:rPr>
        <w:t> </w:t>
      </w:r>
      <w:r>
        <w:rPr>
          <w:rFonts w:ascii="Arial"/>
          <w:i/>
          <w:sz w:val="20"/>
        </w:rPr>
        <w:t>Insurance</w:t>
      </w:r>
      <w:r>
        <w:rPr>
          <w:rFonts w:ascii="Arial"/>
          <w:i/>
          <w:spacing w:val="4"/>
          <w:sz w:val="20"/>
        </w:rPr>
        <w:t> </w:t>
      </w:r>
      <w:r>
        <w:rPr>
          <w:rFonts w:ascii="Arial"/>
          <w:i/>
          <w:sz w:val="20"/>
        </w:rPr>
        <w:t>Co</w:t>
      </w:r>
      <w:r>
        <w:rPr>
          <w:rFonts w:ascii="Arial"/>
          <w:i/>
          <w:spacing w:val="4"/>
          <w:sz w:val="20"/>
        </w:rPr>
        <w:t> </w:t>
      </w:r>
      <w:r>
        <w:rPr>
          <w:rFonts w:ascii="Arial"/>
          <w:i/>
          <w:sz w:val="20"/>
        </w:rPr>
        <w:t>Ltd</w:t>
      </w:r>
      <w:r>
        <w:rPr>
          <w:rFonts w:ascii="Arial"/>
          <w:i/>
          <w:spacing w:val="4"/>
          <w:sz w:val="20"/>
        </w:rPr>
        <w:t> </w:t>
      </w:r>
      <w:r>
        <w:rPr>
          <w:rFonts w:ascii="Arial"/>
          <w:i/>
          <w:spacing w:val="-2"/>
          <w:sz w:val="20"/>
        </w:rPr>
        <w:t>[1990]</w:t>
      </w:r>
    </w:p>
    <w:p>
      <w:pPr>
        <w:pStyle w:val="BodyText"/>
        <w:spacing w:line="235" w:lineRule="auto" w:before="1"/>
        <w:ind w:left="705" w:right="167"/>
        <w:jc w:val="both"/>
      </w:pPr>
      <w:r>
        <w:rPr>
          <w:rFonts w:ascii="Arial" w:hAnsi="Arial"/>
          <w:i/>
        </w:rPr>
        <w:t>1</w:t>
      </w:r>
      <w:r>
        <w:rPr>
          <w:rFonts w:ascii="Arial" w:hAnsi="Arial"/>
          <w:i/>
          <w:spacing w:val="-2"/>
        </w:rPr>
        <w:t> </w:t>
      </w:r>
      <w:r>
        <w:rPr>
          <w:rFonts w:ascii="Arial" w:hAnsi="Arial"/>
          <w:i/>
        </w:rPr>
        <w:t>Q.B.</w:t>
      </w:r>
      <w:r>
        <w:rPr>
          <w:rFonts w:ascii="Arial" w:hAnsi="Arial"/>
          <w:i/>
          <w:spacing w:val="-2"/>
        </w:rPr>
        <w:t> </w:t>
      </w:r>
      <w:r>
        <w:rPr>
          <w:rFonts w:ascii="Arial" w:hAnsi="Arial"/>
          <w:i/>
        </w:rPr>
        <w:t>665,</w:t>
      </w:r>
      <w:r>
        <w:rPr>
          <w:rFonts w:ascii="Arial" w:hAnsi="Arial"/>
          <w:i/>
          <w:spacing w:val="-2"/>
        </w:rPr>
        <w:t> </w:t>
      </w:r>
      <w:r>
        <w:rPr>
          <w:rFonts w:ascii="Arial" w:hAnsi="Arial"/>
          <w:i/>
        </w:rPr>
        <w:t>772</w:t>
      </w:r>
      <w:r>
        <w:rPr>
          <w:rFonts w:ascii="Arial" w:hAnsi="Arial"/>
          <w:i/>
          <w:spacing w:val="-2"/>
        </w:rPr>
        <w:t> </w:t>
      </w:r>
      <w:r>
        <w:rPr>
          <w:rFonts w:ascii="Arial" w:hAnsi="Arial"/>
          <w:i/>
        </w:rPr>
        <w:t>(affirmed</w:t>
      </w:r>
      <w:r>
        <w:rPr>
          <w:rFonts w:ascii="Arial" w:hAnsi="Arial"/>
          <w:i/>
          <w:spacing w:val="-2"/>
        </w:rPr>
        <w:t> </w:t>
      </w:r>
      <w:r>
        <w:rPr>
          <w:rFonts w:ascii="Arial" w:hAnsi="Arial"/>
          <w:i/>
        </w:rPr>
        <w:t>on</w:t>
      </w:r>
      <w:r>
        <w:rPr>
          <w:rFonts w:ascii="Arial" w:hAnsi="Arial"/>
          <w:i/>
          <w:spacing w:val="-2"/>
        </w:rPr>
        <w:t> </w:t>
      </w:r>
      <w:r>
        <w:rPr>
          <w:rFonts w:ascii="Arial" w:hAnsi="Arial"/>
          <w:i/>
        </w:rPr>
        <w:t>other</w:t>
      </w:r>
      <w:r>
        <w:rPr>
          <w:rFonts w:ascii="Arial" w:hAnsi="Arial"/>
          <w:i/>
          <w:spacing w:val="-2"/>
        </w:rPr>
        <w:t> </w:t>
      </w:r>
      <w:r>
        <w:rPr>
          <w:rFonts w:ascii="Arial" w:hAnsi="Arial"/>
          <w:i/>
        </w:rPr>
        <w:t>grounds</w:t>
      </w:r>
      <w:r>
        <w:rPr>
          <w:rFonts w:ascii="Arial" w:hAnsi="Arial"/>
          <w:i/>
          <w:spacing w:val="-2"/>
        </w:rPr>
        <w:t> </w:t>
      </w:r>
      <w:r>
        <w:rPr>
          <w:rFonts w:ascii="Arial" w:hAnsi="Arial"/>
          <w:i/>
        </w:rPr>
        <w:t>[1990]</w:t>
      </w:r>
      <w:r>
        <w:rPr>
          <w:rFonts w:ascii="Arial" w:hAnsi="Arial"/>
          <w:i/>
          <w:spacing w:val="-2"/>
        </w:rPr>
        <w:t> </w:t>
      </w:r>
      <w:r>
        <w:rPr>
          <w:rFonts w:ascii="Arial" w:hAnsi="Arial"/>
          <w:i/>
        </w:rPr>
        <w:t>2</w:t>
      </w:r>
      <w:r>
        <w:rPr>
          <w:rFonts w:ascii="Arial" w:hAnsi="Arial"/>
          <w:i/>
          <w:spacing w:val="-2"/>
        </w:rPr>
        <w:t> </w:t>
      </w:r>
      <w:r>
        <w:rPr>
          <w:rFonts w:ascii="Arial" w:hAnsi="Arial"/>
          <w:i/>
        </w:rPr>
        <w:t>All</w:t>
      </w:r>
      <w:r>
        <w:rPr>
          <w:rFonts w:ascii="Arial" w:hAnsi="Arial"/>
          <w:i/>
          <w:spacing w:val="-2"/>
        </w:rPr>
        <w:t> </w:t>
      </w:r>
      <w:r>
        <w:rPr>
          <w:rFonts w:ascii="Arial" w:hAnsi="Arial"/>
          <w:i/>
        </w:rPr>
        <w:t>E.R.</w:t>
      </w:r>
      <w:r>
        <w:rPr>
          <w:rFonts w:ascii="Arial" w:hAnsi="Arial"/>
          <w:i/>
          <w:spacing w:val="-2"/>
        </w:rPr>
        <w:t> </w:t>
      </w:r>
      <w:r>
        <w:rPr>
          <w:rFonts w:ascii="Arial" w:hAnsi="Arial"/>
          <w:i/>
        </w:rPr>
        <w:t>947)</w:t>
      </w:r>
      <w:r>
        <w:rPr/>
        <w:t>,</w:t>
      </w:r>
      <w:r>
        <w:rPr>
          <w:spacing w:val="-2"/>
        </w:rPr>
        <w:t> </w:t>
      </w:r>
      <w:r>
        <w:rPr/>
        <w:t>Slade</w:t>
      </w:r>
      <w:r>
        <w:rPr>
          <w:spacing w:val="-2"/>
        </w:rPr>
        <w:t> </w:t>
      </w:r>
      <w:r>
        <w:rPr/>
        <w:t>L.J.</w:t>
      </w:r>
      <w:r>
        <w:rPr>
          <w:spacing w:val="-2"/>
        </w:rPr>
        <w:t> </w:t>
      </w:r>
      <w:r>
        <w:rPr/>
        <w:t>rejected</w:t>
      </w:r>
      <w:r>
        <w:rPr>
          <w:spacing w:val="-2"/>
        </w:rPr>
        <w:t> </w:t>
      </w:r>
      <w:r>
        <w:rPr/>
        <w:t>Steyn</w:t>
      </w:r>
      <w:r>
        <w:rPr>
          <w:spacing w:val="-2"/>
        </w:rPr>
        <w:t> </w:t>
      </w:r>
      <w:r>
        <w:rPr/>
        <w:t>J.’s formulation of the content of the ambit of the duty of disclosure on insurers based simply on </w:t>
      </w:r>
      <w:r>
        <w:rPr/>
        <w:t>the question “did good faith and fair dealing require a disclosure?” on the ground that: “[I]n the case of commercial contracts, broad concepts of honesty and fair dealing, however laudable, are </w:t>
      </w:r>
      <w:r>
        <w:rPr/>
        <w:t>a somewhat uncertain guide when determining the existence or otherwise of an obligation </w:t>
      </w:r>
      <w:r>
        <w:rPr/>
        <w:t>which may</w:t>
      </w:r>
      <w:r>
        <w:rPr>
          <w:spacing w:val="39"/>
        </w:rPr>
        <w:t> </w:t>
      </w:r>
      <w:r>
        <w:rPr/>
        <w:t>arise</w:t>
      </w:r>
      <w:r>
        <w:rPr>
          <w:spacing w:val="39"/>
        </w:rPr>
        <w:t> </w:t>
      </w:r>
      <w:r>
        <w:rPr/>
        <w:t>even</w:t>
      </w:r>
      <w:r>
        <w:rPr>
          <w:spacing w:val="39"/>
        </w:rPr>
        <w:t> </w:t>
      </w:r>
      <w:r>
        <w:rPr/>
        <w:t>in</w:t>
      </w:r>
      <w:r>
        <w:rPr>
          <w:spacing w:val="39"/>
        </w:rPr>
        <w:t> </w:t>
      </w:r>
      <w:r>
        <w:rPr/>
        <w:t>the</w:t>
      </w:r>
      <w:r>
        <w:rPr>
          <w:spacing w:val="39"/>
        </w:rPr>
        <w:t> </w:t>
      </w:r>
      <w:r>
        <w:rPr/>
        <w:t>absence</w:t>
      </w:r>
      <w:r>
        <w:rPr>
          <w:spacing w:val="39"/>
        </w:rPr>
        <w:t> </w:t>
      </w:r>
      <w:r>
        <w:rPr/>
        <w:t>of</w:t>
      </w:r>
      <w:r>
        <w:rPr>
          <w:spacing w:val="39"/>
        </w:rPr>
        <w:t> </w:t>
      </w:r>
      <w:r>
        <w:rPr/>
        <w:t>any</w:t>
      </w:r>
      <w:r>
        <w:rPr>
          <w:spacing w:val="39"/>
        </w:rPr>
        <w:t> </w:t>
      </w:r>
      <w:r>
        <w:rPr/>
        <w:t>dishonest</w:t>
      </w:r>
      <w:r>
        <w:rPr>
          <w:spacing w:val="39"/>
        </w:rPr>
        <w:t> </w:t>
      </w:r>
      <w:r>
        <w:rPr/>
        <w:t>or</w:t>
      </w:r>
      <w:r>
        <w:rPr>
          <w:spacing w:val="39"/>
        </w:rPr>
        <w:t> </w:t>
      </w:r>
      <w:r>
        <w:rPr/>
        <w:t>unfair</w:t>
      </w:r>
      <w:r>
        <w:rPr>
          <w:spacing w:val="39"/>
        </w:rPr>
        <w:t> </w:t>
      </w:r>
      <w:r>
        <w:rPr/>
        <w:t>intent”.</w:t>
      </w:r>
      <w:r>
        <w:rPr>
          <w:spacing w:val="39"/>
        </w:rPr>
        <w:t> </w:t>
      </w:r>
      <w:r>
        <w:rPr/>
        <w:t>See</w:t>
      </w:r>
      <w:r>
        <w:rPr>
          <w:spacing w:val="39"/>
        </w:rPr>
        <w:t> </w:t>
      </w:r>
      <w:r>
        <w:rPr/>
        <w:t>further</w:t>
      </w:r>
      <w:r>
        <w:rPr>
          <w:spacing w:val="39"/>
        </w:rPr>
        <w:t> </w:t>
      </w:r>
      <w:r>
        <w:rPr/>
        <w:t>Vol.II,</w:t>
      </w:r>
      <w:r>
        <w:rPr>
          <w:spacing w:val="39"/>
        </w:rPr>
        <w:t> </w:t>
      </w:r>
      <w:r>
        <w:rPr/>
        <w:t>paras 42-030 et seq.</w:t>
      </w:r>
    </w:p>
    <w:p>
      <w:pPr>
        <w:pStyle w:val="BodyText"/>
        <w:spacing w:before="7"/>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0080">
            <wp:simplePos x="0" y="0"/>
            <wp:positionH relativeFrom="page">
              <wp:posOffset>1257846</wp:posOffset>
            </wp:positionH>
            <wp:positionV relativeFrom="paragraph">
              <wp:posOffset>160748</wp:posOffset>
            </wp:positionV>
            <wp:extent cx="107988" cy="107988"/>
            <wp:effectExtent l="0" t="0" r="0" b="0"/>
            <wp:wrapNone/>
            <wp:docPr id="279" name="Image 279"/>
            <wp:cNvGraphicFramePr>
              <a:graphicFrameLocks/>
            </wp:cNvGraphicFramePr>
            <a:graphic>
              <a:graphicData uri="http://schemas.openxmlformats.org/drawingml/2006/picture">
                <pic:pic>
                  <pic:nvPicPr>
                    <pic:cNvPr id="279" name="Image 27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99" w:id="801"/>
      <w:bookmarkEnd w:id="801"/>
      <w:r>
        <w:rPr/>
      </w:r>
      <w:hyperlink w:history="true" w:anchor="_bookmark631">
        <w:r>
          <w:rPr>
            <w:color w:val="005DA1"/>
            <w:spacing w:val="-4"/>
            <w:sz w:val="14"/>
            <w:u w:val="single" w:color="005DA1"/>
          </w:rPr>
          <w:t>345</w:t>
        </w:r>
      </w:hyperlink>
      <w:r>
        <w:rPr>
          <w:spacing w:val="-4"/>
          <w:sz w:val="14"/>
        </w:rPr>
        <w:t>.</w:t>
      </w:r>
    </w:p>
    <w:p>
      <w:pPr>
        <w:spacing w:line="235" w:lineRule="auto" w:before="213"/>
        <w:ind w:left="165" w:right="167" w:firstLine="170"/>
        <w:jc w:val="both"/>
        <w:rPr>
          <w:sz w:val="20"/>
        </w:rPr>
      </w:pPr>
      <w:r>
        <w:rPr/>
        <w:br w:type="column"/>
      </w:r>
      <w:r>
        <w:rPr>
          <w:rFonts w:ascii="Arial" w:hAnsi="Arial"/>
          <w:i/>
          <w:sz w:val="20"/>
        </w:rPr>
        <w:t>James Spencer &amp; Co Ltd v Tame Valley Padding Co Ltd Unreported April 8, 1998 CA (Civ Div)</w:t>
      </w:r>
      <w:r>
        <w:rPr>
          <w:sz w:val="20"/>
        </w:rPr>
        <w:t>. See similarly </w:t>
      </w:r>
      <w:r>
        <w:rPr>
          <w:rFonts w:ascii="Arial" w:hAnsi="Arial"/>
          <w:i/>
          <w:sz w:val="20"/>
        </w:rPr>
        <w:t>Bernhard Schulte GmbH &amp; Co KG v Nile Holdings Ltd [2004] EWHC </w:t>
      </w:r>
      <w:r>
        <w:rPr>
          <w:rFonts w:ascii="Arial" w:hAnsi="Arial"/>
          <w:i/>
          <w:sz w:val="20"/>
        </w:rPr>
        <w:t>977, [2004] 2 Lloyd’s Rep. 352 </w:t>
      </w:r>
      <w:r>
        <w:rPr>
          <w:sz w:val="20"/>
        </w:rPr>
        <w:t>at [113]; </w:t>
      </w:r>
      <w:r>
        <w:rPr>
          <w:rFonts w:ascii="Arial" w:hAnsi="Arial"/>
          <w:i/>
          <w:sz w:val="20"/>
        </w:rPr>
        <w:t>Horkulak v Cantor Fitzgerald International [2004] EWCA Civ 1287, [2005] I.C.R. 402 </w:t>
      </w:r>
      <w:r>
        <w:rPr>
          <w:sz w:val="20"/>
        </w:rPr>
        <w:t>at [30]; </w:t>
      </w:r>
      <w:r>
        <w:rPr>
          <w:rFonts w:ascii="Arial" w:hAnsi="Arial"/>
          <w:i/>
          <w:sz w:val="20"/>
        </w:rPr>
        <w:t>Mid Essex Hospital Services NHS Trust v Compass Group UK and Ireland Ltd (t/a Medirest) [2013] EWCA Civ 200, [2013] B.L.R. 265 </w:t>
      </w:r>
      <w:r>
        <w:rPr>
          <w:sz w:val="20"/>
        </w:rPr>
        <w:t>at [105]; </w:t>
      </w:r>
      <w:r>
        <w:rPr>
          <w:rFonts w:ascii="Arial" w:hAnsi="Arial"/>
          <w:i/>
          <w:sz w:val="20"/>
        </w:rPr>
        <w:t>MSC Mediterranean Shipping Co SA v Cottonex Anstalt [2016] EWCA Civ 789, [2017] 1 All E.R. (Comm) 483 </w:t>
      </w:r>
      <w:r>
        <w:rPr>
          <w:sz w:val="20"/>
        </w:rPr>
        <w:t>at [45]. cf. </w:t>
      </w:r>
      <w:r>
        <w:rPr>
          <w:rFonts w:ascii="Arial" w:hAnsi="Arial"/>
          <w:i/>
          <w:sz w:val="20"/>
        </w:rPr>
        <w:t>Yam Seng Pte Ltd v International Trade Corp Ltd [2013] EWHC 111 (QB), [2013] Lloyd’s Rep. 526 </w:t>
      </w:r>
      <w:r>
        <w:rPr>
          <w:sz w:val="20"/>
        </w:rPr>
        <w:t>at [121]–[154] where Leggatt J. discussed, obiter, the arguments in favour of and against the recognition of an apparently general implied duty of good faith in</w:t>
      </w:r>
      <w:r>
        <w:rPr>
          <w:spacing w:val="40"/>
          <w:sz w:val="20"/>
        </w:rPr>
        <w:t> </w:t>
      </w:r>
      <w:r>
        <w:rPr>
          <w:sz w:val="20"/>
        </w:rPr>
        <w:t>the performance of contracts. On the latter see below, para.1-053.</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6"/>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0592">
            <wp:simplePos x="0" y="0"/>
            <wp:positionH relativeFrom="page">
              <wp:posOffset>1257846</wp:posOffset>
            </wp:positionH>
            <wp:positionV relativeFrom="paragraph">
              <wp:posOffset>160242</wp:posOffset>
            </wp:positionV>
            <wp:extent cx="107988" cy="107988"/>
            <wp:effectExtent l="0" t="0" r="0" b="0"/>
            <wp:wrapNone/>
            <wp:docPr id="280" name="Image 280"/>
            <wp:cNvGraphicFramePr>
              <a:graphicFrameLocks/>
            </wp:cNvGraphicFramePr>
            <a:graphic>
              <a:graphicData uri="http://schemas.openxmlformats.org/drawingml/2006/picture">
                <pic:pic>
                  <pic:nvPicPr>
                    <pic:cNvPr id="280" name="Image 28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00" w:id="802"/>
      <w:bookmarkEnd w:id="802"/>
      <w:r>
        <w:rPr/>
      </w:r>
      <w:hyperlink w:history="true" w:anchor="_bookmark632">
        <w:r>
          <w:rPr>
            <w:color w:val="005DA1"/>
            <w:spacing w:val="-4"/>
            <w:sz w:val="14"/>
            <w:u w:val="single" w:color="005DA1"/>
          </w:rPr>
          <w:t>346</w:t>
        </w:r>
      </w:hyperlink>
      <w:r>
        <w:rPr>
          <w:spacing w:val="-4"/>
          <w:sz w:val="14"/>
        </w:rPr>
        <w:t>.</w:t>
      </w:r>
    </w:p>
    <w:p>
      <w:pPr>
        <w:spacing w:line="235" w:lineRule="auto" w:before="212"/>
        <w:ind w:left="165" w:right="168" w:firstLine="170"/>
        <w:jc w:val="both"/>
        <w:rPr>
          <w:sz w:val="20"/>
        </w:rPr>
      </w:pPr>
      <w:r>
        <w:rPr/>
        <w:br w:type="column"/>
      </w:r>
      <w:r>
        <w:rPr>
          <w:rFonts w:ascii="Arial" w:hAnsi="Arial"/>
          <w:i/>
          <w:sz w:val="20"/>
        </w:rPr>
        <w:t>MSC Mediterranean Shipping Co SA v Cottonex Anstalt [2016] EWCA Civ 789 </w:t>
      </w:r>
      <w:r>
        <w:rPr>
          <w:sz w:val="20"/>
        </w:rPr>
        <w:t>at [45]. </w:t>
      </w:r>
      <w:r>
        <w:rPr>
          <w:sz w:val="20"/>
        </w:rPr>
        <w:t>The judge at trial was Leggatt J., who had earlier given judgment in </w:t>
      </w:r>
      <w:r>
        <w:rPr>
          <w:rFonts w:ascii="Arial" w:hAnsi="Arial"/>
          <w:i/>
          <w:sz w:val="20"/>
        </w:rPr>
        <w:t>Yam Seng Pte Ltd v International Trade Corp Ltd [2013] EWHC 111 (QB), [2013] 1 Lloyd’s Rep. 526</w:t>
      </w:r>
      <w:r>
        <w:rPr>
          <w:sz w:val="20"/>
        </w:rPr>
        <w:t>, discussed in Vol.I, para.1-053.</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pStyle w:val="BodyText"/>
        <w:spacing w:line="235" w:lineRule="auto"/>
        <w:ind w:left="705" w:right="167" w:hanging="541"/>
        <w:jc w:val="both"/>
      </w:pPr>
      <w:bookmarkStart w:name="_bookmark801" w:id="803"/>
      <w:bookmarkEnd w:id="803"/>
      <w:r>
        <w:rPr/>
      </w:r>
      <w:hyperlink w:history="true" w:anchor="_bookmark633">
        <w:r>
          <w:rPr>
            <w:color w:val="005DA1"/>
            <w:position w:val="5"/>
            <w:sz w:val="14"/>
            <w:u w:val="single" w:color="005DA1"/>
          </w:rPr>
          <w:t>347</w:t>
        </w:r>
      </w:hyperlink>
      <w:r>
        <w:rPr>
          <w:position w:val="5"/>
          <w:sz w:val="14"/>
        </w:rPr>
        <w:t>.</w:t>
      </w:r>
      <w:r>
        <w:rPr>
          <w:spacing w:val="80"/>
          <w:position w:val="5"/>
          <w:sz w:val="14"/>
        </w:rPr>
        <w:t>  </w:t>
      </w:r>
      <w:r>
        <w:rPr>
          <w:rFonts w:ascii="Arial" w:hAnsi="Arial"/>
          <w:i/>
        </w:rPr>
        <w:t>[2011] EWCA Civ 353, [2011] All E.R. (D) 39 (Apr) </w:t>
      </w:r>
      <w:r>
        <w:rPr/>
        <w:t>at [92]. Having stated this as a general rule, Rix L.J. held that, in the circumstances, the relationship between the parties and the unconscionable conduct of the silent party justified the latter being estopped from relying on </w:t>
      </w:r>
      <w:r>
        <w:rPr/>
        <w:t>the contract as concluded: at [93]–[107], [111]. Carnwath L.J. agreed on the basis of estoppel by convention ([66]–[71]). Stanley Burton L.J. agreed with both judgments: </w:t>
      </w:r>
      <w:r>
        <w:rPr>
          <w:rFonts w:ascii="Arial" w:hAnsi="Arial"/>
          <w:i/>
        </w:rPr>
        <w:t>[2011] EWCA Civ 353 </w:t>
      </w:r>
      <w:r>
        <w:rPr/>
        <w:t>at [76].</w:t>
      </w:r>
    </w:p>
    <w:p>
      <w:pPr>
        <w:pStyle w:val="BodyText"/>
        <w:spacing w:after="0" w:line="235" w:lineRule="auto"/>
        <w:jc w:val="both"/>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634">
        <w:r>
          <w:rPr>
            <w:color w:val="005DA1"/>
            <w:spacing w:val="-4"/>
            <w:position w:val="5"/>
            <w:sz w:val="14"/>
            <w:u w:val="single" w:color="005DA1"/>
          </w:rPr>
          <w:t>348</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A.C. </w:t>
      </w:r>
      <w:r>
        <w:rPr>
          <w:rFonts w:ascii="Arial"/>
          <w:i/>
          <w:spacing w:val="-4"/>
          <w:sz w:val="20"/>
        </w:rPr>
        <w:t>514</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802" w:id="804"/>
      <w:bookmarkEnd w:id="804"/>
      <w:r>
        <w:rPr/>
      </w:r>
      <w:hyperlink w:history="true" w:anchor="_bookmark635">
        <w:r>
          <w:rPr>
            <w:color w:val="005DA1"/>
            <w:spacing w:val="-4"/>
            <w:position w:val="5"/>
            <w:sz w:val="14"/>
            <w:u w:val="single" w:color="005DA1"/>
          </w:rPr>
          <w:t>349</w:t>
        </w:r>
      </w:hyperlink>
      <w:r>
        <w:rPr>
          <w:spacing w:val="-4"/>
          <w:position w:val="5"/>
          <w:sz w:val="14"/>
        </w:rPr>
        <w:t>.</w:t>
      </w:r>
      <w:r>
        <w:rPr>
          <w:position w:val="5"/>
          <w:sz w:val="14"/>
        </w:rPr>
        <w:tab/>
      </w:r>
      <w:r>
        <w:rPr>
          <w:rFonts w:ascii="Arial"/>
          <w:i/>
          <w:sz w:val="20"/>
        </w:rPr>
        <w:t>[1997] A.C. 514</w:t>
      </w:r>
      <w:r>
        <w:rPr>
          <w:rFonts w:ascii="Arial"/>
          <w:i/>
          <w:spacing w:val="-1"/>
          <w:sz w:val="20"/>
        </w:rPr>
        <w:t> </w:t>
      </w:r>
      <w:r>
        <w:rPr>
          <w:sz w:val="20"/>
        </w:rPr>
        <w:t>at </w:t>
      </w:r>
      <w:r>
        <w:rPr>
          <w:spacing w:val="-4"/>
          <w:sz w:val="20"/>
        </w:rPr>
        <w:t>518.</w:t>
      </w:r>
    </w:p>
    <w:p>
      <w:pPr>
        <w:pStyle w:val="BodyText"/>
        <w:spacing w:before="8"/>
      </w:pPr>
    </w:p>
    <w:p>
      <w:pPr>
        <w:pStyle w:val="BodyText"/>
        <w:spacing w:line="235" w:lineRule="auto"/>
        <w:ind w:left="705" w:right="167" w:hanging="541"/>
        <w:jc w:val="both"/>
      </w:pPr>
      <w:bookmarkStart w:name="_bookmark803" w:id="805"/>
      <w:bookmarkEnd w:id="805"/>
      <w:r>
        <w:rPr/>
      </w:r>
      <w:hyperlink w:history="true" w:anchor="_bookmark636">
        <w:r>
          <w:rPr>
            <w:color w:val="005DA1"/>
            <w:position w:val="5"/>
            <w:sz w:val="14"/>
            <w:u w:val="single" w:color="005DA1"/>
          </w:rPr>
          <w:t>350</w:t>
        </w:r>
      </w:hyperlink>
      <w:r>
        <w:rPr>
          <w:position w:val="5"/>
          <w:sz w:val="14"/>
        </w:rPr>
        <w:t>.</w:t>
      </w:r>
      <w:r>
        <w:rPr>
          <w:spacing w:val="40"/>
          <w:position w:val="5"/>
          <w:sz w:val="14"/>
        </w:rPr>
        <w:t>  </w:t>
      </w:r>
      <w:r>
        <w:rPr>
          <w:rFonts w:ascii="Arial" w:hAnsi="Arial"/>
          <w:i/>
        </w:rPr>
        <w:t>[1997] A.C. 514 </w:t>
      </w:r>
      <w:r>
        <w:rPr/>
        <w:t>at 519. cf. </w:t>
      </w:r>
      <w:r>
        <w:rPr>
          <w:rFonts w:ascii="Arial" w:hAnsi="Arial"/>
          <w:i/>
        </w:rPr>
        <w:t>O’Neill v Phillips [1999] 1 W.L.R. 1092, 1098 </w:t>
      </w:r>
      <w:r>
        <w:rPr/>
        <w:t>where Lord Hoffmann observed in the context of contracts of partnership and a company’s duty not to engage in conduct “unfairly prejudicial” to its members that: “One of the traditional roles of equity, as a separate jurisdiction, was to restrain the exercise of strict legal rights in certain relationships </w:t>
      </w:r>
      <w:r>
        <w:rPr/>
        <w:t>in which it considered that this would be contrary to good faith.” See also the significance of “unconscionability” in the context of the law of duress in </w:t>
      </w:r>
      <w:r>
        <w:rPr>
          <w:rFonts w:ascii="Arial" w:hAnsi="Arial"/>
          <w:i/>
        </w:rPr>
        <w:t>Borrelli v Ting [2010] UKPC 21, [2010] Bus. L.R. 1718</w:t>
      </w:r>
      <w:r>
        <w:rPr/>
        <w:t>, below, para.8-011.</w:t>
      </w:r>
    </w:p>
    <w:p>
      <w:pPr>
        <w:pStyle w:val="BodyText"/>
        <w:spacing w:before="7"/>
      </w:pPr>
    </w:p>
    <w:p>
      <w:pPr>
        <w:tabs>
          <w:tab w:pos="705" w:val="left" w:leader="none"/>
        </w:tabs>
        <w:spacing w:line="235" w:lineRule="auto" w:before="1"/>
        <w:ind w:left="705" w:right="168" w:hanging="541"/>
        <w:jc w:val="left"/>
        <w:rPr>
          <w:sz w:val="20"/>
        </w:rPr>
      </w:pPr>
      <w:bookmarkStart w:name="_bookmark804" w:id="806"/>
      <w:bookmarkEnd w:id="806"/>
      <w:r>
        <w:rPr/>
      </w:r>
      <w:hyperlink w:history="true" w:anchor="_bookmark637">
        <w:r>
          <w:rPr>
            <w:color w:val="005DA1"/>
            <w:spacing w:val="-4"/>
            <w:position w:val="5"/>
            <w:sz w:val="14"/>
            <w:u w:val="single" w:color="005DA1"/>
          </w:rPr>
          <w:t>351</w:t>
        </w:r>
      </w:hyperlink>
      <w:r>
        <w:rPr>
          <w:spacing w:val="-4"/>
          <w:position w:val="5"/>
          <w:sz w:val="14"/>
        </w:rPr>
        <w:t>.</w:t>
      </w:r>
      <w:r>
        <w:rPr>
          <w:position w:val="5"/>
          <w:sz w:val="14"/>
        </w:rPr>
        <w:tab/>
      </w:r>
      <w:r>
        <w:rPr>
          <w:rFonts w:ascii="Arial" w:hAnsi="Arial"/>
          <w:i/>
          <w:sz w:val="20"/>
        </w:rPr>
        <w:t>Actionstrength Ltd v International Glass Engineering IN.GL.EN SpA [2003] UKHL 17, [2003] 2 All E.R. 615 </w:t>
      </w:r>
      <w:r>
        <w:rPr>
          <w:sz w:val="20"/>
        </w:rPr>
        <w:t>especially at [16]–[20], [51] and see below, para.5-039.</w:t>
      </w:r>
    </w:p>
    <w:p>
      <w:pPr>
        <w:pStyle w:val="BodyText"/>
        <w:spacing w:before="5"/>
      </w:pPr>
    </w:p>
    <w:p>
      <w:pPr>
        <w:tabs>
          <w:tab w:pos="705" w:val="left" w:leader="none"/>
        </w:tabs>
        <w:spacing w:before="0"/>
        <w:ind w:left="165" w:right="0" w:firstLine="0"/>
        <w:jc w:val="left"/>
        <w:rPr>
          <w:sz w:val="20"/>
        </w:rPr>
      </w:pPr>
      <w:bookmarkStart w:name="_bookmark805" w:id="807"/>
      <w:bookmarkEnd w:id="807"/>
      <w:r>
        <w:rPr/>
      </w:r>
      <w:hyperlink w:history="true" w:anchor="_bookmark638">
        <w:r>
          <w:rPr>
            <w:color w:val="005DA1"/>
            <w:spacing w:val="-4"/>
            <w:position w:val="5"/>
            <w:sz w:val="14"/>
            <w:u w:val="single" w:color="005DA1"/>
          </w:rPr>
          <w:t>352</w:t>
        </w:r>
      </w:hyperlink>
      <w:r>
        <w:rPr>
          <w:spacing w:val="-4"/>
          <w:position w:val="5"/>
          <w:sz w:val="14"/>
        </w:rPr>
        <w:t>.</w:t>
      </w:r>
      <w:r>
        <w:rPr>
          <w:position w:val="5"/>
          <w:sz w:val="14"/>
        </w:rPr>
        <w:tab/>
      </w:r>
      <w:r>
        <w:rPr>
          <w:rFonts w:ascii="Arial"/>
          <w:i/>
          <w:sz w:val="20"/>
        </w:rPr>
        <w:t>[2003]</w:t>
      </w:r>
      <w:r>
        <w:rPr>
          <w:rFonts w:ascii="Arial"/>
          <w:i/>
          <w:spacing w:val="-2"/>
          <w:sz w:val="20"/>
        </w:rPr>
        <w:t> </w:t>
      </w:r>
      <w:r>
        <w:rPr>
          <w:rFonts w:ascii="Arial"/>
          <w:i/>
          <w:sz w:val="20"/>
        </w:rPr>
        <w:t>2 All E.R. 615</w:t>
      </w:r>
      <w:r>
        <w:rPr>
          <w:rFonts w:ascii="Arial"/>
          <w:i/>
          <w:spacing w:val="-1"/>
          <w:sz w:val="20"/>
        </w:rPr>
        <w:t> </w:t>
      </w:r>
      <w:r>
        <w:rPr>
          <w:sz w:val="20"/>
        </w:rPr>
        <w:t>at </w:t>
      </w:r>
      <w:r>
        <w:rPr>
          <w:spacing w:val="-2"/>
          <w:sz w:val="20"/>
        </w:rPr>
        <w:t>[34].</w:t>
      </w:r>
    </w:p>
    <w:p>
      <w:pPr>
        <w:pStyle w:val="BodyText"/>
        <w:spacing w:before="5"/>
      </w:pPr>
    </w:p>
    <w:p>
      <w:pPr>
        <w:tabs>
          <w:tab w:pos="705" w:val="left" w:leader="none"/>
        </w:tabs>
        <w:spacing w:before="0"/>
        <w:ind w:left="165" w:right="0" w:firstLine="0"/>
        <w:jc w:val="left"/>
        <w:rPr>
          <w:sz w:val="20"/>
        </w:rPr>
      </w:pPr>
      <w:bookmarkStart w:name="_bookmark806" w:id="808"/>
      <w:bookmarkEnd w:id="808"/>
      <w:r>
        <w:rPr/>
      </w:r>
      <w:hyperlink w:history="true" w:anchor="_bookmark639">
        <w:r>
          <w:rPr>
            <w:color w:val="005DA1"/>
            <w:spacing w:val="-4"/>
            <w:position w:val="5"/>
            <w:sz w:val="14"/>
            <w:u w:val="single" w:color="005DA1"/>
          </w:rPr>
          <w:t>353</w:t>
        </w:r>
      </w:hyperlink>
      <w:r>
        <w:rPr>
          <w:spacing w:val="-4"/>
          <w:position w:val="5"/>
          <w:sz w:val="14"/>
        </w:rPr>
        <w:t>.</w:t>
      </w:r>
      <w:r>
        <w:rPr>
          <w:position w:val="5"/>
          <w:sz w:val="14"/>
        </w:rPr>
        <w:tab/>
      </w:r>
      <w:r>
        <w:rPr>
          <w:rFonts w:ascii="Arial" w:hAnsi="Arial"/>
          <w:i/>
          <w:sz w:val="20"/>
        </w:rPr>
        <w:t>[2008]</w:t>
      </w:r>
      <w:r>
        <w:rPr>
          <w:rFonts w:ascii="Arial" w:hAnsi="Arial"/>
          <w:i/>
          <w:spacing w:val="-1"/>
          <w:sz w:val="20"/>
        </w:rPr>
        <w:t> </w:t>
      </w:r>
      <w:r>
        <w:rPr>
          <w:rFonts w:ascii="Arial" w:hAnsi="Arial"/>
          <w:i/>
          <w:sz w:val="20"/>
        </w:rPr>
        <w:t>UKHL 55, [2008] 1 W.L.R. 1752</w:t>
      </w:r>
      <w:r>
        <w:rPr>
          <w:sz w:val="20"/>
        </w:rPr>
        <w:t>, on which see below, paras 4-161—4-</w:t>
      </w:r>
      <w:r>
        <w:rPr>
          <w:spacing w:val="-4"/>
          <w:sz w:val="20"/>
        </w:rPr>
        <w:t>162.</w:t>
      </w:r>
    </w:p>
    <w:p>
      <w:pPr>
        <w:pStyle w:val="BodyText"/>
        <w:spacing w:before="5"/>
      </w:pPr>
    </w:p>
    <w:p>
      <w:pPr>
        <w:tabs>
          <w:tab w:pos="705" w:val="left" w:leader="none"/>
        </w:tabs>
        <w:spacing w:before="0"/>
        <w:ind w:left="165" w:right="0" w:firstLine="0"/>
        <w:jc w:val="left"/>
        <w:rPr>
          <w:sz w:val="20"/>
        </w:rPr>
      </w:pPr>
      <w:bookmarkStart w:name="_bookmark807" w:id="809"/>
      <w:bookmarkEnd w:id="809"/>
      <w:r>
        <w:rPr/>
      </w:r>
      <w:hyperlink w:history="true" w:anchor="_bookmark640">
        <w:r>
          <w:rPr>
            <w:color w:val="005DA1"/>
            <w:spacing w:val="-4"/>
            <w:position w:val="5"/>
            <w:sz w:val="14"/>
            <w:u w:val="single" w:color="005DA1"/>
          </w:rPr>
          <w:t>354</w:t>
        </w:r>
      </w:hyperlink>
      <w:r>
        <w:rPr>
          <w:spacing w:val="-4"/>
          <w:position w:val="5"/>
          <w:sz w:val="14"/>
        </w:rPr>
        <w:t>.</w:t>
      </w:r>
      <w:r>
        <w:rPr>
          <w:position w:val="5"/>
          <w:sz w:val="14"/>
        </w:rPr>
        <w:tab/>
      </w:r>
      <w:r>
        <w:rPr>
          <w:rFonts w:ascii="Arial"/>
          <w:i/>
          <w:sz w:val="20"/>
        </w:rPr>
        <w:t>[2008]</w:t>
      </w:r>
      <w:r>
        <w:rPr>
          <w:rFonts w:ascii="Arial"/>
          <w:i/>
          <w:spacing w:val="-2"/>
          <w:sz w:val="20"/>
        </w:rPr>
        <w:t> </w:t>
      </w:r>
      <w:r>
        <w:rPr>
          <w:rFonts w:ascii="Arial"/>
          <w:i/>
          <w:sz w:val="20"/>
        </w:rPr>
        <w:t>UKHL 55</w:t>
      </w:r>
      <w:r>
        <w:rPr>
          <w:rFonts w:ascii="Arial"/>
          <w:i/>
          <w:spacing w:val="-1"/>
          <w:sz w:val="20"/>
        </w:rPr>
        <w:t> </w:t>
      </w:r>
      <w:r>
        <w:rPr>
          <w:sz w:val="20"/>
        </w:rPr>
        <w:t>at </w:t>
      </w:r>
      <w:r>
        <w:rPr>
          <w:spacing w:val="-2"/>
          <w:sz w:val="20"/>
        </w:rPr>
        <w:t>[16].</w:t>
      </w:r>
    </w:p>
    <w:p>
      <w:pPr>
        <w:pStyle w:val="BodyText"/>
        <w:spacing w:before="5"/>
      </w:pPr>
    </w:p>
    <w:p>
      <w:pPr>
        <w:tabs>
          <w:tab w:pos="705" w:val="left" w:leader="none"/>
        </w:tabs>
        <w:spacing w:before="0"/>
        <w:ind w:left="165" w:right="0" w:firstLine="0"/>
        <w:jc w:val="left"/>
        <w:rPr>
          <w:sz w:val="20"/>
        </w:rPr>
      </w:pPr>
      <w:bookmarkStart w:name="_bookmark808" w:id="810"/>
      <w:bookmarkEnd w:id="810"/>
      <w:r>
        <w:rPr/>
      </w:r>
      <w:hyperlink w:history="true" w:anchor="_bookmark641">
        <w:r>
          <w:rPr>
            <w:color w:val="005DA1"/>
            <w:spacing w:val="-4"/>
            <w:position w:val="5"/>
            <w:sz w:val="14"/>
            <w:u w:val="single" w:color="005DA1"/>
          </w:rPr>
          <w:t>355</w:t>
        </w:r>
      </w:hyperlink>
      <w:r>
        <w:rPr>
          <w:spacing w:val="-4"/>
          <w:position w:val="5"/>
          <w:sz w:val="14"/>
        </w:rPr>
        <w:t>.</w:t>
      </w:r>
      <w:r>
        <w:rPr>
          <w:position w:val="5"/>
          <w:sz w:val="14"/>
        </w:rPr>
        <w:tab/>
      </w:r>
      <w:r>
        <w:rPr>
          <w:rFonts w:ascii="Arial"/>
          <w:i/>
          <w:sz w:val="20"/>
        </w:rPr>
        <w:t>[2008]</w:t>
      </w:r>
      <w:r>
        <w:rPr>
          <w:rFonts w:ascii="Arial"/>
          <w:i/>
          <w:spacing w:val="-2"/>
          <w:sz w:val="20"/>
        </w:rPr>
        <w:t> </w:t>
      </w:r>
      <w:r>
        <w:rPr>
          <w:rFonts w:ascii="Arial"/>
          <w:i/>
          <w:sz w:val="20"/>
        </w:rPr>
        <w:t>UKHL 55</w:t>
      </w:r>
      <w:r>
        <w:rPr>
          <w:rFonts w:ascii="Arial"/>
          <w:i/>
          <w:spacing w:val="-1"/>
          <w:sz w:val="20"/>
        </w:rPr>
        <w:t> </w:t>
      </w:r>
      <w:r>
        <w:rPr>
          <w:sz w:val="20"/>
        </w:rPr>
        <w:t>at </w:t>
      </w:r>
      <w:r>
        <w:rPr>
          <w:spacing w:val="-2"/>
          <w:sz w:val="20"/>
        </w:rPr>
        <w:t>[81].</w:t>
      </w:r>
    </w:p>
    <w:p>
      <w:pPr>
        <w:pStyle w:val="BodyText"/>
        <w:spacing w:before="9"/>
      </w:pPr>
    </w:p>
    <w:p>
      <w:pPr>
        <w:spacing w:line="235" w:lineRule="auto" w:before="0"/>
        <w:ind w:left="705" w:right="167" w:hanging="541"/>
        <w:jc w:val="both"/>
        <w:rPr>
          <w:sz w:val="20"/>
        </w:rPr>
      </w:pPr>
      <w:bookmarkStart w:name="_bookmark809" w:id="811"/>
      <w:bookmarkEnd w:id="811"/>
      <w:r>
        <w:rPr/>
      </w:r>
      <w:hyperlink w:history="true" w:anchor="_bookmark642">
        <w:r>
          <w:rPr>
            <w:color w:val="005DA1"/>
            <w:position w:val="5"/>
            <w:sz w:val="14"/>
            <w:u w:val="single" w:color="005DA1"/>
          </w:rPr>
          <w:t>356</w:t>
        </w:r>
      </w:hyperlink>
      <w:r>
        <w:rPr>
          <w:position w:val="5"/>
          <w:sz w:val="14"/>
        </w:rPr>
        <w:t>.</w:t>
      </w:r>
      <w:r>
        <w:rPr>
          <w:spacing w:val="80"/>
          <w:position w:val="5"/>
          <w:sz w:val="14"/>
        </w:rPr>
        <w:t>  </w:t>
      </w:r>
      <w:r>
        <w:rPr>
          <w:rFonts w:ascii="Arial"/>
          <w:i/>
          <w:sz w:val="20"/>
        </w:rPr>
        <w:t>Dudley</w:t>
      </w:r>
      <w:r>
        <w:rPr>
          <w:rFonts w:ascii="Arial"/>
          <w:i/>
          <w:spacing w:val="-1"/>
          <w:sz w:val="20"/>
        </w:rPr>
        <w:t> </w:t>
      </w:r>
      <w:r>
        <w:rPr>
          <w:rFonts w:ascii="Arial"/>
          <w:i/>
          <w:sz w:val="20"/>
        </w:rPr>
        <w:t>Muslim</w:t>
      </w:r>
      <w:r>
        <w:rPr>
          <w:rFonts w:ascii="Arial"/>
          <w:i/>
          <w:spacing w:val="-1"/>
          <w:sz w:val="20"/>
        </w:rPr>
        <w:t> </w:t>
      </w:r>
      <w:r>
        <w:rPr>
          <w:rFonts w:ascii="Arial"/>
          <w:i/>
          <w:sz w:val="20"/>
        </w:rPr>
        <w:t>Association</w:t>
      </w:r>
      <w:r>
        <w:rPr>
          <w:rFonts w:ascii="Arial"/>
          <w:i/>
          <w:spacing w:val="-1"/>
          <w:sz w:val="20"/>
        </w:rPr>
        <w:t> </w:t>
      </w:r>
      <w:r>
        <w:rPr>
          <w:rFonts w:ascii="Arial"/>
          <w:i/>
          <w:sz w:val="20"/>
        </w:rPr>
        <w:t>v</w:t>
      </w:r>
      <w:r>
        <w:rPr>
          <w:rFonts w:ascii="Arial"/>
          <w:i/>
          <w:spacing w:val="-1"/>
          <w:sz w:val="20"/>
        </w:rPr>
        <w:t> </w:t>
      </w:r>
      <w:r>
        <w:rPr>
          <w:rFonts w:ascii="Arial"/>
          <w:i/>
          <w:sz w:val="20"/>
        </w:rPr>
        <w:t>Dudley</w:t>
      </w:r>
      <w:r>
        <w:rPr>
          <w:rFonts w:ascii="Arial"/>
          <w:i/>
          <w:spacing w:val="-1"/>
          <w:sz w:val="20"/>
        </w:rPr>
        <w:t> </w:t>
      </w:r>
      <w:r>
        <w:rPr>
          <w:rFonts w:ascii="Arial"/>
          <w:i/>
          <w:sz w:val="20"/>
        </w:rPr>
        <w:t>MBC</w:t>
      </w:r>
      <w:r>
        <w:rPr>
          <w:rFonts w:ascii="Arial"/>
          <w:i/>
          <w:spacing w:val="-1"/>
          <w:sz w:val="20"/>
        </w:rPr>
        <w:t> </w:t>
      </w:r>
      <w:r>
        <w:rPr>
          <w:rFonts w:ascii="Arial"/>
          <w:i/>
          <w:sz w:val="20"/>
        </w:rPr>
        <w:t>[2015]</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1123,</w:t>
      </w:r>
      <w:r>
        <w:rPr>
          <w:rFonts w:ascii="Arial"/>
          <w:i/>
          <w:spacing w:val="-1"/>
          <w:sz w:val="20"/>
        </w:rPr>
        <w:t> </w:t>
      </w:r>
      <w:r>
        <w:rPr>
          <w:rFonts w:ascii="Arial"/>
          <w:i/>
          <w:sz w:val="20"/>
        </w:rPr>
        <w:t>[2016]</w:t>
      </w:r>
      <w:r>
        <w:rPr>
          <w:rFonts w:ascii="Arial"/>
          <w:i/>
          <w:spacing w:val="-1"/>
          <w:sz w:val="20"/>
        </w:rPr>
        <w:t> </w:t>
      </w:r>
      <w:r>
        <w:rPr>
          <w:rFonts w:ascii="Arial"/>
          <w:i/>
          <w:sz w:val="20"/>
        </w:rPr>
        <w:t>1</w:t>
      </w:r>
      <w:r>
        <w:rPr>
          <w:rFonts w:ascii="Arial"/>
          <w:i/>
          <w:spacing w:val="-1"/>
          <w:sz w:val="20"/>
        </w:rPr>
        <w:t> </w:t>
      </w:r>
      <w:r>
        <w:rPr>
          <w:rFonts w:ascii="Arial"/>
          <w:i/>
          <w:sz w:val="20"/>
        </w:rPr>
        <w:t>P.</w:t>
      </w:r>
      <w:r>
        <w:rPr>
          <w:rFonts w:ascii="Arial"/>
          <w:i/>
          <w:spacing w:val="-1"/>
          <w:sz w:val="20"/>
        </w:rPr>
        <w:t> </w:t>
      </w:r>
      <w:r>
        <w:rPr>
          <w:rFonts w:ascii="Arial"/>
          <w:i/>
          <w:sz w:val="20"/>
        </w:rPr>
        <w:t>&amp;</w:t>
      </w:r>
      <w:r>
        <w:rPr>
          <w:rFonts w:ascii="Arial"/>
          <w:i/>
          <w:spacing w:val="-1"/>
          <w:sz w:val="20"/>
        </w:rPr>
        <w:t> </w:t>
      </w:r>
      <w:r>
        <w:rPr>
          <w:rFonts w:ascii="Arial"/>
          <w:i/>
          <w:sz w:val="20"/>
        </w:rPr>
        <w:t>C.R.</w:t>
      </w:r>
      <w:r>
        <w:rPr>
          <w:rFonts w:ascii="Arial"/>
          <w:i/>
          <w:spacing w:val="-1"/>
          <w:sz w:val="20"/>
        </w:rPr>
        <w:t> </w:t>
      </w:r>
      <w:r>
        <w:rPr>
          <w:rFonts w:ascii="Arial"/>
          <w:i/>
          <w:sz w:val="20"/>
        </w:rPr>
        <w:t>10</w:t>
      </w:r>
      <w:r>
        <w:rPr>
          <w:rFonts w:ascii="Arial"/>
          <w:i/>
          <w:spacing w:val="-2"/>
          <w:sz w:val="20"/>
        </w:rPr>
        <w:t> </w:t>
      </w:r>
      <w:r>
        <w:rPr>
          <w:sz w:val="20"/>
        </w:rPr>
        <w:t>at</w:t>
      </w:r>
      <w:r>
        <w:rPr>
          <w:spacing w:val="-1"/>
          <w:sz w:val="20"/>
        </w:rPr>
        <w:t> </w:t>
      </w:r>
      <w:r>
        <w:rPr>
          <w:sz w:val="20"/>
        </w:rPr>
        <w:t>[29] per Lewison L.J. (with whom Treacy and Gloster L.JJ. agreed) (local authority able to enforce covenant in lease as to re-conveyance of freehold transferred under option on the failure of a condition as to obtain timely planning permission).</w:t>
      </w:r>
    </w:p>
    <w:p>
      <w:pPr>
        <w:pStyle w:val="BodyText"/>
        <w:spacing w:before="8"/>
      </w:pPr>
    </w:p>
    <w:p>
      <w:pPr>
        <w:spacing w:line="235" w:lineRule="auto" w:before="1"/>
        <w:ind w:left="705" w:right="167" w:hanging="541"/>
        <w:jc w:val="both"/>
        <w:rPr>
          <w:sz w:val="20"/>
        </w:rPr>
      </w:pPr>
      <w:bookmarkStart w:name="_bookmark810" w:id="812"/>
      <w:bookmarkEnd w:id="812"/>
      <w:r>
        <w:rPr/>
      </w:r>
      <w:hyperlink w:history="true" w:anchor="_bookmark643">
        <w:r>
          <w:rPr>
            <w:color w:val="005DA1"/>
            <w:position w:val="5"/>
            <w:sz w:val="14"/>
            <w:u w:val="single" w:color="005DA1"/>
          </w:rPr>
          <w:t>357</w:t>
        </w:r>
      </w:hyperlink>
      <w:r>
        <w:rPr>
          <w:position w:val="5"/>
          <w:sz w:val="14"/>
        </w:rPr>
        <w:t>.</w:t>
      </w:r>
      <w:r>
        <w:rPr>
          <w:spacing w:val="80"/>
          <w:position w:val="5"/>
          <w:sz w:val="14"/>
        </w:rPr>
        <w:t>  </w:t>
      </w:r>
      <w:r>
        <w:rPr>
          <w:rFonts w:ascii="Arial"/>
          <w:i/>
          <w:sz w:val="20"/>
        </w:rPr>
        <w:t>Dudley Muslim Association v Dudley MBC [2015] EWCA Civ 1123 </w:t>
      </w:r>
      <w:r>
        <w:rPr>
          <w:sz w:val="20"/>
        </w:rPr>
        <w:t>at [49], who noted (at [50]) that in the case before the court, private law mechanisms which preclude a person from </w:t>
      </w:r>
      <w:r>
        <w:rPr>
          <w:sz w:val="20"/>
        </w:rPr>
        <w:t>relying on his strict legal rights such as promissory estoppel had not been pleaded.</w:t>
      </w:r>
    </w:p>
    <w:p>
      <w:pPr>
        <w:pStyle w:val="BodyText"/>
        <w:spacing w:before="5"/>
      </w:pPr>
    </w:p>
    <w:p>
      <w:pPr>
        <w:tabs>
          <w:tab w:pos="705" w:val="left" w:leader="none"/>
        </w:tabs>
        <w:spacing w:before="0"/>
        <w:ind w:left="165" w:right="0" w:firstLine="0"/>
        <w:jc w:val="left"/>
        <w:rPr>
          <w:sz w:val="20"/>
        </w:rPr>
      </w:pPr>
      <w:bookmarkStart w:name="_bookmark811" w:id="813"/>
      <w:bookmarkEnd w:id="813"/>
      <w:r>
        <w:rPr/>
      </w:r>
      <w:hyperlink w:history="true" w:anchor="_bookmark644">
        <w:r>
          <w:rPr>
            <w:color w:val="005DA1"/>
            <w:spacing w:val="-4"/>
            <w:position w:val="5"/>
            <w:sz w:val="14"/>
            <w:u w:val="single" w:color="005DA1"/>
          </w:rPr>
          <w:t>358</w:t>
        </w:r>
      </w:hyperlink>
      <w:r>
        <w:rPr>
          <w:spacing w:val="-4"/>
          <w:position w:val="5"/>
          <w:sz w:val="14"/>
        </w:rPr>
        <w:t>.</w:t>
      </w:r>
      <w:r>
        <w:rPr>
          <w:position w:val="5"/>
          <w:sz w:val="14"/>
        </w:rPr>
        <w:tab/>
      </w:r>
      <w:r>
        <w:rPr>
          <w:rFonts w:ascii="Arial"/>
          <w:i/>
          <w:sz w:val="20"/>
        </w:rPr>
        <w:t>Dymocks Franchise Systems (NSW) Pty Ltd v Todd [2002] 2 All E.R. (Comm) 849 (PC)</w:t>
      </w:r>
      <w:r>
        <w:rPr>
          <w:rFonts w:ascii="Arial"/>
          <w:i/>
          <w:spacing w:val="-1"/>
          <w:sz w:val="20"/>
        </w:rPr>
        <w:t> </w:t>
      </w:r>
      <w:r>
        <w:rPr>
          <w:sz w:val="20"/>
        </w:rPr>
        <w:t>at </w:t>
      </w:r>
      <w:r>
        <w:rPr>
          <w:spacing w:val="-2"/>
          <w:sz w:val="20"/>
        </w:rPr>
        <w:t>[54].</w:t>
      </w:r>
    </w:p>
    <w:p>
      <w:pPr>
        <w:pStyle w:val="BodyText"/>
        <w:spacing w:before="5"/>
      </w:pPr>
    </w:p>
    <w:p>
      <w:pPr>
        <w:pStyle w:val="BodyText"/>
        <w:tabs>
          <w:tab w:pos="705" w:val="left" w:leader="none"/>
        </w:tabs>
        <w:ind w:left="165"/>
      </w:pPr>
      <w:bookmarkStart w:name="_bookmark812" w:id="814"/>
      <w:bookmarkEnd w:id="814"/>
      <w:r>
        <w:rPr/>
      </w:r>
      <w:hyperlink w:history="true" w:anchor="_bookmark645">
        <w:r>
          <w:rPr>
            <w:color w:val="005DA1"/>
            <w:spacing w:val="-4"/>
            <w:position w:val="5"/>
            <w:sz w:val="14"/>
            <w:u w:val="single" w:color="005DA1"/>
          </w:rPr>
          <w:t>359</w:t>
        </w:r>
      </w:hyperlink>
      <w:r>
        <w:rPr>
          <w:spacing w:val="-4"/>
          <w:position w:val="5"/>
          <w:sz w:val="14"/>
        </w:rPr>
        <w:t>.</w:t>
      </w:r>
      <w:r>
        <w:rPr>
          <w:position w:val="5"/>
          <w:sz w:val="14"/>
        </w:rPr>
        <w:tab/>
      </w:r>
      <w:r>
        <w:rPr/>
        <w:t>See also works noted above, at </w:t>
      </w:r>
      <w:r>
        <w:rPr>
          <w:spacing w:val="-2"/>
        </w:rPr>
        <w:t>n.299.</w:t>
      </w:r>
    </w:p>
    <w:p>
      <w:pPr>
        <w:pStyle w:val="BodyText"/>
        <w:spacing w:before="8"/>
      </w:pPr>
    </w:p>
    <w:p>
      <w:pPr>
        <w:spacing w:line="235" w:lineRule="auto" w:before="1"/>
        <w:ind w:left="705" w:right="167" w:hanging="541"/>
        <w:jc w:val="both"/>
        <w:rPr>
          <w:sz w:val="20"/>
        </w:rPr>
      </w:pPr>
      <w:bookmarkStart w:name="_bookmark813" w:id="815"/>
      <w:bookmarkEnd w:id="815"/>
      <w:r>
        <w:rPr/>
      </w:r>
      <w:hyperlink w:history="true" w:anchor="_bookmark646">
        <w:r>
          <w:rPr>
            <w:color w:val="005DA1"/>
            <w:position w:val="5"/>
            <w:sz w:val="14"/>
            <w:u w:val="single" w:color="005DA1"/>
          </w:rPr>
          <w:t>360</w:t>
        </w:r>
      </w:hyperlink>
      <w:r>
        <w:rPr>
          <w:position w:val="5"/>
          <w:sz w:val="14"/>
        </w:rPr>
        <w:t>.</w:t>
      </w:r>
      <w:r>
        <w:rPr>
          <w:spacing w:val="80"/>
          <w:position w:val="5"/>
          <w:sz w:val="14"/>
        </w:rPr>
        <w:t>  </w:t>
      </w:r>
      <w:r>
        <w:rPr>
          <w:sz w:val="20"/>
        </w:rPr>
        <w:t>Restatement</w:t>
      </w:r>
      <w:r>
        <w:rPr>
          <w:spacing w:val="21"/>
          <w:sz w:val="20"/>
        </w:rPr>
        <w:t> </w:t>
      </w:r>
      <w:r>
        <w:rPr>
          <w:sz w:val="20"/>
        </w:rPr>
        <w:t>(Second)</w:t>
      </w:r>
      <w:r>
        <w:rPr>
          <w:spacing w:val="21"/>
          <w:sz w:val="20"/>
        </w:rPr>
        <w:t> </w:t>
      </w:r>
      <w:r>
        <w:rPr>
          <w:sz w:val="20"/>
        </w:rPr>
        <w:t>of</w:t>
      </w:r>
      <w:r>
        <w:rPr>
          <w:spacing w:val="21"/>
          <w:sz w:val="20"/>
        </w:rPr>
        <w:t> </w:t>
      </w:r>
      <w:r>
        <w:rPr>
          <w:sz w:val="20"/>
        </w:rPr>
        <w:t>Contracts</w:t>
      </w:r>
      <w:r>
        <w:rPr>
          <w:spacing w:val="21"/>
          <w:sz w:val="20"/>
        </w:rPr>
        <w:t> </w:t>
      </w:r>
      <w:r>
        <w:rPr>
          <w:sz w:val="20"/>
        </w:rPr>
        <w:t>para.205.</w:t>
      </w:r>
      <w:r>
        <w:rPr>
          <w:spacing w:val="21"/>
          <w:sz w:val="20"/>
        </w:rPr>
        <w:t> </w:t>
      </w:r>
      <w:r>
        <w:rPr>
          <w:sz w:val="20"/>
        </w:rPr>
        <w:t>cf.</w:t>
      </w:r>
      <w:r>
        <w:rPr>
          <w:spacing w:val="21"/>
          <w:sz w:val="20"/>
        </w:rPr>
        <w:t> </w:t>
      </w:r>
      <w:r>
        <w:rPr>
          <w:sz w:val="20"/>
        </w:rPr>
        <w:t>Uniform</w:t>
      </w:r>
      <w:r>
        <w:rPr>
          <w:spacing w:val="21"/>
          <w:sz w:val="20"/>
        </w:rPr>
        <w:t> </w:t>
      </w:r>
      <w:r>
        <w:rPr>
          <w:sz w:val="20"/>
        </w:rPr>
        <w:t>Commercial</w:t>
      </w:r>
      <w:r>
        <w:rPr>
          <w:spacing w:val="21"/>
          <w:sz w:val="20"/>
        </w:rPr>
        <w:t> </w:t>
      </w:r>
      <w:r>
        <w:rPr>
          <w:sz w:val="20"/>
        </w:rPr>
        <w:t>Code</w:t>
      </w:r>
      <w:r>
        <w:rPr>
          <w:spacing w:val="21"/>
          <w:sz w:val="20"/>
        </w:rPr>
        <w:t> </w:t>
      </w:r>
      <w:r>
        <w:rPr>
          <w:sz w:val="20"/>
        </w:rPr>
        <w:t>s.1-203</w:t>
      </w:r>
      <w:r>
        <w:rPr>
          <w:spacing w:val="21"/>
          <w:sz w:val="20"/>
        </w:rPr>
        <w:t> </w:t>
      </w:r>
      <w:r>
        <w:rPr>
          <w:sz w:val="20"/>
        </w:rPr>
        <w:t>and</w:t>
      </w:r>
      <w:r>
        <w:rPr>
          <w:spacing w:val="21"/>
          <w:sz w:val="20"/>
        </w:rPr>
        <w:t> </w:t>
      </w:r>
      <w:r>
        <w:rPr>
          <w:sz w:val="20"/>
        </w:rPr>
        <w:t>see for a general introduction Summers in Zimmermann and Whittaker, </w:t>
      </w:r>
      <w:r>
        <w:rPr>
          <w:rFonts w:ascii="Arial"/>
          <w:i/>
          <w:sz w:val="20"/>
        </w:rPr>
        <w:t>Good Faith in </w:t>
      </w:r>
      <w:r>
        <w:rPr>
          <w:rFonts w:ascii="Arial"/>
          <w:i/>
          <w:sz w:val="20"/>
        </w:rPr>
        <w:t>European Contract Law </w:t>
      </w:r>
      <w:r>
        <w:rPr>
          <w:sz w:val="20"/>
        </w:rPr>
        <w:t>(2000), Ch.4; White and Summers, </w:t>
      </w:r>
      <w:r>
        <w:rPr>
          <w:rFonts w:ascii="Arial"/>
          <w:i/>
          <w:sz w:val="20"/>
        </w:rPr>
        <w:t>Uniform Commercial Code</w:t>
      </w:r>
      <w:r>
        <w:rPr>
          <w:sz w:val="20"/>
        </w:rPr>
        <w:t>, 6th edn (up to date to 2011), Vol.1, Ch.4.</w:t>
      </w:r>
    </w:p>
    <w:p>
      <w:pPr>
        <w:pStyle w:val="BodyText"/>
        <w:spacing w:before="4"/>
      </w:pPr>
    </w:p>
    <w:p>
      <w:pPr>
        <w:tabs>
          <w:tab w:pos="705" w:val="left" w:leader="none"/>
        </w:tabs>
        <w:spacing w:before="0"/>
        <w:ind w:left="165" w:right="0" w:firstLine="0"/>
        <w:jc w:val="left"/>
        <w:rPr>
          <w:sz w:val="20"/>
        </w:rPr>
      </w:pPr>
      <w:bookmarkStart w:name="_bookmark814" w:id="816"/>
      <w:bookmarkEnd w:id="816"/>
      <w:r>
        <w:rPr/>
      </w:r>
      <w:hyperlink w:history="true" w:anchor="_bookmark647">
        <w:r>
          <w:rPr>
            <w:color w:val="005DA1"/>
            <w:spacing w:val="-4"/>
            <w:position w:val="5"/>
            <w:sz w:val="14"/>
            <w:u w:val="single" w:color="005DA1"/>
          </w:rPr>
          <w:t>361</w:t>
        </w:r>
      </w:hyperlink>
      <w:r>
        <w:rPr>
          <w:spacing w:val="-4"/>
          <w:position w:val="5"/>
          <w:sz w:val="14"/>
        </w:rPr>
        <w:t>.</w:t>
      </w:r>
      <w:r>
        <w:rPr>
          <w:position w:val="5"/>
          <w:sz w:val="14"/>
        </w:rPr>
        <w:tab/>
      </w:r>
      <w:r>
        <w:rPr>
          <w:rFonts w:ascii="Arial"/>
          <w:i/>
          <w:sz w:val="20"/>
        </w:rPr>
        <w:t>Coal Cliff Collieries Pty Ltd v Sijehama Pty Ltd (1991) 24 N.S.W.L.R. 1</w:t>
      </w:r>
      <w:r>
        <w:rPr>
          <w:rFonts w:ascii="Arial"/>
          <w:i/>
          <w:spacing w:val="-1"/>
          <w:sz w:val="20"/>
        </w:rPr>
        <w:t> </w:t>
      </w:r>
      <w:r>
        <w:rPr>
          <w:sz w:val="20"/>
        </w:rPr>
        <w:t>at 21-</w:t>
      </w:r>
      <w:r>
        <w:rPr>
          <w:spacing w:val="-5"/>
          <w:sz w:val="20"/>
        </w:rPr>
        <w:t>27.</w:t>
      </w:r>
    </w:p>
    <w:p>
      <w:pPr>
        <w:pStyle w:val="BodyText"/>
        <w:spacing w:before="5"/>
      </w:pPr>
    </w:p>
    <w:p>
      <w:pPr>
        <w:tabs>
          <w:tab w:pos="705" w:val="left" w:leader="none"/>
        </w:tabs>
        <w:spacing w:before="0"/>
        <w:ind w:left="165" w:right="0" w:firstLine="0"/>
        <w:jc w:val="left"/>
        <w:rPr>
          <w:sz w:val="20"/>
        </w:rPr>
      </w:pPr>
      <w:bookmarkStart w:name="_bookmark815" w:id="817"/>
      <w:bookmarkEnd w:id="817"/>
      <w:r>
        <w:rPr/>
      </w:r>
      <w:hyperlink w:history="true" w:anchor="_bookmark648">
        <w:r>
          <w:rPr>
            <w:color w:val="005DA1"/>
            <w:spacing w:val="-4"/>
            <w:position w:val="5"/>
            <w:sz w:val="14"/>
            <w:u w:val="single" w:color="005DA1"/>
          </w:rPr>
          <w:t>362</w:t>
        </w:r>
      </w:hyperlink>
      <w:r>
        <w:rPr>
          <w:spacing w:val="-4"/>
          <w:position w:val="5"/>
          <w:sz w:val="14"/>
        </w:rPr>
        <w:t>.</w:t>
      </w:r>
      <w:r>
        <w:rPr>
          <w:position w:val="5"/>
          <w:sz w:val="14"/>
        </w:rPr>
        <w:tab/>
      </w:r>
      <w:r>
        <w:rPr>
          <w:sz w:val="20"/>
        </w:rPr>
        <w:t>Carter,</w:t>
      </w:r>
      <w:r>
        <w:rPr>
          <w:spacing w:val="-1"/>
          <w:sz w:val="20"/>
        </w:rPr>
        <w:t> </w:t>
      </w:r>
      <w:r>
        <w:rPr>
          <w:rFonts w:ascii="Arial"/>
          <w:i/>
          <w:sz w:val="20"/>
        </w:rPr>
        <w:t>Contract Law of Australia</w:t>
      </w:r>
      <w:r>
        <w:rPr>
          <w:sz w:val="20"/>
        </w:rPr>
        <w:t>, 6th edn (2012), </w:t>
      </w:r>
      <w:r>
        <w:rPr>
          <w:spacing w:val="-2"/>
          <w:sz w:val="20"/>
        </w:rPr>
        <w:t>Ch.2.</w:t>
      </w:r>
    </w:p>
    <w:p>
      <w:pPr>
        <w:pStyle w:val="BodyText"/>
        <w:spacing w:before="5"/>
      </w:pPr>
    </w:p>
    <w:p>
      <w:pPr>
        <w:tabs>
          <w:tab w:pos="705" w:val="left" w:leader="none"/>
        </w:tabs>
        <w:spacing w:before="0"/>
        <w:ind w:left="165" w:right="0" w:firstLine="0"/>
        <w:jc w:val="left"/>
        <w:rPr>
          <w:sz w:val="20"/>
        </w:rPr>
      </w:pPr>
      <w:bookmarkStart w:name="_bookmark816" w:id="818"/>
      <w:bookmarkEnd w:id="818"/>
      <w:r>
        <w:rPr/>
      </w:r>
      <w:hyperlink w:history="true" w:anchor="_bookmark649">
        <w:r>
          <w:rPr>
            <w:color w:val="005DA1"/>
            <w:spacing w:val="-4"/>
            <w:position w:val="5"/>
            <w:sz w:val="14"/>
            <w:u w:val="single" w:color="005DA1"/>
          </w:rPr>
          <w:t>363</w:t>
        </w:r>
      </w:hyperlink>
      <w:r>
        <w:rPr>
          <w:spacing w:val="-4"/>
          <w:position w:val="5"/>
          <w:sz w:val="14"/>
        </w:rPr>
        <w:t>.</w:t>
      </w:r>
      <w:r>
        <w:rPr>
          <w:position w:val="5"/>
          <w:sz w:val="14"/>
        </w:rPr>
        <w:tab/>
      </w:r>
      <w:r>
        <w:rPr>
          <w:sz w:val="20"/>
        </w:rPr>
        <w:t>Waddams,</w:t>
      </w:r>
      <w:r>
        <w:rPr>
          <w:spacing w:val="-2"/>
          <w:sz w:val="20"/>
        </w:rPr>
        <w:t> </w:t>
      </w:r>
      <w:r>
        <w:rPr>
          <w:rFonts w:ascii="Arial"/>
          <w:i/>
          <w:sz w:val="20"/>
        </w:rPr>
        <w:t>The Law of Contract</w:t>
      </w:r>
      <w:r>
        <w:rPr>
          <w:sz w:val="20"/>
        </w:rPr>
        <w:t>, 6th edn (2010), paras 17, 210, 498-508, </w:t>
      </w:r>
      <w:r>
        <w:rPr>
          <w:spacing w:val="-4"/>
          <w:sz w:val="20"/>
        </w:rPr>
        <w:t>550.</w:t>
      </w:r>
    </w:p>
    <w:p>
      <w:pPr>
        <w:pStyle w:val="BodyText"/>
        <w:spacing w:before="9"/>
      </w:pPr>
    </w:p>
    <w:p>
      <w:pPr>
        <w:pStyle w:val="BodyText"/>
        <w:spacing w:line="235" w:lineRule="auto"/>
        <w:ind w:left="705" w:right="167" w:hanging="541"/>
        <w:jc w:val="both"/>
      </w:pPr>
      <w:bookmarkStart w:name="_bookmark817" w:id="819"/>
      <w:bookmarkEnd w:id="819"/>
      <w:r>
        <w:rPr/>
      </w:r>
      <w:hyperlink w:history="true" w:anchor="_bookmark650">
        <w:r>
          <w:rPr>
            <w:color w:val="005DA1"/>
            <w:position w:val="5"/>
            <w:sz w:val="14"/>
            <w:u w:val="single" w:color="005DA1"/>
          </w:rPr>
          <w:t>364</w:t>
        </w:r>
      </w:hyperlink>
      <w:r>
        <w:rPr>
          <w:position w:val="5"/>
          <w:sz w:val="14"/>
        </w:rPr>
        <w:t>.</w:t>
      </w:r>
      <w:r>
        <w:rPr>
          <w:spacing w:val="80"/>
          <w:position w:val="5"/>
          <w:sz w:val="14"/>
        </w:rPr>
        <w:t>  </w:t>
      </w:r>
      <w:r>
        <w:rPr>
          <w:rFonts w:ascii="Arial" w:hAnsi="Arial"/>
          <w:i/>
        </w:rPr>
        <w:t>Bhasin</w:t>
      </w:r>
      <w:r>
        <w:rPr>
          <w:rFonts w:ascii="Arial" w:hAnsi="Arial"/>
          <w:i/>
          <w:spacing w:val="-2"/>
        </w:rPr>
        <w:t> </w:t>
      </w:r>
      <w:r>
        <w:rPr>
          <w:rFonts w:ascii="Arial" w:hAnsi="Arial"/>
          <w:i/>
        </w:rPr>
        <w:t>v</w:t>
      </w:r>
      <w:r>
        <w:rPr>
          <w:rFonts w:ascii="Arial" w:hAnsi="Arial"/>
          <w:i/>
          <w:spacing w:val="-2"/>
        </w:rPr>
        <w:t> </w:t>
      </w:r>
      <w:r>
        <w:rPr>
          <w:rFonts w:ascii="Arial" w:hAnsi="Arial"/>
          <w:i/>
        </w:rPr>
        <w:t>Hrynew</w:t>
      </w:r>
      <w:r>
        <w:rPr>
          <w:rFonts w:ascii="Arial" w:hAnsi="Arial"/>
          <w:i/>
          <w:spacing w:val="-2"/>
        </w:rPr>
        <w:t> </w:t>
      </w:r>
      <w:r>
        <w:rPr>
          <w:rFonts w:ascii="Arial" w:hAnsi="Arial"/>
          <w:i/>
        </w:rPr>
        <w:t>2014</w:t>
      </w:r>
      <w:r>
        <w:rPr>
          <w:rFonts w:ascii="Arial" w:hAnsi="Arial"/>
          <w:i/>
          <w:spacing w:val="-2"/>
        </w:rPr>
        <w:t> </w:t>
      </w:r>
      <w:r>
        <w:rPr>
          <w:rFonts w:ascii="Arial" w:hAnsi="Arial"/>
          <w:i/>
        </w:rPr>
        <w:t>SCC</w:t>
      </w:r>
      <w:r>
        <w:rPr>
          <w:rFonts w:ascii="Arial" w:hAnsi="Arial"/>
          <w:i/>
          <w:spacing w:val="-2"/>
        </w:rPr>
        <w:t> </w:t>
      </w:r>
      <w:r>
        <w:rPr>
          <w:rFonts w:ascii="Arial" w:hAnsi="Arial"/>
          <w:i/>
        </w:rPr>
        <w:t>71,</w:t>
      </w:r>
      <w:r>
        <w:rPr>
          <w:rFonts w:ascii="Arial" w:hAnsi="Arial"/>
          <w:i/>
          <w:spacing w:val="-2"/>
        </w:rPr>
        <w:t> </w:t>
      </w:r>
      <w:r>
        <w:rPr>
          <w:rFonts w:ascii="Arial" w:hAnsi="Arial"/>
          <w:i/>
        </w:rPr>
        <w:t>[2014]</w:t>
      </w:r>
      <w:r>
        <w:rPr>
          <w:rFonts w:ascii="Arial" w:hAnsi="Arial"/>
          <w:i/>
          <w:spacing w:val="-2"/>
        </w:rPr>
        <w:t> </w:t>
      </w:r>
      <w:r>
        <w:rPr>
          <w:rFonts w:ascii="Arial" w:hAnsi="Arial"/>
          <w:i/>
        </w:rPr>
        <w:t>3</w:t>
      </w:r>
      <w:r>
        <w:rPr>
          <w:rFonts w:ascii="Arial" w:hAnsi="Arial"/>
          <w:i/>
          <w:spacing w:val="-2"/>
        </w:rPr>
        <w:t> </w:t>
      </w:r>
      <w:r>
        <w:rPr>
          <w:rFonts w:ascii="Arial" w:hAnsi="Arial"/>
          <w:i/>
        </w:rPr>
        <w:t>S.C.R.</w:t>
      </w:r>
      <w:r>
        <w:rPr>
          <w:rFonts w:ascii="Arial" w:hAnsi="Arial"/>
          <w:i/>
          <w:spacing w:val="-2"/>
        </w:rPr>
        <w:t> </w:t>
      </w:r>
      <w:r>
        <w:rPr>
          <w:rFonts w:ascii="Arial" w:hAnsi="Arial"/>
          <w:i/>
        </w:rPr>
        <w:t>495</w:t>
      </w:r>
      <w:r>
        <w:rPr>
          <w:rFonts w:ascii="Arial" w:hAnsi="Arial"/>
          <w:i/>
          <w:spacing w:val="-3"/>
        </w:rPr>
        <w:t> </w:t>
      </w:r>
      <w:r>
        <w:rPr/>
        <w:t>at</w:t>
      </w:r>
      <w:r>
        <w:rPr>
          <w:spacing w:val="-2"/>
        </w:rPr>
        <w:t> </w:t>
      </w:r>
      <w:r>
        <w:rPr/>
        <w:t>[33]</w:t>
      </w:r>
      <w:r>
        <w:rPr>
          <w:spacing w:val="-2"/>
        </w:rPr>
        <w:t> </w:t>
      </w:r>
      <w:r>
        <w:rPr/>
        <w:t>per</w:t>
      </w:r>
      <w:r>
        <w:rPr>
          <w:spacing w:val="-2"/>
        </w:rPr>
        <w:t> </w:t>
      </w:r>
      <w:r>
        <w:rPr/>
        <w:t>Cromwell</w:t>
      </w:r>
      <w:r>
        <w:rPr>
          <w:spacing w:val="-2"/>
        </w:rPr>
        <w:t> </w:t>
      </w:r>
      <w:r>
        <w:rPr/>
        <w:t>J.</w:t>
      </w:r>
      <w:r>
        <w:rPr>
          <w:spacing w:val="-2"/>
        </w:rPr>
        <w:t> </w:t>
      </w:r>
      <w:r>
        <w:rPr/>
        <w:t>giving</w:t>
      </w:r>
      <w:r>
        <w:rPr>
          <w:spacing w:val="-2"/>
        </w:rPr>
        <w:t> </w:t>
      </w:r>
      <w:r>
        <w:rPr/>
        <w:t>the</w:t>
      </w:r>
      <w:r>
        <w:rPr>
          <w:spacing w:val="-2"/>
        </w:rPr>
        <w:t> </w:t>
      </w:r>
      <w:r>
        <w:rPr/>
        <w:t>judgment of the S.C. of Canada, which reviews earlier Canadian cases and wider common law literature. An “organizing principle” was defined by the court as one which “states in general terms a requirement of justice from which more specific legal doctrines may be derived” and is “not a freestanding rule, but rather a standard that underpins and is manifested in more specific legal doctrines and may be given different weight in different situations”: </w:t>
      </w:r>
      <w:r>
        <w:rPr>
          <w:rFonts w:ascii="Arial" w:hAnsi="Arial"/>
          <w:i/>
        </w:rPr>
        <w:t>Bhasin v Hrynew </w:t>
      </w:r>
      <w:r>
        <w:rPr/>
        <w:t>at [64]. However, the list of these specific legal doctrines “is not closed”: </w:t>
      </w:r>
      <w:r>
        <w:rPr>
          <w:rFonts w:ascii="Arial" w:hAnsi="Arial"/>
          <w:i/>
        </w:rPr>
        <w:t>Bhasin v Hrynew </w:t>
      </w:r>
      <w:r>
        <w:rPr/>
        <w:t>at [66]. The Supreme Court of Canada saw the duty of honest performance as a “general doctrine of contract law” rather than as an implied term, thereby operating “irrespective of the intentions of the parties”: </w:t>
      </w:r>
      <w:r>
        <w:rPr>
          <w:rFonts w:ascii="Arial" w:hAnsi="Arial"/>
          <w:i/>
        </w:rPr>
        <w:t>Bhasin v Hrynew </w:t>
      </w:r>
      <w:r>
        <w:rPr/>
        <w:t>at [74]. As a result, the duty was mandatory and was not affected by an express entire agreement clause in the contract, though there may be circumstances in which it could be influenced by the agreement of the contracting parties: </w:t>
      </w:r>
      <w:r>
        <w:rPr>
          <w:rFonts w:ascii="Arial" w:hAnsi="Arial"/>
          <w:i/>
        </w:rPr>
        <w:t>Bhasin v Hrynew </w:t>
      </w:r>
      <w:r>
        <w:rPr/>
        <w:t>at </w:t>
      </w:r>
      <w:r>
        <w:rPr>
          <w:spacing w:val="-2"/>
        </w:rPr>
        <w:t>[75]–[78].</w:t>
      </w:r>
    </w:p>
    <w:p>
      <w:pPr>
        <w:pStyle w:val="BodyText"/>
        <w:spacing w:after="0" w:line="235" w:lineRule="auto"/>
        <w:jc w:val="both"/>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651">
        <w:r>
          <w:rPr>
            <w:color w:val="005DA1"/>
            <w:spacing w:val="-4"/>
            <w:position w:val="5"/>
            <w:sz w:val="14"/>
            <w:u w:val="single" w:color="005DA1"/>
          </w:rPr>
          <w:t>365</w:t>
        </w:r>
      </w:hyperlink>
      <w:r>
        <w:rPr>
          <w:spacing w:val="-4"/>
          <w:position w:val="5"/>
          <w:sz w:val="14"/>
        </w:rPr>
        <w:t>.</w:t>
      </w:r>
      <w:r>
        <w:rPr>
          <w:position w:val="5"/>
          <w:sz w:val="14"/>
        </w:rPr>
        <w:tab/>
      </w:r>
      <w:r>
        <w:rPr>
          <w:rFonts w:ascii="Arial"/>
          <w:i/>
          <w:sz w:val="20"/>
        </w:rPr>
        <w:t>2014 SCC 71</w:t>
      </w:r>
      <w:r>
        <w:rPr>
          <w:rFonts w:ascii="Arial"/>
          <w:i/>
          <w:spacing w:val="-1"/>
          <w:sz w:val="20"/>
        </w:rPr>
        <w:t> </w:t>
      </w:r>
      <w:r>
        <w:rPr>
          <w:sz w:val="20"/>
        </w:rPr>
        <w:t>at </w:t>
      </w:r>
      <w:r>
        <w:rPr>
          <w:spacing w:val="-2"/>
          <w:sz w:val="20"/>
        </w:rPr>
        <w:t>[70].</w:t>
      </w:r>
    </w:p>
    <w:p>
      <w:pPr>
        <w:pStyle w:val="BodyText"/>
        <w:spacing w:before="5"/>
      </w:pPr>
    </w:p>
    <w:p>
      <w:pPr>
        <w:tabs>
          <w:tab w:pos="705" w:val="left" w:leader="none"/>
        </w:tabs>
        <w:spacing w:before="1"/>
        <w:ind w:left="165" w:right="0" w:firstLine="0"/>
        <w:jc w:val="left"/>
        <w:rPr>
          <w:sz w:val="20"/>
        </w:rPr>
      </w:pPr>
      <w:bookmarkStart w:name="_bookmark818" w:id="820"/>
      <w:bookmarkEnd w:id="820"/>
      <w:r>
        <w:rPr/>
      </w:r>
      <w:hyperlink w:history="true" w:anchor="_bookmark652">
        <w:r>
          <w:rPr>
            <w:color w:val="005DA1"/>
            <w:spacing w:val="-4"/>
            <w:position w:val="5"/>
            <w:sz w:val="14"/>
            <w:u w:val="single" w:color="005DA1"/>
          </w:rPr>
          <w:t>366</w:t>
        </w:r>
      </w:hyperlink>
      <w:r>
        <w:rPr>
          <w:spacing w:val="-4"/>
          <w:position w:val="5"/>
          <w:sz w:val="14"/>
        </w:rPr>
        <w:t>.</w:t>
      </w:r>
      <w:r>
        <w:rPr>
          <w:position w:val="5"/>
          <w:sz w:val="14"/>
        </w:rPr>
        <w:tab/>
      </w:r>
      <w:r>
        <w:rPr>
          <w:sz w:val="20"/>
        </w:rPr>
        <w:t>Above, para.1-</w:t>
      </w:r>
      <w:r>
        <w:rPr>
          <w:spacing w:val="-4"/>
          <w:sz w:val="20"/>
        </w:rPr>
        <w:t>039.</w:t>
      </w:r>
    </w:p>
    <w:p>
      <w:pPr>
        <w:pStyle w:val="BodyText"/>
        <w:spacing w:before="4"/>
      </w:pPr>
    </w:p>
    <w:p>
      <w:pPr>
        <w:tabs>
          <w:tab w:pos="705" w:val="left" w:leader="none"/>
        </w:tabs>
        <w:spacing w:before="1"/>
        <w:ind w:left="165" w:right="0" w:firstLine="0"/>
        <w:jc w:val="left"/>
        <w:rPr>
          <w:sz w:val="20"/>
        </w:rPr>
      </w:pPr>
      <w:bookmarkStart w:name="_bookmark819" w:id="821"/>
      <w:bookmarkEnd w:id="821"/>
      <w:r>
        <w:rPr/>
      </w:r>
      <w:hyperlink w:history="true" w:anchor="_bookmark653">
        <w:r>
          <w:rPr>
            <w:color w:val="005DA1"/>
            <w:spacing w:val="-4"/>
            <w:position w:val="5"/>
            <w:sz w:val="14"/>
            <w:u w:val="single" w:color="005DA1"/>
          </w:rPr>
          <w:t>367</w:t>
        </w:r>
      </w:hyperlink>
      <w:r>
        <w:rPr>
          <w:spacing w:val="-4"/>
          <w:position w:val="5"/>
          <w:sz w:val="14"/>
        </w:rPr>
        <w:t>.</w:t>
      </w:r>
      <w:r>
        <w:rPr>
          <w:position w:val="5"/>
          <w:sz w:val="14"/>
        </w:rPr>
        <w:tab/>
      </w:r>
      <w:r>
        <w:rPr>
          <w:sz w:val="20"/>
        </w:rPr>
        <w:t>Below, para.1-</w:t>
      </w:r>
      <w:r>
        <w:rPr>
          <w:spacing w:val="-4"/>
          <w:sz w:val="20"/>
        </w:rPr>
        <w:t>043.</w:t>
      </w:r>
    </w:p>
    <w:p>
      <w:pPr>
        <w:pStyle w:val="BodyText"/>
        <w:spacing w:before="8"/>
      </w:pPr>
    </w:p>
    <w:p>
      <w:pPr>
        <w:tabs>
          <w:tab w:pos="705" w:val="left" w:leader="none"/>
        </w:tabs>
        <w:spacing w:line="235" w:lineRule="auto" w:before="0"/>
        <w:ind w:left="705" w:right="168" w:hanging="541"/>
        <w:jc w:val="left"/>
        <w:rPr>
          <w:sz w:val="20"/>
        </w:rPr>
      </w:pPr>
      <w:bookmarkStart w:name="_bookmark820" w:id="822"/>
      <w:bookmarkEnd w:id="822"/>
      <w:r>
        <w:rPr/>
      </w:r>
      <w:hyperlink w:history="true" w:anchor="_bookmark654">
        <w:r>
          <w:rPr>
            <w:color w:val="005DA1"/>
            <w:spacing w:val="-4"/>
            <w:position w:val="5"/>
            <w:sz w:val="14"/>
            <w:u w:val="single" w:color="005DA1"/>
          </w:rPr>
          <w:t>368</w:t>
        </w:r>
      </w:hyperlink>
      <w:r>
        <w:rPr>
          <w:spacing w:val="-4"/>
          <w:position w:val="5"/>
          <w:sz w:val="14"/>
        </w:rPr>
        <w:t>.</w:t>
      </w:r>
      <w:r>
        <w:rPr>
          <w:position w:val="5"/>
          <w:sz w:val="14"/>
        </w:rPr>
        <w:tab/>
      </w:r>
      <w:r>
        <w:rPr>
          <w:sz w:val="20"/>
        </w:rPr>
        <w:t>For an overview see Whittaker and Zimmermann in Zimmermann and Whittaker, </w:t>
      </w:r>
      <w:r>
        <w:rPr>
          <w:rFonts w:ascii="Arial"/>
          <w:i/>
          <w:sz w:val="20"/>
        </w:rPr>
        <w:t>Good Faith </w:t>
      </w:r>
      <w:r>
        <w:rPr>
          <w:rFonts w:ascii="Arial"/>
          <w:i/>
          <w:sz w:val="20"/>
        </w:rPr>
        <w:t>in European Contract Law </w:t>
      </w:r>
      <w:r>
        <w:rPr>
          <w:sz w:val="20"/>
        </w:rPr>
        <w:t>(2000), Ch.1.</w:t>
      </w:r>
    </w:p>
    <w:p>
      <w:pPr>
        <w:pStyle w:val="BodyText"/>
        <w:spacing w:before="9"/>
      </w:pPr>
    </w:p>
    <w:p>
      <w:pPr>
        <w:spacing w:line="235" w:lineRule="auto" w:before="1"/>
        <w:ind w:left="705" w:right="168" w:hanging="541"/>
        <w:jc w:val="both"/>
        <w:rPr>
          <w:sz w:val="20"/>
        </w:rPr>
      </w:pPr>
      <w:bookmarkStart w:name="_bookmark821" w:id="823"/>
      <w:bookmarkEnd w:id="823"/>
      <w:r>
        <w:rPr/>
      </w:r>
      <w:hyperlink w:history="true" w:anchor="_bookmark655">
        <w:r>
          <w:rPr>
            <w:color w:val="005DA1"/>
            <w:position w:val="5"/>
            <w:sz w:val="14"/>
            <w:u w:val="single" w:color="005DA1"/>
          </w:rPr>
          <w:t>369</w:t>
        </w:r>
      </w:hyperlink>
      <w:r>
        <w:rPr>
          <w:position w:val="5"/>
          <w:sz w:val="14"/>
        </w:rPr>
        <w:t>.</w:t>
      </w:r>
      <w:r>
        <w:rPr>
          <w:spacing w:val="80"/>
          <w:position w:val="5"/>
          <w:sz w:val="14"/>
        </w:rPr>
        <w:t>  </w:t>
      </w:r>
      <w:r>
        <w:rPr>
          <w:sz w:val="20"/>
        </w:rPr>
        <w:t>Whittaker and Zimmermann at p.690 and cf. </w:t>
      </w:r>
      <w:r>
        <w:rPr>
          <w:rFonts w:ascii="Arial" w:hAnsi="Arial"/>
          <w:i/>
          <w:sz w:val="20"/>
        </w:rPr>
        <w:t>Director General of Fair Trading v First National Bank [2001] UKHL 52, [2002] 1 A.C. 507 </w:t>
      </w:r>
      <w:r>
        <w:rPr>
          <w:sz w:val="20"/>
        </w:rPr>
        <w:t>at [17], per Lord Bingham of Cornhill (Member States “have no common concept of … good faith”).</w:t>
      </w:r>
    </w:p>
    <w:p>
      <w:pPr>
        <w:pStyle w:val="BodyText"/>
        <w:spacing w:before="5"/>
      </w:pPr>
    </w:p>
    <w:p>
      <w:pPr>
        <w:pStyle w:val="BodyText"/>
        <w:tabs>
          <w:tab w:pos="705" w:val="left" w:leader="none"/>
        </w:tabs>
        <w:ind w:left="165"/>
      </w:pPr>
      <w:bookmarkStart w:name="_bookmark822" w:id="824"/>
      <w:bookmarkEnd w:id="824"/>
      <w:r>
        <w:rPr/>
      </w:r>
      <w:hyperlink w:history="true" w:anchor="_bookmark656">
        <w:r>
          <w:rPr>
            <w:color w:val="005DA1"/>
            <w:spacing w:val="-4"/>
            <w:position w:val="5"/>
            <w:sz w:val="14"/>
            <w:u w:val="single" w:color="005DA1"/>
          </w:rPr>
          <w:t>370</w:t>
        </w:r>
      </w:hyperlink>
      <w:r>
        <w:rPr>
          <w:spacing w:val="-4"/>
          <w:position w:val="5"/>
          <w:sz w:val="14"/>
        </w:rPr>
        <w:t>.</w:t>
      </w:r>
      <w:r>
        <w:rPr>
          <w:position w:val="5"/>
          <w:sz w:val="14"/>
        </w:rPr>
        <w:tab/>
      </w:r>
      <w:r>
        <w:rPr/>
        <w:t>Whittaker and Zimmermann at </w:t>
      </w:r>
      <w:r>
        <w:rPr>
          <w:spacing w:val="-2"/>
        </w:rPr>
        <w:t>p.699.</w:t>
      </w:r>
    </w:p>
    <w:p>
      <w:pPr>
        <w:pStyle w:val="BodyText"/>
        <w:spacing w:before="8"/>
      </w:pPr>
    </w:p>
    <w:p>
      <w:pPr>
        <w:tabs>
          <w:tab w:pos="705" w:val="left" w:leader="none"/>
        </w:tabs>
        <w:spacing w:line="235" w:lineRule="auto" w:before="1"/>
        <w:ind w:left="705" w:right="168" w:hanging="541"/>
        <w:jc w:val="left"/>
        <w:rPr>
          <w:sz w:val="20"/>
        </w:rPr>
      </w:pPr>
      <w:bookmarkStart w:name="_bookmark823" w:id="825"/>
      <w:bookmarkEnd w:id="825"/>
      <w:r>
        <w:rPr/>
      </w:r>
      <w:hyperlink w:history="true" w:anchor="_bookmark657">
        <w:r>
          <w:rPr>
            <w:color w:val="005DA1"/>
            <w:spacing w:val="-4"/>
            <w:position w:val="5"/>
            <w:sz w:val="14"/>
            <w:u w:val="single" w:color="005DA1"/>
          </w:rPr>
          <w:t>371</w:t>
        </w:r>
      </w:hyperlink>
      <w:r>
        <w:rPr>
          <w:spacing w:val="-4"/>
          <w:position w:val="5"/>
          <w:sz w:val="14"/>
        </w:rPr>
        <w:t>.</w:t>
      </w:r>
      <w:r>
        <w:rPr>
          <w:position w:val="5"/>
          <w:sz w:val="14"/>
        </w:rPr>
        <w:tab/>
      </w:r>
      <w:r>
        <w:rPr>
          <w:sz w:val="20"/>
        </w:rPr>
        <w:t>Whittaker</w:t>
      </w:r>
      <w:r>
        <w:rPr>
          <w:spacing w:val="34"/>
          <w:sz w:val="20"/>
        </w:rPr>
        <w:t> </w:t>
      </w:r>
      <w:r>
        <w:rPr>
          <w:sz w:val="20"/>
        </w:rPr>
        <w:t>and</w:t>
      </w:r>
      <w:r>
        <w:rPr>
          <w:spacing w:val="34"/>
          <w:sz w:val="20"/>
        </w:rPr>
        <w:t> </w:t>
      </w:r>
      <w:r>
        <w:rPr>
          <w:sz w:val="20"/>
        </w:rPr>
        <w:t>Zimmermann</w:t>
      </w:r>
      <w:r>
        <w:rPr>
          <w:spacing w:val="34"/>
          <w:sz w:val="20"/>
        </w:rPr>
        <w:t> </w:t>
      </w:r>
      <w:r>
        <w:rPr>
          <w:sz w:val="20"/>
        </w:rPr>
        <w:t>at</w:t>
      </w:r>
      <w:r>
        <w:rPr>
          <w:spacing w:val="34"/>
          <w:sz w:val="20"/>
        </w:rPr>
        <w:t> </w:t>
      </w:r>
      <w:r>
        <w:rPr>
          <w:sz w:val="20"/>
        </w:rPr>
        <w:t>pp.687–690.</w:t>
      </w:r>
      <w:r>
        <w:rPr>
          <w:spacing w:val="34"/>
          <w:sz w:val="20"/>
        </w:rPr>
        <w:t> </w:t>
      </w:r>
      <w:r>
        <w:rPr>
          <w:sz w:val="20"/>
        </w:rPr>
        <w:t>cf.</w:t>
      </w:r>
      <w:r>
        <w:rPr>
          <w:spacing w:val="34"/>
          <w:sz w:val="20"/>
        </w:rPr>
        <w:t> </w:t>
      </w:r>
      <w:r>
        <w:rPr>
          <w:sz w:val="20"/>
        </w:rPr>
        <w:t>Supreme</w:t>
      </w:r>
      <w:r>
        <w:rPr>
          <w:spacing w:val="34"/>
          <w:sz w:val="20"/>
        </w:rPr>
        <w:t> </w:t>
      </w:r>
      <w:r>
        <w:rPr>
          <w:sz w:val="20"/>
        </w:rPr>
        <w:t>Ct</w:t>
      </w:r>
      <w:r>
        <w:rPr>
          <w:spacing w:val="34"/>
          <w:sz w:val="20"/>
        </w:rPr>
        <w:t> </w:t>
      </w:r>
      <w:r>
        <w:rPr>
          <w:sz w:val="20"/>
        </w:rPr>
        <w:t>of</w:t>
      </w:r>
      <w:r>
        <w:rPr>
          <w:spacing w:val="34"/>
          <w:sz w:val="20"/>
        </w:rPr>
        <w:t> </w:t>
      </w:r>
      <w:r>
        <w:rPr>
          <w:sz w:val="20"/>
        </w:rPr>
        <w:t>Canada</w:t>
      </w:r>
      <w:r>
        <w:rPr>
          <w:spacing w:val="34"/>
          <w:sz w:val="20"/>
        </w:rPr>
        <w:t> </w:t>
      </w:r>
      <w:r>
        <w:rPr>
          <w:sz w:val="20"/>
        </w:rPr>
        <w:t>in</w:t>
      </w:r>
      <w:r>
        <w:rPr>
          <w:spacing w:val="33"/>
          <w:sz w:val="20"/>
        </w:rPr>
        <w:t> </w:t>
      </w:r>
      <w:r>
        <w:rPr>
          <w:rFonts w:ascii="Arial" w:hAnsi="Arial"/>
          <w:i/>
          <w:sz w:val="20"/>
        </w:rPr>
        <w:t>Bhasin</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Hrynew 2014 SCC 71, [2014] 3 S.C.R. 495 </w:t>
      </w:r>
      <w:r>
        <w:rPr>
          <w:sz w:val="20"/>
        </w:rPr>
        <w:t>at [64], noted above, n.321.</w:t>
      </w:r>
    </w:p>
    <w:p>
      <w:pPr>
        <w:pStyle w:val="BodyText"/>
        <w:spacing w:before="9"/>
      </w:pPr>
    </w:p>
    <w:p>
      <w:pPr>
        <w:pStyle w:val="BodyText"/>
        <w:spacing w:line="235" w:lineRule="auto"/>
        <w:ind w:left="705" w:right="167" w:hanging="541"/>
        <w:jc w:val="both"/>
      </w:pPr>
      <w:bookmarkStart w:name="_bookmark824" w:id="826"/>
      <w:bookmarkEnd w:id="826"/>
      <w:r>
        <w:rPr/>
      </w:r>
      <w:hyperlink w:history="true" w:anchor="_bookmark658">
        <w:r>
          <w:rPr>
            <w:color w:val="005DA1"/>
            <w:position w:val="5"/>
            <w:sz w:val="14"/>
            <w:u w:val="single" w:color="005DA1"/>
          </w:rPr>
          <w:t>372</w:t>
        </w:r>
      </w:hyperlink>
      <w:r>
        <w:rPr>
          <w:position w:val="5"/>
          <w:sz w:val="14"/>
        </w:rPr>
        <w:t>.</w:t>
      </w:r>
      <w:r>
        <w:rPr>
          <w:spacing w:val="80"/>
          <w:w w:val="150"/>
          <w:position w:val="5"/>
          <w:sz w:val="14"/>
        </w:rPr>
        <w:t> </w:t>
      </w:r>
      <w:r>
        <w:rPr/>
        <w:t>art.3(1), implemented by the Unfair Terms in Consumer Contracts Regulations (SI 1999/2083) reg.5(1) and (as regards contracts made on or after October 1, 2015) the Consumer Rights </w:t>
      </w:r>
      <w:r>
        <w:rPr/>
        <w:t>Act 2015 s.62(4) (on which see Vol.II, paras 38-242—38-251 and 38-358—38-359 respectively).</w:t>
      </w:r>
    </w:p>
    <w:p>
      <w:pPr>
        <w:pStyle w:val="BodyText"/>
        <w:spacing w:before="8"/>
      </w:pPr>
    </w:p>
    <w:p>
      <w:pPr>
        <w:pStyle w:val="BodyText"/>
        <w:spacing w:line="235" w:lineRule="auto" w:before="1"/>
        <w:ind w:left="705" w:right="167" w:hanging="541"/>
        <w:jc w:val="both"/>
      </w:pPr>
      <w:bookmarkStart w:name="_bookmark825" w:id="827"/>
      <w:bookmarkEnd w:id="827"/>
      <w:r>
        <w:rPr/>
      </w:r>
      <w:hyperlink w:history="true" w:anchor="_bookmark659">
        <w:r>
          <w:rPr>
            <w:color w:val="005DA1"/>
            <w:position w:val="5"/>
            <w:sz w:val="14"/>
            <w:u w:val="single" w:color="005DA1"/>
          </w:rPr>
          <w:t>373</w:t>
        </w:r>
      </w:hyperlink>
      <w:r>
        <w:rPr>
          <w:position w:val="5"/>
          <w:sz w:val="14"/>
        </w:rPr>
        <w:t>.</w:t>
      </w:r>
      <w:r>
        <w:rPr>
          <w:spacing w:val="80"/>
          <w:position w:val="5"/>
          <w:sz w:val="14"/>
        </w:rPr>
        <w:t> </w:t>
      </w:r>
      <w:r>
        <w:rPr/>
        <w:t>Directive 2011/7/EU on combating late payment in commercial transactions [2011] O.J. </w:t>
      </w:r>
      <w:r>
        <w:rPr/>
        <w:t>48/1 art.7(1)(a) (“any gross deviation from good commercial practice, contrary to good faith and fair dealing” relevant to whether a contractual term or a practice relating to the date or period for payment, the rate of interest for late payment or the compensation for recovery costs is grossly unfair to the creditor). Directive 2011/7/EU is implemented in UK law by the Late Payment of Commercial Debts Regulations 2013 (SI 2013/395) amending the Late Payment of Commercial Debts (Interest) Act 1998, on which see below, paras 26-232—26-234.</w:t>
      </w:r>
    </w:p>
    <w:p>
      <w:pPr>
        <w:pStyle w:val="BodyText"/>
        <w:spacing w:before="3"/>
      </w:pPr>
    </w:p>
    <w:p>
      <w:pPr>
        <w:pStyle w:val="BodyText"/>
        <w:spacing w:line="227" w:lineRule="exact"/>
        <w:ind w:left="165"/>
        <w:jc w:val="both"/>
      </w:pPr>
      <w:bookmarkStart w:name="_bookmark826" w:id="828"/>
      <w:bookmarkEnd w:id="828"/>
      <w:r>
        <w:rPr/>
      </w:r>
      <w:hyperlink w:history="true" w:anchor="_bookmark660">
        <w:r>
          <w:rPr>
            <w:color w:val="005DA1"/>
            <w:position w:val="5"/>
            <w:sz w:val="14"/>
            <w:u w:val="single" w:color="005DA1"/>
          </w:rPr>
          <w:t>374</w:t>
        </w:r>
      </w:hyperlink>
      <w:r>
        <w:rPr>
          <w:position w:val="5"/>
          <w:sz w:val="14"/>
        </w:rPr>
        <w:t>.</w:t>
      </w:r>
      <w:r>
        <w:rPr>
          <w:spacing w:val="75"/>
          <w:w w:val="150"/>
          <w:position w:val="5"/>
          <w:sz w:val="14"/>
        </w:rPr>
        <w:t>  </w:t>
      </w:r>
      <w:r>
        <w:rPr/>
        <w:t>Directive</w:t>
      </w:r>
      <w:r>
        <w:rPr>
          <w:spacing w:val="13"/>
        </w:rPr>
        <w:t> </w:t>
      </w:r>
      <w:r>
        <w:rPr/>
        <w:t>2002/65/EC</w:t>
      </w:r>
      <w:r>
        <w:rPr>
          <w:spacing w:val="13"/>
        </w:rPr>
        <w:t> </w:t>
      </w:r>
      <w:r>
        <w:rPr/>
        <w:t>concerning</w:t>
      </w:r>
      <w:r>
        <w:rPr>
          <w:spacing w:val="13"/>
        </w:rPr>
        <w:t> </w:t>
      </w:r>
      <w:r>
        <w:rPr/>
        <w:t>the</w:t>
      </w:r>
      <w:r>
        <w:rPr>
          <w:spacing w:val="13"/>
        </w:rPr>
        <w:t> </w:t>
      </w:r>
      <w:r>
        <w:rPr/>
        <w:t>distance</w:t>
      </w:r>
      <w:r>
        <w:rPr>
          <w:spacing w:val="13"/>
        </w:rPr>
        <w:t> </w:t>
      </w:r>
      <w:r>
        <w:rPr/>
        <w:t>marketing</w:t>
      </w:r>
      <w:r>
        <w:rPr>
          <w:spacing w:val="13"/>
        </w:rPr>
        <w:t> </w:t>
      </w:r>
      <w:r>
        <w:rPr/>
        <w:t>of</w:t>
      </w:r>
      <w:r>
        <w:rPr>
          <w:spacing w:val="13"/>
        </w:rPr>
        <w:t> </w:t>
      </w:r>
      <w:r>
        <w:rPr/>
        <w:t>consumer</w:t>
      </w:r>
      <w:r>
        <w:rPr>
          <w:spacing w:val="13"/>
        </w:rPr>
        <w:t> </w:t>
      </w:r>
      <w:r>
        <w:rPr/>
        <w:t>financial</w:t>
      </w:r>
      <w:r>
        <w:rPr>
          <w:spacing w:val="13"/>
        </w:rPr>
        <w:t> </w:t>
      </w:r>
      <w:r>
        <w:rPr/>
        <w:t>services</w:t>
      </w:r>
      <w:r>
        <w:rPr>
          <w:spacing w:val="13"/>
        </w:rPr>
        <w:t> </w:t>
      </w:r>
      <w:r>
        <w:rPr>
          <w:spacing w:val="-2"/>
        </w:rPr>
        <w:t>[2002]</w:t>
      </w:r>
    </w:p>
    <w:p>
      <w:pPr>
        <w:pStyle w:val="BodyText"/>
        <w:spacing w:line="235" w:lineRule="auto" w:before="2"/>
        <w:ind w:left="705" w:right="167"/>
        <w:jc w:val="both"/>
      </w:pPr>
      <w:r>
        <w:rPr/>
        <w:t>O.J. L271/16, art.3(2) implemented by the Financial Services (Distance Marketing) </w:t>
      </w:r>
      <w:r>
        <w:rPr/>
        <w:t>Regulations 2004 (SI 2004/2095) reg.7(2). Article 3(2) provides that the information to be supplied (as</w:t>
      </w:r>
      <w:r>
        <w:rPr>
          <w:spacing w:val="40"/>
        </w:rPr>
        <w:t> </w:t>
      </w:r>
      <w:r>
        <w:rPr/>
        <w:t>earlier specified by art.3(1)): “the commercial purpose of which must be made clear, shall </w:t>
      </w:r>
      <w:r>
        <w:rPr/>
        <w:t>be provided in a clear and comprehensible manner in any way appropriate to the means of distance communication used, with due regard, in particular, to the principles of good faith </w:t>
      </w:r>
      <w:r>
        <w:rPr/>
        <w:t>in commercial transactions, and the principles governing the protection of those who are </w:t>
      </w:r>
      <w:r>
        <w:rPr/>
        <w:t>unable, pursuant to the legislation of the Member States, to give their consent, such as minors”. On these Regulations see Vol.II, para.38-131.</w:t>
      </w:r>
    </w:p>
    <w:p>
      <w:pPr>
        <w:pStyle w:val="BodyText"/>
        <w:spacing w:before="6"/>
      </w:pPr>
    </w:p>
    <w:p>
      <w:pPr>
        <w:pStyle w:val="BodyText"/>
        <w:spacing w:line="235" w:lineRule="auto"/>
        <w:ind w:left="705" w:right="167" w:hanging="541"/>
        <w:jc w:val="both"/>
      </w:pPr>
      <w:bookmarkStart w:name="_bookmark827" w:id="829"/>
      <w:bookmarkEnd w:id="829"/>
      <w:r>
        <w:rPr/>
      </w:r>
      <w:hyperlink w:history="true" w:anchor="_bookmark661">
        <w:r>
          <w:rPr>
            <w:color w:val="005DA1"/>
            <w:position w:val="5"/>
            <w:sz w:val="14"/>
            <w:u w:val="single" w:color="005DA1"/>
          </w:rPr>
          <w:t>375</w:t>
        </w:r>
      </w:hyperlink>
      <w:r>
        <w:rPr>
          <w:position w:val="5"/>
          <w:sz w:val="14"/>
        </w:rPr>
        <w:t>.</w:t>
      </w:r>
      <w:r>
        <w:rPr>
          <w:spacing w:val="80"/>
          <w:w w:val="150"/>
          <w:position w:val="5"/>
          <w:sz w:val="14"/>
        </w:rPr>
        <w:t> </w:t>
      </w:r>
      <w:r>
        <w:rPr/>
        <w:t>Directive 2005/29 concerning unfair business-to-consumer commercial practices in the internal market [2005] O.J. L149/16 art.5(2) and art.2(h) implemented by the Consumer Protection from Unfair Trading Regulations 2008 (SI 2008/1277) regs 3(3) and 2(1) “professional </w:t>
      </w:r>
      <w:r>
        <w:rPr/>
        <w:t>diligence”.</w:t>
      </w:r>
      <w:r>
        <w:rPr>
          <w:spacing w:val="40"/>
        </w:rPr>
        <w:t> </w:t>
      </w:r>
      <w:r>
        <w:rPr/>
        <w:t>The 2005 Directive prohibits unfair commercial practices business-to-consumer but does not itself affect “contract law” in the sense of the rules governing the relative rights of the</w:t>
      </w:r>
      <w:r>
        <w:rPr>
          <w:spacing w:val="40"/>
        </w:rPr>
        <w:t> </w:t>
      </w:r>
      <w:r>
        <w:rPr/>
        <w:t>contracting or would-be contracting parties (including in relation to the formation and validity of the</w:t>
      </w:r>
      <w:r>
        <w:rPr>
          <w:spacing w:val="-2"/>
        </w:rPr>
        <w:t> </w:t>
      </w:r>
      <w:r>
        <w:rPr/>
        <w:t>contract):</w:t>
      </w:r>
      <w:r>
        <w:rPr>
          <w:spacing w:val="-2"/>
        </w:rPr>
        <w:t> </w:t>
      </w:r>
      <w:r>
        <w:rPr/>
        <w:t>2005</w:t>
      </w:r>
      <w:r>
        <w:rPr>
          <w:spacing w:val="-2"/>
        </w:rPr>
        <w:t> </w:t>
      </w:r>
      <w:r>
        <w:rPr/>
        <w:t>Directive</w:t>
      </w:r>
      <w:r>
        <w:rPr>
          <w:spacing w:val="-2"/>
        </w:rPr>
        <w:t> </w:t>
      </w:r>
      <w:r>
        <w:rPr/>
        <w:t>art.3(2)</w:t>
      </w:r>
      <w:r>
        <w:rPr>
          <w:spacing w:val="-2"/>
        </w:rPr>
        <w:t> </w:t>
      </w:r>
      <w:r>
        <w:rPr/>
        <w:t>and</w:t>
      </w:r>
      <w:r>
        <w:rPr>
          <w:spacing w:val="-2"/>
        </w:rPr>
        <w:t> </w:t>
      </w:r>
      <w:r>
        <w:rPr/>
        <w:t>see</w:t>
      </w:r>
      <w:r>
        <w:rPr>
          <w:spacing w:val="-2"/>
        </w:rPr>
        <w:t> </w:t>
      </w:r>
      <w:r>
        <w:rPr/>
        <w:t>Vol.II,</w:t>
      </w:r>
      <w:r>
        <w:rPr>
          <w:spacing w:val="-2"/>
        </w:rPr>
        <w:t> </w:t>
      </w:r>
      <w:r>
        <w:rPr/>
        <w:t>paras</w:t>
      </w:r>
      <w:r>
        <w:rPr>
          <w:spacing w:val="-2"/>
        </w:rPr>
        <w:t> </w:t>
      </w:r>
      <w:r>
        <w:rPr/>
        <w:t>38-145</w:t>
      </w:r>
      <w:r>
        <w:rPr>
          <w:spacing w:val="-2"/>
        </w:rPr>
        <w:t> </w:t>
      </w:r>
      <w:r>
        <w:rPr/>
        <w:t>and</w:t>
      </w:r>
      <w:r>
        <w:rPr>
          <w:spacing w:val="-2"/>
        </w:rPr>
        <w:t> </w:t>
      </w:r>
      <w:r>
        <w:rPr/>
        <w:t>38-148.</w:t>
      </w:r>
      <w:r>
        <w:rPr>
          <w:spacing w:val="-2"/>
        </w:rPr>
        <w:t> </w:t>
      </w:r>
      <w:r>
        <w:rPr/>
        <w:t>However,</w:t>
      </w:r>
      <w:r>
        <w:rPr>
          <w:spacing w:val="-2"/>
        </w:rPr>
        <w:t> </w:t>
      </w:r>
      <w:r>
        <w:rPr/>
        <w:t>the</w:t>
      </w:r>
      <w:r>
        <w:rPr>
          <w:spacing w:val="-2"/>
        </w:rPr>
        <w:t> </w:t>
      </w:r>
      <w:r>
        <w:rPr/>
        <w:t>UK government has given contractual significance to some of the UK provisions implementing the directive in the 2008 Regulations by creating “rights to redress” for the consumer in respect of </w:t>
      </w:r>
      <w:r>
        <w:rPr>
          <w:rFonts w:ascii="Arial" w:hAnsi="Arial"/>
          <w:i/>
        </w:rPr>
        <w:t>certain </w:t>
      </w:r>
      <w:r>
        <w:rPr/>
        <w:t>unfair commercial practices (misleading actions and aggressive practices): the Consumer Protection (Amendment) Regulations 2014 (SI 2014/870) amending the 2008 Regulations).</w:t>
      </w:r>
      <w:r>
        <w:rPr>
          <w:spacing w:val="-1"/>
        </w:rPr>
        <w:t> </w:t>
      </w:r>
      <w:r>
        <w:rPr/>
        <w:t>In</w:t>
      </w:r>
      <w:r>
        <w:rPr>
          <w:spacing w:val="-1"/>
        </w:rPr>
        <w:t> </w:t>
      </w:r>
      <w:r>
        <w:rPr/>
        <w:t>doing</w:t>
      </w:r>
      <w:r>
        <w:rPr>
          <w:spacing w:val="-1"/>
        </w:rPr>
        <w:t> </w:t>
      </w:r>
      <w:r>
        <w:rPr/>
        <w:t>so,</w:t>
      </w:r>
      <w:r>
        <w:rPr>
          <w:spacing w:val="-1"/>
        </w:rPr>
        <w:t> </w:t>
      </w:r>
      <w:r>
        <w:rPr/>
        <w:t>the</w:t>
      </w:r>
      <w:r>
        <w:rPr>
          <w:spacing w:val="-1"/>
        </w:rPr>
        <w:t> </w:t>
      </w:r>
      <w:r>
        <w:rPr/>
        <w:t>consumer</w:t>
      </w:r>
      <w:r>
        <w:rPr>
          <w:spacing w:val="-1"/>
        </w:rPr>
        <w:t> </w:t>
      </w:r>
      <w:r>
        <w:rPr/>
        <w:t>is</w:t>
      </w:r>
      <w:r>
        <w:rPr>
          <w:spacing w:val="-1"/>
        </w:rPr>
        <w:t> </w:t>
      </w:r>
      <w:r>
        <w:rPr/>
        <w:t>not</w:t>
      </w:r>
      <w:r>
        <w:rPr>
          <w:spacing w:val="-1"/>
        </w:rPr>
        <w:t> </w:t>
      </w:r>
      <w:r>
        <w:rPr/>
        <w:t>given</w:t>
      </w:r>
      <w:r>
        <w:rPr>
          <w:spacing w:val="-1"/>
        </w:rPr>
        <w:t> </w:t>
      </w:r>
      <w:r>
        <w:rPr/>
        <w:t>any</w:t>
      </w:r>
      <w:r>
        <w:rPr>
          <w:spacing w:val="-1"/>
        </w:rPr>
        <w:t> </w:t>
      </w:r>
      <w:r>
        <w:rPr/>
        <w:t>rights</w:t>
      </w:r>
      <w:r>
        <w:rPr>
          <w:spacing w:val="-1"/>
        </w:rPr>
        <w:t> </w:t>
      </w:r>
      <w:r>
        <w:rPr/>
        <w:t>against</w:t>
      </w:r>
      <w:r>
        <w:rPr>
          <w:spacing w:val="-1"/>
        </w:rPr>
        <w:t> </w:t>
      </w:r>
      <w:r>
        <w:rPr/>
        <w:t>the</w:t>
      </w:r>
      <w:r>
        <w:rPr>
          <w:spacing w:val="-1"/>
        </w:rPr>
        <w:t> </w:t>
      </w:r>
      <w:r>
        <w:rPr/>
        <w:t>trader</w:t>
      </w:r>
      <w:r>
        <w:rPr>
          <w:spacing w:val="-1"/>
        </w:rPr>
        <w:t> </w:t>
      </w:r>
      <w:r>
        <w:rPr/>
        <w:t>in</w:t>
      </w:r>
      <w:r>
        <w:rPr>
          <w:spacing w:val="-1"/>
        </w:rPr>
        <w:t> </w:t>
      </w:r>
      <w:r>
        <w:rPr/>
        <w:t>respect</w:t>
      </w:r>
      <w:r>
        <w:rPr>
          <w:spacing w:val="-1"/>
        </w:rPr>
        <w:t> </w:t>
      </w:r>
      <w:r>
        <w:rPr/>
        <w:t>of</w:t>
      </w:r>
      <w:r>
        <w:rPr>
          <w:spacing w:val="-1"/>
        </w:rPr>
        <w:t> </w:t>
      </w:r>
      <w:r>
        <w:rPr/>
        <w:t>a commercial practice unfair under the general test which refers to professional diligence and, therefore, to good faith: 2008 Regulations reg.27A(4)(a), 27B and see Vol.II, paras 38-160 et </w:t>
      </w:r>
      <w:r>
        <w:rPr>
          <w:spacing w:val="-4"/>
        </w:rPr>
        <w:t>seq.</w:t>
      </w:r>
    </w:p>
    <w:p>
      <w:pPr>
        <w:pStyle w:val="BodyText"/>
        <w:spacing w:before="5"/>
      </w:pPr>
    </w:p>
    <w:p>
      <w:pPr>
        <w:spacing w:line="235" w:lineRule="auto" w:before="0"/>
        <w:ind w:left="705" w:right="167" w:hanging="541"/>
        <w:jc w:val="both"/>
        <w:rPr>
          <w:sz w:val="20"/>
        </w:rPr>
      </w:pPr>
      <w:bookmarkStart w:name="_bookmark828" w:id="830"/>
      <w:bookmarkEnd w:id="830"/>
      <w:r>
        <w:rPr/>
      </w:r>
      <w:hyperlink w:history="true" w:anchor="_bookmark662">
        <w:r>
          <w:rPr>
            <w:color w:val="005DA1"/>
            <w:position w:val="5"/>
            <w:sz w:val="14"/>
            <w:u w:val="single" w:color="005DA1"/>
          </w:rPr>
          <w:t>376</w:t>
        </w:r>
      </w:hyperlink>
      <w:r>
        <w:rPr>
          <w:position w:val="5"/>
          <w:sz w:val="14"/>
        </w:rPr>
        <w:t>.</w:t>
      </w:r>
      <w:r>
        <w:rPr>
          <w:spacing w:val="40"/>
          <w:position w:val="5"/>
          <w:sz w:val="14"/>
        </w:rPr>
        <w:t>  </w:t>
      </w:r>
      <w:r>
        <w:rPr>
          <w:sz w:val="20"/>
        </w:rPr>
        <w:t>Directive 86/653 on the co-ordination of the laws of the Member States relating to </w:t>
      </w:r>
      <w:r>
        <w:rPr>
          <w:sz w:val="20"/>
        </w:rPr>
        <w:t>selfemployed commercial agents [1986] O.J. L382/17: art.3(1), implemented in UK law by the Commercial Agents (Council Directive) Regulations 1993 (SI 1993/3053) reg.3(1) and see</w:t>
      </w:r>
      <w:r>
        <w:rPr>
          <w:spacing w:val="-1"/>
          <w:sz w:val="20"/>
        </w:rPr>
        <w:t> </w:t>
      </w:r>
      <w:r>
        <w:rPr>
          <w:rFonts w:ascii="Arial" w:hAnsi="Arial"/>
          <w:i/>
          <w:sz w:val="20"/>
        </w:rPr>
        <w:t>Rosetti Marketing Ltd</w:t>
      </w:r>
      <w:r>
        <w:rPr>
          <w:rFonts w:ascii="Arial" w:hAnsi="Arial"/>
          <w:i/>
          <w:spacing w:val="6"/>
          <w:sz w:val="20"/>
        </w:rPr>
        <w:t> </w:t>
      </w:r>
      <w:r>
        <w:rPr>
          <w:rFonts w:ascii="Arial" w:hAnsi="Arial"/>
          <w:i/>
          <w:sz w:val="20"/>
        </w:rPr>
        <w:t>v</w:t>
      </w:r>
      <w:r>
        <w:rPr>
          <w:rFonts w:ascii="Arial" w:hAnsi="Arial"/>
          <w:i/>
          <w:spacing w:val="8"/>
          <w:sz w:val="20"/>
        </w:rPr>
        <w:t> </w:t>
      </w:r>
      <w:r>
        <w:rPr>
          <w:rFonts w:ascii="Arial" w:hAnsi="Arial"/>
          <w:i/>
          <w:sz w:val="20"/>
        </w:rPr>
        <w:t>Diamond</w:t>
      </w:r>
      <w:r>
        <w:rPr>
          <w:rFonts w:ascii="Arial" w:hAnsi="Arial"/>
          <w:i/>
          <w:spacing w:val="8"/>
          <w:sz w:val="20"/>
        </w:rPr>
        <w:t> </w:t>
      </w:r>
      <w:r>
        <w:rPr>
          <w:rFonts w:ascii="Arial" w:hAnsi="Arial"/>
          <w:i/>
          <w:sz w:val="20"/>
        </w:rPr>
        <w:t>Sofa</w:t>
      </w:r>
      <w:r>
        <w:rPr>
          <w:rFonts w:ascii="Arial" w:hAnsi="Arial"/>
          <w:i/>
          <w:spacing w:val="8"/>
          <w:sz w:val="20"/>
        </w:rPr>
        <w:t> </w:t>
      </w:r>
      <w:r>
        <w:rPr>
          <w:rFonts w:ascii="Arial" w:hAnsi="Arial"/>
          <w:i/>
          <w:sz w:val="20"/>
        </w:rPr>
        <w:t>Co</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[2011]</w:t>
      </w:r>
      <w:r>
        <w:rPr>
          <w:rFonts w:ascii="Arial" w:hAnsi="Arial"/>
          <w:i/>
          <w:spacing w:val="8"/>
          <w:sz w:val="20"/>
        </w:rPr>
        <w:t> </w:t>
      </w:r>
      <w:r>
        <w:rPr>
          <w:rFonts w:ascii="Arial" w:hAnsi="Arial"/>
          <w:i/>
          <w:sz w:val="20"/>
        </w:rPr>
        <w:t>EWHC</w:t>
      </w:r>
      <w:r>
        <w:rPr>
          <w:rFonts w:ascii="Arial" w:hAnsi="Arial"/>
          <w:i/>
          <w:spacing w:val="8"/>
          <w:sz w:val="20"/>
        </w:rPr>
        <w:t> </w:t>
      </w:r>
      <w:r>
        <w:rPr>
          <w:rFonts w:ascii="Arial" w:hAnsi="Arial"/>
          <w:i/>
          <w:sz w:val="20"/>
        </w:rPr>
        <w:t>2482</w:t>
      </w:r>
      <w:r>
        <w:rPr>
          <w:rFonts w:ascii="Arial" w:hAnsi="Arial"/>
          <w:i/>
          <w:spacing w:val="8"/>
          <w:sz w:val="20"/>
        </w:rPr>
        <w:t> </w:t>
      </w:r>
      <w:r>
        <w:rPr>
          <w:rFonts w:ascii="Arial" w:hAnsi="Arial"/>
          <w:i/>
          <w:sz w:val="20"/>
        </w:rPr>
        <w:t>(QB),</w:t>
      </w:r>
      <w:r>
        <w:rPr>
          <w:rFonts w:ascii="Arial" w:hAnsi="Arial"/>
          <w:i/>
          <w:spacing w:val="8"/>
          <w:sz w:val="20"/>
        </w:rPr>
        <w:t> </w:t>
      </w:r>
      <w:r>
        <w:rPr>
          <w:rFonts w:ascii="Arial" w:hAnsi="Arial"/>
          <w:i/>
          <w:sz w:val="20"/>
        </w:rPr>
        <w:t>[2012]</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All</w:t>
      </w:r>
      <w:r>
        <w:rPr>
          <w:rFonts w:ascii="Arial" w:hAnsi="Arial"/>
          <w:i/>
          <w:spacing w:val="8"/>
          <w:sz w:val="20"/>
        </w:rPr>
        <w:t> </w:t>
      </w:r>
      <w:r>
        <w:rPr>
          <w:rFonts w:ascii="Arial" w:hAnsi="Arial"/>
          <w:i/>
          <w:sz w:val="20"/>
        </w:rPr>
        <w:t>E.R.</w:t>
      </w:r>
      <w:r>
        <w:rPr>
          <w:rFonts w:ascii="Arial" w:hAnsi="Arial"/>
          <w:i/>
          <w:spacing w:val="8"/>
          <w:sz w:val="20"/>
        </w:rPr>
        <w:t> </w:t>
      </w:r>
      <w:r>
        <w:rPr>
          <w:rFonts w:ascii="Arial" w:hAnsi="Arial"/>
          <w:i/>
          <w:sz w:val="20"/>
        </w:rPr>
        <w:t>(Comm)</w:t>
      </w:r>
      <w:r>
        <w:rPr>
          <w:rFonts w:ascii="Arial" w:hAnsi="Arial"/>
          <w:i/>
          <w:spacing w:val="8"/>
          <w:sz w:val="20"/>
        </w:rPr>
        <w:t> </w:t>
      </w:r>
      <w:r>
        <w:rPr>
          <w:rFonts w:ascii="Arial" w:hAnsi="Arial"/>
          <w:i/>
          <w:sz w:val="20"/>
        </w:rPr>
        <w:t>18</w:t>
      </w:r>
      <w:r>
        <w:rPr>
          <w:rFonts w:ascii="Arial" w:hAnsi="Arial"/>
          <w:i/>
          <w:spacing w:val="7"/>
          <w:sz w:val="20"/>
        </w:rPr>
        <w:t> </w:t>
      </w:r>
      <w:r>
        <w:rPr>
          <w:sz w:val="20"/>
        </w:rPr>
        <w:t>at</w:t>
      </w:r>
      <w:r>
        <w:rPr>
          <w:spacing w:val="8"/>
          <w:sz w:val="20"/>
        </w:rPr>
        <w:t> </w:t>
      </w:r>
      <w:r>
        <w:rPr>
          <w:spacing w:val="-2"/>
          <w:sz w:val="20"/>
        </w:rPr>
        <w:t>[41]–[42]</w:t>
      </w:r>
    </w:p>
    <w:p>
      <w:pPr>
        <w:spacing w:after="0" w:line="235" w:lineRule="auto"/>
        <w:jc w:val="both"/>
        <w:rPr>
          <w:sz w:val="20"/>
        </w:rPr>
        <w:sectPr>
          <w:pgSz w:w="11900" w:h="16840"/>
          <w:pgMar w:header="971" w:footer="0" w:top="1300" w:bottom="280" w:left="1275" w:right="1275"/>
        </w:sectPr>
      </w:pPr>
    </w:p>
    <w:p>
      <w:pPr>
        <w:pStyle w:val="BodyText"/>
        <w:spacing w:before="106"/>
        <w:ind w:left="705"/>
      </w:pPr>
      <w:r>
        <w:rPr/>
        <w:t>and Vol.II, paras 31-017 and 31-</w:t>
      </w:r>
      <w:r>
        <w:rPr>
          <w:spacing w:val="-4"/>
        </w:rPr>
        <w:t>118.</w:t>
      </w:r>
    </w:p>
    <w:p>
      <w:pPr>
        <w:pStyle w:val="BodyText"/>
        <w:spacing w:before="9"/>
      </w:pPr>
    </w:p>
    <w:p>
      <w:pPr>
        <w:spacing w:line="235" w:lineRule="auto" w:before="0"/>
        <w:ind w:left="705" w:right="167" w:hanging="541"/>
        <w:jc w:val="both"/>
        <w:rPr>
          <w:sz w:val="20"/>
        </w:rPr>
      </w:pPr>
      <w:bookmarkStart w:name="_bookmark829" w:id="831"/>
      <w:bookmarkEnd w:id="831"/>
      <w:r>
        <w:rPr/>
      </w:r>
      <w:hyperlink w:history="true" w:anchor="_bookmark663">
        <w:r>
          <w:rPr>
            <w:color w:val="005DA1"/>
            <w:position w:val="5"/>
            <w:sz w:val="14"/>
            <w:u w:val="single" w:color="005DA1"/>
          </w:rPr>
          <w:t>377</w:t>
        </w:r>
      </w:hyperlink>
      <w:r>
        <w:rPr>
          <w:position w:val="5"/>
          <w:sz w:val="14"/>
        </w:rPr>
        <w:t>.</w:t>
      </w:r>
      <w:r>
        <w:rPr>
          <w:spacing w:val="80"/>
          <w:position w:val="5"/>
          <w:sz w:val="14"/>
        </w:rPr>
        <w:t>  </w:t>
      </w:r>
      <w:r>
        <w:rPr>
          <w:rFonts w:ascii="Arial" w:hAnsi="Arial"/>
          <w:i/>
          <w:sz w:val="20"/>
        </w:rPr>
        <w:t>Messner v Krüger (C-489/07) [2009] E.C.R. I–7315 </w:t>
      </w:r>
      <w:r>
        <w:rPr>
          <w:sz w:val="20"/>
        </w:rPr>
        <w:t>para.26. cf. </w:t>
      </w:r>
      <w:r>
        <w:rPr>
          <w:rFonts w:ascii="Arial" w:hAnsi="Arial"/>
          <w:i/>
          <w:sz w:val="20"/>
        </w:rPr>
        <w:t>Case 464/01 Gruber v Bay Wa AG [1997] E.C.R. I–3767 </w:t>
      </w:r>
      <w:r>
        <w:rPr>
          <w:sz w:val="20"/>
        </w:rPr>
        <w:t>at [53] where the European Court used good faith in the application of the special jurisdiction provisions in art.13 of the Brussels Convention.</w:t>
      </w:r>
    </w:p>
    <w:p>
      <w:pPr>
        <w:pStyle w:val="BodyText"/>
        <w:spacing w:before="9"/>
      </w:pPr>
    </w:p>
    <w:p>
      <w:pPr>
        <w:pStyle w:val="BodyText"/>
        <w:spacing w:line="235" w:lineRule="auto"/>
        <w:ind w:left="705" w:right="167" w:hanging="541"/>
        <w:jc w:val="both"/>
      </w:pPr>
      <w:bookmarkStart w:name="_bookmark830" w:id="832"/>
      <w:bookmarkEnd w:id="832"/>
      <w:r>
        <w:rPr/>
      </w:r>
      <w:hyperlink w:history="true" w:anchor="_bookmark664">
        <w:r>
          <w:rPr>
            <w:color w:val="005DA1"/>
            <w:position w:val="5"/>
            <w:sz w:val="14"/>
            <w:u w:val="single" w:color="005DA1"/>
          </w:rPr>
          <w:t>378</w:t>
        </w:r>
      </w:hyperlink>
      <w:r>
        <w:rPr>
          <w:position w:val="5"/>
          <w:sz w:val="14"/>
        </w:rPr>
        <w:t>.</w:t>
      </w:r>
      <w:r>
        <w:rPr>
          <w:spacing w:val="80"/>
          <w:w w:val="150"/>
          <w:position w:val="5"/>
          <w:sz w:val="14"/>
        </w:rPr>
        <w:t> </w:t>
      </w:r>
      <w:r>
        <w:rPr/>
        <w:t>Proposal for a Regulation of the European Parliament and of the Council on a Common European</w:t>
      </w:r>
      <w:r>
        <w:rPr>
          <w:spacing w:val="-2"/>
        </w:rPr>
        <w:t> </w:t>
      </w:r>
      <w:r>
        <w:rPr/>
        <w:t>Sales</w:t>
      </w:r>
      <w:r>
        <w:rPr>
          <w:spacing w:val="-2"/>
        </w:rPr>
        <w:t> </w:t>
      </w:r>
      <w:r>
        <w:rPr/>
        <w:t>Law</w:t>
      </w:r>
      <w:r>
        <w:rPr>
          <w:spacing w:val="-2"/>
        </w:rPr>
        <w:t> </w:t>
      </w:r>
      <w:r>
        <w:rPr/>
        <w:t>Com(2011)</w:t>
      </w:r>
      <w:r>
        <w:rPr>
          <w:spacing w:val="-2"/>
        </w:rPr>
        <w:t> </w:t>
      </w:r>
      <w:r>
        <w:rPr/>
        <w:t>635</w:t>
      </w:r>
      <w:r>
        <w:rPr>
          <w:spacing w:val="-2"/>
        </w:rPr>
        <w:t> </w:t>
      </w:r>
      <w:r>
        <w:rPr/>
        <w:t>final</w:t>
      </w:r>
      <w:r>
        <w:rPr>
          <w:spacing w:val="-2"/>
        </w:rPr>
        <w:t> </w:t>
      </w:r>
      <w:r>
        <w:rPr/>
        <w:t>Annex</w:t>
      </w:r>
      <w:r>
        <w:rPr>
          <w:spacing w:val="-2"/>
        </w:rPr>
        <w:t> </w:t>
      </w:r>
      <w:r>
        <w:rPr/>
        <w:t>I,</w:t>
      </w:r>
      <w:r>
        <w:rPr>
          <w:spacing w:val="-2"/>
        </w:rPr>
        <w:t> </w:t>
      </w:r>
      <w:r>
        <w:rPr/>
        <w:t>CESL</w:t>
      </w:r>
      <w:r>
        <w:rPr>
          <w:spacing w:val="-2"/>
        </w:rPr>
        <w:t> </w:t>
      </w:r>
      <w:r>
        <w:rPr/>
        <w:t>Proposal</w:t>
      </w:r>
      <w:r>
        <w:rPr>
          <w:spacing w:val="-2"/>
        </w:rPr>
        <w:t> </w:t>
      </w:r>
      <w:r>
        <w:rPr/>
        <w:t>Annex</w:t>
      </w:r>
      <w:r>
        <w:rPr>
          <w:spacing w:val="-2"/>
        </w:rPr>
        <w:t> </w:t>
      </w:r>
      <w:r>
        <w:rPr/>
        <w:t>I,</w:t>
      </w:r>
      <w:r>
        <w:rPr>
          <w:spacing w:val="-2"/>
        </w:rPr>
        <w:t> </w:t>
      </w:r>
      <w:r>
        <w:rPr/>
        <w:t>art.2</w:t>
      </w:r>
      <w:r>
        <w:rPr>
          <w:spacing w:val="-2"/>
        </w:rPr>
        <w:t> </w:t>
      </w:r>
      <w:r>
        <w:rPr/>
        <w:t>CESL.</w:t>
      </w:r>
      <w:r>
        <w:rPr>
          <w:spacing w:val="-2"/>
        </w:rPr>
        <w:t> </w:t>
      </w:r>
      <w:r>
        <w:rPr/>
        <w:t>On</w:t>
      </w:r>
      <w:r>
        <w:rPr>
          <w:spacing w:val="-2"/>
        </w:rPr>
        <w:t> </w:t>
      </w:r>
      <w:r>
        <w:rPr/>
        <w:t>the CESL Proposal generally, see above, paras 1-013.</w:t>
      </w:r>
    </w:p>
    <w:p>
      <w:pPr>
        <w:pStyle w:val="BodyText"/>
        <w:spacing w:before="5"/>
      </w:pPr>
    </w:p>
    <w:p>
      <w:pPr>
        <w:pStyle w:val="BodyText"/>
        <w:tabs>
          <w:tab w:pos="705" w:val="left" w:leader="none"/>
        </w:tabs>
        <w:ind w:left="165"/>
      </w:pPr>
      <w:bookmarkStart w:name="_bookmark831" w:id="833"/>
      <w:bookmarkEnd w:id="833"/>
      <w:r>
        <w:rPr/>
      </w:r>
      <w:hyperlink w:history="true" w:anchor="_bookmark665">
        <w:r>
          <w:rPr>
            <w:color w:val="005DA1"/>
            <w:spacing w:val="-4"/>
            <w:position w:val="5"/>
            <w:sz w:val="14"/>
            <w:u w:val="single" w:color="005DA1"/>
          </w:rPr>
          <w:t>379</w:t>
        </w:r>
      </w:hyperlink>
      <w:r>
        <w:rPr>
          <w:spacing w:val="-4"/>
          <w:position w:val="5"/>
          <w:sz w:val="14"/>
        </w:rPr>
        <w:t>.</w:t>
      </w:r>
      <w:r>
        <w:rPr>
          <w:position w:val="5"/>
          <w:sz w:val="14"/>
        </w:rPr>
        <w:tab/>
      </w:r>
      <w:r>
        <w:rPr/>
        <w:t>Proposal for a Regulation, n.335, </w:t>
      </w:r>
      <w:r>
        <w:rPr>
          <w:spacing w:val="-2"/>
        </w:rPr>
        <w:t>art.2(b).</w:t>
      </w:r>
    </w:p>
    <w:p>
      <w:pPr>
        <w:pStyle w:val="BodyText"/>
        <w:spacing w:before="5"/>
      </w:pPr>
    </w:p>
    <w:p>
      <w:pPr>
        <w:pStyle w:val="BodyText"/>
        <w:tabs>
          <w:tab w:pos="705" w:val="left" w:leader="none"/>
        </w:tabs>
        <w:ind w:left="165"/>
      </w:pPr>
      <w:bookmarkStart w:name="_bookmark832" w:id="834"/>
      <w:bookmarkEnd w:id="834"/>
      <w:r>
        <w:rPr/>
      </w:r>
      <w:hyperlink w:history="true" w:anchor="_bookmark666">
        <w:r>
          <w:rPr>
            <w:color w:val="005DA1"/>
            <w:spacing w:val="-4"/>
            <w:position w:val="5"/>
            <w:sz w:val="14"/>
            <w:u w:val="single" w:color="005DA1"/>
          </w:rPr>
          <w:t>380</w:t>
        </w:r>
      </w:hyperlink>
      <w:r>
        <w:rPr>
          <w:spacing w:val="-4"/>
          <w:position w:val="5"/>
          <w:sz w:val="14"/>
        </w:rPr>
        <w:t>.</w:t>
      </w:r>
      <w:r>
        <w:rPr>
          <w:position w:val="5"/>
          <w:sz w:val="14"/>
        </w:rPr>
        <w:tab/>
      </w:r>
      <w:r>
        <w:rPr/>
        <w:t>CESL Proposal art.1 above, para.1-</w:t>
      </w:r>
      <w:r>
        <w:rPr>
          <w:spacing w:val="-4"/>
        </w:rPr>
        <w:t>013.</w:t>
      </w:r>
    </w:p>
    <w:p>
      <w:pPr>
        <w:pStyle w:val="BodyText"/>
        <w:spacing w:before="5"/>
      </w:pPr>
    </w:p>
    <w:p>
      <w:pPr>
        <w:pStyle w:val="BodyText"/>
        <w:tabs>
          <w:tab w:pos="705" w:val="left" w:leader="none"/>
        </w:tabs>
        <w:ind w:left="165"/>
      </w:pPr>
      <w:bookmarkStart w:name="_bookmark833" w:id="835"/>
      <w:bookmarkEnd w:id="835"/>
      <w:r>
        <w:rPr/>
      </w:r>
      <w:hyperlink w:history="true" w:anchor="_bookmark667">
        <w:r>
          <w:rPr>
            <w:color w:val="005DA1"/>
            <w:spacing w:val="-4"/>
            <w:position w:val="5"/>
            <w:sz w:val="14"/>
            <w:u w:val="single" w:color="005DA1"/>
          </w:rPr>
          <w:t>381</w:t>
        </w:r>
      </w:hyperlink>
      <w:r>
        <w:rPr>
          <w:spacing w:val="-4"/>
          <w:position w:val="5"/>
          <w:sz w:val="14"/>
        </w:rPr>
        <w:t>.</w:t>
      </w:r>
      <w:r>
        <w:rPr>
          <w:position w:val="5"/>
          <w:sz w:val="14"/>
        </w:rPr>
        <w:tab/>
      </w:r>
      <w:r>
        <w:rPr/>
        <w:t>CESL Proposal Annex I, art.23(2) </w:t>
      </w:r>
      <w:r>
        <w:rPr>
          <w:spacing w:val="-2"/>
        </w:rPr>
        <w:t>CESL.</w:t>
      </w:r>
    </w:p>
    <w:p>
      <w:pPr>
        <w:pStyle w:val="BodyText"/>
        <w:spacing w:before="5"/>
      </w:pPr>
    </w:p>
    <w:p>
      <w:pPr>
        <w:pStyle w:val="BodyText"/>
        <w:tabs>
          <w:tab w:pos="705" w:val="left" w:leader="none"/>
        </w:tabs>
        <w:ind w:left="165"/>
      </w:pPr>
      <w:bookmarkStart w:name="_bookmark834" w:id="836"/>
      <w:bookmarkEnd w:id="836"/>
      <w:r>
        <w:rPr/>
      </w:r>
      <w:hyperlink w:history="true" w:anchor="_bookmark667">
        <w:r>
          <w:rPr>
            <w:color w:val="005DA1"/>
            <w:spacing w:val="-4"/>
            <w:position w:val="5"/>
            <w:sz w:val="14"/>
            <w:u w:val="single" w:color="005DA1"/>
          </w:rPr>
          <w:t>382</w:t>
        </w:r>
      </w:hyperlink>
      <w:r>
        <w:rPr>
          <w:spacing w:val="-4"/>
          <w:position w:val="5"/>
          <w:sz w:val="14"/>
        </w:rPr>
        <w:t>.</w:t>
      </w:r>
      <w:r>
        <w:rPr>
          <w:position w:val="5"/>
          <w:sz w:val="14"/>
        </w:rPr>
        <w:tab/>
      </w:r>
      <w:r>
        <w:rPr/>
        <w:t>CESL Proposal Annex I, art.48 </w:t>
      </w:r>
      <w:r>
        <w:rPr>
          <w:spacing w:val="-2"/>
        </w:rPr>
        <w:t>CESL.</w:t>
      </w:r>
    </w:p>
    <w:p>
      <w:pPr>
        <w:pStyle w:val="BodyText"/>
        <w:spacing w:before="5"/>
      </w:pPr>
    </w:p>
    <w:p>
      <w:pPr>
        <w:pStyle w:val="BodyText"/>
        <w:tabs>
          <w:tab w:pos="705" w:val="left" w:leader="none"/>
        </w:tabs>
        <w:ind w:left="165"/>
      </w:pPr>
      <w:bookmarkStart w:name="_bookmark835" w:id="837"/>
      <w:bookmarkEnd w:id="837"/>
      <w:r>
        <w:rPr/>
      </w:r>
      <w:hyperlink w:history="true" w:anchor="_bookmark667">
        <w:r>
          <w:rPr>
            <w:color w:val="005DA1"/>
            <w:spacing w:val="-4"/>
            <w:position w:val="5"/>
            <w:sz w:val="14"/>
            <w:u w:val="single" w:color="005DA1"/>
          </w:rPr>
          <w:t>383</w:t>
        </w:r>
      </w:hyperlink>
      <w:r>
        <w:rPr>
          <w:spacing w:val="-4"/>
          <w:position w:val="5"/>
          <w:sz w:val="14"/>
        </w:rPr>
        <w:t>.</w:t>
      </w:r>
      <w:r>
        <w:rPr>
          <w:position w:val="5"/>
          <w:sz w:val="14"/>
        </w:rPr>
        <w:tab/>
      </w:r>
      <w:r>
        <w:rPr/>
        <w:t>CESL Proposal Annex I, art.49 </w:t>
      </w:r>
      <w:r>
        <w:rPr>
          <w:spacing w:val="-2"/>
        </w:rPr>
        <w:t>CESL.</w:t>
      </w:r>
    </w:p>
    <w:p>
      <w:pPr>
        <w:pStyle w:val="BodyText"/>
        <w:spacing w:before="5"/>
      </w:pPr>
    </w:p>
    <w:p>
      <w:pPr>
        <w:pStyle w:val="BodyText"/>
        <w:tabs>
          <w:tab w:pos="705" w:val="left" w:leader="none"/>
        </w:tabs>
        <w:ind w:left="165"/>
      </w:pPr>
      <w:bookmarkStart w:name="_bookmark836" w:id="838"/>
      <w:bookmarkEnd w:id="838"/>
      <w:r>
        <w:rPr/>
      </w:r>
      <w:hyperlink w:history="true" w:anchor="_bookmark668">
        <w:r>
          <w:rPr>
            <w:color w:val="005DA1"/>
            <w:spacing w:val="-4"/>
            <w:position w:val="5"/>
            <w:sz w:val="14"/>
            <w:u w:val="single" w:color="005DA1"/>
          </w:rPr>
          <w:t>384</w:t>
        </w:r>
      </w:hyperlink>
      <w:r>
        <w:rPr>
          <w:spacing w:val="-4"/>
          <w:position w:val="5"/>
          <w:sz w:val="14"/>
        </w:rPr>
        <w:t>.</w:t>
      </w:r>
      <w:r>
        <w:rPr>
          <w:position w:val="5"/>
          <w:sz w:val="14"/>
        </w:rPr>
        <w:tab/>
      </w:r>
      <w:r>
        <w:rPr/>
        <w:t>CESL Proposal Annex I, art.59 </w:t>
      </w:r>
      <w:r>
        <w:rPr>
          <w:spacing w:val="-2"/>
        </w:rPr>
        <w:t>CESL.</w:t>
      </w:r>
    </w:p>
    <w:p>
      <w:pPr>
        <w:pStyle w:val="BodyText"/>
        <w:spacing w:before="5"/>
      </w:pPr>
    </w:p>
    <w:p>
      <w:pPr>
        <w:pStyle w:val="BodyText"/>
        <w:tabs>
          <w:tab w:pos="705" w:val="left" w:leader="none"/>
        </w:tabs>
        <w:spacing w:before="1"/>
        <w:ind w:left="165"/>
      </w:pPr>
      <w:bookmarkStart w:name="_bookmark837" w:id="839"/>
      <w:bookmarkEnd w:id="839"/>
      <w:r>
        <w:rPr/>
      </w:r>
      <w:hyperlink w:history="true" w:anchor="_bookmark668">
        <w:r>
          <w:rPr>
            <w:color w:val="005DA1"/>
            <w:spacing w:val="-4"/>
            <w:position w:val="5"/>
            <w:sz w:val="14"/>
            <w:u w:val="single" w:color="005DA1"/>
          </w:rPr>
          <w:t>385</w:t>
        </w:r>
      </w:hyperlink>
      <w:r>
        <w:rPr>
          <w:spacing w:val="-4"/>
          <w:position w:val="5"/>
          <w:sz w:val="14"/>
        </w:rPr>
        <w:t>.</w:t>
      </w:r>
      <w:r>
        <w:rPr>
          <w:position w:val="5"/>
          <w:sz w:val="14"/>
        </w:rPr>
        <w:tab/>
      </w:r>
      <w:r>
        <w:rPr/>
        <w:t>CESL Proposal Annex I, art.68 </w:t>
      </w:r>
      <w:r>
        <w:rPr>
          <w:spacing w:val="-2"/>
        </w:rPr>
        <w:t>CESL.</w:t>
      </w:r>
    </w:p>
    <w:p>
      <w:pPr>
        <w:pStyle w:val="BodyText"/>
        <w:spacing w:before="4"/>
      </w:pPr>
    </w:p>
    <w:p>
      <w:pPr>
        <w:pStyle w:val="BodyText"/>
        <w:tabs>
          <w:tab w:pos="705" w:val="left" w:leader="none"/>
        </w:tabs>
        <w:spacing w:before="1"/>
        <w:ind w:left="165"/>
      </w:pPr>
      <w:bookmarkStart w:name="_bookmark838" w:id="840"/>
      <w:bookmarkEnd w:id="840"/>
      <w:r>
        <w:rPr/>
      </w:r>
      <w:hyperlink w:history="true" w:anchor="_bookmark668">
        <w:r>
          <w:rPr>
            <w:color w:val="005DA1"/>
            <w:spacing w:val="-4"/>
            <w:position w:val="5"/>
            <w:sz w:val="14"/>
            <w:u w:val="single" w:color="005DA1"/>
          </w:rPr>
          <w:t>386</w:t>
        </w:r>
      </w:hyperlink>
      <w:r>
        <w:rPr>
          <w:spacing w:val="-4"/>
          <w:position w:val="5"/>
          <w:sz w:val="14"/>
        </w:rPr>
        <w:t>.</w:t>
      </w:r>
      <w:r>
        <w:rPr>
          <w:position w:val="5"/>
          <w:sz w:val="14"/>
        </w:rPr>
        <w:tab/>
      </w:r>
      <w:r>
        <w:rPr/>
        <w:t>CESL Proposal Annex I, arts 83, 86 and 170 </w:t>
      </w:r>
      <w:r>
        <w:rPr>
          <w:spacing w:val="-2"/>
        </w:rPr>
        <w:t>CESL.</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1104">
            <wp:simplePos x="0" y="0"/>
            <wp:positionH relativeFrom="page">
              <wp:posOffset>1257846</wp:posOffset>
            </wp:positionH>
            <wp:positionV relativeFrom="paragraph">
              <wp:posOffset>160572</wp:posOffset>
            </wp:positionV>
            <wp:extent cx="107988" cy="107988"/>
            <wp:effectExtent l="0" t="0" r="0" b="0"/>
            <wp:wrapNone/>
            <wp:docPr id="281" name="Image 281"/>
            <wp:cNvGraphicFramePr>
              <a:graphicFrameLocks/>
            </wp:cNvGraphicFramePr>
            <a:graphic>
              <a:graphicData uri="http://schemas.openxmlformats.org/drawingml/2006/picture">
                <pic:pic>
                  <pic:nvPicPr>
                    <pic:cNvPr id="281" name="Image 28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39" w:id="841"/>
      <w:bookmarkEnd w:id="841"/>
      <w:r>
        <w:rPr/>
      </w:r>
      <w:hyperlink w:history="true" w:anchor="_bookmark669">
        <w:r>
          <w:rPr>
            <w:color w:val="005DA1"/>
            <w:spacing w:val="-4"/>
            <w:sz w:val="14"/>
            <w:u w:val="single" w:color="005DA1"/>
          </w:rPr>
          <w:t>387</w:t>
        </w:r>
      </w:hyperlink>
      <w:r>
        <w:rPr>
          <w:spacing w:val="-4"/>
          <w:sz w:val="14"/>
        </w:rPr>
        <w:t>.</w:t>
      </w:r>
    </w:p>
    <w:p>
      <w:pPr>
        <w:pStyle w:val="BodyText"/>
        <w:spacing w:line="235" w:lineRule="auto" w:before="212"/>
        <w:ind w:left="165" w:right="167" w:firstLine="170"/>
        <w:jc w:val="both"/>
      </w:pPr>
      <w:r>
        <w:rPr/>
        <w:br w:type="column"/>
      </w:r>
      <w:r>
        <w:rPr/>
        <w:t>European Commission, Annex 2 to the Commission Work Programme 2015 Com(2014) </w:t>
      </w:r>
      <w:r>
        <w:rPr/>
        <w:t>910 final, p.12. See also the Communication from the Commission, A Digital Single Market Strategy for Europe, 2015 COM(2015) 192 final, pp.4–5.</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1616">
            <wp:simplePos x="0" y="0"/>
            <wp:positionH relativeFrom="page">
              <wp:posOffset>1257846</wp:posOffset>
            </wp:positionH>
            <wp:positionV relativeFrom="paragraph">
              <wp:posOffset>160489</wp:posOffset>
            </wp:positionV>
            <wp:extent cx="107988" cy="107988"/>
            <wp:effectExtent l="0" t="0" r="0" b="0"/>
            <wp:wrapNone/>
            <wp:docPr id="282" name="Image 282"/>
            <wp:cNvGraphicFramePr>
              <a:graphicFrameLocks/>
            </wp:cNvGraphicFramePr>
            <a:graphic>
              <a:graphicData uri="http://schemas.openxmlformats.org/drawingml/2006/picture">
                <pic:pic>
                  <pic:nvPicPr>
                    <pic:cNvPr id="282" name="Image 28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40" w:id="842"/>
      <w:bookmarkEnd w:id="842"/>
      <w:r>
        <w:rPr/>
      </w:r>
      <w:hyperlink w:history="true" w:anchor="_bookmark670">
        <w:r>
          <w:rPr>
            <w:color w:val="005DA1"/>
            <w:spacing w:val="-4"/>
            <w:sz w:val="14"/>
            <w:u w:val="single" w:color="005DA1"/>
          </w:rPr>
          <w:t>388</w:t>
        </w:r>
      </w:hyperlink>
      <w:r>
        <w:rPr>
          <w:spacing w:val="-4"/>
          <w:sz w:val="14"/>
        </w:rPr>
        <w:t>.</w:t>
      </w:r>
    </w:p>
    <w:p>
      <w:pPr>
        <w:pStyle w:val="BodyText"/>
        <w:spacing w:line="235" w:lineRule="auto" w:before="212"/>
        <w:ind w:left="165" w:right="167" w:firstLine="170"/>
        <w:jc w:val="both"/>
      </w:pPr>
      <w:r>
        <w:rPr/>
        <w:br w:type="column"/>
      </w:r>
      <w:r>
        <w:rPr/>
        <w:t>Proposal for a Directive of the European Parliament and of the Council on certain </w:t>
      </w:r>
      <w:r>
        <w:rPr/>
        <w:t>aspects concerning contracts for the online and other distance sales of goods COM(2015) 635 final and Proposal for a Directive of the European Parliament and of the Council on certain aspects concerning contracts for the supply of digital content COM(2015) 634.</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8"/>
      </w:pPr>
    </w:p>
    <w:p>
      <w:pPr>
        <w:pStyle w:val="BodyText"/>
        <w:tabs>
          <w:tab w:pos="705" w:val="left" w:leader="none"/>
        </w:tabs>
        <w:spacing w:line="235" w:lineRule="auto" w:before="1"/>
        <w:ind w:left="705" w:right="168" w:hanging="541"/>
      </w:pPr>
      <w:bookmarkStart w:name="_bookmark841" w:id="843"/>
      <w:bookmarkEnd w:id="843"/>
      <w:r>
        <w:rPr/>
      </w:r>
      <w:hyperlink w:history="true" w:anchor="_bookmark671">
        <w:r>
          <w:rPr>
            <w:color w:val="005DA1"/>
            <w:spacing w:val="-4"/>
            <w:position w:val="5"/>
            <w:sz w:val="14"/>
            <w:u w:val="single" w:color="005DA1"/>
          </w:rPr>
          <w:t>389</w:t>
        </w:r>
      </w:hyperlink>
      <w:r>
        <w:rPr>
          <w:spacing w:val="-4"/>
          <w:position w:val="5"/>
          <w:sz w:val="14"/>
        </w:rPr>
        <w:t>.</w:t>
      </w:r>
      <w:r>
        <w:rPr>
          <w:position w:val="5"/>
          <w:sz w:val="14"/>
        </w:rPr>
        <w:tab/>
      </w:r>
      <w:r>
        <w:rPr/>
        <w:t>Consumer Insurance (Disclosure and Representations) Act 2012; Insurance Act 2015 and </w:t>
      </w:r>
      <w:r>
        <w:rPr/>
        <w:t>see Vol.II, paras 42-030 et seq.</w:t>
      </w:r>
    </w:p>
    <w:p>
      <w:pPr>
        <w:pStyle w:val="BodyText"/>
        <w:spacing w:before="5"/>
      </w:pPr>
    </w:p>
    <w:p>
      <w:pPr>
        <w:pStyle w:val="BodyText"/>
        <w:tabs>
          <w:tab w:pos="705" w:val="left" w:leader="none"/>
        </w:tabs>
        <w:ind w:left="165"/>
      </w:pPr>
      <w:bookmarkStart w:name="_bookmark842" w:id="844"/>
      <w:bookmarkEnd w:id="844"/>
      <w:r>
        <w:rPr/>
      </w:r>
      <w:hyperlink w:history="true" w:anchor="_bookmark672">
        <w:r>
          <w:rPr>
            <w:color w:val="005DA1"/>
            <w:spacing w:val="-4"/>
            <w:position w:val="5"/>
            <w:sz w:val="14"/>
            <w:u w:val="single" w:color="005DA1"/>
          </w:rPr>
          <w:t>390</w:t>
        </w:r>
      </w:hyperlink>
      <w:r>
        <w:rPr>
          <w:spacing w:val="-4"/>
          <w:position w:val="5"/>
          <w:sz w:val="14"/>
        </w:rPr>
        <w:t>.</w:t>
      </w:r>
      <w:r>
        <w:rPr>
          <w:position w:val="5"/>
          <w:sz w:val="14"/>
        </w:rPr>
        <w:tab/>
      </w:r>
      <w:r>
        <w:rPr/>
        <w:t>See Vol.II, paras 31-118 et </w:t>
      </w:r>
      <w:r>
        <w:rPr>
          <w:spacing w:val="-4"/>
        </w:rPr>
        <w:t>seq.</w:t>
      </w:r>
    </w:p>
    <w:p>
      <w:pPr>
        <w:pStyle w:val="BodyText"/>
        <w:spacing w:before="5"/>
      </w:pPr>
    </w:p>
    <w:p>
      <w:pPr>
        <w:pStyle w:val="BodyText"/>
        <w:tabs>
          <w:tab w:pos="705" w:val="left" w:leader="none"/>
        </w:tabs>
        <w:ind w:left="165"/>
      </w:pPr>
      <w:bookmarkStart w:name="_bookmark843" w:id="845"/>
      <w:bookmarkEnd w:id="845"/>
      <w:r>
        <w:rPr/>
      </w:r>
      <w:hyperlink w:history="true" w:anchor="_bookmark673">
        <w:r>
          <w:rPr>
            <w:color w:val="005DA1"/>
            <w:spacing w:val="-4"/>
            <w:position w:val="5"/>
            <w:sz w:val="14"/>
            <w:u w:val="single" w:color="005DA1"/>
          </w:rPr>
          <w:t>391</w:t>
        </w:r>
      </w:hyperlink>
      <w:r>
        <w:rPr>
          <w:spacing w:val="-4"/>
          <w:position w:val="5"/>
          <w:sz w:val="14"/>
        </w:rPr>
        <w:t>.</w:t>
      </w:r>
      <w:r>
        <w:rPr>
          <w:position w:val="5"/>
          <w:sz w:val="14"/>
        </w:rPr>
        <w:tab/>
      </w:r>
      <w:r>
        <w:rPr/>
        <w:t>SI 1993/3053 reg.3(1), implementing Directive 86/653 art.3(1), above, para.1-</w:t>
      </w:r>
      <w:r>
        <w:rPr>
          <w:spacing w:val="-4"/>
        </w:rPr>
        <w:t>042.</w:t>
      </w:r>
    </w:p>
    <w:p>
      <w:pPr>
        <w:pStyle w:val="BodyText"/>
        <w:spacing w:before="9"/>
      </w:pPr>
    </w:p>
    <w:p>
      <w:pPr>
        <w:spacing w:line="235" w:lineRule="auto" w:before="0"/>
        <w:ind w:left="705" w:right="168" w:hanging="541"/>
        <w:jc w:val="both"/>
        <w:rPr>
          <w:sz w:val="20"/>
        </w:rPr>
      </w:pPr>
      <w:bookmarkStart w:name="_bookmark844" w:id="846"/>
      <w:bookmarkEnd w:id="846"/>
      <w:r>
        <w:rPr/>
      </w:r>
      <w:hyperlink w:history="true" w:anchor="_bookmark674">
        <w:r>
          <w:rPr>
            <w:color w:val="005DA1"/>
            <w:position w:val="5"/>
            <w:sz w:val="14"/>
            <w:u w:val="single" w:color="005DA1"/>
          </w:rPr>
          <w:t>392</w:t>
        </w:r>
      </w:hyperlink>
      <w:r>
        <w:rPr>
          <w:position w:val="5"/>
          <w:sz w:val="14"/>
        </w:rPr>
        <w:t>.</w:t>
      </w:r>
      <w:r>
        <w:rPr>
          <w:spacing w:val="80"/>
          <w:position w:val="5"/>
          <w:sz w:val="14"/>
        </w:rPr>
        <w:t>  </w:t>
      </w:r>
      <w:r>
        <w:rPr>
          <w:rFonts w:ascii="Arial" w:hAnsi="Arial"/>
          <w:i/>
          <w:sz w:val="20"/>
        </w:rPr>
        <w:t>O’Neill</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Phillips</w:t>
      </w:r>
      <w:r>
        <w:rPr>
          <w:rFonts w:ascii="Arial" w:hAnsi="Arial"/>
          <w:i/>
          <w:spacing w:val="35"/>
          <w:sz w:val="20"/>
        </w:rPr>
        <w:t> </w:t>
      </w:r>
      <w:r>
        <w:rPr>
          <w:rFonts w:ascii="Arial" w:hAnsi="Arial"/>
          <w:i/>
          <w:sz w:val="20"/>
        </w:rPr>
        <w:t>[1999]</w:t>
      </w:r>
      <w:r>
        <w:rPr>
          <w:rFonts w:ascii="Arial" w:hAnsi="Arial"/>
          <w:i/>
          <w:spacing w:val="35"/>
          <w:sz w:val="20"/>
        </w:rPr>
        <w:t> </w:t>
      </w:r>
      <w:r>
        <w:rPr>
          <w:rFonts w:ascii="Arial" w:hAnsi="Arial"/>
          <w:i/>
          <w:sz w:val="20"/>
        </w:rPr>
        <w:t>1</w:t>
      </w:r>
      <w:r>
        <w:rPr>
          <w:rFonts w:ascii="Arial" w:hAnsi="Arial"/>
          <w:i/>
          <w:spacing w:val="35"/>
          <w:sz w:val="20"/>
        </w:rPr>
        <w:t> </w:t>
      </w:r>
      <w:r>
        <w:rPr>
          <w:rFonts w:ascii="Arial" w:hAnsi="Arial"/>
          <w:i/>
          <w:sz w:val="20"/>
        </w:rPr>
        <w:t>W.L.R.</w:t>
      </w:r>
      <w:r>
        <w:rPr>
          <w:rFonts w:ascii="Arial" w:hAnsi="Arial"/>
          <w:i/>
          <w:spacing w:val="35"/>
          <w:sz w:val="20"/>
        </w:rPr>
        <w:t> </w:t>
      </w:r>
      <w:r>
        <w:rPr>
          <w:rFonts w:ascii="Arial" w:hAnsi="Arial"/>
          <w:i/>
          <w:sz w:val="20"/>
        </w:rPr>
        <w:t>1092,</w:t>
      </w:r>
      <w:r>
        <w:rPr>
          <w:rFonts w:ascii="Arial" w:hAnsi="Arial"/>
          <w:i/>
          <w:spacing w:val="35"/>
          <w:sz w:val="20"/>
        </w:rPr>
        <w:t> </w:t>
      </w:r>
      <w:r>
        <w:rPr>
          <w:rFonts w:ascii="Arial" w:hAnsi="Arial"/>
          <w:i/>
          <w:sz w:val="20"/>
        </w:rPr>
        <w:t>1098</w:t>
      </w:r>
      <w:r>
        <w:rPr>
          <w:sz w:val="20"/>
        </w:rPr>
        <w:t>,</w:t>
      </w:r>
      <w:r>
        <w:rPr>
          <w:spacing w:val="35"/>
          <w:sz w:val="20"/>
        </w:rPr>
        <w:t> </w:t>
      </w:r>
      <w:r>
        <w:rPr>
          <w:sz w:val="20"/>
        </w:rPr>
        <w:t>per</w:t>
      </w:r>
      <w:r>
        <w:rPr>
          <w:spacing w:val="35"/>
          <w:sz w:val="20"/>
        </w:rPr>
        <w:t> </w:t>
      </w:r>
      <w:r>
        <w:rPr>
          <w:sz w:val="20"/>
        </w:rPr>
        <w:t>Lord</w:t>
      </w:r>
      <w:r>
        <w:rPr>
          <w:spacing w:val="35"/>
          <w:sz w:val="20"/>
        </w:rPr>
        <w:t> </w:t>
      </w:r>
      <w:r>
        <w:rPr>
          <w:sz w:val="20"/>
        </w:rPr>
        <w:t>Hoffmann</w:t>
      </w:r>
      <w:r>
        <w:rPr>
          <w:spacing w:val="35"/>
          <w:sz w:val="20"/>
        </w:rPr>
        <w:t> </w:t>
      </w:r>
      <w:r>
        <w:rPr>
          <w:sz w:val="20"/>
        </w:rPr>
        <w:t>and</w:t>
      </w:r>
      <w:r>
        <w:rPr>
          <w:spacing w:val="35"/>
          <w:sz w:val="20"/>
        </w:rPr>
        <w:t> </w:t>
      </w:r>
      <w:r>
        <w:rPr>
          <w:sz w:val="20"/>
        </w:rPr>
        <w:t>see</w:t>
      </w:r>
      <w:r>
        <w:rPr>
          <w:spacing w:val="35"/>
          <w:sz w:val="20"/>
        </w:rPr>
        <w:t> </w:t>
      </w:r>
      <w:r>
        <w:rPr>
          <w:rFonts w:ascii="Arial" w:hAnsi="Arial"/>
          <w:i/>
          <w:sz w:val="20"/>
        </w:rPr>
        <w:t>Blisset</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Daniel (1853) 10 Hare 493</w:t>
      </w:r>
      <w:r>
        <w:rPr>
          <w:sz w:val="20"/>
        </w:rPr>
        <w:t>; </w:t>
      </w:r>
      <w:r>
        <w:rPr>
          <w:rFonts w:ascii="Arial" w:hAnsi="Arial"/>
          <w:i/>
          <w:sz w:val="20"/>
        </w:rPr>
        <w:t>Floydd v Cheney, Cheney &amp; Floydd [1970] Ch. 602, 608</w:t>
      </w:r>
      <w:r>
        <w:rPr>
          <w:sz w:val="20"/>
        </w:rPr>
        <w:t>. cf. the position of parties to a contract setting up a limited liability partnership: </w:t>
      </w:r>
      <w:r>
        <w:rPr>
          <w:rFonts w:ascii="Arial" w:hAnsi="Arial"/>
          <w:i/>
          <w:sz w:val="20"/>
        </w:rPr>
        <w:t>F &amp; C Investments (Holdings) Ltd v Barthelemy [2011] EWHC 1731 (Ch), [2012] 3 W.L.R. 10</w:t>
      </w:r>
      <w:r>
        <w:rPr>
          <w:rFonts w:ascii="Arial" w:hAnsi="Arial"/>
          <w:i/>
          <w:spacing w:val="-1"/>
          <w:sz w:val="20"/>
        </w:rPr>
        <w:t> </w:t>
      </w:r>
      <w:r>
        <w:rPr>
          <w:sz w:val="20"/>
        </w:rPr>
        <w:t>at [207]-[254] (reversed on costs </w:t>
      </w:r>
      <w:r>
        <w:rPr>
          <w:spacing w:val="-2"/>
          <w:sz w:val="20"/>
        </w:rPr>
        <w:t>order</w:t>
      </w:r>
    </w:p>
    <w:p>
      <w:pPr>
        <w:spacing w:line="225" w:lineRule="exact" w:before="0"/>
        <w:ind w:left="705" w:right="0" w:firstLine="0"/>
        <w:jc w:val="both"/>
        <w:rPr>
          <w:sz w:val="20"/>
        </w:rPr>
      </w:pPr>
      <w:r>
        <w:rPr>
          <w:rFonts w:ascii="Arial"/>
          <w:i/>
          <w:sz w:val="20"/>
        </w:rPr>
        <w:t>[2012] EWCA Civ </w:t>
      </w:r>
      <w:r>
        <w:rPr>
          <w:rFonts w:ascii="Arial"/>
          <w:i/>
          <w:spacing w:val="-2"/>
          <w:sz w:val="20"/>
        </w:rPr>
        <w:t>843</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845" w:id="847"/>
      <w:bookmarkEnd w:id="847"/>
      <w:r>
        <w:rPr/>
      </w:r>
      <w:hyperlink w:history="true" w:anchor="_bookmark675">
        <w:r>
          <w:rPr>
            <w:color w:val="005DA1"/>
            <w:spacing w:val="-4"/>
            <w:position w:val="5"/>
            <w:sz w:val="14"/>
            <w:u w:val="single" w:color="005DA1"/>
          </w:rPr>
          <w:t>393</w:t>
        </w:r>
      </w:hyperlink>
      <w:r>
        <w:rPr>
          <w:spacing w:val="-4"/>
          <w:position w:val="5"/>
          <w:sz w:val="14"/>
        </w:rPr>
        <w:t>.</w:t>
      </w:r>
      <w:r>
        <w:rPr>
          <w:position w:val="5"/>
          <w:sz w:val="14"/>
        </w:rPr>
        <w:tab/>
      </w:r>
      <w:r>
        <w:rPr>
          <w:rFonts w:ascii="Arial"/>
          <w:i/>
          <w:sz w:val="20"/>
        </w:rPr>
        <w:t>Conlon v Simms [2006] EWCA Civ 1749, [2007] 3 All E.R. 802</w:t>
      </w:r>
      <w:r>
        <w:rPr>
          <w:rFonts w:ascii="Arial"/>
          <w:i/>
          <w:spacing w:val="-1"/>
          <w:sz w:val="20"/>
        </w:rPr>
        <w:t> </w:t>
      </w:r>
      <w:r>
        <w:rPr>
          <w:sz w:val="20"/>
        </w:rPr>
        <w:t>at </w:t>
      </w:r>
      <w:r>
        <w:rPr>
          <w:spacing w:val="-2"/>
          <w:sz w:val="20"/>
        </w:rPr>
        <w:t>[127].</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2128">
            <wp:simplePos x="0" y="0"/>
            <wp:positionH relativeFrom="page">
              <wp:posOffset>1257846</wp:posOffset>
            </wp:positionH>
            <wp:positionV relativeFrom="paragraph">
              <wp:posOffset>160270</wp:posOffset>
            </wp:positionV>
            <wp:extent cx="107988" cy="107988"/>
            <wp:effectExtent l="0" t="0" r="0" b="0"/>
            <wp:wrapNone/>
            <wp:docPr id="283" name="Image 283"/>
            <wp:cNvGraphicFramePr>
              <a:graphicFrameLocks/>
            </wp:cNvGraphicFramePr>
            <a:graphic>
              <a:graphicData uri="http://schemas.openxmlformats.org/drawingml/2006/picture">
                <pic:pic>
                  <pic:nvPicPr>
                    <pic:cNvPr id="283" name="Image 28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46" w:id="848"/>
      <w:bookmarkEnd w:id="848"/>
      <w:r>
        <w:rPr/>
      </w:r>
      <w:hyperlink w:history="true" w:anchor="_bookmark676">
        <w:r>
          <w:rPr>
            <w:color w:val="005DA1"/>
            <w:spacing w:val="-4"/>
            <w:sz w:val="14"/>
            <w:u w:val="single" w:color="005DA1"/>
          </w:rPr>
          <w:t>394</w:t>
        </w:r>
      </w:hyperlink>
      <w:r>
        <w:rPr>
          <w:spacing w:val="-4"/>
          <w:sz w:val="14"/>
        </w:rPr>
        <w:t>.</w:t>
      </w:r>
    </w:p>
    <w:p>
      <w:pPr>
        <w:spacing w:line="235" w:lineRule="auto" w:before="212"/>
        <w:ind w:left="165" w:right="168" w:firstLine="170"/>
        <w:jc w:val="both"/>
        <w:rPr>
          <w:sz w:val="20"/>
        </w:rPr>
      </w:pPr>
      <w:r>
        <w:rPr/>
        <w:br w:type="column"/>
      </w:r>
      <w:r>
        <w:rPr>
          <w:rFonts w:ascii="Arial"/>
          <w:i/>
          <w:sz w:val="20"/>
        </w:rPr>
        <w:t>Downsview Ltd v First City Corp Ltd [1993] A.C. 295, 312 </w:t>
      </w:r>
      <w:r>
        <w:rPr>
          <w:sz w:val="20"/>
        </w:rPr>
        <w:t>and see also </w:t>
      </w:r>
      <w:r>
        <w:rPr>
          <w:rFonts w:ascii="Arial"/>
          <w:i/>
          <w:sz w:val="20"/>
        </w:rPr>
        <w:t>Albany Home Loans Ltd v Massey [1997] 2 All E.R. 609, 612-613</w:t>
      </w:r>
      <w:r>
        <w:rPr>
          <w:sz w:val="20"/>
        </w:rPr>
        <w:t>; </w:t>
      </w:r>
      <w:r>
        <w:rPr>
          <w:rFonts w:ascii="Arial"/>
          <w:i/>
          <w:sz w:val="20"/>
        </w:rPr>
        <w:t>Alpstream AG v PK Airfinance Sarl [2015] EWCA Civ 1318, [2016] 2 P. &amp; C.R. 2 </w:t>
      </w:r>
      <w:r>
        <w:rPr>
          <w:sz w:val="20"/>
        </w:rPr>
        <w:t>at [115].</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pStyle w:val="BodyText"/>
        <w:tabs>
          <w:tab w:pos="705" w:val="left" w:leader="none"/>
        </w:tabs>
        <w:spacing w:line="235" w:lineRule="auto"/>
        <w:ind w:left="705" w:right="168" w:hanging="541"/>
      </w:pPr>
      <w:bookmarkStart w:name="_bookmark847" w:id="849"/>
      <w:bookmarkEnd w:id="849"/>
      <w:r>
        <w:rPr/>
      </w:r>
      <w:hyperlink w:history="true" w:anchor="_bookmark677">
        <w:r>
          <w:rPr>
            <w:color w:val="005DA1"/>
            <w:spacing w:val="-4"/>
            <w:position w:val="5"/>
            <w:sz w:val="14"/>
            <w:u w:val="single" w:color="005DA1"/>
          </w:rPr>
          <w:t>395</w:t>
        </w:r>
      </w:hyperlink>
      <w:r>
        <w:rPr>
          <w:spacing w:val="-4"/>
          <w:position w:val="5"/>
          <w:sz w:val="14"/>
        </w:rPr>
        <w:t>.</w:t>
      </w:r>
      <w:r>
        <w:rPr>
          <w:position w:val="5"/>
          <w:sz w:val="14"/>
        </w:rPr>
        <w:tab/>
      </w:r>
      <w:r>
        <w:rPr/>
        <w:t>Consumer</w:t>
      </w:r>
      <w:r>
        <w:rPr>
          <w:spacing w:val="80"/>
        </w:rPr>
        <w:t> </w:t>
      </w:r>
      <w:r>
        <w:rPr/>
        <w:t>Insurance</w:t>
      </w:r>
      <w:r>
        <w:rPr>
          <w:spacing w:val="80"/>
        </w:rPr>
        <w:t> </w:t>
      </w:r>
      <w:r>
        <w:rPr/>
        <w:t>(Disclosure</w:t>
      </w:r>
      <w:r>
        <w:rPr>
          <w:spacing w:val="80"/>
        </w:rPr>
        <w:t> </w:t>
      </w:r>
      <w:r>
        <w:rPr/>
        <w:t>and</w:t>
      </w:r>
      <w:r>
        <w:rPr>
          <w:spacing w:val="80"/>
        </w:rPr>
        <w:t> </w:t>
      </w:r>
      <w:r>
        <w:rPr/>
        <w:t>Representations)</w:t>
      </w:r>
      <w:r>
        <w:rPr>
          <w:spacing w:val="80"/>
        </w:rPr>
        <w:t> </w:t>
      </w:r>
      <w:r>
        <w:rPr/>
        <w:t>Act</w:t>
      </w:r>
      <w:r>
        <w:rPr>
          <w:spacing w:val="80"/>
        </w:rPr>
        <w:t> </w:t>
      </w:r>
      <w:r>
        <w:rPr/>
        <w:t>2012;</w:t>
      </w:r>
      <w:r>
        <w:rPr>
          <w:spacing w:val="80"/>
        </w:rPr>
        <w:t> </w:t>
      </w:r>
      <w:r>
        <w:rPr/>
        <w:t>Insurance</w:t>
      </w:r>
      <w:r>
        <w:rPr>
          <w:spacing w:val="80"/>
        </w:rPr>
        <w:t> </w:t>
      </w:r>
      <w:r>
        <w:rPr/>
        <w:t>Act</w:t>
      </w:r>
      <w:r>
        <w:rPr>
          <w:spacing w:val="80"/>
        </w:rPr>
        <w:t> </w:t>
      </w:r>
      <w:r>
        <w:rPr/>
        <w:t>2015 especially ss.5 and 14, and see Vol.II, paras 42-030 et seq.</w:t>
      </w:r>
    </w:p>
    <w:p>
      <w:pPr>
        <w:pStyle w:val="BodyText"/>
        <w:spacing w:before="5"/>
      </w:pPr>
    </w:p>
    <w:p>
      <w:pPr>
        <w:tabs>
          <w:tab w:pos="705" w:val="left" w:leader="none"/>
        </w:tabs>
        <w:spacing w:line="227" w:lineRule="exact" w:before="0"/>
        <w:ind w:left="165" w:right="0" w:firstLine="0"/>
        <w:jc w:val="left"/>
        <w:rPr>
          <w:sz w:val="20"/>
        </w:rPr>
      </w:pPr>
      <w:bookmarkStart w:name="_bookmark848" w:id="850"/>
      <w:bookmarkEnd w:id="850"/>
      <w:r>
        <w:rPr/>
      </w:r>
      <w:hyperlink w:history="true" w:anchor="_bookmark678">
        <w:r>
          <w:rPr>
            <w:color w:val="005DA1"/>
            <w:spacing w:val="-4"/>
            <w:position w:val="5"/>
            <w:sz w:val="14"/>
            <w:u w:val="single" w:color="005DA1"/>
          </w:rPr>
          <w:t>396</w:t>
        </w:r>
      </w:hyperlink>
      <w:r>
        <w:rPr>
          <w:spacing w:val="-4"/>
          <w:position w:val="5"/>
          <w:sz w:val="14"/>
        </w:rPr>
        <w:t>.</w:t>
      </w:r>
      <w:r>
        <w:rPr>
          <w:position w:val="5"/>
          <w:sz w:val="14"/>
        </w:rPr>
        <w:tab/>
      </w:r>
      <w:r>
        <w:rPr>
          <w:rFonts w:ascii="Arial"/>
          <w:i/>
          <w:sz w:val="20"/>
        </w:rPr>
        <w:t>Ross</w:t>
      </w:r>
      <w:r>
        <w:rPr>
          <w:rFonts w:ascii="Arial"/>
          <w:i/>
          <w:spacing w:val="5"/>
          <w:sz w:val="20"/>
        </w:rPr>
        <w:t> </w:t>
      </w:r>
      <w:r>
        <w:rPr>
          <w:rFonts w:ascii="Arial"/>
          <w:i/>
          <w:sz w:val="20"/>
        </w:rPr>
        <w:t>River</w:t>
      </w:r>
      <w:r>
        <w:rPr>
          <w:rFonts w:ascii="Arial"/>
          <w:i/>
          <w:spacing w:val="5"/>
          <w:sz w:val="20"/>
        </w:rPr>
        <w:t> </w:t>
      </w:r>
      <w:r>
        <w:rPr>
          <w:rFonts w:ascii="Arial"/>
          <w:i/>
          <w:sz w:val="20"/>
        </w:rPr>
        <w:t>Ltd</w:t>
      </w:r>
      <w:r>
        <w:rPr>
          <w:rFonts w:ascii="Arial"/>
          <w:i/>
          <w:spacing w:val="5"/>
          <w:sz w:val="20"/>
        </w:rPr>
        <w:t> </w:t>
      </w:r>
      <w:r>
        <w:rPr>
          <w:rFonts w:ascii="Arial"/>
          <w:i/>
          <w:sz w:val="20"/>
        </w:rPr>
        <w:t>v</w:t>
      </w:r>
      <w:r>
        <w:rPr>
          <w:rFonts w:ascii="Arial"/>
          <w:i/>
          <w:spacing w:val="5"/>
          <w:sz w:val="20"/>
        </w:rPr>
        <w:t> </w:t>
      </w:r>
      <w:r>
        <w:rPr>
          <w:rFonts w:ascii="Arial"/>
          <w:i/>
          <w:sz w:val="20"/>
        </w:rPr>
        <w:t>Waveley</w:t>
      </w:r>
      <w:r>
        <w:rPr>
          <w:rFonts w:ascii="Arial"/>
          <w:i/>
          <w:spacing w:val="5"/>
          <w:sz w:val="20"/>
        </w:rPr>
        <w:t> </w:t>
      </w:r>
      <w:r>
        <w:rPr>
          <w:rFonts w:ascii="Arial"/>
          <w:i/>
          <w:sz w:val="20"/>
        </w:rPr>
        <w:t>Commercial</w:t>
      </w:r>
      <w:r>
        <w:rPr>
          <w:rFonts w:ascii="Arial"/>
          <w:i/>
          <w:spacing w:val="5"/>
          <w:sz w:val="20"/>
        </w:rPr>
        <w:t> </w:t>
      </w:r>
      <w:r>
        <w:rPr>
          <w:rFonts w:ascii="Arial"/>
          <w:i/>
          <w:sz w:val="20"/>
        </w:rPr>
        <w:t>Ltd</w:t>
      </w:r>
      <w:r>
        <w:rPr>
          <w:rFonts w:ascii="Arial"/>
          <w:i/>
          <w:spacing w:val="5"/>
          <w:sz w:val="20"/>
        </w:rPr>
        <w:t> </w:t>
      </w:r>
      <w:r>
        <w:rPr>
          <w:rFonts w:ascii="Arial"/>
          <w:i/>
          <w:sz w:val="20"/>
        </w:rPr>
        <w:t>[2013]</w:t>
      </w:r>
      <w:r>
        <w:rPr>
          <w:rFonts w:ascii="Arial"/>
          <w:i/>
          <w:spacing w:val="5"/>
          <w:sz w:val="20"/>
        </w:rPr>
        <w:t> </w:t>
      </w:r>
      <w:r>
        <w:rPr>
          <w:rFonts w:ascii="Arial"/>
          <w:i/>
          <w:sz w:val="20"/>
        </w:rPr>
        <w:t>EWCA</w:t>
      </w:r>
      <w:r>
        <w:rPr>
          <w:rFonts w:ascii="Arial"/>
          <w:i/>
          <w:spacing w:val="5"/>
          <w:sz w:val="20"/>
        </w:rPr>
        <w:t> </w:t>
      </w:r>
      <w:r>
        <w:rPr>
          <w:rFonts w:ascii="Arial"/>
          <w:i/>
          <w:sz w:val="20"/>
        </w:rPr>
        <w:t>Civ</w:t>
      </w:r>
      <w:r>
        <w:rPr>
          <w:rFonts w:ascii="Arial"/>
          <w:i/>
          <w:spacing w:val="5"/>
          <w:sz w:val="20"/>
        </w:rPr>
        <w:t> </w:t>
      </w:r>
      <w:r>
        <w:rPr>
          <w:rFonts w:ascii="Arial"/>
          <w:i/>
          <w:sz w:val="20"/>
        </w:rPr>
        <w:t>910,</w:t>
      </w:r>
      <w:r>
        <w:rPr>
          <w:rFonts w:ascii="Arial"/>
          <w:i/>
          <w:spacing w:val="5"/>
          <w:sz w:val="20"/>
        </w:rPr>
        <w:t> </w:t>
      </w:r>
      <w:r>
        <w:rPr>
          <w:rFonts w:ascii="Arial"/>
          <w:i/>
          <w:sz w:val="20"/>
        </w:rPr>
        <w:t>[2014]</w:t>
      </w:r>
      <w:r>
        <w:rPr>
          <w:rFonts w:ascii="Arial"/>
          <w:i/>
          <w:spacing w:val="5"/>
          <w:sz w:val="20"/>
        </w:rPr>
        <w:t> </w:t>
      </w:r>
      <w:r>
        <w:rPr>
          <w:rFonts w:ascii="Arial"/>
          <w:i/>
          <w:sz w:val="20"/>
        </w:rPr>
        <w:t>1</w:t>
      </w:r>
      <w:r>
        <w:rPr>
          <w:rFonts w:ascii="Arial"/>
          <w:i/>
          <w:spacing w:val="5"/>
          <w:sz w:val="20"/>
        </w:rPr>
        <w:t> </w:t>
      </w:r>
      <w:r>
        <w:rPr>
          <w:rFonts w:ascii="Arial"/>
          <w:i/>
          <w:sz w:val="20"/>
        </w:rPr>
        <w:t>B.C.L.C.</w:t>
      </w:r>
      <w:r>
        <w:rPr>
          <w:rFonts w:ascii="Arial"/>
          <w:i/>
          <w:spacing w:val="5"/>
          <w:sz w:val="20"/>
        </w:rPr>
        <w:t> </w:t>
      </w:r>
      <w:r>
        <w:rPr>
          <w:rFonts w:ascii="Arial"/>
          <w:i/>
          <w:sz w:val="20"/>
        </w:rPr>
        <w:t>545</w:t>
      </w:r>
      <w:r>
        <w:rPr>
          <w:rFonts w:ascii="Arial"/>
          <w:i/>
          <w:spacing w:val="4"/>
          <w:sz w:val="20"/>
        </w:rPr>
        <w:t> </w:t>
      </w:r>
      <w:r>
        <w:rPr>
          <w:sz w:val="20"/>
        </w:rPr>
        <w:t>at</w:t>
      </w:r>
      <w:r>
        <w:rPr>
          <w:spacing w:val="5"/>
          <w:sz w:val="20"/>
        </w:rPr>
        <w:t> </w:t>
      </w:r>
      <w:r>
        <w:rPr>
          <w:spacing w:val="-4"/>
          <w:sz w:val="20"/>
        </w:rPr>
        <w:t>[64]</w:t>
      </w:r>
    </w:p>
    <w:p>
      <w:pPr>
        <w:pStyle w:val="BodyText"/>
        <w:spacing w:line="227" w:lineRule="exact"/>
        <w:ind w:left="705"/>
      </w:pPr>
      <w:r>
        <w:rPr/>
        <w:t>and </w:t>
      </w:r>
      <w:r>
        <w:rPr>
          <w:spacing w:val="-2"/>
        </w:rPr>
        <w:t>[93].</w:t>
      </w:r>
    </w:p>
    <w:p>
      <w:pPr>
        <w:pStyle w:val="BodyText"/>
        <w:spacing w:after="0" w:line="227" w:lineRule="exact"/>
        <w:sectPr>
          <w:type w:val="continuous"/>
          <w:pgSz w:w="11900" w:h="16840"/>
          <w:pgMar w:header="971" w:footer="0" w:top="1300" w:bottom="280" w:left="1275" w:right="1275"/>
        </w:sectPr>
      </w:pPr>
    </w:p>
    <w:p>
      <w:pPr>
        <w:spacing w:line="235" w:lineRule="auto" w:before="170"/>
        <w:ind w:left="705" w:right="168" w:hanging="541"/>
        <w:jc w:val="both"/>
        <w:rPr>
          <w:rFonts w:ascii="Arial"/>
          <w:i/>
          <w:sz w:val="20"/>
        </w:rPr>
      </w:pPr>
      <w:hyperlink w:history="true" w:anchor="_bookmark679">
        <w:r>
          <w:rPr>
            <w:color w:val="005DA1"/>
            <w:position w:val="5"/>
            <w:sz w:val="14"/>
            <w:u w:val="single" w:color="005DA1"/>
          </w:rPr>
          <w:t>397</w:t>
        </w:r>
      </w:hyperlink>
      <w:r>
        <w:rPr>
          <w:position w:val="5"/>
          <w:sz w:val="14"/>
        </w:rPr>
        <w:t>.</w:t>
      </w:r>
      <w:r>
        <w:rPr>
          <w:spacing w:val="40"/>
          <w:position w:val="5"/>
          <w:sz w:val="14"/>
        </w:rPr>
        <w:t>  </w:t>
      </w:r>
      <w:r>
        <w:rPr>
          <w:rFonts w:ascii="Arial"/>
          <w:i/>
          <w:sz w:val="20"/>
        </w:rPr>
        <w:t>Fujitsu Services Ltd v IBM United Kingdom Ltd [2014] EWHC 752 (TCC), 153 Con. L.R. 203 </w:t>
      </w:r>
      <w:r>
        <w:rPr>
          <w:sz w:val="20"/>
        </w:rPr>
        <w:t>at [126],</w:t>
      </w:r>
      <w:r>
        <w:rPr>
          <w:spacing w:val="11"/>
          <w:sz w:val="20"/>
        </w:rPr>
        <w:t> </w:t>
      </w:r>
      <w:r>
        <w:rPr>
          <w:sz w:val="20"/>
        </w:rPr>
        <w:t>per</w:t>
      </w:r>
      <w:r>
        <w:rPr>
          <w:spacing w:val="11"/>
          <w:sz w:val="20"/>
        </w:rPr>
        <w:t> </w:t>
      </w:r>
      <w:r>
        <w:rPr>
          <w:sz w:val="20"/>
        </w:rPr>
        <w:t>Carr</w:t>
      </w:r>
      <w:r>
        <w:rPr>
          <w:spacing w:val="11"/>
          <w:sz w:val="20"/>
        </w:rPr>
        <w:t> </w:t>
      </w:r>
      <w:r>
        <w:rPr>
          <w:sz w:val="20"/>
        </w:rPr>
        <w:t>J.,</w:t>
      </w:r>
      <w:r>
        <w:rPr>
          <w:spacing w:val="11"/>
          <w:sz w:val="20"/>
        </w:rPr>
        <w:t> </w:t>
      </w:r>
      <w:r>
        <w:rPr>
          <w:sz w:val="20"/>
        </w:rPr>
        <w:t>referring,</w:t>
      </w:r>
      <w:r>
        <w:rPr>
          <w:spacing w:val="11"/>
          <w:sz w:val="20"/>
        </w:rPr>
        <w:t> </w:t>
      </w:r>
      <w:r>
        <w:rPr>
          <w:sz w:val="20"/>
        </w:rPr>
        <w:t>inter</w:t>
      </w:r>
      <w:r>
        <w:rPr>
          <w:spacing w:val="11"/>
          <w:sz w:val="20"/>
        </w:rPr>
        <w:t> </w:t>
      </w:r>
      <w:r>
        <w:rPr>
          <w:sz w:val="20"/>
        </w:rPr>
        <w:t>alia,</w:t>
      </w:r>
      <w:r>
        <w:rPr>
          <w:spacing w:val="11"/>
          <w:sz w:val="20"/>
        </w:rPr>
        <w:t> </w:t>
      </w:r>
      <w:r>
        <w:rPr>
          <w:sz w:val="20"/>
        </w:rPr>
        <w:t>to</w:t>
      </w:r>
      <w:r>
        <w:rPr>
          <w:spacing w:val="11"/>
          <w:sz w:val="20"/>
        </w:rPr>
        <w:t> </w:t>
      </w:r>
      <w:r>
        <w:rPr>
          <w:rFonts w:ascii="Arial"/>
          <w:i/>
          <w:sz w:val="20"/>
        </w:rPr>
        <w:t>Re</w:t>
      </w:r>
      <w:r>
        <w:rPr>
          <w:rFonts w:ascii="Arial"/>
          <w:i/>
          <w:spacing w:val="11"/>
          <w:sz w:val="20"/>
        </w:rPr>
        <w:t> </w:t>
      </w:r>
      <w:r>
        <w:rPr>
          <w:rFonts w:ascii="Arial"/>
          <w:i/>
          <w:sz w:val="20"/>
        </w:rPr>
        <w:t>Goldcorp</w:t>
      </w:r>
      <w:r>
        <w:rPr>
          <w:rFonts w:ascii="Arial"/>
          <w:i/>
          <w:spacing w:val="11"/>
          <w:sz w:val="20"/>
        </w:rPr>
        <w:t> </w:t>
      </w:r>
      <w:r>
        <w:rPr>
          <w:rFonts w:ascii="Arial"/>
          <w:i/>
          <w:sz w:val="20"/>
        </w:rPr>
        <w:t>Exchange</w:t>
      </w:r>
      <w:r>
        <w:rPr>
          <w:rFonts w:ascii="Arial"/>
          <w:i/>
          <w:spacing w:val="11"/>
          <w:sz w:val="20"/>
        </w:rPr>
        <w:t> </w:t>
      </w:r>
      <w:r>
        <w:rPr>
          <w:rFonts w:ascii="Arial"/>
          <w:i/>
          <w:sz w:val="20"/>
        </w:rPr>
        <w:t>Ltd</w:t>
      </w:r>
      <w:r>
        <w:rPr>
          <w:rFonts w:ascii="Arial"/>
          <w:i/>
          <w:spacing w:val="11"/>
          <w:sz w:val="20"/>
        </w:rPr>
        <w:t> </w:t>
      </w:r>
      <w:r>
        <w:rPr>
          <w:rFonts w:ascii="Arial"/>
          <w:i/>
          <w:sz w:val="20"/>
        </w:rPr>
        <w:t>(In</w:t>
      </w:r>
      <w:r>
        <w:rPr>
          <w:rFonts w:ascii="Arial"/>
          <w:i/>
          <w:spacing w:val="11"/>
          <w:sz w:val="20"/>
        </w:rPr>
        <w:t> </w:t>
      </w:r>
      <w:r>
        <w:rPr>
          <w:rFonts w:ascii="Arial"/>
          <w:i/>
          <w:sz w:val="20"/>
        </w:rPr>
        <w:t>Receivership)</w:t>
      </w:r>
      <w:r>
        <w:rPr>
          <w:rFonts w:ascii="Arial"/>
          <w:i/>
          <w:spacing w:val="11"/>
          <w:sz w:val="20"/>
        </w:rPr>
        <w:t> </w:t>
      </w:r>
      <w:r>
        <w:rPr>
          <w:rFonts w:ascii="Arial"/>
          <w:i/>
          <w:sz w:val="20"/>
        </w:rPr>
        <w:t>[1995]</w:t>
      </w:r>
      <w:r>
        <w:rPr>
          <w:rFonts w:ascii="Arial"/>
          <w:i/>
          <w:spacing w:val="11"/>
          <w:sz w:val="20"/>
        </w:rPr>
        <w:t> </w:t>
      </w:r>
      <w:r>
        <w:rPr>
          <w:rFonts w:ascii="Arial"/>
          <w:i/>
          <w:spacing w:val="-10"/>
          <w:sz w:val="20"/>
        </w:rPr>
        <w:t>1</w:t>
      </w:r>
    </w:p>
    <w:p>
      <w:pPr>
        <w:spacing w:line="223" w:lineRule="exact" w:before="0"/>
        <w:ind w:left="705" w:right="0" w:firstLine="0"/>
        <w:jc w:val="both"/>
        <w:rPr>
          <w:sz w:val="20"/>
        </w:rPr>
      </w:pPr>
      <w:r>
        <w:rPr>
          <w:rFonts w:ascii="Arial"/>
          <w:i/>
          <w:sz w:val="20"/>
        </w:rPr>
        <w:t>A.C.</w:t>
      </w:r>
      <w:r>
        <w:rPr>
          <w:rFonts w:ascii="Arial"/>
          <w:i/>
          <w:spacing w:val="10"/>
          <w:sz w:val="20"/>
        </w:rPr>
        <w:t> </w:t>
      </w:r>
      <w:r>
        <w:rPr>
          <w:rFonts w:ascii="Arial"/>
          <w:i/>
          <w:sz w:val="20"/>
        </w:rPr>
        <w:t>74</w:t>
      </w:r>
      <w:r>
        <w:rPr>
          <w:rFonts w:ascii="Arial"/>
          <w:i/>
          <w:spacing w:val="10"/>
          <w:sz w:val="20"/>
        </w:rPr>
        <w:t> </w:t>
      </w:r>
      <w:r>
        <w:rPr>
          <w:sz w:val="20"/>
        </w:rPr>
        <w:t>at</w:t>
      </w:r>
      <w:r>
        <w:rPr>
          <w:spacing w:val="10"/>
          <w:sz w:val="20"/>
        </w:rPr>
        <w:t> </w:t>
      </w:r>
      <w:r>
        <w:rPr>
          <w:sz w:val="20"/>
        </w:rPr>
        <w:t>98</w:t>
      </w:r>
      <w:r>
        <w:rPr>
          <w:spacing w:val="10"/>
          <w:sz w:val="20"/>
        </w:rPr>
        <w:t> </w:t>
      </w:r>
      <w:r>
        <w:rPr>
          <w:sz w:val="20"/>
        </w:rPr>
        <w:t>(Lord</w:t>
      </w:r>
      <w:r>
        <w:rPr>
          <w:spacing w:val="10"/>
          <w:sz w:val="20"/>
        </w:rPr>
        <w:t> </w:t>
      </w:r>
      <w:r>
        <w:rPr>
          <w:sz w:val="20"/>
        </w:rPr>
        <w:t>Millett);</w:t>
      </w:r>
      <w:r>
        <w:rPr>
          <w:spacing w:val="9"/>
          <w:sz w:val="20"/>
        </w:rPr>
        <w:t> </w:t>
      </w:r>
      <w:r>
        <w:rPr>
          <w:rFonts w:ascii="Arial"/>
          <w:i/>
          <w:sz w:val="20"/>
        </w:rPr>
        <w:t>Ross</w:t>
      </w:r>
      <w:r>
        <w:rPr>
          <w:rFonts w:ascii="Arial"/>
          <w:i/>
          <w:spacing w:val="10"/>
          <w:sz w:val="20"/>
        </w:rPr>
        <w:t> </w:t>
      </w:r>
      <w:r>
        <w:rPr>
          <w:rFonts w:ascii="Arial"/>
          <w:i/>
          <w:sz w:val="20"/>
        </w:rPr>
        <w:t>River</w:t>
      </w:r>
      <w:r>
        <w:rPr>
          <w:rFonts w:ascii="Arial"/>
          <w:i/>
          <w:spacing w:val="10"/>
          <w:sz w:val="20"/>
        </w:rPr>
        <w:t> </w:t>
      </w:r>
      <w:r>
        <w:rPr>
          <w:rFonts w:ascii="Arial"/>
          <w:i/>
          <w:sz w:val="20"/>
        </w:rPr>
        <w:t>Ltd</w:t>
      </w:r>
      <w:r>
        <w:rPr>
          <w:rFonts w:ascii="Arial"/>
          <w:i/>
          <w:spacing w:val="10"/>
          <w:sz w:val="20"/>
        </w:rPr>
        <w:t> </w:t>
      </w:r>
      <w:r>
        <w:rPr>
          <w:rFonts w:ascii="Arial"/>
          <w:i/>
          <w:sz w:val="20"/>
        </w:rPr>
        <w:t>v</w:t>
      </w:r>
      <w:r>
        <w:rPr>
          <w:rFonts w:ascii="Arial"/>
          <w:i/>
          <w:spacing w:val="10"/>
          <w:sz w:val="20"/>
        </w:rPr>
        <w:t> </w:t>
      </w:r>
      <w:r>
        <w:rPr>
          <w:rFonts w:ascii="Arial"/>
          <w:i/>
          <w:sz w:val="20"/>
        </w:rPr>
        <w:t>Cambridge</w:t>
      </w:r>
      <w:r>
        <w:rPr>
          <w:rFonts w:ascii="Arial"/>
          <w:i/>
          <w:spacing w:val="10"/>
          <w:sz w:val="20"/>
        </w:rPr>
        <w:t> </w:t>
      </w:r>
      <w:r>
        <w:rPr>
          <w:rFonts w:ascii="Arial"/>
          <w:i/>
          <w:sz w:val="20"/>
        </w:rPr>
        <w:t>City</w:t>
      </w:r>
      <w:r>
        <w:rPr>
          <w:rFonts w:ascii="Arial"/>
          <w:i/>
          <w:spacing w:val="10"/>
          <w:sz w:val="20"/>
        </w:rPr>
        <w:t> </w:t>
      </w:r>
      <w:r>
        <w:rPr>
          <w:rFonts w:ascii="Arial"/>
          <w:i/>
          <w:sz w:val="20"/>
        </w:rPr>
        <w:t>Council</w:t>
      </w:r>
      <w:r>
        <w:rPr>
          <w:rFonts w:ascii="Arial"/>
          <w:i/>
          <w:spacing w:val="10"/>
          <w:sz w:val="20"/>
        </w:rPr>
        <w:t> </w:t>
      </w:r>
      <w:r>
        <w:rPr>
          <w:rFonts w:ascii="Arial"/>
          <w:i/>
          <w:sz w:val="20"/>
        </w:rPr>
        <w:t>[2008]</w:t>
      </w:r>
      <w:r>
        <w:rPr>
          <w:rFonts w:ascii="Arial"/>
          <w:i/>
          <w:spacing w:val="10"/>
          <w:sz w:val="20"/>
        </w:rPr>
        <w:t> </w:t>
      </w:r>
      <w:r>
        <w:rPr>
          <w:rFonts w:ascii="Arial"/>
          <w:i/>
          <w:sz w:val="20"/>
        </w:rPr>
        <w:t>1</w:t>
      </w:r>
      <w:r>
        <w:rPr>
          <w:rFonts w:ascii="Arial"/>
          <w:i/>
          <w:spacing w:val="10"/>
          <w:sz w:val="20"/>
        </w:rPr>
        <w:t> </w:t>
      </w:r>
      <w:r>
        <w:rPr>
          <w:rFonts w:ascii="Arial"/>
          <w:i/>
          <w:sz w:val="20"/>
        </w:rPr>
        <w:t>All</w:t>
      </w:r>
      <w:r>
        <w:rPr>
          <w:rFonts w:ascii="Arial"/>
          <w:i/>
          <w:spacing w:val="10"/>
          <w:sz w:val="20"/>
        </w:rPr>
        <w:t> </w:t>
      </w:r>
      <w:r>
        <w:rPr>
          <w:rFonts w:ascii="Arial"/>
          <w:i/>
          <w:sz w:val="20"/>
        </w:rPr>
        <w:t>E.R.</w:t>
      </w:r>
      <w:r>
        <w:rPr>
          <w:rFonts w:ascii="Arial"/>
          <w:i/>
          <w:spacing w:val="10"/>
          <w:sz w:val="20"/>
        </w:rPr>
        <w:t> </w:t>
      </w:r>
      <w:r>
        <w:rPr>
          <w:rFonts w:ascii="Arial"/>
          <w:i/>
          <w:sz w:val="20"/>
        </w:rPr>
        <w:t>1004</w:t>
      </w:r>
      <w:r>
        <w:rPr>
          <w:rFonts w:ascii="Arial"/>
          <w:i/>
          <w:spacing w:val="9"/>
          <w:sz w:val="20"/>
        </w:rPr>
        <w:t> </w:t>
      </w:r>
      <w:r>
        <w:rPr>
          <w:spacing w:val="-5"/>
          <w:sz w:val="20"/>
        </w:rPr>
        <w:t>at</w:t>
      </w:r>
    </w:p>
    <w:p>
      <w:pPr>
        <w:spacing w:line="235" w:lineRule="auto" w:before="1"/>
        <w:ind w:left="705" w:right="167" w:firstLine="0"/>
        <w:jc w:val="both"/>
        <w:rPr>
          <w:sz w:val="20"/>
        </w:rPr>
      </w:pPr>
      <w:r>
        <w:rPr>
          <w:sz w:val="20"/>
        </w:rPr>
        <w:t>[197] (though the court held that there was a fiduciary duty on the facts); </w:t>
      </w:r>
      <w:r>
        <w:rPr>
          <w:rFonts w:ascii="Arial"/>
          <w:i/>
          <w:sz w:val="20"/>
        </w:rPr>
        <w:t>F &amp; C Alternative Investment (Holdings) Ltd v Barthelemy [2011] EWHC 1731, [2013] Ch. 613 </w:t>
      </w:r>
      <w:r>
        <w:rPr>
          <w:sz w:val="20"/>
        </w:rPr>
        <w:t>at [223] and </w:t>
      </w:r>
      <w:r>
        <w:rPr>
          <w:sz w:val="20"/>
        </w:rPr>
        <w:t>[225]; </w:t>
      </w:r>
      <w:r>
        <w:rPr>
          <w:rFonts w:ascii="Arial"/>
          <w:i/>
          <w:sz w:val="20"/>
        </w:rPr>
        <w:t>John Youngs Insurance Services Ltd v Aviva Insurance Service UK Ltd [2011] EWHC 1515 (TCC),</w:t>
      </w:r>
      <w:r>
        <w:rPr>
          <w:rFonts w:ascii="Arial"/>
          <w:i/>
          <w:spacing w:val="-2"/>
          <w:sz w:val="20"/>
        </w:rPr>
        <w:t> </w:t>
      </w:r>
      <w:r>
        <w:rPr>
          <w:rFonts w:ascii="Arial"/>
          <w:i/>
          <w:sz w:val="20"/>
        </w:rPr>
        <w:t>[2012]</w:t>
      </w:r>
      <w:r>
        <w:rPr>
          <w:rFonts w:ascii="Arial"/>
          <w:i/>
          <w:spacing w:val="-2"/>
          <w:sz w:val="20"/>
        </w:rPr>
        <w:t> </w:t>
      </w:r>
      <w:r>
        <w:rPr>
          <w:rFonts w:ascii="Arial"/>
          <w:i/>
          <w:sz w:val="20"/>
        </w:rPr>
        <w:t>1</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(Comm)</w:t>
      </w:r>
      <w:r>
        <w:rPr>
          <w:rFonts w:ascii="Arial"/>
          <w:i/>
          <w:spacing w:val="-2"/>
          <w:sz w:val="20"/>
        </w:rPr>
        <w:t> </w:t>
      </w:r>
      <w:r>
        <w:rPr>
          <w:rFonts w:ascii="Arial"/>
          <w:i/>
          <w:sz w:val="20"/>
        </w:rPr>
        <w:t>1045</w:t>
      </w:r>
      <w:r>
        <w:rPr>
          <w:rFonts w:ascii="Arial"/>
          <w:i/>
          <w:spacing w:val="-2"/>
          <w:sz w:val="20"/>
        </w:rPr>
        <w:t> </w:t>
      </w:r>
      <w:r>
        <w:rPr>
          <w:sz w:val="20"/>
        </w:rPr>
        <w:t>at</w:t>
      </w:r>
      <w:r>
        <w:rPr>
          <w:spacing w:val="-2"/>
          <w:sz w:val="20"/>
        </w:rPr>
        <w:t> </w:t>
      </w:r>
      <w:r>
        <w:rPr>
          <w:sz w:val="20"/>
        </w:rPr>
        <w:t>[94];</w:t>
      </w:r>
      <w:r>
        <w:rPr>
          <w:spacing w:val="-1"/>
          <w:sz w:val="20"/>
        </w:rPr>
        <w:t> </w:t>
      </w:r>
      <w:r>
        <w:rPr>
          <w:rFonts w:ascii="Arial"/>
          <w:i/>
          <w:sz w:val="20"/>
        </w:rPr>
        <w:t>Ross</w:t>
      </w:r>
      <w:r>
        <w:rPr>
          <w:rFonts w:ascii="Arial"/>
          <w:i/>
          <w:spacing w:val="-2"/>
          <w:sz w:val="20"/>
        </w:rPr>
        <w:t> </w:t>
      </w:r>
      <w:r>
        <w:rPr>
          <w:rFonts w:ascii="Arial"/>
          <w:i/>
          <w:sz w:val="20"/>
        </w:rPr>
        <w:t>River</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Waveley</w:t>
      </w:r>
      <w:r>
        <w:rPr>
          <w:rFonts w:ascii="Arial"/>
          <w:i/>
          <w:spacing w:val="-2"/>
          <w:sz w:val="20"/>
        </w:rPr>
        <w:t> </w:t>
      </w:r>
      <w:r>
        <w:rPr>
          <w:rFonts w:ascii="Arial"/>
          <w:i/>
          <w:sz w:val="20"/>
        </w:rPr>
        <w:t>Commercial</w:t>
      </w:r>
      <w:r>
        <w:rPr>
          <w:rFonts w:ascii="Arial"/>
          <w:i/>
          <w:spacing w:val="-2"/>
          <w:sz w:val="20"/>
        </w:rPr>
        <w:t> </w:t>
      </w:r>
      <w:r>
        <w:rPr>
          <w:rFonts w:ascii="Arial"/>
          <w:i/>
          <w:sz w:val="20"/>
        </w:rPr>
        <w:t>Ltd</w:t>
      </w:r>
      <w:r>
        <w:rPr>
          <w:rFonts w:ascii="Arial"/>
          <w:i/>
          <w:spacing w:val="-2"/>
          <w:sz w:val="20"/>
        </w:rPr>
        <w:t> </w:t>
      </w:r>
      <w:r>
        <w:rPr>
          <w:rFonts w:ascii="Arial"/>
          <w:i/>
          <w:sz w:val="20"/>
        </w:rPr>
        <w:t>[2013] EWCA Civ 910, [2014] 1 B.C.L.C. 545 </w:t>
      </w:r>
      <w:r>
        <w:rPr>
          <w:sz w:val="20"/>
        </w:rPr>
        <w:t>at [40], [56] and [59] (upholding a fiduciary duty of good faith as consistent with the contract made).</w:t>
      </w:r>
    </w:p>
    <w:p>
      <w:pPr>
        <w:pStyle w:val="BodyText"/>
        <w:spacing w:before="4"/>
      </w:pPr>
    </w:p>
    <w:p>
      <w:pPr>
        <w:tabs>
          <w:tab w:pos="705" w:val="left" w:leader="none"/>
        </w:tabs>
        <w:spacing w:before="0"/>
        <w:ind w:left="165" w:right="0" w:firstLine="0"/>
        <w:jc w:val="left"/>
        <w:rPr>
          <w:sz w:val="20"/>
        </w:rPr>
      </w:pPr>
      <w:bookmarkStart w:name="_bookmark849" w:id="851"/>
      <w:bookmarkEnd w:id="851"/>
      <w:r>
        <w:rPr/>
      </w:r>
      <w:hyperlink w:history="true" w:anchor="_bookmark680">
        <w:r>
          <w:rPr>
            <w:color w:val="005DA1"/>
            <w:spacing w:val="-4"/>
            <w:position w:val="5"/>
            <w:sz w:val="14"/>
            <w:u w:val="single" w:color="005DA1"/>
          </w:rPr>
          <w:t>398</w:t>
        </w:r>
      </w:hyperlink>
      <w:r>
        <w:rPr>
          <w:spacing w:val="-4"/>
          <w:position w:val="5"/>
          <w:sz w:val="14"/>
        </w:rPr>
        <w:t>.</w:t>
      </w:r>
      <w:r>
        <w:rPr>
          <w:position w:val="5"/>
          <w:sz w:val="14"/>
        </w:rPr>
        <w:tab/>
      </w:r>
      <w:r>
        <w:rPr>
          <w:rFonts w:ascii="Arial"/>
          <w:i/>
          <w:sz w:val="20"/>
        </w:rPr>
        <w:t>Fujitsu Services Ltd v IBM United Kingdom Ltd [2014] EWHC 752 (TCC)</w:t>
      </w:r>
      <w:r>
        <w:rPr>
          <w:rFonts w:ascii="Arial"/>
          <w:i/>
          <w:spacing w:val="-1"/>
          <w:sz w:val="20"/>
        </w:rPr>
        <w:t> </w:t>
      </w:r>
      <w:r>
        <w:rPr>
          <w:sz w:val="20"/>
        </w:rPr>
        <w:t>at </w:t>
      </w:r>
      <w:r>
        <w:rPr>
          <w:spacing w:val="-2"/>
          <w:sz w:val="20"/>
        </w:rPr>
        <w:t>[133].</w:t>
      </w:r>
    </w:p>
    <w:p>
      <w:pPr>
        <w:pStyle w:val="BodyText"/>
        <w:spacing w:before="9"/>
      </w:pPr>
    </w:p>
    <w:p>
      <w:pPr>
        <w:spacing w:line="235" w:lineRule="auto" w:before="0"/>
        <w:ind w:left="705" w:right="168" w:hanging="541"/>
        <w:jc w:val="both"/>
        <w:rPr>
          <w:sz w:val="20"/>
        </w:rPr>
      </w:pPr>
      <w:bookmarkStart w:name="_bookmark850" w:id="852"/>
      <w:bookmarkEnd w:id="852"/>
      <w:r>
        <w:rPr/>
      </w:r>
      <w:hyperlink w:history="true" w:anchor="_bookmark681">
        <w:r>
          <w:rPr>
            <w:color w:val="005DA1"/>
            <w:position w:val="5"/>
            <w:sz w:val="14"/>
            <w:u w:val="single" w:color="005DA1"/>
          </w:rPr>
          <w:t>399</w:t>
        </w:r>
      </w:hyperlink>
      <w:r>
        <w:rPr>
          <w:position w:val="5"/>
          <w:sz w:val="14"/>
        </w:rPr>
        <w:t>.</w:t>
      </w:r>
      <w:r>
        <w:rPr>
          <w:spacing w:val="80"/>
          <w:position w:val="5"/>
          <w:sz w:val="14"/>
        </w:rPr>
        <w:t>  </w:t>
      </w:r>
      <w:r>
        <w:rPr>
          <w:rFonts w:ascii="Arial"/>
          <w:i/>
          <w:sz w:val="20"/>
        </w:rPr>
        <w:t>Fujitsu</w:t>
      </w:r>
      <w:r>
        <w:rPr>
          <w:rFonts w:ascii="Arial"/>
          <w:i/>
          <w:spacing w:val="-2"/>
          <w:sz w:val="20"/>
        </w:rPr>
        <w:t> </w:t>
      </w:r>
      <w:r>
        <w:rPr>
          <w:rFonts w:ascii="Arial"/>
          <w:i/>
          <w:sz w:val="20"/>
        </w:rPr>
        <w:t>Services</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IBM</w:t>
      </w:r>
      <w:r>
        <w:rPr>
          <w:rFonts w:ascii="Arial"/>
          <w:i/>
          <w:spacing w:val="-2"/>
          <w:sz w:val="20"/>
        </w:rPr>
        <w:t> </w:t>
      </w:r>
      <w:r>
        <w:rPr>
          <w:rFonts w:ascii="Arial"/>
          <w:i/>
          <w:sz w:val="20"/>
        </w:rPr>
        <w:t>United</w:t>
      </w:r>
      <w:r>
        <w:rPr>
          <w:rFonts w:ascii="Arial"/>
          <w:i/>
          <w:spacing w:val="-2"/>
          <w:sz w:val="20"/>
        </w:rPr>
        <w:t> </w:t>
      </w:r>
      <w:r>
        <w:rPr>
          <w:rFonts w:ascii="Arial"/>
          <w:i/>
          <w:sz w:val="20"/>
        </w:rPr>
        <w:t>Kingdom</w:t>
      </w:r>
      <w:r>
        <w:rPr>
          <w:rFonts w:ascii="Arial"/>
          <w:i/>
          <w:spacing w:val="-2"/>
          <w:sz w:val="20"/>
        </w:rPr>
        <w:t> </w:t>
      </w:r>
      <w:r>
        <w:rPr>
          <w:rFonts w:ascii="Arial"/>
          <w:i/>
          <w:sz w:val="20"/>
        </w:rPr>
        <w:t>Ltd</w:t>
      </w:r>
      <w:r>
        <w:rPr>
          <w:rFonts w:ascii="Arial"/>
          <w:i/>
          <w:spacing w:val="-2"/>
          <w:sz w:val="20"/>
        </w:rPr>
        <w:t> </w:t>
      </w:r>
      <w:r>
        <w:rPr>
          <w:rFonts w:ascii="Arial"/>
          <w:i/>
          <w:sz w:val="20"/>
        </w:rPr>
        <w:t>[2014]</w:t>
      </w:r>
      <w:r>
        <w:rPr>
          <w:rFonts w:ascii="Arial"/>
          <w:i/>
          <w:spacing w:val="-2"/>
          <w:sz w:val="20"/>
        </w:rPr>
        <w:t> </w:t>
      </w:r>
      <w:r>
        <w:rPr>
          <w:rFonts w:ascii="Arial"/>
          <w:i/>
          <w:sz w:val="20"/>
        </w:rPr>
        <w:t>EWHC</w:t>
      </w:r>
      <w:r>
        <w:rPr>
          <w:rFonts w:ascii="Arial"/>
          <w:i/>
          <w:spacing w:val="-2"/>
          <w:sz w:val="20"/>
        </w:rPr>
        <w:t> </w:t>
      </w:r>
      <w:r>
        <w:rPr>
          <w:rFonts w:ascii="Arial"/>
          <w:i/>
          <w:sz w:val="20"/>
        </w:rPr>
        <w:t>752</w:t>
      </w:r>
      <w:r>
        <w:rPr>
          <w:rFonts w:ascii="Arial"/>
          <w:i/>
          <w:spacing w:val="-2"/>
          <w:sz w:val="20"/>
        </w:rPr>
        <w:t> </w:t>
      </w:r>
      <w:r>
        <w:rPr>
          <w:rFonts w:ascii="Arial"/>
          <w:i/>
          <w:sz w:val="20"/>
        </w:rPr>
        <w:t>(TCC)</w:t>
      </w:r>
      <w:r>
        <w:rPr>
          <w:rFonts w:ascii="Arial"/>
          <w:i/>
          <w:spacing w:val="-3"/>
          <w:sz w:val="20"/>
        </w:rPr>
        <w:t> </w:t>
      </w:r>
      <w:r>
        <w:rPr>
          <w:sz w:val="20"/>
        </w:rPr>
        <w:t>at</w:t>
      </w:r>
      <w:r>
        <w:rPr>
          <w:spacing w:val="-2"/>
          <w:sz w:val="20"/>
        </w:rPr>
        <w:t> </w:t>
      </w:r>
      <w:r>
        <w:rPr>
          <w:sz w:val="20"/>
        </w:rPr>
        <w:t>[123],</w:t>
      </w:r>
      <w:r>
        <w:rPr>
          <w:spacing w:val="-2"/>
          <w:sz w:val="20"/>
        </w:rPr>
        <w:t> </w:t>
      </w:r>
      <w:r>
        <w:rPr>
          <w:sz w:val="20"/>
        </w:rPr>
        <w:t>referring,</w:t>
      </w:r>
      <w:r>
        <w:rPr>
          <w:spacing w:val="-2"/>
          <w:sz w:val="20"/>
        </w:rPr>
        <w:t> </w:t>
      </w:r>
      <w:r>
        <w:rPr>
          <w:sz w:val="20"/>
        </w:rPr>
        <w:t>inter alia, to </w:t>
      </w:r>
      <w:r>
        <w:rPr>
          <w:rFonts w:ascii="Arial"/>
          <w:i/>
          <w:sz w:val="20"/>
        </w:rPr>
        <w:t>Hospital Products Ltd v United States Surgical Corp (1984) 156 C.L.R. 41 </w:t>
      </w:r>
      <w:r>
        <w:rPr>
          <w:sz w:val="20"/>
        </w:rPr>
        <w:t>at [70] (HC Aus, Mason J.); </w:t>
      </w:r>
      <w:r>
        <w:rPr>
          <w:rFonts w:ascii="Arial"/>
          <w:i/>
          <w:sz w:val="20"/>
        </w:rPr>
        <w:t>Henderson v Merrett Syndicates Ltd [1995] 2 A.C. 145 </w:t>
      </w:r>
      <w:r>
        <w:rPr>
          <w:sz w:val="20"/>
        </w:rPr>
        <w:t>at 206 (on which see below, para.1-166).</w:t>
      </w:r>
    </w:p>
    <w:p>
      <w:pPr>
        <w:pStyle w:val="BodyText"/>
        <w:spacing w:before="5"/>
      </w:pPr>
    </w:p>
    <w:p>
      <w:pPr>
        <w:tabs>
          <w:tab w:pos="705" w:val="left" w:leader="none"/>
        </w:tabs>
        <w:spacing w:before="0"/>
        <w:ind w:left="165" w:right="0" w:firstLine="0"/>
        <w:jc w:val="left"/>
        <w:rPr>
          <w:sz w:val="20"/>
        </w:rPr>
      </w:pPr>
      <w:bookmarkStart w:name="_bookmark851" w:id="853"/>
      <w:bookmarkEnd w:id="853"/>
      <w:r>
        <w:rPr/>
      </w:r>
      <w:hyperlink w:history="true" w:anchor="_bookmark682">
        <w:r>
          <w:rPr>
            <w:color w:val="005DA1"/>
            <w:spacing w:val="-4"/>
            <w:position w:val="5"/>
            <w:sz w:val="14"/>
            <w:u w:val="single" w:color="005DA1"/>
          </w:rPr>
          <w:t>400</w:t>
        </w:r>
      </w:hyperlink>
      <w:r>
        <w:rPr>
          <w:spacing w:val="-4"/>
          <w:position w:val="5"/>
          <w:sz w:val="14"/>
        </w:rPr>
        <w:t>.</w:t>
      </w:r>
      <w:r>
        <w:rPr>
          <w:position w:val="5"/>
          <w:sz w:val="14"/>
        </w:rPr>
        <w:tab/>
      </w:r>
      <w:r>
        <w:rPr>
          <w:rFonts w:ascii="Arial"/>
          <w:i/>
          <w:sz w:val="20"/>
        </w:rPr>
        <w:t>[1992]</w:t>
      </w:r>
      <w:r>
        <w:rPr>
          <w:rFonts w:ascii="Arial"/>
          <w:i/>
          <w:spacing w:val="-2"/>
          <w:sz w:val="20"/>
        </w:rPr>
        <w:t> </w:t>
      </w:r>
      <w:r>
        <w:rPr>
          <w:rFonts w:ascii="Arial"/>
          <w:i/>
          <w:sz w:val="20"/>
        </w:rPr>
        <w:t>2 A.C. </w:t>
      </w:r>
      <w:r>
        <w:rPr>
          <w:rFonts w:ascii="Arial"/>
          <w:i/>
          <w:spacing w:val="-4"/>
          <w:sz w:val="20"/>
        </w:rPr>
        <w:t>128</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852" w:id="854"/>
      <w:bookmarkEnd w:id="854"/>
      <w:r>
        <w:rPr/>
      </w:r>
      <w:hyperlink w:history="true" w:anchor="_bookmark683">
        <w:r>
          <w:rPr>
            <w:color w:val="005DA1"/>
            <w:spacing w:val="-4"/>
            <w:position w:val="5"/>
            <w:sz w:val="14"/>
            <w:u w:val="single" w:color="005DA1"/>
          </w:rPr>
          <w:t>401</w:t>
        </w:r>
      </w:hyperlink>
      <w:r>
        <w:rPr>
          <w:spacing w:val="-4"/>
          <w:position w:val="5"/>
          <w:sz w:val="14"/>
        </w:rPr>
        <w:t>.</w:t>
      </w:r>
      <w:r>
        <w:rPr>
          <w:position w:val="5"/>
          <w:sz w:val="14"/>
        </w:rPr>
        <w:tab/>
      </w:r>
      <w:r>
        <w:rPr>
          <w:rFonts w:ascii="Arial"/>
          <w:i/>
          <w:sz w:val="20"/>
        </w:rPr>
        <w:t>Barbudev v Eurocom Cable Management Bulgaria EOOD [2012] EWCA Civ 548 </w:t>
      </w:r>
      <w:r>
        <w:rPr>
          <w:sz w:val="20"/>
        </w:rPr>
        <w:t>especially at </w:t>
      </w:r>
      <w:r>
        <w:rPr>
          <w:spacing w:val="-2"/>
          <w:sz w:val="20"/>
        </w:rPr>
        <w:t>[44]-[46].</w:t>
      </w:r>
    </w:p>
    <w:p>
      <w:pPr>
        <w:pStyle w:val="BodyText"/>
        <w:spacing w:before="9"/>
      </w:pPr>
    </w:p>
    <w:p>
      <w:pPr>
        <w:spacing w:line="235" w:lineRule="auto" w:before="0"/>
        <w:ind w:left="705" w:right="167" w:hanging="541"/>
        <w:jc w:val="both"/>
        <w:rPr>
          <w:sz w:val="20"/>
        </w:rPr>
      </w:pPr>
      <w:bookmarkStart w:name="_bookmark853" w:id="855"/>
      <w:bookmarkEnd w:id="855"/>
      <w:r>
        <w:rPr/>
      </w:r>
      <w:hyperlink w:history="true" w:anchor="_bookmark684">
        <w:r>
          <w:rPr>
            <w:color w:val="005DA1"/>
            <w:position w:val="5"/>
            <w:sz w:val="14"/>
            <w:u w:val="single" w:color="005DA1"/>
          </w:rPr>
          <w:t>402</w:t>
        </w:r>
      </w:hyperlink>
      <w:r>
        <w:rPr>
          <w:position w:val="5"/>
          <w:sz w:val="14"/>
        </w:rPr>
        <w:t>.</w:t>
      </w:r>
      <w:r>
        <w:rPr>
          <w:spacing w:val="80"/>
          <w:w w:val="150"/>
          <w:position w:val="5"/>
          <w:sz w:val="14"/>
        </w:rPr>
        <w:t> </w:t>
      </w:r>
      <w:r>
        <w:rPr>
          <w:rFonts w:ascii="Arial" w:hAnsi="Arial"/>
          <w:i/>
          <w:sz w:val="20"/>
        </w:rPr>
        <w:t>[2005] EWCA Civ 891, [2006] 1 Lloyd’s Rep. 121</w:t>
      </w:r>
      <w:r>
        <w:rPr>
          <w:sz w:val="20"/>
        </w:rPr>
        <w:t>. In </w:t>
      </w:r>
      <w:r>
        <w:rPr>
          <w:rFonts w:ascii="Arial" w:hAnsi="Arial"/>
          <w:i/>
          <w:sz w:val="20"/>
        </w:rPr>
        <w:t>Knatchbull-Hugessen v SISU Capital </w:t>
      </w:r>
      <w:r>
        <w:rPr>
          <w:rFonts w:ascii="Arial" w:hAnsi="Arial"/>
          <w:i/>
          <w:sz w:val="20"/>
        </w:rPr>
        <w:t>Ltd [2014] EWHC 1194 (Comm) </w:t>
      </w:r>
      <w:r>
        <w:rPr>
          <w:sz w:val="20"/>
        </w:rPr>
        <w:t>at [23] Leggatt J. observed that, “notwithstanding the decision of the</w:t>
      </w:r>
      <w:r>
        <w:rPr>
          <w:spacing w:val="-9"/>
          <w:sz w:val="20"/>
        </w:rPr>
        <w:t> </w:t>
      </w:r>
      <w:r>
        <w:rPr>
          <w:sz w:val="20"/>
        </w:rPr>
        <w:t>House of Lords in </w:t>
      </w:r>
      <w:r>
        <w:rPr>
          <w:rFonts w:ascii="Arial" w:hAnsi="Arial"/>
          <w:i/>
          <w:sz w:val="20"/>
        </w:rPr>
        <w:t>Walford v Miles</w:t>
      </w:r>
      <w:r>
        <w:rPr>
          <w:rFonts w:ascii="Arial" w:hAnsi="Arial"/>
          <w:i/>
          <w:spacing w:val="-14"/>
          <w:sz w:val="20"/>
        </w:rPr>
        <w:t> </w:t>
      </w:r>
      <w:r>
        <w:rPr>
          <w:sz w:val="20"/>
        </w:rPr>
        <w:t>” it is now generally accepted that a binding contract to regulate the parties’ negotiations “may impose an obligation on one or both parties to conduct negotiations in good faith”, citing </w:t>
      </w:r>
      <w:r>
        <w:rPr>
          <w:rFonts w:ascii="Arial" w:hAnsi="Arial"/>
          <w:i/>
          <w:sz w:val="20"/>
        </w:rPr>
        <w:t>Petromec Inc </w:t>
      </w:r>
      <w:r>
        <w:rPr>
          <w:sz w:val="20"/>
        </w:rPr>
        <w:t>as an example.</w:t>
      </w:r>
    </w:p>
    <w:p>
      <w:pPr>
        <w:pStyle w:val="BodyText"/>
        <w:spacing w:before="4"/>
      </w:pPr>
    </w:p>
    <w:p>
      <w:pPr>
        <w:tabs>
          <w:tab w:pos="705" w:val="left" w:leader="none"/>
        </w:tabs>
        <w:spacing w:before="0"/>
        <w:ind w:left="165" w:right="0" w:firstLine="0"/>
        <w:jc w:val="left"/>
        <w:rPr>
          <w:sz w:val="20"/>
        </w:rPr>
      </w:pPr>
      <w:bookmarkStart w:name="_bookmark854" w:id="856"/>
      <w:bookmarkEnd w:id="856"/>
      <w:r>
        <w:rPr/>
      </w:r>
      <w:hyperlink w:history="true" w:anchor="_bookmark685">
        <w:r>
          <w:rPr>
            <w:color w:val="005DA1"/>
            <w:spacing w:val="-4"/>
            <w:position w:val="5"/>
            <w:sz w:val="14"/>
            <w:u w:val="single" w:color="005DA1"/>
          </w:rPr>
          <w:t>403</w:t>
        </w:r>
      </w:hyperlink>
      <w:r>
        <w:rPr>
          <w:spacing w:val="-4"/>
          <w:position w:val="5"/>
          <w:sz w:val="14"/>
        </w:rPr>
        <w:t>.</w:t>
      </w:r>
      <w:r>
        <w:rPr>
          <w:position w:val="5"/>
          <w:sz w:val="14"/>
        </w:rPr>
        <w:tab/>
      </w:r>
      <w:r>
        <w:rPr>
          <w:rFonts w:ascii="Arial"/>
          <w:i/>
          <w:sz w:val="20"/>
        </w:rPr>
        <w:t>[2005] EWCA Civ 891</w:t>
      </w:r>
      <w:r>
        <w:rPr>
          <w:rFonts w:ascii="Arial"/>
          <w:i/>
          <w:spacing w:val="-1"/>
          <w:sz w:val="20"/>
        </w:rPr>
        <w:t> </w:t>
      </w:r>
      <w:r>
        <w:rPr>
          <w:sz w:val="20"/>
        </w:rPr>
        <w:t>at </w:t>
      </w:r>
      <w:r>
        <w:rPr>
          <w:spacing w:val="-2"/>
          <w:sz w:val="20"/>
        </w:rPr>
        <w:t>[121].</w:t>
      </w:r>
    </w:p>
    <w:p>
      <w:pPr>
        <w:pStyle w:val="BodyText"/>
        <w:spacing w:before="5"/>
      </w:pPr>
    </w:p>
    <w:p>
      <w:pPr>
        <w:tabs>
          <w:tab w:pos="705" w:val="left" w:leader="none"/>
        </w:tabs>
        <w:spacing w:before="0"/>
        <w:ind w:left="165" w:right="0" w:firstLine="0"/>
        <w:jc w:val="left"/>
        <w:rPr>
          <w:sz w:val="20"/>
        </w:rPr>
      </w:pPr>
      <w:bookmarkStart w:name="_bookmark855" w:id="857"/>
      <w:bookmarkEnd w:id="857"/>
      <w:r>
        <w:rPr/>
      </w:r>
      <w:hyperlink w:history="true" w:anchor="_bookmark686">
        <w:r>
          <w:rPr>
            <w:color w:val="005DA1"/>
            <w:spacing w:val="-4"/>
            <w:position w:val="5"/>
            <w:sz w:val="14"/>
            <w:u w:val="single" w:color="005DA1"/>
          </w:rPr>
          <w:t>404</w:t>
        </w:r>
      </w:hyperlink>
      <w:r>
        <w:rPr>
          <w:spacing w:val="-4"/>
          <w:position w:val="5"/>
          <w:sz w:val="14"/>
        </w:rPr>
        <w:t>.</w:t>
      </w:r>
      <w:r>
        <w:rPr>
          <w:position w:val="5"/>
          <w:sz w:val="14"/>
        </w:rPr>
        <w:tab/>
      </w:r>
      <w:r>
        <w:rPr>
          <w:rFonts w:ascii="Arial"/>
          <w:i/>
          <w:sz w:val="20"/>
        </w:rPr>
        <w:t>[2005] EWCA Civ 891</w:t>
      </w:r>
      <w:r>
        <w:rPr>
          <w:rFonts w:ascii="Arial"/>
          <w:i/>
          <w:spacing w:val="-1"/>
          <w:sz w:val="20"/>
        </w:rPr>
        <w:t> </w:t>
      </w:r>
      <w:r>
        <w:rPr>
          <w:sz w:val="20"/>
        </w:rPr>
        <w:t>at [45], [112]-[113] and </w:t>
      </w:r>
      <w:r>
        <w:rPr>
          <w:spacing w:val="-2"/>
          <w:sz w:val="20"/>
        </w:rPr>
        <w:t>[124].</w:t>
      </w:r>
    </w:p>
    <w:p>
      <w:pPr>
        <w:pStyle w:val="BodyText"/>
        <w:spacing w:before="5"/>
      </w:pPr>
    </w:p>
    <w:p>
      <w:pPr>
        <w:tabs>
          <w:tab w:pos="705" w:val="left" w:leader="none"/>
        </w:tabs>
        <w:spacing w:before="0"/>
        <w:ind w:left="165" w:right="0" w:firstLine="0"/>
        <w:jc w:val="left"/>
        <w:rPr>
          <w:sz w:val="20"/>
        </w:rPr>
      </w:pPr>
      <w:bookmarkStart w:name="_bookmark856" w:id="858"/>
      <w:bookmarkEnd w:id="858"/>
      <w:r>
        <w:rPr/>
      </w:r>
      <w:hyperlink w:history="true" w:anchor="_bookmark687">
        <w:r>
          <w:rPr>
            <w:color w:val="005DA1"/>
            <w:spacing w:val="-4"/>
            <w:position w:val="5"/>
            <w:sz w:val="14"/>
            <w:u w:val="single" w:color="005DA1"/>
          </w:rPr>
          <w:t>405</w:t>
        </w:r>
      </w:hyperlink>
      <w:r>
        <w:rPr>
          <w:spacing w:val="-4"/>
          <w:position w:val="5"/>
          <w:sz w:val="14"/>
        </w:rPr>
        <w:t>.</w:t>
      </w:r>
      <w:r>
        <w:rPr>
          <w:position w:val="5"/>
          <w:sz w:val="14"/>
        </w:rPr>
        <w:tab/>
      </w:r>
      <w:r>
        <w:rPr>
          <w:rFonts w:ascii="Arial"/>
          <w:i/>
          <w:sz w:val="20"/>
        </w:rPr>
        <w:t>[2005] EWCA Civ 891</w:t>
      </w:r>
      <w:r>
        <w:rPr>
          <w:rFonts w:ascii="Arial"/>
          <w:i/>
          <w:spacing w:val="-1"/>
          <w:sz w:val="20"/>
        </w:rPr>
        <w:t> </w:t>
      </w:r>
      <w:r>
        <w:rPr>
          <w:sz w:val="20"/>
        </w:rPr>
        <w:t>at </w:t>
      </w:r>
      <w:r>
        <w:rPr>
          <w:spacing w:val="-2"/>
          <w:sz w:val="20"/>
        </w:rPr>
        <w:t>[117].</w:t>
      </w:r>
    </w:p>
    <w:p>
      <w:pPr>
        <w:pStyle w:val="BodyText"/>
        <w:spacing w:before="9"/>
      </w:pPr>
    </w:p>
    <w:p>
      <w:pPr>
        <w:spacing w:line="235" w:lineRule="auto" w:before="0"/>
        <w:ind w:left="705" w:right="167" w:hanging="541"/>
        <w:jc w:val="both"/>
        <w:rPr>
          <w:sz w:val="20"/>
        </w:rPr>
      </w:pPr>
      <w:bookmarkStart w:name="_bookmark857" w:id="859"/>
      <w:bookmarkEnd w:id="859"/>
      <w:r>
        <w:rPr/>
      </w:r>
      <w:hyperlink w:history="true" w:anchor="_bookmark688">
        <w:r>
          <w:rPr>
            <w:color w:val="005DA1"/>
            <w:position w:val="5"/>
            <w:sz w:val="14"/>
            <w:u w:val="single" w:color="005DA1"/>
          </w:rPr>
          <w:t>406</w:t>
        </w:r>
      </w:hyperlink>
      <w:r>
        <w:rPr>
          <w:position w:val="5"/>
          <w:sz w:val="14"/>
        </w:rPr>
        <w:t>.</w:t>
      </w:r>
      <w:r>
        <w:rPr>
          <w:spacing w:val="80"/>
          <w:w w:val="150"/>
          <w:position w:val="5"/>
          <w:sz w:val="14"/>
        </w:rPr>
        <w:t> </w:t>
      </w:r>
      <w:r>
        <w:rPr>
          <w:rFonts w:ascii="Arial"/>
          <w:i/>
          <w:sz w:val="20"/>
        </w:rPr>
        <w:t>[2005] EWCA Civ 891 </w:t>
      </w:r>
      <w:r>
        <w:rPr>
          <w:sz w:val="20"/>
        </w:rPr>
        <w:t>at [117]. cf. </w:t>
      </w:r>
      <w:r>
        <w:rPr>
          <w:rFonts w:ascii="Arial"/>
          <w:i/>
          <w:sz w:val="20"/>
        </w:rPr>
        <w:t>Shaker v Vistajet Group Holding SA [2012] EWHC 1329 (Comm) </w:t>
      </w:r>
      <w:r>
        <w:rPr>
          <w:sz w:val="20"/>
        </w:rPr>
        <w:t>at [17] where the court distinguished this aspect of the position in </w:t>
      </w:r>
      <w:r>
        <w:rPr>
          <w:rFonts w:ascii="Arial"/>
          <w:i/>
          <w:sz w:val="20"/>
        </w:rPr>
        <w:t>Petromec Inc </w:t>
      </w:r>
      <w:r>
        <w:rPr>
          <w:sz w:val="20"/>
        </w:rPr>
        <w:t>on </w:t>
      </w:r>
      <w:r>
        <w:rPr>
          <w:sz w:val="20"/>
        </w:rPr>
        <w:t>the basis that in the latter case there were objective criteria by which the extra costs could be assessed in the absence of an agreement of which the obligation to negotiate in good faith was the object.</w:t>
      </w:r>
    </w:p>
    <w:p>
      <w:pPr>
        <w:pStyle w:val="BodyText"/>
        <w:spacing w:before="4"/>
      </w:pPr>
    </w:p>
    <w:p>
      <w:pPr>
        <w:tabs>
          <w:tab w:pos="705" w:val="left" w:leader="none"/>
        </w:tabs>
        <w:spacing w:before="1"/>
        <w:ind w:left="165" w:right="0" w:firstLine="0"/>
        <w:jc w:val="left"/>
        <w:rPr>
          <w:sz w:val="20"/>
        </w:rPr>
      </w:pPr>
      <w:bookmarkStart w:name="_bookmark858" w:id="860"/>
      <w:bookmarkEnd w:id="860"/>
      <w:r>
        <w:rPr/>
      </w:r>
      <w:hyperlink w:history="true" w:anchor="_bookmark689">
        <w:r>
          <w:rPr>
            <w:color w:val="005DA1"/>
            <w:spacing w:val="-4"/>
            <w:position w:val="5"/>
            <w:sz w:val="14"/>
            <w:u w:val="single" w:color="005DA1"/>
          </w:rPr>
          <w:t>407</w:t>
        </w:r>
      </w:hyperlink>
      <w:r>
        <w:rPr>
          <w:spacing w:val="-4"/>
          <w:position w:val="5"/>
          <w:sz w:val="14"/>
        </w:rPr>
        <w:t>.</w:t>
      </w:r>
      <w:r>
        <w:rPr>
          <w:position w:val="5"/>
          <w:sz w:val="14"/>
        </w:rPr>
        <w:tab/>
      </w:r>
      <w:r>
        <w:rPr>
          <w:rFonts w:ascii="Arial"/>
          <w:i/>
          <w:sz w:val="20"/>
        </w:rPr>
        <w:t>[2005] EWCA Civ 891</w:t>
      </w:r>
      <w:r>
        <w:rPr>
          <w:rFonts w:ascii="Arial"/>
          <w:i/>
          <w:spacing w:val="-1"/>
          <w:sz w:val="20"/>
        </w:rPr>
        <w:t> </w:t>
      </w:r>
      <w:r>
        <w:rPr>
          <w:sz w:val="20"/>
        </w:rPr>
        <w:t>at </w:t>
      </w:r>
      <w:r>
        <w:rPr>
          <w:spacing w:val="-2"/>
          <w:sz w:val="20"/>
        </w:rPr>
        <w:t>[119].</w:t>
      </w:r>
    </w:p>
    <w:p>
      <w:pPr>
        <w:pStyle w:val="BodyText"/>
        <w:spacing w:before="4"/>
      </w:pPr>
    </w:p>
    <w:p>
      <w:pPr>
        <w:tabs>
          <w:tab w:pos="705" w:val="left" w:leader="none"/>
        </w:tabs>
        <w:spacing w:before="1"/>
        <w:ind w:left="165" w:right="0" w:firstLine="0"/>
        <w:jc w:val="left"/>
        <w:rPr>
          <w:sz w:val="20"/>
        </w:rPr>
      </w:pPr>
      <w:bookmarkStart w:name="_bookmark859" w:id="861"/>
      <w:bookmarkEnd w:id="861"/>
      <w:r>
        <w:rPr/>
      </w:r>
      <w:hyperlink w:history="true" w:anchor="_bookmark690">
        <w:r>
          <w:rPr>
            <w:color w:val="005DA1"/>
            <w:spacing w:val="-4"/>
            <w:position w:val="5"/>
            <w:sz w:val="14"/>
            <w:u w:val="single" w:color="005DA1"/>
          </w:rPr>
          <w:t>408</w:t>
        </w:r>
      </w:hyperlink>
      <w:r>
        <w:rPr>
          <w:spacing w:val="-4"/>
          <w:position w:val="5"/>
          <w:sz w:val="14"/>
        </w:rPr>
        <w:t>.</w:t>
      </w:r>
      <w:r>
        <w:rPr>
          <w:position w:val="5"/>
          <w:sz w:val="14"/>
        </w:rPr>
        <w:tab/>
      </w:r>
      <w:r>
        <w:rPr>
          <w:rFonts w:ascii="Arial"/>
          <w:i/>
          <w:sz w:val="20"/>
        </w:rPr>
        <w:t>[2005] EWCA Civ 891</w:t>
      </w:r>
      <w:r>
        <w:rPr>
          <w:rFonts w:ascii="Arial"/>
          <w:i/>
          <w:spacing w:val="-1"/>
          <w:sz w:val="20"/>
        </w:rPr>
        <w:t> </w:t>
      </w:r>
      <w:r>
        <w:rPr>
          <w:sz w:val="20"/>
        </w:rPr>
        <w:t>at [121] echoing Steyn (1997) 113 L.Q.R. </w:t>
      </w:r>
      <w:r>
        <w:rPr>
          <w:spacing w:val="-4"/>
          <w:sz w:val="20"/>
        </w:rPr>
        <w:t>433.</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860" w:id="862"/>
      <w:bookmarkEnd w:id="862"/>
      <w:r>
        <w:rPr/>
      </w:r>
      <w:hyperlink w:history="true" w:anchor="_bookmark691">
        <w:r>
          <w:rPr>
            <w:color w:val="005DA1"/>
            <w:spacing w:val="-4"/>
            <w:position w:val="5"/>
            <w:sz w:val="14"/>
            <w:u w:val="single" w:color="005DA1"/>
          </w:rPr>
          <w:t>409</w:t>
        </w:r>
      </w:hyperlink>
      <w:r>
        <w:rPr>
          <w:spacing w:val="-4"/>
          <w:position w:val="5"/>
          <w:sz w:val="14"/>
        </w:rPr>
        <w:t>.</w:t>
      </w:r>
      <w:r>
        <w:rPr>
          <w:position w:val="5"/>
          <w:sz w:val="14"/>
        </w:rPr>
        <w:tab/>
      </w:r>
      <w:r>
        <w:rPr>
          <w:rFonts w:ascii="Arial"/>
          <w:i/>
          <w:sz w:val="20"/>
        </w:rPr>
        <w:t>Emirates</w:t>
      </w:r>
      <w:r>
        <w:rPr>
          <w:rFonts w:ascii="Arial"/>
          <w:i/>
          <w:spacing w:val="23"/>
          <w:sz w:val="20"/>
        </w:rPr>
        <w:t> </w:t>
      </w:r>
      <w:r>
        <w:rPr>
          <w:rFonts w:ascii="Arial"/>
          <w:i/>
          <w:sz w:val="20"/>
        </w:rPr>
        <w:t>Trading</w:t>
      </w:r>
      <w:r>
        <w:rPr>
          <w:rFonts w:ascii="Arial"/>
          <w:i/>
          <w:spacing w:val="23"/>
          <w:sz w:val="20"/>
        </w:rPr>
        <w:t> </w:t>
      </w:r>
      <w:r>
        <w:rPr>
          <w:rFonts w:ascii="Arial"/>
          <w:i/>
          <w:sz w:val="20"/>
        </w:rPr>
        <w:t>Agency</w:t>
      </w:r>
      <w:r>
        <w:rPr>
          <w:rFonts w:ascii="Arial"/>
          <w:i/>
          <w:spacing w:val="23"/>
          <w:sz w:val="20"/>
        </w:rPr>
        <w:t> </w:t>
      </w:r>
      <w:r>
        <w:rPr>
          <w:rFonts w:ascii="Arial"/>
          <w:i/>
          <w:sz w:val="20"/>
        </w:rPr>
        <w:t>LLC</w:t>
      </w:r>
      <w:r>
        <w:rPr>
          <w:rFonts w:ascii="Arial"/>
          <w:i/>
          <w:spacing w:val="23"/>
          <w:sz w:val="20"/>
        </w:rPr>
        <w:t> </w:t>
      </w:r>
      <w:r>
        <w:rPr>
          <w:rFonts w:ascii="Arial"/>
          <w:i/>
          <w:sz w:val="20"/>
        </w:rPr>
        <w:t>v</w:t>
      </w:r>
      <w:r>
        <w:rPr>
          <w:rFonts w:ascii="Arial"/>
          <w:i/>
          <w:spacing w:val="23"/>
          <w:sz w:val="20"/>
        </w:rPr>
        <w:t> </w:t>
      </w:r>
      <w:r>
        <w:rPr>
          <w:rFonts w:ascii="Arial"/>
          <w:i/>
          <w:sz w:val="20"/>
        </w:rPr>
        <w:t>Prime</w:t>
      </w:r>
      <w:r>
        <w:rPr>
          <w:rFonts w:ascii="Arial"/>
          <w:i/>
          <w:spacing w:val="23"/>
          <w:sz w:val="20"/>
        </w:rPr>
        <w:t> </w:t>
      </w:r>
      <w:r>
        <w:rPr>
          <w:rFonts w:ascii="Arial"/>
          <w:i/>
          <w:sz w:val="20"/>
        </w:rPr>
        <w:t>Mineral</w:t>
      </w:r>
      <w:r>
        <w:rPr>
          <w:rFonts w:ascii="Arial"/>
          <w:i/>
          <w:spacing w:val="23"/>
          <w:sz w:val="20"/>
        </w:rPr>
        <w:t> </w:t>
      </w:r>
      <w:r>
        <w:rPr>
          <w:rFonts w:ascii="Arial"/>
          <w:i/>
          <w:sz w:val="20"/>
        </w:rPr>
        <w:t>Exports</w:t>
      </w:r>
      <w:r>
        <w:rPr>
          <w:rFonts w:ascii="Arial"/>
          <w:i/>
          <w:spacing w:val="23"/>
          <w:sz w:val="20"/>
        </w:rPr>
        <w:t> </w:t>
      </w:r>
      <w:r>
        <w:rPr>
          <w:rFonts w:ascii="Arial"/>
          <w:i/>
          <w:sz w:val="20"/>
        </w:rPr>
        <w:t>Pte</w:t>
      </w:r>
      <w:r>
        <w:rPr>
          <w:rFonts w:ascii="Arial"/>
          <w:i/>
          <w:spacing w:val="23"/>
          <w:sz w:val="20"/>
        </w:rPr>
        <w:t> </w:t>
      </w:r>
      <w:r>
        <w:rPr>
          <w:rFonts w:ascii="Arial"/>
          <w:i/>
          <w:sz w:val="20"/>
        </w:rPr>
        <w:t>Ltd</w:t>
      </w:r>
      <w:r>
        <w:rPr>
          <w:rFonts w:ascii="Arial"/>
          <w:i/>
          <w:spacing w:val="23"/>
          <w:sz w:val="20"/>
        </w:rPr>
        <w:t> </w:t>
      </w:r>
      <w:r>
        <w:rPr>
          <w:rFonts w:ascii="Arial"/>
          <w:i/>
          <w:sz w:val="20"/>
        </w:rPr>
        <w:t>[2014]</w:t>
      </w:r>
      <w:r>
        <w:rPr>
          <w:rFonts w:ascii="Arial"/>
          <w:i/>
          <w:spacing w:val="23"/>
          <w:sz w:val="20"/>
        </w:rPr>
        <w:t> </w:t>
      </w:r>
      <w:r>
        <w:rPr>
          <w:rFonts w:ascii="Arial"/>
          <w:i/>
          <w:sz w:val="20"/>
        </w:rPr>
        <w:t>EWHC</w:t>
      </w:r>
      <w:r>
        <w:rPr>
          <w:rFonts w:ascii="Arial"/>
          <w:i/>
          <w:spacing w:val="23"/>
          <w:sz w:val="20"/>
        </w:rPr>
        <w:t> </w:t>
      </w:r>
      <w:r>
        <w:rPr>
          <w:rFonts w:ascii="Arial"/>
          <w:i/>
          <w:sz w:val="20"/>
        </w:rPr>
        <w:t>2104,</w:t>
      </w:r>
      <w:r>
        <w:rPr>
          <w:rFonts w:ascii="Arial"/>
          <w:i/>
          <w:spacing w:val="23"/>
          <w:sz w:val="20"/>
        </w:rPr>
        <w:t> </w:t>
      </w:r>
      <w:r>
        <w:rPr>
          <w:rFonts w:ascii="Arial"/>
          <w:i/>
          <w:sz w:val="20"/>
        </w:rPr>
        <w:t>[2015]</w:t>
      </w:r>
      <w:r>
        <w:rPr>
          <w:rFonts w:ascii="Arial"/>
          <w:i/>
          <w:spacing w:val="23"/>
          <w:sz w:val="20"/>
        </w:rPr>
        <w:t> </w:t>
      </w:r>
      <w:r>
        <w:rPr>
          <w:rFonts w:ascii="Arial"/>
          <w:i/>
          <w:spacing w:val="-10"/>
          <w:sz w:val="20"/>
        </w:rPr>
        <w:t>1</w:t>
      </w:r>
    </w:p>
    <w:p>
      <w:pPr>
        <w:pStyle w:val="BodyText"/>
        <w:spacing w:line="235" w:lineRule="auto" w:before="1"/>
        <w:ind w:left="705" w:right="167"/>
        <w:jc w:val="both"/>
      </w:pPr>
      <w:r>
        <w:rPr>
          <w:rFonts w:ascii="Arial"/>
          <w:i/>
        </w:rPr>
        <w:t>W.L.R. 1145 </w:t>
      </w:r>
      <w:r>
        <w:rPr/>
        <w:t>especially at [26], Teare J. considering that such a contract term imports an obligation to resolve disputes in good faith at [51]-[52], [63]-[64] and reviewing extensively </w:t>
      </w:r>
      <w:r>
        <w:rPr/>
        <w:t>the </w:t>
      </w:r>
      <w:r>
        <w:rPr>
          <w:spacing w:val="-2"/>
        </w:rPr>
        <w:t>authorities.</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2640">
            <wp:simplePos x="0" y="0"/>
            <wp:positionH relativeFrom="page">
              <wp:posOffset>1257846</wp:posOffset>
            </wp:positionH>
            <wp:positionV relativeFrom="paragraph">
              <wp:posOffset>160277</wp:posOffset>
            </wp:positionV>
            <wp:extent cx="107988" cy="107988"/>
            <wp:effectExtent l="0" t="0" r="0" b="0"/>
            <wp:wrapNone/>
            <wp:docPr id="284" name="Image 284"/>
            <wp:cNvGraphicFramePr>
              <a:graphicFrameLocks/>
            </wp:cNvGraphicFramePr>
            <a:graphic>
              <a:graphicData uri="http://schemas.openxmlformats.org/drawingml/2006/picture">
                <pic:pic>
                  <pic:nvPicPr>
                    <pic:cNvPr id="284" name="Image 28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61" w:id="863"/>
      <w:bookmarkEnd w:id="863"/>
      <w:r>
        <w:rPr/>
      </w:r>
      <w:hyperlink w:history="true" w:anchor="_bookmark692">
        <w:r>
          <w:rPr>
            <w:color w:val="005DA1"/>
            <w:spacing w:val="-4"/>
            <w:sz w:val="14"/>
            <w:u w:val="single" w:color="005DA1"/>
          </w:rPr>
          <w:t>410</w:t>
        </w:r>
      </w:hyperlink>
      <w:r>
        <w:rPr>
          <w:spacing w:val="-4"/>
          <w:sz w:val="14"/>
        </w:rPr>
        <w:t>.</w:t>
      </w:r>
    </w:p>
    <w:p>
      <w:pPr>
        <w:spacing w:line="235" w:lineRule="auto" w:before="212"/>
        <w:ind w:left="165" w:right="167" w:firstLine="170"/>
        <w:jc w:val="both"/>
        <w:rPr>
          <w:sz w:val="20"/>
        </w:rPr>
      </w:pPr>
      <w:r>
        <w:rPr/>
        <w:br w:type="column"/>
      </w:r>
      <w:r>
        <w:rPr>
          <w:sz w:val="20"/>
        </w:rPr>
        <w:t>See also Peel in Burrows and Peel, </w:t>
      </w:r>
      <w:r>
        <w:rPr>
          <w:rFonts w:ascii="Arial" w:hAnsi="Arial"/>
          <w:i/>
          <w:sz w:val="20"/>
        </w:rPr>
        <w:t>Contract Formation and Parties </w:t>
      </w:r>
      <w:r>
        <w:rPr>
          <w:sz w:val="20"/>
        </w:rPr>
        <w:t>(2010) Ch.2. See also </w:t>
      </w:r>
      <w:r>
        <w:rPr>
          <w:rFonts w:ascii="Arial" w:hAnsi="Arial"/>
          <w:i/>
          <w:sz w:val="20"/>
        </w:rPr>
        <w:t>Astor Management AG v Atalaya Mining Plc [2017] EWHC 425 (Comm), [2017] 1 Lloyd’s Rep. 476</w:t>
      </w:r>
      <w:r>
        <w:rPr>
          <w:rFonts w:ascii="Arial" w:hAnsi="Arial"/>
          <w:i/>
          <w:spacing w:val="-3"/>
          <w:sz w:val="20"/>
        </w:rPr>
        <w:t> </w:t>
      </w:r>
      <w:r>
        <w:rPr>
          <w:sz w:val="20"/>
        </w:rPr>
        <w:t>at</w:t>
      </w:r>
      <w:r>
        <w:rPr>
          <w:spacing w:val="-1"/>
          <w:sz w:val="20"/>
        </w:rPr>
        <w:t> </w:t>
      </w:r>
      <w:r>
        <w:rPr>
          <w:sz w:val="20"/>
        </w:rPr>
        <w:t>[62]–[72]</w:t>
      </w:r>
      <w:r>
        <w:rPr>
          <w:spacing w:val="-1"/>
          <w:sz w:val="20"/>
        </w:rPr>
        <w:t> </w:t>
      </w:r>
      <w:r>
        <w:rPr>
          <w:sz w:val="20"/>
        </w:rPr>
        <w:t>(Leggatt</w:t>
      </w:r>
      <w:r>
        <w:rPr>
          <w:spacing w:val="-1"/>
          <w:sz w:val="20"/>
        </w:rPr>
        <w:t> </w:t>
      </w:r>
      <w:r>
        <w:rPr>
          <w:sz w:val="20"/>
        </w:rPr>
        <w:t>J.)</w:t>
      </w:r>
      <w:r>
        <w:rPr>
          <w:spacing w:val="-1"/>
          <w:sz w:val="20"/>
        </w:rPr>
        <w:t> </w:t>
      </w:r>
      <w:r>
        <w:rPr>
          <w:sz w:val="20"/>
        </w:rPr>
        <w:t>(express</w:t>
      </w:r>
      <w:r>
        <w:rPr>
          <w:spacing w:val="-1"/>
          <w:sz w:val="20"/>
        </w:rPr>
        <w:t> </w:t>
      </w:r>
      <w:r>
        <w:rPr>
          <w:sz w:val="20"/>
        </w:rPr>
        <w:t>contractual</w:t>
      </w:r>
      <w:r>
        <w:rPr>
          <w:spacing w:val="-1"/>
          <w:sz w:val="20"/>
        </w:rPr>
        <w:t> </w:t>
      </w:r>
      <w:r>
        <w:rPr>
          <w:sz w:val="20"/>
        </w:rPr>
        <w:t>obligation</w:t>
      </w:r>
      <w:r>
        <w:rPr>
          <w:spacing w:val="-1"/>
          <w:sz w:val="20"/>
        </w:rPr>
        <w:t> </w:t>
      </w:r>
      <w:r>
        <w:rPr>
          <w:sz w:val="20"/>
        </w:rPr>
        <w:t>to</w:t>
      </w:r>
      <w:r>
        <w:rPr>
          <w:spacing w:val="-1"/>
          <w:sz w:val="20"/>
        </w:rPr>
        <w:t> </w:t>
      </w:r>
      <w:r>
        <w:rPr>
          <w:sz w:val="20"/>
        </w:rPr>
        <w:t>use</w:t>
      </w:r>
      <w:r>
        <w:rPr>
          <w:spacing w:val="-1"/>
          <w:sz w:val="20"/>
        </w:rPr>
        <w:t> </w:t>
      </w:r>
      <w:r>
        <w:rPr>
          <w:sz w:val="20"/>
        </w:rPr>
        <w:t>all</w:t>
      </w:r>
      <w:r>
        <w:rPr>
          <w:spacing w:val="-1"/>
          <w:sz w:val="20"/>
        </w:rPr>
        <w:t> </w:t>
      </w:r>
      <w:r>
        <w:rPr>
          <w:sz w:val="20"/>
        </w:rPr>
        <w:t>reasonable</w:t>
      </w:r>
      <w:r>
        <w:rPr>
          <w:spacing w:val="-1"/>
          <w:sz w:val="20"/>
        </w:rPr>
        <w:t> </w:t>
      </w:r>
      <w:r>
        <w:rPr>
          <w:sz w:val="20"/>
        </w:rPr>
        <w:t>endeavours</w:t>
      </w:r>
      <w:r>
        <w:rPr>
          <w:spacing w:val="-1"/>
          <w:sz w:val="20"/>
        </w:rPr>
        <w:t> </w:t>
      </w:r>
      <w:r>
        <w:rPr>
          <w:sz w:val="20"/>
        </w:rPr>
        <w:t>to achieve particular result held enforceable, though not broken on the facts).</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before="1"/>
        <w:ind w:left="165" w:right="0" w:firstLine="0"/>
        <w:jc w:val="left"/>
        <w:rPr>
          <w:sz w:val="20"/>
        </w:rPr>
      </w:pPr>
      <w:bookmarkStart w:name="_bookmark862" w:id="864"/>
      <w:bookmarkEnd w:id="864"/>
      <w:r>
        <w:rPr/>
      </w:r>
      <w:hyperlink w:history="true" w:anchor="_bookmark693">
        <w:r>
          <w:rPr>
            <w:color w:val="005DA1"/>
            <w:spacing w:val="-4"/>
            <w:position w:val="5"/>
            <w:sz w:val="14"/>
            <w:u w:val="single" w:color="005DA1"/>
          </w:rPr>
          <w:t>411</w:t>
        </w:r>
      </w:hyperlink>
      <w:r>
        <w:rPr>
          <w:spacing w:val="-4"/>
          <w:position w:val="5"/>
          <w:sz w:val="14"/>
        </w:rPr>
        <w:t>.</w:t>
      </w:r>
      <w:r>
        <w:rPr>
          <w:position w:val="5"/>
          <w:sz w:val="14"/>
        </w:rPr>
        <w:tab/>
      </w:r>
      <w:r>
        <w:rPr>
          <w:rFonts w:ascii="Arial"/>
          <w:i/>
          <w:sz w:val="20"/>
        </w:rPr>
        <w:t>[2007] EWHC 1330 (Ch), [2007] 3 E.G.L.R. </w:t>
      </w:r>
      <w:r>
        <w:rPr>
          <w:rFonts w:ascii="Arial"/>
          <w:i/>
          <w:spacing w:val="-4"/>
          <w:sz w:val="20"/>
        </w:rPr>
        <w:t>101</w:t>
      </w:r>
      <w:r>
        <w:rPr>
          <w:spacing w:val="-4"/>
          <w:sz w:val="20"/>
        </w:rPr>
        <w:t>.</w:t>
      </w:r>
    </w:p>
    <w:p>
      <w:pPr>
        <w:pStyle w:val="BodyText"/>
        <w:spacing w:before="8"/>
      </w:pPr>
    </w:p>
    <w:p>
      <w:pPr>
        <w:spacing w:line="235" w:lineRule="auto" w:before="0"/>
        <w:ind w:left="705" w:right="168" w:hanging="541"/>
        <w:jc w:val="both"/>
        <w:rPr>
          <w:sz w:val="20"/>
        </w:rPr>
      </w:pPr>
      <w:bookmarkStart w:name="_bookmark863" w:id="865"/>
      <w:bookmarkEnd w:id="865"/>
      <w:r>
        <w:rPr/>
      </w:r>
      <w:hyperlink w:history="true" w:anchor="_bookmark694">
        <w:r>
          <w:rPr>
            <w:color w:val="005DA1"/>
            <w:position w:val="5"/>
            <w:sz w:val="14"/>
            <w:u w:val="single" w:color="005DA1"/>
          </w:rPr>
          <w:t>412</w:t>
        </w:r>
      </w:hyperlink>
      <w:r>
        <w:rPr>
          <w:position w:val="5"/>
          <w:sz w:val="14"/>
        </w:rPr>
        <w:t>.</w:t>
      </w:r>
      <w:r>
        <w:rPr>
          <w:spacing w:val="80"/>
          <w:w w:val="150"/>
          <w:position w:val="5"/>
          <w:sz w:val="14"/>
        </w:rPr>
        <w:t> </w:t>
      </w:r>
      <w:r>
        <w:rPr>
          <w:rFonts w:ascii="Arial"/>
          <w:i/>
          <w:sz w:val="20"/>
        </w:rPr>
        <w:t>[2007] EWHC 1330 (Ch) </w:t>
      </w:r>
      <w:r>
        <w:rPr>
          <w:sz w:val="20"/>
        </w:rPr>
        <w:t>at [97], relying in particular on the judgment of French J. in </w:t>
      </w:r>
      <w:r>
        <w:rPr>
          <w:rFonts w:ascii="Arial"/>
          <w:i/>
          <w:sz w:val="20"/>
        </w:rPr>
        <w:t>Bropho v Human Rights and Equal Opportunity Commission [2004] FCAFC 16 </w:t>
      </w:r>
      <w:r>
        <w:rPr>
          <w:sz w:val="20"/>
        </w:rPr>
        <w:t>at [92]-[93] </w:t>
      </w:r>
      <w:r>
        <w:rPr>
          <w:sz w:val="20"/>
        </w:rPr>
        <w:t>(decided outside the context of contract, though itself quoting the US Restatement of Contracts (2nd) </w:t>
      </w:r>
      <w:r>
        <w:rPr>
          <w:spacing w:val="-2"/>
          <w:sz w:val="20"/>
        </w:rPr>
        <w:t>para.205).</w:t>
      </w:r>
    </w:p>
    <w:p>
      <w:pPr>
        <w:spacing w:after="0" w:line="235" w:lineRule="auto"/>
        <w:jc w:val="both"/>
        <w:rPr>
          <w:sz w:val="20"/>
        </w:rPr>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695">
        <w:r>
          <w:rPr>
            <w:color w:val="005DA1"/>
            <w:spacing w:val="-4"/>
            <w:position w:val="5"/>
            <w:sz w:val="14"/>
            <w:u w:val="single" w:color="005DA1"/>
          </w:rPr>
          <w:t>413</w:t>
        </w:r>
      </w:hyperlink>
      <w:r>
        <w:rPr>
          <w:spacing w:val="-4"/>
          <w:position w:val="5"/>
          <w:sz w:val="14"/>
        </w:rPr>
        <w:t>.</w:t>
      </w:r>
      <w:r>
        <w:rPr>
          <w:position w:val="5"/>
          <w:sz w:val="14"/>
        </w:rPr>
        <w:tab/>
      </w:r>
      <w:r>
        <w:rPr>
          <w:rFonts w:ascii="Arial"/>
          <w:i/>
          <w:sz w:val="20"/>
        </w:rPr>
        <w:t>[2007] EWHC 1330 (Ch)</w:t>
      </w:r>
      <w:r>
        <w:rPr>
          <w:rFonts w:ascii="Arial"/>
          <w:i/>
          <w:spacing w:val="-1"/>
          <w:sz w:val="20"/>
        </w:rPr>
        <w:t> </w:t>
      </w:r>
      <w:r>
        <w:rPr>
          <w:sz w:val="20"/>
        </w:rPr>
        <w:t>at </w:t>
      </w:r>
      <w:r>
        <w:rPr>
          <w:spacing w:val="-2"/>
          <w:sz w:val="20"/>
        </w:rPr>
        <w:t>[109].</w:t>
      </w:r>
    </w:p>
    <w:p>
      <w:pPr>
        <w:pStyle w:val="BodyText"/>
        <w:spacing w:before="5"/>
      </w:pPr>
    </w:p>
    <w:p>
      <w:pPr>
        <w:tabs>
          <w:tab w:pos="705" w:val="left" w:leader="none"/>
        </w:tabs>
        <w:spacing w:before="1"/>
        <w:ind w:left="165" w:right="0" w:firstLine="0"/>
        <w:jc w:val="left"/>
        <w:rPr>
          <w:sz w:val="20"/>
        </w:rPr>
      </w:pPr>
      <w:bookmarkStart w:name="_bookmark864" w:id="866"/>
      <w:bookmarkEnd w:id="866"/>
      <w:r>
        <w:rPr/>
      </w:r>
      <w:hyperlink w:history="true" w:anchor="_bookmark696">
        <w:r>
          <w:rPr>
            <w:color w:val="005DA1"/>
            <w:spacing w:val="-4"/>
            <w:position w:val="5"/>
            <w:sz w:val="14"/>
            <w:u w:val="single" w:color="005DA1"/>
          </w:rPr>
          <w:t>414</w:t>
        </w:r>
      </w:hyperlink>
      <w:r>
        <w:rPr>
          <w:spacing w:val="-4"/>
          <w:position w:val="5"/>
          <w:sz w:val="14"/>
        </w:rPr>
        <w:t>.</w:t>
      </w:r>
      <w:r>
        <w:rPr>
          <w:position w:val="5"/>
          <w:sz w:val="14"/>
        </w:rPr>
        <w:tab/>
      </w:r>
      <w:r>
        <w:rPr>
          <w:rFonts w:ascii="Arial"/>
          <w:i/>
          <w:sz w:val="20"/>
        </w:rPr>
        <w:t>[2010]</w:t>
      </w:r>
      <w:r>
        <w:rPr>
          <w:rFonts w:ascii="Arial"/>
          <w:i/>
          <w:spacing w:val="-2"/>
          <w:sz w:val="20"/>
        </w:rPr>
        <w:t> </w:t>
      </w:r>
      <w:r>
        <w:rPr>
          <w:rFonts w:ascii="Arial"/>
          <w:i/>
          <w:sz w:val="20"/>
        </w:rPr>
        <w:t>EWHC 1632 (TCC), [2010] All E.R. (D) 18 </w:t>
      </w:r>
      <w:r>
        <w:rPr>
          <w:rFonts w:ascii="Arial"/>
          <w:i/>
          <w:spacing w:val="-2"/>
          <w:sz w:val="20"/>
        </w:rPr>
        <w:t>(Jul)</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865" w:id="867"/>
      <w:bookmarkEnd w:id="867"/>
      <w:r>
        <w:rPr/>
      </w:r>
      <w:hyperlink w:history="true" w:anchor="_bookmark697">
        <w:r>
          <w:rPr>
            <w:color w:val="005DA1"/>
            <w:spacing w:val="-4"/>
            <w:position w:val="5"/>
            <w:sz w:val="14"/>
            <w:u w:val="single" w:color="005DA1"/>
          </w:rPr>
          <w:t>415</w:t>
        </w:r>
      </w:hyperlink>
      <w:r>
        <w:rPr>
          <w:spacing w:val="-4"/>
          <w:position w:val="5"/>
          <w:sz w:val="14"/>
        </w:rPr>
        <w:t>.</w:t>
      </w:r>
      <w:r>
        <w:rPr>
          <w:position w:val="5"/>
          <w:sz w:val="14"/>
        </w:rPr>
        <w:tab/>
      </w:r>
      <w:r>
        <w:rPr>
          <w:rFonts w:ascii="Arial"/>
          <w:i/>
          <w:sz w:val="20"/>
        </w:rPr>
        <w:t>[2010] EWHC 1632 (TCC)</w:t>
      </w:r>
      <w:r>
        <w:rPr>
          <w:rFonts w:ascii="Arial"/>
          <w:i/>
          <w:spacing w:val="-1"/>
          <w:sz w:val="20"/>
        </w:rPr>
        <w:t> </w:t>
      </w:r>
      <w:r>
        <w:rPr>
          <w:sz w:val="20"/>
        </w:rPr>
        <w:t>at </w:t>
      </w:r>
      <w:r>
        <w:rPr>
          <w:spacing w:val="-2"/>
          <w:sz w:val="20"/>
        </w:rPr>
        <w:t>[74].</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866" w:id="868"/>
      <w:bookmarkEnd w:id="868"/>
      <w:r>
        <w:rPr/>
      </w:r>
      <w:hyperlink w:history="true" w:anchor="_bookmark698">
        <w:r>
          <w:rPr>
            <w:color w:val="005DA1"/>
            <w:spacing w:val="-4"/>
            <w:sz w:val="14"/>
            <w:u w:val="single" w:color="005DA1"/>
          </w:rPr>
          <w:t>416</w:t>
        </w:r>
      </w:hyperlink>
      <w:r>
        <w:rPr>
          <w:spacing w:val="-4"/>
          <w:sz w:val="14"/>
        </w:rPr>
        <w:t>.</w:t>
      </w:r>
    </w:p>
    <w:p>
      <w:pPr>
        <w:spacing w:line="227" w:lineRule="exact" w:before="209"/>
        <w:ind w:left="335" w:right="0" w:firstLine="0"/>
        <w:jc w:val="left"/>
        <w:rPr>
          <w:sz w:val="20"/>
        </w:rPr>
      </w:pPr>
      <w:r>
        <w:rPr/>
        <w:br w:type="column"/>
      </w:r>
      <w:r>
        <w:rPr>
          <w:rFonts w:ascii="Arial"/>
          <w:i/>
          <w:sz w:val="20"/>
        </w:rPr>
        <w:t>[2002]</w:t>
      </w:r>
      <w:r>
        <w:rPr>
          <w:rFonts w:ascii="Arial"/>
          <w:i/>
          <w:spacing w:val="4"/>
          <w:sz w:val="20"/>
        </w:rPr>
        <w:t> </w:t>
      </w:r>
      <w:r>
        <w:rPr>
          <w:rFonts w:ascii="Arial"/>
          <w:i/>
          <w:sz w:val="20"/>
        </w:rPr>
        <w:t>NSWSC</w:t>
      </w:r>
      <w:r>
        <w:rPr>
          <w:rFonts w:ascii="Arial"/>
          <w:i/>
          <w:spacing w:val="4"/>
          <w:sz w:val="20"/>
        </w:rPr>
        <w:t> </w:t>
      </w:r>
      <w:r>
        <w:rPr>
          <w:rFonts w:ascii="Arial"/>
          <w:i/>
          <w:sz w:val="20"/>
        </w:rPr>
        <w:t>17;</w:t>
      </w:r>
      <w:r>
        <w:rPr>
          <w:rFonts w:ascii="Arial"/>
          <w:i/>
          <w:spacing w:val="4"/>
          <w:sz w:val="20"/>
        </w:rPr>
        <w:t> </w:t>
      </w:r>
      <w:r>
        <w:rPr>
          <w:rFonts w:ascii="Arial"/>
          <w:i/>
          <w:sz w:val="20"/>
        </w:rPr>
        <w:t>(2002)</w:t>
      </w:r>
      <w:r>
        <w:rPr>
          <w:rFonts w:ascii="Arial"/>
          <w:i/>
          <w:spacing w:val="4"/>
          <w:sz w:val="20"/>
        </w:rPr>
        <w:t> </w:t>
      </w:r>
      <w:r>
        <w:rPr>
          <w:rFonts w:ascii="Arial"/>
          <w:i/>
          <w:sz w:val="20"/>
        </w:rPr>
        <w:t>Aust.</w:t>
      </w:r>
      <w:r>
        <w:rPr>
          <w:rFonts w:ascii="Arial"/>
          <w:i/>
          <w:spacing w:val="4"/>
          <w:sz w:val="20"/>
        </w:rPr>
        <w:t> </w:t>
      </w:r>
      <w:r>
        <w:rPr>
          <w:rFonts w:ascii="Arial"/>
          <w:i/>
          <w:sz w:val="20"/>
        </w:rPr>
        <w:t>Contract</w:t>
      </w:r>
      <w:r>
        <w:rPr>
          <w:rFonts w:ascii="Arial"/>
          <w:i/>
          <w:spacing w:val="4"/>
          <w:sz w:val="20"/>
        </w:rPr>
        <w:t> </w:t>
      </w:r>
      <w:r>
        <w:rPr>
          <w:rFonts w:ascii="Arial"/>
          <w:i/>
          <w:sz w:val="20"/>
        </w:rPr>
        <w:t>R.</w:t>
      </w:r>
      <w:r>
        <w:rPr>
          <w:rFonts w:ascii="Arial"/>
          <w:i/>
          <w:spacing w:val="4"/>
          <w:sz w:val="20"/>
        </w:rPr>
        <w:t> </w:t>
      </w:r>
      <w:r>
        <w:rPr>
          <w:rFonts w:ascii="Arial"/>
          <w:i/>
          <w:sz w:val="20"/>
        </w:rPr>
        <w:t>90-143</w:t>
      </w:r>
      <w:r>
        <w:rPr>
          <w:rFonts w:ascii="Arial"/>
          <w:i/>
          <w:spacing w:val="3"/>
          <w:sz w:val="20"/>
        </w:rPr>
        <w:t> </w:t>
      </w:r>
      <w:r>
        <w:rPr>
          <w:sz w:val="20"/>
        </w:rPr>
        <w:t>at</w:t>
      </w:r>
      <w:r>
        <w:rPr>
          <w:spacing w:val="4"/>
          <w:sz w:val="20"/>
        </w:rPr>
        <w:t> </w:t>
      </w:r>
      <w:r>
        <w:rPr>
          <w:sz w:val="20"/>
        </w:rPr>
        <w:t>[65]-[67]:</w:t>
      </w:r>
      <w:r>
        <w:rPr>
          <w:spacing w:val="4"/>
          <w:sz w:val="20"/>
        </w:rPr>
        <w:t> </w:t>
      </w:r>
      <w:r>
        <w:rPr>
          <w:rFonts w:ascii="Arial"/>
          <w:i/>
          <w:sz w:val="20"/>
        </w:rPr>
        <w:t>[2010]</w:t>
      </w:r>
      <w:r>
        <w:rPr>
          <w:rFonts w:ascii="Arial"/>
          <w:i/>
          <w:spacing w:val="4"/>
          <w:sz w:val="20"/>
        </w:rPr>
        <w:t> </w:t>
      </w:r>
      <w:r>
        <w:rPr>
          <w:rFonts w:ascii="Arial"/>
          <w:i/>
          <w:sz w:val="20"/>
        </w:rPr>
        <w:t>EWHC</w:t>
      </w:r>
      <w:r>
        <w:rPr>
          <w:rFonts w:ascii="Arial"/>
          <w:i/>
          <w:spacing w:val="4"/>
          <w:sz w:val="20"/>
        </w:rPr>
        <w:t> </w:t>
      </w:r>
      <w:r>
        <w:rPr>
          <w:rFonts w:ascii="Arial"/>
          <w:i/>
          <w:sz w:val="20"/>
        </w:rPr>
        <w:t>1632</w:t>
      </w:r>
      <w:r>
        <w:rPr>
          <w:rFonts w:ascii="Arial"/>
          <w:i/>
          <w:spacing w:val="4"/>
          <w:sz w:val="20"/>
        </w:rPr>
        <w:t> </w:t>
      </w:r>
      <w:r>
        <w:rPr>
          <w:rFonts w:ascii="Arial"/>
          <w:i/>
          <w:sz w:val="20"/>
        </w:rPr>
        <w:t>(TCC)</w:t>
      </w:r>
      <w:r>
        <w:rPr>
          <w:rFonts w:ascii="Arial"/>
          <w:i/>
          <w:spacing w:val="3"/>
          <w:sz w:val="20"/>
        </w:rPr>
        <w:t> </w:t>
      </w:r>
      <w:r>
        <w:rPr>
          <w:spacing w:val="-5"/>
          <w:sz w:val="20"/>
        </w:rPr>
        <w:t>at</w:t>
      </w:r>
    </w:p>
    <w:p>
      <w:pPr>
        <w:spacing w:line="235" w:lineRule="auto" w:before="1"/>
        <w:ind w:left="165" w:right="168" w:firstLine="0"/>
        <w:jc w:val="both"/>
        <w:rPr>
          <w:sz w:val="20"/>
        </w:rPr>
      </w:pPr>
      <w:r>
        <w:rPr>
          <w:sz w:val="20"/>
        </w:rPr>
        <w:drawing>
          <wp:anchor distT="0" distB="0" distL="0" distR="0" allowOverlap="1" layoutInCell="1" locked="0" behindDoc="0" simplePos="0" relativeHeight="15793152">
            <wp:simplePos x="0" y="0"/>
            <wp:positionH relativeFrom="page">
              <wp:posOffset>1257846</wp:posOffset>
            </wp:positionH>
            <wp:positionV relativeFrom="paragraph">
              <wp:posOffset>-116591</wp:posOffset>
            </wp:positionV>
            <wp:extent cx="107988" cy="107988"/>
            <wp:effectExtent l="0" t="0" r="0" b="0"/>
            <wp:wrapNone/>
            <wp:docPr id="285" name="Image 285"/>
            <wp:cNvGraphicFramePr>
              <a:graphicFrameLocks/>
            </wp:cNvGraphicFramePr>
            <a:graphic>
              <a:graphicData uri="http://schemas.openxmlformats.org/drawingml/2006/picture">
                <pic:pic>
                  <pic:nvPicPr>
                    <pic:cNvPr id="285" name="Image 285"/>
                    <pic:cNvPicPr/>
                  </pic:nvPicPr>
                  <pic:blipFill>
                    <a:blip r:embed="rId6" cstate="print"/>
                    <a:stretch>
                      <a:fillRect/>
                    </a:stretch>
                  </pic:blipFill>
                  <pic:spPr>
                    <a:xfrm>
                      <a:off x="0" y="0"/>
                      <a:ext cx="107988" cy="107988"/>
                    </a:xfrm>
                    <a:prstGeom prst="rect">
                      <a:avLst/>
                    </a:prstGeom>
                  </pic:spPr>
                </pic:pic>
              </a:graphicData>
            </a:graphic>
          </wp:anchor>
        </w:drawing>
      </w:r>
      <w:r>
        <w:rPr>
          <w:sz w:val="20"/>
        </w:rPr>
        <w:t>[90]. As was noted in </w:t>
      </w:r>
      <w:r>
        <w:rPr>
          <w:rFonts w:ascii="Arial" w:hAnsi="Arial"/>
          <w:i/>
          <w:sz w:val="20"/>
        </w:rPr>
        <w:t>Gold Group Properties Ltd</w:t>
      </w:r>
      <w:r>
        <w:rPr>
          <w:sz w:val="20"/>
        </w:rPr>
        <w:t>, this dictum was quoted with approval </w:t>
      </w:r>
      <w:r>
        <w:rPr>
          <w:sz w:val="20"/>
        </w:rPr>
        <w:t>by Hasluck J. in the Supreme Court of Western Australia in </w:t>
      </w:r>
      <w:r>
        <w:rPr>
          <w:rFonts w:ascii="Arial" w:hAnsi="Arial"/>
          <w:i/>
          <w:sz w:val="20"/>
        </w:rPr>
        <w:t>Automasters Australia Pty Ltd v Bruness Pty Ltd [2002] WASC 286 </w:t>
      </w:r>
      <w:r>
        <w:rPr>
          <w:sz w:val="20"/>
        </w:rPr>
        <w:t>at 357. See also </w:t>
      </w:r>
      <w:r>
        <w:rPr>
          <w:rFonts w:ascii="Arial" w:hAnsi="Arial"/>
          <w:i/>
          <w:sz w:val="20"/>
        </w:rPr>
        <w:t>BP Gas Marketing Ltd v La Societe Sonatrach</w:t>
      </w:r>
      <w:r>
        <w:rPr>
          <w:rFonts w:ascii="Arial" w:hAnsi="Arial"/>
          <w:i/>
          <w:spacing w:val="-2"/>
          <w:sz w:val="20"/>
        </w:rPr>
        <w:t> </w:t>
      </w:r>
      <w:r>
        <w:rPr>
          <w:rFonts w:ascii="Arial" w:hAnsi="Arial"/>
          <w:i/>
          <w:sz w:val="20"/>
        </w:rPr>
        <w:t>[2016]</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2461</w:t>
      </w:r>
      <w:r>
        <w:rPr>
          <w:rFonts w:ascii="Arial" w:hAnsi="Arial"/>
          <w:i/>
          <w:spacing w:val="-2"/>
          <w:sz w:val="20"/>
        </w:rPr>
        <w:t> </w:t>
      </w:r>
      <w:r>
        <w:rPr>
          <w:rFonts w:ascii="Arial" w:hAnsi="Arial"/>
          <w:i/>
          <w:sz w:val="20"/>
        </w:rPr>
        <w:t>(Comm),</w:t>
      </w:r>
      <w:r>
        <w:rPr>
          <w:rFonts w:ascii="Arial" w:hAnsi="Arial"/>
          <w:i/>
          <w:spacing w:val="-2"/>
          <w:sz w:val="20"/>
        </w:rPr>
        <w:t> </w:t>
      </w:r>
      <w:r>
        <w:rPr>
          <w:rFonts w:ascii="Arial" w:hAnsi="Arial"/>
          <w:i/>
          <w:sz w:val="20"/>
        </w:rPr>
        <w:t>169</w:t>
      </w:r>
      <w:r>
        <w:rPr>
          <w:rFonts w:ascii="Arial" w:hAnsi="Arial"/>
          <w:i/>
          <w:spacing w:val="-2"/>
          <w:sz w:val="20"/>
        </w:rPr>
        <w:t> </w:t>
      </w:r>
      <w:r>
        <w:rPr>
          <w:rFonts w:ascii="Arial" w:hAnsi="Arial"/>
          <w:i/>
          <w:sz w:val="20"/>
        </w:rPr>
        <w:t>Con.</w:t>
      </w:r>
      <w:r>
        <w:rPr>
          <w:rFonts w:ascii="Arial" w:hAnsi="Arial"/>
          <w:i/>
          <w:spacing w:val="-2"/>
          <w:sz w:val="20"/>
        </w:rPr>
        <w:t> </w:t>
      </w:r>
      <w:r>
        <w:rPr>
          <w:rFonts w:ascii="Arial" w:hAnsi="Arial"/>
          <w:i/>
          <w:sz w:val="20"/>
        </w:rPr>
        <w:t>L.R.</w:t>
      </w:r>
      <w:r>
        <w:rPr>
          <w:rFonts w:ascii="Arial" w:hAnsi="Arial"/>
          <w:i/>
          <w:spacing w:val="-2"/>
          <w:sz w:val="20"/>
        </w:rPr>
        <w:t> </w:t>
      </w:r>
      <w:r>
        <w:rPr>
          <w:rFonts w:ascii="Arial" w:hAnsi="Arial"/>
          <w:i/>
          <w:sz w:val="20"/>
        </w:rPr>
        <w:t>141</w:t>
      </w:r>
      <w:r>
        <w:rPr>
          <w:rFonts w:ascii="Arial" w:hAnsi="Arial"/>
          <w:i/>
          <w:spacing w:val="-2"/>
          <w:sz w:val="20"/>
        </w:rPr>
        <w:t> </w:t>
      </w:r>
      <w:r>
        <w:rPr>
          <w:sz w:val="20"/>
        </w:rPr>
        <w:t>at</w:t>
      </w:r>
      <w:r>
        <w:rPr>
          <w:spacing w:val="-2"/>
          <w:sz w:val="20"/>
        </w:rPr>
        <w:t> </w:t>
      </w:r>
      <w:r>
        <w:rPr>
          <w:sz w:val="20"/>
        </w:rPr>
        <w:t>[401]</w:t>
      </w:r>
      <w:r>
        <w:rPr>
          <w:spacing w:val="-2"/>
          <w:sz w:val="20"/>
        </w:rPr>
        <w:t> </w:t>
      </w:r>
      <w:r>
        <w:rPr>
          <w:sz w:val="20"/>
        </w:rPr>
        <w:t>per</w:t>
      </w:r>
      <w:r>
        <w:rPr>
          <w:spacing w:val="-2"/>
          <w:sz w:val="20"/>
        </w:rPr>
        <w:t> </w:t>
      </w:r>
      <w:r>
        <w:rPr>
          <w:sz w:val="20"/>
        </w:rPr>
        <w:t>Simon</w:t>
      </w:r>
      <w:r>
        <w:rPr>
          <w:spacing w:val="-2"/>
          <w:sz w:val="20"/>
        </w:rPr>
        <w:t> </w:t>
      </w:r>
      <w:r>
        <w:rPr>
          <w:sz w:val="20"/>
        </w:rPr>
        <w:t>Bryan</w:t>
      </w:r>
      <w:r>
        <w:rPr>
          <w:spacing w:val="-2"/>
          <w:sz w:val="20"/>
        </w:rPr>
        <w:t> </w:t>
      </w:r>
      <w:r>
        <w:rPr>
          <w:sz w:val="20"/>
        </w:rPr>
        <w:t>QC</w:t>
      </w:r>
      <w:r>
        <w:rPr>
          <w:spacing w:val="-2"/>
          <w:sz w:val="20"/>
        </w:rPr>
        <w:t> </w:t>
      </w:r>
      <w:r>
        <w:rPr>
          <w:sz w:val="20"/>
        </w:rPr>
        <w:t>(“good faith does not normally require a party to surrender contractual rights”).</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before="0"/>
        <w:ind w:left="165" w:right="0" w:firstLine="0"/>
        <w:jc w:val="left"/>
        <w:rPr>
          <w:sz w:val="20"/>
        </w:rPr>
      </w:pPr>
      <w:bookmarkStart w:name="_bookmark867" w:id="869"/>
      <w:bookmarkEnd w:id="869"/>
      <w:r>
        <w:rPr/>
      </w:r>
      <w:hyperlink w:history="true" w:anchor="_bookmark699">
        <w:r>
          <w:rPr>
            <w:color w:val="005DA1"/>
            <w:spacing w:val="-4"/>
            <w:position w:val="5"/>
            <w:sz w:val="14"/>
            <w:u w:val="single" w:color="005DA1"/>
          </w:rPr>
          <w:t>417</w:t>
        </w:r>
      </w:hyperlink>
      <w:r>
        <w:rPr>
          <w:spacing w:val="-4"/>
          <w:position w:val="5"/>
          <w:sz w:val="14"/>
        </w:rPr>
        <w:t>.</w:t>
      </w:r>
      <w:r>
        <w:rPr>
          <w:position w:val="5"/>
          <w:sz w:val="14"/>
        </w:rPr>
        <w:tab/>
      </w:r>
      <w:r>
        <w:rPr>
          <w:rFonts w:ascii="Arial"/>
          <w:i/>
          <w:sz w:val="20"/>
        </w:rPr>
        <w:t>[2010] EWHC 1632 (TCC)</w:t>
      </w:r>
      <w:r>
        <w:rPr>
          <w:rFonts w:ascii="Arial"/>
          <w:i/>
          <w:spacing w:val="-1"/>
          <w:sz w:val="20"/>
        </w:rPr>
        <w:t> </w:t>
      </w:r>
      <w:r>
        <w:rPr>
          <w:sz w:val="20"/>
        </w:rPr>
        <w:t>at </w:t>
      </w:r>
      <w:r>
        <w:rPr>
          <w:spacing w:val="-2"/>
          <w:sz w:val="20"/>
        </w:rPr>
        <w:t>[91].</w:t>
      </w:r>
    </w:p>
    <w:p>
      <w:pPr>
        <w:pStyle w:val="BodyText"/>
        <w:spacing w:before="5"/>
      </w:pPr>
    </w:p>
    <w:p>
      <w:pPr>
        <w:tabs>
          <w:tab w:pos="705" w:val="left" w:leader="none"/>
        </w:tabs>
        <w:spacing w:before="0"/>
        <w:ind w:left="165" w:right="0" w:firstLine="0"/>
        <w:jc w:val="left"/>
        <w:rPr>
          <w:sz w:val="20"/>
        </w:rPr>
      </w:pPr>
      <w:bookmarkStart w:name="_bookmark868" w:id="870"/>
      <w:bookmarkEnd w:id="870"/>
      <w:r>
        <w:rPr/>
      </w:r>
      <w:hyperlink w:history="true" w:anchor="_bookmark700">
        <w:r>
          <w:rPr>
            <w:color w:val="005DA1"/>
            <w:spacing w:val="-4"/>
            <w:position w:val="5"/>
            <w:sz w:val="14"/>
            <w:u w:val="single" w:color="005DA1"/>
          </w:rPr>
          <w:t>418</w:t>
        </w:r>
      </w:hyperlink>
      <w:r>
        <w:rPr>
          <w:spacing w:val="-4"/>
          <w:position w:val="5"/>
          <w:sz w:val="14"/>
        </w:rPr>
        <w:t>.</w:t>
      </w:r>
      <w:r>
        <w:rPr>
          <w:position w:val="5"/>
          <w:sz w:val="14"/>
        </w:rPr>
        <w:tab/>
      </w:r>
      <w:r>
        <w:rPr>
          <w:rFonts w:ascii="Arial" w:hAnsi="Arial"/>
          <w:i/>
          <w:sz w:val="20"/>
        </w:rPr>
        <w:t>[2010] EWHC 1632 (TCC)</w:t>
      </w:r>
      <w:r>
        <w:rPr>
          <w:rFonts w:ascii="Arial" w:hAnsi="Arial"/>
          <w:i/>
          <w:spacing w:val="-1"/>
          <w:sz w:val="20"/>
        </w:rPr>
        <w:t> </w:t>
      </w:r>
      <w:r>
        <w:rPr>
          <w:sz w:val="20"/>
        </w:rPr>
        <w:t>at </w:t>
      </w:r>
      <w:r>
        <w:rPr>
          <w:spacing w:val="-2"/>
          <w:sz w:val="20"/>
        </w:rPr>
        <w:t>[92]–[103].</w:t>
      </w:r>
    </w:p>
    <w:p>
      <w:pPr>
        <w:pStyle w:val="BodyText"/>
        <w:spacing w:before="9"/>
      </w:pPr>
    </w:p>
    <w:p>
      <w:pPr>
        <w:spacing w:line="235" w:lineRule="auto" w:before="0"/>
        <w:ind w:left="705" w:right="168" w:hanging="541"/>
        <w:jc w:val="both"/>
        <w:rPr>
          <w:sz w:val="20"/>
        </w:rPr>
      </w:pPr>
      <w:bookmarkStart w:name="_bookmark869" w:id="871"/>
      <w:bookmarkEnd w:id="871"/>
      <w:r>
        <w:rPr/>
      </w:r>
      <w:hyperlink w:history="true" w:anchor="_bookmark701">
        <w:r>
          <w:rPr>
            <w:color w:val="005DA1"/>
            <w:position w:val="5"/>
            <w:sz w:val="14"/>
            <w:u w:val="single" w:color="005DA1"/>
          </w:rPr>
          <w:t>419</w:t>
        </w:r>
      </w:hyperlink>
      <w:r>
        <w:rPr>
          <w:position w:val="5"/>
          <w:sz w:val="14"/>
        </w:rPr>
        <w:t>.</w:t>
      </w:r>
      <w:r>
        <w:rPr>
          <w:spacing w:val="80"/>
          <w:position w:val="5"/>
          <w:sz w:val="14"/>
        </w:rPr>
        <w:t> </w:t>
      </w:r>
      <w:r>
        <w:rPr>
          <w:rFonts w:ascii="Arial" w:hAnsi="Arial"/>
          <w:i/>
          <w:sz w:val="20"/>
        </w:rPr>
        <w:t>[2010] EWHC 1535 (Ch), [2010] C.I.L.L. 2908</w:t>
      </w:r>
      <w:r>
        <w:rPr>
          <w:sz w:val="20"/>
        </w:rPr>
        <w:t>. See also </w:t>
      </w:r>
      <w:r>
        <w:rPr>
          <w:rFonts w:ascii="Arial" w:hAnsi="Arial"/>
          <w:i/>
          <w:sz w:val="20"/>
        </w:rPr>
        <w:t>F &amp; C Investments (Holdings) Ltd </w:t>
      </w:r>
      <w:r>
        <w:rPr>
          <w:rFonts w:ascii="Arial" w:hAnsi="Arial"/>
          <w:i/>
          <w:sz w:val="20"/>
        </w:rPr>
        <w:t>v Barthelemy [2011] EWHC 1731 (Ch) </w:t>
      </w:r>
      <w:r>
        <w:rPr>
          <w:sz w:val="20"/>
        </w:rPr>
        <w:t>at [255]–[259] (clause in agreement setting up LLP that “[e]ach Member shall at all times show the utmost good faith to the LLP”).</w:t>
      </w:r>
    </w:p>
    <w:p>
      <w:pPr>
        <w:pStyle w:val="BodyText"/>
        <w:spacing w:before="5"/>
      </w:pPr>
    </w:p>
    <w:p>
      <w:pPr>
        <w:tabs>
          <w:tab w:pos="705" w:val="left" w:leader="none"/>
        </w:tabs>
        <w:spacing w:before="0"/>
        <w:ind w:left="165" w:right="0" w:firstLine="0"/>
        <w:jc w:val="left"/>
        <w:rPr>
          <w:sz w:val="20"/>
        </w:rPr>
      </w:pPr>
      <w:bookmarkStart w:name="_bookmark870" w:id="872"/>
      <w:bookmarkEnd w:id="872"/>
      <w:r>
        <w:rPr/>
      </w:r>
      <w:hyperlink w:history="true" w:anchor="_bookmark702">
        <w:r>
          <w:rPr>
            <w:color w:val="005DA1"/>
            <w:spacing w:val="-4"/>
            <w:position w:val="5"/>
            <w:sz w:val="14"/>
            <w:u w:val="single" w:color="005DA1"/>
          </w:rPr>
          <w:t>420</w:t>
        </w:r>
      </w:hyperlink>
      <w:r>
        <w:rPr>
          <w:spacing w:val="-4"/>
          <w:position w:val="5"/>
          <w:sz w:val="14"/>
        </w:rPr>
        <w:t>.</w:t>
      </w:r>
      <w:r>
        <w:rPr>
          <w:position w:val="5"/>
          <w:sz w:val="14"/>
        </w:rPr>
        <w:tab/>
      </w:r>
      <w:r>
        <w:rPr>
          <w:rFonts w:ascii="Arial"/>
          <w:i/>
          <w:sz w:val="20"/>
        </w:rPr>
        <w:t>[2010] EWHC 1535 (Ch)</w:t>
      </w:r>
      <w:r>
        <w:rPr>
          <w:rFonts w:ascii="Arial"/>
          <w:i/>
          <w:spacing w:val="-1"/>
          <w:sz w:val="20"/>
        </w:rPr>
        <w:t> </w:t>
      </w:r>
      <w:r>
        <w:rPr>
          <w:sz w:val="20"/>
        </w:rPr>
        <w:t>at </w:t>
      </w:r>
      <w:r>
        <w:rPr>
          <w:spacing w:val="-2"/>
          <w:sz w:val="20"/>
        </w:rPr>
        <w:t>[246].</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3664">
            <wp:simplePos x="0" y="0"/>
            <wp:positionH relativeFrom="page">
              <wp:posOffset>1257846</wp:posOffset>
            </wp:positionH>
            <wp:positionV relativeFrom="paragraph">
              <wp:posOffset>160333</wp:posOffset>
            </wp:positionV>
            <wp:extent cx="107988" cy="107988"/>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71" w:id="873"/>
      <w:bookmarkEnd w:id="873"/>
      <w:r>
        <w:rPr/>
      </w:r>
      <w:hyperlink w:history="true" w:anchor="_bookmark703">
        <w:r>
          <w:rPr>
            <w:color w:val="005DA1"/>
            <w:spacing w:val="-4"/>
            <w:sz w:val="14"/>
            <w:u w:val="single" w:color="005DA1"/>
          </w:rPr>
          <w:t>421</w:t>
        </w:r>
      </w:hyperlink>
      <w:r>
        <w:rPr>
          <w:spacing w:val="-4"/>
          <w:sz w:val="14"/>
        </w:rPr>
        <w:t>.</w:t>
      </w:r>
    </w:p>
    <w:p>
      <w:pPr>
        <w:spacing w:line="235" w:lineRule="auto" w:before="212"/>
        <w:ind w:left="165" w:right="168" w:firstLine="170"/>
        <w:jc w:val="both"/>
        <w:rPr>
          <w:sz w:val="20"/>
        </w:rPr>
      </w:pPr>
      <w:r>
        <w:rPr/>
        <w:br w:type="column"/>
      </w:r>
      <w:r>
        <w:rPr>
          <w:rFonts w:ascii="Arial" w:hAnsi="Arial"/>
          <w:i/>
          <w:sz w:val="20"/>
        </w:rPr>
        <w:t>[2010] EWHC 1535 (Ch) </w:t>
      </w:r>
      <w:r>
        <w:rPr>
          <w:sz w:val="20"/>
        </w:rPr>
        <w:t>at [246], quoting Lord Scott in </w:t>
      </w:r>
      <w:r>
        <w:rPr>
          <w:rFonts w:ascii="Arial" w:hAnsi="Arial"/>
          <w:i/>
          <w:sz w:val="20"/>
        </w:rPr>
        <w:t>Manifest Shipping Co v Uni-</w:t>
      </w:r>
      <w:r>
        <w:rPr>
          <w:rFonts w:ascii="Arial" w:hAnsi="Arial"/>
          <w:i/>
          <w:sz w:val="20"/>
        </w:rPr>
        <w:t>Polaris Shipping Co [2003] 1 A.C. 469 </w:t>
      </w:r>
      <w:r>
        <w:rPr>
          <w:sz w:val="20"/>
        </w:rPr>
        <w:t>at [111] (which concerned the obligation of utmost good faith in s.17</w:t>
      </w:r>
      <w:r>
        <w:rPr>
          <w:spacing w:val="-3"/>
          <w:sz w:val="20"/>
        </w:rPr>
        <w:t> </w:t>
      </w:r>
      <w:r>
        <w:rPr>
          <w:sz w:val="20"/>
        </w:rPr>
        <w:t>of</w:t>
      </w:r>
      <w:r>
        <w:rPr>
          <w:spacing w:val="-3"/>
          <w:sz w:val="20"/>
        </w:rPr>
        <w:t> </w:t>
      </w:r>
      <w:r>
        <w:rPr>
          <w:sz w:val="20"/>
        </w:rPr>
        <w:t>the</w:t>
      </w:r>
      <w:r>
        <w:rPr>
          <w:spacing w:val="-3"/>
          <w:sz w:val="20"/>
        </w:rPr>
        <w:t> </w:t>
      </w:r>
      <w:r>
        <w:rPr>
          <w:sz w:val="20"/>
        </w:rPr>
        <w:t>Marine</w:t>
      </w:r>
      <w:r>
        <w:rPr>
          <w:spacing w:val="-3"/>
          <w:sz w:val="20"/>
        </w:rPr>
        <w:t> </w:t>
      </w:r>
      <w:r>
        <w:rPr>
          <w:sz w:val="20"/>
        </w:rPr>
        <w:t>Insurance</w:t>
      </w:r>
      <w:r>
        <w:rPr>
          <w:spacing w:val="-3"/>
          <w:sz w:val="20"/>
        </w:rPr>
        <w:t> </w:t>
      </w:r>
      <w:r>
        <w:rPr>
          <w:sz w:val="20"/>
        </w:rPr>
        <w:t>Act</w:t>
      </w:r>
      <w:r>
        <w:rPr>
          <w:spacing w:val="-3"/>
          <w:sz w:val="20"/>
        </w:rPr>
        <w:t> </w:t>
      </w:r>
      <w:r>
        <w:rPr>
          <w:sz w:val="20"/>
        </w:rPr>
        <w:t>1906).</w:t>
      </w:r>
      <w:r>
        <w:rPr>
          <w:spacing w:val="-3"/>
          <w:sz w:val="20"/>
        </w:rPr>
        <w:t> </w:t>
      </w:r>
      <w:r>
        <w:rPr>
          <w:sz w:val="20"/>
        </w:rPr>
        <w:t>See</w:t>
      </w:r>
      <w:r>
        <w:rPr>
          <w:spacing w:val="-3"/>
          <w:sz w:val="20"/>
        </w:rPr>
        <w:t> </w:t>
      </w:r>
      <w:r>
        <w:rPr>
          <w:sz w:val="20"/>
        </w:rPr>
        <w:t>also</w:t>
      </w:r>
      <w:r>
        <w:rPr>
          <w:spacing w:val="-4"/>
          <w:sz w:val="20"/>
        </w:rPr>
        <w:t> </w:t>
      </w:r>
      <w:r>
        <w:rPr>
          <w:rFonts w:ascii="Arial" w:hAnsi="Arial"/>
          <w:i/>
          <w:sz w:val="20"/>
        </w:rPr>
        <w:t>BP</w:t>
      </w:r>
      <w:r>
        <w:rPr>
          <w:rFonts w:ascii="Arial" w:hAnsi="Arial"/>
          <w:i/>
          <w:spacing w:val="-3"/>
          <w:sz w:val="20"/>
        </w:rPr>
        <w:t> </w:t>
      </w:r>
      <w:r>
        <w:rPr>
          <w:rFonts w:ascii="Arial" w:hAnsi="Arial"/>
          <w:i/>
          <w:sz w:val="20"/>
        </w:rPr>
        <w:t>Gas</w:t>
      </w:r>
      <w:r>
        <w:rPr>
          <w:rFonts w:ascii="Arial" w:hAnsi="Arial"/>
          <w:i/>
          <w:spacing w:val="-3"/>
          <w:sz w:val="20"/>
        </w:rPr>
        <w:t> </w:t>
      </w:r>
      <w:r>
        <w:rPr>
          <w:rFonts w:ascii="Arial" w:hAnsi="Arial"/>
          <w:i/>
          <w:sz w:val="20"/>
        </w:rPr>
        <w:t>Marketing</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La</w:t>
      </w:r>
      <w:r>
        <w:rPr>
          <w:rFonts w:ascii="Arial" w:hAnsi="Arial"/>
          <w:i/>
          <w:spacing w:val="-3"/>
          <w:sz w:val="20"/>
        </w:rPr>
        <w:t> </w:t>
      </w:r>
      <w:r>
        <w:rPr>
          <w:rFonts w:ascii="Arial" w:hAnsi="Arial"/>
          <w:i/>
          <w:sz w:val="20"/>
        </w:rPr>
        <w:t>Societe</w:t>
      </w:r>
      <w:r>
        <w:rPr>
          <w:rFonts w:ascii="Arial" w:hAnsi="Arial"/>
          <w:i/>
          <w:spacing w:val="-3"/>
          <w:sz w:val="20"/>
        </w:rPr>
        <w:t> </w:t>
      </w:r>
      <w:r>
        <w:rPr>
          <w:rFonts w:ascii="Arial" w:hAnsi="Arial"/>
          <w:i/>
          <w:sz w:val="20"/>
        </w:rPr>
        <w:t>Sonatrach [2016] EWHC 2461 (Comm), 169 Con. L.R. 141 </w:t>
      </w:r>
      <w:r>
        <w:rPr>
          <w:sz w:val="20"/>
        </w:rPr>
        <w:t>at [379]–[382].</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872" w:id="874"/>
      <w:bookmarkEnd w:id="874"/>
      <w:r>
        <w:rPr/>
      </w:r>
      <w:hyperlink w:history="true" w:anchor="_bookmark704">
        <w:r>
          <w:rPr>
            <w:color w:val="005DA1"/>
            <w:spacing w:val="-4"/>
            <w:position w:val="5"/>
            <w:sz w:val="14"/>
            <w:u w:val="single" w:color="005DA1"/>
          </w:rPr>
          <w:t>422</w:t>
        </w:r>
      </w:hyperlink>
      <w:r>
        <w:rPr>
          <w:spacing w:val="-4"/>
          <w:position w:val="5"/>
          <w:sz w:val="14"/>
        </w:rPr>
        <w:t>.</w:t>
      </w:r>
      <w:r>
        <w:rPr>
          <w:position w:val="5"/>
          <w:sz w:val="14"/>
        </w:rPr>
        <w:tab/>
      </w:r>
      <w:r>
        <w:rPr>
          <w:rFonts w:ascii="Arial"/>
          <w:i/>
          <w:sz w:val="20"/>
        </w:rPr>
        <w:t>[2010] EWHC 1535 (Ch)</w:t>
      </w:r>
      <w:r>
        <w:rPr>
          <w:rFonts w:ascii="Arial"/>
          <w:i/>
          <w:spacing w:val="-1"/>
          <w:sz w:val="20"/>
        </w:rPr>
        <w:t> </w:t>
      </w:r>
      <w:r>
        <w:rPr>
          <w:sz w:val="20"/>
        </w:rPr>
        <w:t>at </w:t>
      </w:r>
      <w:r>
        <w:rPr>
          <w:spacing w:val="-2"/>
          <w:sz w:val="20"/>
        </w:rPr>
        <w:t>[277].</w:t>
      </w:r>
    </w:p>
    <w:p>
      <w:pPr>
        <w:pStyle w:val="BodyText"/>
        <w:spacing w:before="8"/>
      </w:pPr>
    </w:p>
    <w:p>
      <w:pPr>
        <w:spacing w:line="235" w:lineRule="auto" w:before="0"/>
        <w:ind w:left="705" w:right="167" w:hanging="541"/>
        <w:jc w:val="both"/>
        <w:rPr>
          <w:sz w:val="20"/>
        </w:rPr>
      </w:pPr>
      <w:bookmarkStart w:name="_bookmark873" w:id="875"/>
      <w:bookmarkEnd w:id="875"/>
      <w:r>
        <w:rPr/>
      </w:r>
      <w:hyperlink w:history="true" w:anchor="_bookmark705">
        <w:r>
          <w:rPr>
            <w:color w:val="005DA1"/>
            <w:position w:val="5"/>
            <w:sz w:val="14"/>
            <w:u w:val="single" w:color="005DA1"/>
          </w:rPr>
          <w:t>423</w:t>
        </w:r>
      </w:hyperlink>
      <w:r>
        <w:rPr>
          <w:position w:val="5"/>
          <w:sz w:val="14"/>
        </w:rPr>
        <w:t>.</w:t>
      </w:r>
      <w:r>
        <w:rPr>
          <w:spacing w:val="40"/>
          <w:position w:val="5"/>
          <w:sz w:val="14"/>
        </w:rPr>
        <w:t>  </w:t>
      </w:r>
      <w:r>
        <w:rPr>
          <w:rFonts w:ascii="Arial" w:hAnsi="Arial"/>
          <w:i/>
          <w:sz w:val="20"/>
        </w:rPr>
        <w:t>[2013] EWCA Civ 200, [2013] B.L.R. 265</w:t>
      </w:r>
      <w:r>
        <w:rPr>
          <w:sz w:val="20"/>
        </w:rPr>
        <w:t>. See similarly </w:t>
      </w:r>
      <w:r>
        <w:rPr>
          <w:rFonts w:ascii="Arial" w:hAnsi="Arial"/>
          <w:i/>
          <w:sz w:val="20"/>
        </w:rPr>
        <w:t>TSG Building Services Plc v South</w:t>
      </w:r>
      <w:r>
        <w:rPr>
          <w:rFonts w:ascii="Arial" w:hAnsi="Arial"/>
          <w:i/>
          <w:spacing w:val="40"/>
          <w:sz w:val="20"/>
        </w:rPr>
        <w:t> </w:t>
      </w:r>
      <w:r>
        <w:rPr>
          <w:rFonts w:ascii="Arial" w:hAnsi="Arial"/>
          <w:i/>
          <w:sz w:val="20"/>
        </w:rPr>
        <w:t>Anglia Housing Ltd [2013] EWHC 1151 </w:t>
      </w:r>
      <w:r>
        <w:rPr>
          <w:sz w:val="20"/>
        </w:rPr>
        <w:t>(TCC) especially at [42] (express duty to act reasonably in all matters governed by the contract held on its proper construction in the context not to constrain the exercise of an apparently unfettered express right to terminate in one of </w:t>
      </w:r>
      <w:r>
        <w:rPr>
          <w:sz w:val="20"/>
        </w:rPr>
        <w:t>the parties). In </w:t>
      </w:r>
      <w:r>
        <w:rPr>
          <w:rFonts w:ascii="Arial" w:hAnsi="Arial"/>
          <w:i/>
          <w:sz w:val="20"/>
        </w:rPr>
        <w:t>Barclays Bank Plc v Unicredit Bank AG [2014] EWCA Civ 302, [2014] Bus. L.R. D15 </w:t>
      </w:r>
      <w:r>
        <w:rPr>
          <w:sz w:val="20"/>
        </w:rPr>
        <w:t>at [15], [16] a contract of guarantee contained an express power of termination subject to the consent of the guarantor, “such consent to be determined by the Guarantor in a commercially reasonable manner”. This was held to require that the manner of the determination, rather than its outcome, had to be commercially reasonable and that, while it was intended to impose a control on the determination, the guarantor was entitled to have primary regard to his own commercial interests. cf. </w:t>
      </w:r>
      <w:r>
        <w:rPr>
          <w:rFonts w:ascii="Arial" w:hAnsi="Arial"/>
          <w:i/>
          <w:sz w:val="20"/>
        </w:rPr>
        <w:t>Fujitsu Services Ltd v IBM United Kingdom Ltd [2014] EWHC 752 (TCC), 153 Con. L.R. 203 </w:t>
      </w:r>
      <w:r>
        <w:rPr>
          <w:sz w:val="20"/>
        </w:rPr>
        <w:t>at [152] where it was observed that, in a detailed contract, “clear words”</w:t>
      </w:r>
      <w:r>
        <w:rPr>
          <w:spacing w:val="-2"/>
          <w:sz w:val="20"/>
        </w:rPr>
        <w:t> </w:t>
      </w:r>
      <w:r>
        <w:rPr>
          <w:sz w:val="20"/>
        </w:rPr>
        <w:t>would</w:t>
      </w:r>
      <w:r>
        <w:rPr>
          <w:spacing w:val="-2"/>
          <w:sz w:val="20"/>
        </w:rPr>
        <w:t> </w:t>
      </w:r>
      <w:r>
        <w:rPr>
          <w:sz w:val="20"/>
        </w:rPr>
        <w:t>be</w:t>
      </w:r>
      <w:r>
        <w:rPr>
          <w:spacing w:val="-2"/>
          <w:sz w:val="20"/>
        </w:rPr>
        <w:t> </w:t>
      </w:r>
      <w:r>
        <w:rPr>
          <w:sz w:val="20"/>
        </w:rPr>
        <w:t>expected</w:t>
      </w:r>
      <w:r>
        <w:rPr>
          <w:spacing w:val="-2"/>
          <w:sz w:val="20"/>
        </w:rPr>
        <w:t> </w:t>
      </w:r>
      <w:r>
        <w:rPr>
          <w:sz w:val="20"/>
        </w:rPr>
        <w:t>for</w:t>
      </w:r>
      <w:r>
        <w:rPr>
          <w:spacing w:val="-2"/>
          <w:sz w:val="20"/>
        </w:rPr>
        <w:t> </w:t>
      </w:r>
      <w:r>
        <w:rPr>
          <w:sz w:val="20"/>
        </w:rPr>
        <w:t>there</w:t>
      </w:r>
      <w:r>
        <w:rPr>
          <w:spacing w:val="-2"/>
          <w:sz w:val="20"/>
        </w:rPr>
        <w:t> </w:t>
      </w:r>
      <w:r>
        <w:rPr>
          <w:sz w:val="20"/>
        </w:rPr>
        <w:t>to</w:t>
      </w:r>
      <w:r>
        <w:rPr>
          <w:spacing w:val="-2"/>
          <w:sz w:val="20"/>
        </w:rPr>
        <w:t> </w:t>
      </w:r>
      <w:r>
        <w:rPr>
          <w:sz w:val="20"/>
        </w:rPr>
        <w:t>be</w:t>
      </w:r>
      <w:r>
        <w:rPr>
          <w:spacing w:val="-2"/>
          <w:sz w:val="20"/>
        </w:rPr>
        <w:t> </w:t>
      </w:r>
      <w:r>
        <w:rPr>
          <w:sz w:val="20"/>
        </w:rPr>
        <w:t>an</w:t>
      </w:r>
      <w:r>
        <w:rPr>
          <w:spacing w:val="-2"/>
          <w:sz w:val="20"/>
        </w:rPr>
        <w:t> </w:t>
      </w:r>
      <w:r>
        <w:rPr>
          <w:sz w:val="20"/>
        </w:rPr>
        <w:t>express</w:t>
      </w:r>
      <w:r>
        <w:rPr>
          <w:spacing w:val="-2"/>
          <w:sz w:val="20"/>
        </w:rPr>
        <w:t> </w:t>
      </w:r>
      <w:r>
        <w:rPr>
          <w:sz w:val="20"/>
        </w:rPr>
        <w:t>duty</w:t>
      </w:r>
      <w:r>
        <w:rPr>
          <w:spacing w:val="-2"/>
          <w:sz w:val="20"/>
        </w:rPr>
        <w:t> </w:t>
      </w:r>
      <w:r>
        <w:rPr>
          <w:sz w:val="20"/>
        </w:rPr>
        <w:t>of</w:t>
      </w:r>
      <w:r>
        <w:rPr>
          <w:spacing w:val="-2"/>
          <w:sz w:val="20"/>
        </w:rPr>
        <w:t> </w:t>
      </w:r>
      <w:r>
        <w:rPr>
          <w:sz w:val="20"/>
        </w:rPr>
        <w:t>good</w:t>
      </w:r>
      <w:r>
        <w:rPr>
          <w:spacing w:val="-2"/>
          <w:sz w:val="20"/>
        </w:rPr>
        <w:t> </w:t>
      </w:r>
      <w:r>
        <w:rPr>
          <w:sz w:val="20"/>
        </w:rPr>
        <w:t>faith.</w:t>
      </w:r>
      <w:r>
        <w:rPr>
          <w:spacing w:val="-2"/>
          <w:sz w:val="20"/>
        </w:rPr>
        <w:t> </w:t>
      </w:r>
      <w:r>
        <w:rPr>
          <w:sz w:val="20"/>
        </w:rPr>
        <w:t>For</w:t>
      </w:r>
      <w:r>
        <w:rPr>
          <w:spacing w:val="-2"/>
          <w:sz w:val="20"/>
        </w:rPr>
        <w:t> </w:t>
      </w:r>
      <w:r>
        <w:rPr>
          <w:sz w:val="20"/>
        </w:rPr>
        <w:t>the</w:t>
      </w:r>
      <w:r>
        <w:rPr>
          <w:spacing w:val="-2"/>
          <w:sz w:val="20"/>
        </w:rPr>
        <w:t> </w:t>
      </w:r>
      <w:r>
        <w:rPr>
          <w:sz w:val="20"/>
        </w:rPr>
        <w:t>CA’s</w:t>
      </w:r>
      <w:r>
        <w:rPr>
          <w:spacing w:val="-2"/>
          <w:sz w:val="20"/>
        </w:rPr>
        <w:t> </w:t>
      </w:r>
      <w:r>
        <w:rPr>
          <w:sz w:val="20"/>
        </w:rPr>
        <w:t>decision</w:t>
      </w:r>
      <w:r>
        <w:rPr>
          <w:spacing w:val="-2"/>
          <w:sz w:val="20"/>
        </w:rPr>
        <w:t> </w:t>
      </w:r>
      <w:r>
        <w:rPr>
          <w:sz w:val="20"/>
        </w:rPr>
        <w:t>in the </w:t>
      </w:r>
      <w:r>
        <w:rPr>
          <w:rFonts w:ascii="Arial" w:hAnsi="Arial"/>
          <w:i/>
          <w:sz w:val="20"/>
        </w:rPr>
        <w:t>Mid Essex Hospital Services </w:t>
      </w:r>
      <w:r>
        <w:rPr>
          <w:sz w:val="20"/>
        </w:rPr>
        <w:t>case on an alleged implied term not to act “in an arbitrary, capricious or irrational manner” under an express term, see para.1-053, below.</w:t>
      </w:r>
    </w:p>
    <w:p>
      <w:pPr>
        <w:pStyle w:val="BodyText"/>
        <w:spacing w:before="1"/>
      </w:pPr>
    </w:p>
    <w:p>
      <w:pPr>
        <w:tabs>
          <w:tab w:pos="705" w:val="left" w:leader="none"/>
        </w:tabs>
        <w:spacing w:before="0"/>
        <w:ind w:left="165" w:right="0" w:firstLine="0"/>
        <w:jc w:val="left"/>
        <w:rPr>
          <w:sz w:val="20"/>
        </w:rPr>
      </w:pPr>
      <w:bookmarkStart w:name="_bookmark874" w:id="876"/>
      <w:bookmarkEnd w:id="876"/>
      <w:r>
        <w:rPr/>
      </w:r>
      <w:hyperlink w:history="true" w:anchor="_bookmark706">
        <w:r>
          <w:rPr>
            <w:color w:val="005DA1"/>
            <w:spacing w:val="-4"/>
            <w:position w:val="5"/>
            <w:sz w:val="14"/>
            <w:u w:val="single" w:color="005DA1"/>
          </w:rPr>
          <w:t>424</w:t>
        </w:r>
      </w:hyperlink>
      <w:r>
        <w:rPr>
          <w:spacing w:val="-4"/>
          <w:position w:val="5"/>
          <w:sz w:val="14"/>
        </w:rPr>
        <w:t>.</w:t>
      </w:r>
      <w:r>
        <w:rPr>
          <w:position w:val="5"/>
          <w:sz w:val="14"/>
        </w:rPr>
        <w:tab/>
      </w:r>
      <w:r>
        <w:rPr>
          <w:rFonts w:ascii="Arial"/>
          <w:i/>
          <w:sz w:val="20"/>
        </w:rPr>
        <w:t>[2013] EWCA Civ 200</w:t>
      </w:r>
      <w:r>
        <w:rPr>
          <w:rFonts w:ascii="Arial"/>
          <w:i/>
          <w:spacing w:val="-1"/>
          <w:sz w:val="20"/>
        </w:rPr>
        <w:t> </w:t>
      </w:r>
      <w:r>
        <w:rPr>
          <w:sz w:val="20"/>
        </w:rPr>
        <w:t>at [99]-[101], Jackson L.J. reporting the decision of Cranston </w:t>
      </w:r>
      <w:r>
        <w:rPr>
          <w:spacing w:val="-5"/>
          <w:sz w:val="20"/>
        </w:rPr>
        <w:t>J.</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4176">
            <wp:simplePos x="0" y="0"/>
            <wp:positionH relativeFrom="page">
              <wp:posOffset>1257846</wp:posOffset>
            </wp:positionH>
            <wp:positionV relativeFrom="paragraph">
              <wp:posOffset>160252</wp:posOffset>
            </wp:positionV>
            <wp:extent cx="107988" cy="107988"/>
            <wp:effectExtent l="0" t="0" r="0" b="0"/>
            <wp:wrapNone/>
            <wp:docPr id="287" name="Image 287"/>
            <wp:cNvGraphicFramePr>
              <a:graphicFrameLocks/>
            </wp:cNvGraphicFramePr>
            <a:graphic>
              <a:graphicData uri="http://schemas.openxmlformats.org/drawingml/2006/picture">
                <pic:pic>
                  <pic:nvPicPr>
                    <pic:cNvPr id="287" name="Image 28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75" w:id="877"/>
      <w:bookmarkEnd w:id="877"/>
      <w:r>
        <w:rPr/>
      </w:r>
      <w:hyperlink w:history="true" w:anchor="_bookmark707">
        <w:r>
          <w:rPr>
            <w:color w:val="005DA1"/>
            <w:spacing w:val="-4"/>
            <w:sz w:val="14"/>
            <w:u w:val="single" w:color="005DA1"/>
          </w:rPr>
          <w:t>425</w:t>
        </w:r>
      </w:hyperlink>
      <w:r>
        <w:rPr>
          <w:spacing w:val="-4"/>
          <w:sz w:val="14"/>
        </w:rPr>
        <w:t>.</w:t>
      </w:r>
    </w:p>
    <w:p>
      <w:pPr>
        <w:pStyle w:val="BodyText"/>
        <w:spacing w:line="235" w:lineRule="auto" w:before="212"/>
        <w:ind w:left="165" w:right="167" w:firstLine="170"/>
        <w:jc w:val="both"/>
      </w:pPr>
      <w:r>
        <w:rPr/>
        <w:br w:type="column"/>
      </w:r>
      <w:r>
        <w:rPr>
          <w:rFonts w:ascii="Arial" w:hAnsi="Arial"/>
          <w:i/>
        </w:rPr>
        <w:t>[2013] EWCA Civ 200 </w:t>
      </w:r>
      <w:r>
        <w:rPr/>
        <w:t>at [106] per Jackson L.J., with whom Lewison and Beatson L.JJ. agreed. See similarly </w:t>
      </w:r>
      <w:r>
        <w:rPr>
          <w:rFonts w:ascii="Arial" w:hAnsi="Arial"/>
          <w:i/>
        </w:rPr>
        <w:t>Portsmouth City Council v Ensign Highways Ltd [2015] EWHC </w:t>
      </w:r>
      <w:r>
        <w:rPr>
          <w:rFonts w:ascii="Arial" w:hAnsi="Arial"/>
          <w:i/>
        </w:rPr>
        <w:t>1969 (TCC) </w:t>
      </w:r>
      <w:r>
        <w:rPr/>
        <w:t>at [92]–[96]. However, the HC accepted (at [110]-[112]) that the exercise of a party’s decision-making power under the contract which affected the other party’s rights was subject to an</w:t>
      </w:r>
      <w:r>
        <w:rPr>
          <w:spacing w:val="-1"/>
        </w:rPr>
        <w:t> </w:t>
      </w:r>
      <w:r>
        <w:rPr/>
        <w:t>implied</w:t>
      </w:r>
      <w:r>
        <w:rPr>
          <w:spacing w:val="-1"/>
        </w:rPr>
        <w:t> </w:t>
      </w:r>
      <w:r>
        <w:rPr/>
        <w:t>term</w:t>
      </w:r>
      <w:r>
        <w:rPr>
          <w:spacing w:val="-1"/>
        </w:rPr>
        <w:t> </w:t>
      </w:r>
      <w:r>
        <w:rPr/>
        <w:t>that</w:t>
      </w:r>
      <w:r>
        <w:rPr>
          <w:spacing w:val="-1"/>
        </w:rPr>
        <w:t> </w:t>
      </w:r>
      <w:r>
        <w:rPr/>
        <w:t>it</w:t>
      </w:r>
      <w:r>
        <w:rPr>
          <w:spacing w:val="-1"/>
        </w:rPr>
        <w:t> </w:t>
      </w:r>
      <w:r>
        <w:rPr/>
        <w:t>would</w:t>
      </w:r>
      <w:r>
        <w:rPr>
          <w:spacing w:val="-1"/>
        </w:rPr>
        <w:t> </w:t>
      </w:r>
      <w:r>
        <w:rPr/>
        <w:t>be</w:t>
      </w:r>
      <w:r>
        <w:rPr>
          <w:spacing w:val="-1"/>
        </w:rPr>
        <w:t> </w:t>
      </w:r>
      <w:r>
        <w:rPr/>
        <w:t>exercised</w:t>
      </w:r>
      <w:r>
        <w:rPr>
          <w:spacing w:val="-1"/>
        </w:rPr>
        <w:t> </w:t>
      </w:r>
      <w:r>
        <w:rPr/>
        <w:t>honestly,</w:t>
      </w:r>
      <w:r>
        <w:rPr>
          <w:spacing w:val="-1"/>
        </w:rPr>
        <w:t> </w:t>
      </w:r>
      <w:r>
        <w:rPr/>
        <w:t>on</w:t>
      </w:r>
      <w:r>
        <w:rPr>
          <w:spacing w:val="-1"/>
        </w:rPr>
        <w:t> </w:t>
      </w:r>
      <w:r>
        <w:rPr/>
        <w:t>proper</w:t>
      </w:r>
      <w:r>
        <w:rPr>
          <w:spacing w:val="-1"/>
        </w:rPr>
        <w:t> </w:t>
      </w:r>
      <w:r>
        <w:rPr/>
        <w:t>grounds</w:t>
      </w:r>
      <w:r>
        <w:rPr>
          <w:spacing w:val="-1"/>
        </w:rPr>
        <w:t> </w:t>
      </w:r>
      <w:r>
        <w:rPr/>
        <w:t>and</w:t>
      </w:r>
      <w:r>
        <w:rPr>
          <w:spacing w:val="-1"/>
        </w:rPr>
        <w:t> </w:t>
      </w:r>
      <w:r>
        <w:rPr/>
        <w:t>not</w:t>
      </w:r>
      <w:r>
        <w:rPr>
          <w:spacing w:val="-1"/>
        </w:rPr>
        <w:t> </w:t>
      </w:r>
      <w:r>
        <w:rPr/>
        <w:t>in</w:t>
      </w:r>
      <w:r>
        <w:rPr>
          <w:spacing w:val="-1"/>
        </w:rPr>
        <w:t> </w:t>
      </w:r>
      <w:r>
        <w:rPr/>
        <w:t>a</w:t>
      </w:r>
      <w:r>
        <w:rPr>
          <w:spacing w:val="-1"/>
        </w:rPr>
        <w:t> </w:t>
      </w:r>
      <w:r>
        <w:rPr/>
        <w:t>manner</w:t>
      </w:r>
      <w:r>
        <w:rPr>
          <w:spacing w:val="-1"/>
        </w:rPr>
        <w:t> </w:t>
      </w:r>
      <w:r>
        <w:rPr/>
        <w:t>that is arbitrary, irrational or capricious, on which cf. below, paras 1-054—1-054A. See also </w:t>
      </w:r>
      <w:r>
        <w:rPr>
          <w:rFonts w:ascii="Arial" w:hAnsi="Arial"/>
          <w:i/>
        </w:rPr>
        <w:t>BP Gas Marketing</w:t>
      </w:r>
      <w:r>
        <w:rPr>
          <w:rFonts w:ascii="Arial" w:hAnsi="Arial"/>
          <w:i/>
          <w:spacing w:val="-1"/>
        </w:rPr>
        <w:t> </w:t>
      </w:r>
      <w:r>
        <w:rPr>
          <w:rFonts w:ascii="Arial" w:hAnsi="Arial"/>
          <w:i/>
        </w:rPr>
        <w:t>Ltd</w:t>
      </w:r>
      <w:r>
        <w:rPr>
          <w:rFonts w:ascii="Arial" w:hAnsi="Arial"/>
          <w:i/>
          <w:spacing w:val="-1"/>
        </w:rPr>
        <w:t> </w:t>
      </w:r>
      <w:r>
        <w:rPr>
          <w:rFonts w:ascii="Arial" w:hAnsi="Arial"/>
          <w:i/>
        </w:rPr>
        <w:t>v</w:t>
      </w:r>
      <w:r>
        <w:rPr>
          <w:rFonts w:ascii="Arial" w:hAnsi="Arial"/>
          <w:i/>
          <w:spacing w:val="-1"/>
        </w:rPr>
        <w:t> </w:t>
      </w:r>
      <w:r>
        <w:rPr>
          <w:rFonts w:ascii="Arial" w:hAnsi="Arial"/>
          <w:i/>
        </w:rPr>
        <w:t>La</w:t>
      </w:r>
      <w:r>
        <w:rPr>
          <w:rFonts w:ascii="Arial" w:hAnsi="Arial"/>
          <w:i/>
          <w:spacing w:val="-1"/>
        </w:rPr>
        <w:t> </w:t>
      </w:r>
      <w:r>
        <w:rPr>
          <w:rFonts w:ascii="Arial" w:hAnsi="Arial"/>
          <w:i/>
        </w:rPr>
        <w:t>Societe</w:t>
      </w:r>
      <w:r>
        <w:rPr>
          <w:rFonts w:ascii="Arial" w:hAnsi="Arial"/>
          <w:i/>
          <w:spacing w:val="-1"/>
        </w:rPr>
        <w:t> </w:t>
      </w:r>
      <w:r>
        <w:rPr>
          <w:rFonts w:ascii="Arial" w:hAnsi="Arial"/>
          <w:i/>
        </w:rPr>
        <w:t>Sonatrach</w:t>
      </w:r>
      <w:r>
        <w:rPr>
          <w:rFonts w:ascii="Arial" w:hAnsi="Arial"/>
          <w:i/>
          <w:spacing w:val="-1"/>
        </w:rPr>
        <w:t> </w:t>
      </w:r>
      <w:r>
        <w:rPr>
          <w:rFonts w:ascii="Arial" w:hAnsi="Arial"/>
          <w:i/>
        </w:rPr>
        <w:t>[2016]</w:t>
      </w:r>
      <w:r>
        <w:rPr>
          <w:rFonts w:ascii="Arial" w:hAnsi="Arial"/>
          <w:i/>
          <w:spacing w:val="-1"/>
        </w:rPr>
        <w:t> </w:t>
      </w:r>
      <w:r>
        <w:rPr>
          <w:rFonts w:ascii="Arial" w:hAnsi="Arial"/>
          <w:i/>
        </w:rPr>
        <w:t>EWHC</w:t>
      </w:r>
      <w:r>
        <w:rPr>
          <w:rFonts w:ascii="Arial" w:hAnsi="Arial"/>
          <w:i/>
          <w:spacing w:val="-1"/>
        </w:rPr>
        <w:t> </w:t>
      </w:r>
      <w:r>
        <w:rPr>
          <w:rFonts w:ascii="Arial" w:hAnsi="Arial"/>
          <w:i/>
        </w:rPr>
        <w:t>2461</w:t>
      </w:r>
      <w:r>
        <w:rPr>
          <w:rFonts w:ascii="Arial" w:hAnsi="Arial"/>
          <w:i/>
          <w:spacing w:val="-1"/>
        </w:rPr>
        <w:t> </w:t>
      </w:r>
      <w:r>
        <w:rPr>
          <w:rFonts w:ascii="Arial" w:hAnsi="Arial"/>
          <w:i/>
        </w:rPr>
        <w:t>(Comm),</w:t>
      </w:r>
      <w:r>
        <w:rPr>
          <w:rFonts w:ascii="Arial" w:hAnsi="Arial"/>
          <w:i/>
          <w:spacing w:val="-1"/>
        </w:rPr>
        <w:t> </w:t>
      </w:r>
      <w:r>
        <w:rPr>
          <w:rFonts w:ascii="Arial" w:hAnsi="Arial"/>
          <w:i/>
        </w:rPr>
        <w:t>169</w:t>
      </w:r>
      <w:r>
        <w:rPr>
          <w:rFonts w:ascii="Arial" w:hAnsi="Arial"/>
          <w:i/>
          <w:spacing w:val="-1"/>
        </w:rPr>
        <w:t> </w:t>
      </w:r>
      <w:r>
        <w:rPr>
          <w:rFonts w:ascii="Arial" w:hAnsi="Arial"/>
          <w:i/>
        </w:rPr>
        <w:t>Con.</w:t>
      </w:r>
      <w:r>
        <w:rPr>
          <w:rFonts w:ascii="Arial" w:hAnsi="Arial"/>
          <w:i/>
          <w:spacing w:val="-1"/>
        </w:rPr>
        <w:t> </w:t>
      </w:r>
      <w:r>
        <w:rPr>
          <w:rFonts w:ascii="Arial" w:hAnsi="Arial"/>
          <w:i/>
        </w:rPr>
        <w:t>L.R.</w:t>
      </w:r>
      <w:r>
        <w:rPr>
          <w:rFonts w:ascii="Arial" w:hAnsi="Arial"/>
          <w:i/>
          <w:spacing w:val="-1"/>
        </w:rPr>
        <w:t> </w:t>
      </w:r>
      <w:r>
        <w:rPr>
          <w:rFonts w:ascii="Arial" w:hAnsi="Arial"/>
          <w:i/>
        </w:rPr>
        <w:t>141</w:t>
      </w:r>
      <w:r>
        <w:rPr>
          <w:rFonts w:ascii="Arial" w:hAnsi="Arial"/>
          <w:i/>
          <w:spacing w:val="-2"/>
        </w:rPr>
        <w:t> </w:t>
      </w:r>
      <w:r>
        <w:rPr/>
        <w:t>(express term requiring one party to act in good faith while performing its contractual obligations requires other party to prove the identification of one or more such obligations and their breach by not acting in good faith in a particular way at a particular time or times; there was no “freestanding obligation</w:t>
      </w:r>
      <w:r>
        <w:rPr>
          <w:spacing w:val="15"/>
        </w:rPr>
        <w:t> </w:t>
      </w:r>
      <w:r>
        <w:rPr/>
        <w:t>of</w:t>
      </w:r>
      <w:r>
        <w:rPr>
          <w:spacing w:val="15"/>
        </w:rPr>
        <w:t> </w:t>
      </w:r>
      <w:r>
        <w:rPr/>
        <w:t>good</w:t>
      </w:r>
      <w:r>
        <w:rPr>
          <w:spacing w:val="15"/>
        </w:rPr>
        <w:t> </w:t>
      </w:r>
      <w:r>
        <w:rPr/>
        <w:t>faith”</w:t>
      </w:r>
      <w:r>
        <w:rPr>
          <w:spacing w:val="15"/>
        </w:rPr>
        <w:t> </w:t>
      </w:r>
      <w:r>
        <w:rPr/>
        <w:t>(at</w:t>
      </w:r>
      <w:r>
        <w:rPr>
          <w:spacing w:val="15"/>
        </w:rPr>
        <w:t> </w:t>
      </w:r>
      <w:r>
        <w:rPr/>
        <w:t>[403]</w:t>
      </w:r>
      <w:r>
        <w:rPr>
          <w:spacing w:val="15"/>
        </w:rPr>
        <w:t> </w:t>
      </w:r>
      <w:r>
        <w:rPr/>
        <w:t>per</w:t>
      </w:r>
      <w:r>
        <w:rPr>
          <w:spacing w:val="15"/>
        </w:rPr>
        <w:t> </w:t>
      </w:r>
      <w:r>
        <w:rPr/>
        <w:t>Simon</w:t>
      </w:r>
      <w:r>
        <w:rPr>
          <w:spacing w:val="15"/>
        </w:rPr>
        <w:t> </w:t>
      </w:r>
      <w:r>
        <w:rPr/>
        <w:t>Bryan</w:t>
      </w:r>
      <w:r>
        <w:rPr>
          <w:spacing w:val="15"/>
        </w:rPr>
        <w:t> </w:t>
      </w:r>
      <w:r>
        <w:rPr/>
        <w:t>QC);</w:t>
      </w:r>
      <w:r>
        <w:rPr>
          <w:spacing w:val="15"/>
        </w:rPr>
        <w:t> </w:t>
      </w:r>
      <w:r>
        <w:rPr/>
        <w:t>and</w:t>
      </w:r>
      <w:r>
        <w:rPr>
          <w:spacing w:val="15"/>
        </w:rPr>
        <w:t> </w:t>
      </w:r>
      <w:r>
        <w:rPr/>
        <w:t>on</w:t>
      </w:r>
      <w:r>
        <w:rPr>
          <w:spacing w:val="15"/>
        </w:rPr>
        <w:t> </w:t>
      </w:r>
      <w:r>
        <w:rPr/>
        <w:t>the</w:t>
      </w:r>
      <w:r>
        <w:rPr>
          <w:spacing w:val="15"/>
        </w:rPr>
        <w:t> </w:t>
      </w:r>
      <w:r>
        <w:rPr/>
        <w:t>facts</w:t>
      </w:r>
      <w:r>
        <w:rPr>
          <w:spacing w:val="15"/>
        </w:rPr>
        <w:t> </w:t>
      </w:r>
      <w:r>
        <w:rPr/>
        <w:t>no</w:t>
      </w:r>
      <w:r>
        <w:rPr>
          <w:spacing w:val="15"/>
        </w:rPr>
        <w:t> </w:t>
      </w:r>
      <w:r>
        <w:rPr/>
        <w:t>such</w:t>
      </w:r>
      <w:r>
        <w:rPr>
          <w:spacing w:val="15"/>
        </w:rPr>
        <w:t> </w:t>
      </w:r>
      <w:r>
        <w:rPr/>
        <w:t>breach</w:t>
      </w:r>
      <w:r>
        <w:rPr>
          <w:spacing w:val="15"/>
        </w:rPr>
        <w:t> </w:t>
      </w:r>
      <w:r>
        <w:rPr>
          <w:spacing w:val="-5"/>
        </w:rPr>
        <w:t>was</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106"/>
        <w:ind w:left="705"/>
      </w:pPr>
      <w:r>
        <w:rPr/>
        <w:t>established: at </w:t>
      </w:r>
      <w:r>
        <w:rPr>
          <w:spacing w:val="-2"/>
        </w:rPr>
        <w:t>[409]).</w:t>
      </w:r>
    </w:p>
    <w:p>
      <w:pPr>
        <w:pStyle w:val="BodyText"/>
        <w:spacing w:before="5"/>
      </w:pPr>
    </w:p>
    <w:p>
      <w:pPr>
        <w:tabs>
          <w:tab w:pos="705" w:val="left" w:leader="none"/>
        </w:tabs>
        <w:spacing w:before="1"/>
        <w:ind w:left="165" w:right="0" w:firstLine="0"/>
        <w:jc w:val="left"/>
        <w:rPr>
          <w:sz w:val="20"/>
        </w:rPr>
      </w:pPr>
      <w:bookmarkStart w:name="_bookmark876" w:id="878"/>
      <w:bookmarkEnd w:id="878"/>
      <w:r>
        <w:rPr/>
      </w:r>
      <w:hyperlink w:history="true" w:anchor="_bookmark708">
        <w:r>
          <w:rPr>
            <w:color w:val="005DA1"/>
            <w:spacing w:val="-4"/>
            <w:position w:val="5"/>
            <w:sz w:val="14"/>
            <w:u w:val="single" w:color="005DA1"/>
          </w:rPr>
          <w:t>426</w:t>
        </w:r>
      </w:hyperlink>
      <w:r>
        <w:rPr>
          <w:spacing w:val="-4"/>
          <w:position w:val="5"/>
          <w:sz w:val="14"/>
        </w:rPr>
        <w:t>.</w:t>
      </w:r>
      <w:r>
        <w:rPr>
          <w:position w:val="5"/>
          <w:sz w:val="14"/>
        </w:rPr>
        <w:tab/>
      </w:r>
      <w:r>
        <w:rPr>
          <w:rFonts w:ascii="Arial"/>
          <w:i/>
          <w:sz w:val="20"/>
        </w:rPr>
        <w:t>[2013] EWCA Civ 200</w:t>
      </w:r>
      <w:r>
        <w:rPr>
          <w:rFonts w:ascii="Arial"/>
          <w:i/>
          <w:spacing w:val="-1"/>
          <w:sz w:val="20"/>
        </w:rPr>
        <w:t> </w:t>
      </w:r>
      <w:r>
        <w:rPr>
          <w:sz w:val="20"/>
        </w:rPr>
        <w:t>at </w:t>
      </w:r>
      <w:r>
        <w:rPr>
          <w:spacing w:val="-2"/>
          <w:sz w:val="20"/>
        </w:rPr>
        <w:t>[154].</w:t>
      </w:r>
    </w:p>
    <w:p>
      <w:pPr>
        <w:pStyle w:val="BodyText"/>
        <w:spacing w:before="4"/>
      </w:pPr>
    </w:p>
    <w:p>
      <w:pPr>
        <w:tabs>
          <w:tab w:pos="705" w:val="left" w:leader="none"/>
        </w:tabs>
        <w:spacing w:line="227" w:lineRule="exact" w:before="1"/>
        <w:ind w:left="165" w:right="0" w:firstLine="0"/>
        <w:jc w:val="left"/>
        <w:rPr>
          <w:sz w:val="20"/>
        </w:rPr>
      </w:pPr>
      <w:bookmarkStart w:name="_bookmark877" w:id="879"/>
      <w:bookmarkEnd w:id="879"/>
      <w:r>
        <w:rPr/>
      </w:r>
      <w:hyperlink w:history="true" w:anchor="_bookmark709">
        <w:r>
          <w:rPr>
            <w:color w:val="005DA1"/>
            <w:spacing w:val="-4"/>
            <w:position w:val="5"/>
            <w:sz w:val="14"/>
            <w:u w:val="single" w:color="005DA1"/>
          </w:rPr>
          <w:t>427</w:t>
        </w:r>
      </w:hyperlink>
      <w:r>
        <w:rPr>
          <w:spacing w:val="-4"/>
          <w:position w:val="5"/>
          <w:sz w:val="14"/>
        </w:rPr>
        <w:t>.</w:t>
      </w:r>
      <w:r>
        <w:rPr>
          <w:position w:val="5"/>
          <w:sz w:val="14"/>
        </w:rPr>
        <w:tab/>
      </w:r>
      <w:r>
        <w:rPr>
          <w:rFonts w:ascii="Arial"/>
          <w:i/>
          <w:sz w:val="20"/>
        </w:rPr>
        <w:t>[2013]</w:t>
      </w:r>
      <w:r>
        <w:rPr>
          <w:rFonts w:ascii="Arial"/>
          <w:i/>
          <w:spacing w:val="9"/>
          <w:sz w:val="20"/>
        </w:rPr>
        <w:t> </w:t>
      </w:r>
      <w:r>
        <w:rPr>
          <w:rFonts w:ascii="Arial"/>
          <w:i/>
          <w:sz w:val="20"/>
        </w:rPr>
        <w:t>EWCA</w:t>
      </w:r>
      <w:r>
        <w:rPr>
          <w:rFonts w:ascii="Arial"/>
          <w:i/>
          <w:spacing w:val="9"/>
          <w:sz w:val="20"/>
        </w:rPr>
        <w:t> </w:t>
      </w:r>
      <w:r>
        <w:rPr>
          <w:rFonts w:ascii="Arial"/>
          <w:i/>
          <w:sz w:val="20"/>
        </w:rPr>
        <w:t>Civ</w:t>
      </w:r>
      <w:r>
        <w:rPr>
          <w:rFonts w:ascii="Arial"/>
          <w:i/>
          <w:spacing w:val="9"/>
          <w:sz w:val="20"/>
        </w:rPr>
        <w:t> </w:t>
      </w:r>
      <w:r>
        <w:rPr>
          <w:rFonts w:ascii="Arial"/>
          <w:i/>
          <w:sz w:val="20"/>
        </w:rPr>
        <w:t>200</w:t>
      </w:r>
      <w:r>
        <w:rPr>
          <w:rFonts w:ascii="Arial"/>
          <w:i/>
          <w:spacing w:val="9"/>
          <w:sz w:val="20"/>
        </w:rPr>
        <w:t> </w:t>
      </w:r>
      <w:r>
        <w:rPr>
          <w:sz w:val="20"/>
        </w:rPr>
        <w:t>at</w:t>
      </w:r>
      <w:r>
        <w:rPr>
          <w:spacing w:val="9"/>
          <w:sz w:val="20"/>
        </w:rPr>
        <w:t> </w:t>
      </w:r>
      <w:r>
        <w:rPr>
          <w:sz w:val="20"/>
        </w:rPr>
        <w:t>[109]</w:t>
      </w:r>
      <w:r>
        <w:rPr>
          <w:spacing w:val="9"/>
          <w:sz w:val="20"/>
        </w:rPr>
        <w:t> </w:t>
      </w:r>
      <w:r>
        <w:rPr>
          <w:sz w:val="20"/>
        </w:rPr>
        <w:t>and</w:t>
      </w:r>
      <w:r>
        <w:rPr>
          <w:spacing w:val="9"/>
          <w:sz w:val="20"/>
        </w:rPr>
        <w:t> </w:t>
      </w:r>
      <w:r>
        <w:rPr>
          <w:sz w:val="20"/>
        </w:rPr>
        <w:t>see</w:t>
      </w:r>
      <w:r>
        <w:rPr>
          <w:spacing w:val="9"/>
          <w:sz w:val="20"/>
        </w:rPr>
        <w:t> </w:t>
      </w:r>
      <w:r>
        <w:rPr>
          <w:sz w:val="20"/>
        </w:rPr>
        <w:t>similarly</w:t>
      </w:r>
      <w:r>
        <w:rPr>
          <w:spacing w:val="8"/>
          <w:sz w:val="20"/>
        </w:rPr>
        <w:t> </w:t>
      </w:r>
      <w:r>
        <w:rPr>
          <w:rFonts w:ascii="Arial"/>
          <w:i/>
          <w:sz w:val="20"/>
        </w:rPr>
        <w:t>[2013]</w:t>
      </w:r>
      <w:r>
        <w:rPr>
          <w:rFonts w:ascii="Arial"/>
          <w:i/>
          <w:spacing w:val="9"/>
          <w:sz w:val="20"/>
        </w:rPr>
        <w:t> </w:t>
      </w:r>
      <w:r>
        <w:rPr>
          <w:rFonts w:ascii="Arial"/>
          <w:i/>
          <w:sz w:val="20"/>
        </w:rPr>
        <w:t>EWCA</w:t>
      </w:r>
      <w:r>
        <w:rPr>
          <w:rFonts w:ascii="Arial"/>
          <w:i/>
          <w:spacing w:val="9"/>
          <w:sz w:val="20"/>
        </w:rPr>
        <w:t> </w:t>
      </w:r>
      <w:r>
        <w:rPr>
          <w:rFonts w:ascii="Arial"/>
          <w:i/>
          <w:sz w:val="20"/>
        </w:rPr>
        <w:t>Civ</w:t>
      </w:r>
      <w:r>
        <w:rPr>
          <w:rFonts w:ascii="Arial"/>
          <w:i/>
          <w:spacing w:val="9"/>
          <w:sz w:val="20"/>
        </w:rPr>
        <w:t> </w:t>
      </w:r>
      <w:r>
        <w:rPr>
          <w:rFonts w:ascii="Arial"/>
          <w:i/>
          <w:sz w:val="20"/>
        </w:rPr>
        <w:t>200</w:t>
      </w:r>
      <w:r>
        <w:rPr>
          <w:rFonts w:ascii="Arial"/>
          <w:i/>
          <w:spacing w:val="9"/>
          <w:sz w:val="20"/>
        </w:rPr>
        <w:t> </w:t>
      </w:r>
      <w:r>
        <w:rPr>
          <w:sz w:val="20"/>
        </w:rPr>
        <w:t>at</w:t>
      </w:r>
      <w:r>
        <w:rPr>
          <w:spacing w:val="9"/>
          <w:sz w:val="20"/>
        </w:rPr>
        <w:t> </w:t>
      </w:r>
      <w:r>
        <w:rPr>
          <w:sz w:val="20"/>
        </w:rPr>
        <w:t>[150]</w:t>
      </w:r>
      <w:r>
        <w:rPr>
          <w:spacing w:val="9"/>
          <w:sz w:val="20"/>
        </w:rPr>
        <w:t> </w:t>
      </w:r>
      <w:r>
        <w:rPr>
          <w:sz w:val="20"/>
        </w:rPr>
        <w:t>where</w:t>
      </w:r>
      <w:r>
        <w:rPr>
          <w:spacing w:val="9"/>
          <w:sz w:val="20"/>
        </w:rPr>
        <w:t> </w:t>
      </w:r>
      <w:r>
        <w:rPr>
          <w:spacing w:val="-2"/>
          <w:sz w:val="20"/>
        </w:rPr>
        <w:t>Beatson</w:t>
      </w:r>
    </w:p>
    <w:p>
      <w:pPr>
        <w:spacing w:line="225" w:lineRule="exact" w:before="0"/>
        <w:ind w:left="705" w:right="0" w:firstLine="0"/>
        <w:jc w:val="left"/>
        <w:rPr>
          <w:rFonts w:ascii="Arial"/>
          <w:i/>
          <w:sz w:val="20"/>
        </w:rPr>
      </w:pPr>
      <w:r>
        <w:rPr>
          <w:sz w:val="20"/>
        </w:rPr>
        <w:t>L.J.</w:t>
      </w:r>
      <w:r>
        <w:rPr>
          <w:spacing w:val="12"/>
          <w:sz w:val="20"/>
        </w:rPr>
        <w:t> </w:t>
      </w:r>
      <w:r>
        <w:rPr>
          <w:sz w:val="20"/>
        </w:rPr>
        <w:t>cited</w:t>
      </w:r>
      <w:r>
        <w:rPr>
          <w:spacing w:val="12"/>
          <w:sz w:val="20"/>
        </w:rPr>
        <w:t> </w:t>
      </w:r>
      <w:r>
        <w:rPr>
          <w:sz w:val="20"/>
        </w:rPr>
        <w:t>in</w:t>
      </w:r>
      <w:r>
        <w:rPr>
          <w:spacing w:val="12"/>
          <w:sz w:val="20"/>
        </w:rPr>
        <w:t> </w:t>
      </w:r>
      <w:r>
        <w:rPr>
          <w:sz w:val="20"/>
        </w:rPr>
        <w:t>support</w:t>
      </w:r>
      <w:r>
        <w:rPr>
          <w:spacing w:val="12"/>
          <w:sz w:val="20"/>
        </w:rPr>
        <w:t> </w:t>
      </w:r>
      <w:r>
        <w:rPr>
          <w:rFonts w:ascii="Arial"/>
          <w:i/>
          <w:sz w:val="20"/>
        </w:rPr>
        <w:t>Yam</w:t>
      </w:r>
      <w:r>
        <w:rPr>
          <w:rFonts w:ascii="Arial"/>
          <w:i/>
          <w:spacing w:val="12"/>
          <w:sz w:val="20"/>
        </w:rPr>
        <w:t> </w:t>
      </w:r>
      <w:r>
        <w:rPr>
          <w:rFonts w:ascii="Arial"/>
          <w:i/>
          <w:sz w:val="20"/>
        </w:rPr>
        <w:t>Seng</w:t>
      </w:r>
      <w:r>
        <w:rPr>
          <w:rFonts w:ascii="Arial"/>
          <w:i/>
          <w:spacing w:val="12"/>
          <w:sz w:val="20"/>
        </w:rPr>
        <w:t> </w:t>
      </w:r>
      <w:r>
        <w:rPr>
          <w:rFonts w:ascii="Arial"/>
          <w:i/>
          <w:sz w:val="20"/>
        </w:rPr>
        <w:t>Pte</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International</w:t>
      </w:r>
      <w:r>
        <w:rPr>
          <w:rFonts w:ascii="Arial"/>
          <w:i/>
          <w:spacing w:val="12"/>
          <w:sz w:val="20"/>
        </w:rPr>
        <w:t> </w:t>
      </w:r>
      <w:r>
        <w:rPr>
          <w:rFonts w:ascii="Arial"/>
          <w:i/>
          <w:sz w:val="20"/>
        </w:rPr>
        <w:t>Trade</w:t>
      </w:r>
      <w:r>
        <w:rPr>
          <w:rFonts w:ascii="Arial"/>
          <w:i/>
          <w:spacing w:val="12"/>
          <w:sz w:val="20"/>
        </w:rPr>
        <w:t> </w:t>
      </w:r>
      <w:r>
        <w:rPr>
          <w:rFonts w:ascii="Arial"/>
          <w:i/>
          <w:sz w:val="20"/>
        </w:rPr>
        <w:t>Corp</w:t>
      </w:r>
      <w:r>
        <w:rPr>
          <w:rFonts w:ascii="Arial"/>
          <w:i/>
          <w:spacing w:val="12"/>
          <w:sz w:val="20"/>
        </w:rPr>
        <w:t> </w:t>
      </w:r>
      <w:r>
        <w:rPr>
          <w:rFonts w:ascii="Arial"/>
          <w:i/>
          <w:sz w:val="20"/>
        </w:rPr>
        <w:t>Ltd</w:t>
      </w:r>
      <w:r>
        <w:rPr>
          <w:rFonts w:ascii="Arial"/>
          <w:i/>
          <w:spacing w:val="12"/>
          <w:sz w:val="20"/>
        </w:rPr>
        <w:t> </w:t>
      </w:r>
      <w:r>
        <w:rPr>
          <w:rFonts w:ascii="Arial"/>
          <w:i/>
          <w:sz w:val="20"/>
        </w:rPr>
        <w:t>[2013]</w:t>
      </w:r>
      <w:r>
        <w:rPr>
          <w:rFonts w:ascii="Arial"/>
          <w:i/>
          <w:spacing w:val="12"/>
          <w:sz w:val="20"/>
        </w:rPr>
        <w:t> </w:t>
      </w:r>
      <w:r>
        <w:rPr>
          <w:rFonts w:ascii="Arial"/>
          <w:i/>
          <w:sz w:val="20"/>
        </w:rPr>
        <w:t>EWHC</w:t>
      </w:r>
      <w:r>
        <w:rPr>
          <w:rFonts w:ascii="Arial"/>
          <w:i/>
          <w:spacing w:val="12"/>
          <w:sz w:val="20"/>
        </w:rPr>
        <w:t> </w:t>
      </w:r>
      <w:r>
        <w:rPr>
          <w:rFonts w:ascii="Arial"/>
          <w:i/>
          <w:sz w:val="20"/>
        </w:rPr>
        <w:t>111</w:t>
      </w:r>
      <w:r>
        <w:rPr>
          <w:rFonts w:ascii="Arial"/>
          <w:i/>
          <w:spacing w:val="12"/>
          <w:sz w:val="20"/>
        </w:rPr>
        <w:t> </w:t>
      </w:r>
      <w:r>
        <w:rPr>
          <w:rFonts w:ascii="Arial"/>
          <w:i/>
          <w:spacing w:val="-4"/>
          <w:sz w:val="20"/>
        </w:rPr>
        <w:t>(QB)</w:t>
      </w:r>
    </w:p>
    <w:p>
      <w:pPr>
        <w:pStyle w:val="BodyText"/>
        <w:spacing w:line="227" w:lineRule="exact"/>
        <w:ind w:left="705"/>
      </w:pPr>
      <w:r>
        <w:rPr/>
        <w:t>at [141], [144], [147], on which see para.1-053, </w:t>
      </w:r>
      <w:r>
        <w:rPr>
          <w:spacing w:val="-2"/>
        </w:rPr>
        <w:t>below.</w:t>
      </w:r>
    </w:p>
    <w:p>
      <w:pPr>
        <w:pStyle w:val="BodyText"/>
        <w:spacing w:before="4"/>
      </w:pPr>
    </w:p>
    <w:p>
      <w:pPr>
        <w:tabs>
          <w:tab w:pos="705" w:val="left" w:leader="none"/>
        </w:tabs>
        <w:spacing w:before="1"/>
        <w:ind w:left="165" w:right="0" w:firstLine="0"/>
        <w:jc w:val="left"/>
        <w:rPr>
          <w:sz w:val="20"/>
        </w:rPr>
      </w:pPr>
      <w:bookmarkStart w:name="_bookmark878" w:id="880"/>
      <w:bookmarkEnd w:id="880"/>
      <w:r>
        <w:rPr/>
      </w:r>
      <w:hyperlink w:history="true" w:anchor="_bookmark710">
        <w:r>
          <w:rPr>
            <w:color w:val="005DA1"/>
            <w:spacing w:val="-4"/>
            <w:position w:val="5"/>
            <w:sz w:val="14"/>
            <w:u w:val="single" w:color="005DA1"/>
          </w:rPr>
          <w:t>428</w:t>
        </w:r>
      </w:hyperlink>
      <w:r>
        <w:rPr>
          <w:spacing w:val="-4"/>
          <w:position w:val="5"/>
          <w:sz w:val="14"/>
        </w:rPr>
        <w:t>.</w:t>
      </w:r>
      <w:r>
        <w:rPr>
          <w:position w:val="5"/>
          <w:sz w:val="14"/>
        </w:rPr>
        <w:tab/>
      </w:r>
      <w:r>
        <w:rPr>
          <w:rFonts w:ascii="Arial"/>
          <w:i/>
          <w:sz w:val="20"/>
        </w:rPr>
        <w:t>[2013] EWCA Civ 200</w:t>
      </w:r>
      <w:r>
        <w:rPr>
          <w:rFonts w:ascii="Arial"/>
          <w:i/>
          <w:spacing w:val="-1"/>
          <w:sz w:val="20"/>
        </w:rPr>
        <w:t> </w:t>
      </w:r>
      <w:r>
        <w:rPr>
          <w:sz w:val="20"/>
        </w:rPr>
        <w:t>at </w:t>
      </w:r>
      <w:r>
        <w:rPr>
          <w:spacing w:val="-2"/>
          <w:sz w:val="20"/>
        </w:rPr>
        <w:t>[112].</w:t>
      </w:r>
    </w:p>
    <w:p>
      <w:pPr>
        <w:pStyle w:val="BodyText"/>
        <w:spacing w:before="4"/>
      </w:pPr>
    </w:p>
    <w:p>
      <w:pPr>
        <w:tabs>
          <w:tab w:pos="705" w:val="left" w:leader="none"/>
        </w:tabs>
        <w:spacing w:before="1"/>
        <w:ind w:left="165" w:right="0" w:firstLine="0"/>
        <w:jc w:val="left"/>
        <w:rPr>
          <w:sz w:val="20"/>
        </w:rPr>
      </w:pPr>
      <w:bookmarkStart w:name="_bookmark879" w:id="881"/>
      <w:bookmarkEnd w:id="881"/>
      <w:r>
        <w:rPr/>
      </w:r>
      <w:hyperlink w:history="true" w:anchor="_bookmark711">
        <w:r>
          <w:rPr>
            <w:color w:val="005DA1"/>
            <w:spacing w:val="-4"/>
            <w:position w:val="5"/>
            <w:sz w:val="14"/>
            <w:u w:val="single" w:color="005DA1"/>
          </w:rPr>
          <w:t>429</w:t>
        </w:r>
      </w:hyperlink>
      <w:r>
        <w:rPr>
          <w:spacing w:val="-4"/>
          <w:position w:val="5"/>
          <w:sz w:val="14"/>
        </w:rPr>
        <w:t>.</w:t>
      </w:r>
      <w:r>
        <w:rPr>
          <w:position w:val="5"/>
          <w:sz w:val="14"/>
        </w:rPr>
        <w:tab/>
      </w:r>
      <w:r>
        <w:rPr>
          <w:rFonts w:ascii="Arial"/>
          <w:i/>
          <w:sz w:val="20"/>
        </w:rPr>
        <w:t>[2013] EWCA Civ 200</w:t>
      </w:r>
      <w:r>
        <w:rPr>
          <w:rFonts w:ascii="Arial"/>
          <w:i/>
          <w:spacing w:val="-1"/>
          <w:sz w:val="20"/>
        </w:rPr>
        <w:t> </w:t>
      </w:r>
      <w:r>
        <w:rPr>
          <w:sz w:val="20"/>
        </w:rPr>
        <w:t>at [114], </w:t>
      </w:r>
      <w:r>
        <w:rPr>
          <w:spacing w:val="-2"/>
          <w:sz w:val="20"/>
        </w:rPr>
        <w:t>[116].</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880" w:id="882"/>
      <w:bookmarkEnd w:id="882"/>
      <w:r>
        <w:rPr/>
      </w:r>
      <w:hyperlink w:history="true" w:anchor="_bookmark712">
        <w:r>
          <w:rPr>
            <w:color w:val="005DA1"/>
            <w:spacing w:val="-4"/>
            <w:position w:val="5"/>
            <w:sz w:val="14"/>
            <w:u w:val="single" w:color="005DA1"/>
          </w:rPr>
          <w:t>430</w:t>
        </w:r>
      </w:hyperlink>
      <w:r>
        <w:rPr>
          <w:spacing w:val="-4"/>
          <w:position w:val="5"/>
          <w:sz w:val="14"/>
        </w:rPr>
        <w:t>.</w:t>
      </w:r>
      <w:r>
        <w:rPr>
          <w:position w:val="5"/>
          <w:sz w:val="14"/>
        </w:rPr>
        <w:tab/>
      </w:r>
      <w:r>
        <w:rPr>
          <w:rFonts w:ascii="Arial"/>
          <w:i/>
          <w:sz w:val="20"/>
        </w:rPr>
        <w:t>[2006]</w:t>
      </w:r>
      <w:r>
        <w:rPr>
          <w:rFonts w:ascii="Arial"/>
          <w:i/>
          <w:spacing w:val="14"/>
          <w:sz w:val="20"/>
        </w:rPr>
        <w:t> </w:t>
      </w:r>
      <w:r>
        <w:rPr>
          <w:rFonts w:ascii="Arial"/>
          <w:i/>
          <w:sz w:val="20"/>
        </w:rPr>
        <w:t>EWCA</w:t>
      </w:r>
      <w:r>
        <w:rPr>
          <w:rFonts w:ascii="Arial"/>
          <w:i/>
          <w:spacing w:val="15"/>
          <w:sz w:val="20"/>
        </w:rPr>
        <w:t> </w:t>
      </w:r>
      <w:r>
        <w:rPr>
          <w:rFonts w:ascii="Arial"/>
          <w:i/>
          <w:sz w:val="20"/>
        </w:rPr>
        <w:t>Civ</w:t>
      </w:r>
      <w:r>
        <w:rPr>
          <w:rFonts w:ascii="Arial"/>
          <w:i/>
          <w:spacing w:val="15"/>
          <w:sz w:val="20"/>
        </w:rPr>
        <w:t> </w:t>
      </w:r>
      <w:r>
        <w:rPr>
          <w:rFonts w:ascii="Arial"/>
          <w:i/>
          <w:sz w:val="20"/>
        </w:rPr>
        <w:t>1262,</w:t>
      </w:r>
      <w:r>
        <w:rPr>
          <w:rFonts w:ascii="Arial"/>
          <w:i/>
          <w:spacing w:val="15"/>
          <w:sz w:val="20"/>
        </w:rPr>
        <w:t> </w:t>
      </w:r>
      <w:r>
        <w:rPr>
          <w:rFonts w:ascii="Arial"/>
          <w:i/>
          <w:sz w:val="20"/>
        </w:rPr>
        <w:t>[2006]</w:t>
      </w:r>
      <w:r>
        <w:rPr>
          <w:rFonts w:ascii="Arial"/>
          <w:i/>
          <w:spacing w:val="15"/>
          <w:sz w:val="20"/>
        </w:rPr>
        <w:t> </w:t>
      </w:r>
      <w:r>
        <w:rPr>
          <w:rFonts w:ascii="Arial"/>
          <w:i/>
          <w:sz w:val="20"/>
        </w:rPr>
        <w:t>E.L.R.</w:t>
      </w:r>
      <w:r>
        <w:rPr>
          <w:rFonts w:ascii="Arial"/>
          <w:i/>
          <w:spacing w:val="15"/>
          <w:sz w:val="20"/>
        </w:rPr>
        <w:t> </w:t>
      </w:r>
      <w:r>
        <w:rPr>
          <w:rFonts w:ascii="Arial"/>
          <w:i/>
          <w:sz w:val="20"/>
        </w:rPr>
        <w:t>516</w:t>
      </w:r>
      <w:r>
        <w:rPr>
          <w:sz w:val="20"/>
        </w:rPr>
        <w:t>.</w:t>
      </w:r>
      <w:r>
        <w:rPr>
          <w:spacing w:val="15"/>
          <w:sz w:val="20"/>
        </w:rPr>
        <w:t> </w:t>
      </w:r>
      <w:r>
        <w:rPr>
          <w:sz w:val="20"/>
        </w:rPr>
        <w:t>See</w:t>
      </w:r>
      <w:r>
        <w:rPr>
          <w:spacing w:val="15"/>
          <w:sz w:val="20"/>
        </w:rPr>
        <w:t> </w:t>
      </w:r>
      <w:r>
        <w:rPr>
          <w:sz w:val="20"/>
        </w:rPr>
        <w:t>also</w:t>
      </w:r>
      <w:r>
        <w:rPr>
          <w:spacing w:val="15"/>
          <w:sz w:val="20"/>
        </w:rPr>
        <w:t> </w:t>
      </w:r>
      <w:r>
        <w:rPr>
          <w:rFonts w:ascii="Arial"/>
          <w:i/>
          <w:sz w:val="20"/>
        </w:rPr>
        <w:t>Berkley</w:t>
      </w:r>
      <w:r>
        <w:rPr>
          <w:rFonts w:ascii="Arial"/>
          <w:i/>
          <w:spacing w:val="15"/>
          <w:sz w:val="20"/>
        </w:rPr>
        <w:t> </w:t>
      </w:r>
      <w:r>
        <w:rPr>
          <w:rFonts w:ascii="Arial"/>
          <w:i/>
          <w:sz w:val="20"/>
        </w:rPr>
        <w:t>Community</w:t>
      </w:r>
      <w:r>
        <w:rPr>
          <w:rFonts w:ascii="Arial"/>
          <w:i/>
          <w:spacing w:val="15"/>
          <w:sz w:val="20"/>
        </w:rPr>
        <w:t> </w:t>
      </w:r>
      <w:r>
        <w:rPr>
          <w:rFonts w:ascii="Arial"/>
          <w:i/>
          <w:sz w:val="20"/>
        </w:rPr>
        <w:t>Villages</w:t>
      </w:r>
      <w:r>
        <w:rPr>
          <w:rFonts w:ascii="Arial"/>
          <w:i/>
          <w:spacing w:val="15"/>
          <w:sz w:val="20"/>
        </w:rPr>
        <w:t> </w:t>
      </w:r>
      <w:r>
        <w:rPr>
          <w:rFonts w:ascii="Arial"/>
          <w:i/>
          <w:sz w:val="20"/>
        </w:rPr>
        <w:t>Ltd</w:t>
      </w:r>
      <w:r>
        <w:rPr>
          <w:rFonts w:ascii="Arial"/>
          <w:i/>
          <w:spacing w:val="15"/>
          <w:sz w:val="20"/>
        </w:rPr>
        <w:t> </w:t>
      </w:r>
      <w:r>
        <w:rPr>
          <w:rFonts w:ascii="Arial"/>
          <w:i/>
          <w:sz w:val="20"/>
        </w:rPr>
        <w:t>v</w:t>
      </w:r>
      <w:r>
        <w:rPr>
          <w:rFonts w:ascii="Arial"/>
          <w:i/>
          <w:spacing w:val="15"/>
          <w:sz w:val="20"/>
        </w:rPr>
        <w:t> </w:t>
      </w:r>
      <w:r>
        <w:rPr>
          <w:rFonts w:ascii="Arial"/>
          <w:i/>
          <w:spacing w:val="-2"/>
          <w:sz w:val="20"/>
        </w:rPr>
        <w:t>Pullen</w:t>
      </w:r>
    </w:p>
    <w:p>
      <w:pPr>
        <w:spacing w:line="225" w:lineRule="exact" w:before="0"/>
        <w:ind w:left="705" w:right="0" w:firstLine="0"/>
        <w:jc w:val="left"/>
        <w:rPr>
          <w:sz w:val="20"/>
        </w:rPr>
      </w:pPr>
      <w:r>
        <w:rPr>
          <w:rFonts w:ascii="Arial"/>
          <w:i/>
          <w:sz w:val="20"/>
        </w:rPr>
        <w:t>[2007]</w:t>
      </w:r>
      <w:r>
        <w:rPr>
          <w:rFonts w:ascii="Arial"/>
          <w:i/>
          <w:spacing w:val="52"/>
          <w:sz w:val="20"/>
        </w:rPr>
        <w:t> </w:t>
      </w:r>
      <w:r>
        <w:rPr>
          <w:rFonts w:ascii="Arial"/>
          <w:i/>
          <w:sz w:val="20"/>
        </w:rPr>
        <w:t>EWHC</w:t>
      </w:r>
      <w:r>
        <w:rPr>
          <w:rFonts w:ascii="Arial"/>
          <w:i/>
          <w:spacing w:val="52"/>
          <w:sz w:val="20"/>
        </w:rPr>
        <w:t> </w:t>
      </w:r>
      <w:r>
        <w:rPr>
          <w:rFonts w:ascii="Arial"/>
          <w:i/>
          <w:sz w:val="20"/>
        </w:rPr>
        <w:t>1330</w:t>
      </w:r>
      <w:r>
        <w:rPr>
          <w:rFonts w:ascii="Arial"/>
          <w:i/>
          <w:spacing w:val="52"/>
          <w:sz w:val="20"/>
        </w:rPr>
        <w:t> </w:t>
      </w:r>
      <w:r>
        <w:rPr>
          <w:rFonts w:ascii="Arial"/>
          <w:i/>
          <w:sz w:val="20"/>
        </w:rPr>
        <w:t>(Ch)</w:t>
      </w:r>
      <w:r>
        <w:rPr>
          <w:rFonts w:ascii="Arial"/>
          <w:i/>
          <w:spacing w:val="52"/>
          <w:sz w:val="20"/>
        </w:rPr>
        <w:t> </w:t>
      </w:r>
      <w:r>
        <w:rPr>
          <w:sz w:val="20"/>
        </w:rPr>
        <w:t>especially</w:t>
      </w:r>
      <w:r>
        <w:rPr>
          <w:spacing w:val="52"/>
          <w:sz w:val="20"/>
        </w:rPr>
        <w:t> </w:t>
      </w:r>
      <w:r>
        <w:rPr>
          <w:sz w:val="20"/>
        </w:rPr>
        <w:t>at</w:t>
      </w:r>
      <w:r>
        <w:rPr>
          <w:spacing w:val="52"/>
          <w:sz w:val="20"/>
        </w:rPr>
        <w:t> </w:t>
      </w:r>
      <w:r>
        <w:rPr>
          <w:sz w:val="20"/>
        </w:rPr>
        <w:t>[86]-[97],</w:t>
      </w:r>
      <w:r>
        <w:rPr>
          <w:spacing w:val="52"/>
          <w:sz w:val="20"/>
        </w:rPr>
        <w:t> </w:t>
      </w:r>
      <w:r>
        <w:rPr>
          <w:rFonts w:ascii="Arial"/>
          <w:i/>
          <w:sz w:val="20"/>
        </w:rPr>
        <w:t>[2007]</w:t>
      </w:r>
      <w:r>
        <w:rPr>
          <w:rFonts w:ascii="Arial"/>
          <w:i/>
          <w:spacing w:val="52"/>
          <w:sz w:val="20"/>
        </w:rPr>
        <w:t> </w:t>
      </w:r>
      <w:r>
        <w:rPr>
          <w:rFonts w:ascii="Arial"/>
          <w:i/>
          <w:sz w:val="20"/>
        </w:rPr>
        <w:t>3</w:t>
      </w:r>
      <w:r>
        <w:rPr>
          <w:rFonts w:ascii="Arial"/>
          <w:i/>
          <w:spacing w:val="52"/>
          <w:sz w:val="20"/>
        </w:rPr>
        <w:t> </w:t>
      </w:r>
      <w:r>
        <w:rPr>
          <w:rFonts w:ascii="Arial"/>
          <w:i/>
          <w:sz w:val="20"/>
        </w:rPr>
        <w:t>E.G.L.R.</w:t>
      </w:r>
      <w:r>
        <w:rPr>
          <w:rFonts w:ascii="Arial"/>
          <w:i/>
          <w:spacing w:val="52"/>
          <w:sz w:val="20"/>
        </w:rPr>
        <w:t> </w:t>
      </w:r>
      <w:r>
        <w:rPr>
          <w:rFonts w:ascii="Arial"/>
          <w:i/>
          <w:sz w:val="20"/>
        </w:rPr>
        <w:t>101</w:t>
      </w:r>
      <w:r>
        <w:rPr>
          <w:rFonts w:ascii="Arial"/>
          <w:i/>
          <w:spacing w:val="52"/>
          <w:sz w:val="20"/>
        </w:rPr>
        <w:t> </w:t>
      </w:r>
      <w:r>
        <w:rPr>
          <w:sz w:val="20"/>
        </w:rPr>
        <w:t>above,</w:t>
      </w:r>
      <w:r>
        <w:rPr>
          <w:spacing w:val="52"/>
          <w:sz w:val="20"/>
        </w:rPr>
        <w:t> </w:t>
      </w:r>
      <w:r>
        <w:rPr>
          <w:sz w:val="20"/>
        </w:rPr>
        <w:t>para.1-</w:t>
      </w:r>
      <w:r>
        <w:rPr>
          <w:spacing w:val="-5"/>
          <w:sz w:val="20"/>
        </w:rPr>
        <w:t>047</w:t>
      </w:r>
    </w:p>
    <w:p>
      <w:pPr>
        <w:pStyle w:val="BodyText"/>
        <w:spacing w:line="235" w:lineRule="auto" w:before="1"/>
        <w:ind w:left="705"/>
      </w:pPr>
      <w:r>
        <w:rPr/>
        <w:t>(express</w:t>
      </w:r>
      <w:r>
        <w:rPr>
          <w:spacing w:val="75"/>
        </w:rPr>
        <w:t> </w:t>
      </w:r>
      <w:r>
        <w:rPr/>
        <w:t>term</w:t>
      </w:r>
      <w:r>
        <w:rPr>
          <w:spacing w:val="75"/>
        </w:rPr>
        <w:t> </w:t>
      </w:r>
      <w:r>
        <w:rPr/>
        <w:t>requiring</w:t>
      </w:r>
      <w:r>
        <w:rPr>
          <w:spacing w:val="75"/>
        </w:rPr>
        <w:t> </w:t>
      </w:r>
      <w:r>
        <w:rPr/>
        <w:t>“utmost</w:t>
      </w:r>
      <w:r>
        <w:rPr>
          <w:spacing w:val="75"/>
        </w:rPr>
        <w:t> </w:t>
      </w:r>
      <w:r>
        <w:rPr/>
        <w:t>good</w:t>
      </w:r>
      <w:r>
        <w:rPr>
          <w:spacing w:val="75"/>
        </w:rPr>
        <w:t> </w:t>
      </w:r>
      <w:r>
        <w:rPr/>
        <w:t>faith”</w:t>
      </w:r>
      <w:r>
        <w:rPr>
          <w:spacing w:val="75"/>
        </w:rPr>
        <w:t> </w:t>
      </w:r>
      <w:r>
        <w:rPr/>
        <w:t>interpreted</w:t>
      </w:r>
      <w:r>
        <w:rPr>
          <w:spacing w:val="75"/>
        </w:rPr>
        <w:t> </w:t>
      </w:r>
      <w:r>
        <w:rPr/>
        <w:t>as</w:t>
      </w:r>
      <w:r>
        <w:rPr>
          <w:spacing w:val="75"/>
        </w:rPr>
        <w:t> </w:t>
      </w:r>
      <w:r>
        <w:rPr/>
        <w:t>requiring</w:t>
      </w:r>
      <w:r>
        <w:rPr>
          <w:spacing w:val="75"/>
        </w:rPr>
        <w:t> </w:t>
      </w:r>
      <w:r>
        <w:rPr/>
        <w:t>the</w:t>
      </w:r>
      <w:r>
        <w:rPr>
          <w:spacing w:val="75"/>
        </w:rPr>
        <w:t> </w:t>
      </w:r>
      <w:r>
        <w:rPr/>
        <w:t>“observance</w:t>
      </w:r>
      <w:r>
        <w:rPr>
          <w:spacing w:val="75"/>
        </w:rPr>
        <w:t> </w:t>
      </w:r>
      <w:r>
        <w:rPr/>
        <w:t>of reasonable commercial standards of fair dealing”).</w:t>
      </w:r>
    </w:p>
    <w:p>
      <w:pPr>
        <w:pStyle w:val="BodyText"/>
        <w:spacing w:before="5"/>
      </w:pPr>
    </w:p>
    <w:p>
      <w:pPr>
        <w:tabs>
          <w:tab w:pos="705" w:val="left" w:leader="none"/>
        </w:tabs>
        <w:spacing w:before="0"/>
        <w:ind w:left="165" w:right="0" w:firstLine="0"/>
        <w:jc w:val="left"/>
        <w:rPr>
          <w:sz w:val="20"/>
        </w:rPr>
      </w:pPr>
      <w:bookmarkStart w:name="_bookmark881" w:id="883"/>
      <w:bookmarkEnd w:id="883"/>
      <w:r>
        <w:rPr/>
      </w:r>
      <w:hyperlink w:history="true" w:anchor="_bookmark713">
        <w:r>
          <w:rPr>
            <w:color w:val="005DA1"/>
            <w:spacing w:val="-4"/>
            <w:position w:val="5"/>
            <w:sz w:val="14"/>
            <w:u w:val="single" w:color="005DA1"/>
          </w:rPr>
          <w:t>431</w:t>
        </w:r>
      </w:hyperlink>
      <w:r>
        <w:rPr>
          <w:spacing w:val="-4"/>
          <w:position w:val="5"/>
          <w:sz w:val="14"/>
        </w:rPr>
        <w:t>.</w:t>
      </w:r>
      <w:r>
        <w:rPr>
          <w:position w:val="5"/>
          <w:sz w:val="14"/>
        </w:rPr>
        <w:tab/>
      </w:r>
      <w:r>
        <w:rPr>
          <w:rFonts w:ascii="Arial"/>
          <w:i/>
          <w:sz w:val="20"/>
        </w:rPr>
        <w:t>[2006] EWCA Civ 1262</w:t>
      </w:r>
      <w:r>
        <w:rPr>
          <w:rFonts w:ascii="Arial"/>
          <w:i/>
          <w:spacing w:val="-1"/>
          <w:sz w:val="20"/>
        </w:rPr>
        <w:t> </w:t>
      </w:r>
      <w:r>
        <w:rPr>
          <w:sz w:val="20"/>
        </w:rPr>
        <w:t>at </w:t>
      </w:r>
      <w:r>
        <w:rPr>
          <w:spacing w:val="-2"/>
          <w:sz w:val="20"/>
        </w:rPr>
        <w:t>[54].</w:t>
      </w:r>
    </w:p>
    <w:p>
      <w:pPr>
        <w:pStyle w:val="BodyText"/>
        <w:spacing w:before="5"/>
      </w:pPr>
    </w:p>
    <w:p>
      <w:pPr>
        <w:tabs>
          <w:tab w:pos="705" w:val="left" w:leader="none"/>
        </w:tabs>
        <w:spacing w:before="0"/>
        <w:ind w:left="165" w:right="0" w:firstLine="0"/>
        <w:jc w:val="left"/>
        <w:rPr>
          <w:sz w:val="20"/>
        </w:rPr>
      </w:pPr>
      <w:bookmarkStart w:name="_bookmark882" w:id="884"/>
      <w:bookmarkEnd w:id="884"/>
      <w:r>
        <w:rPr/>
      </w:r>
      <w:hyperlink w:history="true" w:anchor="_bookmark714">
        <w:r>
          <w:rPr>
            <w:color w:val="005DA1"/>
            <w:spacing w:val="-4"/>
            <w:position w:val="5"/>
            <w:sz w:val="14"/>
            <w:u w:val="single" w:color="005DA1"/>
          </w:rPr>
          <w:t>432</w:t>
        </w:r>
      </w:hyperlink>
      <w:r>
        <w:rPr>
          <w:spacing w:val="-4"/>
          <w:position w:val="5"/>
          <w:sz w:val="14"/>
        </w:rPr>
        <w:t>.</w:t>
      </w:r>
      <w:r>
        <w:rPr>
          <w:position w:val="5"/>
          <w:sz w:val="14"/>
        </w:rPr>
        <w:tab/>
      </w:r>
      <w:r>
        <w:rPr>
          <w:sz w:val="20"/>
        </w:rPr>
        <w:t>Below, para.1-</w:t>
      </w:r>
      <w:r>
        <w:rPr>
          <w:spacing w:val="-4"/>
          <w:sz w:val="20"/>
        </w:rPr>
        <w:t>054.</w:t>
      </w:r>
    </w:p>
    <w:p>
      <w:pPr>
        <w:pStyle w:val="BodyText"/>
        <w:spacing w:before="5"/>
      </w:pPr>
    </w:p>
    <w:p>
      <w:pPr>
        <w:tabs>
          <w:tab w:pos="705" w:val="left" w:leader="none"/>
        </w:tabs>
        <w:spacing w:before="1"/>
        <w:ind w:left="165" w:right="0" w:firstLine="0"/>
        <w:jc w:val="left"/>
        <w:rPr>
          <w:sz w:val="20"/>
        </w:rPr>
      </w:pPr>
      <w:bookmarkStart w:name="_bookmark883" w:id="885"/>
      <w:bookmarkEnd w:id="885"/>
      <w:r>
        <w:rPr/>
      </w:r>
      <w:hyperlink w:history="true" w:anchor="_bookmark715">
        <w:r>
          <w:rPr>
            <w:color w:val="005DA1"/>
            <w:spacing w:val="-4"/>
            <w:position w:val="5"/>
            <w:sz w:val="14"/>
            <w:u w:val="single" w:color="005DA1"/>
          </w:rPr>
          <w:t>433</w:t>
        </w:r>
      </w:hyperlink>
      <w:r>
        <w:rPr>
          <w:spacing w:val="-4"/>
          <w:position w:val="5"/>
          <w:sz w:val="14"/>
        </w:rPr>
        <w:t>.</w:t>
      </w:r>
      <w:r>
        <w:rPr>
          <w:position w:val="5"/>
          <w:sz w:val="14"/>
        </w:rPr>
        <w:tab/>
      </w:r>
      <w:r>
        <w:rPr>
          <w:sz w:val="20"/>
        </w:rPr>
        <w:t>e.g.</w:t>
      </w:r>
      <w:r>
        <w:rPr>
          <w:spacing w:val="-1"/>
          <w:sz w:val="20"/>
        </w:rPr>
        <w:t> </w:t>
      </w:r>
      <w:r>
        <w:rPr>
          <w:rFonts w:ascii="Arial"/>
          <w:i/>
          <w:sz w:val="20"/>
        </w:rPr>
        <w:t>Solley v Forbes (1820) 2 Brod. &amp; B. 28, 48</w:t>
      </w:r>
      <w:r>
        <w:rPr>
          <w:sz w:val="20"/>
        </w:rPr>
        <w:t>, per Dallas </w:t>
      </w:r>
      <w:r>
        <w:rPr>
          <w:spacing w:val="-4"/>
          <w:sz w:val="20"/>
        </w:rPr>
        <w:t>C.J.</w:t>
      </w:r>
    </w:p>
    <w:p>
      <w:pPr>
        <w:pStyle w:val="BodyText"/>
        <w:spacing w:before="8"/>
      </w:pPr>
    </w:p>
    <w:p>
      <w:pPr>
        <w:spacing w:line="235" w:lineRule="auto" w:before="0"/>
        <w:ind w:left="705" w:right="167" w:hanging="541"/>
        <w:jc w:val="both"/>
        <w:rPr>
          <w:rFonts w:ascii="Arial" w:hAnsi="Arial"/>
          <w:i/>
          <w:sz w:val="20"/>
        </w:rPr>
      </w:pPr>
      <w:bookmarkStart w:name="_bookmark884" w:id="886"/>
      <w:bookmarkEnd w:id="886"/>
      <w:r>
        <w:rPr/>
      </w:r>
      <w:hyperlink w:history="true" w:anchor="_bookmark716">
        <w:r>
          <w:rPr>
            <w:color w:val="005DA1"/>
            <w:position w:val="5"/>
            <w:sz w:val="14"/>
            <w:u w:val="single" w:color="005DA1"/>
          </w:rPr>
          <w:t>434</w:t>
        </w:r>
      </w:hyperlink>
      <w:r>
        <w:rPr>
          <w:position w:val="5"/>
          <w:sz w:val="14"/>
        </w:rPr>
        <w:t>.</w:t>
      </w:r>
      <w:r>
        <w:rPr>
          <w:spacing w:val="80"/>
          <w:position w:val="5"/>
          <w:sz w:val="14"/>
        </w:rPr>
        <w:t>  </w:t>
      </w:r>
      <w:r>
        <w:rPr>
          <w:rFonts w:ascii="Arial" w:hAnsi="Arial"/>
          <w:i/>
          <w:sz w:val="20"/>
        </w:rPr>
        <w:t>Cargill International SA v Bangladesh Sugar and Food Industries Corp [1998] 1 W.L.R. 461, 468</w:t>
      </w:r>
      <w:r>
        <w:rPr>
          <w:sz w:val="20"/>
        </w:rPr>
        <w:t>, per Potter L.J. and see the important speech of Lord Hoffmann in </w:t>
      </w:r>
      <w:r>
        <w:rPr>
          <w:rFonts w:ascii="Arial" w:hAnsi="Arial"/>
          <w:i/>
          <w:sz w:val="20"/>
        </w:rPr>
        <w:t>Investors </w:t>
      </w:r>
      <w:r>
        <w:rPr>
          <w:rFonts w:ascii="Arial" w:hAnsi="Arial"/>
          <w:i/>
          <w:sz w:val="20"/>
        </w:rPr>
        <w:t>Compensation Scheme Ltd v West Bromwich Building Society Ltd [1998] 1 W.L.R. 896, 912–913</w:t>
      </w:r>
      <w:r>
        <w:rPr>
          <w:sz w:val="20"/>
        </w:rPr>
        <w:t>, explaining </w:t>
      </w:r>
      <w:r>
        <w:rPr>
          <w:rFonts w:ascii="Arial" w:hAnsi="Arial"/>
          <w:i/>
          <w:sz w:val="20"/>
        </w:rPr>
        <w:t>Prenn v Simmonds [1971] 1 W.L.R. 1381 </w:t>
      </w:r>
      <w:r>
        <w:rPr>
          <w:sz w:val="20"/>
        </w:rPr>
        <w:t>especially at 1383-1384 and </w:t>
      </w:r>
      <w:r>
        <w:rPr>
          <w:rFonts w:ascii="Arial" w:hAnsi="Arial"/>
          <w:i/>
          <w:sz w:val="20"/>
        </w:rPr>
        <w:t>Charter Reinsurance Co Ltd v Fagan [1997] A.C. 313 </w:t>
      </w:r>
      <w:r>
        <w:rPr>
          <w:sz w:val="20"/>
        </w:rPr>
        <w:t>especially at 387–388; </w:t>
      </w:r>
      <w:r>
        <w:rPr>
          <w:rFonts w:ascii="Arial" w:hAnsi="Arial"/>
          <w:i/>
          <w:sz w:val="20"/>
        </w:rPr>
        <w:t>Chartbrook Ltd v Persimmon Homes Ltd [2009]</w:t>
      </w:r>
      <w:r>
        <w:rPr>
          <w:rFonts w:ascii="Arial" w:hAnsi="Arial"/>
          <w:i/>
          <w:spacing w:val="16"/>
          <w:sz w:val="20"/>
        </w:rPr>
        <w:t> </w:t>
      </w:r>
      <w:r>
        <w:rPr>
          <w:rFonts w:ascii="Arial" w:hAnsi="Arial"/>
          <w:i/>
          <w:sz w:val="20"/>
        </w:rPr>
        <w:t>UKHL</w:t>
      </w:r>
      <w:r>
        <w:rPr>
          <w:rFonts w:ascii="Arial" w:hAnsi="Arial"/>
          <w:i/>
          <w:spacing w:val="16"/>
          <w:sz w:val="20"/>
        </w:rPr>
        <w:t> </w:t>
      </w:r>
      <w:r>
        <w:rPr>
          <w:rFonts w:ascii="Arial" w:hAnsi="Arial"/>
          <w:i/>
          <w:sz w:val="20"/>
        </w:rPr>
        <w:t>38,</w:t>
      </w:r>
      <w:r>
        <w:rPr>
          <w:rFonts w:ascii="Arial" w:hAnsi="Arial"/>
          <w:i/>
          <w:spacing w:val="16"/>
          <w:sz w:val="20"/>
        </w:rPr>
        <w:t> </w:t>
      </w:r>
      <w:r>
        <w:rPr>
          <w:rFonts w:ascii="Arial" w:hAnsi="Arial"/>
          <w:i/>
          <w:sz w:val="20"/>
        </w:rPr>
        <w:t>[2009]</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A.C.</w:t>
      </w:r>
      <w:r>
        <w:rPr>
          <w:rFonts w:ascii="Arial" w:hAnsi="Arial"/>
          <w:i/>
          <w:spacing w:val="16"/>
          <w:sz w:val="20"/>
        </w:rPr>
        <w:t> </w:t>
      </w:r>
      <w:r>
        <w:rPr>
          <w:rFonts w:ascii="Arial" w:hAnsi="Arial"/>
          <w:i/>
          <w:sz w:val="20"/>
        </w:rPr>
        <w:t>1101</w:t>
      </w:r>
      <w:r>
        <w:rPr>
          <w:rFonts w:ascii="Arial" w:hAnsi="Arial"/>
          <w:i/>
          <w:spacing w:val="15"/>
          <w:sz w:val="20"/>
        </w:rPr>
        <w:t> </w:t>
      </w:r>
      <w:r>
        <w:rPr>
          <w:sz w:val="20"/>
        </w:rPr>
        <w:t>at</w:t>
      </w:r>
      <w:r>
        <w:rPr>
          <w:spacing w:val="16"/>
          <w:sz w:val="20"/>
        </w:rPr>
        <w:t> </w:t>
      </w:r>
      <w:r>
        <w:rPr>
          <w:sz w:val="20"/>
        </w:rPr>
        <w:t>[3],</w:t>
      </w:r>
      <w:r>
        <w:rPr>
          <w:spacing w:val="16"/>
          <w:sz w:val="20"/>
        </w:rPr>
        <w:t> </w:t>
      </w:r>
      <w:r>
        <w:rPr>
          <w:sz w:val="20"/>
        </w:rPr>
        <w:t>[33]–[39];</w:t>
      </w:r>
      <w:r>
        <w:rPr>
          <w:spacing w:val="16"/>
          <w:sz w:val="20"/>
        </w:rPr>
        <w:t> </w:t>
      </w:r>
      <w:r>
        <w:rPr>
          <w:rFonts w:ascii="Arial" w:hAnsi="Arial"/>
          <w:i/>
          <w:sz w:val="20"/>
        </w:rPr>
        <w:t>Oceanbulk</w:t>
      </w:r>
      <w:r>
        <w:rPr>
          <w:rFonts w:ascii="Arial" w:hAnsi="Arial"/>
          <w:i/>
          <w:spacing w:val="16"/>
          <w:sz w:val="20"/>
        </w:rPr>
        <w:t> </w:t>
      </w:r>
      <w:r>
        <w:rPr>
          <w:rFonts w:ascii="Arial" w:hAnsi="Arial"/>
          <w:i/>
          <w:sz w:val="20"/>
        </w:rPr>
        <w:t>Shipping</w:t>
      </w:r>
      <w:r>
        <w:rPr>
          <w:rFonts w:ascii="Arial" w:hAnsi="Arial"/>
          <w:i/>
          <w:spacing w:val="16"/>
          <w:sz w:val="20"/>
        </w:rPr>
        <w:t> </w:t>
      </w:r>
      <w:r>
        <w:rPr>
          <w:rFonts w:ascii="Arial" w:hAnsi="Arial"/>
          <w:i/>
          <w:sz w:val="20"/>
        </w:rPr>
        <w:t>SA</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TMT</w:t>
      </w:r>
      <w:r>
        <w:rPr>
          <w:rFonts w:ascii="Arial" w:hAnsi="Arial"/>
          <w:i/>
          <w:spacing w:val="16"/>
          <w:sz w:val="20"/>
        </w:rPr>
        <w:t> </w:t>
      </w:r>
      <w:r>
        <w:rPr>
          <w:rFonts w:ascii="Arial" w:hAnsi="Arial"/>
          <w:i/>
          <w:sz w:val="20"/>
        </w:rPr>
        <w:t>Asia</w:t>
      </w:r>
      <w:r>
        <w:rPr>
          <w:rFonts w:ascii="Arial" w:hAnsi="Arial"/>
          <w:i/>
          <w:spacing w:val="16"/>
          <w:sz w:val="20"/>
        </w:rPr>
        <w:t> </w:t>
      </w:r>
      <w:r>
        <w:rPr>
          <w:rFonts w:ascii="Arial" w:hAnsi="Arial"/>
          <w:i/>
          <w:spacing w:val="-5"/>
          <w:sz w:val="20"/>
        </w:rPr>
        <w:t>Ltd</w:t>
      </w:r>
    </w:p>
    <w:p>
      <w:pPr>
        <w:spacing w:line="224" w:lineRule="exact" w:before="0"/>
        <w:ind w:left="705" w:right="0" w:firstLine="0"/>
        <w:jc w:val="left"/>
        <w:rPr>
          <w:sz w:val="20"/>
        </w:rPr>
      </w:pPr>
      <w:r>
        <w:rPr>
          <w:rFonts w:ascii="Arial"/>
          <w:i/>
          <w:sz w:val="20"/>
        </w:rPr>
        <w:t>[2010] UKSC 44, [2011] 1 A.C. 662</w:t>
      </w:r>
      <w:r>
        <w:rPr>
          <w:rFonts w:ascii="Arial"/>
          <w:i/>
          <w:spacing w:val="-1"/>
          <w:sz w:val="20"/>
        </w:rPr>
        <w:t> </w:t>
      </w:r>
      <w:r>
        <w:rPr>
          <w:sz w:val="20"/>
        </w:rPr>
        <w:t>and see further below, paras 13-041 et </w:t>
      </w:r>
      <w:r>
        <w:rPr>
          <w:spacing w:val="-4"/>
          <w:sz w:val="20"/>
        </w:rPr>
        <w:t>seq.</w:t>
      </w:r>
    </w:p>
    <w:p>
      <w:pPr>
        <w:pStyle w:val="BodyText"/>
        <w:spacing w:before="9"/>
      </w:pPr>
    </w:p>
    <w:p>
      <w:pPr>
        <w:spacing w:line="235" w:lineRule="auto" w:before="0"/>
        <w:ind w:left="705" w:right="167" w:hanging="541"/>
        <w:jc w:val="both"/>
        <w:rPr>
          <w:sz w:val="20"/>
        </w:rPr>
      </w:pPr>
      <w:bookmarkStart w:name="_bookmark885" w:id="887"/>
      <w:bookmarkEnd w:id="887"/>
      <w:r>
        <w:rPr/>
      </w:r>
      <w:hyperlink w:history="true" w:anchor="_bookmark717">
        <w:r>
          <w:rPr>
            <w:color w:val="005DA1"/>
            <w:position w:val="5"/>
            <w:sz w:val="14"/>
            <w:u w:val="single" w:color="005DA1"/>
          </w:rPr>
          <w:t>435</w:t>
        </w:r>
      </w:hyperlink>
      <w:r>
        <w:rPr>
          <w:position w:val="5"/>
          <w:sz w:val="14"/>
        </w:rPr>
        <w:t>.</w:t>
      </w:r>
      <w:r>
        <w:rPr>
          <w:spacing w:val="80"/>
          <w:position w:val="5"/>
          <w:sz w:val="14"/>
        </w:rPr>
        <w:t>  </w:t>
      </w:r>
      <w:r>
        <w:rPr>
          <w:rFonts w:ascii="Arial"/>
          <w:i/>
          <w:sz w:val="20"/>
        </w:rPr>
        <w:t>Wickman</w:t>
      </w:r>
      <w:r>
        <w:rPr>
          <w:rFonts w:ascii="Arial"/>
          <w:i/>
          <w:spacing w:val="21"/>
          <w:sz w:val="20"/>
        </w:rPr>
        <w:t> </w:t>
      </w:r>
      <w:r>
        <w:rPr>
          <w:rFonts w:ascii="Arial"/>
          <w:i/>
          <w:sz w:val="20"/>
        </w:rPr>
        <w:t>Machine</w:t>
      </w:r>
      <w:r>
        <w:rPr>
          <w:rFonts w:ascii="Arial"/>
          <w:i/>
          <w:spacing w:val="21"/>
          <w:sz w:val="20"/>
        </w:rPr>
        <w:t> </w:t>
      </w:r>
      <w:r>
        <w:rPr>
          <w:rFonts w:ascii="Arial"/>
          <w:i/>
          <w:sz w:val="20"/>
        </w:rPr>
        <w:t>Tool</w:t>
      </w:r>
      <w:r>
        <w:rPr>
          <w:rFonts w:ascii="Arial"/>
          <w:i/>
          <w:spacing w:val="21"/>
          <w:sz w:val="20"/>
        </w:rPr>
        <w:t> </w:t>
      </w:r>
      <w:r>
        <w:rPr>
          <w:rFonts w:ascii="Arial"/>
          <w:i/>
          <w:sz w:val="20"/>
        </w:rPr>
        <w:t>Sales</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Schuler</w:t>
      </w:r>
      <w:r>
        <w:rPr>
          <w:rFonts w:ascii="Arial"/>
          <w:i/>
          <w:spacing w:val="21"/>
          <w:sz w:val="20"/>
        </w:rPr>
        <w:t> </w:t>
      </w:r>
      <w:r>
        <w:rPr>
          <w:rFonts w:ascii="Arial"/>
          <w:i/>
          <w:sz w:val="20"/>
        </w:rPr>
        <w:t>A.G.</w:t>
      </w:r>
      <w:r>
        <w:rPr>
          <w:rFonts w:ascii="Arial"/>
          <w:i/>
          <w:spacing w:val="21"/>
          <w:sz w:val="20"/>
        </w:rPr>
        <w:t> </w:t>
      </w:r>
      <w:r>
        <w:rPr>
          <w:rFonts w:ascii="Arial"/>
          <w:i/>
          <w:sz w:val="20"/>
        </w:rPr>
        <w:t>[1974]</w:t>
      </w:r>
      <w:r>
        <w:rPr>
          <w:rFonts w:ascii="Arial"/>
          <w:i/>
          <w:spacing w:val="21"/>
          <w:sz w:val="20"/>
        </w:rPr>
        <w:t> </w:t>
      </w:r>
      <w:r>
        <w:rPr>
          <w:rFonts w:ascii="Arial"/>
          <w:i/>
          <w:sz w:val="20"/>
        </w:rPr>
        <w:t>A.C.</w:t>
      </w:r>
      <w:r>
        <w:rPr>
          <w:rFonts w:ascii="Arial"/>
          <w:i/>
          <w:spacing w:val="21"/>
          <w:sz w:val="20"/>
        </w:rPr>
        <w:t> </w:t>
      </w:r>
      <w:r>
        <w:rPr>
          <w:rFonts w:ascii="Arial"/>
          <w:i/>
          <w:sz w:val="20"/>
        </w:rPr>
        <w:t>235,</w:t>
      </w:r>
      <w:r>
        <w:rPr>
          <w:rFonts w:ascii="Arial"/>
          <w:i/>
          <w:spacing w:val="21"/>
          <w:sz w:val="20"/>
        </w:rPr>
        <w:t> </w:t>
      </w:r>
      <w:r>
        <w:rPr>
          <w:rFonts w:ascii="Arial"/>
          <w:i/>
          <w:sz w:val="20"/>
        </w:rPr>
        <w:t>251</w:t>
      </w:r>
      <w:r>
        <w:rPr>
          <w:sz w:val="20"/>
        </w:rPr>
        <w:t>.</w:t>
      </w:r>
      <w:r>
        <w:rPr>
          <w:spacing w:val="21"/>
          <w:sz w:val="20"/>
        </w:rPr>
        <w:t> </w:t>
      </w:r>
      <w:r>
        <w:rPr>
          <w:sz w:val="20"/>
        </w:rPr>
        <w:t>For</w:t>
      </w:r>
      <w:r>
        <w:rPr>
          <w:spacing w:val="21"/>
          <w:sz w:val="20"/>
        </w:rPr>
        <w:t> </w:t>
      </w:r>
      <w:r>
        <w:rPr>
          <w:sz w:val="20"/>
        </w:rPr>
        <w:t>examples</w:t>
      </w:r>
      <w:r>
        <w:rPr>
          <w:spacing w:val="21"/>
          <w:sz w:val="20"/>
        </w:rPr>
        <w:t> </w:t>
      </w:r>
      <w:r>
        <w:rPr>
          <w:sz w:val="20"/>
        </w:rPr>
        <w:t>of</w:t>
      </w:r>
      <w:r>
        <w:rPr>
          <w:spacing w:val="21"/>
          <w:sz w:val="20"/>
        </w:rPr>
        <w:t> </w:t>
      </w:r>
      <w:r>
        <w:rPr>
          <w:sz w:val="20"/>
        </w:rPr>
        <w:t>this sort of approach in the context of rights of termination of a contract see </w:t>
      </w:r>
      <w:r>
        <w:rPr>
          <w:rFonts w:ascii="Arial"/>
          <w:i/>
          <w:sz w:val="20"/>
        </w:rPr>
        <w:t>Ringway Roadmarking</w:t>
      </w:r>
      <w:r>
        <w:rPr>
          <w:rFonts w:ascii="Arial"/>
          <w:i/>
          <w:spacing w:val="40"/>
          <w:sz w:val="20"/>
        </w:rPr>
        <w:t> </w:t>
      </w:r>
      <w:r>
        <w:rPr>
          <w:rFonts w:ascii="Arial"/>
          <w:i/>
          <w:sz w:val="20"/>
        </w:rPr>
        <w:t>v Adbruf Ltd [1998] 2 B.C.L.C. 625</w:t>
      </w:r>
      <w:r>
        <w:rPr>
          <w:sz w:val="20"/>
        </w:rPr>
        <w:t>; </w:t>
      </w:r>
      <w:r>
        <w:rPr>
          <w:rFonts w:ascii="Arial"/>
          <w:i/>
          <w:sz w:val="20"/>
        </w:rPr>
        <w:t>Rice (t/a The Garden Guardian) v Great Yarmouth BC (2001) 3 L.G.L.R. 4, CA</w:t>
      </w:r>
      <w:r>
        <w:rPr>
          <w:sz w:val="20"/>
        </w:rPr>
        <w:t>; </w:t>
      </w:r>
      <w:r>
        <w:rPr>
          <w:rFonts w:ascii="Arial"/>
          <w:i/>
          <w:sz w:val="20"/>
        </w:rPr>
        <w:t>Dominion Corporate Trustees Ltd v Debenhams Properties Ltd [2010] EWHC 1193 (Ch), [2010] N.P.C. 63</w:t>
      </w:r>
      <w:r>
        <w:rPr>
          <w:sz w:val="20"/>
        </w:rPr>
        <w:t>.</w:t>
      </w:r>
    </w:p>
    <w:p>
      <w:pPr>
        <w:pStyle w:val="BodyText"/>
        <w:spacing w:before="8"/>
      </w:pPr>
    </w:p>
    <w:p>
      <w:pPr>
        <w:spacing w:line="235" w:lineRule="auto" w:before="0"/>
        <w:ind w:left="705" w:right="167" w:hanging="541"/>
        <w:jc w:val="both"/>
        <w:rPr>
          <w:rFonts w:ascii="Arial"/>
          <w:i/>
          <w:sz w:val="20"/>
        </w:rPr>
      </w:pPr>
      <w:bookmarkStart w:name="_bookmark886" w:id="888"/>
      <w:bookmarkEnd w:id="888"/>
      <w:r>
        <w:rPr/>
      </w:r>
      <w:hyperlink w:history="true" w:anchor="_bookmark718">
        <w:r>
          <w:rPr>
            <w:color w:val="005DA1"/>
            <w:position w:val="5"/>
            <w:sz w:val="14"/>
            <w:u w:val="single" w:color="005DA1"/>
          </w:rPr>
          <w:t>436</w:t>
        </w:r>
      </w:hyperlink>
      <w:r>
        <w:rPr>
          <w:position w:val="5"/>
          <w:sz w:val="14"/>
        </w:rPr>
        <w:t>.</w:t>
      </w:r>
      <w:r>
        <w:rPr>
          <w:spacing w:val="80"/>
          <w:position w:val="5"/>
          <w:sz w:val="14"/>
        </w:rPr>
        <w:t> </w:t>
      </w:r>
      <w:r>
        <w:rPr>
          <w:rFonts w:ascii="Arial"/>
          <w:i/>
          <w:sz w:val="20"/>
        </w:rPr>
        <w:t>Rainy Sky SA v Kookmin Bank [2001] UKSC 50, [2011] 1 W.L.R. 2900 </w:t>
      </w:r>
      <w:r>
        <w:rPr>
          <w:sz w:val="20"/>
        </w:rPr>
        <w:t>at [21] and </w:t>
      </w:r>
      <w:r>
        <w:rPr>
          <w:sz w:val="20"/>
        </w:rPr>
        <w:t>[23] respectively per Lord Clarke of Stone-cum-Ebony J.S.C. with whom the other JJSC agreed. cf. </w:t>
      </w:r>
      <w:r>
        <w:rPr>
          <w:rFonts w:ascii="Arial"/>
          <w:i/>
          <w:sz w:val="20"/>
        </w:rPr>
        <w:t>OMV</w:t>
      </w:r>
      <w:r>
        <w:rPr>
          <w:rFonts w:ascii="Arial"/>
          <w:i/>
          <w:spacing w:val="42"/>
          <w:sz w:val="20"/>
        </w:rPr>
        <w:t> </w:t>
      </w:r>
      <w:r>
        <w:rPr>
          <w:rFonts w:ascii="Arial"/>
          <w:i/>
          <w:sz w:val="20"/>
        </w:rPr>
        <w:t>Supply</w:t>
      </w:r>
      <w:r>
        <w:rPr>
          <w:rFonts w:ascii="Arial"/>
          <w:i/>
          <w:spacing w:val="42"/>
          <w:sz w:val="20"/>
        </w:rPr>
        <w:t> </w:t>
      </w:r>
      <w:r>
        <w:rPr>
          <w:rFonts w:ascii="Arial"/>
          <w:i/>
          <w:sz w:val="20"/>
        </w:rPr>
        <w:t>and</w:t>
      </w:r>
      <w:r>
        <w:rPr>
          <w:rFonts w:ascii="Arial"/>
          <w:i/>
          <w:spacing w:val="42"/>
          <w:sz w:val="20"/>
        </w:rPr>
        <w:t> </w:t>
      </w:r>
      <w:r>
        <w:rPr>
          <w:rFonts w:ascii="Arial"/>
          <w:i/>
          <w:sz w:val="20"/>
        </w:rPr>
        <w:t>Trading</w:t>
      </w:r>
      <w:r>
        <w:rPr>
          <w:rFonts w:ascii="Arial"/>
          <w:i/>
          <w:spacing w:val="42"/>
          <w:sz w:val="20"/>
        </w:rPr>
        <w:t> </w:t>
      </w:r>
      <w:r>
        <w:rPr>
          <w:rFonts w:ascii="Arial"/>
          <w:i/>
          <w:sz w:val="20"/>
        </w:rPr>
        <w:t>AG</w:t>
      </w:r>
      <w:r>
        <w:rPr>
          <w:rFonts w:ascii="Arial"/>
          <w:i/>
          <w:spacing w:val="42"/>
          <w:sz w:val="20"/>
        </w:rPr>
        <w:t> </w:t>
      </w:r>
      <w:r>
        <w:rPr>
          <w:rFonts w:ascii="Arial"/>
          <w:i/>
          <w:sz w:val="20"/>
        </w:rPr>
        <w:t>v</w:t>
      </w:r>
      <w:r>
        <w:rPr>
          <w:rFonts w:ascii="Arial"/>
          <w:i/>
          <w:spacing w:val="42"/>
          <w:sz w:val="20"/>
        </w:rPr>
        <w:t> </w:t>
      </w:r>
      <w:r>
        <w:rPr>
          <w:rFonts w:ascii="Arial"/>
          <w:i/>
          <w:sz w:val="20"/>
        </w:rPr>
        <w:t>Kazmunaygaz</w:t>
      </w:r>
      <w:r>
        <w:rPr>
          <w:rFonts w:ascii="Arial"/>
          <w:i/>
          <w:spacing w:val="42"/>
          <w:sz w:val="20"/>
        </w:rPr>
        <w:t> </w:t>
      </w:r>
      <w:r>
        <w:rPr>
          <w:rFonts w:ascii="Arial"/>
          <w:i/>
          <w:sz w:val="20"/>
        </w:rPr>
        <w:t>Trading</w:t>
      </w:r>
      <w:r>
        <w:rPr>
          <w:rFonts w:ascii="Arial"/>
          <w:i/>
          <w:spacing w:val="42"/>
          <w:sz w:val="20"/>
        </w:rPr>
        <w:t> </w:t>
      </w:r>
      <w:r>
        <w:rPr>
          <w:rFonts w:ascii="Arial"/>
          <w:i/>
          <w:sz w:val="20"/>
        </w:rPr>
        <w:t>AG</w:t>
      </w:r>
      <w:r>
        <w:rPr>
          <w:rFonts w:ascii="Arial"/>
          <w:i/>
          <w:spacing w:val="42"/>
          <w:sz w:val="20"/>
        </w:rPr>
        <w:t> </w:t>
      </w:r>
      <w:r>
        <w:rPr>
          <w:rFonts w:ascii="Arial"/>
          <w:i/>
          <w:sz w:val="20"/>
        </w:rPr>
        <w:t>[2014]</w:t>
      </w:r>
      <w:r>
        <w:rPr>
          <w:rFonts w:ascii="Arial"/>
          <w:i/>
          <w:spacing w:val="42"/>
          <w:sz w:val="20"/>
        </w:rPr>
        <w:t> </w:t>
      </w:r>
      <w:r>
        <w:rPr>
          <w:rFonts w:ascii="Arial"/>
          <w:i/>
          <w:sz w:val="20"/>
        </w:rPr>
        <w:t>EWCA</w:t>
      </w:r>
      <w:r>
        <w:rPr>
          <w:rFonts w:ascii="Arial"/>
          <w:i/>
          <w:spacing w:val="42"/>
          <w:sz w:val="20"/>
        </w:rPr>
        <w:t> </w:t>
      </w:r>
      <w:r>
        <w:rPr>
          <w:rFonts w:ascii="Arial"/>
          <w:i/>
          <w:sz w:val="20"/>
        </w:rPr>
        <w:t>Civ</w:t>
      </w:r>
      <w:r>
        <w:rPr>
          <w:rFonts w:ascii="Arial"/>
          <w:i/>
          <w:spacing w:val="42"/>
          <w:sz w:val="20"/>
        </w:rPr>
        <w:t> </w:t>
      </w:r>
      <w:r>
        <w:rPr>
          <w:rFonts w:ascii="Arial"/>
          <w:i/>
          <w:sz w:val="20"/>
        </w:rPr>
        <w:t>75.</w:t>
      </w:r>
      <w:r>
        <w:rPr>
          <w:rFonts w:ascii="Arial"/>
          <w:i/>
          <w:spacing w:val="42"/>
          <w:sz w:val="20"/>
        </w:rPr>
        <w:t> </w:t>
      </w:r>
      <w:r>
        <w:rPr>
          <w:rFonts w:ascii="Arial"/>
          <w:i/>
          <w:sz w:val="20"/>
        </w:rPr>
        <w:t>[2014]</w:t>
      </w:r>
      <w:r>
        <w:rPr>
          <w:rFonts w:ascii="Arial"/>
          <w:i/>
          <w:spacing w:val="42"/>
          <w:sz w:val="20"/>
        </w:rPr>
        <w:t> </w:t>
      </w:r>
      <w:r>
        <w:rPr>
          <w:rFonts w:ascii="Arial"/>
          <w:i/>
          <w:spacing w:val="-10"/>
          <w:sz w:val="20"/>
        </w:rPr>
        <w:t>1</w:t>
      </w:r>
    </w:p>
    <w:p>
      <w:pPr>
        <w:pStyle w:val="BodyText"/>
        <w:spacing w:line="235" w:lineRule="auto"/>
        <w:ind w:left="705" w:right="168"/>
      </w:pPr>
      <w:r>
        <w:rPr>
          <w:rFonts w:ascii="Arial" w:hAnsi="Arial"/>
          <w:i/>
        </w:rPr>
        <w:t>C.L.C. 113 </w:t>
      </w:r>
      <w:r>
        <w:rPr/>
        <w:t>at [18] rejecting a construction which would have made the contract “grossly </w:t>
      </w:r>
      <w:r>
        <w:rPr/>
        <w:t>unfair” to a point which “borders on the absurd” (with supporting further reasons).</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4688">
            <wp:simplePos x="0" y="0"/>
            <wp:positionH relativeFrom="page">
              <wp:posOffset>1257846</wp:posOffset>
            </wp:positionH>
            <wp:positionV relativeFrom="paragraph">
              <wp:posOffset>160570</wp:posOffset>
            </wp:positionV>
            <wp:extent cx="107988" cy="107988"/>
            <wp:effectExtent l="0" t="0" r="0" b="0"/>
            <wp:wrapNone/>
            <wp:docPr id="288" name="Image 288"/>
            <wp:cNvGraphicFramePr>
              <a:graphicFrameLocks/>
            </wp:cNvGraphicFramePr>
            <a:graphic>
              <a:graphicData uri="http://schemas.openxmlformats.org/drawingml/2006/picture">
                <pic:pic>
                  <pic:nvPicPr>
                    <pic:cNvPr id="288" name="Image 28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87" w:id="889"/>
      <w:bookmarkEnd w:id="889"/>
      <w:r>
        <w:rPr/>
      </w:r>
      <w:hyperlink w:history="true" w:anchor="_bookmark719">
        <w:r>
          <w:rPr>
            <w:color w:val="005DA1"/>
            <w:spacing w:val="-4"/>
            <w:sz w:val="14"/>
            <w:u w:val="single" w:color="005DA1"/>
          </w:rPr>
          <w:t>437</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[2015] UKSC 36, [2015] A.C. 1619 </w:t>
      </w:r>
      <w:r>
        <w:rPr>
          <w:sz w:val="20"/>
        </w:rPr>
        <w:t>at [15] per Lord Neuberger of Abbotsbury P.S.C. </w:t>
      </w:r>
      <w:r>
        <w:rPr>
          <w:sz w:val="20"/>
        </w:rPr>
        <w:t>(with whom Lord Sumption and Lord Hughes JJ.S.C. agreed); Lord Hodge J.S.C. in a separate judgment also agreed with Lord Neuberger, at [66]). See also </w:t>
      </w:r>
      <w:r>
        <w:rPr>
          <w:rFonts w:ascii="Arial" w:hAnsi="Arial"/>
          <w:i/>
          <w:sz w:val="20"/>
        </w:rPr>
        <w:t>Wood v Capita Insurance Services Ltd [2017] UKSC 24, [2017] 2 W.L.R. 1095 </w:t>
      </w:r>
      <w:r>
        <w:rPr>
          <w:sz w:val="20"/>
        </w:rPr>
        <w:t>at [8]–[15].</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888" w:id="890"/>
      <w:bookmarkEnd w:id="890"/>
      <w:r>
        <w:rPr/>
      </w:r>
      <w:hyperlink w:history="true" w:anchor="_bookmark720">
        <w:r>
          <w:rPr>
            <w:color w:val="005DA1"/>
            <w:spacing w:val="-4"/>
            <w:sz w:val="14"/>
            <w:u w:val="single" w:color="005DA1"/>
          </w:rPr>
          <w:t>438</w:t>
        </w:r>
      </w:hyperlink>
      <w:r>
        <w:rPr>
          <w:spacing w:val="-4"/>
          <w:sz w:val="14"/>
        </w:rPr>
        <w:t>.</w:t>
      </w:r>
    </w:p>
    <w:p>
      <w:pPr>
        <w:spacing w:before="208"/>
        <w:ind w:left="335" w:right="0" w:firstLine="0"/>
        <w:jc w:val="left"/>
        <w:rPr>
          <w:sz w:val="20"/>
        </w:rPr>
      </w:pPr>
      <w:r>
        <w:rPr/>
        <w:br w:type="column"/>
      </w:r>
      <w:r>
        <w:rPr>
          <w:rFonts w:ascii="Arial"/>
          <w:i/>
          <w:sz w:val="20"/>
        </w:rPr>
        <w:t>[2015] UKSC 36</w:t>
      </w:r>
      <w:r>
        <w:rPr>
          <w:rFonts w:ascii="Arial"/>
          <w:i/>
          <w:spacing w:val="-1"/>
          <w:sz w:val="20"/>
        </w:rPr>
        <w:t> </w:t>
      </w:r>
      <w:r>
        <w:rPr>
          <w:sz w:val="20"/>
        </w:rPr>
        <w:t>at </w:t>
      </w:r>
      <w:r>
        <w:rPr>
          <w:spacing w:val="-2"/>
          <w:sz w:val="20"/>
        </w:rPr>
        <w:t>[15].</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5200">
            <wp:simplePos x="0" y="0"/>
            <wp:positionH relativeFrom="page">
              <wp:posOffset>1257846</wp:posOffset>
            </wp:positionH>
            <wp:positionV relativeFrom="paragraph">
              <wp:posOffset>-211209</wp:posOffset>
            </wp:positionV>
            <wp:extent cx="107988" cy="107988"/>
            <wp:effectExtent l="0" t="0" r="0" b="0"/>
            <wp:wrapNone/>
            <wp:docPr id="289" name="Image 289"/>
            <wp:cNvGraphicFramePr>
              <a:graphicFrameLocks/>
            </wp:cNvGraphicFramePr>
            <a:graphic>
              <a:graphicData uri="http://schemas.openxmlformats.org/drawingml/2006/picture">
                <pic:pic>
                  <pic:nvPicPr>
                    <pic:cNvPr id="289" name="Image 289"/>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95712">
            <wp:simplePos x="0" y="0"/>
            <wp:positionH relativeFrom="page">
              <wp:posOffset>1257846</wp:posOffset>
            </wp:positionH>
            <wp:positionV relativeFrom="paragraph">
              <wp:posOffset>160265</wp:posOffset>
            </wp:positionV>
            <wp:extent cx="107988" cy="107988"/>
            <wp:effectExtent l="0" t="0" r="0" b="0"/>
            <wp:wrapNone/>
            <wp:docPr id="290" name="Image 290"/>
            <wp:cNvGraphicFramePr>
              <a:graphicFrameLocks/>
            </wp:cNvGraphicFramePr>
            <a:graphic>
              <a:graphicData uri="http://schemas.openxmlformats.org/drawingml/2006/picture">
                <pic:pic>
                  <pic:nvPicPr>
                    <pic:cNvPr id="290" name="Image 29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89" w:id="891"/>
      <w:bookmarkEnd w:id="891"/>
      <w:r>
        <w:rPr/>
      </w:r>
      <w:hyperlink w:history="true" w:anchor="_bookmark721">
        <w:r>
          <w:rPr>
            <w:color w:val="005DA1"/>
            <w:spacing w:val="-4"/>
            <w:sz w:val="14"/>
            <w:u w:val="single" w:color="005DA1"/>
          </w:rPr>
          <w:t>439</w:t>
        </w:r>
      </w:hyperlink>
      <w:r>
        <w:rPr>
          <w:spacing w:val="-4"/>
          <w:sz w:val="14"/>
        </w:rPr>
        <w:t>.</w:t>
      </w:r>
    </w:p>
    <w:p>
      <w:pPr>
        <w:spacing w:line="235" w:lineRule="auto" w:before="212"/>
        <w:ind w:left="165" w:right="0" w:firstLine="170"/>
        <w:jc w:val="left"/>
        <w:rPr>
          <w:sz w:val="20"/>
        </w:rPr>
      </w:pPr>
      <w:r>
        <w:rPr/>
        <w:br w:type="column"/>
      </w:r>
      <w:r>
        <w:rPr>
          <w:rFonts w:ascii="Arial"/>
          <w:i/>
          <w:sz w:val="20"/>
        </w:rPr>
        <w:t>[2015] UKSC 36 </w:t>
      </w:r>
      <w:r>
        <w:rPr>
          <w:sz w:val="20"/>
        </w:rPr>
        <w:t>at [20] per Lord Neuberger of Abbotsbury P.S.C.; </w:t>
      </w:r>
      <w:r>
        <w:rPr>
          <w:rFonts w:ascii="Arial"/>
          <w:i/>
          <w:sz w:val="20"/>
        </w:rPr>
        <w:t>Globe Motors Inc v TRW Lucas Varity Electric Steering Ltd [2016] EWCA Civ 396, [2017] 1 All E.R. (Comm) 601 </w:t>
      </w:r>
      <w:r>
        <w:rPr>
          <w:sz w:val="20"/>
        </w:rPr>
        <w:t>at [62].</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890" w:id="892"/>
      <w:bookmarkEnd w:id="892"/>
      <w:r>
        <w:rPr/>
      </w:r>
      <w:hyperlink w:history="true" w:anchor="_bookmark722">
        <w:r>
          <w:rPr>
            <w:color w:val="005DA1"/>
            <w:spacing w:val="-4"/>
            <w:position w:val="5"/>
            <w:sz w:val="14"/>
            <w:u w:val="single" w:color="005DA1"/>
          </w:rPr>
          <w:t>440</w:t>
        </w:r>
      </w:hyperlink>
      <w:r>
        <w:rPr>
          <w:spacing w:val="-4"/>
          <w:position w:val="5"/>
          <w:sz w:val="14"/>
        </w:rPr>
        <w:t>.</w:t>
      </w:r>
      <w:r>
        <w:rPr>
          <w:position w:val="5"/>
          <w:sz w:val="14"/>
        </w:rPr>
        <w:tab/>
      </w:r>
      <w:r>
        <w:rPr>
          <w:rFonts w:ascii="Arial"/>
          <w:i/>
          <w:sz w:val="20"/>
        </w:rPr>
        <w:t>Alghussein Establishment v Eton College [1988] 1 W.L.R. </w:t>
      </w:r>
      <w:r>
        <w:rPr>
          <w:rFonts w:ascii="Arial"/>
          <w:i/>
          <w:spacing w:val="-4"/>
          <w:sz w:val="20"/>
        </w:rPr>
        <w:t>587</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891" w:id="893"/>
      <w:bookmarkEnd w:id="893"/>
      <w:r>
        <w:rPr/>
      </w:r>
      <w:hyperlink w:history="true" w:anchor="_bookmark723">
        <w:r>
          <w:rPr>
            <w:color w:val="005DA1"/>
            <w:spacing w:val="-4"/>
            <w:position w:val="5"/>
            <w:sz w:val="14"/>
            <w:u w:val="single" w:color="005DA1"/>
          </w:rPr>
          <w:t>441</w:t>
        </w:r>
      </w:hyperlink>
      <w:r>
        <w:rPr>
          <w:spacing w:val="-4"/>
          <w:position w:val="5"/>
          <w:sz w:val="14"/>
        </w:rPr>
        <w:t>.</w:t>
      </w:r>
      <w:r>
        <w:rPr>
          <w:position w:val="5"/>
          <w:sz w:val="14"/>
        </w:rPr>
        <w:tab/>
      </w:r>
      <w:r>
        <w:rPr>
          <w:rFonts w:ascii="Arial"/>
          <w:i/>
          <w:sz w:val="20"/>
        </w:rPr>
        <w:t>Pawley</w:t>
      </w:r>
      <w:r>
        <w:rPr>
          <w:rFonts w:ascii="Arial"/>
          <w:i/>
          <w:spacing w:val="14"/>
          <w:sz w:val="20"/>
        </w:rPr>
        <w:t> </w:t>
      </w:r>
      <w:r>
        <w:rPr>
          <w:rFonts w:ascii="Arial"/>
          <w:i/>
          <w:sz w:val="20"/>
        </w:rPr>
        <w:t>v</w:t>
      </w:r>
      <w:r>
        <w:rPr>
          <w:rFonts w:ascii="Arial"/>
          <w:i/>
          <w:spacing w:val="15"/>
          <w:sz w:val="20"/>
        </w:rPr>
        <w:t> </w:t>
      </w:r>
      <w:r>
        <w:rPr>
          <w:rFonts w:ascii="Arial"/>
          <w:i/>
          <w:sz w:val="20"/>
        </w:rPr>
        <w:t>Turnbull</w:t>
      </w:r>
      <w:r>
        <w:rPr>
          <w:rFonts w:ascii="Arial"/>
          <w:i/>
          <w:spacing w:val="15"/>
          <w:sz w:val="20"/>
        </w:rPr>
        <w:t> </w:t>
      </w:r>
      <w:r>
        <w:rPr>
          <w:rFonts w:ascii="Arial"/>
          <w:i/>
          <w:sz w:val="20"/>
        </w:rPr>
        <w:t>(1861)</w:t>
      </w:r>
      <w:r>
        <w:rPr>
          <w:rFonts w:ascii="Arial"/>
          <w:i/>
          <w:spacing w:val="15"/>
          <w:sz w:val="20"/>
        </w:rPr>
        <w:t> </w:t>
      </w:r>
      <w:r>
        <w:rPr>
          <w:rFonts w:ascii="Arial"/>
          <w:i/>
          <w:sz w:val="20"/>
        </w:rPr>
        <w:t>3</w:t>
      </w:r>
      <w:r>
        <w:rPr>
          <w:rFonts w:ascii="Arial"/>
          <w:i/>
          <w:spacing w:val="15"/>
          <w:sz w:val="20"/>
        </w:rPr>
        <w:t> </w:t>
      </w:r>
      <w:r>
        <w:rPr>
          <w:rFonts w:ascii="Arial"/>
          <w:i/>
          <w:sz w:val="20"/>
        </w:rPr>
        <w:t>Giff.</w:t>
      </w:r>
      <w:r>
        <w:rPr>
          <w:rFonts w:ascii="Arial"/>
          <w:i/>
          <w:spacing w:val="15"/>
          <w:sz w:val="20"/>
        </w:rPr>
        <w:t> </w:t>
      </w:r>
      <w:r>
        <w:rPr>
          <w:rFonts w:ascii="Arial"/>
          <w:i/>
          <w:sz w:val="20"/>
        </w:rPr>
        <w:t>70</w:t>
      </w:r>
      <w:r>
        <w:rPr>
          <w:sz w:val="20"/>
        </w:rPr>
        <w:t>;</w:t>
      </w:r>
      <w:r>
        <w:rPr>
          <w:spacing w:val="15"/>
          <w:sz w:val="20"/>
        </w:rPr>
        <w:t> </w:t>
      </w:r>
      <w:r>
        <w:rPr>
          <w:rFonts w:ascii="Arial"/>
          <w:i/>
          <w:sz w:val="20"/>
        </w:rPr>
        <w:t>Hickman</w:t>
      </w:r>
      <w:r>
        <w:rPr>
          <w:rFonts w:ascii="Arial"/>
          <w:i/>
          <w:spacing w:val="15"/>
          <w:sz w:val="20"/>
        </w:rPr>
        <w:t> </w:t>
      </w:r>
      <w:r>
        <w:rPr>
          <w:rFonts w:ascii="Arial"/>
          <w:i/>
          <w:sz w:val="20"/>
        </w:rPr>
        <w:t>&amp;</w:t>
      </w:r>
      <w:r>
        <w:rPr>
          <w:rFonts w:ascii="Arial"/>
          <w:i/>
          <w:spacing w:val="14"/>
          <w:sz w:val="20"/>
        </w:rPr>
        <w:t> </w:t>
      </w:r>
      <w:r>
        <w:rPr>
          <w:rFonts w:ascii="Arial"/>
          <w:i/>
          <w:sz w:val="20"/>
        </w:rPr>
        <w:t>Co</w:t>
      </w:r>
      <w:r>
        <w:rPr>
          <w:rFonts w:ascii="Arial"/>
          <w:i/>
          <w:spacing w:val="15"/>
          <w:sz w:val="20"/>
        </w:rPr>
        <w:t> </w:t>
      </w:r>
      <w:r>
        <w:rPr>
          <w:rFonts w:ascii="Arial"/>
          <w:i/>
          <w:sz w:val="20"/>
        </w:rPr>
        <w:t>v</w:t>
      </w:r>
      <w:r>
        <w:rPr>
          <w:rFonts w:ascii="Arial"/>
          <w:i/>
          <w:spacing w:val="15"/>
          <w:sz w:val="20"/>
        </w:rPr>
        <w:t> </w:t>
      </w:r>
      <w:r>
        <w:rPr>
          <w:rFonts w:ascii="Arial"/>
          <w:i/>
          <w:sz w:val="20"/>
        </w:rPr>
        <w:t>Roberts</w:t>
      </w:r>
      <w:r>
        <w:rPr>
          <w:rFonts w:ascii="Arial"/>
          <w:i/>
          <w:spacing w:val="15"/>
          <w:sz w:val="20"/>
        </w:rPr>
        <w:t> </w:t>
      </w:r>
      <w:r>
        <w:rPr>
          <w:rFonts w:ascii="Arial"/>
          <w:i/>
          <w:sz w:val="20"/>
        </w:rPr>
        <w:t>[1913]</w:t>
      </w:r>
      <w:r>
        <w:rPr>
          <w:rFonts w:ascii="Arial"/>
          <w:i/>
          <w:spacing w:val="15"/>
          <w:sz w:val="20"/>
        </w:rPr>
        <w:t> </w:t>
      </w:r>
      <w:r>
        <w:rPr>
          <w:rFonts w:ascii="Arial"/>
          <w:i/>
          <w:sz w:val="20"/>
        </w:rPr>
        <w:t>A.C.</w:t>
      </w:r>
      <w:r>
        <w:rPr>
          <w:rFonts w:ascii="Arial"/>
          <w:i/>
          <w:spacing w:val="15"/>
          <w:sz w:val="20"/>
        </w:rPr>
        <w:t> </w:t>
      </w:r>
      <w:r>
        <w:rPr>
          <w:rFonts w:ascii="Arial"/>
          <w:i/>
          <w:sz w:val="20"/>
        </w:rPr>
        <w:t>229</w:t>
      </w:r>
      <w:r>
        <w:rPr>
          <w:sz w:val="20"/>
        </w:rPr>
        <w:t>.</w:t>
      </w:r>
      <w:r>
        <w:rPr>
          <w:spacing w:val="15"/>
          <w:sz w:val="20"/>
        </w:rPr>
        <w:t> </w:t>
      </w:r>
      <w:r>
        <w:rPr>
          <w:sz w:val="20"/>
        </w:rPr>
        <w:t>cf.</w:t>
      </w:r>
      <w:r>
        <w:rPr>
          <w:spacing w:val="16"/>
          <w:sz w:val="20"/>
        </w:rPr>
        <w:t> </w:t>
      </w:r>
      <w:r>
        <w:rPr>
          <w:rFonts w:ascii="Arial"/>
          <w:i/>
          <w:sz w:val="20"/>
        </w:rPr>
        <w:t>Skidmore</w:t>
      </w:r>
      <w:r>
        <w:rPr>
          <w:rFonts w:ascii="Arial"/>
          <w:i/>
          <w:spacing w:val="15"/>
          <w:sz w:val="20"/>
        </w:rPr>
        <w:t> </w:t>
      </w:r>
      <w:r>
        <w:rPr>
          <w:rFonts w:ascii="Arial"/>
          <w:i/>
          <w:spacing w:val="-10"/>
          <w:sz w:val="20"/>
        </w:rPr>
        <w:t>v</w:t>
      </w:r>
    </w:p>
    <w:p>
      <w:pPr>
        <w:spacing w:line="235" w:lineRule="auto" w:before="2"/>
        <w:ind w:left="705" w:right="0" w:firstLine="0"/>
        <w:jc w:val="left"/>
        <w:rPr>
          <w:sz w:val="20"/>
        </w:rPr>
      </w:pPr>
      <w:r>
        <w:rPr>
          <w:rFonts w:ascii="Arial" w:hAnsi="Arial"/>
          <w:i/>
          <w:sz w:val="20"/>
        </w:rPr>
        <w:t>Dartford &amp; Gravesham NHS Trust [2003] UKHL 27, [2003] 3 All E.R. 292 </w:t>
      </w:r>
      <w:r>
        <w:rPr>
          <w:sz w:val="20"/>
        </w:rPr>
        <w:t>at [15]–[16] (power </w:t>
      </w:r>
      <w:r>
        <w:rPr>
          <w:sz w:val="20"/>
        </w:rPr>
        <w:t>to decide on disciplinary procedure in employment).</w:t>
      </w:r>
    </w:p>
    <w:p>
      <w:pPr>
        <w:spacing w:after="0" w:line="235" w:lineRule="auto"/>
        <w:jc w:val="left"/>
        <w:rPr>
          <w:sz w:val="20"/>
        </w:rPr>
        <w:sectPr>
          <w:type w:val="continuous"/>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724">
        <w:r>
          <w:rPr>
            <w:color w:val="005DA1"/>
            <w:spacing w:val="-4"/>
            <w:position w:val="5"/>
            <w:sz w:val="14"/>
            <w:u w:val="single" w:color="005DA1"/>
          </w:rPr>
          <w:t>442</w:t>
        </w:r>
      </w:hyperlink>
      <w:r>
        <w:rPr>
          <w:spacing w:val="-4"/>
          <w:position w:val="5"/>
          <w:sz w:val="14"/>
        </w:rPr>
        <w:t>.</w:t>
      </w:r>
      <w:r>
        <w:rPr>
          <w:position w:val="5"/>
          <w:sz w:val="14"/>
        </w:rPr>
        <w:tab/>
      </w:r>
      <w:r>
        <w:rPr>
          <w:rFonts w:ascii="Arial" w:hAnsi="Arial"/>
          <w:i/>
          <w:sz w:val="20"/>
        </w:rPr>
        <w:t>Colbelfret</w:t>
      </w:r>
      <w:r>
        <w:rPr>
          <w:rFonts w:ascii="Arial" w:hAnsi="Arial"/>
          <w:i/>
          <w:spacing w:val="25"/>
          <w:sz w:val="20"/>
        </w:rPr>
        <w:t> </w:t>
      </w:r>
      <w:r>
        <w:rPr>
          <w:rFonts w:ascii="Arial" w:hAnsi="Arial"/>
          <w:i/>
          <w:sz w:val="20"/>
        </w:rPr>
        <w:t>NV</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Cylclades</w:t>
      </w:r>
      <w:r>
        <w:rPr>
          <w:rFonts w:ascii="Arial" w:hAnsi="Arial"/>
          <w:i/>
          <w:spacing w:val="25"/>
          <w:sz w:val="20"/>
        </w:rPr>
        <w:t> </w:t>
      </w:r>
      <w:r>
        <w:rPr>
          <w:rFonts w:ascii="Arial" w:hAnsi="Arial"/>
          <w:i/>
          <w:sz w:val="20"/>
        </w:rPr>
        <w:t>Shipping</w:t>
      </w:r>
      <w:r>
        <w:rPr>
          <w:rFonts w:ascii="Arial" w:hAnsi="Arial"/>
          <w:i/>
          <w:spacing w:val="25"/>
          <w:sz w:val="20"/>
        </w:rPr>
        <w:t> </w:t>
      </w:r>
      <w:r>
        <w:rPr>
          <w:rFonts w:ascii="Arial" w:hAnsi="Arial"/>
          <w:i/>
          <w:sz w:val="20"/>
        </w:rPr>
        <w:t>Co</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(The</w:t>
      </w:r>
      <w:r>
        <w:rPr>
          <w:rFonts w:ascii="Arial" w:hAnsi="Arial"/>
          <w:i/>
          <w:spacing w:val="25"/>
          <w:sz w:val="20"/>
        </w:rPr>
        <w:t> </w:t>
      </w:r>
      <w:r>
        <w:rPr>
          <w:rFonts w:ascii="Arial" w:hAnsi="Arial"/>
          <w:i/>
          <w:sz w:val="20"/>
        </w:rPr>
        <w:t>Linardos)</w:t>
      </w:r>
      <w:r>
        <w:rPr>
          <w:rFonts w:ascii="Arial" w:hAnsi="Arial"/>
          <w:i/>
          <w:spacing w:val="25"/>
          <w:sz w:val="20"/>
        </w:rPr>
        <w:t> </w:t>
      </w:r>
      <w:r>
        <w:rPr>
          <w:rFonts w:ascii="Arial" w:hAnsi="Arial"/>
          <w:i/>
          <w:sz w:val="20"/>
        </w:rPr>
        <w:t>[1994]</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Lloyd’s</w:t>
      </w:r>
      <w:r>
        <w:rPr>
          <w:rFonts w:ascii="Arial" w:hAnsi="Arial"/>
          <w:i/>
          <w:spacing w:val="25"/>
          <w:sz w:val="20"/>
        </w:rPr>
        <w:t> </w:t>
      </w:r>
      <w:r>
        <w:rPr>
          <w:rFonts w:ascii="Arial" w:hAnsi="Arial"/>
          <w:i/>
          <w:sz w:val="20"/>
        </w:rPr>
        <w:t>Rep.</w:t>
      </w:r>
      <w:r>
        <w:rPr>
          <w:rFonts w:ascii="Arial" w:hAnsi="Arial"/>
          <w:i/>
          <w:spacing w:val="25"/>
          <w:sz w:val="20"/>
        </w:rPr>
        <w:t> </w:t>
      </w:r>
      <w:r>
        <w:rPr>
          <w:rFonts w:ascii="Arial" w:hAnsi="Arial"/>
          <w:i/>
          <w:sz w:val="20"/>
        </w:rPr>
        <w:t>28,</w:t>
      </w:r>
      <w:r>
        <w:rPr>
          <w:rFonts w:ascii="Arial" w:hAnsi="Arial"/>
          <w:i/>
          <w:spacing w:val="25"/>
          <w:sz w:val="20"/>
        </w:rPr>
        <w:t> </w:t>
      </w:r>
      <w:r>
        <w:rPr>
          <w:rFonts w:ascii="Arial" w:hAnsi="Arial"/>
          <w:i/>
          <w:sz w:val="20"/>
        </w:rPr>
        <w:t>32</w:t>
      </w:r>
      <w:r>
        <w:rPr>
          <w:sz w:val="20"/>
        </w:rPr>
        <w:t>,</w:t>
      </w:r>
      <w:r>
        <w:rPr>
          <w:spacing w:val="25"/>
          <w:sz w:val="20"/>
        </w:rPr>
        <w:t> </w:t>
      </w:r>
      <w:r>
        <w:rPr>
          <w:sz w:val="20"/>
        </w:rPr>
        <w:t>per Colman J.</w:t>
      </w:r>
    </w:p>
    <w:p>
      <w:pPr>
        <w:pStyle w:val="BodyText"/>
        <w:spacing w:before="6"/>
      </w:pPr>
    </w:p>
    <w:p>
      <w:pPr>
        <w:pStyle w:val="BodyText"/>
        <w:tabs>
          <w:tab w:pos="705" w:val="left" w:leader="none"/>
        </w:tabs>
        <w:ind w:left="165"/>
      </w:pPr>
      <w:bookmarkStart w:name="_bookmark892" w:id="894"/>
      <w:bookmarkEnd w:id="894"/>
      <w:r>
        <w:rPr/>
      </w:r>
      <w:hyperlink w:history="true" w:anchor="_bookmark725">
        <w:r>
          <w:rPr>
            <w:color w:val="005DA1"/>
            <w:spacing w:val="-4"/>
            <w:position w:val="5"/>
            <w:sz w:val="14"/>
            <w:u w:val="single" w:color="005DA1"/>
          </w:rPr>
          <w:t>443</w:t>
        </w:r>
      </w:hyperlink>
      <w:r>
        <w:rPr>
          <w:spacing w:val="-4"/>
          <w:position w:val="5"/>
          <w:sz w:val="14"/>
        </w:rPr>
        <w:t>.</w:t>
      </w:r>
      <w:r>
        <w:rPr>
          <w:position w:val="5"/>
          <w:sz w:val="14"/>
        </w:rPr>
        <w:tab/>
      </w:r>
      <w:r>
        <w:rPr/>
        <w:t>See</w:t>
      </w:r>
      <w:r>
        <w:rPr>
          <w:spacing w:val="-2"/>
        </w:rPr>
        <w:t> </w:t>
      </w:r>
      <w:r>
        <w:rPr/>
        <w:t>above, para.1-034 and see generally below, </w:t>
      </w:r>
      <w:r>
        <w:rPr>
          <w:spacing w:val="-2"/>
        </w:rPr>
        <w:t>Ch.14.</w:t>
      </w:r>
    </w:p>
    <w:p>
      <w:pPr>
        <w:pStyle w:val="BodyText"/>
        <w:spacing w:before="8"/>
      </w:pPr>
    </w:p>
    <w:p>
      <w:pPr>
        <w:spacing w:line="235" w:lineRule="auto" w:before="1"/>
        <w:ind w:left="705" w:right="167" w:hanging="541"/>
        <w:jc w:val="both"/>
        <w:rPr>
          <w:sz w:val="20"/>
        </w:rPr>
      </w:pPr>
      <w:bookmarkStart w:name="_bookmark893" w:id="895"/>
      <w:bookmarkEnd w:id="895"/>
      <w:r>
        <w:rPr/>
      </w:r>
      <w:hyperlink w:history="true" w:anchor="_bookmark726">
        <w:r>
          <w:rPr>
            <w:color w:val="005DA1"/>
            <w:position w:val="5"/>
            <w:sz w:val="14"/>
            <w:u w:val="single" w:color="005DA1"/>
          </w:rPr>
          <w:t>444</w:t>
        </w:r>
      </w:hyperlink>
      <w:r>
        <w:rPr>
          <w:position w:val="5"/>
          <w:sz w:val="14"/>
        </w:rPr>
        <w:t>.</w:t>
      </w:r>
      <w:r>
        <w:rPr>
          <w:spacing w:val="80"/>
          <w:w w:val="150"/>
          <w:position w:val="5"/>
          <w:sz w:val="14"/>
        </w:rPr>
        <w:t> </w:t>
      </w:r>
      <w:r>
        <w:rPr>
          <w:rFonts w:ascii="Arial"/>
          <w:i/>
          <w:sz w:val="20"/>
        </w:rPr>
        <w:t>Malik v Bank of Credit and Commerce International SA (In Liquidation) [1998] A.C. 20 </w:t>
      </w:r>
      <w:r>
        <w:rPr>
          <w:sz w:val="20"/>
        </w:rPr>
        <w:t>but see </w:t>
      </w:r>
      <w:r>
        <w:rPr>
          <w:rFonts w:ascii="Arial"/>
          <w:i/>
          <w:sz w:val="20"/>
        </w:rPr>
        <w:t>Johnson v Unisys Ltd [2001] UKHL 13, [2003] 1 A.C. 518 </w:t>
      </w:r>
      <w:r>
        <w:rPr>
          <w:sz w:val="20"/>
        </w:rPr>
        <w:t>(no term to be implied not to dismiss employee without good cause or in an unfair manner as inconsistent with the statutory system</w:t>
      </w:r>
      <w:r>
        <w:rPr>
          <w:spacing w:val="40"/>
          <w:sz w:val="20"/>
        </w:rPr>
        <w:t> </w:t>
      </w:r>
      <w:r>
        <w:rPr>
          <w:sz w:val="20"/>
        </w:rPr>
        <w:t>of unfair dismissal and see below, Vol.II, para.40-153) and cf. </w:t>
      </w:r>
      <w:r>
        <w:rPr>
          <w:rFonts w:ascii="Arial"/>
          <w:i/>
          <w:sz w:val="20"/>
        </w:rPr>
        <w:t>Modahl v British Athletic Federation [2001] EWCA Civ 1447, [2002] 1 W.L.R. 1192 </w:t>
      </w:r>
      <w:r>
        <w:rPr>
          <w:sz w:val="20"/>
        </w:rPr>
        <w:t>(implied term in contract of membership of British Athletic Federation under which Federation agreed to provide </w:t>
      </w:r>
      <w:r>
        <w:rPr>
          <w:sz w:val="20"/>
        </w:rPr>
        <w:t>a disciplinary hearing to provide a fair result overall).</w:t>
      </w:r>
    </w:p>
    <w:p>
      <w:pPr>
        <w:pStyle w:val="BodyText"/>
        <w:spacing w:before="3"/>
      </w:pPr>
    </w:p>
    <w:p>
      <w:pPr>
        <w:tabs>
          <w:tab w:pos="540" w:val="left" w:leader="none"/>
        </w:tabs>
        <w:spacing w:line="227" w:lineRule="exact" w:before="0"/>
        <w:ind w:left="0" w:right="168" w:firstLine="0"/>
        <w:jc w:val="right"/>
        <w:rPr>
          <w:rFonts w:ascii="Arial"/>
          <w:i/>
          <w:sz w:val="20"/>
        </w:rPr>
      </w:pPr>
      <w:bookmarkStart w:name="_bookmark894" w:id="896"/>
      <w:bookmarkEnd w:id="896"/>
      <w:r>
        <w:rPr/>
      </w:r>
      <w:hyperlink w:history="true" w:anchor="_bookmark727">
        <w:r>
          <w:rPr>
            <w:color w:val="005DA1"/>
            <w:spacing w:val="-4"/>
            <w:position w:val="5"/>
            <w:sz w:val="14"/>
            <w:u w:val="single" w:color="005DA1"/>
          </w:rPr>
          <w:t>445</w:t>
        </w:r>
      </w:hyperlink>
      <w:r>
        <w:rPr>
          <w:spacing w:val="-4"/>
          <w:position w:val="5"/>
          <w:sz w:val="14"/>
        </w:rPr>
        <w:t>.</w:t>
      </w:r>
      <w:r>
        <w:rPr>
          <w:position w:val="5"/>
          <w:sz w:val="14"/>
        </w:rPr>
        <w:tab/>
      </w:r>
      <w:r>
        <w:rPr>
          <w:rFonts w:ascii="Arial"/>
          <w:i/>
          <w:sz w:val="20"/>
        </w:rPr>
        <w:t>Johnson</w:t>
      </w:r>
      <w:r>
        <w:rPr>
          <w:rFonts w:ascii="Arial"/>
          <w:i/>
          <w:spacing w:val="12"/>
          <w:sz w:val="20"/>
        </w:rPr>
        <w:t> </w:t>
      </w:r>
      <w:r>
        <w:rPr>
          <w:rFonts w:ascii="Arial"/>
          <w:i/>
          <w:sz w:val="20"/>
        </w:rPr>
        <w:t>v</w:t>
      </w:r>
      <w:r>
        <w:rPr>
          <w:rFonts w:ascii="Arial"/>
          <w:i/>
          <w:spacing w:val="12"/>
          <w:sz w:val="20"/>
        </w:rPr>
        <w:t> </w:t>
      </w:r>
      <w:r>
        <w:rPr>
          <w:rFonts w:ascii="Arial"/>
          <w:i/>
          <w:sz w:val="20"/>
        </w:rPr>
        <w:t>Unisys</w:t>
      </w:r>
      <w:r>
        <w:rPr>
          <w:rFonts w:ascii="Arial"/>
          <w:i/>
          <w:spacing w:val="12"/>
          <w:sz w:val="20"/>
        </w:rPr>
        <w:t> </w:t>
      </w:r>
      <w:r>
        <w:rPr>
          <w:rFonts w:ascii="Arial"/>
          <w:i/>
          <w:sz w:val="20"/>
        </w:rPr>
        <w:t>Ltd</w:t>
      </w:r>
      <w:r>
        <w:rPr>
          <w:rFonts w:ascii="Arial"/>
          <w:i/>
          <w:spacing w:val="12"/>
          <w:sz w:val="20"/>
        </w:rPr>
        <w:t> </w:t>
      </w:r>
      <w:r>
        <w:rPr>
          <w:rFonts w:ascii="Arial"/>
          <w:i/>
          <w:sz w:val="20"/>
        </w:rPr>
        <w:t>[2001]</w:t>
      </w:r>
      <w:r>
        <w:rPr>
          <w:rFonts w:ascii="Arial"/>
          <w:i/>
          <w:spacing w:val="12"/>
          <w:sz w:val="20"/>
        </w:rPr>
        <w:t> </w:t>
      </w:r>
      <w:r>
        <w:rPr>
          <w:rFonts w:ascii="Arial"/>
          <w:i/>
          <w:sz w:val="20"/>
        </w:rPr>
        <w:t>UKHL</w:t>
      </w:r>
      <w:r>
        <w:rPr>
          <w:rFonts w:ascii="Arial"/>
          <w:i/>
          <w:spacing w:val="12"/>
          <w:sz w:val="20"/>
        </w:rPr>
        <w:t> </w:t>
      </w:r>
      <w:r>
        <w:rPr>
          <w:rFonts w:ascii="Arial"/>
          <w:i/>
          <w:sz w:val="20"/>
        </w:rPr>
        <w:t>13,</w:t>
      </w:r>
      <w:r>
        <w:rPr>
          <w:rFonts w:ascii="Arial"/>
          <w:i/>
          <w:spacing w:val="12"/>
          <w:sz w:val="20"/>
        </w:rPr>
        <w:t> </w:t>
      </w:r>
      <w:r>
        <w:rPr>
          <w:rFonts w:ascii="Arial"/>
          <w:i/>
          <w:sz w:val="20"/>
        </w:rPr>
        <w:t>[2003]</w:t>
      </w:r>
      <w:r>
        <w:rPr>
          <w:rFonts w:ascii="Arial"/>
          <w:i/>
          <w:spacing w:val="12"/>
          <w:sz w:val="20"/>
        </w:rPr>
        <w:t> </w:t>
      </w:r>
      <w:r>
        <w:rPr>
          <w:rFonts w:ascii="Arial"/>
          <w:i/>
          <w:sz w:val="20"/>
        </w:rPr>
        <w:t>1</w:t>
      </w:r>
      <w:r>
        <w:rPr>
          <w:rFonts w:ascii="Arial"/>
          <w:i/>
          <w:spacing w:val="12"/>
          <w:sz w:val="20"/>
        </w:rPr>
        <w:t> </w:t>
      </w:r>
      <w:r>
        <w:rPr>
          <w:rFonts w:ascii="Arial"/>
          <w:i/>
          <w:sz w:val="20"/>
        </w:rPr>
        <w:t>A.C.</w:t>
      </w:r>
      <w:r>
        <w:rPr>
          <w:rFonts w:ascii="Arial"/>
          <w:i/>
          <w:spacing w:val="12"/>
          <w:sz w:val="20"/>
        </w:rPr>
        <w:t> </w:t>
      </w:r>
      <w:r>
        <w:rPr>
          <w:rFonts w:ascii="Arial"/>
          <w:i/>
          <w:sz w:val="20"/>
        </w:rPr>
        <w:t>518</w:t>
      </w:r>
      <w:r>
        <w:rPr>
          <w:rFonts w:ascii="Arial"/>
          <w:i/>
          <w:spacing w:val="11"/>
          <w:sz w:val="20"/>
        </w:rPr>
        <w:t> </w:t>
      </w:r>
      <w:r>
        <w:rPr>
          <w:sz w:val="20"/>
        </w:rPr>
        <w:t>at</w:t>
      </w:r>
      <w:r>
        <w:rPr>
          <w:spacing w:val="12"/>
          <w:sz w:val="20"/>
        </w:rPr>
        <w:t> </w:t>
      </w:r>
      <w:r>
        <w:rPr>
          <w:sz w:val="20"/>
        </w:rPr>
        <w:t>[24].</w:t>
      </w:r>
      <w:r>
        <w:rPr>
          <w:spacing w:val="12"/>
          <w:sz w:val="20"/>
        </w:rPr>
        <w:t> </w:t>
      </w:r>
      <w:r>
        <w:rPr>
          <w:rFonts w:ascii="Arial"/>
          <w:i/>
          <w:sz w:val="20"/>
        </w:rPr>
        <w:t>Eastwood</w:t>
      </w:r>
      <w:r>
        <w:rPr>
          <w:rFonts w:ascii="Arial"/>
          <w:i/>
          <w:spacing w:val="12"/>
          <w:sz w:val="20"/>
        </w:rPr>
        <w:t> </w:t>
      </w:r>
      <w:r>
        <w:rPr>
          <w:rFonts w:ascii="Arial"/>
          <w:i/>
          <w:sz w:val="20"/>
        </w:rPr>
        <w:t>v</w:t>
      </w:r>
      <w:r>
        <w:rPr>
          <w:rFonts w:ascii="Arial"/>
          <w:i/>
          <w:spacing w:val="12"/>
          <w:sz w:val="20"/>
        </w:rPr>
        <w:t> </w:t>
      </w:r>
      <w:r>
        <w:rPr>
          <w:rFonts w:ascii="Arial"/>
          <w:i/>
          <w:sz w:val="20"/>
        </w:rPr>
        <w:t>Magnox</w:t>
      </w:r>
      <w:r>
        <w:rPr>
          <w:rFonts w:ascii="Arial"/>
          <w:i/>
          <w:spacing w:val="12"/>
          <w:sz w:val="20"/>
        </w:rPr>
        <w:t> </w:t>
      </w:r>
      <w:r>
        <w:rPr>
          <w:rFonts w:ascii="Arial"/>
          <w:i/>
          <w:spacing w:val="-2"/>
          <w:sz w:val="20"/>
        </w:rPr>
        <w:t>Electric</w:t>
      </w:r>
    </w:p>
    <w:p>
      <w:pPr>
        <w:spacing w:line="225" w:lineRule="exact" w:before="0"/>
        <w:ind w:left="0" w:right="168" w:firstLine="0"/>
        <w:jc w:val="right"/>
        <w:rPr>
          <w:rFonts w:ascii="Arial" w:hAnsi="Arial"/>
          <w:i/>
          <w:sz w:val="20"/>
        </w:rPr>
      </w:pPr>
      <w:r>
        <w:rPr>
          <w:rFonts w:ascii="Arial" w:hAnsi="Arial"/>
          <w:i/>
          <w:sz w:val="20"/>
        </w:rPr>
        <w:t>Plc</w:t>
      </w:r>
      <w:r>
        <w:rPr>
          <w:rFonts w:ascii="Arial" w:hAnsi="Arial"/>
          <w:i/>
          <w:spacing w:val="40"/>
          <w:sz w:val="20"/>
        </w:rPr>
        <w:t> </w:t>
      </w:r>
      <w:r>
        <w:rPr>
          <w:rFonts w:ascii="Arial" w:hAnsi="Arial"/>
          <w:i/>
          <w:sz w:val="20"/>
        </w:rPr>
        <w:t>[2004]</w:t>
      </w:r>
      <w:r>
        <w:rPr>
          <w:rFonts w:ascii="Arial" w:hAnsi="Arial"/>
          <w:i/>
          <w:spacing w:val="40"/>
          <w:sz w:val="20"/>
        </w:rPr>
        <w:t> </w:t>
      </w:r>
      <w:r>
        <w:rPr>
          <w:rFonts w:ascii="Arial" w:hAnsi="Arial"/>
          <w:i/>
          <w:sz w:val="20"/>
        </w:rPr>
        <w:t>UKHL</w:t>
      </w:r>
      <w:r>
        <w:rPr>
          <w:rFonts w:ascii="Arial" w:hAnsi="Arial"/>
          <w:i/>
          <w:spacing w:val="40"/>
          <w:sz w:val="20"/>
        </w:rPr>
        <w:t> </w:t>
      </w:r>
      <w:r>
        <w:rPr>
          <w:rFonts w:ascii="Arial" w:hAnsi="Arial"/>
          <w:i/>
          <w:sz w:val="20"/>
        </w:rPr>
        <w:t>35,</w:t>
      </w:r>
      <w:r>
        <w:rPr>
          <w:rFonts w:ascii="Arial" w:hAnsi="Arial"/>
          <w:i/>
          <w:spacing w:val="40"/>
          <w:sz w:val="20"/>
        </w:rPr>
        <w:t> </w:t>
      </w:r>
      <w:r>
        <w:rPr>
          <w:rFonts w:ascii="Arial" w:hAnsi="Arial"/>
          <w:i/>
          <w:sz w:val="20"/>
        </w:rPr>
        <w:t>[2005]</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503</w:t>
      </w:r>
      <w:r>
        <w:rPr>
          <w:rFonts w:ascii="Arial" w:hAnsi="Arial"/>
          <w:i/>
          <w:spacing w:val="40"/>
          <w:sz w:val="20"/>
        </w:rPr>
        <w:t> </w:t>
      </w:r>
      <w:r>
        <w:rPr>
          <w:sz w:val="20"/>
        </w:rPr>
        <w:t>at</w:t>
      </w:r>
      <w:r>
        <w:rPr>
          <w:spacing w:val="40"/>
          <w:sz w:val="20"/>
        </w:rPr>
        <w:t> </w:t>
      </w:r>
      <w:r>
        <w:rPr>
          <w:sz w:val="20"/>
        </w:rPr>
        <w:t>[4]–[6],</w:t>
      </w:r>
      <w:r>
        <w:rPr>
          <w:spacing w:val="40"/>
          <w:sz w:val="20"/>
        </w:rPr>
        <w:t> </w:t>
      </w:r>
      <w:r>
        <w:rPr>
          <w:sz w:val="20"/>
        </w:rPr>
        <w:t>[51];</w:t>
      </w:r>
      <w:r>
        <w:rPr>
          <w:spacing w:val="40"/>
          <w:sz w:val="20"/>
        </w:rPr>
        <w:t> </w:t>
      </w:r>
      <w:r>
        <w:rPr>
          <w:sz w:val="20"/>
        </w:rPr>
        <w:t>cf.</w:t>
      </w:r>
      <w:r>
        <w:rPr>
          <w:spacing w:val="40"/>
          <w:sz w:val="20"/>
        </w:rPr>
        <w:t> </w:t>
      </w:r>
      <w:r>
        <w:rPr>
          <w:rFonts w:ascii="Arial" w:hAnsi="Arial"/>
          <w:i/>
          <w:sz w:val="20"/>
        </w:rPr>
        <w:t>Prudential</w:t>
      </w:r>
      <w:r>
        <w:rPr>
          <w:rFonts w:ascii="Arial" w:hAnsi="Arial"/>
          <w:i/>
          <w:spacing w:val="40"/>
          <w:sz w:val="20"/>
        </w:rPr>
        <w:t> </w:t>
      </w:r>
      <w:r>
        <w:rPr>
          <w:rFonts w:ascii="Arial" w:hAnsi="Arial"/>
          <w:i/>
          <w:sz w:val="20"/>
        </w:rPr>
        <w:t>Staff</w:t>
      </w:r>
      <w:r>
        <w:rPr>
          <w:rFonts w:ascii="Arial" w:hAnsi="Arial"/>
          <w:i/>
          <w:spacing w:val="40"/>
          <w:sz w:val="20"/>
        </w:rPr>
        <w:t> </w:t>
      </w:r>
      <w:r>
        <w:rPr>
          <w:rFonts w:ascii="Arial" w:hAnsi="Arial"/>
          <w:i/>
          <w:sz w:val="20"/>
        </w:rPr>
        <w:t>Pensions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pacing w:val="-10"/>
          <w:sz w:val="20"/>
        </w:rPr>
        <w:t>v</w:t>
      </w:r>
    </w:p>
    <w:p>
      <w:pPr>
        <w:spacing w:line="235" w:lineRule="auto" w:before="1"/>
        <w:ind w:left="705" w:right="166" w:firstLine="0"/>
        <w:jc w:val="both"/>
        <w:rPr>
          <w:sz w:val="20"/>
        </w:rPr>
      </w:pPr>
      <w:r>
        <w:rPr>
          <w:rFonts w:ascii="Arial" w:hAnsi="Arial"/>
          <w:i/>
          <w:sz w:val="20"/>
        </w:rPr>
        <w:t>Prudential Assurance Co Ltd [2011] EWHC 960 (Ch), [2011] Pens. L.R. 239 </w:t>
      </w:r>
      <w:r>
        <w:rPr>
          <w:sz w:val="20"/>
        </w:rPr>
        <w:t>at </w:t>
      </w:r>
      <w:r>
        <w:rPr>
          <w:sz w:val="20"/>
        </w:rPr>
        <w:t>[140]–[153] (obligation of good faith on employer in relation to decision-making under employee pension scheme); </w:t>
      </w:r>
      <w:r>
        <w:rPr>
          <w:rFonts w:ascii="Arial" w:hAnsi="Arial"/>
          <w:i/>
          <w:sz w:val="20"/>
        </w:rPr>
        <w:t>Lonmar Global Risks Ltd v West [2010] EWHC 2878 (QB), [2011] I.R.L.R. 138 </w:t>
      </w:r>
      <w:r>
        <w:rPr>
          <w:sz w:val="20"/>
        </w:rPr>
        <w:t>at [148]–[159] (distinction between employee’s general duty of good faith and loyalty and employee’s fiduciary duty, which would arise where “the particular functions of an employee may require him to pursue the interests of his employer to the exclusion of other interests, including his own” ([2010] EWHC 2878 at [152], per Hickinbottom J.); </w:t>
      </w:r>
      <w:r>
        <w:rPr>
          <w:rFonts w:ascii="Arial" w:hAnsi="Arial"/>
          <w:i/>
          <w:sz w:val="20"/>
        </w:rPr>
        <w:t>Threlfall v ECD Insight</w:t>
      </w:r>
      <w:r>
        <w:rPr>
          <w:rFonts w:ascii="Arial" w:hAnsi="Arial"/>
          <w:i/>
          <w:spacing w:val="40"/>
          <w:sz w:val="20"/>
        </w:rPr>
        <w:t> </w:t>
      </w:r>
      <w:r>
        <w:rPr>
          <w:rFonts w:ascii="Arial" w:hAnsi="Arial"/>
          <w:i/>
          <w:sz w:val="20"/>
        </w:rPr>
        <w:t>Ltd [2012] EWHC 3543 (QB) </w:t>
      </w:r>
      <w:r>
        <w:rPr>
          <w:sz w:val="20"/>
        </w:rPr>
        <w:t>at [112]–[115]. See generally Bogg (2011) 32 Comparative Labor Law and Policy Journal 729. cf. </w:t>
      </w:r>
      <w:r>
        <w:rPr>
          <w:rFonts w:ascii="Arial" w:hAnsi="Arial"/>
          <w:i/>
          <w:sz w:val="20"/>
        </w:rPr>
        <w:t>Chelsfield Advisers LLP v Qatari Diar Real Estate Investment Co [2015] EWHC 1322 (Ch) </w:t>
      </w:r>
      <w:r>
        <w:rPr>
          <w:sz w:val="20"/>
        </w:rPr>
        <w:t>(no implied condition of mutual trust and confidence in contract setting some terms and acting as precursor for development contract).</w:t>
      </w:r>
    </w:p>
    <w:p>
      <w:pPr>
        <w:pStyle w:val="BodyText"/>
        <w:spacing w:before="2"/>
      </w:pPr>
    </w:p>
    <w:p>
      <w:pPr>
        <w:tabs>
          <w:tab w:pos="705" w:val="left" w:leader="none"/>
        </w:tabs>
        <w:spacing w:before="0"/>
        <w:ind w:left="165" w:right="0" w:firstLine="0"/>
        <w:jc w:val="left"/>
        <w:rPr>
          <w:sz w:val="20"/>
        </w:rPr>
      </w:pPr>
      <w:bookmarkStart w:name="_bookmark895" w:id="897"/>
      <w:bookmarkEnd w:id="897"/>
      <w:r>
        <w:rPr/>
      </w:r>
      <w:hyperlink w:history="true" w:anchor="_bookmark728">
        <w:r>
          <w:rPr>
            <w:color w:val="005DA1"/>
            <w:spacing w:val="-4"/>
            <w:position w:val="5"/>
            <w:sz w:val="14"/>
            <w:u w:val="single" w:color="005DA1"/>
          </w:rPr>
          <w:t>446</w:t>
        </w:r>
      </w:hyperlink>
      <w:r>
        <w:rPr>
          <w:spacing w:val="-4"/>
          <w:position w:val="5"/>
          <w:sz w:val="14"/>
        </w:rPr>
        <w:t>.</w:t>
      </w:r>
      <w:r>
        <w:rPr>
          <w:position w:val="5"/>
          <w:sz w:val="14"/>
        </w:rPr>
        <w:tab/>
      </w:r>
      <w:r>
        <w:rPr>
          <w:rFonts w:ascii="Arial"/>
          <w:i/>
          <w:sz w:val="20"/>
        </w:rPr>
        <w:t>[1992]</w:t>
      </w:r>
      <w:r>
        <w:rPr>
          <w:rFonts w:ascii="Arial"/>
          <w:i/>
          <w:spacing w:val="-1"/>
          <w:sz w:val="20"/>
        </w:rPr>
        <w:t> </w:t>
      </w:r>
      <w:r>
        <w:rPr>
          <w:rFonts w:ascii="Arial"/>
          <w:i/>
          <w:sz w:val="20"/>
        </w:rPr>
        <w:t>1 A.C. 294</w:t>
      </w:r>
      <w:r>
        <w:rPr>
          <w:sz w:val="20"/>
        </w:rPr>
        <w:t>. cf. </w:t>
      </w:r>
      <w:r>
        <w:rPr>
          <w:rFonts w:ascii="Arial"/>
          <w:i/>
          <w:sz w:val="20"/>
        </w:rPr>
        <w:t>University of Nottingham v Eyett [1999] 1 W.L.R. </w:t>
      </w:r>
      <w:r>
        <w:rPr>
          <w:rFonts w:ascii="Arial"/>
          <w:i/>
          <w:spacing w:val="-4"/>
          <w:sz w:val="20"/>
        </w:rPr>
        <w:t>594</w:t>
      </w:r>
      <w:r>
        <w:rPr>
          <w:spacing w:val="-4"/>
          <w:sz w:val="20"/>
        </w:rPr>
        <w:t>.</w:t>
      </w:r>
    </w:p>
    <w:p>
      <w:pPr>
        <w:pStyle w:val="BodyText"/>
        <w:spacing w:before="5"/>
      </w:pPr>
    </w:p>
    <w:p>
      <w:pPr>
        <w:tabs>
          <w:tab w:pos="705" w:val="left" w:leader="none"/>
        </w:tabs>
        <w:spacing w:line="227" w:lineRule="exact" w:before="1"/>
        <w:ind w:left="165" w:right="0" w:firstLine="0"/>
        <w:jc w:val="left"/>
        <w:rPr>
          <w:sz w:val="20"/>
        </w:rPr>
      </w:pPr>
      <w:bookmarkStart w:name="_bookmark896" w:id="898"/>
      <w:bookmarkEnd w:id="898"/>
      <w:r>
        <w:rPr/>
      </w:r>
      <w:hyperlink w:history="true" w:anchor="_bookmark729">
        <w:r>
          <w:rPr>
            <w:color w:val="005DA1"/>
            <w:spacing w:val="-4"/>
            <w:position w:val="5"/>
            <w:sz w:val="14"/>
            <w:u w:val="single" w:color="005DA1"/>
          </w:rPr>
          <w:t>447</w:t>
        </w:r>
      </w:hyperlink>
      <w:r>
        <w:rPr>
          <w:spacing w:val="-4"/>
          <w:position w:val="5"/>
          <w:sz w:val="14"/>
        </w:rPr>
        <w:t>.</w:t>
      </w:r>
      <w:r>
        <w:rPr>
          <w:position w:val="5"/>
          <w:sz w:val="14"/>
        </w:rPr>
        <w:tab/>
      </w:r>
      <w:r>
        <w:rPr>
          <w:rFonts w:ascii="Arial" w:hAnsi="Arial"/>
          <w:i/>
          <w:sz w:val="20"/>
        </w:rPr>
        <w:t>Horkulak</w:t>
      </w:r>
      <w:r>
        <w:rPr>
          <w:rFonts w:ascii="Arial" w:hAnsi="Arial"/>
          <w:i/>
          <w:spacing w:val="62"/>
          <w:w w:val="150"/>
          <w:sz w:val="20"/>
        </w:rPr>
        <w:t> </w:t>
      </w:r>
      <w:r>
        <w:rPr>
          <w:rFonts w:ascii="Arial" w:hAnsi="Arial"/>
          <w:i/>
          <w:sz w:val="20"/>
        </w:rPr>
        <w:t>v</w:t>
      </w:r>
      <w:r>
        <w:rPr>
          <w:rFonts w:ascii="Arial" w:hAnsi="Arial"/>
          <w:i/>
          <w:spacing w:val="62"/>
          <w:w w:val="150"/>
          <w:sz w:val="20"/>
        </w:rPr>
        <w:t> </w:t>
      </w:r>
      <w:r>
        <w:rPr>
          <w:rFonts w:ascii="Arial" w:hAnsi="Arial"/>
          <w:i/>
          <w:sz w:val="20"/>
        </w:rPr>
        <w:t>Cantor</w:t>
      </w:r>
      <w:r>
        <w:rPr>
          <w:rFonts w:ascii="Arial" w:hAnsi="Arial"/>
          <w:i/>
          <w:spacing w:val="62"/>
          <w:w w:val="150"/>
          <w:sz w:val="20"/>
        </w:rPr>
        <w:t> </w:t>
      </w:r>
      <w:r>
        <w:rPr>
          <w:rFonts w:ascii="Arial" w:hAnsi="Arial"/>
          <w:i/>
          <w:sz w:val="20"/>
        </w:rPr>
        <w:t>Fitzgerald</w:t>
      </w:r>
      <w:r>
        <w:rPr>
          <w:rFonts w:ascii="Arial" w:hAnsi="Arial"/>
          <w:i/>
          <w:spacing w:val="62"/>
          <w:w w:val="150"/>
          <w:sz w:val="20"/>
        </w:rPr>
        <w:t> </w:t>
      </w:r>
      <w:r>
        <w:rPr>
          <w:rFonts w:ascii="Arial" w:hAnsi="Arial"/>
          <w:i/>
          <w:sz w:val="20"/>
        </w:rPr>
        <w:t>[2004]</w:t>
      </w:r>
      <w:r>
        <w:rPr>
          <w:rFonts w:ascii="Arial" w:hAnsi="Arial"/>
          <w:i/>
          <w:spacing w:val="63"/>
          <w:w w:val="150"/>
          <w:sz w:val="20"/>
        </w:rPr>
        <w:t> </w:t>
      </w:r>
      <w:r>
        <w:rPr>
          <w:rFonts w:ascii="Arial" w:hAnsi="Arial"/>
          <w:i/>
          <w:sz w:val="20"/>
        </w:rPr>
        <w:t>EWCA</w:t>
      </w:r>
      <w:r>
        <w:rPr>
          <w:rFonts w:ascii="Arial" w:hAnsi="Arial"/>
          <w:i/>
          <w:spacing w:val="62"/>
          <w:w w:val="150"/>
          <w:sz w:val="20"/>
        </w:rPr>
        <w:t> </w:t>
      </w:r>
      <w:r>
        <w:rPr>
          <w:rFonts w:ascii="Arial" w:hAnsi="Arial"/>
          <w:i/>
          <w:sz w:val="20"/>
        </w:rPr>
        <w:t>Civ</w:t>
      </w:r>
      <w:r>
        <w:rPr>
          <w:rFonts w:ascii="Arial" w:hAnsi="Arial"/>
          <w:i/>
          <w:spacing w:val="62"/>
          <w:w w:val="150"/>
          <w:sz w:val="20"/>
        </w:rPr>
        <w:t> </w:t>
      </w:r>
      <w:r>
        <w:rPr>
          <w:rFonts w:ascii="Arial" w:hAnsi="Arial"/>
          <w:i/>
          <w:sz w:val="20"/>
        </w:rPr>
        <w:t>1287,</w:t>
      </w:r>
      <w:r>
        <w:rPr>
          <w:rFonts w:ascii="Arial" w:hAnsi="Arial"/>
          <w:i/>
          <w:spacing w:val="62"/>
          <w:w w:val="150"/>
          <w:sz w:val="20"/>
        </w:rPr>
        <w:t> </w:t>
      </w:r>
      <w:r>
        <w:rPr>
          <w:rFonts w:ascii="Arial" w:hAnsi="Arial"/>
          <w:i/>
          <w:sz w:val="20"/>
        </w:rPr>
        <w:t>[2005]</w:t>
      </w:r>
      <w:r>
        <w:rPr>
          <w:rFonts w:ascii="Arial" w:hAnsi="Arial"/>
          <w:i/>
          <w:spacing w:val="62"/>
          <w:w w:val="150"/>
          <w:sz w:val="20"/>
        </w:rPr>
        <w:t> </w:t>
      </w:r>
      <w:r>
        <w:rPr>
          <w:rFonts w:ascii="Arial" w:hAnsi="Arial"/>
          <w:i/>
          <w:sz w:val="20"/>
        </w:rPr>
        <w:t>I.C.R.</w:t>
      </w:r>
      <w:r>
        <w:rPr>
          <w:rFonts w:ascii="Arial" w:hAnsi="Arial"/>
          <w:i/>
          <w:spacing w:val="63"/>
          <w:w w:val="150"/>
          <w:sz w:val="20"/>
        </w:rPr>
        <w:t> </w:t>
      </w:r>
      <w:r>
        <w:rPr>
          <w:rFonts w:ascii="Arial" w:hAnsi="Arial"/>
          <w:i/>
          <w:sz w:val="20"/>
        </w:rPr>
        <w:t>402</w:t>
      </w:r>
      <w:r>
        <w:rPr>
          <w:rFonts w:ascii="Arial" w:hAnsi="Arial"/>
          <w:i/>
          <w:spacing w:val="62"/>
          <w:w w:val="150"/>
          <w:sz w:val="20"/>
        </w:rPr>
        <w:t> </w:t>
      </w:r>
      <w:r>
        <w:rPr>
          <w:sz w:val="20"/>
        </w:rPr>
        <w:t>at</w:t>
      </w:r>
      <w:r>
        <w:rPr>
          <w:spacing w:val="62"/>
          <w:w w:val="150"/>
          <w:sz w:val="20"/>
        </w:rPr>
        <w:t> </w:t>
      </w:r>
      <w:r>
        <w:rPr>
          <w:spacing w:val="-2"/>
          <w:sz w:val="20"/>
        </w:rPr>
        <w:t>[46]–[47];</w:t>
      </w:r>
    </w:p>
    <w:p>
      <w:pPr>
        <w:spacing w:line="227" w:lineRule="exact" w:before="0"/>
        <w:ind w:left="705" w:right="0" w:firstLine="0"/>
        <w:jc w:val="left"/>
        <w:rPr>
          <w:sz w:val="20"/>
        </w:rPr>
      </w:pPr>
      <w:r>
        <w:rPr>
          <w:rFonts w:ascii="Arial"/>
          <w:i/>
          <w:sz w:val="20"/>
        </w:rPr>
        <w:t>Commerzbank AG v Keen [2006] EWCA Civ 1536, [2007] I.C.R. 623</w:t>
      </w:r>
      <w:r>
        <w:rPr>
          <w:rFonts w:ascii="Arial"/>
          <w:i/>
          <w:spacing w:val="-1"/>
          <w:sz w:val="20"/>
        </w:rPr>
        <w:t> </w:t>
      </w:r>
      <w:r>
        <w:rPr>
          <w:sz w:val="20"/>
        </w:rPr>
        <w:t>at [53]-</w:t>
      </w:r>
      <w:r>
        <w:rPr>
          <w:spacing w:val="-2"/>
          <w:sz w:val="20"/>
        </w:rPr>
        <w:t>[59].</w:t>
      </w:r>
    </w:p>
    <w:p>
      <w:pPr>
        <w:pStyle w:val="BodyText"/>
        <w:spacing w:before="4"/>
      </w:pPr>
    </w:p>
    <w:p>
      <w:pPr>
        <w:tabs>
          <w:tab w:pos="705" w:val="left" w:leader="none"/>
        </w:tabs>
        <w:spacing w:before="1"/>
        <w:ind w:left="165" w:right="0" w:firstLine="0"/>
        <w:jc w:val="left"/>
        <w:rPr>
          <w:sz w:val="20"/>
        </w:rPr>
      </w:pPr>
      <w:bookmarkStart w:name="_bookmark897" w:id="899"/>
      <w:bookmarkEnd w:id="899"/>
      <w:r>
        <w:rPr/>
      </w:r>
      <w:hyperlink w:history="true" w:anchor="_bookmark730">
        <w:r>
          <w:rPr>
            <w:color w:val="005DA1"/>
            <w:spacing w:val="-4"/>
            <w:position w:val="5"/>
            <w:sz w:val="14"/>
            <w:u w:val="single" w:color="005DA1"/>
          </w:rPr>
          <w:t>448</w:t>
        </w:r>
      </w:hyperlink>
      <w:r>
        <w:rPr>
          <w:spacing w:val="-4"/>
          <w:position w:val="5"/>
          <w:sz w:val="14"/>
        </w:rPr>
        <w:t>.</w:t>
      </w:r>
      <w:r>
        <w:rPr>
          <w:position w:val="5"/>
          <w:sz w:val="14"/>
        </w:rPr>
        <w:tab/>
      </w:r>
      <w:r>
        <w:rPr>
          <w:rFonts w:ascii="Arial"/>
          <w:i/>
          <w:sz w:val="20"/>
        </w:rPr>
        <w:t>Trego v Hunt [1896] A.C. 7</w:t>
      </w:r>
      <w:r>
        <w:rPr>
          <w:rFonts w:ascii="Arial"/>
          <w:i/>
          <w:spacing w:val="-1"/>
          <w:sz w:val="20"/>
        </w:rPr>
        <w:t> </w:t>
      </w:r>
      <w:r>
        <w:rPr>
          <w:sz w:val="20"/>
        </w:rPr>
        <w:t>at 25, per Lord </w:t>
      </w:r>
      <w:r>
        <w:rPr>
          <w:spacing w:val="-2"/>
          <w:sz w:val="20"/>
        </w:rPr>
        <w:t>Macnaghten.</w:t>
      </w:r>
    </w:p>
    <w:p>
      <w:pPr>
        <w:pStyle w:val="BodyText"/>
        <w:spacing w:before="4"/>
      </w:pPr>
    </w:p>
    <w:p>
      <w:pPr>
        <w:tabs>
          <w:tab w:pos="705" w:val="left" w:leader="none"/>
        </w:tabs>
        <w:spacing w:before="1"/>
        <w:ind w:left="165" w:right="0" w:firstLine="0"/>
        <w:jc w:val="left"/>
        <w:rPr>
          <w:sz w:val="20"/>
        </w:rPr>
      </w:pPr>
      <w:bookmarkStart w:name="_bookmark898" w:id="900"/>
      <w:bookmarkEnd w:id="900"/>
      <w:r>
        <w:rPr/>
      </w:r>
      <w:hyperlink w:history="true" w:anchor="_bookmark731">
        <w:r>
          <w:rPr>
            <w:color w:val="005DA1"/>
            <w:spacing w:val="-4"/>
            <w:position w:val="5"/>
            <w:sz w:val="14"/>
            <w:u w:val="single" w:color="005DA1"/>
          </w:rPr>
          <w:t>449</w:t>
        </w:r>
      </w:hyperlink>
      <w:r>
        <w:rPr>
          <w:spacing w:val="-4"/>
          <w:position w:val="5"/>
          <w:sz w:val="14"/>
        </w:rPr>
        <w:t>.</w:t>
      </w:r>
      <w:r>
        <w:rPr>
          <w:position w:val="5"/>
          <w:sz w:val="14"/>
        </w:rPr>
        <w:tab/>
      </w:r>
      <w:r>
        <w:rPr>
          <w:rFonts w:ascii="Arial"/>
          <w:i/>
          <w:sz w:val="20"/>
        </w:rPr>
        <w:t>[1896] A.C. 7</w:t>
      </w:r>
      <w:r>
        <w:rPr>
          <w:rFonts w:ascii="Arial"/>
          <w:i/>
          <w:spacing w:val="-1"/>
          <w:sz w:val="20"/>
        </w:rPr>
        <w:t> </w:t>
      </w:r>
      <w:r>
        <w:rPr>
          <w:sz w:val="20"/>
        </w:rPr>
        <w:t>at </w:t>
      </w:r>
      <w:r>
        <w:rPr>
          <w:spacing w:val="-5"/>
          <w:sz w:val="20"/>
        </w:rPr>
        <w:t>20.</w:t>
      </w:r>
    </w:p>
    <w:p>
      <w:pPr>
        <w:pStyle w:val="BodyText"/>
        <w:spacing w:before="8"/>
      </w:pPr>
    </w:p>
    <w:p>
      <w:pPr>
        <w:tabs>
          <w:tab w:pos="705" w:val="left" w:leader="none"/>
        </w:tabs>
        <w:spacing w:line="235" w:lineRule="auto" w:before="0"/>
        <w:ind w:left="705" w:right="168" w:hanging="541"/>
        <w:jc w:val="left"/>
        <w:rPr>
          <w:sz w:val="20"/>
        </w:rPr>
      </w:pPr>
      <w:bookmarkStart w:name="_bookmark899" w:id="901"/>
      <w:bookmarkEnd w:id="901"/>
      <w:r>
        <w:rPr/>
      </w:r>
      <w:hyperlink w:history="true" w:anchor="_bookmark732">
        <w:r>
          <w:rPr>
            <w:color w:val="005DA1"/>
            <w:spacing w:val="-4"/>
            <w:position w:val="5"/>
            <w:sz w:val="14"/>
            <w:u w:val="single" w:color="005DA1"/>
          </w:rPr>
          <w:t>450</w:t>
        </w:r>
      </w:hyperlink>
      <w:r>
        <w:rPr>
          <w:spacing w:val="-4"/>
          <w:position w:val="5"/>
          <w:sz w:val="14"/>
        </w:rPr>
        <w:t>.</w:t>
      </w:r>
      <w:r>
        <w:rPr>
          <w:position w:val="5"/>
          <w:sz w:val="14"/>
        </w:rPr>
        <w:tab/>
      </w:r>
      <w:r>
        <w:rPr>
          <w:rFonts w:ascii="Arial" w:hAnsi="Arial"/>
          <w:i/>
          <w:sz w:val="20"/>
        </w:rPr>
        <w:t>J.H. Ritchie Ltd v Lloyd Ltd [2007] UKHL 9, [2007] 1 W.L.R. 670 </w:t>
      </w:r>
      <w:r>
        <w:rPr>
          <w:sz w:val="20"/>
        </w:rPr>
        <w:t>especially at [18], [36]–[37] (on appeal from Ct. of Sess).</w:t>
      </w:r>
    </w:p>
    <w:p>
      <w:pPr>
        <w:pStyle w:val="BodyText"/>
        <w:spacing w:before="9"/>
      </w:pPr>
    </w:p>
    <w:p>
      <w:pPr>
        <w:spacing w:line="235" w:lineRule="auto" w:before="1"/>
        <w:ind w:left="705" w:right="167" w:hanging="541"/>
        <w:jc w:val="both"/>
        <w:rPr>
          <w:sz w:val="20"/>
        </w:rPr>
      </w:pPr>
      <w:bookmarkStart w:name="_bookmark900" w:id="902"/>
      <w:bookmarkEnd w:id="902"/>
      <w:r>
        <w:rPr/>
      </w:r>
      <w:hyperlink w:history="true" w:anchor="_bookmark733">
        <w:r>
          <w:rPr>
            <w:color w:val="005DA1"/>
            <w:position w:val="5"/>
            <w:sz w:val="14"/>
            <w:u w:val="single" w:color="005DA1"/>
          </w:rPr>
          <w:t>451</w:t>
        </w:r>
      </w:hyperlink>
      <w:r>
        <w:rPr>
          <w:position w:val="5"/>
          <w:sz w:val="14"/>
        </w:rPr>
        <w:t>.</w:t>
      </w:r>
      <w:r>
        <w:rPr>
          <w:spacing w:val="40"/>
          <w:position w:val="5"/>
          <w:sz w:val="14"/>
        </w:rPr>
        <w:t>  </w:t>
      </w:r>
      <w:r>
        <w:rPr>
          <w:rFonts w:ascii="Arial" w:hAnsi="Arial"/>
          <w:i/>
          <w:sz w:val="20"/>
        </w:rPr>
        <w:t>Nathan v Smilovitch (No.2) [2002] EWHC 1629 (Ch) </w:t>
      </w:r>
      <w:r>
        <w:rPr>
          <w:sz w:val="20"/>
        </w:rPr>
        <w:t>at [9]; </w:t>
      </w:r>
      <w:r>
        <w:rPr>
          <w:rFonts w:ascii="Arial" w:hAnsi="Arial"/>
          <w:i/>
          <w:sz w:val="20"/>
        </w:rPr>
        <w:t>Training in Compliance Ltd v </w:t>
      </w:r>
      <w:r>
        <w:rPr>
          <w:rFonts w:ascii="Arial" w:hAnsi="Arial"/>
          <w:i/>
          <w:sz w:val="20"/>
        </w:rPr>
        <w:t>Dewse [2004]</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3094</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[2004]</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(D)</w:t>
      </w:r>
      <w:r>
        <w:rPr>
          <w:rFonts w:ascii="Arial" w:hAnsi="Arial"/>
          <w:i/>
          <w:spacing w:val="-2"/>
          <w:sz w:val="20"/>
        </w:rPr>
        <w:t> </w:t>
      </w:r>
      <w:r>
        <w:rPr>
          <w:rFonts w:ascii="Arial" w:hAnsi="Arial"/>
          <w:i/>
          <w:sz w:val="20"/>
        </w:rPr>
        <w:t>377</w:t>
      </w:r>
      <w:r>
        <w:rPr>
          <w:rFonts w:ascii="Arial" w:hAnsi="Arial"/>
          <w:i/>
          <w:spacing w:val="-2"/>
          <w:sz w:val="20"/>
        </w:rPr>
        <w:t> </w:t>
      </w:r>
      <w:r>
        <w:rPr>
          <w:rFonts w:ascii="Arial" w:hAnsi="Arial"/>
          <w:i/>
          <w:sz w:val="20"/>
        </w:rPr>
        <w:t>(Dec)</w:t>
      </w:r>
      <w:r>
        <w:rPr>
          <w:rFonts w:ascii="Arial" w:hAnsi="Arial"/>
          <w:i/>
          <w:spacing w:val="-3"/>
          <w:sz w:val="20"/>
        </w:rPr>
        <w:t> </w:t>
      </w:r>
      <w:r>
        <w:rPr>
          <w:sz w:val="20"/>
        </w:rPr>
        <w:t>(implied</w:t>
      </w:r>
      <w:r>
        <w:rPr>
          <w:spacing w:val="-2"/>
          <w:sz w:val="20"/>
        </w:rPr>
        <w:t> </w:t>
      </w:r>
      <w:r>
        <w:rPr>
          <w:sz w:val="20"/>
        </w:rPr>
        <w:t>terms</w:t>
      </w:r>
      <w:r>
        <w:rPr>
          <w:spacing w:val="-2"/>
          <w:sz w:val="20"/>
        </w:rPr>
        <w:t> </w:t>
      </w:r>
      <w:r>
        <w:rPr>
          <w:sz w:val="20"/>
        </w:rPr>
        <w:t>of</w:t>
      </w:r>
      <w:r>
        <w:rPr>
          <w:spacing w:val="-2"/>
          <w:sz w:val="20"/>
        </w:rPr>
        <w:t> </w:t>
      </w:r>
      <w:r>
        <w:rPr>
          <w:sz w:val="20"/>
        </w:rPr>
        <w:t>honesty</w:t>
      </w:r>
      <w:r>
        <w:rPr>
          <w:spacing w:val="-2"/>
          <w:sz w:val="20"/>
        </w:rPr>
        <w:t> </w:t>
      </w:r>
      <w:r>
        <w:rPr>
          <w:sz w:val="20"/>
        </w:rPr>
        <w:t>and</w:t>
      </w:r>
      <w:r>
        <w:rPr>
          <w:spacing w:val="-2"/>
          <w:sz w:val="20"/>
        </w:rPr>
        <w:t> </w:t>
      </w:r>
      <w:r>
        <w:rPr>
          <w:sz w:val="20"/>
        </w:rPr>
        <w:t>good</w:t>
      </w:r>
      <w:r>
        <w:rPr>
          <w:spacing w:val="-2"/>
          <w:sz w:val="20"/>
        </w:rPr>
        <w:t> </w:t>
      </w:r>
      <w:r>
        <w:rPr>
          <w:sz w:val="20"/>
        </w:rPr>
        <w:t>faith in contracts for joint business venture); </w:t>
      </w:r>
      <w:r>
        <w:rPr>
          <w:rFonts w:ascii="Arial" w:hAnsi="Arial"/>
          <w:i/>
          <w:sz w:val="20"/>
        </w:rPr>
        <w:t>Dymocks Franchise Systems (NSW) Pty Ltd v Todd [2002] 2 All E.R. (Comm) 849 </w:t>
      </w:r>
      <w:r>
        <w:rPr>
          <w:sz w:val="20"/>
        </w:rPr>
        <w:t>at [57] (PC not ruling out implied obligation of good faith in franchise contract); but cf. </w:t>
      </w:r>
      <w:r>
        <w:rPr>
          <w:rFonts w:ascii="Arial" w:hAnsi="Arial"/>
          <w:i/>
          <w:sz w:val="20"/>
        </w:rPr>
        <w:t>Jani-King (GB) Ltd v Pula Enterprises Ltd [2007] EWHC 2433 (QB), [2008] 1 All E.R. (Comm) 451 </w:t>
      </w:r>
      <w:r>
        <w:rPr>
          <w:sz w:val="20"/>
        </w:rPr>
        <w:t>at [51], relying on </w:t>
      </w:r>
      <w:r>
        <w:rPr>
          <w:rFonts w:ascii="Arial" w:hAnsi="Arial"/>
          <w:i/>
          <w:sz w:val="20"/>
        </w:rPr>
        <w:t>Bedfordshire CC v Fitzpatrick Contractors Ltd [1998] 62 Con. L.R. 64 </w:t>
      </w:r>
      <w:r>
        <w:rPr>
          <w:sz w:val="20"/>
        </w:rPr>
        <w:t>(Dyson J.) (court refused to imply a term of trust and loyalty owed by a franchisor to a franchisee since such a relationship is “much closer to an ordinary commercial relationship, than one between employer and employee”); </w:t>
      </w:r>
      <w:r>
        <w:rPr>
          <w:rFonts w:ascii="Arial" w:hAnsi="Arial"/>
          <w:i/>
          <w:sz w:val="20"/>
        </w:rPr>
        <w:t>Carewatch Care Services Ltd v</w:t>
      </w:r>
      <w:r>
        <w:rPr>
          <w:rFonts w:ascii="Arial" w:hAnsi="Arial"/>
          <w:i/>
          <w:spacing w:val="40"/>
          <w:sz w:val="20"/>
        </w:rPr>
        <w:t> </w:t>
      </w:r>
      <w:r>
        <w:rPr>
          <w:rFonts w:ascii="Arial" w:hAnsi="Arial"/>
          <w:i/>
          <w:sz w:val="20"/>
        </w:rPr>
        <w:t>Focus Caring Services Ltd [2014] EWHC 2313 (Ch) </w:t>
      </w:r>
      <w:r>
        <w:rPr>
          <w:sz w:val="20"/>
        </w:rPr>
        <w:t>at [106]–[112] (no implied terms of good faith etc. in franchise agreements). But cf. </w:t>
      </w:r>
      <w:r>
        <w:rPr>
          <w:rFonts w:ascii="Arial" w:hAnsi="Arial"/>
          <w:i/>
          <w:sz w:val="20"/>
        </w:rPr>
        <w:t>Yam Seng Pte Ltd v International Trade Corp Ltd [2013] EWHC 111 (QB)</w:t>
      </w:r>
      <w:r>
        <w:rPr>
          <w:sz w:val="20"/>
        </w:rPr>
        <w:t>, below, para.1-053.</w:t>
      </w:r>
    </w:p>
    <w:p>
      <w:pPr>
        <w:pStyle w:val="BodyText"/>
        <w:spacing w:before="5"/>
      </w:pPr>
    </w:p>
    <w:p>
      <w:pPr>
        <w:spacing w:line="235" w:lineRule="auto" w:before="0"/>
        <w:ind w:left="705" w:right="167" w:hanging="541"/>
        <w:jc w:val="both"/>
        <w:rPr>
          <w:sz w:val="20"/>
        </w:rPr>
      </w:pPr>
      <w:bookmarkStart w:name="_bookmark901" w:id="903"/>
      <w:bookmarkEnd w:id="903"/>
      <w:r>
        <w:rPr/>
      </w:r>
      <w:hyperlink w:history="true" w:anchor="_bookmark734">
        <w:r>
          <w:rPr>
            <w:color w:val="005DA1"/>
            <w:position w:val="5"/>
            <w:sz w:val="14"/>
            <w:u w:val="single" w:color="005DA1"/>
          </w:rPr>
          <w:t>452</w:t>
        </w:r>
      </w:hyperlink>
      <w:r>
        <w:rPr>
          <w:position w:val="5"/>
          <w:sz w:val="14"/>
        </w:rPr>
        <w:t>.</w:t>
      </w:r>
      <w:r>
        <w:rPr>
          <w:spacing w:val="80"/>
          <w:w w:val="150"/>
          <w:position w:val="5"/>
          <w:sz w:val="14"/>
        </w:rPr>
        <w:t> </w:t>
      </w:r>
      <w:r>
        <w:rPr>
          <w:rFonts w:ascii="Arial" w:hAnsi="Arial"/>
          <w:i/>
          <w:sz w:val="20"/>
        </w:rPr>
        <w:t>Bernhard Schulte GmbH &amp; Co K.G. v Nile Holdings Ltd [2004] EWHC 977 (Comm), [2004] 2 Lloyd’s Rep. 352 </w:t>
      </w:r>
      <w:r>
        <w:rPr>
          <w:sz w:val="20"/>
        </w:rPr>
        <w:t>at [113]–[114]. See also </w:t>
      </w:r>
      <w:r>
        <w:rPr>
          <w:rFonts w:ascii="Arial" w:hAnsi="Arial"/>
          <w:i/>
          <w:sz w:val="20"/>
        </w:rPr>
        <w:t>Knatchbull-Hugessen v SISU Capital Ltd [2014] EWHC 1194 (Comm) </w:t>
      </w:r>
      <w:r>
        <w:rPr>
          <w:sz w:val="20"/>
        </w:rPr>
        <w:t>at [23] and especially at [24]–[29] in which the HC refused to imply a term to negotiate in good faith to govern the period after the expiry of an exclusivity period set by </w:t>
      </w:r>
      <w:r>
        <w:rPr>
          <w:sz w:val="20"/>
        </w:rPr>
        <w:t>a contract</w:t>
      </w:r>
      <w:r>
        <w:rPr>
          <w:spacing w:val="-2"/>
          <w:sz w:val="20"/>
        </w:rPr>
        <w:t> </w:t>
      </w:r>
      <w:r>
        <w:rPr>
          <w:sz w:val="20"/>
        </w:rPr>
        <w:t>which</w:t>
      </w:r>
      <w:r>
        <w:rPr>
          <w:spacing w:val="-2"/>
          <w:sz w:val="20"/>
        </w:rPr>
        <w:t> </w:t>
      </w:r>
      <w:r>
        <w:rPr>
          <w:sz w:val="20"/>
        </w:rPr>
        <w:t>contained</w:t>
      </w:r>
      <w:r>
        <w:rPr>
          <w:spacing w:val="-2"/>
          <w:sz w:val="20"/>
        </w:rPr>
        <w:t> </w:t>
      </w:r>
      <w:r>
        <w:rPr>
          <w:sz w:val="20"/>
        </w:rPr>
        <w:t>an</w:t>
      </w:r>
      <w:r>
        <w:rPr>
          <w:spacing w:val="-2"/>
          <w:sz w:val="20"/>
        </w:rPr>
        <w:t> </w:t>
      </w:r>
      <w:r>
        <w:rPr>
          <w:sz w:val="20"/>
        </w:rPr>
        <w:t>express</w:t>
      </w:r>
      <w:r>
        <w:rPr>
          <w:spacing w:val="-2"/>
          <w:sz w:val="20"/>
        </w:rPr>
        <w:t> </w:t>
      </w:r>
      <w:r>
        <w:rPr>
          <w:sz w:val="20"/>
        </w:rPr>
        <w:t>term</w:t>
      </w:r>
      <w:r>
        <w:rPr>
          <w:spacing w:val="-2"/>
          <w:sz w:val="20"/>
        </w:rPr>
        <w:t> </w:t>
      </w:r>
      <w:r>
        <w:rPr>
          <w:sz w:val="20"/>
        </w:rPr>
        <w:t>to</w:t>
      </w:r>
      <w:r>
        <w:rPr>
          <w:spacing w:val="-2"/>
          <w:sz w:val="20"/>
        </w:rPr>
        <w:t> </w:t>
      </w:r>
      <w:r>
        <w:rPr>
          <w:sz w:val="20"/>
        </w:rPr>
        <w:t>negotiate</w:t>
      </w:r>
      <w:r>
        <w:rPr>
          <w:spacing w:val="-2"/>
          <w:sz w:val="20"/>
        </w:rPr>
        <w:t> </w:t>
      </w:r>
      <w:r>
        <w:rPr>
          <w:sz w:val="20"/>
        </w:rPr>
        <w:t>in</w:t>
      </w:r>
      <w:r>
        <w:rPr>
          <w:spacing w:val="-2"/>
          <w:sz w:val="20"/>
        </w:rPr>
        <w:t> </w:t>
      </w:r>
      <w:r>
        <w:rPr>
          <w:sz w:val="20"/>
        </w:rPr>
        <w:t>good</w:t>
      </w:r>
      <w:r>
        <w:rPr>
          <w:spacing w:val="-2"/>
          <w:sz w:val="20"/>
        </w:rPr>
        <w:t> </w:t>
      </w:r>
      <w:r>
        <w:rPr>
          <w:sz w:val="20"/>
        </w:rPr>
        <w:t>faith,</w:t>
      </w:r>
      <w:r>
        <w:rPr>
          <w:spacing w:val="-2"/>
          <w:sz w:val="20"/>
        </w:rPr>
        <w:t> </w:t>
      </w:r>
      <w:r>
        <w:rPr>
          <w:sz w:val="20"/>
        </w:rPr>
        <w:t>on</w:t>
      </w:r>
      <w:r>
        <w:rPr>
          <w:spacing w:val="-2"/>
          <w:sz w:val="20"/>
        </w:rPr>
        <w:t> </w:t>
      </w:r>
      <w:r>
        <w:rPr>
          <w:sz w:val="20"/>
        </w:rPr>
        <w:t>the</w:t>
      </w:r>
      <w:r>
        <w:rPr>
          <w:spacing w:val="-2"/>
          <w:sz w:val="20"/>
        </w:rPr>
        <w:t> </w:t>
      </w:r>
      <w:r>
        <w:rPr>
          <w:sz w:val="20"/>
        </w:rPr>
        <w:t>basis</w:t>
      </w:r>
      <w:r>
        <w:rPr>
          <w:spacing w:val="-2"/>
          <w:sz w:val="20"/>
        </w:rPr>
        <w:t> </w:t>
      </w:r>
      <w:r>
        <w:rPr>
          <w:sz w:val="20"/>
        </w:rPr>
        <w:t>that</w:t>
      </w:r>
      <w:r>
        <w:rPr>
          <w:spacing w:val="-2"/>
          <w:sz w:val="20"/>
        </w:rPr>
        <w:t> </w:t>
      </w:r>
      <w:r>
        <w:rPr>
          <w:sz w:val="20"/>
        </w:rPr>
        <w:t>this</w:t>
      </w:r>
      <w:r>
        <w:rPr>
          <w:spacing w:val="-2"/>
          <w:sz w:val="20"/>
        </w:rPr>
        <w:t> </w:t>
      </w:r>
      <w:r>
        <w:rPr>
          <w:sz w:val="20"/>
        </w:rPr>
        <w:t>would be inconsistent with the parties’ agreement which disapplied the “default position” of no legal duty to negotiate in good faith for limited period.</w:t>
      </w:r>
    </w:p>
    <w:p>
      <w:pPr>
        <w:spacing w:after="0" w:line="235" w:lineRule="auto"/>
        <w:jc w:val="both"/>
        <w:rPr>
          <w:sz w:val="20"/>
        </w:rPr>
        <w:sectPr>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735">
        <w:r>
          <w:rPr>
            <w:color w:val="005DA1"/>
            <w:spacing w:val="-4"/>
            <w:sz w:val="14"/>
            <w:u w:val="single" w:color="005DA1"/>
          </w:rPr>
          <w:t>453</w:t>
        </w:r>
      </w:hyperlink>
      <w:r>
        <w:rPr>
          <w:spacing w:val="-4"/>
          <w:sz w:val="14"/>
        </w:rPr>
        <w:t>.</w:t>
      </w:r>
    </w:p>
    <w:p>
      <w:pPr>
        <w:spacing w:line="240" w:lineRule="auto" w:before="56"/>
        <w:rPr>
          <w:sz w:val="20"/>
        </w:rPr>
      </w:pPr>
      <w:r>
        <w:rPr/>
        <w:br w:type="column"/>
      </w:r>
      <w:r>
        <w:rPr>
          <w:sz w:val="20"/>
        </w:rPr>
      </w:r>
    </w:p>
    <w:p>
      <w:pPr>
        <w:spacing w:line="227" w:lineRule="exact" w:before="0"/>
        <w:ind w:left="335" w:right="0" w:firstLine="0"/>
        <w:jc w:val="left"/>
        <w:rPr>
          <w:rFonts w:ascii="Arial"/>
          <w:i/>
          <w:sz w:val="20"/>
        </w:rPr>
      </w:pPr>
      <w:r>
        <w:rPr>
          <w:rFonts w:ascii="Arial"/>
          <w:i/>
          <w:sz w:val="20"/>
        </w:rPr>
        <w:drawing>
          <wp:anchor distT="0" distB="0" distL="0" distR="0" allowOverlap="1" layoutInCell="1" locked="0" behindDoc="0" simplePos="0" relativeHeight="15796224">
            <wp:simplePos x="0" y="0"/>
            <wp:positionH relativeFrom="page">
              <wp:posOffset>1257846</wp:posOffset>
            </wp:positionH>
            <wp:positionV relativeFrom="paragraph">
              <wp:posOffset>28443</wp:posOffset>
            </wp:positionV>
            <wp:extent cx="107988" cy="107988"/>
            <wp:effectExtent l="0" t="0" r="0" b="0"/>
            <wp:wrapNone/>
            <wp:docPr id="291" name="Image 291"/>
            <wp:cNvGraphicFramePr>
              <a:graphicFrameLocks/>
            </wp:cNvGraphicFramePr>
            <a:graphic>
              <a:graphicData uri="http://schemas.openxmlformats.org/drawingml/2006/picture">
                <pic:pic>
                  <pic:nvPicPr>
                    <pic:cNvPr id="291" name="Image 29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Globe Motors Inc v TRW Lucas Varity Electric Steering Ltd [2016] EWCA Civ 396, [2017] 1 </w:t>
      </w:r>
      <w:r>
        <w:rPr>
          <w:rFonts w:ascii="Arial"/>
          <w:i/>
          <w:spacing w:val="-5"/>
          <w:sz w:val="20"/>
        </w:rPr>
        <w:t>All</w:t>
      </w:r>
    </w:p>
    <w:p>
      <w:pPr>
        <w:spacing w:line="227" w:lineRule="exact" w:before="0"/>
        <w:ind w:left="165" w:right="0" w:firstLine="0"/>
        <w:jc w:val="left"/>
        <w:rPr>
          <w:sz w:val="20"/>
        </w:rPr>
      </w:pPr>
      <w:r>
        <w:rPr>
          <w:rFonts w:ascii="Arial"/>
          <w:i/>
          <w:sz w:val="20"/>
        </w:rPr>
        <w:t>E.R. (Comm) 601</w:t>
      </w:r>
      <w:r>
        <w:rPr>
          <w:rFonts w:ascii="Arial"/>
          <w:i/>
          <w:spacing w:val="-1"/>
          <w:sz w:val="20"/>
        </w:rPr>
        <w:t> </w:t>
      </w:r>
      <w:r>
        <w:rPr>
          <w:sz w:val="20"/>
        </w:rPr>
        <w:t>at </w:t>
      </w:r>
      <w:r>
        <w:rPr>
          <w:spacing w:val="-2"/>
          <w:sz w:val="20"/>
        </w:rPr>
        <w:t>[67].</w:t>
      </w:r>
    </w:p>
    <w:p>
      <w:pPr>
        <w:spacing w:after="0" w:line="227" w:lineRule="exact"/>
        <w:jc w:val="left"/>
        <w:rPr>
          <w:sz w:val="20"/>
        </w:rPr>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902" w:id="904"/>
      <w:bookmarkEnd w:id="904"/>
      <w:r>
        <w:rPr/>
      </w:r>
      <w:hyperlink w:history="true" w:anchor="_bookmark736">
        <w:r>
          <w:rPr>
            <w:color w:val="005DA1"/>
            <w:spacing w:val="-4"/>
            <w:sz w:val="14"/>
            <w:u w:val="single" w:color="005DA1"/>
          </w:rPr>
          <w:t>454</w:t>
        </w:r>
      </w:hyperlink>
      <w:r>
        <w:rPr>
          <w:spacing w:val="-4"/>
          <w:sz w:val="14"/>
        </w:rPr>
        <w:t>.</w:t>
      </w:r>
    </w:p>
    <w:p>
      <w:pPr>
        <w:spacing w:line="227" w:lineRule="exact" w:before="209"/>
        <w:ind w:left="335" w:right="0" w:firstLine="0"/>
        <w:jc w:val="left"/>
        <w:rPr>
          <w:rFonts w:ascii="Arial"/>
          <w:i/>
          <w:sz w:val="20"/>
        </w:rPr>
      </w:pPr>
      <w:r>
        <w:rPr/>
        <w:br w:type="column"/>
      </w:r>
      <w:r>
        <w:rPr>
          <w:rFonts w:ascii="Arial"/>
          <w:i/>
          <w:sz w:val="20"/>
        </w:rPr>
        <w:t>Globe Motors Inc v TRW Lucas Varity Electric Steering Ltd [2016] EWCA Civ 396, [2017] 1 </w:t>
      </w:r>
      <w:r>
        <w:rPr>
          <w:rFonts w:ascii="Arial"/>
          <w:i/>
          <w:spacing w:val="-5"/>
          <w:sz w:val="20"/>
        </w:rPr>
        <w:t>All</w:t>
      </w:r>
    </w:p>
    <w:p>
      <w:pPr>
        <w:spacing w:line="227" w:lineRule="exact" w:before="0"/>
        <w:ind w:left="165" w:right="0" w:firstLine="0"/>
        <w:jc w:val="left"/>
        <w:rPr>
          <w:sz w:val="20"/>
        </w:rPr>
      </w:pPr>
      <w:r>
        <w:rPr>
          <w:sz w:val="20"/>
        </w:rPr>
        <w:drawing>
          <wp:anchor distT="0" distB="0" distL="0" distR="0" allowOverlap="1" layoutInCell="1" locked="0" behindDoc="0" simplePos="0" relativeHeight="15796736">
            <wp:simplePos x="0" y="0"/>
            <wp:positionH relativeFrom="page">
              <wp:posOffset>1257846</wp:posOffset>
            </wp:positionH>
            <wp:positionV relativeFrom="paragraph">
              <wp:posOffset>-116628</wp:posOffset>
            </wp:positionV>
            <wp:extent cx="107988" cy="107988"/>
            <wp:effectExtent l="0" t="0" r="0" b="0"/>
            <wp:wrapNone/>
            <wp:docPr id="292" name="Image 292"/>
            <wp:cNvGraphicFramePr>
              <a:graphicFrameLocks/>
            </wp:cNvGraphicFramePr>
            <a:graphic>
              <a:graphicData uri="http://schemas.openxmlformats.org/drawingml/2006/picture">
                <pic:pic>
                  <pic:nvPicPr>
                    <pic:cNvPr id="292" name="Image 29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E.R. (Comm) 601</w:t>
      </w:r>
      <w:r>
        <w:rPr>
          <w:rFonts w:ascii="Arial"/>
          <w:i/>
          <w:spacing w:val="-1"/>
          <w:sz w:val="20"/>
        </w:rPr>
        <w:t> </w:t>
      </w:r>
      <w:r>
        <w:rPr>
          <w:sz w:val="20"/>
        </w:rPr>
        <w:t>at [68] per Beatson </w:t>
      </w:r>
      <w:r>
        <w:rPr>
          <w:spacing w:val="-4"/>
          <w:sz w:val="20"/>
        </w:rPr>
        <w:t>L.J.</w:t>
      </w:r>
    </w:p>
    <w:p>
      <w:pPr>
        <w:spacing w:after="0" w:line="227"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903" w:id="905"/>
      <w:bookmarkEnd w:id="905"/>
      <w:r>
        <w:rPr/>
      </w:r>
      <w:hyperlink w:history="true" w:anchor="_bookmark737">
        <w:r>
          <w:rPr>
            <w:color w:val="005DA1"/>
            <w:spacing w:val="-4"/>
            <w:sz w:val="14"/>
            <w:u w:val="single" w:color="005DA1"/>
          </w:rPr>
          <w:t>455</w:t>
        </w:r>
      </w:hyperlink>
      <w:r>
        <w:rPr>
          <w:spacing w:val="-4"/>
          <w:sz w:val="14"/>
        </w:rPr>
        <w:t>.</w:t>
      </w:r>
    </w:p>
    <w:p>
      <w:pPr>
        <w:spacing w:line="227" w:lineRule="exact" w:before="209"/>
        <w:ind w:left="335" w:right="0" w:firstLine="0"/>
        <w:jc w:val="left"/>
        <w:rPr>
          <w:sz w:val="20"/>
        </w:rPr>
      </w:pPr>
      <w:r>
        <w:rPr/>
        <w:br w:type="column"/>
      </w:r>
      <w:r>
        <w:rPr>
          <w:rFonts w:ascii="Arial" w:hAnsi="Arial"/>
          <w:i/>
          <w:sz w:val="20"/>
        </w:rPr>
        <w:t>[2013]</w:t>
      </w:r>
      <w:r>
        <w:rPr>
          <w:rFonts w:ascii="Arial" w:hAnsi="Arial"/>
          <w:i/>
          <w:spacing w:val="2"/>
          <w:sz w:val="20"/>
        </w:rPr>
        <w:t> </w:t>
      </w:r>
      <w:r>
        <w:rPr>
          <w:rFonts w:ascii="Arial" w:hAnsi="Arial"/>
          <w:i/>
          <w:sz w:val="20"/>
        </w:rPr>
        <w:t>EWHC</w:t>
      </w:r>
      <w:r>
        <w:rPr>
          <w:rFonts w:ascii="Arial" w:hAnsi="Arial"/>
          <w:i/>
          <w:spacing w:val="3"/>
          <w:sz w:val="20"/>
        </w:rPr>
        <w:t> </w:t>
      </w:r>
      <w:r>
        <w:rPr>
          <w:rFonts w:ascii="Arial" w:hAnsi="Arial"/>
          <w:i/>
          <w:sz w:val="20"/>
        </w:rPr>
        <w:t>111</w:t>
      </w:r>
      <w:r>
        <w:rPr>
          <w:rFonts w:ascii="Arial" w:hAnsi="Arial"/>
          <w:i/>
          <w:spacing w:val="3"/>
          <w:sz w:val="20"/>
        </w:rPr>
        <w:t> </w:t>
      </w:r>
      <w:r>
        <w:rPr>
          <w:rFonts w:ascii="Arial" w:hAnsi="Arial"/>
          <w:i/>
          <w:sz w:val="20"/>
        </w:rPr>
        <w:t>(QB),</w:t>
      </w:r>
      <w:r>
        <w:rPr>
          <w:rFonts w:ascii="Arial" w:hAnsi="Arial"/>
          <w:i/>
          <w:spacing w:val="3"/>
          <w:sz w:val="20"/>
        </w:rPr>
        <w:t> </w:t>
      </w:r>
      <w:r>
        <w:rPr>
          <w:rFonts w:ascii="Arial" w:hAnsi="Arial"/>
          <w:i/>
          <w:sz w:val="20"/>
        </w:rPr>
        <w:t>[2013]</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526</w:t>
      </w:r>
      <w:r>
        <w:rPr>
          <w:sz w:val="20"/>
        </w:rPr>
        <w:t>;</w:t>
      </w:r>
      <w:r>
        <w:rPr>
          <w:spacing w:val="3"/>
          <w:sz w:val="20"/>
        </w:rPr>
        <w:t> </w:t>
      </w:r>
      <w:r>
        <w:rPr>
          <w:sz w:val="20"/>
        </w:rPr>
        <w:t>Whittaker</w:t>
      </w:r>
      <w:r>
        <w:rPr>
          <w:spacing w:val="3"/>
          <w:sz w:val="20"/>
        </w:rPr>
        <w:t> </w:t>
      </w:r>
      <w:r>
        <w:rPr>
          <w:sz w:val="20"/>
        </w:rPr>
        <w:t>(2013)</w:t>
      </w:r>
      <w:r>
        <w:rPr>
          <w:spacing w:val="3"/>
          <w:sz w:val="20"/>
        </w:rPr>
        <w:t> </w:t>
      </w:r>
      <w:r>
        <w:rPr>
          <w:sz w:val="20"/>
        </w:rPr>
        <w:t>129</w:t>
      </w:r>
      <w:r>
        <w:rPr>
          <w:spacing w:val="3"/>
          <w:sz w:val="20"/>
        </w:rPr>
        <w:t> </w:t>
      </w:r>
      <w:r>
        <w:rPr>
          <w:sz w:val="20"/>
        </w:rPr>
        <w:t>L.Q.R.</w:t>
      </w:r>
      <w:r>
        <w:rPr>
          <w:spacing w:val="3"/>
          <w:sz w:val="20"/>
        </w:rPr>
        <w:t> </w:t>
      </w:r>
      <w:r>
        <w:rPr>
          <w:sz w:val="20"/>
        </w:rPr>
        <w:t>463;</w:t>
      </w:r>
      <w:r>
        <w:rPr>
          <w:spacing w:val="3"/>
          <w:sz w:val="20"/>
        </w:rPr>
        <w:t> </w:t>
      </w:r>
      <w:r>
        <w:rPr>
          <w:spacing w:val="-2"/>
          <w:sz w:val="20"/>
        </w:rPr>
        <w:t>Campbell</w:t>
      </w:r>
    </w:p>
    <w:p>
      <w:pPr>
        <w:pStyle w:val="BodyText"/>
        <w:spacing w:line="227" w:lineRule="exact"/>
        <w:ind w:left="165"/>
      </w:pPr>
      <w:r>
        <w:rPr/>
        <w:drawing>
          <wp:anchor distT="0" distB="0" distL="0" distR="0" allowOverlap="1" layoutInCell="1" locked="0" behindDoc="0" simplePos="0" relativeHeight="15797248">
            <wp:simplePos x="0" y="0"/>
            <wp:positionH relativeFrom="page">
              <wp:posOffset>1257846</wp:posOffset>
            </wp:positionH>
            <wp:positionV relativeFrom="paragraph">
              <wp:posOffset>-116608</wp:posOffset>
            </wp:positionV>
            <wp:extent cx="107988" cy="107988"/>
            <wp:effectExtent l="0" t="0" r="0" b="0"/>
            <wp:wrapNone/>
            <wp:docPr id="293" name="Image 293"/>
            <wp:cNvGraphicFramePr>
              <a:graphicFrameLocks/>
            </wp:cNvGraphicFramePr>
            <a:graphic>
              <a:graphicData uri="http://schemas.openxmlformats.org/drawingml/2006/picture">
                <pic:pic>
                  <pic:nvPicPr>
                    <pic:cNvPr id="293" name="Image 293"/>
                    <pic:cNvPicPr/>
                  </pic:nvPicPr>
                  <pic:blipFill>
                    <a:blip r:embed="rId6" cstate="print"/>
                    <a:stretch>
                      <a:fillRect/>
                    </a:stretch>
                  </pic:blipFill>
                  <pic:spPr>
                    <a:xfrm>
                      <a:off x="0" y="0"/>
                      <a:ext cx="107988" cy="107988"/>
                    </a:xfrm>
                    <a:prstGeom prst="rect">
                      <a:avLst/>
                    </a:prstGeom>
                  </pic:spPr>
                </pic:pic>
              </a:graphicData>
            </a:graphic>
          </wp:anchor>
        </w:drawing>
      </w:r>
      <w:r>
        <w:rPr/>
        <w:t>(2014) 77 M.L.R. </w:t>
      </w:r>
      <w:r>
        <w:rPr>
          <w:spacing w:val="-4"/>
        </w:rPr>
        <w:t>475.</w:t>
      </w:r>
    </w:p>
    <w:p>
      <w:pPr>
        <w:pStyle w:val="BodyText"/>
        <w:spacing w:after="0" w:line="227" w:lineRule="exact"/>
        <w:sectPr>
          <w:type w:val="continuous"/>
          <w:pgSz w:w="11900" w:h="16840"/>
          <w:pgMar w:header="971" w:footer="0" w:top="1300" w:bottom="280" w:left="1275" w:right="1275"/>
          <w:cols w:num="2" w:equalWidth="0">
            <w:col w:w="478" w:space="63"/>
            <w:col w:w="8809"/>
          </w:cols>
        </w:sectPr>
      </w:pPr>
    </w:p>
    <w:p>
      <w:pPr>
        <w:pStyle w:val="BodyText"/>
        <w:spacing w:before="8"/>
      </w:pPr>
    </w:p>
    <w:p>
      <w:pPr>
        <w:spacing w:line="235" w:lineRule="auto" w:before="0"/>
        <w:ind w:left="705" w:right="167" w:hanging="541"/>
        <w:jc w:val="both"/>
        <w:rPr>
          <w:sz w:val="20"/>
        </w:rPr>
      </w:pPr>
      <w:bookmarkStart w:name="_bookmark904" w:id="906"/>
      <w:bookmarkEnd w:id="906"/>
      <w:r>
        <w:rPr/>
      </w:r>
      <w:hyperlink w:history="true" w:anchor="_bookmark738">
        <w:r>
          <w:rPr>
            <w:color w:val="005DA1"/>
            <w:position w:val="5"/>
            <w:sz w:val="14"/>
            <w:u w:val="single" w:color="005DA1"/>
          </w:rPr>
          <w:t>456</w:t>
        </w:r>
      </w:hyperlink>
      <w:r>
        <w:rPr>
          <w:position w:val="5"/>
          <w:sz w:val="14"/>
        </w:rPr>
        <w:t>.</w:t>
      </w:r>
      <w:r>
        <w:rPr>
          <w:spacing w:val="80"/>
          <w:position w:val="5"/>
          <w:sz w:val="14"/>
        </w:rPr>
        <w:t>  </w:t>
      </w:r>
      <w:r>
        <w:rPr>
          <w:rFonts w:ascii="Arial" w:hAnsi="Arial"/>
          <w:i/>
          <w:sz w:val="20"/>
        </w:rPr>
        <w:t>[2013] EWHC 111 (QB) </w:t>
      </w:r>
      <w:r>
        <w:rPr>
          <w:sz w:val="20"/>
        </w:rPr>
        <w:t>at [156]. See for the acceptance (by the parties and the court) of a similar implied term of honesty and integrity </w:t>
      </w:r>
      <w:r>
        <w:rPr>
          <w:rFonts w:ascii="Arial" w:hAnsi="Arial"/>
          <w:i/>
          <w:sz w:val="20"/>
        </w:rPr>
        <w:t>D&amp;G Cars Ltd v Essex Police Authority </w:t>
      </w:r>
      <w:r>
        <w:rPr>
          <w:rFonts w:ascii="Arial" w:hAnsi="Arial"/>
          <w:i/>
          <w:sz w:val="20"/>
        </w:rPr>
        <w:t>[2015] EWHC 226 (QB)</w:t>
      </w:r>
      <w:r>
        <w:rPr>
          <w:sz w:val="20"/>
        </w:rPr>
        <w:t>, at [174]–[176] (contract under which contractor dealt over a relatively lengthy period with the recovered property of members of the public acting on behalf of the police authority). cf. </w:t>
      </w:r>
      <w:r>
        <w:rPr>
          <w:rFonts w:ascii="Arial" w:hAnsi="Arial"/>
          <w:i/>
          <w:sz w:val="20"/>
        </w:rPr>
        <w:t>Bhasin v Hrynew 2014 SCC 71, [2014] 3 S.C.R. 495 </w:t>
      </w:r>
      <w:r>
        <w:rPr>
          <w:sz w:val="20"/>
        </w:rPr>
        <w:t>(above, para.1-041) where the Supreme Court of Canada held that there is a common law duty which applies to all contracts to act honestly in the performance of contractual obligations.</w:t>
      </w:r>
    </w:p>
    <w:p>
      <w:pPr>
        <w:pStyle w:val="BodyText"/>
        <w:spacing w:before="4"/>
      </w:pPr>
    </w:p>
    <w:p>
      <w:pPr>
        <w:pStyle w:val="BodyText"/>
        <w:tabs>
          <w:tab w:pos="705" w:val="left" w:leader="none"/>
        </w:tabs>
        <w:ind w:left="165"/>
      </w:pPr>
      <w:bookmarkStart w:name="_bookmark905" w:id="907"/>
      <w:bookmarkEnd w:id="907"/>
      <w:r>
        <w:rPr/>
      </w:r>
      <w:hyperlink w:history="true" w:anchor="_bookmark739">
        <w:r>
          <w:rPr>
            <w:color w:val="005DA1"/>
            <w:spacing w:val="-4"/>
            <w:position w:val="5"/>
            <w:sz w:val="14"/>
            <w:u w:val="single" w:color="005DA1"/>
          </w:rPr>
          <w:t>457</w:t>
        </w:r>
      </w:hyperlink>
      <w:r>
        <w:rPr>
          <w:spacing w:val="-4"/>
          <w:position w:val="5"/>
          <w:sz w:val="14"/>
        </w:rPr>
        <w:t>.</w:t>
      </w:r>
      <w:r>
        <w:rPr>
          <w:position w:val="5"/>
          <w:sz w:val="14"/>
        </w:rPr>
        <w:tab/>
      </w:r>
      <w:r>
        <w:rPr/>
        <w:t>See the cases noted in n.405 </w:t>
      </w:r>
      <w:r>
        <w:rPr>
          <w:spacing w:val="-2"/>
        </w:rPr>
        <w:t>above.</w:t>
      </w:r>
    </w:p>
    <w:p>
      <w:pPr>
        <w:pStyle w:val="BodyText"/>
        <w:spacing w:before="9"/>
      </w:pPr>
    </w:p>
    <w:p>
      <w:pPr>
        <w:pStyle w:val="BodyText"/>
        <w:spacing w:line="235" w:lineRule="auto"/>
        <w:ind w:left="705" w:right="167" w:hanging="541"/>
        <w:jc w:val="both"/>
      </w:pPr>
      <w:bookmarkStart w:name="_bookmark906" w:id="908"/>
      <w:bookmarkEnd w:id="908"/>
      <w:r>
        <w:rPr/>
      </w:r>
      <w:hyperlink w:history="true" w:anchor="_bookmark740">
        <w:r>
          <w:rPr>
            <w:color w:val="005DA1"/>
            <w:position w:val="5"/>
            <w:sz w:val="14"/>
            <w:u w:val="single" w:color="005DA1"/>
          </w:rPr>
          <w:t>458</w:t>
        </w:r>
      </w:hyperlink>
      <w:r>
        <w:rPr>
          <w:position w:val="5"/>
          <w:sz w:val="14"/>
        </w:rPr>
        <w:t>.</w:t>
      </w:r>
      <w:r>
        <w:rPr>
          <w:spacing w:val="80"/>
          <w:w w:val="150"/>
          <w:position w:val="5"/>
          <w:sz w:val="14"/>
        </w:rPr>
        <w:t> </w:t>
      </w:r>
      <w:r>
        <w:rPr>
          <w:rFonts w:ascii="Arial"/>
          <w:i/>
        </w:rPr>
        <w:t>[2013] EWHC 111 (QB) </w:t>
      </w:r>
      <w:r>
        <w:rPr/>
        <w:t>at [143]. Leggatt J. saw as examples of this category of contract </w:t>
      </w:r>
      <w:r>
        <w:rPr/>
        <w:t>joint venture agreements, franchise agreements and long-term distributorship agreements, on which cf. above, n.405.</w:t>
      </w:r>
    </w:p>
    <w:p>
      <w:pPr>
        <w:pStyle w:val="BodyText"/>
        <w:spacing w:before="5"/>
      </w:pPr>
    </w:p>
    <w:p>
      <w:pPr>
        <w:tabs>
          <w:tab w:pos="705" w:val="left" w:leader="none"/>
        </w:tabs>
        <w:spacing w:before="0"/>
        <w:ind w:left="165" w:right="0" w:firstLine="0"/>
        <w:jc w:val="left"/>
        <w:rPr>
          <w:sz w:val="20"/>
        </w:rPr>
      </w:pPr>
      <w:bookmarkStart w:name="_bookmark907" w:id="909"/>
      <w:bookmarkEnd w:id="909"/>
      <w:r>
        <w:rPr/>
      </w:r>
      <w:hyperlink w:history="true" w:anchor="_bookmark741">
        <w:r>
          <w:rPr>
            <w:color w:val="005DA1"/>
            <w:spacing w:val="-4"/>
            <w:position w:val="5"/>
            <w:sz w:val="14"/>
            <w:u w:val="single" w:color="005DA1"/>
          </w:rPr>
          <w:t>459</w:t>
        </w:r>
      </w:hyperlink>
      <w:r>
        <w:rPr>
          <w:spacing w:val="-4"/>
          <w:position w:val="5"/>
          <w:sz w:val="14"/>
        </w:rPr>
        <w:t>.</w:t>
      </w:r>
      <w:r>
        <w:rPr>
          <w:position w:val="5"/>
          <w:sz w:val="14"/>
        </w:rPr>
        <w:tab/>
      </w:r>
      <w:r>
        <w:rPr>
          <w:rFonts w:ascii="Arial" w:hAnsi="Arial"/>
          <w:i/>
          <w:sz w:val="20"/>
        </w:rPr>
        <w:t>[2013] EWHC 111 (QB)</w:t>
      </w:r>
      <w:r>
        <w:rPr>
          <w:rFonts w:ascii="Arial" w:hAnsi="Arial"/>
          <w:i/>
          <w:spacing w:val="-1"/>
          <w:sz w:val="20"/>
        </w:rPr>
        <w:t> </w:t>
      </w:r>
      <w:r>
        <w:rPr>
          <w:sz w:val="20"/>
        </w:rPr>
        <w:t>at [132], </w:t>
      </w:r>
      <w:r>
        <w:rPr>
          <w:spacing w:val="-2"/>
          <w:sz w:val="20"/>
        </w:rPr>
        <w:t>[135]–[136].</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7760">
            <wp:simplePos x="0" y="0"/>
            <wp:positionH relativeFrom="page">
              <wp:posOffset>1257846</wp:posOffset>
            </wp:positionH>
            <wp:positionV relativeFrom="paragraph">
              <wp:posOffset>160778</wp:posOffset>
            </wp:positionV>
            <wp:extent cx="107988" cy="107988"/>
            <wp:effectExtent l="0" t="0" r="0" b="0"/>
            <wp:wrapNone/>
            <wp:docPr id="294" name="Image 294"/>
            <wp:cNvGraphicFramePr>
              <a:graphicFrameLocks/>
            </wp:cNvGraphicFramePr>
            <a:graphic>
              <a:graphicData uri="http://schemas.openxmlformats.org/drawingml/2006/picture">
                <pic:pic>
                  <pic:nvPicPr>
                    <pic:cNvPr id="294" name="Image 29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08" w:id="910"/>
      <w:bookmarkEnd w:id="910"/>
      <w:r>
        <w:rPr/>
      </w:r>
      <w:hyperlink w:history="true" w:anchor="_bookmark742">
        <w:r>
          <w:rPr>
            <w:color w:val="005DA1"/>
            <w:spacing w:val="-4"/>
            <w:sz w:val="14"/>
            <w:u w:val="single" w:color="005DA1"/>
          </w:rPr>
          <w:t>460</w:t>
        </w:r>
      </w:hyperlink>
      <w:r>
        <w:rPr>
          <w:spacing w:val="-4"/>
          <w:sz w:val="14"/>
        </w:rPr>
        <w:t>.</w:t>
      </w:r>
    </w:p>
    <w:p>
      <w:pPr>
        <w:pStyle w:val="BodyText"/>
        <w:spacing w:line="235" w:lineRule="auto" w:before="213"/>
        <w:ind w:left="165" w:right="167" w:firstLine="170"/>
        <w:jc w:val="both"/>
      </w:pPr>
      <w:r>
        <w:rPr/>
        <w:br w:type="column"/>
      </w:r>
      <w:r>
        <w:rPr>
          <w:rFonts w:ascii="Arial" w:hAnsi="Arial"/>
          <w:i/>
        </w:rPr>
        <w:t>[2013] EWHC 111 (QB) </w:t>
      </w:r>
      <w:r>
        <w:rPr/>
        <w:t>at [138]. cf. </w:t>
      </w:r>
      <w:r>
        <w:rPr>
          <w:rFonts w:ascii="Arial" w:hAnsi="Arial"/>
          <w:i/>
        </w:rPr>
        <w:t>Hamsard 3147 Ltd (trading as “Mini </w:t>
      </w:r>
      <w:r>
        <w:rPr>
          <w:rFonts w:ascii="Arial" w:hAnsi="Arial"/>
          <w:i/>
        </w:rPr>
        <w:t>Mode Childrenswear”) v Boots UK Ltd [2013] EWHC 3251 (Pat) </w:t>
      </w:r>
      <w:r>
        <w:rPr/>
        <w:t>at [87]–[88] where the HC observed (obiter) that a term requiring good faith in the operation of a contract would only have imposed on the parties “a duty to deal with one another on an open and collaborative basis” and not an “obligation to maximise profit” and did not qualify a party’s implied right of termination on reasonable notice limiting it to exercise only in “good faith”. cf.</w:t>
      </w:r>
      <w:r>
        <w:rPr>
          <w:spacing w:val="-1"/>
        </w:rPr>
        <w:t> </w:t>
      </w:r>
      <w:r>
        <w:rPr>
          <w:rFonts w:ascii="Arial" w:hAnsi="Arial"/>
          <w:i/>
        </w:rPr>
        <w:t>Astor Management AG v Atalaya Mining Plc [2017] EWHC 425 (Comm), [2017] 1 Lloyd’s Rep. 476 </w:t>
      </w:r>
      <w:r>
        <w:rPr/>
        <w:t>in which Leggatt J. observed (at [98]) that “[a] duty to act in good faith, where it exists, is a modest requirement. It does no more than reflect the expectation that a contracting party will act honestly towards the other party and will not conduct itself in a way which is calculated to frustrate the purpose of the contract or which would be regarded as commercially unacceptable by reasonable and honest people”, considering it therefore a “lesser duty” than an express contractual “positive obligation to use all reasonable endeavours to achieve a specified result”.</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1"/>
      </w:pPr>
    </w:p>
    <w:p>
      <w:pPr>
        <w:pStyle w:val="BodyText"/>
        <w:tabs>
          <w:tab w:pos="705" w:val="left" w:leader="none"/>
        </w:tabs>
        <w:ind w:left="165"/>
      </w:pPr>
      <w:bookmarkStart w:name="_bookmark909" w:id="911"/>
      <w:bookmarkEnd w:id="911"/>
      <w:r>
        <w:rPr/>
      </w:r>
      <w:hyperlink w:history="true" w:anchor="_bookmark743">
        <w:r>
          <w:rPr>
            <w:color w:val="005DA1"/>
            <w:spacing w:val="-4"/>
            <w:position w:val="5"/>
            <w:sz w:val="14"/>
            <w:u w:val="single" w:color="005DA1"/>
          </w:rPr>
          <w:t>461</w:t>
        </w:r>
      </w:hyperlink>
      <w:r>
        <w:rPr>
          <w:spacing w:val="-4"/>
          <w:position w:val="5"/>
          <w:sz w:val="14"/>
        </w:rPr>
        <w:t>.</w:t>
      </w:r>
      <w:r>
        <w:rPr>
          <w:position w:val="5"/>
          <w:sz w:val="14"/>
        </w:rPr>
        <w:tab/>
      </w:r>
      <w:r>
        <w:rPr/>
        <w:t>Whittaker (2013) 129 L.Q.R. </w:t>
      </w:r>
      <w:r>
        <w:rPr>
          <w:spacing w:val="-4"/>
        </w:rPr>
        <w:t>463.</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910" w:id="912"/>
      <w:bookmarkEnd w:id="912"/>
      <w:r>
        <w:rPr/>
      </w:r>
      <w:hyperlink w:history="true" w:anchor="_bookmark744">
        <w:r>
          <w:rPr>
            <w:color w:val="005DA1"/>
            <w:spacing w:val="-4"/>
            <w:sz w:val="14"/>
            <w:u w:val="single" w:color="005DA1"/>
          </w:rPr>
          <w:t>462</w:t>
        </w:r>
      </w:hyperlink>
      <w:r>
        <w:rPr>
          <w:spacing w:val="-4"/>
          <w:sz w:val="14"/>
        </w:rPr>
        <w:t>.</w:t>
      </w:r>
    </w:p>
    <w:p>
      <w:pPr>
        <w:spacing w:line="235" w:lineRule="auto" w:before="212"/>
        <w:ind w:left="165" w:right="168" w:firstLine="170"/>
        <w:jc w:val="both"/>
        <w:rPr>
          <w:sz w:val="20"/>
        </w:rPr>
      </w:pPr>
      <w:r>
        <w:rPr/>
        <w:br w:type="column"/>
      </w:r>
      <w:r>
        <w:rPr>
          <w:rFonts w:ascii="Arial" w:hAnsi="Arial"/>
          <w:i/>
          <w:sz w:val="20"/>
        </w:rPr>
        <w:t>[2013] EWCA Civ 200, [2013] B.L.R. 265 </w:t>
      </w:r>
      <w:r>
        <w:rPr>
          <w:sz w:val="20"/>
        </w:rPr>
        <w:t>at [105] and see also at [150]; </w:t>
      </w:r>
      <w:r>
        <w:rPr>
          <w:rFonts w:ascii="Arial" w:hAnsi="Arial"/>
          <w:i/>
          <w:sz w:val="20"/>
        </w:rPr>
        <w:t>TSG </w:t>
      </w:r>
      <w:r>
        <w:rPr>
          <w:rFonts w:ascii="Arial" w:hAnsi="Arial"/>
          <w:i/>
          <w:sz w:val="20"/>
        </w:rPr>
        <w:t>Building Services</w:t>
      </w:r>
      <w:r>
        <w:rPr>
          <w:rFonts w:ascii="Arial" w:hAnsi="Arial"/>
          <w:i/>
          <w:spacing w:val="-3"/>
          <w:sz w:val="20"/>
        </w:rPr>
        <w:t> </w:t>
      </w:r>
      <w:r>
        <w:rPr>
          <w:rFonts w:ascii="Arial" w:hAnsi="Arial"/>
          <w:i/>
          <w:sz w:val="20"/>
        </w:rPr>
        <w:t>Plc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South</w:t>
      </w:r>
      <w:r>
        <w:rPr>
          <w:rFonts w:ascii="Arial" w:hAnsi="Arial"/>
          <w:i/>
          <w:spacing w:val="-3"/>
          <w:sz w:val="20"/>
        </w:rPr>
        <w:t> </w:t>
      </w:r>
      <w:r>
        <w:rPr>
          <w:rFonts w:ascii="Arial" w:hAnsi="Arial"/>
          <w:i/>
          <w:sz w:val="20"/>
        </w:rPr>
        <w:t>Anglia</w:t>
      </w:r>
      <w:r>
        <w:rPr>
          <w:rFonts w:ascii="Arial" w:hAnsi="Arial"/>
          <w:i/>
          <w:spacing w:val="-3"/>
          <w:sz w:val="20"/>
        </w:rPr>
        <w:t> </w:t>
      </w:r>
      <w:r>
        <w:rPr>
          <w:rFonts w:ascii="Arial" w:hAnsi="Arial"/>
          <w:i/>
          <w:sz w:val="20"/>
        </w:rPr>
        <w:t>Housing</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[2013]</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1151</w:t>
      </w:r>
      <w:r>
        <w:rPr>
          <w:rFonts w:ascii="Arial" w:hAnsi="Arial"/>
          <w:i/>
          <w:spacing w:val="-3"/>
          <w:sz w:val="20"/>
        </w:rPr>
        <w:t> </w:t>
      </w:r>
      <w:r>
        <w:rPr>
          <w:rFonts w:ascii="Arial" w:hAnsi="Arial"/>
          <w:i/>
          <w:sz w:val="20"/>
        </w:rPr>
        <w:t>(TCC)</w:t>
      </w:r>
      <w:r>
        <w:rPr>
          <w:sz w:val="20"/>
        </w:rPr>
        <w:t>,</w:t>
      </w:r>
      <w:r>
        <w:rPr>
          <w:spacing w:val="-3"/>
          <w:sz w:val="20"/>
        </w:rPr>
        <w:t> </w:t>
      </w:r>
      <w:r>
        <w:rPr>
          <w:sz w:val="20"/>
        </w:rPr>
        <w:t>especially</w:t>
      </w:r>
      <w:r>
        <w:rPr>
          <w:spacing w:val="-3"/>
          <w:sz w:val="20"/>
        </w:rPr>
        <w:t> </w:t>
      </w:r>
      <w:r>
        <w:rPr>
          <w:sz w:val="20"/>
        </w:rPr>
        <w:t>at</w:t>
      </w:r>
      <w:r>
        <w:rPr>
          <w:spacing w:val="-3"/>
          <w:sz w:val="20"/>
        </w:rPr>
        <w:t> </w:t>
      </w:r>
      <w:r>
        <w:rPr>
          <w:sz w:val="20"/>
        </w:rPr>
        <w:t>[46];</w:t>
      </w:r>
      <w:r>
        <w:rPr>
          <w:spacing w:val="-3"/>
          <w:sz w:val="20"/>
        </w:rPr>
        <w:t> </w:t>
      </w:r>
      <w:r>
        <w:rPr>
          <w:rFonts w:ascii="Arial" w:hAnsi="Arial"/>
          <w:i/>
          <w:sz w:val="20"/>
        </w:rPr>
        <w:t>Hamsard 3147</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(trading</w:t>
      </w:r>
      <w:r>
        <w:rPr>
          <w:rFonts w:ascii="Arial" w:hAnsi="Arial"/>
          <w:i/>
          <w:spacing w:val="20"/>
          <w:sz w:val="20"/>
        </w:rPr>
        <w:t> </w:t>
      </w:r>
      <w:r>
        <w:rPr>
          <w:rFonts w:ascii="Arial" w:hAnsi="Arial"/>
          <w:i/>
          <w:sz w:val="20"/>
        </w:rPr>
        <w:t>as</w:t>
      </w:r>
      <w:r>
        <w:rPr>
          <w:rFonts w:ascii="Arial" w:hAnsi="Arial"/>
          <w:i/>
          <w:spacing w:val="20"/>
          <w:sz w:val="20"/>
        </w:rPr>
        <w:t> </w:t>
      </w:r>
      <w:r>
        <w:rPr>
          <w:rFonts w:ascii="Arial" w:hAnsi="Arial"/>
          <w:i/>
          <w:sz w:val="20"/>
        </w:rPr>
        <w:t>“Mini</w:t>
      </w:r>
      <w:r>
        <w:rPr>
          <w:rFonts w:ascii="Arial" w:hAnsi="Arial"/>
          <w:i/>
          <w:spacing w:val="20"/>
          <w:sz w:val="20"/>
        </w:rPr>
        <w:t> </w:t>
      </w:r>
      <w:r>
        <w:rPr>
          <w:rFonts w:ascii="Arial" w:hAnsi="Arial"/>
          <w:i/>
          <w:sz w:val="20"/>
        </w:rPr>
        <w:t>Mode</w:t>
      </w:r>
      <w:r>
        <w:rPr>
          <w:rFonts w:ascii="Arial" w:hAnsi="Arial"/>
          <w:i/>
          <w:spacing w:val="20"/>
          <w:sz w:val="20"/>
        </w:rPr>
        <w:t> </w:t>
      </w:r>
      <w:r>
        <w:rPr>
          <w:rFonts w:ascii="Arial" w:hAnsi="Arial"/>
          <w:i/>
          <w:sz w:val="20"/>
        </w:rPr>
        <w:t>Childrenswear”)</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Boots</w:t>
      </w:r>
      <w:r>
        <w:rPr>
          <w:rFonts w:ascii="Arial" w:hAnsi="Arial"/>
          <w:i/>
          <w:spacing w:val="20"/>
          <w:sz w:val="20"/>
        </w:rPr>
        <w:t> </w:t>
      </w:r>
      <w:r>
        <w:rPr>
          <w:rFonts w:ascii="Arial" w:hAnsi="Arial"/>
          <w:i/>
          <w:sz w:val="20"/>
        </w:rPr>
        <w:t>UK</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[2013]</w:t>
      </w:r>
      <w:r>
        <w:rPr>
          <w:rFonts w:ascii="Arial" w:hAnsi="Arial"/>
          <w:i/>
          <w:spacing w:val="20"/>
          <w:sz w:val="20"/>
        </w:rPr>
        <w:t> </w:t>
      </w:r>
      <w:r>
        <w:rPr>
          <w:rFonts w:ascii="Arial" w:hAnsi="Arial"/>
          <w:i/>
          <w:sz w:val="20"/>
        </w:rPr>
        <w:t>EWHC</w:t>
      </w:r>
      <w:r>
        <w:rPr>
          <w:rFonts w:ascii="Arial" w:hAnsi="Arial"/>
          <w:i/>
          <w:spacing w:val="20"/>
          <w:sz w:val="20"/>
        </w:rPr>
        <w:t> </w:t>
      </w:r>
      <w:r>
        <w:rPr>
          <w:rFonts w:ascii="Arial" w:hAnsi="Arial"/>
          <w:i/>
          <w:sz w:val="20"/>
        </w:rPr>
        <w:t>3251</w:t>
      </w:r>
      <w:r>
        <w:rPr>
          <w:rFonts w:ascii="Arial" w:hAnsi="Arial"/>
          <w:i/>
          <w:spacing w:val="20"/>
          <w:sz w:val="20"/>
        </w:rPr>
        <w:t> </w:t>
      </w:r>
      <w:r>
        <w:rPr>
          <w:rFonts w:ascii="Arial" w:hAnsi="Arial"/>
          <w:i/>
          <w:sz w:val="20"/>
        </w:rPr>
        <w:t>(Pat)</w:t>
      </w:r>
      <w:r>
        <w:rPr>
          <w:rFonts w:ascii="Arial" w:hAnsi="Arial"/>
          <w:i/>
          <w:spacing w:val="19"/>
          <w:sz w:val="20"/>
        </w:rPr>
        <w:t> </w:t>
      </w:r>
      <w:r>
        <w:rPr>
          <w:spacing w:val="-5"/>
          <w:sz w:val="20"/>
        </w:rPr>
        <w:t>at</w:t>
      </w:r>
    </w:p>
    <w:p>
      <w:pPr>
        <w:spacing w:line="235" w:lineRule="auto" w:before="0"/>
        <w:ind w:left="165" w:right="167" w:firstLine="0"/>
        <w:jc w:val="both"/>
        <w:rPr>
          <w:sz w:val="20"/>
        </w:rPr>
      </w:pPr>
      <w:r>
        <w:rPr>
          <w:sz w:val="20"/>
        </w:rPr>
        <w:drawing>
          <wp:anchor distT="0" distB="0" distL="0" distR="0" allowOverlap="1" layoutInCell="1" locked="0" behindDoc="0" simplePos="0" relativeHeight="15798272">
            <wp:simplePos x="0" y="0"/>
            <wp:positionH relativeFrom="page">
              <wp:posOffset>1257846</wp:posOffset>
            </wp:positionH>
            <wp:positionV relativeFrom="paragraph">
              <wp:posOffset>-403763</wp:posOffset>
            </wp:positionV>
            <wp:extent cx="107988" cy="107988"/>
            <wp:effectExtent l="0" t="0" r="0" b="0"/>
            <wp:wrapNone/>
            <wp:docPr id="295" name="Image 295"/>
            <wp:cNvGraphicFramePr>
              <a:graphicFrameLocks/>
            </wp:cNvGraphicFramePr>
            <a:graphic>
              <a:graphicData uri="http://schemas.openxmlformats.org/drawingml/2006/picture">
                <pic:pic>
                  <pic:nvPicPr>
                    <pic:cNvPr id="295" name="Image 295"/>
                    <pic:cNvPicPr/>
                  </pic:nvPicPr>
                  <pic:blipFill>
                    <a:blip r:embed="rId6" cstate="print"/>
                    <a:stretch>
                      <a:fillRect/>
                    </a:stretch>
                  </pic:blipFill>
                  <pic:spPr>
                    <a:xfrm>
                      <a:off x="0" y="0"/>
                      <a:ext cx="107988" cy="107988"/>
                    </a:xfrm>
                    <a:prstGeom prst="rect">
                      <a:avLst/>
                    </a:prstGeom>
                  </pic:spPr>
                </pic:pic>
              </a:graphicData>
            </a:graphic>
          </wp:anchor>
        </w:drawing>
      </w:r>
      <w:r>
        <w:rPr>
          <w:sz w:val="20"/>
        </w:rPr>
        <w:t>[83]–[84] (where the HC refused to imply a term requiring good faith in the implicit contract brought about by force of circumstance as an interim arrangement subsequent to a contract </w:t>
      </w:r>
      <w:r>
        <w:rPr>
          <w:sz w:val="20"/>
        </w:rPr>
        <w:t>of joint venture containing an express term requiring good faith in relation to the operation of the contract); </w:t>
      </w:r>
      <w:r>
        <w:rPr>
          <w:rFonts w:ascii="Arial" w:hAnsi="Arial"/>
          <w:i/>
          <w:sz w:val="20"/>
        </w:rPr>
        <w:t>Bristol Groundschool Ltd v Whittingham [2014] EWHC 2145 (Ch) </w:t>
      </w:r>
      <w:r>
        <w:rPr>
          <w:sz w:val="20"/>
        </w:rPr>
        <w:t>at [196] (contract which combined joint venture and product distribution agreement held to contain implied term requiring honesty, judged in terms of commercially unacceptable behaviour); </w:t>
      </w:r>
      <w:r>
        <w:rPr>
          <w:rFonts w:ascii="Arial" w:hAnsi="Arial"/>
          <w:i/>
          <w:sz w:val="20"/>
        </w:rPr>
        <w:t>Acer Investment Management Ltd v Mansion Group Ltd [2014] EWHC 3011 (QB) </w:t>
      </w:r>
      <w:r>
        <w:rPr>
          <w:sz w:val="20"/>
        </w:rPr>
        <w:t>at [101]–[109]; </w:t>
      </w:r>
      <w:r>
        <w:rPr>
          <w:rFonts w:ascii="Arial" w:hAnsi="Arial"/>
          <w:i/>
          <w:sz w:val="20"/>
        </w:rPr>
        <w:t>Globe Motors Inc v TRW Lucas Varity Electric Steering Ltd [2016] EWCA Civ 396, [2017] 1 All E.R. (Comm) 601 </w:t>
      </w:r>
      <w:r>
        <w:rPr>
          <w:sz w:val="20"/>
        </w:rPr>
        <w:t>at [67]; </w:t>
      </w:r>
      <w:r>
        <w:rPr>
          <w:rFonts w:ascii="Arial" w:hAnsi="Arial"/>
          <w:i/>
          <w:sz w:val="20"/>
        </w:rPr>
        <w:t>Monde Petroleum SA v WesternZagros Ltd [2016] EWHC 1472 (Comm), [2017] 1 All E.R. (Comm) 1009 </w:t>
      </w:r>
      <w:r>
        <w:rPr>
          <w:sz w:val="20"/>
        </w:rPr>
        <w:t>at [249]–[259]; </w:t>
      </w:r>
      <w:r>
        <w:rPr>
          <w:rFonts w:ascii="Arial" w:hAnsi="Arial"/>
          <w:i/>
          <w:sz w:val="20"/>
        </w:rPr>
        <w:t>Apollo Window Blinds Ltd v McNeil [2016] EWHC 2307 (QB) </w:t>
      </w:r>
      <w:r>
        <w:rPr>
          <w:sz w:val="20"/>
        </w:rPr>
        <w:t>(no implied term in contract of franchise requiring one party (the franchisor) to inform the other (the franchisee) of its contractual rights); </w:t>
      </w:r>
      <w:r>
        <w:rPr>
          <w:rFonts w:ascii="Arial" w:hAnsi="Arial"/>
          <w:i/>
          <w:sz w:val="20"/>
        </w:rPr>
        <w:t>National Private Air Transport Services Co (National Air Services) Ltd v Creditrade LLP [2016] EWHC 2144 (Comm) </w:t>
      </w:r>
      <w:r>
        <w:rPr>
          <w:sz w:val="20"/>
        </w:rPr>
        <w:t>at [132]–[136] (no implied</w:t>
      </w:r>
      <w:r>
        <w:rPr>
          <w:spacing w:val="13"/>
          <w:sz w:val="20"/>
        </w:rPr>
        <w:t> </w:t>
      </w:r>
      <w:r>
        <w:rPr>
          <w:sz w:val="20"/>
        </w:rPr>
        <w:t>term</w:t>
      </w:r>
      <w:r>
        <w:rPr>
          <w:spacing w:val="13"/>
          <w:sz w:val="20"/>
        </w:rPr>
        <w:t> </w:t>
      </w:r>
      <w:r>
        <w:rPr>
          <w:sz w:val="20"/>
        </w:rPr>
        <w:t>in</w:t>
      </w:r>
      <w:r>
        <w:rPr>
          <w:spacing w:val="13"/>
          <w:sz w:val="20"/>
        </w:rPr>
        <w:t> </w:t>
      </w:r>
      <w:r>
        <w:rPr>
          <w:sz w:val="20"/>
        </w:rPr>
        <w:t>aircraft</w:t>
      </w:r>
      <w:r>
        <w:rPr>
          <w:spacing w:val="13"/>
          <w:sz w:val="20"/>
        </w:rPr>
        <w:t> </w:t>
      </w:r>
      <w:r>
        <w:rPr>
          <w:sz w:val="20"/>
        </w:rPr>
        <w:t>lease</w:t>
      </w:r>
      <w:r>
        <w:rPr>
          <w:spacing w:val="13"/>
          <w:sz w:val="20"/>
        </w:rPr>
        <w:t> </w:t>
      </w:r>
      <w:r>
        <w:rPr>
          <w:sz w:val="20"/>
        </w:rPr>
        <w:t>as</w:t>
      </w:r>
      <w:r>
        <w:rPr>
          <w:spacing w:val="13"/>
          <w:sz w:val="20"/>
        </w:rPr>
        <w:t> </w:t>
      </w:r>
      <w:r>
        <w:rPr>
          <w:sz w:val="20"/>
        </w:rPr>
        <w:t>not</w:t>
      </w:r>
      <w:r>
        <w:rPr>
          <w:spacing w:val="13"/>
          <w:sz w:val="20"/>
        </w:rPr>
        <w:t> </w:t>
      </w:r>
      <w:r>
        <w:rPr>
          <w:sz w:val="20"/>
        </w:rPr>
        <w:t>a</w:t>
      </w:r>
      <w:r>
        <w:rPr>
          <w:spacing w:val="13"/>
          <w:sz w:val="20"/>
        </w:rPr>
        <w:t> </w:t>
      </w:r>
      <w:r>
        <w:rPr>
          <w:sz w:val="20"/>
        </w:rPr>
        <w:t>“relational”</w:t>
      </w:r>
      <w:r>
        <w:rPr>
          <w:spacing w:val="13"/>
          <w:sz w:val="20"/>
        </w:rPr>
        <w:t> </w:t>
      </w:r>
      <w:r>
        <w:rPr>
          <w:sz w:val="20"/>
        </w:rPr>
        <w:t>contract</w:t>
      </w:r>
      <w:r>
        <w:rPr>
          <w:spacing w:val="13"/>
          <w:sz w:val="20"/>
        </w:rPr>
        <w:t> </w:t>
      </w:r>
      <w:r>
        <w:rPr>
          <w:sz w:val="20"/>
        </w:rPr>
        <w:t>and</w:t>
      </w:r>
      <w:r>
        <w:rPr>
          <w:spacing w:val="13"/>
          <w:sz w:val="20"/>
        </w:rPr>
        <w:t> </w:t>
      </w:r>
      <w:r>
        <w:rPr>
          <w:sz w:val="20"/>
        </w:rPr>
        <w:t>lessor</w:t>
      </w:r>
      <w:r>
        <w:rPr>
          <w:spacing w:val="13"/>
          <w:sz w:val="20"/>
        </w:rPr>
        <w:t> </w:t>
      </w:r>
      <w:r>
        <w:rPr>
          <w:sz w:val="20"/>
        </w:rPr>
        <w:t>was</w:t>
      </w:r>
      <w:r>
        <w:rPr>
          <w:spacing w:val="13"/>
          <w:sz w:val="20"/>
        </w:rPr>
        <w:t> </w:t>
      </w:r>
      <w:r>
        <w:rPr>
          <w:sz w:val="20"/>
        </w:rPr>
        <w:t>entitled</w:t>
      </w:r>
      <w:r>
        <w:rPr>
          <w:spacing w:val="13"/>
          <w:sz w:val="20"/>
        </w:rPr>
        <w:t> </w:t>
      </w:r>
      <w:r>
        <w:rPr>
          <w:sz w:val="20"/>
        </w:rPr>
        <w:t>to</w:t>
      </w:r>
      <w:r>
        <w:rPr>
          <w:spacing w:val="13"/>
          <w:sz w:val="20"/>
        </w:rPr>
        <w:t> </w:t>
      </w:r>
      <w:r>
        <w:rPr>
          <w:spacing w:val="-2"/>
          <w:sz w:val="20"/>
        </w:rPr>
        <w:t>redelivery</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spacing w:line="235" w:lineRule="auto" w:before="110"/>
        <w:ind w:left="705" w:right="167" w:firstLine="0"/>
        <w:jc w:val="both"/>
        <w:rPr>
          <w:sz w:val="20"/>
        </w:rPr>
      </w:pPr>
      <w:r>
        <w:rPr>
          <w:sz w:val="20"/>
        </w:rPr>
        <w:t>in compliance with contract terms (obiter)). See also </w:t>
      </w:r>
      <w:r>
        <w:rPr>
          <w:rFonts w:ascii="Arial"/>
          <w:i/>
          <w:sz w:val="20"/>
        </w:rPr>
        <w:t>MSC Mediterranean Shipping Co SA v Cottonex Anstalt [2016] EWCA Civ 789, [2017] 1 All E.R. (Comm) 483 </w:t>
      </w:r>
      <w:r>
        <w:rPr>
          <w:sz w:val="20"/>
        </w:rPr>
        <w:t>at [45] (disapproving of the</w:t>
      </w:r>
      <w:r>
        <w:rPr>
          <w:spacing w:val="-3"/>
          <w:sz w:val="20"/>
        </w:rPr>
        <w:t> </w:t>
      </w:r>
      <w:r>
        <w:rPr>
          <w:sz w:val="20"/>
        </w:rPr>
        <w:t>establishment</w:t>
      </w:r>
      <w:r>
        <w:rPr>
          <w:spacing w:val="-3"/>
          <w:sz w:val="20"/>
        </w:rPr>
        <w:t> </w:t>
      </w:r>
      <w:r>
        <w:rPr>
          <w:sz w:val="20"/>
        </w:rPr>
        <w:t>of</w:t>
      </w:r>
      <w:r>
        <w:rPr>
          <w:spacing w:val="-3"/>
          <w:sz w:val="20"/>
        </w:rPr>
        <w:t> </w:t>
      </w:r>
      <w:r>
        <w:rPr>
          <w:sz w:val="20"/>
        </w:rPr>
        <w:t>a</w:t>
      </w:r>
      <w:r>
        <w:rPr>
          <w:spacing w:val="-3"/>
          <w:sz w:val="20"/>
        </w:rPr>
        <w:t> </w:t>
      </w:r>
      <w:r>
        <w:rPr>
          <w:sz w:val="20"/>
        </w:rPr>
        <w:t>general</w:t>
      </w:r>
      <w:r>
        <w:rPr>
          <w:spacing w:val="-3"/>
          <w:sz w:val="20"/>
        </w:rPr>
        <w:t> </w:t>
      </w:r>
      <w:r>
        <w:rPr>
          <w:sz w:val="20"/>
        </w:rPr>
        <w:t>principle</w:t>
      </w:r>
      <w:r>
        <w:rPr>
          <w:spacing w:val="-3"/>
          <w:sz w:val="20"/>
        </w:rPr>
        <w:t> </w:t>
      </w:r>
      <w:r>
        <w:rPr>
          <w:sz w:val="20"/>
        </w:rPr>
        <w:t>of</w:t>
      </w:r>
      <w:r>
        <w:rPr>
          <w:spacing w:val="-3"/>
          <w:sz w:val="20"/>
        </w:rPr>
        <w:t> </w:t>
      </w:r>
      <w:r>
        <w:rPr>
          <w:sz w:val="20"/>
        </w:rPr>
        <w:t>good</w:t>
      </w:r>
      <w:r>
        <w:rPr>
          <w:spacing w:val="-3"/>
          <w:sz w:val="20"/>
        </w:rPr>
        <w:t> </w:t>
      </w:r>
      <w:r>
        <w:rPr>
          <w:sz w:val="20"/>
        </w:rPr>
        <w:t>faith,</w:t>
      </w:r>
      <w:r>
        <w:rPr>
          <w:spacing w:val="-3"/>
          <w:sz w:val="20"/>
        </w:rPr>
        <w:t> </w:t>
      </w:r>
      <w:r>
        <w:rPr>
          <w:sz w:val="20"/>
        </w:rPr>
        <w:t>contrary</w:t>
      </w:r>
      <w:r>
        <w:rPr>
          <w:spacing w:val="-3"/>
          <w:sz w:val="20"/>
        </w:rPr>
        <w:t> </w:t>
      </w:r>
      <w:r>
        <w:rPr>
          <w:sz w:val="20"/>
        </w:rPr>
        <w:t>to</w:t>
      </w:r>
      <w:r>
        <w:rPr>
          <w:spacing w:val="-3"/>
          <w:sz w:val="20"/>
        </w:rPr>
        <w:t> </w:t>
      </w:r>
      <w:r>
        <w:rPr>
          <w:sz w:val="20"/>
        </w:rPr>
        <w:t>the</w:t>
      </w:r>
      <w:r>
        <w:rPr>
          <w:spacing w:val="-3"/>
          <w:sz w:val="20"/>
        </w:rPr>
        <w:t> </w:t>
      </w:r>
      <w:r>
        <w:rPr>
          <w:sz w:val="20"/>
        </w:rPr>
        <w:t>suggestion</w:t>
      </w:r>
      <w:r>
        <w:rPr>
          <w:spacing w:val="-3"/>
          <w:sz w:val="20"/>
        </w:rPr>
        <w:t> </w:t>
      </w:r>
      <w:r>
        <w:rPr>
          <w:sz w:val="20"/>
        </w:rPr>
        <w:t>by</w:t>
      </w:r>
      <w:r>
        <w:rPr>
          <w:spacing w:val="-3"/>
          <w:sz w:val="20"/>
        </w:rPr>
        <w:t> </w:t>
      </w:r>
      <w:r>
        <w:rPr>
          <w:sz w:val="20"/>
        </w:rPr>
        <w:t>Leggatt</w:t>
      </w:r>
      <w:r>
        <w:rPr>
          <w:spacing w:val="-3"/>
          <w:sz w:val="20"/>
        </w:rPr>
        <w:t> </w:t>
      </w:r>
      <w:r>
        <w:rPr>
          <w:sz w:val="20"/>
        </w:rPr>
        <w:t>J.</w:t>
      </w:r>
      <w:r>
        <w:rPr>
          <w:spacing w:val="-3"/>
          <w:sz w:val="20"/>
        </w:rPr>
        <w:t> </w:t>
      </w:r>
      <w:r>
        <w:rPr>
          <w:sz w:val="20"/>
        </w:rPr>
        <w:t>at </w:t>
      </w:r>
      <w:r>
        <w:rPr>
          <w:spacing w:val="-2"/>
          <w:sz w:val="20"/>
        </w:rPr>
        <w:t>trial).</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8784">
            <wp:simplePos x="0" y="0"/>
            <wp:positionH relativeFrom="page">
              <wp:posOffset>1257846</wp:posOffset>
            </wp:positionH>
            <wp:positionV relativeFrom="paragraph">
              <wp:posOffset>160185</wp:posOffset>
            </wp:positionV>
            <wp:extent cx="107988" cy="107988"/>
            <wp:effectExtent l="0" t="0" r="0" b="0"/>
            <wp:wrapNone/>
            <wp:docPr id="296" name="Image 296"/>
            <wp:cNvGraphicFramePr>
              <a:graphicFrameLocks/>
            </wp:cNvGraphicFramePr>
            <a:graphic>
              <a:graphicData uri="http://schemas.openxmlformats.org/drawingml/2006/picture">
                <pic:pic>
                  <pic:nvPicPr>
                    <pic:cNvPr id="296" name="Image 29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11" w:id="913"/>
      <w:bookmarkEnd w:id="913"/>
      <w:r>
        <w:rPr/>
      </w:r>
      <w:hyperlink w:history="true" w:anchor="_bookmark745">
        <w:r>
          <w:rPr>
            <w:color w:val="005DA1"/>
            <w:spacing w:val="-4"/>
            <w:sz w:val="14"/>
            <w:u w:val="single" w:color="005DA1"/>
          </w:rPr>
          <w:t>463</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[2014] EWHC 1156 (Ch), [2014] 2 Lloyd’s Rep. 169 </w:t>
      </w:r>
      <w:r>
        <w:rPr>
          <w:sz w:val="20"/>
        </w:rPr>
        <w:t>at [150]; </w:t>
      </w:r>
      <w:r>
        <w:rPr>
          <w:rFonts w:ascii="Arial" w:hAnsi="Arial"/>
          <w:i/>
          <w:sz w:val="20"/>
        </w:rPr>
        <w:t>Property Alliance Group Ltd v Royal Bank of Scotland Plc [2016] EWHC 3342 (Ch) </w:t>
      </w:r>
      <w:r>
        <w:rPr>
          <w:sz w:val="20"/>
        </w:rPr>
        <w:t>at [250] and [276] (where in addition an implied term requiring good faith would have been inconsistent with express terms </w:t>
      </w:r>
      <w:r>
        <w:rPr>
          <w:sz w:val="20"/>
        </w:rPr>
        <w:t>excluding equitable or fiduciary duties).</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9296">
            <wp:simplePos x="0" y="0"/>
            <wp:positionH relativeFrom="page">
              <wp:posOffset>1257846</wp:posOffset>
            </wp:positionH>
            <wp:positionV relativeFrom="paragraph">
              <wp:posOffset>160495</wp:posOffset>
            </wp:positionV>
            <wp:extent cx="107988" cy="107988"/>
            <wp:effectExtent l="0" t="0" r="0" b="0"/>
            <wp:wrapNone/>
            <wp:docPr id="297" name="Image 297"/>
            <wp:cNvGraphicFramePr>
              <a:graphicFrameLocks/>
            </wp:cNvGraphicFramePr>
            <a:graphic>
              <a:graphicData uri="http://schemas.openxmlformats.org/drawingml/2006/picture">
                <pic:pic>
                  <pic:nvPicPr>
                    <pic:cNvPr id="297" name="Image 29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12" w:id="914"/>
      <w:bookmarkEnd w:id="914"/>
      <w:r>
        <w:rPr/>
      </w:r>
      <w:hyperlink w:history="true" w:anchor="_bookmark746">
        <w:r>
          <w:rPr>
            <w:color w:val="005DA1"/>
            <w:spacing w:val="-4"/>
            <w:sz w:val="14"/>
            <w:u w:val="single" w:color="005DA1"/>
          </w:rPr>
          <w:t>464</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[2014] EWHC 1156 (Ch) </w:t>
      </w:r>
      <w:r>
        <w:rPr>
          <w:sz w:val="20"/>
        </w:rPr>
        <w:t>at [150], referring to </w:t>
      </w:r>
      <w:r>
        <w:rPr>
          <w:rFonts w:ascii="Arial" w:hAnsi="Arial"/>
          <w:i/>
          <w:sz w:val="20"/>
        </w:rPr>
        <w:t>[2013] EWHC 111 (QB) </w:t>
      </w:r>
      <w:r>
        <w:rPr>
          <w:sz w:val="20"/>
        </w:rPr>
        <w:t>at [147]. cf. </w:t>
      </w:r>
      <w:r>
        <w:rPr>
          <w:rFonts w:ascii="Arial" w:hAnsi="Arial"/>
          <w:i/>
          <w:sz w:val="20"/>
        </w:rPr>
        <w:t>Hockin </w:t>
      </w:r>
      <w:r>
        <w:rPr>
          <w:rFonts w:ascii="Arial" w:hAnsi="Arial"/>
          <w:i/>
          <w:sz w:val="20"/>
        </w:rPr>
        <w:t>v Royal Bank of Scotland [2016] EWHC 925 (Ch) </w:t>
      </w:r>
      <w:r>
        <w:rPr>
          <w:sz w:val="20"/>
        </w:rPr>
        <w:t>at [44]–[47] (no strike out of claim for breach of implied term as to the exercise of a right/discretion under a contract in the absence of factual matrix to be established at trial).</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913" w:id="915"/>
      <w:bookmarkEnd w:id="915"/>
      <w:r>
        <w:rPr/>
      </w:r>
      <w:hyperlink w:history="true" w:anchor="_bookmark747">
        <w:r>
          <w:rPr>
            <w:color w:val="005DA1"/>
            <w:spacing w:val="-4"/>
            <w:sz w:val="14"/>
            <w:u w:val="single" w:color="005DA1"/>
          </w:rPr>
          <w:t>465</w:t>
        </w:r>
      </w:hyperlink>
      <w:r>
        <w:rPr>
          <w:spacing w:val="-4"/>
          <w:sz w:val="14"/>
        </w:rPr>
        <w:t>.</w:t>
      </w:r>
    </w:p>
    <w:p>
      <w:pPr>
        <w:spacing w:before="208"/>
        <w:ind w:left="335" w:right="0" w:firstLine="0"/>
        <w:jc w:val="left"/>
        <w:rPr>
          <w:sz w:val="20"/>
        </w:rPr>
      </w:pPr>
      <w:r>
        <w:rPr/>
        <w:br w:type="column"/>
      </w:r>
      <w:r>
        <w:rPr>
          <w:rFonts w:ascii="Arial"/>
          <w:i/>
          <w:sz w:val="20"/>
        </w:rPr>
        <w:t>[2015] UKSC 72, [2015] 3 W.L.R. </w:t>
      </w:r>
      <w:r>
        <w:rPr>
          <w:rFonts w:ascii="Arial"/>
          <w:i/>
          <w:spacing w:val="-2"/>
          <w:sz w:val="20"/>
        </w:rPr>
        <w:t>1843</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9808">
            <wp:simplePos x="0" y="0"/>
            <wp:positionH relativeFrom="page">
              <wp:posOffset>1257846</wp:posOffset>
            </wp:positionH>
            <wp:positionV relativeFrom="paragraph">
              <wp:posOffset>-211284</wp:posOffset>
            </wp:positionV>
            <wp:extent cx="107988" cy="107988"/>
            <wp:effectExtent l="0" t="0" r="0" b="0"/>
            <wp:wrapNone/>
            <wp:docPr id="298" name="Image 298"/>
            <wp:cNvGraphicFramePr>
              <a:graphicFrameLocks/>
            </wp:cNvGraphicFramePr>
            <a:graphic>
              <a:graphicData uri="http://schemas.openxmlformats.org/drawingml/2006/picture">
                <pic:pic>
                  <pic:nvPicPr>
                    <pic:cNvPr id="298" name="Image 298"/>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00320">
            <wp:simplePos x="0" y="0"/>
            <wp:positionH relativeFrom="page">
              <wp:posOffset>1257846</wp:posOffset>
            </wp:positionH>
            <wp:positionV relativeFrom="paragraph">
              <wp:posOffset>160190</wp:posOffset>
            </wp:positionV>
            <wp:extent cx="107988" cy="107988"/>
            <wp:effectExtent l="0" t="0" r="0" b="0"/>
            <wp:wrapNone/>
            <wp:docPr id="299" name="Image 299"/>
            <wp:cNvGraphicFramePr>
              <a:graphicFrameLocks/>
            </wp:cNvGraphicFramePr>
            <a:graphic>
              <a:graphicData uri="http://schemas.openxmlformats.org/drawingml/2006/picture">
                <pic:pic>
                  <pic:nvPicPr>
                    <pic:cNvPr id="299" name="Image 29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14" w:id="916"/>
      <w:bookmarkEnd w:id="916"/>
      <w:r>
        <w:rPr/>
      </w:r>
      <w:hyperlink w:history="true" w:anchor="_bookmark748">
        <w:r>
          <w:rPr>
            <w:color w:val="005DA1"/>
            <w:spacing w:val="-4"/>
            <w:sz w:val="14"/>
            <w:u w:val="single" w:color="005DA1"/>
          </w:rPr>
          <w:t>466</w:t>
        </w:r>
      </w:hyperlink>
      <w:r>
        <w:rPr>
          <w:spacing w:val="-4"/>
          <w:sz w:val="14"/>
        </w:rPr>
        <w:t>.</w:t>
      </w:r>
    </w:p>
    <w:p>
      <w:pPr>
        <w:spacing w:line="235" w:lineRule="auto" w:before="212"/>
        <w:ind w:left="165" w:right="167" w:firstLine="170"/>
        <w:jc w:val="both"/>
        <w:rPr>
          <w:sz w:val="20"/>
        </w:rPr>
      </w:pPr>
      <w:r>
        <w:rPr/>
        <w:br w:type="column"/>
      </w:r>
      <w:r>
        <w:rPr>
          <w:rFonts w:ascii="Arial"/>
          <w:i/>
          <w:sz w:val="20"/>
        </w:rPr>
        <w:t>[2015] UKSC 72 </w:t>
      </w:r>
      <w:r>
        <w:rPr>
          <w:sz w:val="20"/>
        </w:rPr>
        <w:t>at [21] and see for an example of this approach being adopted in the </w:t>
      </w:r>
      <w:r>
        <w:rPr>
          <w:sz w:val="20"/>
        </w:rPr>
        <w:t>context of good faith: </w:t>
      </w:r>
      <w:r>
        <w:rPr>
          <w:rFonts w:ascii="Arial"/>
          <w:i/>
          <w:sz w:val="20"/>
        </w:rPr>
        <w:t>Hockin v Royal Bank of Scotland [2016] EWHC 925 (Ch) </w:t>
      </w:r>
      <w:r>
        <w:rPr>
          <w:sz w:val="20"/>
        </w:rPr>
        <w:t>at [46] (high threshold</w:t>
      </w:r>
      <w:r>
        <w:rPr>
          <w:spacing w:val="40"/>
          <w:sz w:val="20"/>
        </w:rPr>
        <w:t> </w:t>
      </w:r>
      <w:r>
        <w:rPr>
          <w:sz w:val="20"/>
        </w:rPr>
        <w:t>for the implication of a term in a standard commercial contract). On the decision of the SC in </w:t>
      </w:r>
      <w:r>
        <w:rPr>
          <w:rFonts w:ascii="Arial"/>
          <w:i/>
          <w:sz w:val="20"/>
        </w:rPr>
        <w:t>Marks &amp; Spencers Plc </w:t>
      </w:r>
      <w:r>
        <w:rPr>
          <w:sz w:val="20"/>
        </w:rPr>
        <w:t>generally, see below, para.14-007.</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tabs>
          <w:tab w:pos="705" w:val="left" w:leader="none"/>
        </w:tabs>
        <w:spacing w:line="235" w:lineRule="auto" w:before="0"/>
        <w:ind w:left="705" w:right="168" w:hanging="541"/>
        <w:jc w:val="left"/>
        <w:rPr>
          <w:sz w:val="20"/>
        </w:rPr>
      </w:pPr>
      <w:bookmarkStart w:name="_bookmark915" w:id="917"/>
      <w:bookmarkEnd w:id="917"/>
      <w:r>
        <w:rPr/>
      </w:r>
      <w:hyperlink w:history="true" w:anchor="_bookmark749">
        <w:r>
          <w:rPr>
            <w:color w:val="005DA1"/>
            <w:spacing w:val="-4"/>
            <w:position w:val="5"/>
            <w:sz w:val="14"/>
            <w:u w:val="single" w:color="005DA1"/>
          </w:rPr>
          <w:t>467</w:t>
        </w:r>
      </w:hyperlink>
      <w:r>
        <w:rPr>
          <w:spacing w:val="-4"/>
          <w:position w:val="5"/>
          <w:sz w:val="14"/>
        </w:rPr>
        <w:t>.</w:t>
      </w:r>
      <w:r>
        <w:rPr>
          <w:position w:val="5"/>
          <w:sz w:val="14"/>
        </w:rPr>
        <w:tab/>
      </w:r>
      <w:r>
        <w:rPr>
          <w:sz w:val="20"/>
        </w:rPr>
        <w:t>cf. </w:t>
      </w:r>
      <w:r>
        <w:rPr>
          <w:rFonts w:ascii="Arial" w:hAnsi="Arial"/>
          <w:i/>
          <w:sz w:val="20"/>
        </w:rPr>
        <w:t>Johnstone v Bloomsbury Health Authority [1992] Q.B. 334 </w:t>
      </w:r>
      <w:r>
        <w:rPr>
          <w:sz w:val="20"/>
        </w:rPr>
        <w:t>(express discretionary power </w:t>
      </w:r>
      <w:r>
        <w:rPr>
          <w:sz w:val="20"/>
        </w:rPr>
        <w:t>in</w:t>
      </w:r>
      <w:r>
        <w:rPr>
          <w:spacing w:val="40"/>
          <w:sz w:val="20"/>
        </w:rPr>
        <w:t> </w:t>
      </w:r>
      <w:r>
        <w:rPr>
          <w:sz w:val="20"/>
        </w:rPr>
        <w:t>employer read subject to duty not to harm employee’s health), below, para.1-182.</w:t>
      </w:r>
    </w:p>
    <w:p>
      <w:pPr>
        <w:pStyle w:val="BodyText"/>
        <w:spacing w:before="6"/>
      </w:pPr>
    </w:p>
    <w:p>
      <w:pPr>
        <w:tabs>
          <w:tab w:pos="705" w:val="left" w:leader="none"/>
        </w:tabs>
        <w:spacing w:before="0"/>
        <w:ind w:left="165" w:right="0" w:firstLine="0"/>
        <w:jc w:val="left"/>
        <w:rPr>
          <w:sz w:val="20"/>
        </w:rPr>
      </w:pPr>
      <w:bookmarkStart w:name="_bookmark916" w:id="918"/>
      <w:bookmarkEnd w:id="918"/>
      <w:r>
        <w:rPr/>
      </w:r>
      <w:hyperlink w:history="true" w:anchor="_bookmark749">
        <w:r>
          <w:rPr>
            <w:color w:val="005DA1"/>
            <w:spacing w:val="-4"/>
            <w:position w:val="5"/>
            <w:sz w:val="14"/>
            <w:u w:val="single" w:color="005DA1"/>
          </w:rPr>
          <w:t>468</w:t>
        </w:r>
      </w:hyperlink>
      <w:r>
        <w:rPr>
          <w:spacing w:val="-4"/>
          <w:position w:val="5"/>
          <w:sz w:val="14"/>
        </w:rPr>
        <w:t>.</w:t>
      </w:r>
      <w:r>
        <w:rPr>
          <w:position w:val="5"/>
          <w:sz w:val="14"/>
        </w:rPr>
        <w:tab/>
      </w:r>
      <w:r>
        <w:rPr>
          <w:rFonts w:ascii="Arial"/>
          <w:i/>
          <w:sz w:val="20"/>
        </w:rPr>
        <w:t>[2001] EWCA Civ 1466, [2002] 1 W.L.R. </w:t>
      </w:r>
      <w:r>
        <w:rPr>
          <w:rFonts w:ascii="Arial"/>
          <w:i/>
          <w:spacing w:val="-4"/>
          <w:sz w:val="20"/>
        </w:rPr>
        <w:t>685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17" w:id="919"/>
      <w:bookmarkEnd w:id="919"/>
      <w:r>
        <w:rPr/>
      </w:r>
      <w:hyperlink w:history="true" w:anchor="_bookmark750">
        <w:r>
          <w:rPr>
            <w:color w:val="005DA1"/>
            <w:spacing w:val="-4"/>
            <w:position w:val="5"/>
            <w:sz w:val="14"/>
            <w:u w:val="single" w:color="005DA1"/>
          </w:rPr>
          <w:t>469</w:t>
        </w:r>
      </w:hyperlink>
      <w:r>
        <w:rPr>
          <w:spacing w:val="-4"/>
          <w:position w:val="5"/>
          <w:sz w:val="14"/>
        </w:rPr>
        <w:t>.</w:t>
      </w:r>
      <w:r>
        <w:rPr>
          <w:position w:val="5"/>
          <w:sz w:val="14"/>
        </w:rPr>
        <w:tab/>
      </w:r>
      <w:r>
        <w:rPr>
          <w:rFonts w:ascii="Arial"/>
          <w:i/>
          <w:sz w:val="20"/>
        </w:rPr>
        <w:t>[2002] 1 W.L.R. 685</w:t>
      </w:r>
      <w:r>
        <w:rPr>
          <w:rFonts w:ascii="Arial"/>
          <w:i/>
          <w:spacing w:val="-1"/>
          <w:sz w:val="20"/>
        </w:rPr>
        <w:t> </w:t>
      </w:r>
      <w:r>
        <w:rPr>
          <w:sz w:val="20"/>
        </w:rPr>
        <w:t>at [30], per Dyson </w:t>
      </w:r>
      <w:r>
        <w:rPr>
          <w:spacing w:val="-4"/>
          <w:sz w:val="20"/>
        </w:rPr>
        <w:t>L.J.</w:t>
      </w:r>
    </w:p>
    <w:p>
      <w:pPr>
        <w:pStyle w:val="BodyText"/>
        <w:spacing w:before="5"/>
      </w:pPr>
    </w:p>
    <w:p>
      <w:pPr>
        <w:tabs>
          <w:tab w:pos="705" w:val="left" w:leader="none"/>
        </w:tabs>
        <w:spacing w:before="0"/>
        <w:ind w:left="165" w:right="0" w:firstLine="0"/>
        <w:jc w:val="left"/>
        <w:rPr>
          <w:sz w:val="20"/>
        </w:rPr>
      </w:pPr>
      <w:bookmarkStart w:name="_bookmark918" w:id="920"/>
      <w:bookmarkEnd w:id="920"/>
      <w:r>
        <w:rPr/>
      </w:r>
      <w:hyperlink w:history="true" w:anchor="_bookmark751">
        <w:r>
          <w:rPr>
            <w:color w:val="005DA1"/>
            <w:spacing w:val="-4"/>
            <w:position w:val="5"/>
            <w:sz w:val="14"/>
            <w:u w:val="single" w:color="005DA1"/>
          </w:rPr>
          <w:t>470</w:t>
        </w:r>
      </w:hyperlink>
      <w:r>
        <w:rPr>
          <w:spacing w:val="-4"/>
          <w:position w:val="5"/>
          <w:sz w:val="14"/>
        </w:rPr>
        <w:t>.</w:t>
      </w:r>
      <w:r>
        <w:rPr>
          <w:position w:val="5"/>
          <w:sz w:val="14"/>
        </w:rPr>
        <w:tab/>
      </w:r>
      <w:r>
        <w:rPr>
          <w:rFonts w:ascii="Arial"/>
          <w:i/>
          <w:sz w:val="20"/>
        </w:rPr>
        <w:t>[2002]</w:t>
      </w:r>
      <w:r>
        <w:rPr>
          <w:rFonts w:ascii="Arial"/>
          <w:i/>
          <w:spacing w:val="-2"/>
          <w:sz w:val="20"/>
        </w:rPr>
        <w:t> </w:t>
      </w:r>
      <w:r>
        <w:rPr>
          <w:rFonts w:ascii="Arial"/>
          <w:i/>
          <w:sz w:val="20"/>
        </w:rPr>
        <w:t>1 W.L.R. 685</w:t>
      </w:r>
      <w:r>
        <w:rPr>
          <w:rFonts w:ascii="Arial"/>
          <w:i/>
          <w:spacing w:val="-1"/>
          <w:sz w:val="20"/>
        </w:rPr>
        <w:t> </w:t>
      </w:r>
      <w:r>
        <w:rPr>
          <w:sz w:val="20"/>
        </w:rPr>
        <w:t>at </w:t>
      </w:r>
      <w:r>
        <w:rPr>
          <w:spacing w:val="-2"/>
          <w:sz w:val="20"/>
        </w:rPr>
        <w:t>[32].</w:t>
      </w:r>
    </w:p>
    <w:p>
      <w:pPr>
        <w:pStyle w:val="BodyText"/>
        <w:spacing w:before="5"/>
      </w:pPr>
    </w:p>
    <w:p>
      <w:pPr>
        <w:tabs>
          <w:tab w:pos="705" w:val="left" w:leader="none"/>
        </w:tabs>
        <w:spacing w:before="0"/>
        <w:ind w:left="165" w:right="0" w:firstLine="0"/>
        <w:jc w:val="left"/>
        <w:rPr>
          <w:sz w:val="20"/>
        </w:rPr>
      </w:pPr>
      <w:bookmarkStart w:name="_bookmark919" w:id="921"/>
      <w:bookmarkEnd w:id="921"/>
      <w:r>
        <w:rPr/>
      </w:r>
      <w:hyperlink w:history="true" w:anchor="_bookmark752">
        <w:r>
          <w:rPr>
            <w:color w:val="005DA1"/>
            <w:spacing w:val="-4"/>
            <w:position w:val="5"/>
            <w:sz w:val="14"/>
            <w:u w:val="single" w:color="005DA1"/>
          </w:rPr>
          <w:t>471</w:t>
        </w:r>
      </w:hyperlink>
      <w:r>
        <w:rPr>
          <w:spacing w:val="-4"/>
          <w:position w:val="5"/>
          <w:sz w:val="14"/>
        </w:rPr>
        <w:t>.</w:t>
      </w:r>
      <w:r>
        <w:rPr>
          <w:position w:val="5"/>
          <w:sz w:val="14"/>
        </w:rPr>
        <w:tab/>
      </w:r>
      <w:r>
        <w:rPr>
          <w:rFonts w:ascii="Arial"/>
          <w:i/>
          <w:sz w:val="20"/>
        </w:rPr>
        <w:t>[2002]</w:t>
      </w:r>
      <w:r>
        <w:rPr>
          <w:rFonts w:ascii="Arial"/>
          <w:i/>
          <w:spacing w:val="-2"/>
          <w:sz w:val="20"/>
        </w:rPr>
        <w:t> </w:t>
      </w:r>
      <w:r>
        <w:rPr>
          <w:rFonts w:ascii="Arial"/>
          <w:i/>
          <w:sz w:val="20"/>
        </w:rPr>
        <w:t>1 W.L.R. 685</w:t>
      </w:r>
      <w:r>
        <w:rPr>
          <w:rFonts w:ascii="Arial"/>
          <w:i/>
          <w:spacing w:val="-1"/>
          <w:sz w:val="20"/>
        </w:rPr>
        <w:t> </w:t>
      </w:r>
      <w:r>
        <w:rPr>
          <w:sz w:val="20"/>
        </w:rPr>
        <w:t>at </w:t>
      </w:r>
      <w:r>
        <w:rPr>
          <w:spacing w:val="-2"/>
          <w:sz w:val="20"/>
        </w:rPr>
        <w:t>[40].</w:t>
      </w:r>
    </w:p>
    <w:p>
      <w:pPr>
        <w:pStyle w:val="BodyText"/>
        <w:spacing w:before="5"/>
      </w:pPr>
    </w:p>
    <w:p>
      <w:pPr>
        <w:tabs>
          <w:tab w:pos="705" w:val="left" w:leader="none"/>
        </w:tabs>
        <w:spacing w:before="0"/>
        <w:ind w:left="165" w:right="0" w:firstLine="0"/>
        <w:jc w:val="left"/>
        <w:rPr>
          <w:sz w:val="20"/>
        </w:rPr>
      </w:pPr>
      <w:bookmarkStart w:name="_bookmark920" w:id="922"/>
      <w:bookmarkEnd w:id="922"/>
      <w:r>
        <w:rPr/>
      </w:r>
      <w:hyperlink w:history="true" w:anchor="_bookmark752">
        <w:r>
          <w:rPr>
            <w:color w:val="005DA1"/>
            <w:spacing w:val="-4"/>
            <w:position w:val="5"/>
            <w:sz w:val="14"/>
            <w:u w:val="single" w:color="005DA1"/>
          </w:rPr>
          <w:t>472</w:t>
        </w:r>
      </w:hyperlink>
      <w:r>
        <w:rPr>
          <w:spacing w:val="-4"/>
          <w:position w:val="5"/>
          <w:sz w:val="14"/>
        </w:rPr>
        <w:t>.</w:t>
      </w:r>
      <w:r>
        <w:rPr>
          <w:position w:val="5"/>
          <w:sz w:val="14"/>
        </w:rPr>
        <w:tab/>
      </w:r>
      <w:r>
        <w:rPr>
          <w:rFonts w:ascii="Arial"/>
          <w:i/>
          <w:sz w:val="20"/>
        </w:rPr>
        <w:t>[2005] EWCA Civ 760, [2005] 1 W.L.R. </w:t>
      </w:r>
      <w:r>
        <w:rPr>
          <w:rFonts w:ascii="Arial"/>
          <w:i/>
          <w:spacing w:val="-2"/>
          <w:sz w:val="20"/>
        </w:rPr>
        <w:t>3412</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921" w:id="923"/>
      <w:bookmarkEnd w:id="923"/>
      <w:r>
        <w:rPr/>
      </w:r>
      <w:hyperlink w:history="true" w:anchor="_bookmark753">
        <w:r>
          <w:rPr>
            <w:color w:val="005DA1"/>
            <w:spacing w:val="-4"/>
            <w:position w:val="5"/>
            <w:sz w:val="14"/>
            <w:u w:val="single" w:color="005DA1"/>
          </w:rPr>
          <w:t>473</w:t>
        </w:r>
      </w:hyperlink>
      <w:r>
        <w:rPr>
          <w:spacing w:val="-4"/>
          <w:position w:val="5"/>
          <w:sz w:val="14"/>
        </w:rPr>
        <w:t>.</w:t>
      </w:r>
      <w:r>
        <w:rPr>
          <w:position w:val="5"/>
          <w:sz w:val="14"/>
        </w:rPr>
        <w:tab/>
      </w:r>
      <w:r>
        <w:rPr>
          <w:rFonts w:ascii="Arial"/>
          <w:i/>
          <w:sz w:val="20"/>
        </w:rPr>
        <w:t>[2005] EWCA Civ 760</w:t>
      </w:r>
      <w:r>
        <w:rPr>
          <w:rFonts w:ascii="Arial"/>
          <w:i/>
          <w:spacing w:val="-1"/>
          <w:sz w:val="20"/>
        </w:rPr>
        <w:t> </w:t>
      </w:r>
      <w:r>
        <w:rPr>
          <w:sz w:val="20"/>
        </w:rPr>
        <w:t>at [120] (original </w:t>
      </w:r>
      <w:r>
        <w:rPr>
          <w:spacing w:val="-2"/>
          <w:sz w:val="20"/>
        </w:rPr>
        <w:t>emphasis).</w:t>
      </w:r>
    </w:p>
    <w:p>
      <w:pPr>
        <w:pStyle w:val="BodyText"/>
        <w:spacing w:before="9"/>
      </w:pPr>
    </w:p>
    <w:p>
      <w:pPr>
        <w:spacing w:line="235" w:lineRule="auto" w:before="0"/>
        <w:ind w:left="705" w:right="167" w:hanging="541"/>
        <w:jc w:val="both"/>
        <w:rPr>
          <w:sz w:val="20"/>
        </w:rPr>
      </w:pPr>
      <w:bookmarkStart w:name="_bookmark922" w:id="924"/>
      <w:bookmarkEnd w:id="924"/>
      <w:r>
        <w:rPr/>
      </w:r>
      <w:hyperlink w:history="true" w:anchor="_bookmark754">
        <w:r>
          <w:rPr>
            <w:color w:val="005DA1"/>
            <w:position w:val="5"/>
            <w:sz w:val="14"/>
            <w:u w:val="single" w:color="005DA1"/>
          </w:rPr>
          <w:t>474</w:t>
        </w:r>
      </w:hyperlink>
      <w:r>
        <w:rPr>
          <w:position w:val="5"/>
          <w:sz w:val="14"/>
        </w:rPr>
        <w:t>.</w:t>
      </w:r>
      <w:r>
        <w:rPr>
          <w:spacing w:val="80"/>
          <w:position w:val="5"/>
          <w:sz w:val="14"/>
        </w:rPr>
        <w:t>  </w:t>
      </w:r>
      <w:r>
        <w:rPr>
          <w:rFonts w:ascii="Arial" w:hAnsi="Arial"/>
          <w:i/>
          <w:sz w:val="20"/>
        </w:rPr>
        <w:t>[2007] EWCA Civ 151, [2007] Bus. L.R. D29</w:t>
      </w:r>
      <w:r>
        <w:rPr>
          <w:sz w:val="20"/>
        </w:rPr>
        <w:t>, Morgan [2008] Lloyd’s Maritime and Commercial Law Quarterly 523. cf. </w:t>
      </w:r>
      <w:r>
        <w:rPr>
          <w:rFonts w:ascii="Arial" w:hAnsi="Arial"/>
          <w:i/>
          <w:sz w:val="20"/>
        </w:rPr>
        <w:t>Eastleigh BC v Town Quay Developments Ltd </w:t>
      </w:r>
      <w:r>
        <w:rPr>
          <w:sz w:val="20"/>
        </w:rPr>
        <w:t>where, while it </w:t>
      </w:r>
      <w:r>
        <w:rPr>
          <w:sz w:val="20"/>
        </w:rPr>
        <w:t>was accepted (by agreement of the parties) that there is no general principle that, whenever a contract requires the consent of one party to be obtained by the other, there must be a term implied that such consent shall not be unreasonably withheld, in the circumstances a term should be implied that consent to the exercise of a right over land would not be unreasonably withheld: </w:t>
      </w:r>
      <w:r>
        <w:rPr>
          <w:rFonts w:ascii="Arial" w:hAnsi="Arial"/>
          <w:i/>
          <w:sz w:val="20"/>
        </w:rPr>
        <w:t>[2009] EWCA Civ 1391, [2010] 2 P. &amp;. C.R. 2 </w:t>
      </w:r>
      <w:r>
        <w:rPr>
          <w:sz w:val="20"/>
        </w:rPr>
        <w:t>at [20], [36]–[39].</w:t>
      </w:r>
    </w:p>
    <w:p>
      <w:pPr>
        <w:pStyle w:val="BodyText"/>
        <w:spacing w:before="3"/>
      </w:pPr>
    </w:p>
    <w:p>
      <w:pPr>
        <w:tabs>
          <w:tab w:pos="705" w:val="left" w:leader="none"/>
        </w:tabs>
        <w:spacing w:before="0"/>
        <w:ind w:left="165" w:right="0" w:firstLine="0"/>
        <w:jc w:val="left"/>
        <w:rPr>
          <w:sz w:val="20"/>
        </w:rPr>
      </w:pPr>
      <w:bookmarkStart w:name="_bookmark923" w:id="925"/>
      <w:bookmarkEnd w:id="925"/>
      <w:r>
        <w:rPr/>
      </w:r>
      <w:hyperlink w:history="true" w:anchor="_bookmark755">
        <w:r>
          <w:rPr>
            <w:color w:val="005DA1"/>
            <w:spacing w:val="-4"/>
            <w:position w:val="5"/>
            <w:sz w:val="14"/>
            <w:u w:val="single" w:color="005DA1"/>
          </w:rPr>
          <w:t>475</w:t>
        </w:r>
      </w:hyperlink>
      <w:r>
        <w:rPr>
          <w:spacing w:val="-4"/>
          <w:position w:val="5"/>
          <w:sz w:val="14"/>
        </w:rPr>
        <w:t>.</w:t>
      </w:r>
      <w:r>
        <w:rPr>
          <w:position w:val="5"/>
          <w:sz w:val="14"/>
        </w:rPr>
        <w:tab/>
      </w:r>
      <w:r>
        <w:rPr>
          <w:rFonts w:ascii="Arial"/>
          <w:i/>
          <w:sz w:val="20"/>
        </w:rPr>
        <w:t>[2007] EWCA Civ 151</w:t>
      </w:r>
      <w:r>
        <w:rPr>
          <w:rFonts w:ascii="Arial"/>
          <w:i/>
          <w:spacing w:val="-1"/>
          <w:sz w:val="20"/>
        </w:rPr>
        <w:t> </w:t>
      </w:r>
      <w:r>
        <w:rPr>
          <w:sz w:val="20"/>
        </w:rPr>
        <w:t>at [36]-</w:t>
      </w:r>
      <w:r>
        <w:rPr>
          <w:spacing w:val="-2"/>
          <w:sz w:val="20"/>
        </w:rPr>
        <w:t>[37].</w:t>
      </w:r>
    </w:p>
    <w:p>
      <w:pPr>
        <w:pStyle w:val="BodyText"/>
        <w:spacing w:before="5"/>
      </w:pPr>
    </w:p>
    <w:p>
      <w:pPr>
        <w:tabs>
          <w:tab w:pos="705" w:val="left" w:leader="none"/>
        </w:tabs>
        <w:spacing w:before="0"/>
        <w:ind w:left="165" w:right="0" w:firstLine="0"/>
        <w:jc w:val="left"/>
        <w:rPr>
          <w:sz w:val="20"/>
        </w:rPr>
      </w:pPr>
      <w:bookmarkStart w:name="_bookmark924" w:id="926"/>
      <w:bookmarkEnd w:id="926"/>
      <w:r>
        <w:rPr/>
      </w:r>
      <w:hyperlink w:history="true" w:anchor="_bookmark756">
        <w:r>
          <w:rPr>
            <w:color w:val="005DA1"/>
            <w:spacing w:val="-4"/>
            <w:position w:val="5"/>
            <w:sz w:val="14"/>
            <w:u w:val="single" w:color="005DA1"/>
          </w:rPr>
          <w:t>476</w:t>
        </w:r>
      </w:hyperlink>
      <w:r>
        <w:rPr>
          <w:spacing w:val="-4"/>
          <w:position w:val="5"/>
          <w:sz w:val="14"/>
        </w:rPr>
        <w:t>.</w:t>
      </w:r>
      <w:r>
        <w:rPr>
          <w:position w:val="5"/>
          <w:sz w:val="14"/>
        </w:rPr>
        <w:tab/>
      </w:r>
      <w:r>
        <w:rPr>
          <w:rFonts w:ascii="Arial" w:hAnsi="Arial"/>
          <w:i/>
          <w:sz w:val="20"/>
        </w:rPr>
        <w:t>[2007] EWCA Civ 151</w:t>
      </w:r>
      <w:r>
        <w:rPr>
          <w:rFonts w:ascii="Arial" w:hAnsi="Arial"/>
          <w:i/>
          <w:spacing w:val="-1"/>
          <w:sz w:val="20"/>
        </w:rPr>
        <w:t> </w:t>
      </w:r>
      <w:r>
        <w:rPr>
          <w:sz w:val="20"/>
        </w:rPr>
        <w:t>at </w:t>
      </w:r>
      <w:r>
        <w:rPr>
          <w:spacing w:val="-2"/>
          <w:sz w:val="20"/>
        </w:rPr>
        <w:t>[42]–[44].</w:t>
      </w:r>
    </w:p>
    <w:p>
      <w:pPr>
        <w:pStyle w:val="BodyText"/>
        <w:spacing w:before="9"/>
      </w:pPr>
    </w:p>
    <w:p>
      <w:pPr>
        <w:spacing w:line="235" w:lineRule="auto" w:before="0"/>
        <w:ind w:left="705" w:right="167" w:hanging="541"/>
        <w:jc w:val="both"/>
        <w:rPr>
          <w:sz w:val="20"/>
        </w:rPr>
      </w:pPr>
      <w:bookmarkStart w:name="_bookmark925" w:id="927"/>
      <w:bookmarkEnd w:id="927"/>
      <w:r>
        <w:rPr/>
      </w:r>
      <w:hyperlink w:history="true" w:anchor="_bookmark757">
        <w:r>
          <w:rPr>
            <w:color w:val="005DA1"/>
            <w:position w:val="5"/>
            <w:sz w:val="14"/>
            <w:u w:val="single" w:color="005DA1"/>
          </w:rPr>
          <w:t>477</w:t>
        </w:r>
      </w:hyperlink>
      <w:r>
        <w:rPr>
          <w:position w:val="5"/>
          <w:sz w:val="14"/>
        </w:rPr>
        <w:t>.</w:t>
      </w:r>
      <w:r>
        <w:rPr>
          <w:spacing w:val="40"/>
          <w:position w:val="5"/>
          <w:sz w:val="14"/>
        </w:rPr>
        <w:t>  </w:t>
      </w:r>
      <w:r>
        <w:rPr>
          <w:rFonts w:ascii="Arial" w:hAnsi="Arial"/>
          <w:i/>
          <w:sz w:val="20"/>
        </w:rPr>
        <w:t>[2007]</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151</w:t>
      </w:r>
      <w:r>
        <w:rPr>
          <w:rFonts w:ascii="Arial" w:hAnsi="Arial"/>
          <w:i/>
          <w:spacing w:val="40"/>
          <w:sz w:val="20"/>
        </w:rPr>
        <w:t> </w:t>
      </w:r>
      <w:r>
        <w:rPr>
          <w:sz w:val="20"/>
        </w:rPr>
        <w:t>at</w:t>
      </w:r>
      <w:r>
        <w:rPr>
          <w:spacing w:val="40"/>
          <w:sz w:val="20"/>
        </w:rPr>
        <w:t> </w:t>
      </w:r>
      <w:r>
        <w:rPr>
          <w:sz w:val="20"/>
        </w:rPr>
        <w:t>[43],</w:t>
      </w:r>
      <w:r>
        <w:rPr>
          <w:spacing w:val="40"/>
          <w:sz w:val="20"/>
        </w:rPr>
        <w:t> </w:t>
      </w:r>
      <w:r>
        <w:rPr>
          <w:sz w:val="20"/>
        </w:rPr>
        <w:t>per</w:t>
      </w:r>
      <w:r>
        <w:rPr>
          <w:spacing w:val="40"/>
          <w:sz w:val="20"/>
        </w:rPr>
        <w:t> </w:t>
      </w:r>
      <w:r>
        <w:rPr>
          <w:sz w:val="20"/>
        </w:rPr>
        <w:t>Arden</w:t>
      </w:r>
      <w:r>
        <w:rPr>
          <w:spacing w:val="40"/>
          <w:sz w:val="20"/>
        </w:rPr>
        <w:t> </w:t>
      </w:r>
      <w:r>
        <w:rPr>
          <w:sz w:val="20"/>
        </w:rPr>
        <w:t>L.J.</w:t>
      </w:r>
      <w:r>
        <w:rPr>
          <w:spacing w:val="40"/>
          <w:sz w:val="20"/>
        </w:rPr>
        <w:t> </w:t>
      </w:r>
      <w:r>
        <w:rPr>
          <w:sz w:val="20"/>
        </w:rPr>
        <w:t>(with</w:t>
      </w:r>
      <w:r>
        <w:rPr>
          <w:spacing w:val="40"/>
          <w:sz w:val="20"/>
        </w:rPr>
        <w:t> </w:t>
      </w:r>
      <w:r>
        <w:rPr>
          <w:sz w:val="20"/>
        </w:rPr>
        <w:t>whom</w:t>
      </w:r>
      <w:r>
        <w:rPr>
          <w:spacing w:val="40"/>
          <w:sz w:val="20"/>
        </w:rPr>
        <w:t> </w:t>
      </w:r>
      <w:r>
        <w:rPr>
          <w:sz w:val="20"/>
        </w:rPr>
        <w:t>Pill</w:t>
      </w:r>
      <w:r>
        <w:rPr>
          <w:spacing w:val="40"/>
          <w:sz w:val="20"/>
        </w:rPr>
        <w:t> </w:t>
      </w:r>
      <w:r>
        <w:rPr>
          <w:sz w:val="20"/>
        </w:rPr>
        <w:t>L.J.</w:t>
      </w:r>
      <w:r>
        <w:rPr>
          <w:spacing w:val="40"/>
          <w:sz w:val="20"/>
        </w:rPr>
        <w:t> </w:t>
      </w:r>
      <w:r>
        <w:rPr>
          <w:sz w:val="20"/>
        </w:rPr>
        <w:t>and</w:t>
      </w:r>
      <w:r>
        <w:rPr>
          <w:spacing w:val="40"/>
          <w:sz w:val="20"/>
        </w:rPr>
        <w:t> </w:t>
      </w:r>
      <w:r>
        <w:rPr>
          <w:sz w:val="20"/>
        </w:rPr>
        <w:t>Sir</w:t>
      </w:r>
      <w:r>
        <w:rPr>
          <w:spacing w:val="40"/>
          <w:sz w:val="20"/>
        </w:rPr>
        <w:t> </w:t>
      </w:r>
      <w:r>
        <w:rPr>
          <w:sz w:val="20"/>
        </w:rPr>
        <w:t>Martin</w:t>
      </w:r>
      <w:r>
        <w:rPr>
          <w:spacing w:val="40"/>
          <w:sz w:val="20"/>
        </w:rPr>
        <w:t> </w:t>
      </w:r>
      <w:r>
        <w:rPr>
          <w:sz w:val="20"/>
        </w:rPr>
        <w:t>Nourse agreed). See similarly </w:t>
      </w:r>
      <w:r>
        <w:rPr>
          <w:rFonts w:ascii="Arial" w:hAnsi="Arial"/>
          <w:i/>
          <w:sz w:val="20"/>
        </w:rPr>
        <w:t>Jani-King (GB) Ltd v Pula Enterprises Ltd [2007] EWHC 2433 (QB) </w:t>
      </w:r>
      <w:r>
        <w:rPr>
          <w:sz w:val="20"/>
        </w:rPr>
        <w:t>at [33]-[34]. cf. </w:t>
      </w:r>
      <w:r>
        <w:rPr>
          <w:rFonts w:ascii="Arial" w:hAnsi="Arial"/>
          <w:i/>
          <w:sz w:val="20"/>
        </w:rPr>
        <w:t>Barclays Bank Plc v Unicredit Bank AG [2014] EWCA Civ 302, [2014] 1 C.L.C. </w:t>
      </w:r>
      <w:r>
        <w:rPr>
          <w:rFonts w:ascii="Arial" w:hAnsi="Arial"/>
          <w:i/>
          <w:sz w:val="20"/>
        </w:rPr>
        <w:t>342 </w:t>
      </w:r>
      <w:r>
        <w:rPr>
          <w:sz w:val="20"/>
        </w:rPr>
        <w:t>at [19]-[21], holding that an express term as to the giving of consent by a guarantor to termination of a guarantee “in a commercially reasonable manner” did not on its proper construction</w:t>
      </w:r>
      <w:r>
        <w:rPr>
          <w:spacing w:val="-2"/>
          <w:sz w:val="20"/>
        </w:rPr>
        <w:t> </w:t>
      </w:r>
      <w:r>
        <w:rPr>
          <w:sz w:val="20"/>
        </w:rPr>
        <w:t>mean</w:t>
      </w:r>
      <w:r>
        <w:rPr>
          <w:spacing w:val="-2"/>
          <w:sz w:val="20"/>
        </w:rPr>
        <w:t> </w:t>
      </w:r>
      <w:r>
        <w:rPr>
          <w:sz w:val="20"/>
        </w:rPr>
        <w:t>that</w:t>
      </w:r>
      <w:r>
        <w:rPr>
          <w:spacing w:val="-2"/>
          <w:sz w:val="20"/>
        </w:rPr>
        <w:t> </w:t>
      </w:r>
      <w:r>
        <w:rPr>
          <w:sz w:val="20"/>
        </w:rPr>
        <w:t>the</w:t>
      </w:r>
      <w:r>
        <w:rPr>
          <w:spacing w:val="-2"/>
          <w:sz w:val="20"/>
        </w:rPr>
        <w:t> </w:t>
      </w:r>
      <w:r>
        <w:rPr>
          <w:sz w:val="20"/>
        </w:rPr>
        <w:t>guarantor</w:t>
      </w:r>
      <w:r>
        <w:rPr>
          <w:spacing w:val="-2"/>
          <w:sz w:val="20"/>
        </w:rPr>
        <w:t> </w:t>
      </w:r>
      <w:r>
        <w:rPr>
          <w:sz w:val="20"/>
        </w:rPr>
        <w:t>had</w:t>
      </w:r>
      <w:r>
        <w:rPr>
          <w:spacing w:val="-2"/>
          <w:sz w:val="20"/>
        </w:rPr>
        <w:t> </w:t>
      </w:r>
      <w:r>
        <w:rPr>
          <w:sz w:val="20"/>
        </w:rPr>
        <w:t>to</w:t>
      </w:r>
      <w:r>
        <w:rPr>
          <w:spacing w:val="-2"/>
          <w:sz w:val="20"/>
        </w:rPr>
        <w:t> </w:t>
      </w:r>
      <w:r>
        <w:rPr>
          <w:sz w:val="20"/>
        </w:rPr>
        <w:t>give</w:t>
      </w:r>
      <w:r>
        <w:rPr>
          <w:spacing w:val="-2"/>
          <w:sz w:val="20"/>
        </w:rPr>
        <w:t> </w:t>
      </w:r>
      <w:r>
        <w:rPr>
          <w:sz w:val="20"/>
        </w:rPr>
        <w:t>priority</w:t>
      </w:r>
      <w:r>
        <w:rPr>
          <w:spacing w:val="-2"/>
          <w:sz w:val="20"/>
        </w:rPr>
        <w:t> </w:t>
      </w:r>
      <w:r>
        <w:rPr>
          <w:sz w:val="20"/>
        </w:rPr>
        <w:t>to</w:t>
      </w:r>
      <w:r>
        <w:rPr>
          <w:spacing w:val="-2"/>
          <w:sz w:val="20"/>
        </w:rPr>
        <w:t> </w:t>
      </w:r>
      <w:r>
        <w:rPr>
          <w:sz w:val="20"/>
        </w:rPr>
        <w:t>the</w:t>
      </w:r>
      <w:r>
        <w:rPr>
          <w:spacing w:val="-2"/>
          <w:sz w:val="20"/>
        </w:rPr>
        <w:t> </w:t>
      </w:r>
      <w:r>
        <w:rPr>
          <w:sz w:val="20"/>
        </w:rPr>
        <w:t>other</w:t>
      </w:r>
      <w:r>
        <w:rPr>
          <w:spacing w:val="-2"/>
          <w:sz w:val="20"/>
        </w:rPr>
        <w:t> </w:t>
      </w:r>
      <w:r>
        <w:rPr>
          <w:sz w:val="20"/>
        </w:rPr>
        <w:t>party’s</w:t>
      </w:r>
      <w:r>
        <w:rPr>
          <w:spacing w:val="-2"/>
          <w:sz w:val="20"/>
        </w:rPr>
        <w:t> </w:t>
      </w:r>
      <w:r>
        <w:rPr>
          <w:sz w:val="20"/>
        </w:rPr>
        <w:t>commercial</w:t>
      </w:r>
      <w:r>
        <w:rPr>
          <w:spacing w:val="-2"/>
          <w:sz w:val="20"/>
        </w:rPr>
        <w:t> </w:t>
      </w:r>
      <w:r>
        <w:rPr>
          <w:sz w:val="20"/>
        </w:rPr>
        <w:t>interest over its own: </w:t>
      </w:r>
      <w:r>
        <w:rPr>
          <w:rFonts w:ascii="Arial" w:hAnsi="Arial"/>
          <w:i/>
          <w:sz w:val="20"/>
        </w:rPr>
        <w:t>[2014] EWCA Civ 302 </w:t>
      </w:r>
      <w:r>
        <w:rPr>
          <w:sz w:val="20"/>
        </w:rPr>
        <w:t>at [21]–[22].</w:t>
      </w:r>
    </w:p>
    <w:p>
      <w:pPr>
        <w:pStyle w:val="BodyText"/>
        <w:spacing w:before="4"/>
      </w:pPr>
    </w:p>
    <w:p>
      <w:pPr>
        <w:tabs>
          <w:tab w:pos="705" w:val="left" w:leader="none"/>
        </w:tabs>
        <w:spacing w:before="0"/>
        <w:ind w:left="165" w:right="0" w:firstLine="0"/>
        <w:jc w:val="left"/>
        <w:rPr>
          <w:rFonts w:ascii="Arial" w:hAnsi="Arial"/>
          <w:i/>
          <w:sz w:val="20"/>
        </w:rPr>
      </w:pPr>
      <w:bookmarkStart w:name="_bookmark926" w:id="928"/>
      <w:bookmarkEnd w:id="928"/>
      <w:r>
        <w:rPr/>
      </w:r>
      <w:hyperlink w:history="true" w:anchor="_bookmark758">
        <w:r>
          <w:rPr>
            <w:color w:val="005DA1"/>
            <w:spacing w:val="-4"/>
            <w:position w:val="5"/>
            <w:sz w:val="14"/>
            <w:u w:val="single" w:color="005DA1"/>
          </w:rPr>
          <w:t>478</w:t>
        </w:r>
      </w:hyperlink>
      <w:r>
        <w:rPr>
          <w:spacing w:val="-4"/>
          <w:position w:val="5"/>
          <w:sz w:val="14"/>
        </w:rPr>
        <w:t>.</w:t>
      </w:r>
      <w:r>
        <w:rPr>
          <w:position w:val="5"/>
          <w:sz w:val="14"/>
        </w:rPr>
        <w:tab/>
      </w:r>
      <w:r>
        <w:rPr>
          <w:rFonts w:ascii="Arial" w:hAnsi="Arial"/>
          <w:i/>
          <w:sz w:val="20"/>
        </w:rPr>
        <w:t>[2008]</w:t>
      </w:r>
      <w:r>
        <w:rPr>
          <w:rFonts w:ascii="Arial" w:hAnsi="Arial"/>
          <w:i/>
          <w:spacing w:val="4"/>
          <w:sz w:val="20"/>
        </w:rPr>
        <w:t> </w:t>
      </w:r>
      <w:r>
        <w:rPr>
          <w:rFonts w:ascii="Arial" w:hAnsi="Arial"/>
          <w:i/>
          <w:sz w:val="20"/>
        </w:rPr>
        <w:t>EWCA</w:t>
      </w:r>
      <w:r>
        <w:rPr>
          <w:rFonts w:ascii="Arial" w:hAnsi="Arial"/>
          <w:i/>
          <w:spacing w:val="5"/>
          <w:sz w:val="20"/>
        </w:rPr>
        <w:t> </w:t>
      </w:r>
      <w:r>
        <w:rPr>
          <w:rFonts w:ascii="Arial" w:hAnsi="Arial"/>
          <w:i/>
          <w:sz w:val="20"/>
        </w:rPr>
        <w:t>Civ</w:t>
      </w:r>
      <w:r>
        <w:rPr>
          <w:rFonts w:ascii="Arial" w:hAnsi="Arial"/>
          <w:i/>
          <w:spacing w:val="5"/>
          <w:sz w:val="20"/>
        </w:rPr>
        <w:t> </w:t>
      </w:r>
      <w:r>
        <w:rPr>
          <w:rFonts w:ascii="Arial" w:hAnsi="Arial"/>
          <w:i/>
          <w:sz w:val="20"/>
        </w:rPr>
        <w:t>116,</w:t>
      </w:r>
      <w:r>
        <w:rPr>
          <w:rFonts w:ascii="Arial" w:hAnsi="Arial"/>
          <w:i/>
          <w:spacing w:val="5"/>
          <w:sz w:val="20"/>
        </w:rPr>
        <w:t> </w:t>
      </w:r>
      <w:r>
        <w:rPr>
          <w:rFonts w:ascii="Arial" w:hAnsi="Arial"/>
          <w:i/>
          <w:sz w:val="20"/>
        </w:rPr>
        <w:t>[2008]</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558</w:t>
      </w:r>
      <w:r>
        <w:rPr>
          <w:sz w:val="20"/>
        </w:rPr>
        <w:t>.</w:t>
      </w:r>
      <w:r>
        <w:rPr>
          <w:spacing w:val="5"/>
          <w:sz w:val="20"/>
        </w:rPr>
        <w:t> </w:t>
      </w:r>
      <w:r>
        <w:rPr>
          <w:sz w:val="20"/>
        </w:rPr>
        <w:t>cf.</w:t>
      </w:r>
      <w:r>
        <w:rPr>
          <w:spacing w:val="5"/>
          <w:sz w:val="20"/>
        </w:rPr>
        <w:t> </w:t>
      </w:r>
      <w:r>
        <w:rPr>
          <w:rFonts w:ascii="Arial" w:hAnsi="Arial"/>
          <w:i/>
          <w:sz w:val="20"/>
        </w:rPr>
        <w:t>Prudential</w:t>
      </w:r>
      <w:r>
        <w:rPr>
          <w:rFonts w:ascii="Arial" w:hAnsi="Arial"/>
          <w:i/>
          <w:spacing w:val="5"/>
          <w:sz w:val="20"/>
        </w:rPr>
        <w:t> </w:t>
      </w:r>
      <w:r>
        <w:rPr>
          <w:rFonts w:ascii="Arial" w:hAnsi="Arial"/>
          <w:i/>
          <w:sz w:val="20"/>
        </w:rPr>
        <w:t>Staff</w:t>
      </w:r>
      <w:r>
        <w:rPr>
          <w:rFonts w:ascii="Arial" w:hAnsi="Arial"/>
          <w:i/>
          <w:spacing w:val="5"/>
          <w:sz w:val="20"/>
        </w:rPr>
        <w:t> </w:t>
      </w:r>
      <w:r>
        <w:rPr>
          <w:rFonts w:ascii="Arial" w:hAnsi="Arial"/>
          <w:i/>
          <w:sz w:val="20"/>
        </w:rPr>
        <w:t>Pensions</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pacing w:val="-2"/>
          <w:sz w:val="20"/>
        </w:rPr>
        <w:t>Prudential</w:t>
      </w:r>
    </w:p>
    <w:p>
      <w:pPr>
        <w:spacing w:after="0"/>
        <w:jc w:val="left"/>
        <w:rPr>
          <w:rFonts w:ascii="Arial" w:hAnsi="Arial"/>
          <w:i/>
          <w:sz w:val="20"/>
        </w:rPr>
        <w:sectPr>
          <w:type w:val="continuous"/>
          <w:pgSz w:w="11900" w:h="16840"/>
          <w:pgMar w:header="971" w:footer="0" w:top="1300" w:bottom="280" w:left="1275" w:right="1275"/>
        </w:sectPr>
      </w:pPr>
    </w:p>
    <w:p>
      <w:pPr>
        <w:spacing w:line="235" w:lineRule="auto" w:before="110"/>
        <w:ind w:left="705" w:right="168" w:firstLine="0"/>
        <w:jc w:val="left"/>
        <w:rPr>
          <w:sz w:val="20"/>
        </w:rPr>
      </w:pPr>
      <w:r>
        <w:rPr>
          <w:rFonts w:ascii="Arial"/>
          <w:i/>
          <w:sz w:val="20"/>
        </w:rPr>
        <w:t>Assurance Co Ltd [2011] EWHC 960 (Ch), [2011] Pens. L.R. 239 </w:t>
      </w:r>
      <w:r>
        <w:rPr>
          <w:sz w:val="20"/>
        </w:rPr>
        <w:t>at [140]-[153] (obligation of</w:t>
      </w:r>
      <w:r>
        <w:rPr>
          <w:spacing w:val="80"/>
          <w:sz w:val="20"/>
        </w:rPr>
        <w:t> </w:t>
      </w:r>
      <w:r>
        <w:rPr>
          <w:sz w:val="20"/>
        </w:rPr>
        <w:t>good faith on employer in relation to decision-making under employee pension scheme).</w:t>
      </w:r>
    </w:p>
    <w:p>
      <w:pPr>
        <w:pStyle w:val="BodyText"/>
        <w:spacing w:before="6"/>
      </w:pPr>
    </w:p>
    <w:p>
      <w:pPr>
        <w:tabs>
          <w:tab w:pos="705" w:val="left" w:leader="none"/>
        </w:tabs>
        <w:spacing w:before="0"/>
        <w:ind w:left="165" w:right="0" w:firstLine="0"/>
        <w:jc w:val="left"/>
        <w:rPr>
          <w:sz w:val="20"/>
        </w:rPr>
      </w:pPr>
      <w:bookmarkStart w:name="_bookmark927" w:id="929"/>
      <w:bookmarkEnd w:id="929"/>
      <w:r>
        <w:rPr/>
      </w:r>
      <w:hyperlink w:history="true" w:anchor="_bookmark759">
        <w:r>
          <w:rPr>
            <w:color w:val="005DA1"/>
            <w:spacing w:val="-4"/>
            <w:position w:val="5"/>
            <w:sz w:val="14"/>
            <w:u w:val="single" w:color="005DA1"/>
          </w:rPr>
          <w:t>479</w:t>
        </w:r>
      </w:hyperlink>
      <w:r>
        <w:rPr>
          <w:spacing w:val="-4"/>
          <w:position w:val="5"/>
          <w:sz w:val="14"/>
        </w:rPr>
        <w:t>.</w:t>
      </w:r>
      <w:r>
        <w:rPr>
          <w:position w:val="5"/>
          <w:sz w:val="14"/>
        </w:rPr>
        <w:tab/>
      </w:r>
      <w:r>
        <w:rPr>
          <w:rFonts w:ascii="Arial"/>
          <w:i/>
          <w:sz w:val="20"/>
        </w:rPr>
        <w:t>[2008] EWCA Civ 116</w:t>
      </w:r>
      <w:r>
        <w:rPr>
          <w:rFonts w:ascii="Arial"/>
          <w:i/>
          <w:spacing w:val="-1"/>
          <w:sz w:val="20"/>
        </w:rPr>
        <w:t> </w:t>
      </w:r>
      <w:r>
        <w:rPr>
          <w:sz w:val="20"/>
        </w:rPr>
        <w:t>at [66] (with whom Laws and Lloyd L.JJ. </w:t>
      </w:r>
      <w:r>
        <w:rPr>
          <w:spacing w:val="-2"/>
          <w:sz w:val="20"/>
        </w:rPr>
        <w:t>agreed).</w:t>
      </w:r>
    </w:p>
    <w:p>
      <w:pPr>
        <w:pStyle w:val="BodyText"/>
        <w:spacing w:before="5"/>
      </w:pPr>
    </w:p>
    <w:p>
      <w:pPr>
        <w:tabs>
          <w:tab w:pos="705" w:val="left" w:leader="none"/>
        </w:tabs>
        <w:spacing w:before="0"/>
        <w:ind w:left="165" w:right="0" w:firstLine="0"/>
        <w:jc w:val="left"/>
        <w:rPr>
          <w:sz w:val="20"/>
        </w:rPr>
      </w:pPr>
      <w:bookmarkStart w:name="_bookmark928" w:id="930"/>
      <w:bookmarkEnd w:id="930"/>
      <w:r>
        <w:rPr/>
      </w:r>
      <w:hyperlink w:history="true" w:anchor="_bookmark760">
        <w:r>
          <w:rPr>
            <w:color w:val="005DA1"/>
            <w:spacing w:val="-4"/>
            <w:position w:val="5"/>
            <w:sz w:val="14"/>
            <w:u w:val="single" w:color="005DA1"/>
          </w:rPr>
          <w:t>480</w:t>
        </w:r>
      </w:hyperlink>
      <w:r>
        <w:rPr>
          <w:spacing w:val="-4"/>
          <w:position w:val="5"/>
          <w:sz w:val="14"/>
        </w:rPr>
        <w:t>.</w:t>
      </w:r>
      <w:r>
        <w:rPr>
          <w:position w:val="5"/>
          <w:sz w:val="14"/>
        </w:rPr>
        <w:tab/>
      </w:r>
      <w:r>
        <w:rPr>
          <w:rFonts w:ascii="Arial"/>
          <w:i/>
          <w:sz w:val="20"/>
        </w:rPr>
        <w:t>[2008] EWCA Civ 116</w:t>
      </w:r>
      <w:r>
        <w:rPr>
          <w:rFonts w:ascii="Arial"/>
          <w:i/>
          <w:spacing w:val="-1"/>
          <w:sz w:val="20"/>
        </w:rPr>
        <w:t> </w:t>
      </w:r>
      <w:r>
        <w:rPr>
          <w:sz w:val="20"/>
        </w:rPr>
        <w:t>at </w:t>
      </w:r>
      <w:r>
        <w:rPr>
          <w:spacing w:val="-2"/>
          <w:sz w:val="20"/>
        </w:rPr>
        <w:t>[66].</w:t>
      </w:r>
    </w:p>
    <w:p>
      <w:pPr>
        <w:pStyle w:val="BodyText"/>
        <w:spacing w:before="5"/>
      </w:pPr>
    </w:p>
    <w:p>
      <w:pPr>
        <w:tabs>
          <w:tab w:pos="705" w:val="left" w:leader="none"/>
        </w:tabs>
        <w:spacing w:before="0"/>
        <w:ind w:left="165" w:right="0" w:firstLine="0"/>
        <w:jc w:val="left"/>
        <w:rPr>
          <w:sz w:val="20"/>
        </w:rPr>
      </w:pPr>
      <w:bookmarkStart w:name="_bookmark929" w:id="931"/>
      <w:bookmarkEnd w:id="931"/>
      <w:r>
        <w:rPr/>
      </w:r>
      <w:hyperlink w:history="true" w:anchor="_bookmark761">
        <w:r>
          <w:rPr>
            <w:color w:val="005DA1"/>
            <w:spacing w:val="-4"/>
            <w:position w:val="5"/>
            <w:sz w:val="14"/>
            <w:u w:val="single" w:color="005DA1"/>
          </w:rPr>
          <w:t>481</w:t>
        </w:r>
      </w:hyperlink>
      <w:r>
        <w:rPr>
          <w:spacing w:val="-4"/>
          <w:position w:val="5"/>
          <w:sz w:val="14"/>
        </w:rPr>
        <w:t>.</w:t>
      </w:r>
      <w:r>
        <w:rPr>
          <w:position w:val="5"/>
          <w:sz w:val="14"/>
        </w:rPr>
        <w:tab/>
      </w:r>
      <w:r>
        <w:rPr>
          <w:rFonts w:ascii="Arial" w:hAnsi="Arial"/>
          <w:i/>
          <w:sz w:val="20"/>
        </w:rPr>
        <w:t>[2008] EWCA Civ 116</w:t>
      </w:r>
      <w:r>
        <w:rPr>
          <w:rFonts w:ascii="Arial" w:hAnsi="Arial"/>
          <w:i/>
          <w:spacing w:val="-1"/>
          <w:sz w:val="20"/>
        </w:rPr>
        <w:t> </w:t>
      </w:r>
      <w:r>
        <w:rPr>
          <w:sz w:val="20"/>
        </w:rPr>
        <w:t>at [107]–[121] (Rix </w:t>
      </w:r>
      <w:r>
        <w:rPr>
          <w:spacing w:val="-2"/>
          <w:sz w:val="20"/>
        </w:rPr>
        <w:t>L.J.).</w:t>
      </w:r>
    </w:p>
    <w:p>
      <w:pPr>
        <w:pStyle w:val="BodyText"/>
        <w:spacing w:before="8"/>
      </w:pPr>
    </w:p>
    <w:p>
      <w:pPr>
        <w:tabs>
          <w:tab w:pos="705" w:val="left" w:leader="none"/>
        </w:tabs>
        <w:spacing w:line="235" w:lineRule="auto" w:before="1"/>
        <w:ind w:left="705" w:right="168" w:hanging="541"/>
        <w:jc w:val="left"/>
        <w:rPr>
          <w:sz w:val="20"/>
        </w:rPr>
      </w:pPr>
      <w:bookmarkStart w:name="_bookmark930" w:id="932"/>
      <w:bookmarkEnd w:id="932"/>
      <w:r>
        <w:rPr/>
      </w:r>
      <w:hyperlink w:history="true" w:anchor="_bookmark762">
        <w:r>
          <w:rPr>
            <w:color w:val="005DA1"/>
            <w:spacing w:val="-4"/>
            <w:position w:val="5"/>
            <w:sz w:val="14"/>
            <w:u w:val="single" w:color="005DA1"/>
          </w:rPr>
          <w:t>482</w:t>
        </w:r>
      </w:hyperlink>
      <w:r>
        <w:rPr>
          <w:spacing w:val="-4"/>
          <w:position w:val="5"/>
          <w:sz w:val="14"/>
        </w:rPr>
        <w:t>.</w:t>
      </w:r>
      <w:r>
        <w:rPr>
          <w:position w:val="5"/>
          <w:sz w:val="14"/>
        </w:rPr>
        <w:tab/>
      </w:r>
      <w:r>
        <w:rPr>
          <w:rFonts w:ascii="Arial"/>
          <w:i/>
          <w:sz w:val="20"/>
        </w:rPr>
        <w:t>[2008] EWCA Civ 116 </w:t>
      </w:r>
      <w:r>
        <w:rPr>
          <w:sz w:val="20"/>
        </w:rPr>
        <w:t>at [122] (Rix L.J.); [147]-[157] (Lloyd L.J.), with both of whom Laws </w:t>
      </w:r>
      <w:r>
        <w:rPr>
          <w:sz w:val="20"/>
        </w:rPr>
        <w:t>L.J. agreed: </w:t>
      </w:r>
      <w:r>
        <w:rPr>
          <w:rFonts w:ascii="Arial"/>
          <w:i/>
          <w:sz w:val="20"/>
        </w:rPr>
        <w:t>[2008] EWCA Civ 116 </w:t>
      </w:r>
      <w:r>
        <w:rPr>
          <w:sz w:val="20"/>
        </w:rPr>
        <w:t>at [158].</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00832">
            <wp:simplePos x="0" y="0"/>
            <wp:positionH relativeFrom="page">
              <wp:posOffset>1257846</wp:posOffset>
            </wp:positionH>
            <wp:positionV relativeFrom="paragraph">
              <wp:posOffset>160272</wp:posOffset>
            </wp:positionV>
            <wp:extent cx="107988" cy="107988"/>
            <wp:effectExtent l="0" t="0" r="0" b="0"/>
            <wp:wrapNone/>
            <wp:docPr id="300" name="Image 300"/>
            <wp:cNvGraphicFramePr>
              <a:graphicFrameLocks/>
            </wp:cNvGraphicFramePr>
            <a:graphic>
              <a:graphicData uri="http://schemas.openxmlformats.org/drawingml/2006/picture">
                <pic:pic>
                  <pic:nvPicPr>
                    <pic:cNvPr id="300" name="Image 30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31" w:id="933"/>
      <w:bookmarkEnd w:id="933"/>
      <w:r>
        <w:rPr/>
      </w:r>
      <w:hyperlink w:history="true" w:anchor="_bookmark763">
        <w:r>
          <w:rPr>
            <w:color w:val="005DA1"/>
            <w:spacing w:val="-4"/>
            <w:sz w:val="14"/>
            <w:u w:val="single" w:color="005DA1"/>
          </w:rPr>
          <w:t>483</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[2013] EWCA Civ 200, [2013] B.L.R. 265</w:t>
      </w:r>
      <w:r>
        <w:rPr>
          <w:sz w:val="20"/>
        </w:rPr>
        <w:t>. For other cases discussing similar qualifications </w:t>
      </w:r>
      <w:r>
        <w:rPr>
          <w:sz w:val="20"/>
        </w:rPr>
        <w:t>on the exercise of a broad contractual discretion see </w:t>
      </w:r>
      <w:r>
        <w:rPr>
          <w:rFonts w:ascii="Arial" w:hAnsi="Arial"/>
          <w:i/>
          <w:sz w:val="20"/>
        </w:rPr>
        <w:t>JML Direct Ltd v Freesat UK Ltd [2010] EWCA Civ 34 </w:t>
      </w:r>
      <w:r>
        <w:rPr>
          <w:sz w:val="20"/>
        </w:rPr>
        <w:t>at [14] (satellite television service contracting to supply a provider of television shopping channels with two shopping channels on its platform and having discretion under the contract</w:t>
      </w:r>
      <w:r>
        <w:rPr>
          <w:spacing w:val="-1"/>
          <w:sz w:val="20"/>
        </w:rPr>
        <w:t> </w:t>
      </w:r>
      <w:r>
        <w:rPr>
          <w:sz w:val="20"/>
        </w:rPr>
        <w:t>in</w:t>
      </w:r>
      <w:r>
        <w:rPr>
          <w:spacing w:val="-1"/>
          <w:sz w:val="20"/>
        </w:rPr>
        <w:t> </w:t>
      </w:r>
      <w:r>
        <w:rPr>
          <w:sz w:val="20"/>
        </w:rPr>
        <w:t>the</w:t>
      </w:r>
      <w:r>
        <w:rPr>
          <w:spacing w:val="-1"/>
          <w:sz w:val="20"/>
        </w:rPr>
        <w:t> </w:t>
      </w:r>
      <w:r>
        <w:rPr>
          <w:sz w:val="20"/>
        </w:rPr>
        <w:t>allocation</w:t>
      </w:r>
      <w:r>
        <w:rPr>
          <w:spacing w:val="-1"/>
          <w:sz w:val="20"/>
        </w:rPr>
        <w:t> </w:t>
      </w:r>
      <w:r>
        <w:rPr>
          <w:sz w:val="20"/>
        </w:rPr>
        <w:t>of</w:t>
      </w:r>
      <w:r>
        <w:rPr>
          <w:spacing w:val="-1"/>
          <w:sz w:val="20"/>
        </w:rPr>
        <w:t> </w:t>
      </w:r>
      <w:r>
        <w:rPr>
          <w:sz w:val="20"/>
        </w:rPr>
        <w:t>logical</w:t>
      </w:r>
      <w:r>
        <w:rPr>
          <w:spacing w:val="-1"/>
          <w:sz w:val="20"/>
        </w:rPr>
        <w:t> </w:t>
      </w:r>
      <w:r>
        <w:rPr>
          <w:sz w:val="20"/>
        </w:rPr>
        <w:t>channel</w:t>
      </w:r>
      <w:r>
        <w:rPr>
          <w:spacing w:val="-1"/>
          <w:sz w:val="20"/>
        </w:rPr>
        <w:t> </w:t>
      </w:r>
      <w:r>
        <w:rPr>
          <w:sz w:val="20"/>
        </w:rPr>
        <w:t>numbers);</w:t>
      </w:r>
      <w:r>
        <w:rPr>
          <w:spacing w:val="-2"/>
          <w:sz w:val="20"/>
        </w:rPr>
        <w:t> </w:t>
      </w:r>
      <w:r>
        <w:rPr>
          <w:rFonts w:ascii="Arial" w:hAnsi="Arial"/>
          <w:i/>
          <w:sz w:val="20"/>
        </w:rPr>
        <w:t>Mckay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Centurion</w:t>
      </w:r>
      <w:r>
        <w:rPr>
          <w:rFonts w:ascii="Arial" w:hAnsi="Arial"/>
          <w:i/>
          <w:spacing w:val="-1"/>
          <w:sz w:val="20"/>
        </w:rPr>
        <w:t> </w:t>
      </w:r>
      <w:r>
        <w:rPr>
          <w:rFonts w:ascii="Arial" w:hAnsi="Arial"/>
          <w:i/>
          <w:sz w:val="20"/>
        </w:rPr>
        <w:t>Credit</w:t>
      </w:r>
      <w:r>
        <w:rPr>
          <w:rFonts w:ascii="Arial" w:hAnsi="Arial"/>
          <w:i/>
          <w:spacing w:val="-1"/>
          <w:sz w:val="20"/>
        </w:rPr>
        <w:t> </w:t>
      </w:r>
      <w:r>
        <w:rPr>
          <w:rFonts w:ascii="Arial" w:hAnsi="Arial"/>
          <w:i/>
          <w:sz w:val="20"/>
        </w:rPr>
        <w:t>Resources</w:t>
      </w:r>
      <w:r>
        <w:rPr>
          <w:rFonts w:ascii="Arial" w:hAnsi="Arial"/>
          <w:i/>
          <w:spacing w:val="-1"/>
          <w:sz w:val="20"/>
        </w:rPr>
        <w:t> </w:t>
      </w:r>
      <w:r>
        <w:rPr>
          <w:rFonts w:ascii="Arial" w:hAnsi="Arial"/>
          <w:i/>
          <w:sz w:val="20"/>
        </w:rPr>
        <w:t>LLC [2012] EWCA Civ 1941</w:t>
      </w:r>
      <w:r>
        <w:rPr>
          <w:sz w:val="20"/>
        </w:rPr>
        <w:t>, especially at [17], [21]-[22] (term for advance of funds on demand of borrower); </w:t>
      </w:r>
      <w:r>
        <w:rPr>
          <w:rFonts w:ascii="Arial" w:hAnsi="Arial"/>
          <w:i/>
          <w:sz w:val="20"/>
        </w:rPr>
        <w:t>WestLB AG v Nomura Bank International Plc [2012] EWCA Civ 495</w:t>
      </w:r>
      <w:r>
        <w:rPr>
          <w:sz w:val="20"/>
        </w:rPr>
        <w:t>, especially at [30], [32] (discretion as to valuation of fund); </w:t>
      </w:r>
      <w:r>
        <w:rPr>
          <w:rFonts w:ascii="Arial" w:hAnsi="Arial"/>
          <w:i/>
          <w:sz w:val="20"/>
        </w:rPr>
        <w:t>TSG Building Services Plc v South Anglia Housing Ltd [2013] EWHC 1151 (TCC) </w:t>
      </w:r>
      <w:r>
        <w:rPr>
          <w:sz w:val="20"/>
        </w:rPr>
        <w:t>(no implied term of good faith restricting the exercise of an apparently unfettered right in party to terminate contract); </w:t>
      </w:r>
      <w:r>
        <w:rPr>
          <w:rFonts w:ascii="Arial" w:hAnsi="Arial"/>
          <w:i/>
          <w:sz w:val="20"/>
        </w:rPr>
        <w:t>Brogden v Investec Bank Plc [2014] EWHC 2785 (Comm), [2014] I.R.L.R. 924 </w:t>
      </w:r>
      <w:r>
        <w:rPr>
          <w:sz w:val="20"/>
        </w:rPr>
        <w:t>at [91], [95]-[102] (term in employment contract for payment of bonus); </w:t>
      </w:r>
      <w:r>
        <w:rPr>
          <w:rFonts w:ascii="Arial" w:hAnsi="Arial"/>
          <w:i/>
          <w:sz w:val="20"/>
        </w:rPr>
        <w:t>Greenclose Ltd National Westminster Bank Plc [2014] EWHC 1156 (Ch), [2014] 1 C.L.C. 562 </w:t>
      </w:r>
      <w:r>
        <w:rPr>
          <w:sz w:val="20"/>
        </w:rPr>
        <w:t>at [144]–[151] (no implied qualifications on express “unqualified right” to extend the term of an interest rate hedging transaction); </w:t>
      </w:r>
      <w:r>
        <w:rPr>
          <w:rFonts w:ascii="Arial" w:hAnsi="Arial"/>
          <w:i/>
          <w:sz w:val="20"/>
        </w:rPr>
        <w:t>Myers v Kestrels Acquisitions Ltd [2015] EWHC 916 (Ch) </w:t>
      </w:r>
      <w:r>
        <w:rPr>
          <w:sz w:val="20"/>
        </w:rPr>
        <w:t>at [40]–[41], [50]–[63] (no implied term that a power in a loan-note instrument to modify its terms had to be exercised in good faith). </w:t>
      </w:r>
      <w:r>
        <w:rPr>
          <w:rFonts w:ascii="Arial" w:hAnsi="Arial"/>
          <w:i/>
          <w:sz w:val="20"/>
        </w:rPr>
        <w:t>Portsmouth City Council v Ensign Highways Ltd [2015] EWHC 1969 (TCC) </w:t>
      </w:r>
      <w:r>
        <w:rPr>
          <w:sz w:val="20"/>
        </w:rPr>
        <w:t>at [110]–[112]; </w:t>
      </w:r>
      <w:r>
        <w:rPr>
          <w:rFonts w:ascii="Arial" w:hAnsi="Arial"/>
          <w:i/>
          <w:sz w:val="20"/>
        </w:rPr>
        <w:t>Monde Petroleum SA v WesternZagros Ltd [2016] EWHC 1472 (Comm), [2017] 1 All E.R. (Comm) 1009 </w:t>
      </w:r>
      <w:r>
        <w:rPr>
          <w:sz w:val="20"/>
        </w:rPr>
        <w:t>at [261]–[275]. In </w:t>
      </w:r>
      <w:r>
        <w:rPr>
          <w:rFonts w:ascii="Arial" w:hAnsi="Arial"/>
          <w:i/>
          <w:sz w:val="20"/>
        </w:rPr>
        <w:t>British Telecommunications Plc v Telefónica O2 UK Ltd [2014] UKSC 42, [2014] 4 All E.R. 907 </w:t>
      </w:r>
      <w:r>
        <w:rPr>
          <w:sz w:val="20"/>
        </w:rPr>
        <w:t>at [37] Lord Sumption J.S.C. observed that, although the matter remains a matter of construction, it is “well established that in the absence of very clear language to the contrary, a contractual discretion must be exercised in good faith and not arbitrarily or capriciously”. See also </w:t>
      </w:r>
      <w:r>
        <w:rPr>
          <w:rFonts w:ascii="Arial" w:hAnsi="Arial"/>
          <w:i/>
          <w:sz w:val="20"/>
        </w:rPr>
        <w:t>Braganza v BP Shipping Ltd [2015] UKSC 17, [2015] 1 W.L.R. 1661</w:t>
      </w:r>
      <w:r>
        <w:rPr>
          <w:sz w:val="20"/>
        </w:rPr>
        <w:t>, below, para.1-054A.</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1"/>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1344">
            <wp:simplePos x="0" y="0"/>
            <wp:positionH relativeFrom="page">
              <wp:posOffset>1257846</wp:posOffset>
            </wp:positionH>
            <wp:positionV relativeFrom="paragraph">
              <wp:posOffset>160432</wp:posOffset>
            </wp:positionV>
            <wp:extent cx="107988" cy="107988"/>
            <wp:effectExtent l="0" t="0" r="0" b="0"/>
            <wp:wrapNone/>
            <wp:docPr id="301" name="Image 301"/>
            <wp:cNvGraphicFramePr>
              <a:graphicFrameLocks/>
            </wp:cNvGraphicFramePr>
            <a:graphic>
              <a:graphicData uri="http://schemas.openxmlformats.org/drawingml/2006/picture">
                <pic:pic>
                  <pic:nvPicPr>
                    <pic:cNvPr id="301" name="Image 30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32" w:id="934"/>
      <w:bookmarkEnd w:id="934"/>
      <w:r>
        <w:rPr/>
      </w:r>
      <w:hyperlink w:history="true" w:anchor="_bookmark764">
        <w:r>
          <w:rPr>
            <w:color w:val="005DA1"/>
            <w:spacing w:val="-4"/>
            <w:sz w:val="14"/>
            <w:u w:val="single" w:color="005DA1"/>
          </w:rPr>
          <w:t>484</w:t>
        </w:r>
      </w:hyperlink>
      <w:r>
        <w:rPr>
          <w:spacing w:val="-4"/>
          <w:sz w:val="14"/>
        </w:rPr>
        <w:t>.</w:t>
      </w:r>
    </w:p>
    <w:p>
      <w:pPr>
        <w:spacing w:before="208"/>
        <w:ind w:left="335" w:right="0" w:firstLine="0"/>
        <w:jc w:val="left"/>
        <w:rPr>
          <w:rFonts w:ascii="Arial" w:hAnsi="Arial"/>
          <w:i/>
          <w:sz w:val="20"/>
        </w:rPr>
      </w:pPr>
      <w:r>
        <w:rPr/>
        <w:br w:type="column"/>
      </w:r>
      <w:r>
        <w:rPr>
          <w:rFonts w:ascii="Arial" w:hAnsi="Arial"/>
          <w:i/>
          <w:sz w:val="20"/>
        </w:rPr>
        <w:t>[2008]</w:t>
      </w:r>
      <w:r>
        <w:rPr>
          <w:rFonts w:ascii="Arial" w:hAnsi="Arial"/>
          <w:i/>
          <w:spacing w:val="9"/>
          <w:sz w:val="20"/>
        </w:rPr>
        <w:t> </w:t>
      </w:r>
      <w:r>
        <w:rPr>
          <w:rFonts w:ascii="Arial" w:hAnsi="Arial"/>
          <w:i/>
          <w:sz w:val="20"/>
        </w:rPr>
        <w:t>EWCA</w:t>
      </w:r>
      <w:r>
        <w:rPr>
          <w:rFonts w:ascii="Arial" w:hAnsi="Arial"/>
          <w:i/>
          <w:spacing w:val="10"/>
          <w:sz w:val="20"/>
        </w:rPr>
        <w:t> </w:t>
      </w:r>
      <w:r>
        <w:rPr>
          <w:rFonts w:ascii="Arial" w:hAnsi="Arial"/>
          <w:i/>
          <w:sz w:val="20"/>
        </w:rPr>
        <w:t>Civ</w:t>
      </w:r>
      <w:r>
        <w:rPr>
          <w:rFonts w:ascii="Arial" w:hAnsi="Arial"/>
          <w:i/>
          <w:spacing w:val="10"/>
          <w:sz w:val="20"/>
        </w:rPr>
        <w:t> </w:t>
      </w:r>
      <w:r>
        <w:rPr>
          <w:rFonts w:ascii="Arial" w:hAnsi="Arial"/>
          <w:i/>
          <w:sz w:val="20"/>
        </w:rPr>
        <w:t>116,</w:t>
      </w:r>
      <w:r>
        <w:rPr>
          <w:rFonts w:ascii="Arial" w:hAnsi="Arial"/>
          <w:i/>
          <w:spacing w:val="10"/>
          <w:sz w:val="20"/>
        </w:rPr>
        <w:t> </w:t>
      </w:r>
      <w:r>
        <w:rPr>
          <w:rFonts w:ascii="Arial" w:hAnsi="Arial"/>
          <w:i/>
          <w:sz w:val="20"/>
        </w:rPr>
        <w:t>[2008]</w:t>
      </w:r>
      <w:r>
        <w:rPr>
          <w:rFonts w:ascii="Arial" w:hAnsi="Arial"/>
          <w:i/>
          <w:spacing w:val="10"/>
          <w:sz w:val="20"/>
        </w:rPr>
        <w:t> </w:t>
      </w:r>
      <w:r>
        <w:rPr>
          <w:rFonts w:ascii="Arial" w:hAnsi="Arial"/>
          <w:i/>
          <w:sz w:val="20"/>
        </w:rPr>
        <w:t>1</w:t>
      </w:r>
      <w:r>
        <w:rPr>
          <w:rFonts w:ascii="Arial" w:hAnsi="Arial"/>
          <w:i/>
          <w:spacing w:val="10"/>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558</w:t>
      </w:r>
      <w:r>
        <w:rPr>
          <w:sz w:val="20"/>
        </w:rPr>
        <w:t>.</w:t>
      </w:r>
      <w:r>
        <w:rPr>
          <w:spacing w:val="10"/>
          <w:sz w:val="20"/>
        </w:rPr>
        <w:t> </w:t>
      </w:r>
      <w:r>
        <w:rPr>
          <w:sz w:val="20"/>
        </w:rPr>
        <w:t>See</w:t>
      </w:r>
      <w:r>
        <w:rPr>
          <w:spacing w:val="10"/>
          <w:sz w:val="20"/>
        </w:rPr>
        <w:t> </w:t>
      </w:r>
      <w:r>
        <w:rPr>
          <w:sz w:val="20"/>
        </w:rPr>
        <w:t>also</w:t>
      </w:r>
      <w:r>
        <w:rPr>
          <w:spacing w:val="10"/>
          <w:sz w:val="20"/>
        </w:rPr>
        <w:t> </w:t>
      </w:r>
      <w:r>
        <w:rPr>
          <w:rFonts w:ascii="Arial" w:hAnsi="Arial"/>
          <w:i/>
          <w:sz w:val="20"/>
        </w:rPr>
        <w:t>Abu</w:t>
      </w:r>
      <w:r>
        <w:rPr>
          <w:rFonts w:ascii="Arial" w:hAnsi="Arial"/>
          <w:i/>
          <w:spacing w:val="10"/>
          <w:sz w:val="20"/>
        </w:rPr>
        <w:t> </w:t>
      </w:r>
      <w:r>
        <w:rPr>
          <w:rFonts w:ascii="Arial" w:hAnsi="Arial"/>
          <w:i/>
          <w:sz w:val="20"/>
        </w:rPr>
        <w:t>Dhabi</w:t>
      </w:r>
      <w:r>
        <w:rPr>
          <w:rFonts w:ascii="Arial" w:hAnsi="Arial"/>
          <w:i/>
          <w:spacing w:val="10"/>
          <w:sz w:val="20"/>
        </w:rPr>
        <w:t> </w:t>
      </w:r>
      <w:r>
        <w:rPr>
          <w:rFonts w:ascii="Arial" w:hAnsi="Arial"/>
          <w:i/>
          <w:sz w:val="20"/>
        </w:rPr>
        <w:t>National</w:t>
      </w:r>
      <w:r>
        <w:rPr>
          <w:rFonts w:ascii="Arial" w:hAnsi="Arial"/>
          <w:i/>
          <w:spacing w:val="10"/>
          <w:sz w:val="20"/>
        </w:rPr>
        <w:t> </w:t>
      </w:r>
      <w:r>
        <w:rPr>
          <w:rFonts w:ascii="Arial" w:hAnsi="Arial"/>
          <w:i/>
          <w:sz w:val="20"/>
        </w:rPr>
        <w:t>Tanker</w:t>
      </w:r>
      <w:r>
        <w:rPr>
          <w:rFonts w:ascii="Arial" w:hAnsi="Arial"/>
          <w:i/>
          <w:spacing w:val="10"/>
          <w:sz w:val="20"/>
        </w:rPr>
        <w:t> </w:t>
      </w:r>
      <w:r>
        <w:rPr>
          <w:rFonts w:ascii="Arial" w:hAnsi="Arial"/>
          <w:i/>
          <w:sz w:val="20"/>
        </w:rPr>
        <w:t>Co</w:t>
      </w:r>
      <w:r>
        <w:rPr>
          <w:rFonts w:ascii="Arial" w:hAnsi="Arial"/>
          <w:i/>
          <w:spacing w:val="10"/>
          <w:sz w:val="20"/>
        </w:rPr>
        <w:t> </w:t>
      </w:r>
      <w:r>
        <w:rPr>
          <w:rFonts w:ascii="Arial" w:hAnsi="Arial"/>
          <w:i/>
          <w:spacing w:val="-10"/>
          <w:sz w:val="20"/>
        </w:rPr>
        <w:t>v</w:t>
      </w:r>
    </w:p>
    <w:p>
      <w:pPr>
        <w:spacing w:after="0"/>
        <w:jc w:val="left"/>
        <w:rPr>
          <w:rFonts w:ascii="Arial" w:hAnsi="Arial"/>
          <w:i/>
          <w:sz w:val="20"/>
        </w:rPr>
        <w:sectPr>
          <w:type w:val="continuous"/>
          <w:pgSz w:w="11900" w:h="16840"/>
          <w:pgMar w:header="971" w:footer="0" w:top="1300" w:bottom="280" w:left="1275" w:right="1275"/>
          <w:cols w:num="2" w:equalWidth="0">
            <w:col w:w="478" w:space="63"/>
            <w:col w:w="8809"/>
          </w:cols>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8"/>
      </w:tblGrid>
      <w:tr>
        <w:trPr>
          <w:trHeight w:val="794" w:hRule="atLeast"/>
        </w:trPr>
        <w:tc>
          <w:tcPr>
            <w:tcW w:w="457" w:type="dxa"/>
          </w:tcPr>
          <w:p>
            <w:pPr>
              <w:pStyle w:val="TableParagraph"/>
              <w:spacing w:before="0"/>
              <w:ind w:left="0"/>
              <w:jc w:val="left"/>
              <w:rPr>
                <w:rFonts w:ascii="Times New Roman"/>
                <w:sz w:val="18"/>
              </w:rPr>
            </w:pPr>
          </w:p>
        </w:tc>
        <w:tc>
          <w:tcPr>
            <w:tcW w:w="8658" w:type="dxa"/>
          </w:tcPr>
          <w:p>
            <w:pPr>
              <w:pStyle w:val="TableParagraph"/>
              <w:spacing w:line="235" w:lineRule="auto" w:before="0"/>
              <w:ind w:left="133" w:right="48"/>
              <w:jc w:val="both"/>
              <w:rPr>
                <w:sz w:val="20"/>
              </w:rPr>
            </w:pPr>
            <w:r>
              <w:rPr>
                <w:rFonts w:ascii="Arial" w:hAnsi="Arial"/>
                <w:i/>
                <w:sz w:val="20"/>
              </w:rPr>
              <w:t>Product Star Shipping Ltd (The “Product Star”) [1993] 1 Lloyd’s Rep. 397 </w:t>
            </w:r>
            <w:r>
              <w:rPr>
                <w:sz w:val="20"/>
              </w:rPr>
              <w:t>esp. at 404; </w:t>
            </w:r>
            <w:r>
              <w:rPr>
                <w:rFonts w:ascii="Arial" w:hAnsi="Arial"/>
                <w:i/>
                <w:sz w:val="20"/>
              </w:rPr>
              <w:t>Horkulak v Cantor Fitzgerald International [2004] EWCA Civ 1287, [2005] I.C.R. 402 </w:t>
            </w:r>
            <w:r>
              <w:rPr>
                <w:sz w:val="20"/>
              </w:rPr>
              <w:t>at [66]; </w:t>
            </w:r>
            <w:r>
              <w:rPr>
                <w:rFonts w:ascii="Arial" w:hAnsi="Arial"/>
                <w:i/>
                <w:sz w:val="20"/>
              </w:rPr>
              <w:t>JML Direct Ltd v Freesat UK Ltd [2010] EWCA Civ 34 </w:t>
            </w:r>
            <w:r>
              <w:rPr>
                <w:sz w:val="20"/>
              </w:rPr>
              <w:t>at [14].</w:t>
            </w:r>
          </w:p>
        </w:tc>
      </w:tr>
      <w:tr>
        <w:trPr>
          <w:trHeight w:val="465" w:hRule="atLeast"/>
        </w:trPr>
        <w:tc>
          <w:tcPr>
            <w:tcW w:w="457" w:type="dxa"/>
          </w:tcPr>
          <w:p>
            <w:pPr>
              <w:pStyle w:val="TableParagraph"/>
              <w:ind w:left="0" w:right="82"/>
              <w:rPr>
                <w:sz w:val="14"/>
              </w:rPr>
            </w:pPr>
            <w:bookmarkStart w:name="_bookmark933" w:id="935"/>
            <w:bookmarkEnd w:id="935"/>
            <w:r>
              <w:rPr/>
            </w:r>
            <w:hyperlink w:history="true" w:anchor="_bookmark765">
              <w:r>
                <w:rPr>
                  <w:color w:val="005DA1"/>
                  <w:spacing w:val="-4"/>
                  <w:sz w:val="14"/>
                  <w:u w:val="single" w:color="005DA1"/>
                </w:rPr>
                <w:t>485</w:t>
              </w:r>
            </w:hyperlink>
            <w:r>
              <w:rPr>
                <w:spacing w:val="-4"/>
                <w:sz w:val="14"/>
              </w:rPr>
              <w:t>.</w:t>
            </w:r>
          </w:p>
        </w:tc>
        <w:tc>
          <w:tcPr>
            <w:tcW w:w="8658" w:type="dxa"/>
          </w:tcPr>
          <w:p>
            <w:pPr>
              <w:pStyle w:val="TableParagraph"/>
              <w:spacing w:before="114"/>
              <w:ind w:left="133"/>
              <w:jc w:val="left"/>
              <w:rPr>
                <w:sz w:val="20"/>
              </w:rPr>
            </w:pPr>
            <w:r>
              <w:rPr>
                <w:rFonts w:ascii="Arial"/>
                <w:i/>
                <w:sz w:val="20"/>
              </w:rPr>
              <w:t>[2013] EWCA Civ 200</w:t>
            </w:r>
            <w:r>
              <w:rPr>
                <w:rFonts w:ascii="Arial"/>
                <w:i/>
                <w:spacing w:val="-1"/>
                <w:sz w:val="20"/>
              </w:rPr>
              <w:t> </w:t>
            </w:r>
            <w:r>
              <w:rPr>
                <w:sz w:val="20"/>
              </w:rPr>
              <w:t>at </w:t>
            </w:r>
            <w:r>
              <w:rPr>
                <w:spacing w:val="-2"/>
                <w:sz w:val="20"/>
              </w:rPr>
              <w:t>[83].</w:t>
            </w:r>
          </w:p>
        </w:tc>
      </w:tr>
      <w:tr>
        <w:trPr>
          <w:trHeight w:val="465" w:hRule="atLeast"/>
        </w:trPr>
        <w:tc>
          <w:tcPr>
            <w:tcW w:w="457" w:type="dxa"/>
          </w:tcPr>
          <w:p>
            <w:pPr>
              <w:pStyle w:val="TableParagraph"/>
              <w:ind w:left="0" w:right="82"/>
              <w:rPr>
                <w:sz w:val="14"/>
              </w:rPr>
            </w:pPr>
            <w:bookmarkStart w:name="_bookmark934" w:id="936"/>
            <w:bookmarkEnd w:id="936"/>
            <w:r>
              <w:rPr/>
            </w:r>
            <w:hyperlink w:history="true" w:anchor="_bookmark766">
              <w:r>
                <w:rPr>
                  <w:color w:val="005DA1"/>
                  <w:spacing w:val="-4"/>
                  <w:sz w:val="14"/>
                  <w:u w:val="single" w:color="005DA1"/>
                </w:rPr>
                <w:t>486</w:t>
              </w:r>
            </w:hyperlink>
            <w:r>
              <w:rPr>
                <w:spacing w:val="-4"/>
                <w:sz w:val="14"/>
              </w:rPr>
              <w:t>.</w:t>
            </w:r>
          </w:p>
        </w:tc>
        <w:tc>
          <w:tcPr>
            <w:tcW w:w="8658" w:type="dxa"/>
          </w:tcPr>
          <w:p>
            <w:pPr>
              <w:pStyle w:val="TableParagraph"/>
              <w:spacing w:before="114"/>
              <w:ind w:left="133"/>
              <w:jc w:val="left"/>
              <w:rPr>
                <w:sz w:val="20"/>
              </w:rPr>
            </w:pPr>
            <w:r>
              <w:rPr>
                <w:rFonts w:ascii="Arial" w:hAnsi="Arial"/>
                <w:i/>
                <w:sz w:val="20"/>
              </w:rPr>
              <w:t>[2013] EWCA Civ 200</w:t>
            </w:r>
            <w:r>
              <w:rPr>
                <w:rFonts w:ascii="Arial" w:hAnsi="Arial"/>
                <w:i/>
                <w:spacing w:val="-1"/>
                <w:sz w:val="20"/>
              </w:rPr>
              <w:t> </w:t>
            </w:r>
            <w:r>
              <w:rPr>
                <w:sz w:val="20"/>
              </w:rPr>
              <w:t>at </w:t>
            </w:r>
            <w:r>
              <w:rPr>
                <w:spacing w:val="-2"/>
                <w:sz w:val="20"/>
              </w:rPr>
              <w:t>[84]–[92].</w:t>
            </w:r>
          </w:p>
        </w:tc>
      </w:tr>
      <w:tr>
        <w:trPr>
          <w:trHeight w:val="344" w:hRule="atLeast"/>
        </w:trPr>
        <w:tc>
          <w:tcPr>
            <w:tcW w:w="457" w:type="dxa"/>
          </w:tcPr>
          <w:p>
            <w:pPr>
              <w:pStyle w:val="TableParagraph"/>
              <w:ind w:left="0" w:right="82"/>
              <w:rPr>
                <w:sz w:val="14"/>
              </w:rPr>
            </w:pPr>
            <w:bookmarkStart w:name="_bookmark935" w:id="937"/>
            <w:bookmarkEnd w:id="937"/>
            <w:r>
              <w:rPr/>
            </w:r>
            <w:hyperlink w:history="true" w:anchor="_bookmark767">
              <w:r>
                <w:rPr>
                  <w:color w:val="005DA1"/>
                  <w:spacing w:val="-4"/>
                  <w:sz w:val="14"/>
                  <w:u w:val="single" w:color="005DA1"/>
                </w:rPr>
                <w:t>487</w:t>
              </w:r>
            </w:hyperlink>
            <w:r>
              <w:rPr>
                <w:spacing w:val="-4"/>
                <w:sz w:val="14"/>
              </w:rPr>
              <w:t>.</w:t>
            </w:r>
          </w:p>
        </w:tc>
        <w:tc>
          <w:tcPr>
            <w:tcW w:w="8658" w:type="dxa"/>
          </w:tcPr>
          <w:p>
            <w:pPr>
              <w:pStyle w:val="TableParagraph"/>
              <w:spacing w:line="210" w:lineRule="exact" w:before="114"/>
              <w:ind w:left="133"/>
              <w:jc w:val="left"/>
              <w:rPr>
                <w:sz w:val="20"/>
              </w:rPr>
            </w:pPr>
            <w:r>
              <w:rPr>
                <w:rFonts w:ascii="Arial"/>
                <w:i/>
                <w:sz w:val="20"/>
              </w:rPr>
              <w:t>[2013] EWCA Civ 200</w:t>
            </w:r>
            <w:r>
              <w:rPr>
                <w:rFonts w:ascii="Arial"/>
                <w:i/>
                <w:spacing w:val="-1"/>
                <w:sz w:val="20"/>
              </w:rPr>
              <w:t> </w:t>
            </w:r>
            <w:r>
              <w:rPr>
                <w:sz w:val="20"/>
              </w:rPr>
              <w:t>at </w:t>
            </w:r>
            <w:r>
              <w:rPr>
                <w:spacing w:val="-2"/>
                <w:sz w:val="20"/>
              </w:rPr>
              <w:t>[138].</w:t>
            </w:r>
          </w:p>
        </w:tc>
      </w:tr>
    </w:tbl>
    <w:p>
      <w:pPr>
        <w:pStyle w:val="BodyText"/>
        <w:spacing w:before="11"/>
        <w:rPr>
          <w:rFonts w:ascii="Arial"/>
          <w:i/>
          <w:sz w:val="12"/>
        </w:rPr>
      </w:pPr>
    </w:p>
    <w:p>
      <w:pPr>
        <w:pStyle w:val="BodyText"/>
        <w:spacing w:after="0"/>
        <w:rPr>
          <w:rFonts w:ascii="Arial"/>
          <w:i/>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1856">
            <wp:simplePos x="0" y="0"/>
            <wp:positionH relativeFrom="page">
              <wp:posOffset>1257846</wp:posOffset>
            </wp:positionH>
            <wp:positionV relativeFrom="paragraph">
              <wp:posOffset>160452</wp:posOffset>
            </wp:positionV>
            <wp:extent cx="107988" cy="107988"/>
            <wp:effectExtent l="0" t="0" r="0" b="0"/>
            <wp:wrapNone/>
            <wp:docPr id="302" name="Image 302"/>
            <wp:cNvGraphicFramePr>
              <a:graphicFrameLocks/>
            </wp:cNvGraphicFramePr>
            <a:graphic>
              <a:graphicData uri="http://schemas.openxmlformats.org/drawingml/2006/picture">
                <pic:pic>
                  <pic:nvPicPr>
                    <pic:cNvPr id="302" name="Image 30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36" w:id="938"/>
      <w:bookmarkEnd w:id="938"/>
      <w:r>
        <w:rPr/>
      </w:r>
      <w:hyperlink w:history="true" w:anchor="_bookmark768">
        <w:r>
          <w:rPr>
            <w:color w:val="005DA1"/>
            <w:spacing w:val="-4"/>
            <w:sz w:val="14"/>
            <w:u w:val="single" w:color="005DA1"/>
          </w:rPr>
          <w:t>488</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[2013] EWCA Civ 200 </w:t>
      </w:r>
      <w:r>
        <w:rPr>
          <w:sz w:val="20"/>
        </w:rPr>
        <w:t>at [138]–[139]; applied in </w:t>
      </w:r>
      <w:r>
        <w:rPr>
          <w:rFonts w:ascii="Arial" w:hAnsi="Arial"/>
          <w:i/>
          <w:sz w:val="20"/>
        </w:rPr>
        <w:t>Monde Petroleum SA v WesternZagros Ltd [2016] EWHC 1472 (Comm), [2017] 1 All E.R. (Comm) 1009 </w:t>
      </w:r>
      <w:r>
        <w:rPr>
          <w:sz w:val="20"/>
        </w:rPr>
        <w:t>at [261]–[275] (contractual right to terminate a contract not a discretion and may be exercised irrespective of the party’s reasons for doing so); </w:t>
      </w:r>
      <w:r>
        <w:rPr>
          <w:rFonts w:ascii="Arial" w:hAnsi="Arial"/>
          <w:i/>
          <w:sz w:val="20"/>
        </w:rPr>
        <w:t>Monk v Largo Foods Ltd [2016] EWHC 1837 (Comm) </w:t>
      </w:r>
      <w:r>
        <w:rPr>
          <w:sz w:val="20"/>
        </w:rPr>
        <w:t>at [52]–[60].</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937" w:id="939"/>
      <w:bookmarkEnd w:id="939"/>
      <w:r>
        <w:rPr/>
      </w:r>
      <w:hyperlink w:history="true" w:anchor="_bookmark769">
        <w:r>
          <w:rPr>
            <w:color w:val="005DA1"/>
            <w:spacing w:val="-4"/>
            <w:position w:val="5"/>
            <w:sz w:val="14"/>
            <w:u w:val="single" w:color="005DA1"/>
          </w:rPr>
          <w:t>489</w:t>
        </w:r>
      </w:hyperlink>
      <w:r>
        <w:rPr>
          <w:spacing w:val="-4"/>
          <w:position w:val="5"/>
          <w:sz w:val="14"/>
        </w:rPr>
        <w:t>.</w:t>
      </w:r>
      <w:r>
        <w:rPr>
          <w:position w:val="5"/>
          <w:sz w:val="14"/>
        </w:rPr>
        <w:tab/>
      </w:r>
      <w:r>
        <w:rPr>
          <w:rFonts w:ascii="Arial"/>
          <w:i/>
          <w:sz w:val="20"/>
        </w:rPr>
        <w:t>[2015] UKSC 17, [2015] 1 W.L.R. </w:t>
      </w:r>
      <w:r>
        <w:rPr>
          <w:rFonts w:ascii="Arial"/>
          <w:i/>
          <w:spacing w:val="-2"/>
          <w:sz w:val="20"/>
        </w:rPr>
        <w:t>1661</w:t>
      </w:r>
      <w:r>
        <w:rPr>
          <w:spacing w:val="-2"/>
          <w:sz w:val="20"/>
        </w:rPr>
        <w:t>.</w:t>
      </w:r>
    </w:p>
    <w:p>
      <w:pPr>
        <w:pStyle w:val="BodyText"/>
        <w:spacing w:before="8"/>
      </w:pPr>
    </w:p>
    <w:p>
      <w:pPr>
        <w:pStyle w:val="BodyText"/>
        <w:tabs>
          <w:tab w:pos="705" w:val="left" w:leader="none"/>
        </w:tabs>
        <w:spacing w:line="235" w:lineRule="auto" w:before="1"/>
        <w:ind w:left="705" w:right="168" w:hanging="541"/>
      </w:pPr>
      <w:bookmarkStart w:name="_bookmark938" w:id="940"/>
      <w:bookmarkEnd w:id="940"/>
      <w:r>
        <w:rPr/>
      </w:r>
      <w:hyperlink w:history="true" w:anchor="_bookmark770">
        <w:r>
          <w:rPr>
            <w:color w:val="005DA1"/>
            <w:spacing w:val="-4"/>
            <w:position w:val="5"/>
            <w:sz w:val="14"/>
            <w:u w:val="single" w:color="005DA1"/>
          </w:rPr>
          <w:t>490</w:t>
        </w:r>
      </w:hyperlink>
      <w:r>
        <w:rPr>
          <w:spacing w:val="-4"/>
          <w:position w:val="5"/>
          <w:sz w:val="14"/>
        </w:rPr>
        <w:t>.</w:t>
      </w:r>
      <w:r>
        <w:rPr>
          <w:position w:val="5"/>
          <w:sz w:val="14"/>
        </w:rPr>
        <w:tab/>
      </w:r>
      <w:r>
        <w:rPr>
          <w:rFonts w:ascii="Arial" w:hAnsi="Arial"/>
          <w:i/>
        </w:rPr>
        <w:t>[2015]</w:t>
      </w:r>
      <w:r>
        <w:rPr>
          <w:rFonts w:ascii="Arial" w:hAnsi="Arial"/>
          <w:i/>
          <w:spacing w:val="40"/>
        </w:rPr>
        <w:t> </w:t>
      </w:r>
      <w:r>
        <w:rPr>
          <w:rFonts w:ascii="Arial" w:hAnsi="Arial"/>
          <w:i/>
        </w:rPr>
        <w:t>UKSC</w:t>
      </w:r>
      <w:r>
        <w:rPr>
          <w:rFonts w:ascii="Arial" w:hAnsi="Arial"/>
          <w:i/>
          <w:spacing w:val="40"/>
        </w:rPr>
        <w:t> </w:t>
      </w:r>
      <w:r>
        <w:rPr>
          <w:rFonts w:ascii="Arial" w:hAnsi="Arial"/>
          <w:i/>
        </w:rPr>
        <w:t>17</w:t>
      </w:r>
      <w:r>
        <w:rPr>
          <w:rFonts w:ascii="Arial" w:hAnsi="Arial"/>
          <w:i/>
          <w:spacing w:val="40"/>
        </w:rPr>
        <w:t> </w:t>
      </w:r>
      <w:r>
        <w:rPr/>
        <w:t>at</w:t>
      </w:r>
      <w:r>
        <w:rPr>
          <w:spacing w:val="40"/>
        </w:rPr>
        <w:t> </w:t>
      </w:r>
      <w:r>
        <w:rPr/>
        <w:t>[18]</w:t>
      </w:r>
      <w:r>
        <w:rPr>
          <w:spacing w:val="40"/>
        </w:rPr>
        <w:t> </w:t>
      </w:r>
      <w:r>
        <w:rPr/>
        <w:t>with</w:t>
      </w:r>
      <w:r>
        <w:rPr>
          <w:spacing w:val="40"/>
        </w:rPr>
        <w:t> </w:t>
      </w:r>
      <w:r>
        <w:rPr/>
        <w:t>whom</w:t>
      </w:r>
      <w:r>
        <w:rPr>
          <w:spacing w:val="40"/>
        </w:rPr>
        <w:t> </w:t>
      </w:r>
      <w:r>
        <w:rPr/>
        <w:t>Lord</w:t>
      </w:r>
      <w:r>
        <w:rPr>
          <w:spacing w:val="40"/>
        </w:rPr>
        <w:t> </w:t>
      </w:r>
      <w:r>
        <w:rPr/>
        <w:t>Kerr</w:t>
      </w:r>
      <w:r>
        <w:rPr>
          <w:spacing w:val="40"/>
        </w:rPr>
        <w:t> </w:t>
      </w:r>
      <w:r>
        <w:rPr/>
        <w:t>agreed</w:t>
      </w:r>
      <w:r>
        <w:rPr>
          <w:spacing w:val="40"/>
        </w:rPr>
        <w:t> </w:t>
      </w:r>
      <w:r>
        <w:rPr/>
        <w:t>generally.</w:t>
      </w:r>
      <w:r>
        <w:rPr>
          <w:spacing w:val="40"/>
        </w:rPr>
        <w:t> </w:t>
      </w:r>
      <w:r>
        <w:rPr/>
        <w:t>Lords</w:t>
      </w:r>
      <w:r>
        <w:rPr>
          <w:spacing w:val="40"/>
        </w:rPr>
        <w:t> </w:t>
      </w:r>
      <w:r>
        <w:rPr/>
        <w:t>Wilson,</w:t>
      </w:r>
      <w:r>
        <w:rPr>
          <w:spacing w:val="40"/>
        </w:rPr>
        <w:t> </w:t>
      </w:r>
      <w:r>
        <w:rPr/>
        <w:t>Hodge</w:t>
      </w:r>
      <w:r>
        <w:rPr>
          <w:spacing w:val="40"/>
        </w:rPr>
        <w:t> </w:t>
      </w:r>
      <w:r>
        <w:rPr/>
        <w:t>and Neuberger agreed with Lady Hale in this respect: </w:t>
      </w:r>
      <w:r>
        <w:rPr>
          <w:rFonts w:ascii="Arial" w:hAnsi="Arial"/>
          <w:i/>
        </w:rPr>
        <w:t>[2015] UKSC 17 </w:t>
      </w:r>
      <w:r>
        <w:rPr/>
        <w:t>at [52]–[53], [102]–[103].</w:t>
      </w:r>
    </w:p>
    <w:p>
      <w:pPr>
        <w:pStyle w:val="BodyText"/>
        <w:spacing w:before="9"/>
      </w:pPr>
    </w:p>
    <w:p>
      <w:pPr>
        <w:tabs>
          <w:tab w:pos="705" w:val="left" w:leader="none"/>
        </w:tabs>
        <w:spacing w:line="235" w:lineRule="auto" w:before="0"/>
        <w:ind w:left="705" w:right="168" w:hanging="541"/>
        <w:jc w:val="left"/>
        <w:rPr>
          <w:sz w:val="20"/>
        </w:rPr>
      </w:pPr>
      <w:bookmarkStart w:name="_bookmark939" w:id="941"/>
      <w:bookmarkEnd w:id="941"/>
      <w:r>
        <w:rPr/>
      </w:r>
      <w:hyperlink w:history="true" w:anchor="_bookmark771">
        <w:r>
          <w:rPr>
            <w:color w:val="005DA1"/>
            <w:spacing w:val="-4"/>
            <w:position w:val="5"/>
            <w:sz w:val="14"/>
            <w:u w:val="single" w:color="005DA1"/>
          </w:rPr>
          <w:t>491</w:t>
        </w:r>
      </w:hyperlink>
      <w:r>
        <w:rPr>
          <w:spacing w:val="-4"/>
          <w:position w:val="5"/>
          <w:sz w:val="14"/>
        </w:rPr>
        <w:t>.</w:t>
      </w:r>
      <w:r>
        <w:rPr>
          <w:position w:val="5"/>
          <w:sz w:val="14"/>
        </w:rPr>
        <w:tab/>
      </w:r>
      <w:r>
        <w:rPr>
          <w:rFonts w:ascii="Arial" w:hAnsi="Arial"/>
          <w:i/>
          <w:sz w:val="20"/>
        </w:rPr>
        <w:t>Socimer International Bank Ltd v Standard Bank Ltd [2008] EWCA Civ 116 </w:t>
      </w:r>
      <w:r>
        <w:rPr>
          <w:sz w:val="20"/>
        </w:rPr>
        <w:t>at [60]–[66], below, para.15-054 and see </w:t>
      </w:r>
      <w:r>
        <w:rPr>
          <w:rFonts w:ascii="Arial" w:hAnsi="Arial"/>
          <w:i/>
          <w:sz w:val="20"/>
        </w:rPr>
        <w:t>[2015] UKSC 17 </w:t>
      </w:r>
      <w:r>
        <w:rPr>
          <w:sz w:val="20"/>
        </w:rPr>
        <w:t>at [22] and [102].</w:t>
      </w:r>
    </w:p>
    <w:p>
      <w:pPr>
        <w:spacing w:after="0" w:line="235" w:lineRule="auto"/>
        <w:jc w:val="left"/>
        <w:rPr>
          <w:sz w:val="20"/>
        </w:rPr>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772">
        <w:r>
          <w:rPr>
            <w:color w:val="005DA1"/>
            <w:spacing w:val="-4"/>
            <w:position w:val="5"/>
            <w:sz w:val="14"/>
            <w:u w:val="single" w:color="005DA1"/>
          </w:rPr>
          <w:t>492</w:t>
        </w:r>
      </w:hyperlink>
      <w:r>
        <w:rPr>
          <w:spacing w:val="-4"/>
          <w:position w:val="5"/>
          <w:sz w:val="14"/>
        </w:rPr>
        <w:t>.</w:t>
      </w:r>
      <w:r>
        <w:rPr>
          <w:position w:val="5"/>
          <w:sz w:val="14"/>
        </w:rPr>
        <w:tab/>
      </w:r>
      <w:r>
        <w:rPr>
          <w:rFonts w:ascii="Arial"/>
          <w:i/>
          <w:sz w:val="20"/>
        </w:rPr>
        <w:t>[2015]</w:t>
      </w:r>
      <w:r>
        <w:rPr>
          <w:rFonts w:ascii="Arial"/>
          <w:i/>
          <w:spacing w:val="-2"/>
          <w:sz w:val="20"/>
        </w:rPr>
        <w:t> </w:t>
      </w:r>
      <w:r>
        <w:rPr>
          <w:rFonts w:ascii="Arial"/>
          <w:i/>
          <w:sz w:val="20"/>
        </w:rPr>
        <w:t>UKSC 17</w:t>
      </w:r>
      <w:r>
        <w:rPr>
          <w:rFonts w:ascii="Arial"/>
          <w:i/>
          <w:spacing w:val="-1"/>
          <w:sz w:val="20"/>
        </w:rPr>
        <w:t> </w:t>
      </w:r>
      <w:r>
        <w:rPr>
          <w:sz w:val="20"/>
        </w:rPr>
        <w:t>at </w:t>
      </w:r>
      <w:r>
        <w:rPr>
          <w:spacing w:val="-2"/>
          <w:sz w:val="20"/>
        </w:rPr>
        <w:t>[19].</w:t>
      </w:r>
    </w:p>
    <w:p>
      <w:pPr>
        <w:pStyle w:val="BodyText"/>
        <w:spacing w:before="9"/>
      </w:pPr>
    </w:p>
    <w:p>
      <w:pPr>
        <w:pStyle w:val="BodyText"/>
        <w:spacing w:line="235" w:lineRule="auto"/>
        <w:ind w:left="705" w:right="167" w:hanging="541"/>
        <w:jc w:val="both"/>
      </w:pPr>
      <w:bookmarkStart w:name="_bookmark940" w:id="942"/>
      <w:bookmarkEnd w:id="942"/>
      <w:r>
        <w:rPr/>
      </w:r>
      <w:hyperlink w:history="true" w:anchor="_bookmark773">
        <w:r>
          <w:rPr>
            <w:color w:val="005DA1"/>
            <w:position w:val="5"/>
            <w:sz w:val="14"/>
            <w:u w:val="single" w:color="005DA1"/>
          </w:rPr>
          <w:t>493</w:t>
        </w:r>
      </w:hyperlink>
      <w:r>
        <w:rPr>
          <w:position w:val="5"/>
          <w:sz w:val="14"/>
        </w:rPr>
        <w:t>.</w:t>
      </w:r>
      <w:r>
        <w:rPr>
          <w:spacing w:val="40"/>
          <w:position w:val="5"/>
          <w:sz w:val="14"/>
        </w:rPr>
        <w:t>  </w:t>
      </w:r>
      <w:r>
        <w:rPr>
          <w:rFonts w:ascii="Arial"/>
          <w:i/>
        </w:rPr>
        <w:t>[2015] UKSC 17 </w:t>
      </w:r>
      <w:r>
        <w:rPr/>
        <w:t>at [20] per Lady Hale and see also at [28], [53] (Lord Hodge) and [103] (Lord Neuberger). It was considered unnecessary to conclude finally on the precise extent to which</w:t>
      </w:r>
      <w:r>
        <w:rPr>
          <w:spacing w:val="40"/>
        </w:rPr>
        <w:t> </w:t>
      </w:r>
      <w:r>
        <w:rPr/>
        <w:t>an implied contractual term may differ from the principles applicable to judicial review </w:t>
      </w:r>
      <w:r>
        <w:rPr/>
        <w:t>of administrative action: </w:t>
      </w:r>
      <w:r>
        <w:rPr>
          <w:rFonts w:ascii="Arial"/>
          <w:i/>
        </w:rPr>
        <w:t>[2015] UKSC 17 </w:t>
      </w:r>
      <w:r>
        <w:rPr/>
        <w:t>at [31] (Lady Hale).</w:t>
      </w:r>
    </w:p>
    <w:p>
      <w:pPr>
        <w:pStyle w:val="BodyText"/>
        <w:spacing w:before="9"/>
      </w:pPr>
    </w:p>
    <w:p>
      <w:pPr>
        <w:pStyle w:val="BodyText"/>
        <w:spacing w:line="235" w:lineRule="auto"/>
        <w:ind w:left="705" w:right="167" w:hanging="541"/>
        <w:jc w:val="both"/>
      </w:pPr>
      <w:bookmarkStart w:name="_bookmark941" w:id="943"/>
      <w:bookmarkEnd w:id="943"/>
      <w:r>
        <w:rPr/>
      </w:r>
      <w:hyperlink w:history="true" w:anchor="_bookmark774">
        <w:r>
          <w:rPr>
            <w:color w:val="005DA1"/>
            <w:position w:val="5"/>
            <w:sz w:val="14"/>
            <w:u w:val="single" w:color="005DA1"/>
          </w:rPr>
          <w:t>494</w:t>
        </w:r>
      </w:hyperlink>
      <w:r>
        <w:rPr>
          <w:position w:val="5"/>
          <w:sz w:val="14"/>
        </w:rPr>
        <w:t>.</w:t>
      </w:r>
      <w:r>
        <w:rPr>
          <w:spacing w:val="80"/>
          <w:position w:val="5"/>
          <w:sz w:val="14"/>
        </w:rPr>
        <w:t> </w:t>
      </w:r>
      <w:r>
        <w:rPr>
          <w:rFonts w:ascii="Arial" w:hAnsi="Arial"/>
          <w:i/>
        </w:rPr>
        <w:t>[2015] UKSC 17 </w:t>
      </w:r>
      <w:r>
        <w:rPr/>
        <w:t>at [30]. Lady Hale and Lord Kerr considered that the fact that contracts of employment contain an implied obligation of trust and confidence is relevant for this purpose: </w:t>
      </w:r>
      <w:r>
        <w:rPr>
          <w:rFonts w:ascii="Arial" w:hAnsi="Arial"/>
          <w:i/>
        </w:rPr>
        <w:t>[2015]</w:t>
      </w:r>
      <w:r>
        <w:rPr>
          <w:rFonts w:ascii="Arial" w:hAnsi="Arial"/>
          <w:i/>
          <w:spacing w:val="-2"/>
        </w:rPr>
        <w:t> </w:t>
      </w:r>
      <w:r>
        <w:rPr>
          <w:rFonts w:ascii="Arial" w:hAnsi="Arial"/>
          <w:i/>
        </w:rPr>
        <w:t>UKSC</w:t>
      </w:r>
      <w:r>
        <w:rPr>
          <w:rFonts w:ascii="Arial" w:hAnsi="Arial"/>
          <w:i/>
          <w:spacing w:val="-2"/>
        </w:rPr>
        <w:t> </w:t>
      </w:r>
      <w:r>
        <w:rPr>
          <w:rFonts w:ascii="Arial" w:hAnsi="Arial"/>
          <w:i/>
        </w:rPr>
        <w:t>17</w:t>
      </w:r>
      <w:r>
        <w:rPr>
          <w:rFonts w:ascii="Arial" w:hAnsi="Arial"/>
          <w:i/>
          <w:spacing w:val="-2"/>
        </w:rPr>
        <w:t> </w:t>
      </w:r>
      <w:r>
        <w:rPr/>
        <w:t>at</w:t>
      </w:r>
      <w:r>
        <w:rPr>
          <w:spacing w:val="-2"/>
        </w:rPr>
        <w:t> </w:t>
      </w:r>
      <w:r>
        <w:rPr/>
        <w:t>[32];</w:t>
      </w:r>
      <w:r>
        <w:rPr>
          <w:spacing w:val="-2"/>
        </w:rPr>
        <w:t> </w:t>
      </w:r>
      <w:r>
        <w:rPr/>
        <w:t>Lord</w:t>
      </w:r>
      <w:r>
        <w:rPr>
          <w:spacing w:val="-2"/>
        </w:rPr>
        <w:t> </w:t>
      </w:r>
      <w:r>
        <w:rPr/>
        <w:t>Hodge</w:t>
      </w:r>
      <w:r>
        <w:rPr>
          <w:spacing w:val="-2"/>
        </w:rPr>
        <w:t> </w:t>
      </w:r>
      <w:r>
        <w:rPr/>
        <w:t>agreed</w:t>
      </w:r>
      <w:r>
        <w:rPr>
          <w:spacing w:val="-2"/>
        </w:rPr>
        <w:t> </w:t>
      </w:r>
      <w:r>
        <w:rPr/>
        <w:t>(at</w:t>
      </w:r>
      <w:r>
        <w:rPr>
          <w:spacing w:val="-2"/>
        </w:rPr>
        <w:t> </w:t>
      </w:r>
      <w:r>
        <w:rPr/>
        <w:t>[61]),</w:t>
      </w:r>
      <w:r>
        <w:rPr>
          <w:spacing w:val="-2"/>
        </w:rPr>
        <w:t> </w:t>
      </w:r>
      <w:r>
        <w:rPr/>
        <w:t>though</w:t>
      </w:r>
      <w:r>
        <w:rPr>
          <w:spacing w:val="-2"/>
        </w:rPr>
        <w:t> </w:t>
      </w:r>
      <w:r>
        <w:rPr/>
        <w:t>he</w:t>
      </w:r>
      <w:r>
        <w:rPr>
          <w:spacing w:val="-2"/>
        </w:rPr>
        <w:t> </w:t>
      </w:r>
      <w:r>
        <w:rPr/>
        <w:t>did</w:t>
      </w:r>
      <w:r>
        <w:rPr>
          <w:spacing w:val="-2"/>
        </w:rPr>
        <w:t> </w:t>
      </w:r>
      <w:r>
        <w:rPr/>
        <w:t>not</w:t>
      </w:r>
      <w:r>
        <w:rPr>
          <w:spacing w:val="-2"/>
        </w:rPr>
        <w:t> </w:t>
      </w:r>
      <w:r>
        <w:rPr/>
        <w:t>rely</w:t>
      </w:r>
      <w:r>
        <w:rPr>
          <w:spacing w:val="-2"/>
        </w:rPr>
        <w:t> </w:t>
      </w:r>
      <w:r>
        <w:rPr/>
        <w:t>on</w:t>
      </w:r>
      <w:r>
        <w:rPr>
          <w:spacing w:val="-2"/>
        </w:rPr>
        <w:t> </w:t>
      </w:r>
      <w:r>
        <w:rPr/>
        <w:t>this</w:t>
      </w:r>
      <w:r>
        <w:rPr>
          <w:spacing w:val="-2"/>
        </w:rPr>
        <w:t> </w:t>
      </w:r>
      <w:r>
        <w:rPr/>
        <w:t>as</w:t>
      </w:r>
      <w:r>
        <w:rPr>
          <w:spacing w:val="-2"/>
        </w:rPr>
        <w:t> </w:t>
      </w:r>
      <w:r>
        <w:rPr/>
        <w:t>it</w:t>
      </w:r>
      <w:r>
        <w:rPr>
          <w:spacing w:val="-2"/>
        </w:rPr>
        <w:t> </w:t>
      </w:r>
      <w:r>
        <w:rPr/>
        <w:t>had</w:t>
      </w:r>
      <w:r>
        <w:rPr>
          <w:spacing w:val="-2"/>
        </w:rPr>
        <w:t> </w:t>
      </w:r>
      <w:r>
        <w:rPr/>
        <w:t>not been argued and cf. at [54]–[55]. cf. Lord Neuberger considered that such an implied term </w:t>
      </w:r>
      <w:r>
        <w:rPr/>
        <w:t>did not add anything once the implied term based on </w:t>
      </w:r>
      <w:r>
        <w:rPr>
          <w:rFonts w:ascii="Arial" w:hAnsi="Arial"/>
          <w:i/>
        </w:rPr>
        <w:t>Wednesbury </w:t>
      </w:r>
      <w:r>
        <w:rPr/>
        <w:t>rationality had been accepted: </w:t>
      </w:r>
      <w:r>
        <w:rPr>
          <w:rFonts w:ascii="Arial" w:hAnsi="Arial"/>
          <w:i/>
        </w:rPr>
        <w:t>[2015] UKSC 17 </w:t>
      </w:r>
      <w:r>
        <w:rPr/>
        <w:t>at [104].</w:t>
      </w:r>
    </w:p>
    <w:p>
      <w:pPr>
        <w:pStyle w:val="BodyText"/>
        <w:spacing w:before="4"/>
      </w:pPr>
    </w:p>
    <w:p>
      <w:pPr>
        <w:tabs>
          <w:tab w:pos="705" w:val="left" w:leader="none"/>
        </w:tabs>
        <w:spacing w:before="0"/>
        <w:ind w:left="165" w:right="0" w:firstLine="0"/>
        <w:jc w:val="left"/>
        <w:rPr>
          <w:sz w:val="20"/>
        </w:rPr>
      </w:pPr>
      <w:bookmarkStart w:name="_bookmark942" w:id="944"/>
      <w:bookmarkEnd w:id="944"/>
      <w:r>
        <w:rPr/>
      </w:r>
      <w:hyperlink w:history="true" w:anchor="_bookmark775">
        <w:r>
          <w:rPr>
            <w:color w:val="005DA1"/>
            <w:spacing w:val="-4"/>
            <w:position w:val="5"/>
            <w:sz w:val="14"/>
            <w:u w:val="single" w:color="005DA1"/>
          </w:rPr>
          <w:t>495</w:t>
        </w:r>
      </w:hyperlink>
      <w:r>
        <w:rPr>
          <w:spacing w:val="-4"/>
          <w:position w:val="5"/>
          <w:sz w:val="14"/>
        </w:rPr>
        <w:t>.</w:t>
      </w:r>
      <w:r>
        <w:rPr>
          <w:position w:val="5"/>
          <w:sz w:val="14"/>
        </w:rPr>
        <w:tab/>
      </w:r>
      <w:r>
        <w:rPr>
          <w:rFonts w:ascii="Arial"/>
          <w:i/>
          <w:sz w:val="20"/>
        </w:rPr>
        <w:t>[2015] UKSC 17</w:t>
      </w:r>
      <w:r>
        <w:rPr>
          <w:rFonts w:ascii="Arial"/>
          <w:i/>
          <w:spacing w:val="-1"/>
          <w:sz w:val="20"/>
        </w:rPr>
        <w:t> </w:t>
      </w:r>
      <w:r>
        <w:rPr>
          <w:sz w:val="20"/>
        </w:rPr>
        <w:t>at [30] and cf. at [24]; similarly at [53] (Lord Hodge) [103] (Lord </w:t>
      </w:r>
      <w:r>
        <w:rPr>
          <w:spacing w:val="-2"/>
          <w:sz w:val="20"/>
        </w:rPr>
        <w:t>Neuberger).</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943" w:id="945"/>
      <w:bookmarkEnd w:id="945"/>
      <w:r>
        <w:rPr/>
      </w:r>
      <w:hyperlink w:history="true" w:anchor="_bookmark776">
        <w:r>
          <w:rPr>
            <w:color w:val="005DA1"/>
            <w:spacing w:val="-4"/>
            <w:sz w:val="14"/>
            <w:u w:val="single" w:color="005DA1"/>
          </w:rPr>
          <w:t>496</w:t>
        </w:r>
      </w:hyperlink>
      <w:r>
        <w:rPr>
          <w:spacing w:val="-4"/>
          <w:sz w:val="14"/>
        </w:rPr>
        <w:t>.</w:t>
      </w:r>
    </w:p>
    <w:p>
      <w:pPr>
        <w:spacing w:line="227" w:lineRule="exact" w:before="209"/>
        <w:ind w:left="335" w:right="0" w:firstLine="0"/>
        <w:jc w:val="left"/>
        <w:rPr>
          <w:rFonts w:ascii="Arial"/>
          <w:i/>
          <w:sz w:val="20"/>
        </w:rPr>
      </w:pPr>
      <w:r>
        <w:rPr/>
        <w:br w:type="column"/>
      </w:r>
      <w:r>
        <w:rPr>
          <w:rFonts w:ascii="Arial"/>
          <w:i/>
          <w:sz w:val="20"/>
        </w:rPr>
        <w:t>[2015]</w:t>
      </w:r>
      <w:r>
        <w:rPr>
          <w:rFonts w:ascii="Arial"/>
          <w:i/>
          <w:spacing w:val="12"/>
          <w:sz w:val="20"/>
        </w:rPr>
        <w:t> </w:t>
      </w:r>
      <w:r>
        <w:rPr>
          <w:rFonts w:ascii="Arial"/>
          <w:i/>
          <w:sz w:val="20"/>
        </w:rPr>
        <w:t>UKSC</w:t>
      </w:r>
      <w:r>
        <w:rPr>
          <w:rFonts w:ascii="Arial"/>
          <w:i/>
          <w:spacing w:val="12"/>
          <w:sz w:val="20"/>
        </w:rPr>
        <w:t> </w:t>
      </w:r>
      <w:r>
        <w:rPr>
          <w:rFonts w:ascii="Arial"/>
          <w:i/>
          <w:sz w:val="20"/>
        </w:rPr>
        <w:t>17</w:t>
      </w:r>
      <w:r>
        <w:rPr>
          <w:rFonts w:ascii="Arial"/>
          <w:i/>
          <w:spacing w:val="12"/>
          <w:sz w:val="20"/>
        </w:rPr>
        <w:t> </w:t>
      </w:r>
      <w:r>
        <w:rPr>
          <w:sz w:val="20"/>
        </w:rPr>
        <w:t>at</w:t>
      </w:r>
      <w:r>
        <w:rPr>
          <w:spacing w:val="12"/>
          <w:sz w:val="20"/>
        </w:rPr>
        <w:t> </w:t>
      </w:r>
      <w:r>
        <w:rPr>
          <w:sz w:val="20"/>
        </w:rPr>
        <w:t>[24].</w:t>
      </w:r>
      <w:r>
        <w:rPr>
          <w:spacing w:val="12"/>
          <w:sz w:val="20"/>
        </w:rPr>
        <w:t> </w:t>
      </w:r>
      <w:r>
        <w:rPr>
          <w:sz w:val="20"/>
        </w:rPr>
        <w:t>cf.</w:t>
      </w:r>
      <w:r>
        <w:rPr>
          <w:spacing w:val="12"/>
          <w:sz w:val="20"/>
        </w:rPr>
        <w:t> </w:t>
      </w:r>
      <w:r>
        <w:rPr>
          <w:rFonts w:ascii="Arial"/>
          <w:i/>
          <w:sz w:val="20"/>
        </w:rPr>
        <w:t>Patural</w:t>
      </w:r>
      <w:r>
        <w:rPr>
          <w:rFonts w:ascii="Arial"/>
          <w:i/>
          <w:spacing w:val="12"/>
          <w:sz w:val="20"/>
        </w:rPr>
        <w:t> </w:t>
      </w:r>
      <w:r>
        <w:rPr>
          <w:rFonts w:ascii="Arial"/>
          <w:i/>
          <w:sz w:val="20"/>
        </w:rPr>
        <w:t>v</w:t>
      </w:r>
      <w:r>
        <w:rPr>
          <w:rFonts w:ascii="Arial"/>
          <w:i/>
          <w:spacing w:val="12"/>
          <w:sz w:val="20"/>
        </w:rPr>
        <w:t> </w:t>
      </w:r>
      <w:r>
        <w:rPr>
          <w:rFonts w:ascii="Arial"/>
          <w:i/>
          <w:sz w:val="20"/>
        </w:rPr>
        <w:t>DB</w:t>
      </w:r>
      <w:r>
        <w:rPr>
          <w:rFonts w:ascii="Arial"/>
          <w:i/>
          <w:spacing w:val="12"/>
          <w:sz w:val="20"/>
        </w:rPr>
        <w:t> </w:t>
      </w:r>
      <w:r>
        <w:rPr>
          <w:rFonts w:ascii="Arial"/>
          <w:i/>
          <w:sz w:val="20"/>
        </w:rPr>
        <w:t>Services</w:t>
      </w:r>
      <w:r>
        <w:rPr>
          <w:rFonts w:ascii="Arial"/>
          <w:i/>
          <w:spacing w:val="12"/>
          <w:sz w:val="20"/>
        </w:rPr>
        <w:t> </w:t>
      </w:r>
      <w:r>
        <w:rPr>
          <w:rFonts w:ascii="Arial"/>
          <w:i/>
          <w:sz w:val="20"/>
        </w:rPr>
        <w:t>(UK)</w:t>
      </w:r>
      <w:r>
        <w:rPr>
          <w:rFonts w:ascii="Arial"/>
          <w:i/>
          <w:spacing w:val="12"/>
          <w:sz w:val="20"/>
        </w:rPr>
        <w:t> </w:t>
      </w:r>
      <w:r>
        <w:rPr>
          <w:rFonts w:ascii="Arial"/>
          <w:i/>
          <w:sz w:val="20"/>
        </w:rPr>
        <w:t>Ltd</w:t>
      </w:r>
      <w:r>
        <w:rPr>
          <w:rFonts w:ascii="Arial"/>
          <w:i/>
          <w:spacing w:val="12"/>
          <w:sz w:val="20"/>
        </w:rPr>
        <w:t> </w:t>
      </w:r>
      <w:r>
        <w:rPr>
          <w:rFonts w:ascii="Arial"/>
          <w:i/>
          <w:sz w:val="20"/>
        </w:rPr>
        <w:t>[2015]</w:t>
      </w:r>
      <w:r>
        <w:rPr>
          <w:rFonts w:ascii="Arial"/>
          <w:i/>
          <w:spacing w:val="12"/>
          <w:sz w:val="20"/>
        </w:rPr>
        <w:t> </w:t>
      </w:r>
      <w:r>
        <w:rPr>
          <w:rFonts w:ascii="Arial"/>
          <w:i/>
          <w:sz w:val="20"/>
        </w:rPr>
        <w:t>EWHC</w:t>
      </w:r>
      <w:r>
        <w:rPr>
          <w:rFonts w:ascii="Arial"/>
          <w:i/>
          <w:spacing w:val="12"/>
          <w:sz w:val="20"/>
        </w:rPr>
        <w:t> </w:t>
      </w:r>
      <w:r>
        <w:rPr>
          <w:rFonts w:ascii="Arial"/>
          <w:i/>
          <w:sz w:val="20"/>
        </w:rPr>
        <w:t>3659</w:t>
      </w:r>
      <w:r>
        <w:rPr>
          <w:rFonts w:ascii="Arial"/>
          <w:i/>
          <w:spacing w:val="12"/>
          <w:sz w:val="20"/>
        </w:rPr>
        <w:t> </w:t>
      </w:r>
      <w:r>
        <w:rPr>
          <w:rFonts w:ascii="Arial"/>
          <w:i/>
          <w:sz w:val="20"/>
        </w:rPr>
        <w:t>(QB),</w:t>
      </w:r>
      <w:r>
        <w:rPr>
          <w:rFonts w:ascii="Arial"/>
          <w:i/>
          <w:spacing w:val="12"/>
          <w:sz w:val="20"/>
        </w:rPr>
        <w:t> </w:t>
      </w:r>
      <w:r>
        <w:rPr>
          <w:rFonts w:ascii="Arial"/>
          <w:i/>
          <w:spacing w:val="-2"/>
          <w:sz w:val="20"/>
        </w:rPr>
        <w:t>[2016]</w:t>
      </w:r>
    </w:p>
    <w:p>
      <w:pPr>
        <w:spacing w:line="227" w:lineRule="exact" w:before="0"/>
        <w:ind w:left="165" w:right="0" w:firstLine="0"/>
        <w:jc w:val="left"/>
        <w:rPr>
          <w:sz w:val="20"/>
        </w:rPr>
      </w:pPr>
      <w:r>
        <w:rPr>
          <w:sz w:val="20"/>
        </w:rPr>
        <w:drawing>
          <wp:anchor distT="0" distB="0" distL="0" distR="0" allowOverlap="1" layoutInCell="1" locked="0" behindDoc="0" simplePos="0" relativeHeight="15802368">
            <wp:simplePos x="0" y="0"/>
            <wp:positionH relativeFrom="page">
              <wp:posOffset>1257846</wp:posOffset>
            </wp:positionH>
            <wp:positionV relativeFrom="paragraph">
              <wp:posOffset>-116469</wp:posOffset>
            </wp:positionV>
            <wp:extent cx="107988" cy="107988"/>
            <wp:effectExtent l="0" t="0" r="0" b="0"/>
            <wp:wrapNone/>
            <wp:docPr id="303" name="Image 303"/>
            <wp:cNvGraphicFramePr>
              <a:graphicFrameLocks/>
            </wp:cNvGraphicFramePr>
            <a:graphic>
              <a:graphicData uri="http://schemas.openxmlformats.org/drawingml/2006/picture">
                <pic:pic>
                  <pic:nvPicPr>
                    <pic:cNvPr id="303" name="Image 30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I.R.L.R. 286 </w:t>
      </w:r>
      <w:r>
        <w:rPr>
          <w:sz w:val="20"/>
        </w:rPr>
        <w:t>at </w:t>
      </w:r>
      <w:r>
        <w:rPr>
          <w:spacing w:val="-2"/>
          <w:sz w:val="20"/>
        </w:rPr>
        <w:t>[61].</w:t>
      </w:r>
    </w:p>
    <w:p>
      <w:pPr>
        <w:spacing w:after="0" w:line="227"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spacing w:line="227" w:lineRule="exact" w:before="0"/>
        <w:ind w:left="165" w:right="0" w:firstLine="0"/>
        <w:jc w:val="both"/>
        <w:rPr>
          <w:sz w:val="20"/>
        </w:rPr>
      </w:pPr>
      <w:bookmarkStart w:name="_bookmark944" w:id="946"/>
      <w:bookmarkEnd w:id="946"/>
      <w:r>
        <w:rPr/>
      </w:r>
      <w:hyperlink w:history="true" w:anchor="_bookmark777">
        <w:r>
          <w:rPr>
            <w:color w:val="005DA1"/>
            <w:position w:val="5"/>
            <w:sz w:val="14"/>
            <w:u w:val="single" w:color="005DA1"/>
          </w:rPr>
          <w:t>497</w:t>
        </w:r>
      </w:hyperlink>
      <w:r>
        <w:rPr>
          <w:position w:val="5"/>
          <w:sz w:val="14"/>
        </w:rPr>
        <w:t>.</w:t>
      </w:r>
      <w:r>
        <w:rPr>
          <w:spacing w:val="75"/>
          <w:w w:val="150"/>
          <w:position w:val="5"/>
          <w:sz w:val="14"/>
        </w:rPr>
        <w:t>  </w:t>
      </w:r>
      <w:r>
        <w:rPr>
          <w:rFonts w:ascii="Arial" w:hAnsi="Arial"/>
          <w:i/>
          <w:sz w:val="20"/>
        </w:rPr>
        <w:t>[2015]</w:t>
      </w:r>
      <w:r>
        <w:rPr>
          <w:rFonts w:ascii="Arial" w:hAnsi="Arial"/>
          <w:i/>
          <w:spacing w:val="9"/>
          <w:sz w:val="20"/>
        </w:rPr>
        <w:t> </w:t>
      </w:r>
      <w:r>
        <w:rPr>
          <w:rFonts w:ascii="Arial" w:hAnsi="Arial"/>
          <w:i/>
          <w:sz w:val="20"/>
        </w:rPr>
        <w:t>UKSC</w:t>
      </w:r>
      <w:r>
        <w:rPr>
          <w:rFonts w:ascii="Arial" w:hAnsi="Arial"/>
          <w:i/>
          <w:spacing w:val="9"/>
          <w:sz w:val="20"/>
        </w:rPr>
        <w:t> </w:t>
      </w:r>
      <w:r>
        <w:rPr>
          <w:rFonts w:ascii="Arial" w:hAnsi="Arial"/>
          <w:i/>
          <w:sz w:val="20"/>
        </w:rPr>
        <w:t>17</w:t>
      </w:r>
      <w:r>
        <w:rPr>
          <w:rFonts w:ascii="Arial" w:hAnsi="Arial"/>
          <w:i/>
          <w:spacing w:val="9"/>
          <w:sz w:val="20"/>
        </w:rPr>
        <w:t> </w:t>
      </w:r>
      <w:r>
        <w:rPr>
          <w:sz w:val="20"/>
        </w:rPr>
        <w:t>at</w:t>
      </w:r>
      <w:r>
        <w:rPr>
          <w:spacing w:val="9"/>
          <w:sz w:val="20"/>
        </w:rPr>
        <w:t> </w:t>
      </w:r>
      <w:r>
        <w:rPr>
          <w:sz w:val="20"/>
        </w:rPr>
        <w:t>[38]–[42]</w:t>
      </w:r>
      <w:r>
        <w:rPr>
          <w:spacing w:val="9"/>
          <w:sz w:val="20"/>
        </w:rPr>
        <w:t> </w:t>
      </w:r>
      <w:r>
        <w:rPr>
          <w:sz w:val="20"/>
        </w:rPr>
        <w:t>(Lady</w:t>
      </w:r>
      <w:r>
        <w:rPr>
          <w:spacing w:val="9"/>
          <w:sz w:val="20"/>
        </w:rPr>
        <w:t> </w:t>
      </w:r>
      <w:r>
        <w:rPr>
          <w:sz w:val="20"/>
        </w:rPr>
        <w:t>Hale</w:t>
      </w:r>
      <w:r>
        <w:rPr>
          <w:spacing w:val="9"/>
          <w:sz w:val="20"/>
        </w:rPr>
        <w:t> </w:t>
      </w:r>
      <w:r>
        <w:rPr>
          <w:sz w:val="20"/>
        </w:rPr>
        <w:t>and</w:t>
      </w:r>
      <w:r>
        <w:rPr>
          <w:spacing w:val="9"/>
          <w:sz w:val="20"/>
        </w:rPr>
        <w:t> </w:t>
      </w:r>
      <w:r>
        <w:rPr>
          <w:sz w:val="20"/>
        </w:rPr>
        <w:t>Lord</w:t>
      </w:r>
      <w:r>
        <w:rPr>
          <w:spacing w:val="9"/>
          <w:sz w:val="20"/>
        </w:rPr>
        <w:t> </w:t>
      </w:r>
      <w:r>
        <w:rPr>
          <w:sz w:val="20"/>
        </w:rPr>
        <w:t>Kerr);</w:t>
      </w:r>
      <w:r>
        <w:rPr>
          <w:spacing w:val="9"/>
          <w:sz w:val="20"/>
        </w:rPr>
        <w:t> </w:t>
      </w:r>
      <w:r>
        <w:rPr>
          <w:sz w:val="20"/>
        </w:rPr>
        <w:t>[49]-[50],</w:t>
      </w:r>
      <w:r>
        <w:rPr>
          <w:spacing w:val="9"/>
          <w:sz w:val="20"/>
        </w:rPr>
        <w:t> </w:t>
      </w:r>
      <w:r>
        <w:rPr>
          <w:sz w:val="20"/>
        </w:rPr>
        <w:t>[58]–[59],</w:t>
      </w:r>
      <w:r>
        <w:rPr>
          <w:spacing w:val="9"/>
          <w:sz w:val="20"/>
        </w:rPr>
        <w:t> </w:t>
      </w:r>
      <w:r>
        <w:rPr>
          <w:sz w:val="20"/>
        </w:rPr>
        <w:t>[62]</w:t>
      </w:r>
      <w:r>
        <w:rPr>
          <w:spacing w:val="9"/>
          <w:sz w:val="20"/>
        </w:rPr>
        <w:t> </w:t>
      </w:r>
      <w:r>
        <w:rPr>
          <w:sz w:val="20"/>
        </w:rPr>
        <w:t>(Lord</w:t>
      </w:r>
      <w:r>
        <w:rPr>
          <w:spacing w:val="9"/>
          <w:sz w:val="20"/>
        </w:rPr>
        <w:t> </w:t>
      </w:r>
      <w:r>
        <w:rPr>
          <w:spacing w:val="-2"/>
          <w:sz w:val="20"/>
        </w:rPr>
        <w:t>Hodge).</w:t>
      </w:r>
    </w:p>
    <w:p>
      <w:pPr>
        <w:pStyle w:val="BodyText"/>
        <w:spacing w:line="235" w:lineRule="auto" w:before="1"/>
        <w:ind w:left="705" w:right="167"/>
        <w:jc w:val="both"/>
      </w:pPr>
      <w:r>
        <w:rPr/>
        <w:t>In this respect, Lords Neuberger and Wilson dissented, considering that the employer </w:t>
      </w:r>
      <w:r>
        <w:rPr/>
        <w:t>was justified in finding that the employee had committed suicide based on a combination of cogent reasons: </w:t>
      </w:r>
      <w:r>
        <w:rPr>
          <w:rFonts w:ascii="Arial"/>
          <w:i/>
        </w:rPr>
        <w:t>[2015] UKSC 17 </w:t>
      </w:r>
      <w:r>
        <w:rPr/>
        <w:t>at [114] and [126].</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02880">
            <wp:simplePos x="0" y="0"/>
            <wp:positionH relativeFrom="page">
              <wp:posOffset>1257846</wp:posOffset>
            </wp:positionH>
            <wp:positionV relativeFrom="paragraph">
              <wp:posOffset>160332</wp:posOffset>
            </wp:positionV>
            <wp:extent cx="107988" cy="107988"/>
            <wp:effectExtent l="0" t="0" r="0" b="0"/>
            <wp:wrapNone/>
            <wp:docPr id="304" name="Image 304"/>
            <wp:cNvGraphicFramePr>
              <a:graphicFrameLocks/>
            </wp:cNvGraphicFramePr>
            <a:graphic>
              <a:graphicData uri="http://schemas.openxmlformats.org/drawingml/2006/picture">
                <pic:pic>
                  <pic:nvPicPr>
                    <pic:cNvPr id="304" name="Image 30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45" w:id="947"/>
      <w:bookmarkEnd w:id="947"/>
      <w:r>
        <w:rPr/>
      </w:r>
      <w:hyperlink w:history="true" w:anchor="_bookmark778">
        <w:r>
          <w:rPr>
            <w:color w:val="005DA1"/>
            <w:spacing w:val="-4"/>
            <w:sz w:val="14"/>
            <w:u w:val="single" w:color="005DA1"/>
          </w:rPr>
          <w:t>498</w:t>
        </w:r>
      </w:hyperlink>
      <w:r>
        <w:rPr>
          <w:spacing w:val="-4"/>
          <w:sz w:val="14"/>
        </w:rPr>
        <w:t>.</w:t>
      </w:r>
    </w:p>
    <w:p>
      <w:pPr>
        <w:pStyle w:val="BodyText"/>
        <w:spacing w:line="235" w:lineRule="auto" w:before="212"/>
        <w:ind w:left="165" w:right="167" w:firstLine="170"/>
        <w:jc w:val="both"/>
      </w:pPr>
      <w:r>
        <w:rPr/>
        <w:br w:type="column"/>
      </w:r>
      <w:r>
        <w:rPr>
          <w:rFonts w:ascii="Arial" w:hAnsi="Arial"/>
          <w:i/>
        </w:rPr>
        <w:t>Watson</w:t>
      </w:r>
      <w:r>
        <w:rPr>
          <w:rFonts w:ascii="Arial" w:hAnsi="Arial"/>
          <w:i/>
          <w:spacing w:val="-3"/>
        </w:rPr>
        <w:t> </w:t>
      </w:r>
      <w:r>
        <w:rPr>
          <w:rFonts w:ascii="Arial" w:hAnsi="Arial"/>
          <w:i/>
        </w:rPr>
        <w:t>v</w:t>
      </w:r>
      <w:r>
        <w:rPr>
          <w:rFonts w:ascii="Arial" w:hAnsi="Arial"/>
          <w:i/>
          <w:spacing w:val="-3"/>
        </w:rPr>
        <w:t> </w:t>
      </w:r>
      <w:r>
        <w:rPr>
          <w:rFonts w:ascii="Arial" w:hAnsi="Arial"/>
          <w:i/>
        </w:rPr>
        <w:t>Watchfinder.co.UK</w:t>
      </w:r>
      <w:r>
        <w:rPr>
          <w:rFonts w:ascii="Arial" w:hAnsi="Arial"/>
          <w:i/>
          <w:spacing w:val="-3"/>
        </w:rPr>
        <w:t> </w:t>
      </w:r>
      <w:r>
        <w:rPr>
          <w:rFonts w:ascii="Arial" w:hAnsi="Arial"/>
          <w:i/>
        </w:rPr>
        <w:t>Ltd</w:t>
      </w:r>
      <w:r>
        <w:rPr>
          <w:rFonts w:ascii="Arial" w:hAnsi="Arial"/>
          <w:i/>
          <w:spacing w:val="-3"/>
        </w:rPr>
        <w:t> </w:t>
      </w:r>
      <w:r>
        <w:rPr>
          <w:rFonts w:ascii="Arial" w:hAnsi="Arial"/>
          <w:i/>
        </w:rPr>
        <w:t>[2017]</w:t>
      </w:r>
      <w:r>
        <w:rPr>
          <w:rFonts w:ascii="Arial" w:hAnsi="Arial"/>
          <w:i/>
          <w:spacing w:val="-3"/>
        </w:rPr>
        <w:t> </w:t>
      </w:r>
      <w:r>
        <w:rPr>
          <w:rFonts w:ascii="Arial" w:hAnsi="Arial"/>
          <w:i/>
        </w:rPr>
        <w:t>EWHC</w:t>
      </w:r>
      <w:r>
        <w:rPr>
          <w:rFonts w:ascii="Arial" w:hAnsi="Arial"/>
          <w:i/>
          <w:spacing w:val="-3"/>
        </w:rPr>
        <w:t> </w:t>
      </w:r>
      <w:r>
        <w:rPr>
          <w:rFonts w:ascii="Arial" w:hAnsi="Arial"/>
          <w:i/>
        </w:rPr>
        <w:t>1275</w:t>
      </w:r>
      <w:r>
        <w:rPr>
          <w:rFonts w:ascii="Arial" w:hAnsi="Arial"/>
          <w:i/>
          <w:spacing w:val="-3"/>
        </w:rPr>
        <w:t> </w:t>
      </w:r>
      <w:r>
        <w:rPr>
          <w:rFonts w:ascii="Arial" w:hAnsi="Arial"/>
          <w:i/>
        </w:rPr>
        <w:t>(Comm)</w:t>
      </w:r>
      <w:r>
        <w:rPr/>
        <w:t>,</w:t>
      </w:r>
      <w:r>
        <w:rPr>
          <w:spacing w:val="-3"/>
        </w:rPr>
        <w:t> </w:t>
      </w:r>
      <w:r>
        <w:rPr/>
        <w:t>concerned</w:t>
      </w:r>
      <w:r>
        <w:rPr>
          <w:spacing w:val="-3"/>
        </w:rPr>
        <w:t> </w:t>
      </w:r>
      <w:r>
        <w:rPr/>
        <w:t>a</w:t>
      </w:r>
      <w:r>
        <w:rPr>
          <w:spacing w:val="-3"/>
        </w:rPr>
        <w:t> </w:t>
      </w:r>
      <w:r>
        <w:rPr/>
        <w:t>contractual</w:t>
      </w:r>
      <w:r>
        <w:rPr>
          <w:spacing w:val="-3"/>
        </w:rPr>
        <w:t> </w:t>
      </w:r>
      <w:r>
        <w:rPr/>
        <w:t>option to purchase shares in a company which formed part of a wider commercial relationship</w:t>
      </w:r>
      <w:r>
        <w:rPr>
          <w:spacing w:val="40"/>
        </w:rPr>
        <w:t> </w:t>
      </w:r>
      <w:r>
        <w:rPr/>
        <w:t>between the parties and which was contingent on the consent of that company’s board. The High Court held that the company board had a discretion as to the consent which must be exercised in a way which was not arbitrary, capricious or irrational, following the SC’s decision</w:t>
      </w:r>
      <w:r>
        <w:rPr>
          <w:spacing w:val="40"/>
        </w:rPr>
        <w:t> </w:t>
      </w:r>
      <w:r>
        <w:rPr/>
        <w:t>in</w:t>
      </w:r>
      <w:r>
        <w:rPr>
          <w:spacing w:val="-1"/>
        </w:rPr>
        <w:t> </w:t>
      </w:r>
      <w:r>
        <w:rPr>
          <w:rFonts w:ascii="Arial" w:hAnsi="Arial"/>
          <w:i/>
        </w:rPr>
        <w:t>Braganza</w:t>
      </w:r>
      <w:r>
        <w:rPr/>
        <w:t>:</w:t>
      </w:r>
      <w:r>
        <w:rPr>
          <w:spacing w:val="-1"/>
        </w:rPr>
        <w:t> </w:t>
      </w:r>
      <w:r>
        <w:rPr>
          <w:rFonts w:ascii="Arial" w:hAnsi="Arial"/>
          <w:i/>
        </w:rPr>
        <w:t>[2017]</w:t>
      </w:r>
      <w:r>
        <w:rPr>
          <w:rFonts w:ascii="Arial" w:hAnsi="Arial"/>
          <w:i/>
          <w:spacing w:val="-1"/>
        </w:rPr>
        <w:t> </w:t>
      </w:r>
      <w:r>
        <w:rPr>
          <w:rFonts w:ascii="Arial" w:hAnsi="Arial"/>
          <w:i/>
        </w:rPr>
        <w:t>UKSC</w:t>
      </w:r>
      <w:r>
        <w:rPr>
          <w:rFonts w:ascii="Arial" w:hAnsi="Arial"/>
          <w:i/>
          <w:spacing w:val="-1"/>
        </w:rPr>
        <w:t> </w:t>
      </w:r>
      <w:r>
        <w:rPr>
          <w:rFonts w:ascii="Arial" w:hAnsi="Arial"/>
          <w:i/>
        </w:rPr>
        <w:t>1275</w:t>
      </w:r>
      <w:r>
        <w:rPr>
          <w:rFonts w:ascii="Arial" w:hAnsi="Arial"/>
          <w:i/>
          <w:spacing w:val="-1"/>
        </w:rPr>
        <w:t> </w:t>
      </w:r>
      <w:r>
        <w:rPr/>
        <w:t>at</w:t>
      </w:r>
      <w:r>
        <w:rPr>
          <w:spacing w:val="-1"/>
        </w:rPr>
        <w:t> </w:t>
      </w:r>
      <w:r>
        <w:rPr/>
        <w:t>[102]–[103]</w:t>
      </w:r>
      <w:r>
        <w:rPr>
          <w:spacing w:val="-1"/>
        </w:rPr>
        <w:t> </w:t>
      </w:r>
      <w:r>
        <w:rPr/>
        <w:t>and</w:t>
      </w:r>
      <w:r>
        <w:rPr>
          <w:spacing w:val="-1"/>
        </w:rPr>
        <w:t> </w:t>
      </w:r>
      <w:r>
        <w:rPr/>
        <w:t>[116]</w:t>
      </w:r>
      <w:r>
        <w:rPr>
          <w:spacing w:val="-1"/>
        </w:rPr>
        <w:t> </w:t>
      </w:r>
      <w:r>
        <w:rPr/>
        <w:t>et</w:t>
      </w:r>
      <w:r>
        <w:rPr>
          <w:spacing w:val="-1"/>
        </w:rPr>
        <w:t> </w:t>
      </w:r>
      <w:r>
        <w:rPr/>
        <w:t>seq.</w:t>
      </w:r>
      <w:r>
        <w:rPr>
          <w:spacing w:val="-1"/>
        </w:rPr>
        <w:t> </w:t>
      </w:r>
      <w:r>
        <w:rPr/>
        <w:t>cf.</w:t>
      </w:r>
      <w:r>
        <w:rPr>
          <w:spacing w:val="-1"/>
        </w:rPr>
        <w:t> </w:t>
      </w:r>
      <w:r>
        <w:rPr>
          <w:rFonts w:ascii="Arial" w:hAnsi="Arial"/>
          <w:i/>
        </w:rPr>
        <w:t>Property</w:t>
      </w:r>
      <w:r>
        <w:rPr>
          <w:rFonts w:ascii="Arial" w:hAnsi="Arial"/>
          <w:i/>
          <w:spacing w:val="-1"/>
        </w:rPr>
        <w:t> </w:t>
      </w:r>
      <w:r>
        <w:rPr>
          <w:rFonts w:ascii="Arial" w:hAnsi="Arial"/>
          <w:i/>
        </w:rPr>
        <w:t>Alliance</w:t>
      </w:r>
      <w:r>
        <w:rPr>
          <w:rFonts w:ascii="Arial" w:hAnsi="Arial"/>
          <w:i/>
          <w:spacing w:val="-1"/>
        </w:rPr>
        <w:t> </w:t>
      </w:r>
      <w:r>
        <w:rPr>
          <w:rFonts w:ascii="Arial" w:hAnsi="Arial"/>
          <w:i/>
        </w:rPr>
        <w:t>Group</w:t>
      </w:r>
      <w:r>
        <w:rPr>
          <w:rFonts w:ascii="Arial" w:hAnsi="Arial"/>
          <w:i/>
          <w:spacing w:val="-1"/>
        </w:rPr>
        <w:t> </w:t>
      </w:r>
      <w:r>
        <w:rPr>
          <w:rFonts w:ascii="Arial" w:hAnsi="Arial"/>
          <w:i/>
        </w:rPr>
        <w:t>Ltd v Royal Bank of Scotland [2016] EWHC 3342 (Ch) </w:t>
      </w:r>
      <w:r>
        <w:rPr/>
        <w:t>at [277], where it was explained that a discretion “requires the contracting party to make some kind of assessment or to choose from a range of options” and this exercise of power justifies the implication of a term as to its exercise arbitrarily,</w:t>
      </w:r>
      <w:r>
        <w:rPr>
          <w:spacing w:val="-2"/>
        </w:rPr>
        <w:t> </w:t>
      </w:r>
      <w:r>
        <w:rPr/>
        <w:t>etc.;</w:t>
      </w:r>
      <w:r>
        <w:rPr>
          <w:spacing w:val="-2"/>
        </w:rPr>
        <w:t> </w:t>
      </w:r>
      <w:r>
        <w:rPr/>
        <w:t>no</w:t>
      </w:r>
      <w:r>
        <w:rPr>
          <w:spacing w:val="-2"/>
        </w:rPr>
        <w:t> </w:t>
      </w:r>
      <w:r>
        <w:rPr/>
        <w:t>such</w:t>
      </w:r>
      <w:r>
        <w:rPr>
          <w:spacing w:val="-2"/>
        </w:rPr>
        <w:t> </w:t>
      </w:r>
      <w:r>
        <w:rPr/>
        <w:t>discretions</w:t>
      </w:r>
      <w:r>
        <w:rPr>
          <w:spacing w:val="-2"/>
        </w:rPr>
        <w:t> </w:t>
      </w:r>
      <w:r>
        <w:rPr/>
        <w:t>were</w:t>
      </w:r>
      <w:r>
        <w:rPr>
          <w:spacing w:val="-2"/>
        </w:rPr>
        <w:t> </w:t>
      </w:r>
      <w:r>
        <w:rPr/>
        <w:t>found</w:t>
      </w:r>
      <w:r>
        <w:rPr>
          <w:spacing w:val="-2"/>
        </w:rPr>
        <w:t> </w:t>
      </w:r>
      <w:r>
        <w:rPr/>
        <w:t>in</w:t>
      </w:r>
      <w:r>
        <w:rPr>
          <w:spacing w:val="-2"/>
        </w:rPr>
        <w:t> </w:t>
      </w:r>
      <w:r>
        <w:rPr/>
        <w:t>the</w:t>
      </w:r>
      <w:r>
        <w:rPr>
          <w:spacing w:val="-2"/>
        </w:rPr>
        <w:t> </w:t>
      </w:r>
      <w:r>
        <w:rPr/>
        <w:t>contract</w:t>
      </w:r>
      <w:r>
        <w:rPr>
          <w:spacing w:val="-2"/>
        </w:rPr>
        <w:t> </w:t>
      </w:r>
      <w:r>
        <w:rPr/>
        <w:t>between</w:t>
      </w:r>
      <w:r>
        <w:rPr>
          <w:spacing w:val="-2"/>
        </w:rPr>
        <w:t> </w:t>
      </w:r>
      <w:r>
        <w:rPr/>
        <w:t>bank</w:t>
      </w:r>
      <w:r>
        <w:rPr>
          <w:spacing w:val="-2"/>
        </w:rPr>
        <w:t> </w:t>
      </w:r>
      <w:r>
        <w:rPr/>
        <w:t>and</w:t>
      </w:r>
      <w:r>
        <w:rPr>
          <w:spacing w:val="-2"/>
        </w:rPr>
        <w:t> </w:t>
      </w:r>
      <w:r>
        <w:rPr/>
        <w:t>its</w:t>
      </w:r>
      <w:r>
        <w:rPr>
          <w:spacing w:val="-2"/>
        </w:rPr>
        <w:t> </w:t>
      </w:r>
      <w:r>
        <w:rPr/>
        <w:t>commercial customer (at [272]–[280]).</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6"/>
      </w:pPr>
    </w:p>
    <w:p>
      <w:pPr>
        <w:tabs>
          <w:tab w:pos="705" w:val="left" w:leader="none"/>
        </w:tabs>
        <w:spacing w:line="235" w:lineRule="auto" w:before="0"/>
        <w:ind w:left="705" w:right="168" w:hanging="541"/>
        <w:jc w:val="left"/>
        <w:rPr>
          <w:sz w:val="20"/>
        </w:rPr>
      </w:pPr>
      <w:bookmarkStart w:name="_bookmark946" w:id="948"/>
      <w:bookmarkEnd w:id="948"/>
      <w:r>
        <w:rPr/>
      </w:r>
      <w:hyperlink w:history="true" w:anchor="_bookmark779">
        <w:r>
          <w:rPr>
            <w:color w:val="005DA1"/>
            <w:spacing w:val="-4"/>
            <w:position w:val="5"/>
            <w:sz w:val="14"/>
            <w:u w:val="single" w:color="005DA1"/>
          </w:rPr>
          <w:t>499</w:t>
        </w:r>
      </w:hyperlink>
      <w:r>
        <w:rPr>
          <w:spacing w:val="-4"/>
          <w:position w:val="5"/>
          <w:sz w:val="14"/>
        </w:rPr>
        <w:t>.</w:t>
      </w:r>
      <w:r>
        <w:rPr>
          <w:position w:val="5"/>
          <w:sz w:val="14"/>
        </w:rPr>
        <w:tab/>
      </w:r>
      <w:r>
        <w:rPr>
          <w:rFonts w:ascii="Arial" w:hAnsi="Arial"/>
          <w:i/>
          <w:sz w:val="20"/>
        </w:rPr>
        <w:t>Ruxley</w:t>
      </w:r>
      <w:r>
        <w:rPr>
          <w:rFonts w:ascii="Arial" w:hAnsi="Arial"/>
          <w:i/>
          <w:spacing w:val="40"/>
          <w:sz w:val="20"/>
        </w:rPr>
        <w:t> </w:t>
      </w:r>
      <w:r>
        <w:rPr>
          <w:rFonts w:ascii="Arial" w:hAnsi="Arial"/>
          <w:i/>
          <w:sz w:val="20"/>
        </w:rPr>
        <w:t>Electronics</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Construction</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Forsyth</w:t>
      </w:r>
      <w:r>
        <w:rPr>
          <w:rFonts w:ascii="Arial" w:hAnsi="Arial"/>
          <w:i/>
          <w:spacing w:val="40"/>
          <w:sz w:val="20"/>
        </w:rPr>
        <w:t> </w:t>
      </w:r>
      <w:r>
        <w:rPr>
          <w:rFonts w:ascii="Arial" w:hAnsi="Arial"/>
          <w:i/>
          <w:sz w:val="20"/>
        </w:rPr>
        <w:t>[1996]</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344</w:t>
      </w:r>
      <w:r>
        <w:rPr>
          <w:rFonts w:ascii="Arial" w:hAnsi="Arial"/>
          <w:i/>
          <w:spacing w:val="40"/>
          <w:sz w:val="20"/>
        </w:rPr>
        <w:t> </w:t>
      </w:r>
      <w:r>
        <w:rPr>
          <w:sz w:val="20"/>
        </w:rPr>
        <w:t>and</w:t>
      </w:r>
      <w:r>
        <w:rPr>
          <w:spacing w:val="40"/>
          <w:sz w:val="20"/>
        </w:rPr>
        <w:t> </w:t>
      </w:r>
      <w:r>
        <w:rPr>
          <w:sz w:val="20"/>
        </w:rPr>
        <w:t>see</w:t>
      </w:r>
      <w:r>
        <w:rPr>
          <w:spacing w:val="40"/>
          <w:sz w:val="20"/>
        </w:rPr>
        <w:t> </w:t>
      </w:r>
      <w:r>
        <w:rPr>
          <w:sz w:val="20"/>
        </w:rPr>
        <w:t>below,</w:t>
      </w:r>
      <w:r>
        <w:rPr>
          <w:spacing w:val="40"/>
          <w:sz w:val="20"/>
        </w:rPr>
        <w:t> </w:t>
      </w:r>
      <w:r>
        <w:rPr>
          <w:sz w:val="20"/>
        </w:rPr>
        <w:t>paras </w:t>
      </w:r>
      <w:r>
        <w:rPr>
          <w:spacing w:val="-2"/>
          <w:sz w:val="20"/>
        </w:rPr>
        <w:t>26-036—26-038.</w:t>
      </w:r>
    </w:p>
    <w:p>
      <w:pPr>
        <w:pStyle w:val="BodyText"/>
        <w:spacing w:before="5"/>
      </w:pPr>
    </w:p>
    <w:p>
      <w:pPr>
        <w:pStyle w:val="BodyText"/>
        <w:tabs>
          <w:tab w:pos="705" w:val="left" w:leader="none"/>
        </w:tabs>
        <w:ind w:left="165"/>
      </w:pPr>
      <w:bookmarkStart w:name="_bookmark947" w:id="949"/>
      <w:bookmarkEnd w:id="949"/>
      <w:r>
        <w:rPr/>
      </w:r>
      <w:hyperlink w:history="true" w:anchor="_bookmark779">
        <w:r>
          <w:rPr>
            <w:color w:val="005DA1"/>
            <w:spacing w:val="-4"/>
            <w:position w:val="5"/>
            <w:sz w:val="14"/>
            <w:u w:val="single" w:color="005DA1"/>
          </w:rPr>
          <w:t>500</w:t>
        </w:r>
      </w:hyperlink>
      <w:r>
        <w:rPr>
          <w:spacing w:val="-4"/>
          <w:position w:val="5"/>
          <w:sz w:val="14"/>
        </w:rPr>
        <w:t>.</w:t>
      </w:r>
      <w:r>
        <w:rPr>
          <w:position w:val="5"/>
          <w:sz w:val="14"/>
        </w:rPr>
        <w:tab/>
      </w:r>
      <w:r>
        <w:rPr/>
        <w:t>See below, paras 26-079 et </w:t>
      </w:r>
      <w:r>
        <w:rPr>
          <w:spacing w:val="-4"/>
        </w:rPr>
        <w:t>seq.</w:t>
      </w:r>
    </w:p>
    <w:p>
      <w:pPr>
        <w:pStyle w:val="BodyText"/>
        <w:spacing w:before="5"/>
      </w:pPr>
    </w:p>
    <w:p>
      <w:pPr>
        <w:pStyle w:val="BodyText"/>
        <w:tabs>
          <w:tab w:pos="705" w:val="left" w:leader="none"/>
        </w:tabs>
        <w:ind w:left="165"/>
      </w:pPr>
      <w:bookmarkStart w:name="_bookmark948" w:id="950"/>
      <w:bookmarkEnd w:id="950"/>
      <w:r>
        <w:rPr/>
      </w:r>
      <w:hyperlink w:history="true" w:anchor="_bookmark780">
        <w:r>
          <w:rPr>
            <w:color w:val="005DA1"/>
            <w:spacing w:val="-4"/>
            <w:position w:val="5"/>
            <w:sz w:val="14"/>
            <w:u w:val="single" w:color="005DA1"/>
          </w:rPr>
          <w:t>501</w:t>
        </w:r>
      </w:hyperlink>
      <w:r>
        <w:rPr>
          <w:spacing w:val="-4"/>
          <w:position w:val="5"/>
          <w:sz w:val="14"/>
        </w:rPr>
        <w:t>.</w:t>
      </w:r>
      <w:r>
        <w:rPr>
          <w:position w:val="5"/>
          <w:sz w:val="14"/>
        </w:rPr>
        <w:tab/>
      </w:r>
      <w:r>
        <w:rPr/>
        <w:t>Below,</w:t>
      </w:r>
      <w:r>
        <w:rPr>
          <w:spacing w:val="-2"/>
        </w:rPr>
        <w:t> </w:t>
      </w:r>
      <w:r>
        <w:rPr/>
        <w:t>paras 26-107 et </w:t>
      </w:r>
      <w:r>
        <w:rPr>
          <w:spacing w:val="-4"/>
        </w:rPr>
        <w:t>seq.</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3392">
            <wp:simplePos x="0" y="0"/>
            <wp:positionH relativeFrom="page">
              <wp:posOffset>1257846</wp:posOffset>
            </wp:positionH>
            <wp:positionV relativeFrom="paragraph">
              <wp:posOffset>160432</wp:posOffset>
            </wp:positionV>
            <wp:extent cx="107988" cy="107988"/>
            <wp:effectExtent l="0" t="0" r="0" b="0"/>
            <wp:wrapNone/>
            <wp:docPr id="305" name="Image 305"/>
            <wp:cNvGraphicFramePr>
              <a:graphicFrameLocks/>
            </wp:cNvGraphicFramePr>
            <a:graphic>
              <a:graphicData uri="http://schemas.openxmlformats.org/drawingml/2006/picture">
                <pic:pic>
                  <pic:nvPicPr>
                    <pic:cNvPr id="305" name="Image 30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49" w:id="951"/>
      <w:bookmarkEnd w:id="951"/>
      <w:r>
        <w:rPr/>
      </w:r>
      <w:hyperlink w:history="true" w:anchor="_bookmark781">
        <w:r>
          <w:rPr>
            <w:color w:val="005DA1"/>
            <w:spacing w:val="-4"/>
            <w:sz w:val="14"/>
            <w:u w:val="single" w:color="005DA1"/>
          </w:rPr>
          <w:t>502</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White and Carter (Councils) Ltd v McGregor [1962] A.C. 413 </w:t>
      </w:r>
      <w:r>
        <w:rPr>
          <w:sz w:val="20"/>
        </w:rPr>
        <w:t>and see below, para.24-010. While this law was seen by Leggatt J. in </w:t>
      </w:r>
      <w:r>
        <w:rPr>
          <w:rFonts w:ascii="Arial" w:hAnsi="Arial"/>
          <w:i/>
          <w:sz w:val="20"/>
        </w:rPr>
        <w:t>MSC Mediterranean Shipping Co SA v Cottonex Anstalt [2015] EWHC 283 (Comm), [2015] 1 Lloyd’s Rep. 359 </w:t>
      </w:r>
      <w:r>
        <w:rPr>
          <w:sz w:val="20"/>
        </w:rPr>
        <w:t>at [97] as reflecting an</w:t>
      </w:r>
      <w:r>
        <w:rPr>
          <w:spacing w:val="40"/>
          <w:sz w:val="20"/>
        </w:rPr>
        <w:t> </w:t>
      </w:r>
      <w:r>
        <w:rPr>
          <w:sz w:val="20"/>
        </w:rPr>
        <w:t>“increasing recognition in the common law world of the need for good faith in </w:t>
      </w:r>
      <w:r>
        <w:rPr>
          <w:sz w:val="20"/>
        </w:rPr>
        <w:t>contractual dealings”</w:t>
      </w:r>
      <w:r>
        <w:rPr>
          <w:spacing w:val="-1"/>
          <w:sz w:val="20"/>
        </w:rPr>
        <w:t> </w:t>
      </w:r>
      <w:r>
        <w:rPr>
          <w:sz w:val="20"/>
        </w:rPr>
        <w:t>as</w:t>
      </w:r>
      <w:r>
        <w:rPr>
          <w:spacing w:val="-1"/>
          <w:sz w:val="20"/>
        </w:rPr>
        <w:t> </w:t>
      </w:r>
      <w:r>
        <w:rPr>
          <w:sz w:val="20"/>
        </w:rPr>
        <w:t>it</w:t>
      </w:r>
      <w:r>
        <w:rPr>
          <w:spacing w:val="-1"/>
          <w:sz w:val="20"/>
        </w:rPr>
        <w:t> </w:t>
      </w:r>
      <w:r>
        <w:rPr>
          <w:sz w:val="20"/>
        </w:rPr>
        <w:t>implies</w:t>
      </w:r>
      <w:r>
        <w:rPr>
          <w:spacing w:val="-1"/>
          <w:sz w:val="20"/>
        </w:rPr>
        <w:t> </w:t>
      </w:r>
      <w:r>
        <w:rPr>
          <w:sz w:val="20"/>
        </w:rPr>
        <w:t>“some</w:t>
      </w:r>
      <w:r>
        <w:rPr>
          <w:spacing w:val="-1"/>
          <w:sz w:val="20"/>
        </w:rPr>
        <w:t> </w:t>
      </w:r>
      <w:r>
        <w:rPr>
          <w:sz w:val="20"/>
        </w:rPr>
        <w:t>constraint</w:t>
      </w:r>
      <w:r>
        <w:rPr>
          <w:spacing w:val="-1"/>
          <w:sz w:val="20"/>
        </w:rPr>
        <w:t> </w:t>
      </w:r>
      <w:r>
        <w:rPr>
          <w:sz w:val="20"/>
        </w:rPr>
        <w:t>on</w:t>
      </w:r>
      <w:r>
        <w:rPr>
          <w:spacing w:val="-1"/>
          <w:sz w:val="20"/>
        </w:rPr>
        <w:t> </w:t>
      </w:r>
      <w:r>
        <w:rPr>
          <w:sz w:val="20"/>
        </w:rPr>
        <w:t>the</w:t>
      </w:r>
      <w:r>
        <w:rPr>
          <w:spacing w:val="-1"/>
          <w:sz w:val="20"/>
        </w:rPr>
        <w:t> </w:t>
      </w:r>
      <w:r>
        <w:rPr>
          <w:sz w:val="20"/>
        </w:rPr>
        <w:t>decision-maker’s</w:t>
      </w:r>
      <w:r>
        <w:rPr>
          <w:spacing w:val="-1"/>
          <w:sz w:val="20"/>
        </w:rPr>
        <w:t> </w:t>
      </w:r>
      <w:r>
        <w:rPr>
          <w:sz w:val="20"/>
        </w:rPr>
        <w:t>freedom</w:t>
      </w:r>
      <w:r>
        <w:rPr>
          <w:spacing w:val="-1"/>
          <w:sz w:val="20"/>
        </w:rPr>
        <w:t> </w:t>
      </w:r>
      <w:r>
        <w:rPr>
          <w:sz w:val="20"/>
        </w:rPr>
        <w:t>to</w:t>
      </w:r>
      <w:r>
        <w:rPr>
          <w:spacing w:val="-1"/>
          <w:sz w:val="20"/>
        </w:rPr>
        <w:t> </w:t>
      </w:r>
      <w:r>
        <w:rPr>
          <w:sz w:val="20"/>
        </w:rPr>
        <w:t>act</w:t>
      </w:r>
      <w:r>
        <w:rPr>
          <w:spacing w:val="-1"/>
          <w:sz w:val="20"/>
        </w:rPr>
        <w:t> </w:t>
      </w:r>
      <w:r>
        <w:rPr>
          <w:sz w:val="20"/>
        </w:rPr>
        <w:t>purely</w:t>
      </w:r>
      <w:r>
        <w:rPr>
          <w:spacing w:val="-1"/>
          <w:sz w:val="20"/>
        </w:rPr>
        <w:t> </w:t>
      </w:r>
      <w:r>
        <w:rPr>
          <w:sz w:val="20"/>
        </w:rPr>
        <w:t>in</w:t>
      </w:r>
      <w:r>
        <w:rPr>
          <w:spacing w:val="-1"/>
          <w:sz w:val="20"/>
        </w:rPr>
        <w:t> </w:t>
      </w:r>
      <w:r>
        <w:rPr>
          <w:sz w:val="20"/>
        </w:rPr>
        <w:t>its</w:t>
      </w:r>
      <w:r>
        <w:rPr>
          <w:spacing w:val="-1"/>
          <w:sz w:val="20"/>
        </w:rPr>
        <w:t> </w:t>
      </w:r>
      <w:r>
        <w:rPr>
          <w:sz w:val="20"/>
        </w:rPr>
        <w:t>own self-interest”, on appeal the CA (which did not see the</w:t>
      </w:r>
      <w:r>
        <w:rPr>
          <w:spacing w:val="-1"/>
          <w:sz w:val="20"/>
        </w:rPr>
        <w:t> </w:t>
      </w:r>
      <w:r>
        <w:rPr>
          <w:rFonts w:ascii="Arial" w:hAnsi="Arial"/>
          <w:i/>
          <w:sz w:val="20"/>
        </w:rPr>
        <w:t>White &amp; Carter</w:t>
      </w:r>
      <w:r>
        <w:rPr>
          <w:rFonts w:ascii="Arial" w:hAnsi="Arial"/>
          <w:i/>
          <w:spacing w:val="-1"/>
          <w:sz w:val="20"/>
        </w:rPr>
        <w:t> </w:t>
      </w:r>
      <w:r>
        <w:rPr>
          <w:sz w:val="20"/>
        </w:rPr>
        <w:t>principle as applicable on the facts) did not encourage judges to recognise a “general organising principle” drawn from cases of disparate kinds in this way: </w:t>
      </w:r>
      <w:r>
        <w:rPr>
          <w:rFonts w:ascii="Arial" w:hAnsi="Arial"/>
          <w:i/>
          <w:sz w:val="20"/>
        </w:rPr>
        <w:t>[2016] EWCA Civ 789 </w:t>
      </w:r>
      <w:r>
        <w:rPr>
          <w:sz w:val="20"/>
        </w:rPr>
        <w:t>at [43] and [45] respectively.</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3904">
            <wp:simplePos x="0" y="0"/>
            <wp:positionH relativeFrom="page">
              <wp:posOffset>1257846</wp:posOffset>
            </wp:positionH>
            <wp:positionV relativeFrom="paragraph">
              <wp:posOffset>160410</wp:posOffset>
            </wp:positionV>
            <wp:extent cx="107988" cy="107988"/>
            <wp:effectExtent l="0" t="0" r="0" b="0"/>
            <wp:wrapNone/>
            <wp:docPr id="306" name="Image 306"/>
            <wp:cNvGraphicFramePr>
              <a:graphicFrameLocks/>
            </wp:cNvGraphicFramePr>
            <a:graphic>
              <a:graphicData uri="http://schemas.openxmlformats.org/drawingml/2006/picture">
                <pic:pic>
                  <pic:nvPicPr>
                    <pic:cNvPr id="306" name="Image 30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50" w:id="952"/>
      <w:bookmarkEnd w:id="952"/>
      <w:r>
        <w:rPr/>
      </w:r>
      <w:hyperlink w:history="true" w:anchor="_bookmark782">
        <w:r>
          <w:rPr>
            <w:color w:val="005DA1"/>
            <w:spacing w:val="-4"/>
            <w:sz w:val="14"/>
            <w:u w:val="single" w:color="005DA1"/>
          </w:rPr>
          <w:t>503</w:t>
        </w:r>
      </w:hyperlink>
      <w:r>
        <w:rPr>
          <w:spacing w:val="-4"/>
          <w:sz w:val="14"/>
        </w:rPr>
        <w:t>.</w:t>
      </w:r>
    </w:p>
    <w:p>
      <w:pPr>
        <w:spacing w:line="235" w:lineRule="auto" w:before="212"/>
        <w:ind w:left="165" w:right="225" w:firstLine="170"/>
        <w:jc w:val="left"/>
        <w:rPr>
          <w:sz w:val="20"/>
        </w:rPr>
      </w:pPr>
      <w:r>
        <w:rPr/>
        <w:br w:type="column"/>
      </w:r>
      <w:r>
        <w:rPr>
          <w:rFonts w:ascii="Arial"/>
          <w:i/>
          <w:sz w:val="20"/>
        </w:rPr>
        <w:t>Cavendish Square Holding BV v Makdessi, ParkingEye Ltd v Beavis [2015] UKSC 67, [2015] 3 W.L.R. 1373 </w:t>
      </w:r>
      <w:r>
        <w:rPr>
          <w:sz w:val="20"/>
        </w:rPr>
        <w:t>at [32] and [152] and see, below, paras 26-178 et seq.</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spacing w:before="1"/>
        <w:ind w:left="165"/>
      </w:pPr>
      <w:bookmarkStart w:name="_bookmark951" w:id="953"/>
      <w:bookmarkEnd w:id="953"/>
      <w:r>
        <w:rPr/>
      </w:r>
      <w:hyperlink w:history="true" w:anchor="_bookmark783">
        <w:r>
          <w:rPr>
            <w:color w:val="005DA1"/>
            <w:spacing w:val="-4"/>
            <w:position w:val="5"/>
            <w:sz w:val="14"/>
            <w:u w:val="single" w:color="005DA1"/>
          </w:rPr>
          <w:t>504</w:t>
        </w:r>
      </w:hyperlink>
      <w:r>
        <w:rPr>
          <w:spacing w:val="-4"/>
          <w:position w:val="5"/>
          <w:sz w:val="14"/>
        </w:rPr>
        <w:t>.</w:t>
      </w:r>
      <w:r>
        <w:rPr>
          <w:position w:val="5"/>
          <w:sz w:val="14"/>
        </w:rPr>
        <w:tab/>
      </w:r>
      <w:r>
        <w:rPr/>
        <w:t>e.g. Consumer Rights Act 2015 s.23 and see Vol.II, para.38-</w:t>
      </w:r>
      <w:r>
        <w:rPr>
          <w:spacing w:val="-4"/>
        </w:rPr>
        <w:t>482.</w:t>
      </w:r>
    </w:p>
    <w:p>
      <w:pPr>
        <w:pStyle w:val="BodyText"/>
        <w:spacing w:before="4"/>
      </w:pPr>
    </w:p>
    <w:p>
      <w:pPr>
        <w:pStyle w:val="BodyText"/>
        <w:tabs>
          <w:tab w:pos="705" w:val="left" w:leader="none"/>
        </w:tabs>
        <w:spacing w:before="1"/>
        <w:ind w:left="165"/>
      </w:pPr>
      <w:bookmarkStart w:name="_bookmark952" w:id="954"/>
      <w:bookmarkEnd w:id="954"/>
      <w:r>
        <w:rPr/>
      </w:r>
      <w:hyperlink w:history="true" w:anchor="_bookmark784">
        <w:r>
          <w:rPr>
            <w:color w:val="005DA1"/>
            <w:spacing w:val="-4"/>
            <w:position w:val="5"/>
            <w:sz w:val="14"/>
            <w:u w:val="single" w:color="005DA1"/>
          </w:rPr>
          <w:t>505</w:t>
        </w:r>
      </w:hyperlink>
      <w:r>
        <w:rPr>
          <w:spacing w:val="-4"/>
          <w:position w:val="5"/>
          <w:sz w:val="14"/>
        </w:rPr>
        <w:t>.</w:t>
      </w:r>
      <w:r>
        <w:rPr>
          <w:position w:val="5"/>
          <w:sz w:val="14"/>
        </w:rPr>
        <w:tab/>
      </w:r>
      <w:r>
        <w:rPr/>
        <w:t>See below, paras 4-130 et </w:t>
      </w:r>
      <w:r>
        <w:rPr>
          <w:spacing w:val="-4"/>
        </w:rPr>
        <w:t>seq.</w:t>
      </w:r>
    </w:p>
    <w:p>
      <w:pPr>
        <w:pStyle w:val="BodyText"/>
        <w:spacing w:after="0"/>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785">
        <w:r>
          <w:rPr>
            <w:color w:val="005DA1"/>
            <w:spacing w:val="-4"/>
            <w:position w:val="5"/>
            <w:sz w:val="14"/>
            <w:u w:val="single" w:color="005DA1"/>
          </w:rPr>
          <w:t>506</w:t>
        </w:r>
      </w:hyperlink>
      <w:r>
        <w:rPr>
          <w:spacing w:val="-4"/>
          <w:position w:val="5"/>
          <w:sz w:val="14"/>
        </w:rPr>
        <w:t>.</w:t>
      </w:r>
      <w:r>
        <w:rPr>
          <w:position w:val="5"/>
          <w:sz w:val="14"/>
        </w:rPr>
        <w:tab/>
      </w:r>
      <w:r>
        <w:rPr/>
        <w:t>See below, paras 27-034 et </w:t>
      </w:r>
      <w:r>
        <w:rPr>
          <w:spacing w:val="-4"/>
        </w:rPr>
        <w:t>seq.</w:t>
      </w:r>
    </w:p>
    <w:p>
      <w:pPr>
        <w:pStyle w:val="BodyText"/>
        <w:spacing w:before="9"/>
      </w:pPr>
    </w:p>
    <w:p>
      <w:pPr>
        <w:pStyle w:val="BodyText"/>
        <w:tabs>
          <w:tab w:pos="705" w:val="left" w:leader="none"/>
        </w:tabs>
        <w:spacing w:line="235" w:lineRule="auto"/>
        <w:ind w:left="705" w:right="167" w:hanging="541"/>
      </w:pPr>
      <w:bookmarkStart w:name="_bookmark953" w:id="955"/>
      <w:bookmarkEnd w:id="955"/>
      <w:r>
        <w:rPr/>
      </w:r>
      <w:hyperlink w:history="true" w:anchor="_bookmark786">
        <w:r>
          <w:rPr>
            <w:color w:val="005DA1"/>
            <w:spacing w:val="-4"/>
            <w:position w:val="5"/>
            <w:sz w:val="14"/>
            <w:u w:val="single" w:color="005DA1"/>
          </w:rPr>
          <w:t>507</w:t>
        </w:r>
      </w:hyperlink>
      <w:r>
        <w:rPr>
          <w:spacing w:val="-4"/>
          <w:position w:val="5"/>
          <w:sz w:val="14"/>
        </w:rPr>
        <w:t>.</w:t>
      </w:r>
      <w:r>
        <w:rPr>
          <w:position w:val="5"/>
          <w:sz w:val="14"/>
        </w:rPr>
        <w:tab/>
      </w:r>
      <w:r>
        <w:rPr/>
        <w:t>Misrepresentation</w:t>
      </w:r>
      <w:r>
        <w:rPr>
          <w:spacing w:val="20"/>
        </w:rPr>
        <w:t> </w:t>
      </w:r>
      <w:r>
        <w:rPr/>
        <w:t>Act</w:t>
      </w:r>
      <w:r>
        <w:rPr>
          <w:spacing w:val="20"/>
        </w:rPr>
        <w:t> </w:t>
      </w:r>
      <w:r>
        <w:rPr/>
        <w:t>1967</w:t>
      </w:r>
      <w:r>
        <w:rPr>
          <w:spacing w:val="20"/>
        </w:rPr>
        <w:t> </w:t>
      </w:r>
      <w:r>
        <w:rPr/>
        <w:t>s.2(2)</w:t>
      </w:r>
      <w:r>
        <w:rPr>
          <w:spacing w:val="20"/>
        </w:rPr>
        <w:t> </w:t>
      </w:r>
      <w:r>
        <w:rPr/>
        <w:t>(damages</w:t>
      </w:r>
      <w:r>
        <w:rPr>
          <w:spacing w:val="20"/>
        </w:rPr>
        <w:t> </w:t>
      </w:r>
      <w:r>
        <w:rPr/>
        <w:t>in</w:t>
      </w:r>
      <w:r>
        <w:rPr>
          <w:spacing w:val="20"/>
        </w:rPr>
        <w:t> </w:t>
      </w:r>
      <w:r>
        <w:rPr/>
        <w:t>lieu</w:t>
      </w:r>
      <w:r>
        <w:rPr>
          <w:spacing w:val="20"/>
        </w:rPr>
        <w:t> </w:t>
      </w:r>
      <w:r>
        <w:rPr/>
        <w:t>of</w:t>
      </w:r>
      <w:r>
        <w:rPr>
          <w:spacing w:val="20"/>
        </w:rPr>
        <w:t> </w:t>
      </w:r>
      <w:r>
        <w:rPr/>
        <w:t>rescission)</w:t>
      </w:r>
      <w:r>
        <w:rPr>
          <w:spacing w:val="20"/>
        </w:rPr>
        <w:t> </w:t>
      </w:r>
      <w:r>
        <w:rPr/>
        <w:t>on</w:t>
      </w:r>
      <w:r>
        <w:rPr>
          <w:spacing w:val="20"/>
        </w:rPr>
        <w:t> </w:t>
      </w:r>
      <w:r>
        <w:rPr/>
        <w:t>which</w:t>
      </w:r>
      <w:r>
        <w:rPr>
          <w:spacing w:val="20"/>
        </w:rPr>
        <w:t> </w:t>
      </w:r>
      <w:r>
        <w:rPr/>
        <w:t>see</w:t>
      </w:r>
      <w:r>
        <w:rPr>
          <w:spacing w:val="20"/>
        </w:rPr>
        <w:t> </w:t>
      </w:r>
      <w:r>
        <w:rPr/>
        <w:t>below,</w:t>
      </w:r>
      <w:r>
        <w:rPr>
          <w:spacing w:val="20"/>
        </w:rPr>
        <w:t> </w:t>
      </w:r>
      <w:r>
        <w:rPr/>
        <w:t>paras </w:t>
      </w:r>
      <w:r>
        <w:rPr>
          <w:spacing w:val="-2"/>
        </w:rPr>
        <w:t>7-104—7-110.</w:t>
      </w:r>
    </w:p>
    <w:p>
      <w:pPr>
        <w:pStyle w:val="BodyText"/>
        <w:spacing w:before="6"/>
      </w:pPr>
    </w:p>
    <w:p>
      <w:pPr>
        <w:pStyle w:val="BodyText"/>
        <w:tabs>
          <w:tab w:pos="705" w:val="left" w:leader="none"/>
        </w:tabs>
        <w:ind w:left="165"/>
      </w:pPr>
      <w:bookmarkStart w:name="_bookmark954" w:id="956"/>
      <w:bookmarkEnd w:id="956"/>
      <w:r>
        <w:rPr/>
      </w:r>
      <w:hyperlink w:history="true" w:anchor="_bookmark786">
        <w:r>
          <w:rPr>
            <w:color w:val="005DA1"/>
            <w:spacing w:val="-4"/>
            <w:position w:val="5"/>
            <w:sz w:val="14"/>
            <w:u w:val="single" w:color="005DA1"/>
          </w:rPr>
          <w:t>508</w:t>
        </w:r>
      </w:hyperlink>
      <w:r>
        <w:rPr>
          <w:spacing w:val="-4"/>
          <w:position w:val="5"/>
          <w:sz w:val="14"/>
        </w:rPr>
        <w:t>.</w:t>
      </w:r>
      <w:r>
        <w:rPr>
          <w:position w:val="5"/>
          <w:sz w:val="14"/>
        </w:rPr>
        <w:tab/>
      </w:r>
      <w:r>
        <w:rPr/>
        <w:t>Sale of Goods Act 1979 s.15A and see Vol.II, para.44-</w:t>
      </w:r>
      <w:r>
        <w:rPr>
          <w:spacing w:val="-4"/>
        </w:rPr>
        <w:t>070.</w:t>
      </w:r>
    </w:p>
    <w:p>
      <w:pPr>
        <w:pStyle w:val="BodyText"/>
        <w:spacing w:before="5"/>
      </w:pPr>
    </w:p>
    <w:p>
      <w:pPr>
        <w:pStyle w:val="BodyText"/>
        <w:tabs>
          <w:tab w:pos="705" w:val="left" w:leader="none"/>
        </w:tabs>
        <w:ind w:left="165"/>
      </w:pPr>
      <w:bookmarkStart w:name="_bookmark955" w:id="957"/>
      <w:bookmarkEnd w:id="957"/>
      <w:r>
        <w:rPr/>
      </w:r>
      <w:hyperlink w:history="true" w:anchor="_bookmark787">
        <w:r>
          <w:rPr>
            <w:color w:val="005DA1"/>
            <w:spacing w:val="-4"/>
            <w:position w:val="5"/>
            <w:sz w:val="14"/>
            <w:u w:val="single" w:color="005DA1"/>
          </w:rPr>
          <w:t>509</w:t>
        </w:r>
      </w:hyperlink>
      <w:r>
        <w:rPr>
          <w:spacing w:val="-4"/>
          <w:position w:val="5"/>
          <w:sz w:val="14"/>
        </w:rPr>
        <w:t>.</w:t>
      </w:r>
      <w:r>
        <w:rPr>
          <w:position w:val="5"/>
          <w:sz w:val="14"/>
        </w:rPr>
        <w:tab/>
      </w:r>
      <w:r>
        <w:rPr/>
        <w:t>Law Reform (Frustrated Contracts) Act 1943 s.1(2) and (3) and see below, para.23-</w:t>
      </w:r>
      <w:r>
        <w:rPr>
          <w:spacing w:val="-4"/>
        </w:rPr>
        <w:t>090.</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4. - The Human Rights Act 1998 and </w:t>
      </w:r>
      <w:r>
        <w:rPr>
          <w:rFonts w:ascii="Arial"/>
          <w:b/>
          <w:spacing w:val="-2"/>
          <w:sz w:val="24"/>
        </w:rPr>
        <w:t>Contracts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Introduction</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1-</w:t>
      </w:r>
      <w:r>
        <w:rPr>
          <w:rFonts w:ascii="Arial"/>
          <w:b/>
          <w:spacing w:val="-5"/>
          <w:sz w:val="24"/>
        </w:rPr>
        <w:t>057</w:t>
      </w:r>
    </w:p>
    <w:p>
      <w:pPr>
        <w:pStyle w:val="BodyText"/>
        <w:spacing w:line="235" w:lineRule="auto" w:before="202"/>
        <w:ind w:left="164" w:right="167"/>
        <w:jc w:val="both"/>
      </w:pPr>
      <w:r>
        <w:rPr/>
        <w:t>The Human Rights Act 1998 (“the 1998 Act”) was enacted in order to “bring home” the human </w:t>
      </w:r>
      <w:r>
        <w:rPr/>
        <w:t>rights </w:t>
      </w:r>
      <w:bookmarkStart w:name="_bookmark956" w:id="958"/>
      <w:bookmarkEnd w:id="958"/>
      <w:r>
        <w:rPr/>
        <w:t>declared</w:t>
      </w:r>
      <w:r>
        <w:rPr/>
        <w:t> by the European Convention on Human Rights (“the Convention”) into the domestic legal systems</w:t>
      </w:r>
      <w:r>
        <w:rPr>
          <w:spacing w:val="-2"/>
        </w:rPr>
        <w:t> </w:t>
      </w:r>
      <w:r>
        <w:rPr/>
        <w:t>of</w:t>
      </w:r>
      <w:r>
        <w:rPr>
          <w:spacing w:val="-2"/>
        </w:rPr>
        <w:t> </w:t>
      </w:r>
      <w:r>
        <w:rPr/>
        <w:t>the</w:t>
      </w:r>
      <w:r>
        <w:rPr>
          <w:spacing w:val="-2"/>
        </w:rPr>
        <w:t> </w:t>
      </w:r>
      <w:r>
        <w:rPr/>
        <w:t>United</w:t>
      </w:r>
      <w:r>
        <w:rPr>
          <w:spacing w:val="-2"/>
        </w:rPr>
        <w:t> </w:t>
      </w:r>
      <w:r>
        <w:rPr/>
        <w:t>Kingdom.</w:t>
      </w:r>
      <w:r>
        <w:rPr>
          <w:spacing w:val="-2"/>
        </w:rPr>
        <w:t> </w:t>
      </w:r>
      <w:r>
        <w:rPr>
          <w:color w:val="005DA1"/>
          <w:u w:val="single" w:color="005DA1"/>
          <w:vertAlign w:val="superscript"/>
        </w:rPr>
        <w:t>510</w:t>
      </w:r>
      <w:r>
        <w:rPr>
          <w:color w:val="005DA1"/>
          <w:spacing w:val="-2"/>
          <w:vertAlign w:val="baseline"/>
        </w:rPr>
        <w:t> </w:t>
      </w:r>
      <w:r>
        <w:rPr>
          <w:vertAlign w:val="baseline"/>
        </w:rPr>
        <w:t>In</w:t>
      </w:r>
      <w:r>
        <w:rPr>
          <w:spacing w:val="-2"/>
          <w:vertAlign w:val="baseline"/>
        </w:rPr>
        <w:t> </w:t>
      </w:r>
      <w:r>
        <w:rPr>
          <w:vertAlign w:val="baseline"/>
        </w:rPr>
        <w:t>order</w:t>
      </w:r>
      <w:r>
        <w:rPr>
          <w:spacing w:val="-2"/>
          <w:vertAlign w:val="baseline"/>
        </w:rPr>
        <w:t> </w:t>
      </w:r>
      <w:r>
        <w:rPr>
          <w:vertAlign w:val="baseline"/>
        </w:rPr>
        <w:t>to</w:t>
      </w:r>
      <w:r>
        <w:rPr>
          <w:spacing w:val="-2"/>
          <w:vertAlign w:val="baseline"/>
        </w:rPr>
        <w:t> </w:t>
      </w:r>
      <w:r>
        <w:rPr>
          <w:vertAlign w:val="baseline"/>
        </w:rPr>
        <w:t>do</w:t>
      </w:r>
      <w:r>
        <w:rPr>
          <w:spacing w:val="-2"/>
          <w:vertAlign w:val="baseline"/>
        </w:rPr>
        <w:t> </w:t>
      </w:r>
      <w:r>
        <w:rPr>
          <w:vertAlign w:val="baseline"/>
        </w:rPr>
        <w:t>so,</w:t>
      </w:r>
      <w:r>
        <w:rPr>
          <w:spacing w:val="-2"/>
          <w:vertAlign w:val="baseline"/>
        </w:rPr>
        <w:t> </w:t>
      </w:r>
      <w:r>
        <w:rPr>
          <w:vertAlign w:val="baseline"/>
        </w:rPr>
        <w:t>it</w:t>
      </w:r>
      <w:r>
        <w:rPr>
          <w:spacing w:val="-2"/>
          <w:vertAlign w:val="baseline"/>
        </w:rPr>
        <w:t> </w:t>
      </w:r>
      <w:r>
        <w:rPr>
          <w:vertAlign w:val="baseline"/>
        </w:rPr>
        <w:t>put</w:t>
      </w:r>
      <w:r>
        <w:rPr>
          <w:spacing w:val="-2"/>
          <w:vertAlign w:val="baseline"/>
        </w:rPr>
        <w:t> </w:t>
      </w:r>
      <w:r>
        <w:rPr>
          <w:vertAlign w:val="baseline"/>
        </w:rPr>
        <w:t>in</w:t>
      </w:r>
      <w:r>
        <w:rPr>
          <w:spacing w:val="-2"/>
          <w:vertAlign w:val="baseline"/>
        </w:rPr>
        <w:t> </w:t>
      </w:r>
      <w:r>
        <w:rPr>
          <w:vertAlign w:val="baseline"/>
        </w:rPr>
        <w:t>place</w:t>
      </w:r>
      <w:r>
        <w:rPr>
          <w:spacing w:val="-2"/>
          <w:vertAlign w:val="baseline"/>
        </w:rPr>
        <w:t> </w:t>
      </w:r>
      <w:r>
        <w:rPr>
          <w:vertAlign w:val="baseline"/>
        </w:rPr>
        <w:t>two</w:t>
      </w:r>
      <w:r>
        <w:rPr>
          <w:spacing w:val="-2"/>
          <w:vertAlign w:val="baseline"/>
        </w:rPr>
        <w:t> </w:t>
      </w:r>
      <w:r>
        <w:rPr>
          <w:vertAlign w:val="baseline"/>
        </w:rPr>
        <w:t>main</w:t>
      </w:r>
      <w:r>
        <w:rPr>
          <w:spacing w:val="-2"/>
          <w:vertAlign w:val="baseline"/>
        </w:rPr>
        <w:t> </w:t>
      </w:r>
      <w:r>
        <w:rPr>
          <w:vertAlign w:val="baseline"/>
        </w:rPr>
        <w:t>mechanisms.</w:t>
      </w:r>
      <w:r>
        <w:rPr>
          <w:spacing w:val="-2"/>
          <w:vertAlign w:val="baseline"/>
        </w:rPr>
        <w:t> </w:t>
      </w:r>
      <w:r>
        <w:rPr>
          <w:vertAlign w:val="baseline"/>
        </w:rPr>
        <w:t>First,</w:t>
      </w:r>
      <w:r>
        <w:rPr>
          <w:spacing w:val="-2"/>
          <w:vertAlign w:val="baseline"/>
        </w:rPr>
        <w:t> </w:t>
      </w:r>
      <w:r>
        <w:rPr>
          <w:vertAlign w:val="baseline"/>
        </w:rPr>
        <w:t>there are controls on legislation. So, under s.3 of the 1998 Act it is provided that:</w:t>
      </w:r>
    </w:p>
    <w:p>
      <w:pPr>
        <w:pStyle w:val="BodyText"/>
      </w:pPr>
    </w:p>
    <w:p>
      <w:pPr>
        <w:pStyle w:val="BodyText"/>
        <w:spacing w:before="125"/>
      </w:pPr>
    </w:p>
    <w:p>
      <w:pPr>
        <w:pStyle w:val="BodyText"/>
        <w:spacing w:line="235" w:lineRule="auto" w:before="1"/>
        <w:ind w:left="1245" w:right="168"/>
      </w:pPr>
      <w:bookmarkStart w:name="_bookmark957" w:id="959"/>
      <w:bookmarkEnd w:id="959"/>
      <w:r>
        <w:rPr/>
      </w:r>
      <w:r>
        <w:rPr/>
        <w:t>“So far as it is possible to do so, primary legislation and subordinate legislation must </w:t>
      </w:r>
      <w:r>
        <w:rPr/>
        <w:t>be read and given effect in a way which is compatible with Convention rights.” </w:t>
      </w:r>
      <w:r>
        <w:rPr>
          <w:color w:val="005DA1"/>
          <w:u w:val="single" w:color="005DA1"/>
          <w:vertAlign w:val="superscript"/>
        </w:rPr>
        <w:t>511</w:t>
      </w:r>
    </w:p>
    <w:p>
      <w:pPr>
        <w:pStyle w:val="BodyText"/>
        <w:spacing w:before="115"/>
      </w:pPr>
    </w:p>
    <w:p>
      <w:pPr>
        <w:pStyle w:val="BodyText"/>
        <w:spacing w:line="235" w:lineRule="auto" w:before="1"/>
        <w:ind w:left="165" w:right="167"/>
        <w:jc w:val="both"/>
      </w:pPr>
      <w:bookmarkStart w:name="_bookmark958" w:id="960"/>
      <w:bookmarkEnd w:id="960"/>
      <w:r>
        <w:rPr/>
      </w:r>
      <w:r>
        <w:rPr/>
        <w:t>And under s.4 of the 1998 Act, where a court is unable to “read down” primary legislation in this </w:t>
      </w:r>
      <w:r>
        <w:rPr/>
        <w:t>way, </w:t>
      </w:r>
      <w:bookmarkStart w:name="_bookmark959" w:id="961"/>
      <w:bookmarkEnd w:id="961"/>
      <w:r>
        <w:rPr/>
        <w:t>and</w:t>
      </w:r>
      <w:r>
        <w:rPr/>
        <w:t> where a court </w:t>
      </w:r>
      <w:r>
        <w:rPr>
          <w:color w:val="005DA1"/>
          <w:u w:val="single" w:color="005DA1"/>
          <w:vertAlign w:val="superscript"/>
        </w:rPr>
        <w:t>512</w:t>
      </w:r>
      <w:r>
        <w:rPr>
          <w:color w:val="005DA1"/>
          <w:vertAlign w:val="baseline"/>
        </w:rPr>
        <w:t> </w:t>
      </w:r>
      <w:r>
        <w:rPr>
          <w:vertAlign w:val="baseline"/>
        </w:rPr>
        <w:t>is satisfied that the legislation is incompatible with Convention rights, it may make a “declaration of incompatibility”. </w:t>
      </w:r>
      <w:r>
        <w:rPr>
          <w:color w:val="005DA1"/>
          <w:u w:val="single" w:color="005DA1"/>
          <w:vertAlign w:val="superscript"/>
        </w:rPr>
        <w:t>513</w:t>
      </w:r>
      <w:r>
        <w:rPr>
          <w:color w:val="005DA1"/>
          <w:vertAlign w:val="baseline"/>
        </w:rPr>
        <w:t> </w:t>
      </w:r>
      <w:r>
        <w:rPr>
          <w:vertAlign w:val="baseline"/>
        </w:rPr>
        <w:t>As a result, the duty of compatible interpretation and the possibility of a declaration of incompatibility may arise in any proceedings in which the compatibility of primary legislation is challenged, whether or not a “public authority” is party. Secondly, the Act declares it unlawful for “public authorities” to act in a way which is incompatible with a “Convention </w:t>
      </w:r>
      <w:bookmarkStart w:name="_bookmark960" w:id="962"/>
      <w:bookmarkEnd w:id="962"/>
      <w:r>
        <w:rPr>
          <w:vertAlign w:val="baseline"/>
        </w:rPr>
        <w:t>right”,</w:t>
      </w:r>
      <w:r>
        <w:rPr>
          <w:vertAlign w:val="baseline"/>
        </w:rPr>
        <w:t> and for this purpose “public authority” includes a court or tribunal and may include any person certain of whose functions are functions of a public nature. </w:t>
      </w:r>
      <w:r>
        <w:rPr>
          <w:color w:val="005DA1"/>
          <w:u w:val="single" w:color="005DA1"/>
          <w:vertAlign w:val="superscript"/>
        </w:rPr>
        <w:t>514</w:t>
      </w:r>
    </w:p>
    <w:p>
      <w:pPr>
        <w:pStyle w:val="BodyText"/>
      </w:pPr>
    </w:p>
    <w:p>
      <w:pPr>
        <w:pStyle w:val="BodyText"/>
        <w:spacing w:before="35"/>
      </w:pPr>
    </w:p>
    <w:p>
      <w:pPr>
        <w:spacing w:before="0"/>
        <w:ind w:left="165" w:right="0" w:firstLine="0"/>
        <w:jc w:val="left"/>
        <w:rPr>
          <w:rFonts w:ascii="Arial"/>
          <w:b/>
          <w:sz w:val="18"/>
        </w:rPr>
      </w:pPr>
      <w:r>
        <w:rPr>
          <w:rFonts w:ascii="Arial"/>
          <w:b/>
          <w:sz w:val="18"/>
        </w:rPr>
        <w:t>Temporal impact of the Human Rights Act on </w:t>
      </w:r>
      <w:r>
        <w:rPr>
          <w:rFonts w:ascii="Arial"/>
          <w:b/>
          <w:spacing w:val="-2"/>
          <w:sz w:val="18"/>
        </w:rPr>
        <w:t>contracts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058</w:t>
      </w:r>
    </w:p>
    <w:p>
      <w:pPr>
        <w:pStyle w:val="BodyText"/>
        <w:spacing w:line="235" w:lineRule="auto" w:before="202"/>
        <w:ind w:left="165" w:right="167"/>
        <w:jc w:val="both"/>
      </w:pPr>
      <w:r>
        <w:rPr/>
        <w:t>In determining the impact of these provisions on contracts and, indeed, also upon the </w:t>
      </w:r>
      <w:r>
        <w:rPr>
          <w:rFonts w:ascii="Arial" w:hAnsi="Arial"/>
          <w:i/>
        </w:rPr>
        <w:t>law </w:t>
      </w:r>
      <w:r>
        <w:rPr/>
        <w:t>of contract </w:t>
      </w:r>
      <w:bookmarkStart w:name="_bookmark961" w:id="963"/>
      <w:bookmarkEnd w:id="963"/>
      <w:r>
        <w:rPr/>
        <w:t>itself,</w:t>
      </w:r>
      <w:r>
        <w:rPr/>
        <w:t> a distinction must be drawn between contracts made before and after the coming into force of the operative provisions of the 1998 Act—October 2, 2000. </w:t>
      </w:r>
      <w:r>
        <w:rPr>
          <w:color w:val="005DA1"/>
          <w:u w:val="single" w:color="005DA1"/>
          <w:vertAlign w:val="superscript"/>
        </w:rPr>
        <w:t>515</w:t>
      </w:r>
    </w:p>
    <w:p>
      <w:pPr>
        <w:pStyle w:val="BodyText"/>
      </w:pPr>
    </w:p>
    <w:p>
      <w:pPr>
        <w:pStyle w:val="BodyText"/>
        <w:spacing w:before="39"/>
      </w:pPr>
      <w:r>
        <w:rPr/>
        <mc:AlternateContent>
          <mc:Choice Requires="wps">
            <w:drawing>
              <wp:anchor distT="0" distB="0" distL="0" distR="0" allowOverlap="1" layoutInCell="1" locked="0" behindDoc="1" simplePos="0" relativeHeight="487663616">
                <wp:simplePos x="0" y="0"/>
                <wp:positionH relativeFrom="page">
                  <wp:posOffset>914400</wp:posOffset>
                </wp:positionH>
                <wp:positionV relativeFrom="paragraph">
                  <wp:posOffset>186124</wp:posOffset>
                </wp:positionV>
                <wp:extent cx="5724525" cy="1270"/>
                <wp:effectExtent l="0" t="0" r="0" b="0"/>
                <wp:wrapTopAndBottom/>
                <wp:docPr id="308" name="Graphic 308"/>
                <wp:cNvGraphicFramePr>
                  <a:graphicFrameLocks/>
                </wp:cNvGraphicFramePr>
                <a:graphic>
                  <a:graphicData uri="http://schemas.microsoft.com/office/word/2010/wordprocessingShape">
                    <wps:wsp>
                      <wps:cNvPr id="308" name="Graphic 30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548pt;width:450.75pt;height:.1pt;mso-position-horizontal-relative:page;mso-position-vertical-relative:paragraph;z-index:-15652864;mso-wrap-distance-left:0;mso-wrap-distance-right:0" id="docshape27"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tabs>
          <w:tab w:pos="705" w:val="left" w:leader="none"/>
        </w:tabs>
        <w:spacing w:line="235" w:lineRule="auto"/>
        <w:ind w:left="705" w:right="168" w:hanging="541"/>
      </w:pPr>
      <w:bookmarkStart w:name="_bookmark962" w:id="964"/>
      <w:bookmarkEnd w:id="964"/>
      <w:r>
        <w:rPr/>
      </w:r>
      <w:hyperlink w:history="true" w:anchor="_bookmark956">
        <w:r>
          <w:rPr>
            <w:color w:val="005DA1"/>
            <w:spacing w:val="-4"/>
            <w:position w:val="5"/>
            <w:sz w:val="14"/>
            <w:u w:val="single" w:color="005DA1"/>
          </w:rPr>
          <w:t>510</w:t>
        </w:r>
      </w:hyperlink>
      <w:r>
        <w:rPr>
          <w:spacing w:val="-4"/>
          <w:position w:val="5"/>
          <w:sz w:val="14"/>
        </w:rPr>
        <w:t>.</w:t>
      </w:r>
      <w:r>
        <w:rPr>
          <w:position w:val="5"/>
          <w:sz w:val="14"/>
        </w:rPr>
        <w:tab/>
      </w:r>
      <w:r>
        <w:rPr/>
        <w:t>Not all the rights contained in the European Convention and its protocols were included in this process, but only those defined by the Act as “Convention rights”: Human Rights Act 1998 s.1.</w:t>
      </w:r>
    </w:p>
    <w:p>
      <w:pPr>
        <w:pStyle w:val="BodyText"/>
        <w:spacing w:before="5"/>
      </w:pPr>
    </w:p>
    <w:p>
      <w:pPr>
        <w:pStyle w:val="BodyText"/>
        <w:tabs>
          <w:tab w:pos="705" w:val="left" w:leader="none"/>
        </w:tabs>
        <w:ind w:left="165"/>
      </w:pPr>
      <w:bookmarkStart w:name="_bookmark963" w:id="965"/>
      <w:bookmarkEnd w:id="965"/>
      <w:r>
        <w:rPr/>
      </w:r>
      <w:hyperlink w:history="true" w:anchor="_bookmark957">
        <w:r>
          <w:rPr>
            <w:color w:val="005DA1"/>
            <w:spacing w:val="-4"/>
            <w:position w:val="5"/>
            <w:sz w:val="14"/>
            <w:u w:val="single" w:color="005DA1"/>
          </w:rPr>
          <w:t>511</w:t>
        </w:r>
      </w:hyperlink>
      <w:r>
        <w:rPr>
          <w:spacing w:val="-4"/>
          <w:position w:val="5"/>
          <w:sz w:val="14"/>
        </w:rPr>
        <w:t>.</w:t>
      </w:r>
      <w:r>
        <w:rPr>
          <w:position w:val="5"/>
          <w:sz w:val="14"/>
        </w:rPr>
        <w:tab/>
      </w:r>
      <w:r>
        <w:rPr/>
        <w:t>Human Rights Act 1998 </w:t>
      </w:r>
      <w:r>
        <w:rPr>
          <w:spacing w:val="-2"/>
        </w:rPr>
        <w:t>s.3(1).</w:t>
      </w:r>
    </w:p>
    <w:p>
      <w:pPr>
        <w:pStyle w:val="BodyText"/>
        <w:spacing w:before="5"/>
      </w:pPr>
    </w:p>
    <w:p>
      <w:pPr>
        <w:pStyle w:val="BodyText"/>
        <w:tabs>
          <w:tab w:pos="705" w:val="left" w:leader="none"/>
        </w:tabs>
        <w:ind w:left="165"/>
      </w:pPr>
      <w:bookmarkStart w:name="_bookmark964" w:id="966"/>
      <w:bookmarkEnd w:id="966"/>
      <w:r>
        <w:rPr/>
      </w:r>
      <w:hyperlink w:history="true" w:anchor="_bookmark958">
        <w:r>
          <w:rPr>
            <w:color w:val="005DA1"/>
            <w:spacing w:val="-4"/>
            <w:position w:val="5"/>
            <w:sz w:val="14"/>
            <w:u w:val="single" w:color="005DA1"/>
          </w:rPr>
          <w:t>512</w:t>
        </w:r>
      </w:hyperlink>
      <w:r>
        <w:rPr>
          <w:spacing w:val="-4"/>
          <w:position w:val="5"/>
          <w:sz w:val="14"/>
        </w:rPr>
        <w:t>.</w:t>
      </w:r>
      <w:r>
        <w:rPr>
          <w:position w:val="5"/>
          <w:sz w:val="14"/>
        </w:rPr>
        <w:tab/>
      </w:r>
      <w:r>
        <w:rPr/>
        <w:t>The courts which are so entitled are listed in </w:t>
      </w:r>
      <w:r>
        <w:rPr>
          <w:spacing w:val="-2"/>
        </w:rPr>
        <w:t>s.4(5).</w:t>
      </w:r>
    </w:p>
    <w:p>
      <w:pPr>
        <w:pStyle w:val="BodyText"/>
        <w:spacing w:before="5"/>
      </w:pPr>
    </w:p>
    <w:p>
      <w:pPr>
        <w:pStyle w:val="BodyText"/>
        <w:tabs>
          <w:tab w:pos="705" w:val="left" w:leader="none"/>
        </w:tabs>
        <w:ind w:left="165"/>
      </w:pPr>
      <w:bookmarkStart w:name="_bookmark965" w:id="967"/>
      <w:bookmarkEnd w:id="967"/>
      <w:r>
        <w:rPr/>
      </w:r>
      <w:hyperlink w:history="true" w:anchor="_bookmark959">
        <w:r>
          <w:rPr>
            <w:color w:val="005DA1"/>
            <w:spacing w:val="-4"/>
            <w:position w:val="5"/>
            <w:sz w:val="14"/>
            <w:u w:val="single" w:color="005DA1"/>
          </w:rPr>
          <w:t>513</w:t>
        </w:r>
      </w:hyperlink>
      <w:r>
        <w:rPr>
          <w:spacing w:val="-4"/>
          <w:position w:val="5"/>
          <w:sz w:val="14"/>
        </w:rPr>
        <w:t>.</w:t>
      </w:r>
      <w:r>
        <w:rPr>
          <w:position w:val="5"/>
          <w:sz w:val="14"/>
        </w:rPr>
        <w:tab/>
      </w:r>
      <w:r>
        <w:rPr/>
        <w:t>Human Rights Act 1998 s.4(1) and </w:t>
      </w:r>
      <w:r>
        <w:rPr>
          <w:spacing w:val="-4"/>
        </w:rPr>
        <w:t>(2).</w:t>
      </w:r>
    </w:p>
    <w:p>
      <w:pPr>
        <w:pStyle w:val="BodyText"/>
        <w:spacing w:before="5"/>
      </w:pPr>
    </w:p>
    <w:p>
      <w:pPr>
        <w:pStyle w:val="BodyText"/>
        <w:tabs>
          <w:tab w:pos="705" w:val="left" w:leader="none"/>
        </w:tabs>
        <w:ind w:left="165"/>
      </w:pPr>
      <w:bookmarkStart w:name="_bookmark966" w:id="968"/>
      <w:bookmarkEnd w:id="968"/>
      <w:r>
        <w:rPr/>
      </w:r>
      <w:hyperlink w:history="true" w:anchor="_bookmark960">
        <w:r>
          <w:rPr>
            <w:color w:val="005DA1"/>
            <w:spacing w:val="-4"/>
            <w:position w:val="5"/>
            <w:sz w:val="14"/>
            <w:u w:val="single" w:color="005DA1"/>
          </w:rPr>
          <w:t>514</w:t>
        </w:r>
      </w:hyperlink>
      <w:r>
        <w:rPr>
          <w:spacing w:val="-4"/>
          <w:position w:val="5"/>
          <w:sz w:val="14"/>
        </w:rPr>
        <w:t>.</w:t>
      </w:r>
      <w:r>
        <w:rPr>
          <w:position w:val="5"/>
          <w:sz w:val="14"/>
        </w:rPr>
        <w:tab/>
      </w:r>
      <w:r>
        <w:rPr/>
        <w:t>Human</w:t>
      </w:r>
      <w:r>
        <w:rPr>
          <w:spacing w:val="38"/>
        </w:rPr>
        <w:t> </w:t>
      </w:r>
      <w:r>
        <w:rPr/>
        <w:t>Rights</w:t>
      </w:r>
      <w:r>
        <w:rPr>
          <w:spacing w:val="38"/>
        </w:rPr>
        <w:t> </w:t>
      </w:r>
      <w:r>
        <w:rPr/>
        <w:t>Act</w:t>
      </w:r>
      <w:r>
        <w:rPr>
          <w:spacing w:val="38"/>
        </w:rPr>
        <w:t> </w:t>
      </w:r>
      <w:r>
        <w:rPr/>
        <w:t>1998</w:t>
      </w:r>
      <w:r>
        <w:rPr>
          <w:spacing w:val="38"/>
        </w:rPr>
        <w:t> </w:t>
      </w:r>
      <w:r>
        <w:rPr/>
        <w:t>s.6(1)</w:t>
      </w:r>
      <w:r>
        <w:rPr>
          <w:spacing w:val="38"/>
        </w:rPr>
        <w:t> </w:t>
      </w:r>
      <w:r>
        <w:rPr/>
        <w:t>and</w:t>
      </w:r>
      <w:r>
        <w:rPr>
          <w:spacing w:val="38"/>
        </w:rPr>
        <w:t> </w:t>
      </w:r>
      <w:r>
        <w:rPr/>
        <w:t>(3).</w:t>
      </w:r>
      <w:r>
        <w:rPr>
          <w:spacing w:val="38"/>
        </w:rPr>
        <w:t> </w:t>
      </w:r>
      <w:r>
        <w:rPr/>
        <w:t>Section</w:t>
      </w:r>
      <w:r>
        <w:rPr>
          <w:spacing w:val="38"/>
        </w:rPr>
        <w:t> </w:t>
      </w:r>
      <w:r>
        <w:rPr/>
        <w:t>6(5)</w:t>
      </w:r>
      <w:r>
        <w:rPr>
          <w:spacing w:val="38"/>
        </w:rPr>
        <w:t> </w:t>
      </w:r>
      <w:r>
        <w:rPr/>
        <w:t>further</w:t>
      </w:r>
      <w:r>
        <w:rPr>
          <w:spacing w:val="38"/>
        </w:rPr>
        <w:t> </w:t>
      </w:r>
      <w:r>
        <w:rPr/>
        <w:t>provides</w:t>
      </w:r>
      <w:r>
        <w:rPr>
          <w:spacing w:val="38"/>
        </w:rPr>
        <w:t> </w:t>
      </w:r>
      <w:r>
        <w:rPr/>
        <w:t>that</w:t>
      </w:r>
      <w:r>
        <w:rPr>
          <w:spacing w:val="38"/>
        </w:rPr>
        <w:t> </w:t>
      </w:r>
      <w:r>
        <w:rPr/>
        <w:t>“[i]n</w:t>
      </w:r>
      <w:r>
        <w:rPr>
          <w:spacing w:val="38"/>
        </w:rPr>
        <w:t> </w:t>
      </w:r>
      <w:r>
        <w:rPr/>
        <w:t>relation</w:t>
      </w:r>
      <w:r>
        <w:rPr>
          <w:spacing w:val="38"/>
        </w:rPr>
        <w:t> </w:t>
      </w:r>
      <w:r>
        <w:rPr/>
        <w:t>to</w:t>
      </w:r>
      <w:r>
        <w:rPr>
          <w:spacing w:val="38"/>
        </w:rPr>
        <w:t> </w:t>
      </w:r>
      <w:r>
        <w:rPr>
          <w:spacing w:val="-10"/>
        </w:rPr>
        <w:t>a</w:t>
      </w:r>
    </w:p>
    <w:p>
      <w:pPr>
        <w:pStyle w:val="BodyText"/>
        <w:spacing w:after="0"/>
        <w:sectPr>
          <w:headerReference w:type="default" r:id="rId22"/>
          <w:pgSz w:w="11900" w:h="16840"/>
          <w:pgMar w:header="971" w:footer="0" w:top="1300" w:bottom="280" w:left="1275" w:right="1275"/>
          <w:pgNumType w:start="1"/>
        </w:sectPr>
      </w:pPr>
    </w:p>
    <w:p>
      <w:pPr>
        <w:pStyle w:val="BodyText"/>
        <w:spacing w:line="235" w:lineRule="auto" w:before="170"/>
        <w:ind w:left="705" w:right="168"/>
      </w:pPr>
      <w:r>
        <w:rPr/>
        <w:t>particular</w:t>
      </w:r>
      <w:r>
        <w:rPr>
          <w:spacing w:val="-2"/>
        </w:rPr>
        <w:t> </w:t>
      </w:r>
      <w:r>
        <w:rPr/>
        <w:t>act,</w:t>
      </w:r>
      <w:r>
        <w:rPr>
          <w:spacing w:val="-2"/>
        </w:rPr>
        <w:t> </w:t>
      </w:r>
      <w:r>
        <w:rPr/>
        <w:t>a</w:t>
      </w:r>
      <w:r>
        <w:rPr>
          <w:spacing w:val="-2"/>
        </w:rPr>
        <w:t> </w:t>
      </w:r>
      <w:r>
        <w:rPr/>
        <w:t>person</w:t>
      </w:r>
      <w:r>
        <w:rPr>
          <w:spacing w:val="-2"/>
        </w:rPr>
        <w:t> </w:t>
      </w:r>
      <w:r>
        <w:rPr/>
        <w:t>is</w:t>
      </w:r>
      <w:r>
        <w:rPr>
          <w:spacing w:val="-2"/>
        </w:rPr>
        <w:t> </w:t>
      </w:r>
      <w:r>
        <w:rPr/>
        <w:t>not</w:t>
      </w:r>
      <w:r>
        <w:rPr>
          <w:spacing w:val="-2"/>
        </w:rPr>
        <w:t> </w:t>
      </w:r>
      <w:r>
        <w:rPr/>
        <w:t>a</w:t>
      </w:r>
      <w:r>
        <w:rPr>
          <w:spacing w:val="-2"/>
        </w:rPr>
        <w:t> </w:t>
      </w:r>
      <w:r>
        <w:rPr/>
        <w:t>public</w:t>
      </w:r>
      <w:r>
        <w:rPr>
          <w:spacing w:val="-2"/>
        </w:rPr>
        <w:t> </w:t>
      </w:r>
      <w:r>
        <w:rPr/>
        <w:t>authority</w:t>
      </w:r>
      <w:r>
        <w:rPr>
          <w:spacing w:val="-2"/>
        </w:rPr>
        <w:t> </w:t>
      </w:r>
      <w:r>
        <w:rPr/>
        <w:t>by</w:t>
      </w:r>
      <w:r>
        <w:rPr>
          <w:spacing w:val="-2"/>
        </w:rPr>
        <w:t> </w:t>
      </w:r>
      <w:r>
        <w:rPr/>
        <w:t>virtue</w:t>
      </w:r>
      <w:r>
        <w:rPr>
          <w:spacing w:val="-2"/>
        </w:rPr>
        <w:t> </w:t>
      </w:r>
      <w:r>
        <w:rPr/>
        <w:t>only</w:t>
      </w:r>
      <w:r>
        <w:rPr>
          <w:spacing w:val="-2"/>
        </w:rPr>
        <w:t> </w:t>
      </w:r>
      <w:r>
        <w:rPr/>
        <w:t>of</w:t>
      </w:r>
      <w:r>
        <w:rPr>
          <w:spacing w:val="-2"/>
        </w:rPr>
        <w:t> </w:t>
      </w:r>
      <w:r>
        <w:rPr/>
        <w:t>subs.3(b)</w:t>
      </w:r>
      <w:r>
        <w:rPr>
          <w:spacing w:val="-2"/>
        </w:rPr>
        <w:t> </w:t>
      </w:r>
      <w:r>
        <w:rPr/>
        <w:t>if</w:t>
      </w:r>
      <w:r>
        <w:rPr>
          <w:spacing w:val="-2"/>
        </w:rPr>
        <w:t> </w:t>
      </w:r>
      <w:r>
        <w:rPr/>
        <w:t>the</w:t>
      </w:r>
      <w:r>
        <w:rPr>
          <w:spacing w:val="-2"/>
        </w:rPr>
        <w:t> </w:t>
      </w:r>
      <w:r>
        <w:rPr/>
        <w:t>nature</w:t>
      </w:r>
      <w:r>
        <w:rPr>
          <w:spacing w:val="-2"/>
        </w:rPr>
        <w:t> </w:t>
      </w:r>
      <w:r>
        <w:rPr/>
        <w:t>of</w:t>
      </w:r>
      <w:r>
        <w:rPr>
          <w:spacing w:val="-2"/>
        </w:rPr>
        <w:t> </w:t>
      </w:r>
      <w:r>
        <w:rPr/>
        <w:t>the</w:t>
      </w:r>
      <w:r>
        <w:rPr>
          <w:spacing w:val="-2"/>
        </w:rPr>
        <w:t> </w:t>
      </w:r>
      <w:r>
        <w:rPr/>
        <w:t>act is private” and see below, paras 1-073—1-075.</w:t>
      </w:r>
    </w:p>
    <w:p>
      <w:pPr>
        <w:pStyle w:val="BodyText"/>
        <w:spacing w:before="6"/>
      </w:pPr>
    </w:p>
    <w:p>
      <w:pPr>
        <w:pStyle w:val="BodyText"/>
        <w:tabs>
          <w:tab w:pos="705" w:val="left" w:leader="none"/>
        </w:tabs>
        <w:ind w:left="165"/>
      </w:pPr>
      <w:bookmarkStart w:name="_bookmark967" w:id="969"/>
      <w:bookmarkEnd w:id="969"/>
      <w:r>
        <w:rPr/>
      </w:r>
      <w:hyperlink w:history="true" w:anchor="_bookmark961">
        <w:r>
          <w:rPr>
            <w:color w:val="005DA1"/>
            <w:spacing w:val="-4"/>
            <w:position w:val="5"/>
            <w:sz w:val="14"/>
            <w:u w:val="single" w:color="005DA1"/>
          </w:rPr>
          <w:t>515</w:t>
        </w:r>
      </w:hyperlink>
      <w:r>
        <w:rPr>
          <w:spacing w:val="-4"/>
          <w:position w:val="5"/>
          <w:sz w:val="14"/>
        </w:rPr>
        <w:t>.</w:t>
      </w:r>
      <w:r>
        <w:rPr>
          <w:position w:val="5"/>
          <w:sz w:val="14"/>
        </w:rPr>
        <w:tab/>
      </w:r>
      <w:r>
        <w:rPr/>
        <w:t>Human Rights Act 1998 (Commencement No.2) Order 2000 (SI </w:t>
      </w:r>
      <w:r>
        <w:rPr>
          <w:spacing w:val="-2"/>
        </w:rPr>
        <w:t>2000/1851).</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4. - The Human Rights Act 1998 and </w:t>
      </w:r>
      <w:r>
        <w:rPr>
          <w:rFonts w:ascii="Arial"/>
          <w:b/>
          <w:spacing w:val="-2"/>
          <w:sz w:val="24"/>
        </w:rPr>
        <w:t>Contracts</w:t>
      </w:r>
    </w:p>
    <w:p>
      <w:pPr>
        <w:spacing w:before="194"/>
        <w:ind w:left="2184" w:right="0" w:firstLine="0"/>
        <w:jc w:val="left"/>
        <w:rPr>
          <w:rFonts w:ascii="Arial"/>
          <w:b/>
          <w:sz w:val="24"/>
        </w:rPr>
      </w:pPr>
      <w:r>
        <w:rPr>
          <w:rFonts w:ascii="Arial"/>
          <w:b/>
          <w:sz w:val="24"/>
        </w:rPr>
        <w:t>(a) - Contracts made before October 2, </w:t>
      </w:r>
      <w:r>
        <w:rPr>
          <w:rFonts w:ascii="Arial"/>
          <w:b/>
          <w:spacing w:val="-4"/>
          <w:sz w:val="24"/>
        </w:rPr>
        <w:t>2000</w:t>
      </w:r>
    </w:p>
    <w:p>
      <w:pPr>
        <w:pStyle w:val="ListParagraph"/>
        <w:numPr>
          <w:ilvl w:val="0"/>
          <w:numId w:val="6"/>
        </w:numPr>
        <w:tabs>
          <w:tab w:pos="1017" w:val="left" w:leader="none"/>
        </w:tabs>
        <w:spacing w:line="240" w:lineRule="auto" w:before="194" w:after="0"/>
        <w:ind w:left="1017" w:right="0" w:hanging="293"/>
        <w:jc w:val="left"/>
        <w:rPr>
          <w:b/>
          <w:sz w:val="24"/>
        </w:rPr>
      </w:pPr>
      <w:r>
        <w:rPr>
          <w:b/>
          <w:sz w:val="24"/>
        </w:rPr>
        <w:t>- The Construction and Review of Legislation Governing </w:t>
      </w:r>
      <w:r>
        <w:rPr>
          <w:b/>
          <w:spacing w:val="-2"/>
          <w:sz w:val="24"/>
        </w:rPr>
        <w:t>Contracts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The impact of ss.3 and 4 of the 1998 Act on accrued contractual </w:t>
      </w:r>
      <w:r>
        <w:rPr>
          <w:rFonts w:ascii="Arial"/>
          <w:b/>
          <w:spacing w:val="-2"/>
          <w:sz w:val="18"/>
        </w:rPr>
        <w:t>rights</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059</w:t>
      </w:r>
    </w:p>
    <w:p>
      <w:pPr>
        <w:pStyle w:val="BodyText"/>
        <w:spacing w:line="235" w:lineRule="auto" w:before="202"/>
        <w:ind w:left="164" w:right="167"/>
        <w:jc w:val="both"/>
      </w:pPr>
      <w:bookmarkStart w:name="_bookmark968" w:id="970"/>
      <w:bookmarkEnd w:id="970"/>
      <w:r>
        <w:rPr/>
      </w:r>
      <w:r>
        <w:rPr/>
        <w:t>In </w:t>
      </w:r>
      <w:r>
        <w:rPr>
          <w:rFonts w:ascii="Arial" w:hAnsi="Arial"/>
          <w:i/>
        </w:rPr>
        <w:t>Wilson v First County Trust Ltd (No.2)</w:t>
      </w:r>
      <w:r>
        <w:rPr/>
        <w:t>, </w:t>
      </w:r>
      <w:r>
        <w:rPr>
          <w:color w:val="005DA1"/>
          <w:u w:val="single" w:color="005DA1"/>
          <w:vertAlign w:val="superscript"/>
        </w:rPr>
        <w:t>516</w:t>
      </w:r>
      <w:r>
        <w:rPr>
          <w:color w:val="005DA1"/>
          <w:vertAlign w:val="baseline"/>
        </w:rPr>
        <w:t> </w:t>
      </w:r>
      <w:r>
        <w:rPr>
          <w:vertAlign w:val="baseline"/>
        </w:rPr>
        <w:t>the question arose whether provisions in the Consumer Credit Act 1974 which had the effect of denying the enforceability of a creditor’s rights under </w:t>
      </w:r>
      <w:r>
        <w:rPr>
          <w:vertAlign w:val="baseline"/>
        </w:rPr>
        <w:t>the </w:t>
      </w:r>
      <w:bookmarkStart w:name="_bookmark969" w:id="971"/>
      <w:bookmarkEnd w:id="971"/>
      <w:r>
        <w:rPr>
          <w:vertAlign w:val="baseline"/>
        </w:rPr>
        <w:t>contract</w:t>
      </w:r>
      <w:r>
        <w:rPr>
          <w:vertAlign w:val="baseline"/>
        </w:rPr>
        <w:t> and its accompanying security for lack of fulfilment of some of its requirements as to proper execution </w:t>
      </w:r>
      <w:r>
        <w:rPr>
          <w:color w:val="005DA1"/>
          <w:u w:val="single" w:color="005DA1"/>
          <w:vertAlign w:val="superscript"/>
        </w:rPr>
        <w:t>517</w:t>
      </w:r>
      <w:r>
        <w:rPr>
          <w:color w:val="005DA1"/>
          <w:vertAlign w:val="baseline"/>
        </w:rPr>
        <w:t> </w:t>
      </w:r>
      <w:r>
        <w:rPr>
          <w:vertAlign w:val="baseline"/>
        </w:rPr>
        <w:t>were “incompatible” with the creditor’s “Convention rights”. The effect of the relevant provisions of the 1974 Act was to deprive the court of any power to enforce a regulated agreement </w:t>
      </w:r>
      <w:bookmarkStart w:name="_bookmark970" w:id="972"/>
      <w:bookmarkEnd w:id="972"/>
      <w:r>
        <w:rPr>
          <w:vertAlign w:val="baseline"/>
        </w:rPr>
        <w:t>from</w:t>
      </w:r>
      <w:r>
        <w:rPr>
          <w:vertAlign w:val="baseline"/>
        </w:rPr>
        <w:t> which a prescribed term has been omitted for the benefit of the creditor, notwithstanding that no </w:t>
      </w:r>
      <w:bookmarkStart w:name="_bookmark971" w:id="973"/>
      <w:bookmarkEnd w:id="973"/>
      <w:r>
        <w:rPr>
          <w:vertAlign w:val="baseline"/>
        </w:rPr>
        <w:t>prejudice</w:t>
      </w:r>
      <w:r>
        <w:rPr>
          <w:vertAlign w:val="baseline"/>
        </w:rPr>
        <w:t> has been caused to anyone by that omission. </w:t>
      </w:r>
      <w:r>
        <w:rPr>
          <w:color w:val="005DA1"/>
          <w:u w:val="single" w:color="005DA1"/>
          <w:vertAlign w:val="superscript"/>
        </w:rPr>
        <w:t>518</w:t>
      </w:r>
      <w:r>
        <w:rPr>
          <w:color w:val="005DA1"/>
          <w:vertAlign w:val="baseline"/>
        </w:rPr>
        <w:t> </w:t>
      </w:r>
      <w:r>
        <w:rPr>
          <w:vertAlign w:val="baseline"/>
        </w:rPr>
        <w:t>The Court of Appeal held that a court, as itself a “public authority”, </w:t>
      </w:r>
      <w:r>
        <w:rPr>
          <w:color w:val="005DA1"/>
          <w:u w:val="single" w:color="005DA1"/>
          <w:vertAlign w:val="superscript"/>
        </w:rPr>
        <w:t>519</w:t>
      </w:r>
      <w:r>
        <w:rPr>
          <w:color w:val="005DA1"/>
          <w:vertAlign w:val="baseline"/>
        </w:rPr>
        <w:t> </w:t>
      </w:r>
      <w:r>
        <w:rPr>
          <w:vertAlign w:val="baseline"/>
        </w:rPr>
        <w:t>must not act in a way which is incompatible with Convention rights. </w:t>
      </w:r>
      <w:r>
        <w:rPr>
          <w:color w:val="005DA1"/>
          <w:u w:val="single" w:color="005DA1"/>
          <w:vertAlign w:val="superscript"/>
        </w:rPr>
        <w:t>520</w:t>
      </w:r>
      <w:r>
        <w:rPr>
          <w:color w:val="005DA1"/>
          <w:vertAlign w:val="baseline"/>
        </w:rPr>
        <w:t> </w:t>
      </w:r>
      <w:r>
        <w:rPr>
          <w:vertAlign w:val="baseline"/>
        </w:rPr>
        <w:t>In its view, the provisions in the 1974 Act in question which required a court to deny any possibility of </w:t>
      </w:r>
      <w:bookmarkStart w:name="_bookmark972" w:id="974"/>
      <w:bookmarkEnd w:id="974"/>
      <w:r>
        <w:rPr>
          <w:vertAlign w:val="baseline"/>
        </w:rPr>
        <w:t>enforcement</w:t>
      </w:r>
      <w:r>
        <w:rPr>
          <w:vertAlign w:val="baseline"/>
        </w:rPr>
        <w:t> for the benefit of the creditor infringed to a disproportionate and unexplained extent its right to a fair and public hearing under art.6(1) of the Convention. </w:t>
      </w:r>
      <w:r>
        <w:rPr>
          <w:color w:val="005DA1"/>
          <w:u w:val="single" w:color="005DA1"/>
          <w:vertAlign w:val="superscript"/>
        </w:rPr>
        <w:t>521</w:t>
      </w:r>
      <w:r>
        <w:rPr>
          <w:color w:val="005DA1"/>
          <w:vertAlign w:val="baseline"/>
        </w:rPr>
        <w:t> </w:t>
      </w:r>
      <w:r>
        <w:rPr>
          <w:vertAlign w:val="baseline"/>
        </w:rPr>
        <w:t>The Court of Appeal therefore </w:t>
      </w:r>
      <w:bookmarkStart w:name="_bookmark973" w:id="975"/>
      <w:bookmarkEnd w:id="975"/>
      <w:r>
        <w:rPr>
          <w:vertAlign w:val="baseline"/>
        </w:rPr>
        <w:t>exercised</w:t>
      </w:r>
      <w:r>
        <w:rPr>
          <w:vertAlign w:val="baseline"/>
        </w:rPr>
        <w:t> its discretion in favour of declaring the relevant provision of the 1974 Act incompatible with the Convention. </w:t>
      </w:r>
      <w:r>
        <w:rPr>
          <w:color w:val="005DA1"/>
          <w:u w:val="single" w:color="005DA1"/>
          <w:vertAlign w:val="superscript"/>
        </w:rPr>
        <w:t>522</w:t>
      </w:r>
      <w:r>
        <w:rPr>
          <w:color w:val="005DA1"/>
          <w:vertAlign w:val="baseline"/>
        </w:rPr>
        <w:t> </w:t>
      </w:r>
      <w:r>
        <w:rPr>
          <w:vertAlign w:val="baseline"/>
        </w:rPr>
        <w:t>However, this decision was reversed by the House of Lords in a ruling of </w:t>
      </w:r>
      <w:bookmarkStart w:name="_bookmark974" w:id="976"/>
      <w:bookmarkEnd w:id="976"/>
      <w:r>
        <w:rPr>
          <w:vertAlign w:val="baseline"/>
        </w:rPr>
        <w:t>fundamental</w:t>
      </w:r>
      <w:r>
        <w:rPr>
          <w:vertAlign w:val="baseline"/>
        </w:rPr>
        <w:t> importance for the temporal application of the Human Rights Act to private transactions, including</w:t>
      </w:r>
      <w:r>
        <w:rPr>
          <w:spacing w:val="5"/>
          <w:vertAlign w:val="baseline"/>
        </w:rPr>
        <w:t> </w:t>
      </w:r>
      <w:r>
        <w:rPr>
          <w:vertAlign w:val="baseline"/>
        </w:rPr>
        <w:t>contracts.</w:t>
      </w:r>
      <w:r>
        <w:rPr>
          <w:spacing w:val="6"/>
          <w:vertAlign w:val="baseline"/>
        </w:rPr>
        <w:t> </w:t>
      </w:r>
      <w:r>
        <w:rPr>
          <w:color w:val="005DA1"/>
          <w:u w:val="single" w:color="005DA1"/>
          <w:vertAlign w:val="superscript"/>
        </w:rPr>
        <w:t>523</w:t>
      </w:r>
      <w:r>
        <w:rPr>
          <w:color w:val="005DA1"/>
          <w:spacing w:val="6"/>
          <w:vertAlign w:val="baseline"/>
        </w:rPr>
        <w:t> </w:t>
      </w:r>
      <w:r>
        <w:rPr>
          <w:vertAlign w:val="baseline"/>
        </w:rPr>
        <w:t>Unlike</w:t>
      </w:r>
      <w:r>
        <w:rPr>
          <w:spacing w:val="6"/>
          <w:vertAlign w:val="baseline"/>
        </w:rPr>
        <w:t> </w:t>
      </w:r>
      <w:r>
        <w:rPr>
          <w:vertAlign w:val="baseline"/>
        </w:rPr>
        <w:t>the</w:t>
      </w:r>
      <w:r>
        <w:rPr>
          <w:spacing w:val="6"/>
          <w:vertAlign w:val="baseline"/>
        </w:rPr>
        <w:t> </w:t>
      </w:r>
      <w:r>
        <w:rPr>
          <w:vertAlign w:val="baseline"/>
        </w:rPr>
        <w:t>Court</w:t>
      </w:r>
      <w:r>
        <w:rPr>
          <w:spacing w:val="6"/>
          <w:vertAlign w:val="baseline"/>
        </w:rPr>
        <w:t> </w:t>
      </w:r>
      <w:r>
        <w:rPr>
          <w:vertAlign w:val="baseline"/>
        </w:rPr>
        <w:t>of</w:t>
      </w:r>
      <w:r>
        <w:rPr>
          <w:spacing w:val="6"/>
          <w:vertAlign w:val="baseline"/>
        </w:rPr>
        <w:t> </w:t>
      </w:r>
      <w:r>
        <w:rPr>
          <w:vertAlign w:val="baseline"/>
        </w:rPr>
        <w:t>Appeal,</w:t>
      </w:r>
      <w:r>
        <w:rPr>
          <w:spacing w:val="6"/>
          <w:vertAlign w:val="baseline"/>
        </w:rPr>
        <w:t> </w:t>
      </w:r>
      <w:r>
        <w:rPr>
          <w:vertAlign w:val="baseline"/>
        </w:rPr>
        <w:t>whose</w:t>
      </w:r>
      <w:r>
        <w:rPr>
          <w:spacing w:val="6"/>
          <w:vertAlign w:val="baseline"/>
        </w:rPr>
        <w:t> </w:t>
      </w:r>
      <w:r>
        <w:rPr>
          <w:vertAlign w:val="baseline"/>
        </w:rPr>
        <w:t>starting</w:t>
      </w:r>
      <w:r>
        <w:rPr>
          <w:spacing w:val="6"/>
          <w:vertAlign w:val="baseline"/>
        </w:rPr>
        <w:t> </w:t>
      </w:r>
      <w:r>
        <w:rPr>
          <w:vertAlign w:val="baseline"/>
        </w:rPr>
        <w:t>point</w:t>
      </w:r>
      <w:r>
        <w:rPr>
          <w:spacing w:val="6"/>
          <w:vertAlign w:val="baseline"/>
        </w:rPr>
        <w:t> </w:t>
      </w:r>
      <w:r>
        <w:rPr>
          <w:vertAlign w:val="baseline"/>
        </w:rPr>
        <w:t>was</w:t>
      </w:r>
      <w:r>
        <w:rPr>
          <w:spacing w:val="6"/>
          <w:vertAlign w:val="baseline"/>
        </w:rPr>
        <w:t> </w:t>
      </w:r>
      <w:r>
        <w:rPr>
          <w:vertAlign w:val="baseline"/>
        </w:rPr>
        <w:t>the</w:t>
      </w:r>
      <w:r>
        <w:rPr>
          <w:spacing w:val="6"/>
          <w:vertAlign w:val="baseline"/>
        </w:rPr>
        <w:t> </w:t>
      </w:r>
      <w:r>
        <w:rPr>
          <w:vertAlign w:val="baseline"/>
        </w:rPr>
        <w:t>duty</w:t>
      </w:r>
      <w:r>
        <w:rPr>
          <w:spacing w:val="6"/>
          <w:vertAlign w:val="baseline"/>
        </w:rPr>
        <w:t> </w:t>
      </w:r>
      <w:r>
        <w:rPr>
          <w:vertAlign w:val="baseline"/>
        </w:rPr>
        <w:t>of</w:t>
      </w:r>
      <w:r>
        <w:rPr>
          <w:spacing w:val="6"/>
          <w:vertAlign w:val="baseline"/>
        </w:rPr>
        <w:t> </w:t>
      </w:r>
      <w:r>
        <w:rPr>
          <w:vertAlign w:val="baseline"/>
        </w:rPr>
        <w:t>a</w:t>
      </w:r>
      <w:r>
        <w:rPr>
          <w:spacing w:val="6"/>
          <w:vertAlign w:val="baseline"/>
        </w:rPr>
        <w:t> </w:t>
      </w:r>
      <w:r>
        <w:rPr>
          <w:vertAlign w:val="baseline"/>
        </w:rPr>
        <w:t>court</w:t>
      </w:r>
      <w:r>
        <w:rPr>
          <w:spacing w:val="6"/>
          <w:vertAlign w:val="baseline"/>
        </w:rPr>
        <w:t> </w:t>
      </w:r>
      <w:r>
        <w:rPr>
          <w:spacing w:val="-2"/>
          <w:vertAlign w:val="baseline"/>
        </w:rPr>
        <w:t>under</w:t>
      </w:r>
    </w:p>
    <w:p>
      <w:pPr>
        <w:pStyle w:val="BodyText"/>
        <w:spacing w:line="235" w:lineRule="auto"/>
        <w:ind w:left="164" w:right="167"/>
        <w:jc w:val="both"/>
      </w:pPr>
      <w:r>
        <w:rPr/>
        <w:t>s.6 of the 1998 Act, the House of Lords started by asking whether ss.3 and 4 of the 1998 Act apply retrospectively to the facts before them, the contract of consumer credit having been made and</w:t>
      </w:r>
      <w:r>
        <w:rPr>
          <w:spacing w:val="40"/>
        </w:rPr>
        <w:t> </w:t>
      </w:r>
      <w:r>
        <w:rPr/>
        <w:t>having been due to have been performed before the coming into force of the operative provisions </w:t>
      </w:r>
      <w:r>
        <w:rPr/>
        <w:t>of the 1998 Act on December 2, 2000. The House of Lords held unanimously that in the circumstances of the case ss.3 and 4 should not be held to apply to a contract made and to be performed before the coming into force of the 1998 Act. For a majority of their lordships this position was reached by</w:t>
      </w:r>
      <w:r>
        <w:rPr>
          <w:spacing w:val="40"/>
        </w:rPr>
        <w:t> </w:t>
      </w:r>
      <w:bookmarkStart w:name="_bookmark975" w:id="977"/>
      <w:bookmarkEnd w:id="977"/>
      <w:r>
        <w:rPr/>
        <w:t>holding</w:t>
      </w:r>
      <w:r>
        <w:rPr/>
        <w:t> that while ss.2–4 of the 1998 Act may clearly apply to enactments made before its coming</w:t>
      </w:r>
      <w:r>
        <w:rPr>
          <w:spacing w:val="80"/>
        </w:rPr>
        <w:t> </w:t>
      </w:r>
      <w:r>
        <w:rPr/>
        <w:t>into force, </w:t>
      </w:r>
      <w:r>
        <w:rPr>
          <w:color w:val="005DA1"/>
          <w:u w:val="single" w:color="005DA1"/>
          <w:vertAlign w:val="superscript"/>
        </w:rPr>
        <w:t>524</w:t>
      </w:r>
      <w:r>
        <w:rPr>
          <w:color w:val="005DA1"/>
          <w:vertAlign w:val="baseline"/>
        </w:rPr>
        <w:t> </w:t>
      </w:r>
      <w:r>
        <w:rPr>
          <w:vertAlign w:val="baseline"/>
        </w:rPr>
        <w:t>they should not be interpreted so as to allow the challenge of primary legislation </w:t>
      </w:r>
      <w:bookmarkStart w:name="_bookmark976" w:id="978"/>
      <w:bookmarkEnd w:id="978"/>
      <w:r>
        <w:rPr>
          <w:vertAlign w:val="baseline"/>
        </w:rPr>
        <w:t>affecting</w:t>
      </w:r>
      <w:r>
        <w:rPr>
          <w:vertAlign w:val="baseline"/>
        </w:rPr>
        <w:t> “transactions that have created rights and obligations which the parties seek to enforce against each other”. </w:t>
      </w:r>
      <w:r>
        <w:rPr>
          <w:color w:val="005DA1"/>
          <w:u w:val="single" w:color="005DA1"/>
          <w:vertAlign w:val="superscript"/>
        </w:rPr>
        <w:t>525</w:t>
      </w:r>
      <w:r>
        <w:rPr>
          <w:color w:val="005DA1"/>
          <w:vertAlign w:val="baseline"/>
        </w:rPr>
        <w:t> </w:t>
      </w:r>
      <w:r>
        <w:rPr>
          <w:vertAlign w:val="baseline"/>
        </w:rPr>
        <w:t>In the words of Lord Scott of Foscote:</w:t>
      </w:r>
    </w:p>
    <w:p>
      <w:pPr>
        <w:pStyle w:val="BodyText"/>
      </w:pPr>
    </w:p>
    <w:p>
      <w:pPr>
        <w:pStyle w:val="BodyText"/>
        <w:spacing w:before="117"/>
      </w:pPr>
    </w:p>
    <w:p>
      <w:pPr>
        <w:pStyle w:val="BodyText"/>
        <w:spacing w:line="235" w:lineRule="auto" w:before="1"/>
        <w:ind w:left="1245" w:right="167"/>
        <w:jc w:val="both"/>
      </w:pPr>
      <w:r>
        <w:rPr/>
        <w:t>“The legal consequences under the civil law of a transaction or of events ought to </w:t>
      </w:r>
      <w:r>
        <w:rPr/>
        <w:t>be </w:t>
      </w:r>
      <w:bookmarkStart w:name="_bookmark977" w:id="979"/>
      <w:bookmarkEnd w:id="979"/>
      <w:r>
        <w:rPr/>
        <w:t>established</w:t>
      </w:r>
      <w:r>
        <w:rPr/>
        <w:t> by reference to the law at the time they take place. They cannot do so if subsequent legislation may add to or diminish those rights or obligations.” </w:t>
      </w:r>
      <w:r>
        <w:rPr>
          <w:color w:val="005DA1"/>
          <w:u w:val="single" w:color="005DA1"/>
          <w:vertAlign w:val="superscript"/>
        </w:rPr>
        <w:t>526</w:t>
      </w:r>
    </w:p>
    <w:p>
      <w:pPr>
        <w:pStyle w:val="BodyText"/>
        <w:spacing w:before="115"/>
      </w:pPr>
    </w:p>
    <w:p>
      <w:pPr>
        <w:pStyle w:val="BodyText"/>
        <w:spacing w:line="235" w:lineRule="auto"/>
        <w:ind w:left="165" w:right="167"/>
        <w:jc w:val="both"/>
      </w:pPr>
      <w:r>
        <w:rPr/>
        <w:t>Given their lordships’ view of the lack of impact of ss.3 and 4 on the contract before them, it </w:t>
      </w:r>
      <w:r>
        <w:rPr/>
        <w:t>followed </w:t>
      </w:r>
      <w:bookmarkStart w:name="_bookmark978" w:id="980"/>
      <w:bookmarkEnd w:id="980"/>
      <w:r>
        <w:rPr/>
        <w:t>that</w:t>
      </w:r>
      <w:r>
        <w:rPr/>
        <w:t> the Court of Appeal’s reliance on s.6 of the 1998 Act was misplaced, since s.6 cannot make unlawful a court’s lawful action in giving effect to pre-Act rights and obligations. </w:t>
      </w:r>
      <w:r>
        <w:rPr>
          <w:color w:val="005DA1"/>
          <w:u w:val="single" w:color="005DA1"/>
          <w:vertAlign w:val="superscript"/>
        </w:rPr>
        <w:t>527</w:t>
      </w:r>
      <w:r>
        <w:rPr>
          <w:color w:val="005DA1"/>
          <w:vertAlign w:val="baseline"/>
        </w:rPr>
        <w:t> </w:t>
      </w:r>
      <w:r>
        <w:rPr>
          <w:vertAlign w:val="baseline"/>
        </w:rPr>
        <w:t>As a result, the 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should</w:t>
      </w:r>
      <w:r>
        <w:rPr>
          <w:spacing w:val="-2"/>
          <w:vertAlign w:val="baseline"/>
        </w:rPr>
        <w:t> </w:t>
      </w:r>
      <w:r>
        <w:rPr>
          <w:vertAlign w:val="baseline"/>
        </w:rPr>
        <w:t>not</w:t>
      </w:r>
      <w:r>
        <w:rPr>
          <w:spacing w:val="-2"/>
          <w:vertAlign w:val="baseline"/>
        </w:rPr>
        <w:t> </w:t>
      </w:r>
      <w:r>
        <w:rPr>
          <w:vertAlign w:val="baseline"/>
        </w:rPr>
        <w:t>have</w:t>
      </w:r>
      <w:r>
        <w:rPr>
          <w:spacing w:val="-2"/>
          <w:vertAlign w:val="baseline"/>
        </w:rPr>
        <w:t> </w:t>
      </w:r>
      <w:r>
        <w:rPr>
          <w:vertAlign w:val="baseline"/>
        </w:rPr>
        <w:t>considered</w:t>
      </w:r>
      <w:r>
        <w:rPr>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compatibility</w:t>
      </w:r>
      <w:r>
        <w:rPr>
          <w:spacing w:val="-2"/>
          <w:vertAlign w:val="baseline"/>
        </w:rPr>
        <w:t> </w:t>
      </w:r>
      <w:r>
        <w:rPr>
          <w:vertAlign w:val="baseline"/>
        </w:rPr>
        <w:t>with</w:t>
      </w:r>
      <w:r>
        <w:rPr>
          <w:spacing w:val="-2"/>
          <w:vertAlign w:val="baseline"/>
        </w:rPr>
        <w:t> </w:t>
      </w:r>
      <w:r>
        <w:rPr>
          <w:vertAlign w:val="baseline"/>
        </w:rPr>
        <w:t>Convention</w:t>
      </w:r>
      <w:r>
        <w:rPr>
          <w:spacing w:val="-2"/>
          <w:vertAlign w:val="baseline"/>
        </w:rPr>
        <w:t> </w:t>
      </w:r>
      <w:r>
        <w:rPr>
          <w:vertAlign w:val="baseline"/>
        </w:rPr>
        <w:t>rights</w:t>
      </w:r>
      <w:r>
        <w:rPr>
          <w:spacing w:val="-2"/>
          <w:vertAlign w:val="baseline"/>
        </w:rPr>
        <w:t> </w:t>
      </w:r>
      <w:r>
        <w:rPr>
          <w:vertAlign w:val="baseline"/>
        </w:rPr>
        <w:t>of </w:t>
      </w:r>
      <w:bookmarkStart w:name="_bookmark979" w:id="981"/>
      <w:bookmarkEnd w:id="981"/>
      <w:r>
        <w:rPr>
          <w:vertAlign w:val="baseline"/>
        </w:rPr>
        <w:t>the</w:t>
      </w:r>
      <w:r>
        <w:rPr>
          <w:vertAlign w:val="baseline"/>
        </w:rPr>
        <w:t> Consumer Credit Act’s provisions which denied the enforceability of the contract for the benefit of the</w:t>
      </w:r>
      <w:r>
        <w:rPr>
          <w:spacing w:val="32"/>
          <w:vertAlign w:val="baseline"/>
        </w:rPr>
        <w:t> </w:t>
      </w:r>
      <w:r>
        <w:rPr>
          <w:vertAlign w:val="baseline"/>
        </w:rPr>
        <w:t>creditor.</w:t>
      </w:r>
      <w:r>
        <w:rPr>
          <w:spacing w:val="33"/>
          <w:vertAlign w:val="baseline"/>
        </w:rPr>
        <w:t> </w:t>
      </w:r>
      <w:r>
        <w:rPr>
          <w:color w:val="005DA1"/>
          <w:u w:val="single" w:color="005DA1"/>
          <w:vertAlign w:val="superscript"/>
        </w:rPr>
        <w:t>528</w:t>
      </w:r>
      <w:r>
        <w:rPr>
          <w:color w:val="005DA1"/>
          <w:spacing w:val="33"/>
          <w:vertAlign w:val="baseline"/>
        </w:rPr>
        <w:t> </w:t>
      </w:r>
      <w:r>
        <w:rPr>
          <w:vertAlign w:val="baseline"/>
        </w:rPr>
        <w:t>While</w:t>
      </w:r>
      <w:r>
        <w:rPr>
          <w:spacing w:val="33"/>
          <w:vertAlign w:val="baseline"/>
        </w:rPr>
        <w:t> </w:t>
      </w:r>
      <w:r>
        <w:rPr>
          <w:vertAlign w:val="baseline"/>
        </w:rPr>
        <w:t>Lord</w:t>
      </w:r>
      <w:r>
        <w:rPr>
          <w:spacing w:val="33"/>
          <w:vertAlign w:val="baseline"/>
        </w:rPr>
        <w:t> </w:t>
      </w:r>
      <w:r>
        <w:rPr>
          <w:vertAlign w:val="baseline"/>
        </w:rPr>
        <w:t>Rodger</w:t>
      </w:r>
      <w:r>
        <w:rPr>
          <w:spacing w:val="33"/>
          <w:vertAlign w:val="baseline"/>
        </w:rPr>
        <w:t> </w:t>
      </w:r>
      <w:r>
        <w:rPr>
          <w:vertAlign w:val="baseline"/>
        </w:rPr>
        <w:t>of</w:t>
      </w:r>
      <w:r>
        <w:rPr>
          <w:spacing w:val="33"/>
          <w:vertAlign w:val="baseline"/>
        </w:rPr>
        <w:t> </w:t>
      </w:r>
      <w:r>
        <w:rPr>
          <w:vertAlign w:val="baseline"/>
        </w:rPr>
        <w:t>Earlsferry</w:t>
      </w:r>
      <w:r>
        <w:rPr>
          <w:spacing w:val="33"/>
          <w:vertAlign w:val="baseline"/>
        </w:rPr>
        <w:t> </w:t>
      </w:r>
      <w:r>
        <w:rPr>
          <w:vertAlign w:val="baseline"/>
        </w:rPr>
        <w:t>agreed</w:t>
      </w:r>
      <w:r>
        <w:rPr>
          <w:spacing w:val="33"/>
          <w:vertAlign w:val="baseline"/>
        </w:rPr>
        <w:t> </w:t>
      </w:r>
      <w:r>
        <w:rPr>
          <w:vertAlign w:val="baseline"/>
        </w:rPr>
        <w:t>with</w:t>
      </w:r>
      <w:r>
        <w:rPr>
          <w:spacing w:val="33"/>
          <w:vertAlign w:val="baseline"/>
        </w:rPr>
        <w:t> </w:t>
      </w:r>
      <w:r>
        <w:rPr>
          <w:vertAlign w:val="baseline"/>
        </w:rPr>
        <w:t>this</w:t>
      </w:r>
      <w:r>
        <w:rPr>
          <w:spacing w:val="33"/>
          <w:vertAlign w:val="baseline"/>
        </w:rPr>
        <w:t> </w:t>
      </w:r>
      <w:r>
        <w:rPr>
          <w:vertAlign w:val="baseline"/>
        </w:rPr>
        <w:t>decision</w:t>
      </w:r>
      <w:r>
        <w:rPr>
          <w:spacing w:val="32"/>
          <w:vertAlign w:val="baseline"/>
        </w:rPr>
        <w:t> </w:t>
      </w:r>
      <w:r>
        <w:rPr>
          <w:vertAlign w:val="baseline"/>
        </w:rPr>
        <w:t>on</w:t>
      </w:r>
      <w:r>
        <w:rPr>
          <w:spacing w:val="33"/>
          <w:vertAlign w:val="baseline"/>
        </w:rPr>
        <w:t> </w:t>
      </w:r>
      <w:r>
        <w:rPr>
          <w:vertAlign w:val="baseline"/>
        </w:rPr>
        <w:t>the</w:t>
      </w:r>
      <w:r>
        <w:rPr>
          <w:spacing w:val="33"/>
          <w:vertAlign w:val="baseline"/>
        </w:rPr>
        <w:t> </w:t>
      </w:r>
      <w:r>
        <w:rPr>
          <w:vertAlign w:val="baseline"/>
        </w:rPr>
        <w:t>facts</w:t>
      </w:r>
      <w:r>
        <w:rPr>
          <w:spacing w:val="33"/>
          <w:vertAlign w:val="baseline"/>
        </w:rPr>
        <w:t> </w:t>
      </w:r>
      <w:r>
        <w:rPr>
          <w:vertAlign w:val="baseline"/>
        </w:rPr>
        <w:t>before</w:t>
      </w:r>
      <w:r>
        <w:rPr>
          <w:spacing w:val="33"/>
          <w:vertAlign w:val="baseline"/>
        </w:rPr>
        <w:t> </w:t>
      </w:r>
      <w:r>
        <w:rPr>
          <w:spacing w:val="-5"/>
          <w:vertAlign w:val="baseline"/>
        </w:rPr>
        <w:t>the</w:t>
      </w:r>
    </w:p>
    <w:p>
      <w:pPr>
        <w:pStyle w:val="BodyText"/>
        <w:spacing w:after="0" w:line="235" w:lineRule="auto"/>
        <w:jc w:val="both"/>
        <w:sectPr>
          <w:headerReference w:type="default" r:id="rId23"/>
          <w:pgSz w:w="11900" w:h="16840"/>
          <w:pgMar w:header="971" w:footer="0" w:top="1300" w:bottom="280" w:left="1275" w:right="1275"/>
          <w:pgNumType w:start="1"/>
        </w:sectPr>
      </w:pPr>
    </w:p>
    <w:p>
      <w:pPr>
        <w:pStyle w:val="BodyText"/>
        <w:spacing w:line="235" w:lineRule="auto" w:before="110"/>
        <w:ind w:left="165" w:right="167"/>
        <w:jc w:val="both"/>
      </w:pPr>
      <w:r>
        <w:rPr/>
        <w:t>House, he did so explicitly on the narrower ground that ss.3 and 4 of the 1998 Act did not apply to </w:t>
      </w:r>
      <w:bookmarkStart w:name="_bookmark980" w:id="982"/>
      <w:bookmarkEnd w:id="982"/>
      <w:r>
        <w:rPr/>
        <w:t>pending</w:t>
      </w:r>
      <w:r>
        <w:rPr/>
        <w:t> proceedings so as to protect the Convention rights enshrined in art.1 of the First Protocol </w:t>
      </w:r>
      <w:r>
        <w:rPr/>
        <w:t>to the Convention protecting a person’s right to the peaceful enjoyment of his possessions. </w:t>
      </w:r>
      <w:r>
        <w:rPr>
          <w:color w:val="005DA1"/>
          <w:u w:val="single" w:color="005DA1"/>
          <w:vertAlign w:val="superscript"/>
        </w:rPr>
        <w:t>529</w:t>
      </w:r>
    </w:p>
    <w:p>
      <w:pPr>
        <w:pStyle w:val="BodyText"/>
        <w:spacing w:before="80"/>
      </w:pPr>
    </w:p>
    <w:p>
      <w:pPr>
        <w:spacing w:before="1"/>
        <w:ind w:left="165" w:right="0" w:firstLine="0"/>
        <w:jc w:val="left"/>
        <w:rPr>
          <w:rFonts w:ascii="Arial"/>
          <w:b/>
          <w:sz w:val="24"/>
        </w:rPr>
      </w:pPr>
      <w:r>
        <w:rPr>
          <w:rFonts w:ascii="Arial"/>
          <w:b/>
          <w:sz w:val="24"/>
        </w:rPr>
        <w:t>1-</w:t>
      </w:r>
      <w:r>
        <w:rPr>
          <w:rFonts w:ascii="Arial"/>
          <w:b/>
          <w:spacing w:val="-5"/>
          <w:sz w:val="24"/>
        </w:rPr>
        <w:t>060</w:t>
      </w:r>
    </w:p>
    <w:p>
      <w:pPr>
        <w:pStyle w:val="BodyText"/>
        <w:spacing w:line="235" w:lineRule="auto" w:before="202"/>
        <w:ind w:left="165" w:right="167"/>
        <w:jc w:val="both"/>
      </w:pPr>
      <w:bookmarkStart w:name="_bookmark981" w:id="983"/>
      <w:bookmarkEnd w:id="983"/>
      <w:r>
        <w:rPr/>
      </w:r>
      <w:r>
        <w:rPr/>
        <w:t>On the other hand, in </w:t>
      </w:r>
      <w:r>
        <w:rPr>
          <w:rFonts w:ascii="Arial" w:hAnsi="Arial"/>
          <w:i/>
        </w:rPr>
        <w:t>PW &amp; Co v Milton Gate Investments Ltd </w:t>
      </w:r>
      <w:r>
        <w:rPr>
          <w:color w:val="005DA1"/>
          <w:u w:val="single" w:color="005DA1"/>
          <w:vertAlign w:val="superscript"/>
        </w:rPr>
        <w:t>530</w:t>
      </w:r>
      <w:r>
        <w:rPr>
          <w:color w:val="005DA1"/>
          <w:vertAlign w:val="baseline"/>
        </w:rPr>
        <w:t> </w:t>
      </w:r>
      <w:r>
        <w:rPr>
          <w:vertAlign w:val="baseline"/>
        </w:rPr>
        <w:t>Neuberger J. was prepared to accept that s.3 of the Human Rights Act could apply to an issue arising from a lease made before its coming</w:t>
      </w:r>
      <w:r>
        <w:rPr>
          <w:spacing w:val="-2"/>
          <w:vertAlign w:val="baseline"/>
        </w:rPr>
        <w:t> </w:t>
      </w:r>
      <w:r>
        <w:rPr>
          <w:vertAlign w:val="baseline"/>
        </w:rPr>
        <w:t>into</w:t>
      </w:r>
      <w:r>
        <w:rPr>
          <w:spacing w:val="-2"/>
          <w:vertAlign w:val="baseline"/>
        </w:rPr>
        <w:t> </w:t>
      </w:r>
      <w:r>
        <w:rPr>
          <w:vertAlign w:val="baseline"/>
        </w:rPr>
        <w:t>force.</w:t>
      </w:r>
      <w:r>
        <w:rPr>
          <w:spacing w:val="-2"/>
          <w:vertAlign w:val="baseline"/>
        </w:rPr>
        <w:t> </w:t>
      </w:r>
      <w:r>
        <w:rPr>
          <w:vertAlign w:val="baseline"/>
        </w:rPr>
        <w:t>There,</w:t>
      </w:r>
      <w:r>
        <w:rPr>
          <w:spacing w:val="-2"/>
          <w:vertAlign w:val="baseline"/>
        </w:rPr>
        <w:t> </w:t>
      </w:r>
      <w:r>
        <w:rPr>
          <w:vertAlign w:val="baseline"/>
        </w:rPr>
        <w:t>the</w:t>
      </w:r>
      <w:r>
        <w:rPr>
          <w:spacing w:val="-2"/>
          <w:vertAlign w:val="baseline"/>
        </w:rPr>
        <w:t> </w:t>
      </w:r>
      <w:r>
        <w:rPr>
          <w:vertAlign w:val="baseline"/>
        </w:rPr>
        <w:t>learned</w:t>
      </w:r>
      <w:r>
        <w:rPr>
          <w:spacing w:val="-2"/>
          <w:vertAlign w:val="baseline"/>
        </w:rPr>
        <w:t> </w:t>
      </w:r>
      <w:r>
        <w:rPr>
          <w:vertAlign w:val="baseline"/>
        </w:rPr>
        <w:t>judge</w:t>
      </w:r>
      <w:r>
        <w:rPr>
          <w:spacing w:val="-2"/>
          <w:vertAlign w:val="baseline"/>
        </w:rPr>
        <w:t> </w:t>
      </w:r>
      <w:r>
        <w:rPr>
          <w:vertAlign w:val="baseline"/>
        </w:rPr>
        <w:t>had</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apart</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operation</w:t>
      </w:r>
      <w:r>
        <w:rPr>
          <w:spacing w:val="-2"/>
          <w:vertAlign w:val="baseline"/>
        </w:rPr>
        <w:t> </w:t>
      </w:r>
      <w:r>
        <w:rPr>
          <w:vertAlign w:val="baseline"/>
        </w:rPr>
        <w:t>of</w:t>
      </w:r>
      <w:r>
        <w:rPr>
          <w:spacing w:val="-2"/>
          <w:vertAlign w:val="baseline"/>
        </w:rPr>
        <w:t> </w:t>
      </w:r>
      <w:r>
        <w:rPr>
          <w:vertAlign w:val="baseline"/>
        </w:rPr>
        <w:t>s.3,</w:t>
      </w:r>
      <w:r>
        <w:rPr>
          <w:spacing w:val="-2"/>
          <w:vertAlign w:val="baseline"/>
        </w:rPr>
        <w:t> </w:t>
      </w:r>
      <w:r>
        <w:rPr>
          <w:vertAlign w:val="baseline"/>
        </w:rPr>
        <w:t>the</w:t>
      </w:r>
      <w:r>
        <w:rPr>
          <w:spacing w:val="-2"/>
          <w:vertAlign w:val="baseline"/>
        </w:rPr>
        <w:t> </w:t>
      </w:r>
      <w:r>
        <w:rPr>
          <w:vertAlign w:val="baseline"/>
        </w:rPr>
        <w:t>exercise of a “break clause” in a head-tenancy did not determine the sub-tenancies entered into by the tenant </w:t>
      </w:r>
      <w:bookmarkStart w:name="_bookmark982" w:id="984"/>
      <w:bookmarkEnd w:id="984"/>
      <w:r>
        <w:rPr>
          <w:vertAlign w:val="baseline"/>
        </w:rPr>
        <w:t>as</w:t>
      </w:r>
      <w:r>
        <w:rPr>
          <w:vertAlign w:val="baseline"/>
        </w:rPr>
        <w:t> permitted under the head-lease even though the head-landlord was unable to recover rent under </w:t>
      </w:r>
      <w:bookmarkStart w:name="_bookmark983" w:id="985"/>
      <w:bookmarkEnd w:id="985"/>
      <w:r>
        <w:rPr>
          <w:vertAlign w:val="baseline"/>
        </w:rPr>
        <w:t>the</w:t>
      </w:r>
      <w:r>
        <w:rPr>
          <w:vertAlign w:val="baseline"/>
        </w:rPr>
        <w:t> sub-tenancy covenants. </w:t>
      </w:r>
      <w:r>
        <w:rPr>
          <w:color w:val="005DA1"/>
          <w:u w:val="single" w:color="005DA1"/>
          <w:vertAlign w:val="superscript"/>
        </w:rPr>
        <w:t>531</w:t>
      </w:r>
      <w:r>
        <w:rPr>
          <w:color w:val="005DA1"/>
          <w:vertAlign w:val="baseline"/>
        </w:rPr>
        <w:t> </w:t>
      </w:r>
      <w:r>
        <w:rPr>
          <w:vertAlign w:val="baseline"/>
        </w:rPr>
        <w:t>Having referred to a number of passages in the speeches of their lordships</w:t>
      </w:r>
      <w:r>
        <w:rPr>
          <w:spacing w:val="-2"/>
          <w:vertAlign w:val="baseline"/>
        </w:rPr>
        <w:t> </w:t>
      </w:r>
      <w:r>
        <w:rPr>
          <w:vertAlign w:val="baseline"/>
        </w:rPr>
        <w:t>in</w:t>
      </w:r>
      <w:r>
        <w:rPr>
          <w:spacing w:val="-2"/>
          <w:vertAlign w:val="baseline"/>
        </w:rPr>
        <w:t> </w:t>
      </w:r>
      <w:r>
        <w:rPr>
          <w:rFonts w:ascii="Arial" w:hAnsi="Arial"/>
          <w:i/>
          <w:vertAlign w:val="baseline"/>
        </w:rPr>
        <w:t>Wilson</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First</w:t>
      </w:r>
      <w:r>
        <w:rPr>
          <w:rFonts w:ascii="Arial" w:hAnsi="Arial"/>
          <w:i/>
          <w:spacing w:val="-2"/>
          <w:vertAlign w:val="baseline"/>
        </w:rPr>
        <w:t> </w:t>
      </w:r>
      <w:r>
        <w:rPr>
          <w:rFonts w:ascii="Arial" w:hAnsi="Arial"/>
          <w:i/>
          <w:vertAlign w:val="baseline"/>
        </w:rPr>
        <w:t>County</w:t>
      </w:r>
      <w:r>
        <w:rPr>
          <w:rFonts w:ascii="Arial" w:hAnsi="Arial"/>
          <w:i/>
          <w:spacing w:val="-2"/>
          <w:vertAlign w:val="baseline"/>
        </w:rPr>
        <w:t> </w:t>
      </w:r>
      <w:r>
        <w:rPr>
          <w:rFonts w:ascii="Arial" w:hAnsi="Arial"/>
          <w:i/>
          <w:vertAlign w:val="baseline"/>
        </w:rPr>
        <w:t>Trust</w:t>
      </w:r>
      <w:r>
        <w:rPr>
          <w:rFonts w:ascii="Arial" w:hAnsi="Arial"/>
          <w:i/>
          <w:spacing w:val="-2"/>
          <w:vertAlign w:val="baseline"/>
        </w:rPr>
        <w:t> </w:t>
      </w:r>
      <w:r>
        <w:rPr>
          <w:rFonts w:ascii="Arial" w:hAnsi="Arial"/>
          <w:i/>
          <w:vertAlign w:val="baseline"/>
        </w:rPr>
        <w:t>(No.2)</w:t>
      </w:r>
      <w:r>
        <w:rPr>
          <w:vertAlign w:val="baseline"/>
        </w:rPr>
        <w:t>,</w:t>
      </w:r>
      <w:r>
        <w:rPr>
          <w:spacing w:val="-2"/>
          <w:vertAlign w:val="baseline"/>
        </w:rPr>
        <w:t> </w:t>
      </w:r>
      <w:r>
        <w:rPr>
          <w:color w:val="005DA1"/>
          <w:u w:val="single" w:color="005DA1"/>
          <w:vertAlign w:val="superscript"/>
        </w:rPr>
        <w:t>532</w:t>
      </w:r>
      <w:r>
        <w:rPr>
          <w:color w:val="005DA1"/>
          <w:spacing w:val="-2"/>
          <w:vertAlign w:val="baseline"/>
        </w:rPr>
        <w:t> </w:t>
      </w:r>
      <w:r>
        <w:rPr>
          <w:vertAlign w:val="baseline"/>
        </w:rPr>
        <w:t>Neuberger</w:t>
      </w:r>
      <w:r>
        <w:rPr>
          <w:spacing w:val="-2"/>
          <w:vertAlign w:val="baseline"/>
        </w:rPr>
        <w:t> </w:t>
      </w:r>
      <w:r>
        <w:rPr>
          <w:vertAlign w:val="baseline"/>
        </w:rPr>
        <w:t>J.</w:t>
      </w:r>
      <w:r>
        <w:rPr>
          <w:spacing w:val="-2"/>
          <w:vertAlign w:val="baseline"/>
        </w:rPr>
        <w:t> </w:t>
      </w:r>
      <w:r>
        <w:rPr>
          <w:vertAlign w:val="baseline"/>
        </w:rPr>
        <w:t>concluded</w:t>
      </w:r>
      <w:r>
        <w:rPr>
          <w:spacing w:val="-2"/>
          <w:vertAlign w:val="baseline"/>
        </w:rPr>
        <w:t> </w:t>
      </w:r>
      <w:r>
        <w:rPr>
          <w:vertAlign w:val="baseline"/>
        </w:rPr>
        <w:t>that</w:t>
      </w:r>
      <w:r>
        <w:rPr>
          <w:spacing w:val="-2"/>
          <w:vertAlign w:val="baseline"/>
        </w:rPr>
        <w:t> </w:t>
      </w:r>
      <w:r>
        <w:rPr>
          <w:vertAlign w:val="baseline"/>
        </w:rPr>
        <w:t>their</w:t>
      </w:r>
      <w:r>
        <w:rPr>
          <w:spacing w:val="-2"/>
          <w:vertAlign w:val="baseline"/>
        </w:rPr>
        <w:t> </w:t>
      </w:r>
      <w:r>
        <w:rPr>
          <w:vertAlign w:val="baseline"/>
        </w:rPr>
        <w:t>reasoning</w:t>
      </w:r>
      <w:r>
        <w:rPr>
          <w:spacing w:val="-2"/>
          <w:vertAlign w:val="baseline"/>
        </w:rPr>
        <w:t> </w:t>
      </w:r>
      <w:r>
        <w:rPr>
          <w:vertAlign w:val="baseline"/>
        </w:rPr>
        <w:t>did</w:t>
      </w:r>
      <w:r>
        <w:rPr>
          <w:spacing w:val="-2"/>
          <w:vertAlign w:val="baseline"/>
        </w:rPr>
        <w:t> </w:t>
      </w:r>
      <w:r>
        <w:rPr>
          <w:vertAlign w:val="baseline"/>
        </w:rPr>
        <w:t>not </w:t>
      </w:r>
      <w:bookmarkStart w:name="_bookmark984" w:id="986"/>
      <w:bookmarkEnd w:id="986"/>
      <w:r>
        <w:rPr>
          <w:vertAlign w:val="baseline"/>
        </w:rPr>
        <w:t>preclude</w:t>
      </w:r>
      <w:r>
        <w:rPr>
          <w:vertAlign w:val="baseline"/>
        </w:rPr>
        <w:t> the application of ss.3 or 4 of the 1998 Act to issues arising out of contracts made before its coming into force as long as this did not impair “vested rights” or otherwise create unfairness. </w:t>
      </w:r>
      <w:r>
        <w:rPr>
          <w:color w:val="005DA1"/>
          <w:u w:val="single" w:color="005DA1"/>
          <w:vertAlign w:val="superscript"/>
        </w:rPr>
        <w:t>533</w:t>
      </w:r>
      <w:r>
        <w:rPr>
          <w:color w:val="005DA1"/>
          <w:vertAlign w:val="baseline"/>
        </w:rPr>
        <w:t> </w:t>
      </w:r>
      <w:r>
        <w:rPr>
          <w:vertAlign w:val="baseline"/>
        </w:rPr>
        <w:t>In particular, he noted as “very much in point” Lord Scott of Foscote’s reference in </w:t>
      </w:r>
      <w:r>
        <w:rPr>
          <w:rFonts w:ascii="Arial" w:hAnsi="Arial"/>
          <w:i/>
          <w:vertAlign w:val="baseline"/>
        </w:rPr>
        <w:t>Wilson’s </w:t>
      </w:r>
      <w:r>
        <w:rPr>
          <w:vertAlign w:val="baseline"/>
        </w:rPr>
        <w:t>case to the </w:t>
      </w:r>
      <w:bookmarkStart w:name="_bookmark985" w:id="987"/>
      <w:bookmarkEnd w:id="987"/>
      <w:r>
        <w:rPr>
          <w:vertAlign w:val="baseline"/>
        </w:rPr>
        <w:t>example</w:t>
      </w:r>
      <w:r>
        <w:rPr>
          <w:vertAlign w:val="baseline"/>
        </w:rPr>
        <w:t> of the impact of legislation intervening between the creation of a lease and its expiry where the legislation could affect the rights and obligations arising under the transaction. </w:t>
      </w:r>
      <w:r>
        <w:rPr>
          <w:color w:val="005DA1"/>
          <w:u w:val="single" w:color="005DA1"/>
          <w:vertAlign w:val="superscript"/>
        </w:rPr>
        <w:t>534</w:t>
      </w:r>
      <w:r>
        <w:rPr>
          <w:color w:val="005DA1"/>
          <w:vertAlign w:val="baseline"/>
        </w:rPr>
        <w:t> </w:t>
      </w:r>
      <w:r>
        <w:rPr>
          <w:vertAlign w:val="baseline"/>
        </w:rPr>
        <w:t>On the facts before him, Neuberger J. considered that:</w:t>
      </w:r>
    </w:p>
    <w:p>
      <w:pPr>
        <w:pStyle w:val="BodyText"/>
      </w:pPr>
    </w:p>
    <w:p>
      <w:pPr>
        <w:pStyle w:val="BodyText"/>
        <w:spacing w:before="122"/>
      </w:pPr>
    </w:p>
    <w:p>
      <w:pPr>
        <w:pStyle w:val="BodyText"/>
        <w:spacing w:line="235" w:lineRule="auto"/>
        <w:ind w:left="1245" w:right="167"/>
        <w:jc w:val="both"/>
      </w:pPr>
      <w:r>
        <w:rPr/>
        <w:t>“… the earliest that any ‘vested rights’ could be said to have arisen under [the break clause in the head-lease], was the date of the service of the Notice under that clause. </w:t>
      </w:r>
      <w:bookmarkStart w:name="_bookmark986" w:id="988"/>
      <w:bookmarkEnd w:id="988"/>
      <w:r>
        <w:rPr/>
        <w:t>Unless</w:t>
      </w:r>
      <w:r>
        <w:rPr/>
        <w:t> and until [the break clause] was operated, the rights and obligations of any of the parties as a result of the exercise were merely contingent and not vested.” </w:t>
      </w:r>
      <w:r>
        <w:rPr>
          <w:color w:val="005DA1"/>
          <w:u w:val="single" w:color="005DA1"/>
          <w:vertAlign w:val="superscript"/>
        </w:rPr>
        <w:t>535</w:t>
      </w:r>
    </w:p>
    <w:p>
      <w:pPr>
        <w:pStyle w:val="BodyText"/>
        <w:spacing w:before="115"/>
      </w:pPr>
    </w:p>
    <w:p>
      <w:pPr>
        <w:pStyle w:val="BodyText"/>
        <w:spacing w:line="235" w:lineRule="auto"/>
        <w:ind w:left="165" w:right="167"/>
        <w:jc w:val="both"/>
      </w:pPr>
      <w:r>
        <w:rPr/>
        <w:t>Since this notice had been served after the coming into force of s.3 of the 1998 Act there were </w:t>
      </w:r>
      <w:r>
        <w:rPr/>
        <w:t>no vested rights at the relevant time so as to prevent its operation on the legislative provisions whose application allegedly prejudiced the headlandlord’s right to property under art.1 of the First Protocol of the European Convention. Moreover, in the learned judge’s view, it was not more generally unfair to apply</w:t>
      </w:r>
      <w:r>
        <w:rPr>
          <w:spacing w:val="-2"/>
        </w:rPr>
        <w:t> </w:t>
      </w:r>
      <w:r>
        <w:rPr/>
        <w:t>s.3</w:t>
      </w:r>
      <w:r>
        <w:rPr>
          <w:spacing w:val="-2"/>
        </w:rPr>
        <w:t> </w:t>
      </w:r>
      <w:r>
        <w:rPr/>
        <w:t>in</w:t>
      </w:r>
      <w:r>
        <w:rPr>
          <w:spacing w:val="-2"/>
        </w:rPr>
        <w:t> </w:t>
      </w:r>
      <w:r>
        <w:rPr/>
        <w:t>this</w:t>
      </w:r>
      <w:r>
        <w:rPr>
          <w:spacing w:val="-2"/>
        </w:rPr>
        <w:t> </w:t>
      </w:r>
      <w:r>
        <w:rPr/>
        <w:t>way</w:t>
      </w:r>
      <w:r>
        <w:rPr>
          <w:spacing w:val="-2"/>
        </w:rPr>
        <w:t> </w:t>
      </w:r>
      <w:r>
        <w:rPr/>
        <w:t>even</w:t>
      </w:r>
      <w:r>
        <w:rPr>
          <w:spacing w:val="-2"/>
        </w:rPr>
        <w:t> </w:t>
      </w:r>
      <w:r>
        <w:rPr/>
        <w:t>though</w:t>
      </w:r>
      <w:r>
        <w:rPr>
          <w:spacing w:val="-2"/>
        </w:rPr>
        <w:t> </w:t>
      </w:r>
      <w:r>
        <w:rPr/>
        <w:t>the</w:t>
      </w:r>
      <w:r>
        <w:rPr>
          <w:spacing w:val="-2"/>
        </w:rPr>
        <w:t> </w:t>
      </w:r>
      <w:r>
        <w:rPr/>
        <w:t>notice</w:t>
      </w:r>
      <w:r>
        <w:rPr>
          <w:spacing w:val="-2"/>
        </w:rPr>
        <w:t> </w:t>
      </w:r>
      <w:r>
        <w:rPr/>
        <w:t>had</w:t>
      </w:r>
      <w:r>
        <w:rPr>
          <w:spacing w:val="-2"/>
        </w:rPr>
        <w:t> </w:t>
      </w:r>
      <w:r>
        <w:rPr/>
        <w:t>been</w:t>
      </w:r>
      <w:r>
        <w:rPr>
          <w:spacing w:val="-2"/>
        </w:rPr>
        <w:t> </w:t>
      </w:r>
      <w:r>
        <w:rPr/>
        <w:t>served</w:t>
      </w:r>
      <w:r>
        <w:rPr>
          <w:spacing w:val="-2"/>
        </w:rPr>
        <w:t> </w:t>
      </w:r>
      <w:r>
        <w:rPr/>
        <w:t>only</w:t>
      </w:r>
      <w:r>
        <w:rPr>
          <w:spacing w:val="-2"/>
        </w:rPr>
        <w:t> </w:t>
      </w:r>
      <w:r>
        <w:rPr/>
        <w:t>four</w:t>
      </w:r>
      <w:r>
        <w:rPr>
          <w:spacing w:val="-2"/>
        </w:rPr>
        <w:t> </w:t>
      </w:r>
      <w:r>
        <w:rPr/>
        <w:t>days</w:t>
      </w:r>
      <w:r>
        <w:rPr>
          <w:spacing w:val="-2"/>
        </w:rPr>
        <w:t> </w:t>
      </w:r>
      <w:r>
        <w:rPr/>
        <w:t>after</w:t>
      </w:r>
      <w:r>
        <w:rPr>
          <w:spacing w:val="-2"/>
        </w:rPr>
        <w:t> </w:t>
      </w:r>
      <w:r>
        <w:rPr/>
        <w:t>its</w:t>
      </w:r>
      <w:r>
        <w:rPr>
          <w:spacing w:val="-2"/>
        </w:rPr>
        <w:t> </w:t>
      </w:r>
      <w:r>
        <w:rPr/>
        <w:t>coming</w:t>
      </w:r>
      <w:r>
        <w:rPr>
          <w:spacing w:val="-2"/>
        </w:rPr>
        <w:t> </w:t>
      </w:r>
      <w:r>
        <w:rPr/>
        <w:t>into</w:t>
      </w:r>
      <w:r>
        <w:rPr>
          <w:spacing w:val="-2"/>
        </w:rPr>
        <w:t> </w:t>
      </w:r>
      <w:r>
        <w:rPr/>
        <w:t>force </w:t>
      </w:r>
      <w:bookmarkStart w:name="_bookmark987" w:id="989"/>
      <w:bookmarkEnd w:id="989"/>
      <w:r>
        <w:rPr/>
        <w:t>given,</w:t>
      </w:r>
      <w:r>
        <w:rPr/>
        <w:t> in particular, that the 1998 Act had been on the Statute Book for around two years before it came into force. </w:t>
      </w:r>
      <w:r>
        <w:rPr>
          <w:color w:val="005DA1"/>
          <w:u w:val="single" w:color="005DA1"/>
          <w:vertAlign w:val="superscript"/>
        </w:rPr>
        <w:t>536</w:t>
      </w:r>
    </w:p>
    <w:p>
      <w:pPr>
        <w:pStyle w:val="BodyText"/>
      </w:pPr>
    </w:p>
    <w:p>
      <w:pPr>
        <w:pStyle w:val="BodyText"/>
        <w:spacing w:before="37"/>
      </w:pPr>
      <w:r>
        <w:rPr/>
        <mc:AlternateContent>
          <mc:Choice Requires="wps">
            <w:drawing>
              <wp:anchor distT="0" distB="0" distL="0" distR="0" allowOverlap="1" layoutInCell="1" locked="0" behindDoc="1" simplePos="0" relativeHeight="487664128">
                <wp:simplePos x="0" y="0"/>
                <wp:positionH relativeFrom="page">
                  <wp:posOffset>914400</wp:posOffset>
                </wp:positionH>
                <wp:positionV relativeFrom="paragraph">
                  <wp:posOffset>185249</wp:posOffset>
                </wp:positionV>
                <wp:extent cx="5724525" cy="1270"/>
                <wp:effectExtent l="0" t="0" r="0" b="0"/>
                <wp:wrapTopAndBottom/>
                <wp:docPr id="310" name="Graphic 310"/>
                <wp:cNvGraphicFramePr>
                  <a:graphicFrameLocks/>
                </wp:cNvGraphicFramePr>
                <a:graphic>
                  <a:graphicData uri="http://schemas.microsoft.com/office/word/2010/wordprocessingShape">
                    <wps:wsp>
                      <wps:cNvPr id="310" name="Graphic 31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86535pt;width:450.75pt;height:.1pt;mso-position-horizontal-relative:page;mso-position-vertical-relative:paragraph;z-index:-15652352;mso-wrap-distance-left:0;mso-wrap-distance-right:0" id="docshape29"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988" w:id="990"/>
      <w:bookmarkEnd w:id="990"/>
      <w:r>
        <w:rPr/>
      </w:r>
      <w:hyperlink w:history="true" w:anchor="_bookmark968">
        <w:r>
          <w:rPr>
            <w:color w:val="005DA1"/>
            <w:spacing w:val="-4"/>
            <w:position w:val="5"/>
            <w:sz w:val="14"/>
            <w:u w:val="single" w:color="005DA1"/>
          </w:rPr>
          <w:t>516</w:t>
        </w:r>
      </w:hyperlink>
      <w:r>
        <w:rPr>
          <w:spacing w:val="-4"/>
          <w:position w:val="5"/>
          <w:sz w:val="14"/>
        </w:rPr>
        <w:t>.</w:t>
      </w:r>
      <w:r>
        <w:rPr>
          <w:position w:val="5"/>
          <w:sz w:val="14"/>
        </w:rPr>
        <w:tab/>
      </w:r>
      <w:r>
        <w:rPr>
          <w:rFonts w:ascii="Arial"/>
          <w:i/>
          <w:sz w:val="20"/>
        </w:rPr>
        <w:t>[2003] UKHL 40, [2003] 3 W.L.R. 568, reversing [2001] EWCA Civ 633, [2002] 2 Q.B. </w:t>
      </w:r>
      <w:r>
        <w:rPr>
          <w:rFonts w:ascii="Arial"/>
          <w:i/>
          <w:spacing w:val="-5"/>
          <w:sz w:val="20"/>
        </w:rPr>
        <w:t>74</w:t>
      </w:r>
      <w:r>
        <w:rPr>
          <w:spacing w:val="-5"/>
          <w:sz w:val="20"/>
        </w:rPr>
        <w:t>.</w:t>
      </w:r>
    </w:p>
    <w:p>
      <w:pPr>
        <w:pStyle w:val="BodyText"/>
        <w:spacing w:before="9"/>
      </w:pPr>
    </w:p>
    <w:p>
      <w:pPr>
        <w:pStyle w:val="BodyText"/>
        <w:tabs>
          <w:tab w:pos="705" w:val="left" w:leader="none"/>
        </w:tabs>
        <w:spacing w:line="235" w:lineRule="auto"/>
        <w:ind w:left="705" w:right="168" w:hanging="541"/>
      </w:pPr>
      <w:bookmarkStart w:name="_bookmark989" w:id="991"/>
      <w:bookmarkEnd w:id="991"/>
      <w:r>
        <w:rPr/>
      </w:r>
      <w:hyperlink w:history="true" w:anchor="_bookmark969">
        <w:r>
          <w:rPr>
            <w:color w:val="005DA1"/>
            <w:spacing w:val="-4"/>
            <w:position w:val="5"/>
            <w:sz w:val="14"/>
            <w:u w:val="single" w:color="005DA1"/>
          </w:rPr>
          <w:t>517</w:t>
        </w:r>
      </w:hyperlink>
      <w:r>
        <w:rPr>
          <w:spacing w:val="-4"/>
          <w:position w:val="5"/>
          <w:sz w:val="14"/>
        </w:rPr>
        <w:t>.</w:t>
      </w:r>
      <w:r>
        <w:rPr>
          <w:position w:val="5"/>
          <w:sz w:val="14"/>
        </w:rPr>
        <w:tab/>
      </w:r>
      <w:r>
        <w:rPr/>
        <w:t>Consumer Credit Act 1974 ss.65(1) and 127(3). Section 127(3) of the 1974 Act was repealed</w:t>
      </w:r>
      <w:r>
        <w:rPr>
          <w:spacing w:val="40"/>
        </w:rPr>
        <w:t> </w:t>
      </w:r>
      <w:r>
        <w:rPr/>
        <w:t>by the Consumer Credit Act 2006 s.15: see Vol.II, para.39-094.</w:t>
      </w:r>
    </w:p>
    <w:p>
      <w:pPr>
        <w:pStyle w:val="BodyText"/>
        <w:spacing w:before="5"/>
      </w:pPr>
    </w:p>
    <w:p>
      <w:pPr>
        <w:tabs>
          <w:tab w:pos="705" w:val="left" w:leader="none"/>
        </w:tabs>
        <w:spacing w:before="0"/>
        <w:ind w:left="165" w:right="0" w:firstLine="0"/>
        <w:jc w:val="left"/>
        <w:rPr>
          <w:sz w:val="20"/>
        </w:rPr>
      </w:pPr>
      <w:bookmarkStart w:name="_bookmark990" w:id="992"/>
      <w:bookmarkEnd w:id="992"/>
      <w:r>
        <w:rPr/>
      </w:r>
      <w:hyperlink w:history="true" w:anchor="_bookmark970">
        <w:r>
          <w:rPr>
            <w:color w:val="005DA1"/>
            <w:spacing w:val="-4"/>
            <w:position w:val="5"/>
            <w:sz w:val="14"/>
            <w:u w:val="single" w:color="005DA1"/>
          </w:rPr>
          <w:t>518</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EWCA Civ 633</w:t>
      </w:r>
      <w:r>
        <w:rPr>
          <w:rFonts w:ascii="Arial"/>
          <w:i/>
          <w:spacing w:val="-1"/>
          <w:sz w:val="20"/>
        </w:rPr>
        <w:t> </w:t>
      </w:r>
      <w:r>
        <w:rPr>
          <w:sz w:val="20"/>
        </w:rPr>
        <w:t>at </w:t>
      </w:r>
      <w:r>
        <w:rPr>
          <w:spacing w:val="-4"/>
          <w:sz w:val="20"/>
        </w:rPr>
        <w:t>[9].</w:t>
      </w:r>
    </w:p>
    <w:p>
      <w:pPr>
        <w:pStyle w:val="BodyText"/>
        <w:spacing w:before="5"/>
      </w:pPr>
    </w:p>
    <w:p>
      <w:pPr>
        <w:pStyle w:val="BodyText"/>
        <w:tabs>
          <w:tab w:pos="705" w:val="left" w:leader="none"/>
        </w:tabs>
        <w:ind w:left="165"/>
      </w:pPr>
      <w:bookmarkStart w:name="_bookmark991" w:id="993"/>
      <w:bookmarkEnd w:id="993"/>
      <w:r>
        <w:rPr/>
      </w:r>
      <w:hyperlink w:history="true" w:anchor="_bookmark971">
        <w:r>
          <w:rPr>
            <w:color w:val="005DA1"/>
            <w:spacing w:val="-4"/>
            <w:position w:val="5"/>
            <w:sz w:val="14"/>
            <w:u w:val="single" w:color="005DA1"/>
          </w:rPr>
          <w:t>519</w:t>
        </w:r>
      </w:hyperlink>
      <w:r>
        <w:rPr>
          <w:spacing w:val="-4"/>
          <w:position w:val="5"/>
          <w:sz w:val="14"/>
        </w:rPr>
        <w:t>.</w:t>
      </w:r>
      <w:r>
        <w:rPr>
          <w:position w:val="5"/>
          <w:sz w:val="14"/>
        </w:rPr>
        <w:tab/>
      </w:r>
      <w:r>
        <w:rPr/>
        <w:t>Human Rights Act 1998 </w:t>
      </w:r>
      <w:r>
        <w:rPr>
          <w:spacing w:val="-2"/>
        </w:rPr>
        <w:t>s.6(3)(a).</w:t>
      </w:r>
    </w:p>
    <w:p>
      <w:pPr>
        <w:pStyle w:val="BodyText"/>
        <w:spacing w:before="5"/>
      </w:pPr>
    </w:p>
    <w:p>
      <w:pPr>
        <w:tabs>
          <w:tab w:pos="705" w:val="left" w:leader="none"/>
        </w:tabs>
        <w:spacing w:before="0"/>
        <w:ind w:left="165" w:right="0" w:firstLine="0"/>
        <w:jc w:val="left"/>
        <w:rPr>
          <w:sz w:val="20"/>
        </w:rPr>
      </w:pPr>
      <w:bookmarkStart w:name="_bookmark992" w:id="994"/>
      <w:bookmarkEnd w:id="994"/>
      <w:r>
        <w:rPr/>
      </w:r>
      <w:hyperlink w:history="true" w:anchor="_bookmark971">
        <w:r>
          <w:rPr>
            <w:color w:val="005DA1"/>
            <w:spacing w:val="-4"/>
            <w:position w:val="5"/>
            <w:sz w:val="14"/>
            <w:u w:val="single" w:color="005DA1"/>
          </w:rPr>
          <w:t>520</w:t>
        </w:r>
      </w:hyperlink>
      <w:r>
        <w:rPr>
          <w:spacing w:val="-4"/>
          <w:position w:val="5"/>
          <w:sz w:val="14"/>
        </w:rPr>
        <w:t>.</w:t>
      </w:r>
      <w:r>
        <w:rPr>
          <w:position w:val="5"/>
          <w:sz w:val="14"/>
        </w:rPr>
        <w:tab/>
      </w:r>
      <w:r>
        <w:rPr>
          <w:rFonts w:ascii="Arial" w:hAnsi="Arial"/>
          <w:i/>
          <w:sz w:val="20"/>
        </w:rPr>
        <w:t>[2001] EWCA Civ 633</w:t>
      </w:r>
      <w:r>
        <w:rPr>
          <w:rFonts w:ascii="Arial" w:hAnsi="Arial"/>
          <w:i/>
          <w:spacing w:val="-1"/>
          <w:sz w:val="20"/>
        </w:rPr>
        <w:t> </w:t>
      </w:r>
      <w:r>
        <w:rPr>
          <w:sz w:val="20"/>
        </w:rPr>
        <w:t>at </w:t>
      </w:r>
      <w:r>
        <w:rPr>
          <w:spacing w:val="-2"/>
          <w:sz w:val="20"/>
        </w:rPr>
        <w:t>[17]–[18].</w:t>
      </w:r>
    </w:p>
    <w:p>
      <w:pPr>
        <w:pStyle w:val="BodyText"/>
        <w:spacing w:before="5"/>
      </w:pPr>
    </w:p>
    <w:p>
      <w:pPr>
        <w:tabs>
          <w:tab w:pos="705" w:val="left" w:leader="none"/>
        </w:tabs>
        <w:spacing w:before="1"/>
        <w:ind w:left="165" w:right="0" w:firstLine="0"/>
        <w:jc w:val="left"/>
        <w:rPr>
          <w:sz w:val="20"/>
        </w:rPr>
      </w:pPr>
      <w:bookmarkStart w:name="_bookmark993" w:id="995"/>
      <w:bookmarkEnd w:id="995"/>
      <w:r>
        <w:rPr/>
      </w:r>
      <w:hyperlink w:history="true" w:anchor="_bookmark972">
        <w:r>
          <w:rPr>
            <w:color w:val="005DA1"/>
            <w:spacing w:val="-4"/>
            <w:position w:val="5"/>
            <w:sz w:val="14"/>
            <w:u w:val="single" w:color="005DA1"/>
          </w:rPr>
          <w:t>521</w:t>
        </w:r>
      </w:hyperlink>
      <w:r>
        <w:rPr>
          <w:spacing w:val="-4"/>
          <w:position w:val="5"/>
          <w:sz w:val="14"/>
        </w:rPr>
        <w:t>.</w:t>
      </w:r>
      <w:r>
        <w:rPr>
          <w:position w:val="5"/>
          <w:sz w:val="14"/>
        </w:rPr>
        <w:tab/>
      </w:r>
      <w:r>
        <w:rPr>
          <w:rFonts w:ascii="Arial"/>
          <w:i/>
          <w:sz w:val="20"/>
        </w:rPr>
        <w:t>[2001] EWCA Civ 633</w:t>
      </w:r>
      <w:r>
        <w:rPr>
          <w:rFonts w:ascii="Arial"/>
          <w:i/>
          <w:spacing w:val="-1"/>
          <w:sz w:val="20"/>
        </w:rPr>
        <w:t> </w:t>
      </w:r>
      <w:r>
        <w:rPr>
          <w:sz w:val="20"/>
        </w:rPr>
        <w:t>at [28]-</w:t>
      </w:r>
      <w:r>
        <w:rPr>
          <w:spacing w:val="-2"/>
          <w:sz w:val="20"/>
        </w:rPr>
        <w:t>[29].</w:t>
      </w:r>
    </w:p>
    <w:p>
      <w:pPr>
        <w:pStyle w:val="BodyText"/>
        <w:spacing w:before="4"/>
      </w:pPr>
    </w:p>
    <w:p>
      <w:pPr>
        <w:pStyle w:val="BodyText"/>
        <w:tabs>
          <w:tab w:pos="705" w:val="left" w:leader="none"/>
        </w:tabs>
        <w:spacing w:before="1"/>
        <w:ind w:left="165"/>
      </w:pPr>
      <w:bookmarkStart w:name="_bookmark994" w:id="996"/>
      <w:bookmarkEnd w:id="996"/>
      <w:r>
        <w:rPr/>
      </w:r>
      <w:hyperlink w:history="true" w:anchor="_bookmark973">
        <w:r>
          <w:rPr>
            <w:color w:val="005DA1"/>
            <w:spacing w:val="-4"/>
            <w:position w:val="5"/>
            <w:sz w:val="14"/>
            <w:u w:val="single" w:color="005DA1"/>
          </w:rPr>
          <w:t>522</w:t>
        </w:r>
      </w:hyperlink>
      <w:r>
        <w:rPr>
          <w:spacing w:val="-4"/>
          <w:position w:val="5"/>
          <w:sz w:val="14"/>
        </w:rPr>
        <w:t>.</w:t>
      </w:r>
      <w:r>
        <w:rPr>
          <w:position w:val="5"/>
          <w:sz w:val="14"/>
        </w:rPr>
        <w:tab/>
      </w:r>
      <w:r>
        <w:rPr/>
        <w:t>Human Rights Act 1998 </w:t>
      </w:r>
      <w:r>
        <w:rPr>
          <w:spacing w:val="-2"/>
        </w:rPr>
        <w:t>s.4(2).</w:t>
      </w:r>
    </w:p>
    <w:p>
      <w:pPr>
        <w:pStyle w:val="BodyText"/>
        <w:spacing w:before="4"/>
      </w:pPr>
    </w:p>
    <w:p>
      <w:pPr>
        <w:tabs>
          <w:tab w:pos="705" w:val="left" w:leader="none"/>
        </w:tabs>
        <w:spacing w:before="1"/>
        <w:ind w:left="165" w:right="0" w:firstLine="0"/>
        <w:jc w:val="left"/>
        <w:rPr>
          <w:sz w:val="20"/>
        </w:rPr>
      </w:pPr>
      <w:bookmarkStart w:name="_bookmark995" w:id="997"/>
      <w:bookmarkEnd w:id="997"/>
      <w:r>
        <w:rPr/>
      </w:r>
      <w:hyperlink w:history="true" w:anchor="_bookmark974">
        <w:r>
          <w:rPr>
            <w:color w:val="005DA1"/>
            <w:spacing w:val="-4"/>
            <w:position w:val="5"/>
            <w:sz w:val="14"/>
            <w:u w:val="single" w:color="005DA1"/>
          </w:rPr>
          <w:t>523</w:t>
        </w:r>
      </w:hyperlink>
      <w:r>
        <w:rPr>
          <w:spacing w:val="-4"/>
          <w:position w:val="5"/>
          <w:sz w:val="14"/>
        </w:rPr>
        <w:t>.</w:t>
      </w:r>
      <w:r>
        <w:rPr>
          <w:position w:val="5"/>
          <w:sz w:val="14"/>
        </w:rPr>
        <w:tab/>
      </w:r>
      <w:r>
        <w:rPr>
          <w:rFonts w:ascii="Arial"/>
          <w:i/>
          <w:sz w:val="20"/>
        </w:rPr>
        <w:t>[2003] UKHL 40, [2003] 3 W.L.R. </w:t>
      </w:r>
      <w:r>
        <w:rPr>
          <w:rFonts w:ascii="Arial"/>
          <w:i/>
          <w:spacing w:val="-4"/>
          <w:sz w:val="20"/>
        </w:rPr>
        <w:t>568</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996" w:id="998"/>
      <w:bookmarkEnd w:id="998"/>
      <w:r>
        <w:rPr/>
      </w:r>
      <w:hyperlink w:history="true" w:anchor="_bookmark975">
        <w:r>
          <w:rPr>
            <w:color w:val="005DA1"/>
            <w:spacing w:val="-4"/>
            <w:position w:val="5"/>
            <w:sz w:val="14"/>
            <w:u w:val="single" w:color="005DA1"/>
          </w:rPr>
          <w:t>524</w:t>
        </w:r>
      </w:hyperlink>
      <w:r>
        <w:rPr>
          <w:spacing w:val="-4"/>
          <w:position w:val="5"/>
          <w:sz w:val="14"/>
        </w:rPr>
        <w:t>.</w:t>
      </w:r>
      <w:r>
        <w:rPr>
          <w:position w:val="5"/>
          <w:sz w:val="14"/>
        </w:rPr>
        <w:tab/>
      </w:r>
      <w:r>
        <w:rPr>
          <w:rFonts w:ascii="Arial"/>
          <w:i/>
          <w:sz w:val="20"/>
        </w:rPr>
        <w:t>[2003] 3 W.L.R. 568</w:t>
      </w:r>
      <w:r>
        <w:rPr>
          <w:rFonts w:ascii="Arial"/>
          <w:i/>
          <w:spacing w:val="-1"/>
          <w:sz w:val="20"/>
        </w:rPr>
        <w:t> </w:t>
      </w:r>
      <w:r>
        <w:rPr>
          <w:sz w:val="20"/>
        </w:rPr>
        <w:t>at [17], per Lord </w:t>
      </w:r>
      <w:r>
        <w:rPr>
          <w:spacing w:val="-2"/>
          <w:sz w:val="20"/>
        </w:rPr>
        <w:t>Nicholls.</w:t>
      </w:r>
    </w:p>
    <w:p>
      <w:pPr>
        <w:pStyle w:val="BodyText"/>
        <w:spacing w:before="8"/>
      </w:pPr>
    </w:p>
    <w:p>
      <w:pPr>
        <w:pStyle w:val="BodyText"/>
        <w:spacing w:line="235" w:lineRule="auto"/>
        <w:ind w:left="705" w:right="167" w:hanging="541"/>
        <w:jc w:val="both"/>
      </w:pPr>
      <w:bookmarkStart w:name="_bookmark997" w:id="999"/>
      <w:bookmarkEnd w:id="999"/>
      <w:r>
        <w:rPr/>
      </w:r>
      <w:hyperlink w:history="true" w:anchor="_bookmark976">
        <w:r>
          <w:rPr>
            <w:color w:val="005DA1"/>
            <w:position w:val="5"/>
            <w:sz w:val="14"/>
            <w:u w:val="single" w:color="005DA1"/>
          </w:rPr>
          <w:t>525</w:t>
        </w:r>
      </w:hyperlink>
      <w:r>
        <w:rPr>
          <w:position w:val="5"/>
          <w:sz w:val="14"/>
        </w:rPr>
        <w:t>.</w:t>
      </w:r>
      <w:r>
        <w:rPr>
          <w:spacing w:val="40"/>
          <w:position w:val="5"/>
          <w:sz w:val="14"/>
        </w:rPr>
        <w:t>  </w:t>
      </w:r>
      <w:r>
        <w:rPr>
          <w:rFonts w:ascii="Arial" w:hAnsi="Arial"/>
          <w:i/>
        </w:rPr>
        <w:t>[2003]</w:t>
      </w:r>
      <w:r>
        <w:rPr>
          <w:rFonts w:ascii="Arial" w:hAnsi="Arial"/>
          <w:i/>
          <w:spacing w:val="40"/>
        </w:rPr>
        <w:t> </w:t>
      </w:r>
      <w:r>
        <w:rPr>
          <w:rFonts w:ascii="Arial" w:hAnsi="Arial"/>
          <w:i/>
        </w:rPr>
        <w:t>3</w:t>
      </w:r>
      <w:r>
        <w:rPr>
          <w:rFonts w:ascii="Arial" w:hAnsi="Arial"/>
          <w:i/>
          <w:spacing w:val="40"/>
        </w:rPr>
        <w:t> </w:t>
      </w:r>
      <w:r>
        <w:rPr>
          <w:rFonts w:ascii="Arial" w:hAnsi="Arial"/>
          <w:i/>
        </w:rPr>
        <w:t>W.L.R.</w:t>
      </w:r>
      <w:r>
        <w:rPr>
          <w:rFonts w:ascii="Arial" w:hAnsi="Arial"/>
          <w:i/>
          <w:spacing w:val="40"/>
        </w:rPr>
        <w:t> </w:t>
      </w:r>
      <w:r>
        <w:rPr>
          <w:rFonts w:ascii="Arial" w:hAnsi="Arial"/>
          <w:i/>
        </w:rPr>
        <w:t>568</w:t>
      </w:r>
      <w:r>
        <w:rPr>
          <w:rFonts w:ascii="Arial" w:hAnsi="Arial"/>
          <w:i/>
          <w:spacing w:val="40"/>
        </w:rPr>
        <w:t> </w:t>
      </w:r>
      <w:r>
        <w:rPr/>
        <w:t>at</w:t>
      </w:r>
      <w:r>
        <w:rPr>
          <w:spacing w:val="40"/>
        </w:rPr>
        <w:t> </w:t>
      </w:r>
      <w:r>
        <w:rPr/>
        <w:t>[98]</w:t>
      </w:r>
      <w:r>
        <w:rPr>
          <w:spacing w:val="40"/>
        </w:rPr>
        <w:t> </w:t>
      </w:r>
      <w:r>
        <w:rPr/>
        <w:t>and</w:t>
      </w:r>
      <w:r>
        <w:rPr>
          <w:spacing w:val="40"/>
        </w:rPr>
        <w:t> </w:t>
      </w:r>
      <w:r>
        <w:rPr/>
        <w:t>see</w:t>
      </w:r>
      <w:r>
        <w:rPr>
          <w:spacing w:val="40"/>
        </w:rPr>
        <w:t> </w:t>
      </w:r>
      <w:r>
        <w:rPr/>
        <w:t>at</w:t>
      </w:r>
      <w:r>
        <w:rPr>
          <w:spacing w:val="40"/>
        </w:rPr>
        <w:t> </w:t>
      </w:r>
      <w:r>
        <w:rPr/>
        <w:t>[101]–[102]</w:t>
      </w:r>
      <w:r>
        <w:rPr>
          <w:spacing w:val="40"/>
        </w:rPr>
        <w:t> </w:t>
      </w:r>
      <w:r>
        <w:rPr/>
        <w:t>(Lord</w:t>
      </w:r>
      <w:r>
        <w:rPr>
          <w:spacing w:val="40"/>
        </w:rPr>
        <w:t> </w:t>
      </w:r>
      <w:r>
        <w:rPr/>
        <w:t>Hope</w:t>
      </w:r>
      <w:r>
        <w:rPr>
          <w:spacing w:val="40"/>
        </w:rPr>
        <w:t> </w:t>
      </w:r>
      <w:r>
        <w:rPr/>
        <w:t>of</w:t>
      </w:r>
      <w:r>
        <w:rPr>
          <w:spacing w:val="40"/>
        </w:rPr>
        <w:t> </w:t>
      </w:r>
      <w:r>
        <w:rPr/>
        <w:t>Craighead);</w:t>
      </w:r>
      <w:r>
        <w:rPr>
          <w:spacing w:val="40"/>
        </w:rPr>
        <w:t> </w:t>
      </w:r>
      <w:r>
        <w:rPr/>
        <w:t>[26]</w:t>
      </w:r>
      <w:r>
        <w:rPr>
          <w:spacing w:val="40"/>
        </w:rPr>
        <w:t> </w:t>
      </w:r>
      <w:r>
        <w:rPr/>
        <w:t>(Lord Nicholls of Birkenhead); [145] (Lord Hobhouse of Woodborough); [161]-[162] (Lord Scott of </w:t>
      </w:r>
      <w:r>
        <w:rPr>
          <w:spacing w:val="-2"/>
        </w:rPr>
        <w:t>Foscote).</w:t>
      </w:r>
    </w:p>
    <w:p>
      <w:pPr>
        <w:pStyle w:val="BodyText"/>
        <w:spacing w:after="0" w:line="235" w:lineRule="auto"/>
        <w:jc w:val="both"/>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977">
        <w:r>
          <w:rPr>
            <w:color w:val="005DA1"/>
            <w:spacing w:val="-4"/>
            <w:position w:val="5"/>
            <w:sz w:val="14"/>
            <w:u w:val="single" w:color="005DA1"/>
          </w:rPr>
          <w:t>526</w:t>
        </w:r>
      </w:hyperlink>
      <w:r>
        <w:rPr>
          <w:spacing w:val="-4"/>
          <w:position w:val="5"/>
          <w:sz w:val="14"/>
        </w:rPr>
        <w:t>.</w:t>
      </w:r>
      <w:r>
        <w:rPr>
          <w:position w:val="5"/>
          <w:sz w:val="14"/>
        </w:rPr>
        <w:tab/>
      </w:r>
      <w:r>
        <w:rPr>
          <w:rFonts w:ascii="Arial"/>
          <w:i/>
          <w:sz w:val="20"/>
        </w:rPr>
        <w:t>[2003] 3 W.L.R. 568</w:t>
      </w:r>
      <w:r>
        <w:rPr>
          <w:rFonts w:ascii="Arial"/>
          <w:i/>
          <w:spacing w:val="-1"/>
          <w:sz w:val="20"/>
        </w:rPr>
        <w:t> </w:t>
      </w:r>
      <w:r>
        <w:rPr>
          <w:sz w:val="20"/>
        </w:rPr>
        <w:t>at </w:t>
      </w:r>
      <w:r>
        <w:rPr>
          <w:spacing w:val="-2"/>
          <w:sz w:val="20"/>
        </w:rPr>
        <w:t>[161].</w:t>
      </w:r>
    </w:p>
    <w:p>
      <w:pPr>
        <w:pStyle w:val="BodyText"/>
        <w:spacing w:before="5"/>
      </w:pPr>
    </w:p>
    <w:p>
      <w:pPr>
        <w:tabs>
          <w:tab w:pos="705" w:val="left" w:leader="none"/>
        </w:tabs>
        <w:spacing w:before="1"/>
        <w:ind w:left="165" w:right="0" w:firstLine="0"/>
        <w:jc w:val="left"/>
        <w:rPr>
          <w:sz w:val="20"/>
        </w:rPr>
      </w:pPr>
      <w:bookmarkStart w:name="_bookmark998" w:id="1000"/>
      <w:bookmarkEnd w:id="1000"/>
      <w:r>
        <w:rPr/>
      </w:r>
      <w:hyperlink w:history="true" w:anchor="_bookmark978">
        <w:r>
          <w:rPr>
            <w:color w:val="005DA1"/>
            <w:spacing w:val="-4"/>
            <w:position w:val="5"/>
            <w:sz w:val="14"/>
            <w:u w:val="single" w:color="005DA1"/>
          </w:rPr>
          <w:t>527</w:t>
        </w:r>
      </w:hyperlink>
      <w:r>
        <w:rPr>
          <w:spacing w:val="-4"/>
          <w:position w:val="5"/>
          <w:sz w:val="14"/>
        </w:rPr>
        <w:t>.</w:t>
      </w:r>
      <w:r>
        <w:rPr>
          <w:position w:val="5"/>
          <w:sz w:val="14"/>
        </w:rPr>
        <w:tab/>
      </w:r>
      <w:r>
        <w:rPr>
          <w:rFonts w:ascii="Arial"/>
          <w:i/>
          <w:sz w:val="20"/>
        </w:rPr>
        <w:t>[2003] 3 W.L.R. 568</w:t>
      </w:r>
      <w:r>
        <w:rPr>
          <w:rFonts w:ascii="Arial"/>
          <w:i/>
          <w:spacing w:val="-1"/>
          <w:sz w:val="20"/>
        </w:rPr>
        <w:t> </w:t>
      </w:r>
      <w:r>
        <w:rPr>
          <w:sz w:val="20"/>
        </w:rPr>
        <w:t>at [157] (Lord Hope of </w:t>
      </w:r>
      <w:r>
        <w:rPr>
          <w:spacing w:val="-2"/>
          <w:sz w:val="20"/>
        </w:rPr>
        <w:t>Craighead).</w:t>
      </w:r>
    </w:p>
    <w:p>
      <w:pPr>
        <w:pStyle w:val="BodyText"/>
        <w:spacing w:before="8"/>
      </w:pPr>
    </w:p>
    <w:p>
      <w:pPr>
        <w:pStyle w:val="BodyText"/>
        <w:spacing w:line="235" w:lineRule="auto"/>
        <w:ind w:left="705" w:right="167" w:hanging="541"/>
        <w:jc w:val="both"/>
      </w:pPr>
      <w:bookmarkStart w:name="_bookmark999" w:id="1001"/>
      <w:bookmarkEnd w:id="1001"/>
      <w:r>
        <w:rPr/>
      </w:r>
      <w:hyperlink w:history="true" w:anchor="_bookmark979">
        <w:r>
          <w:rPr>
            <w:color w:val="005DA1"/>
            <w:position w:val="5"/>
            <w:sz w:val="14"/>
            <w:u w:val="single" w:color="005DA1"/>
          </w:rPr>
          <w:t>528</w:t>
        </w:r>
      </w:hyperlink>
      <w:r>
        <w:rPr>
          <w:position w:val="5"/>
          <w:sz w:val="14"/>
        </w:rPr>
        <w:t>.</w:t>
      </w:r>
      <w:r>
        <w:rPr>
          <w:spacing w:val="80"/>
          <w:position w:val="5"/>
          <w:sz w:val="14"/>
        </w:rPr>
        <w:t>  </w:t>
      </w:r>
      <w:r>
        <w:rPr/>
        <w:t>See</w:t>
      </w:r>
      <w:r>
        <w:rPr>
          <w:spacing w:val="-1"/>
        </w:rPr>
        <w:t> </w:t>
      </w:r>
      <w:r>
        <w:rPr/>
        <w:t>below,</w:t>
      </w:r>
      <w:r>
        <w:rPr>
          <w:spacing w:val="-1"/>
        </w:rPr>
        <w:t> </w:t>
      </w:r>
      <w:r>
        <w:rPr/>
        <w:t>paras</w:t>
      </w:r>
      <w:r>
        <w:rPr>
          <w:spacing w:val="-1"/>
        </w:rPr>
        <w:t> </w:t>
      </w:r>
      <w:r>
        <w:rPr/>
        <w:t>1-066—1-068</w:t>
      </w:r>
      <w:r>
        <w:rPr>
          <w:spacing w:val="-1"/>
        </w:rPr>
        <w:t> </w:t>
      </w:r>
      <w:r>
        <w:rPr/>
        <w:t>on</w:t>
      </w:r>
      <w:r>
        <w:rPr>
          <w:spacing w:val="-1"/>
        </w:rPr>
        <w:t> </w:t>
      </w:r>
      <w:r>
        <w:rPr/>
        <w:t>the</w:t>
      </w:r>
      <w:r>
        <w:rPr>
          <w:spacing w:val="-1"/>
        </w:rPr>
        <w:t> </w:t>
      </w:r>
      <w:r>
        <w:rPr/>
        <w:t>substantive</w:t>
      </w:r>
      <w:r>
        <w:rPr>
          <w:spacing w:val="-1"/>
        </w:rPr>
        <w:t> </w:t>
      </w:r>
      <w:r>
        <w:rPr/>
        <w:t>issues</w:t>
      </w:r>
      <w:r>
        <w:rPr>
          <w:spacing w:val="-1"/>
        </w:rPr>
        <w:t> </w:t>
      </w:r>
      <w:r>
        <w:rPr/>
        <w:t>of</w:t>
      </w:r>
      <w:r>
        <w:rPr>
          <w:spacing w:val="-1"/>
        </w:rPr>
        <w:t> </w:t>
      </w:r>
      <w:r>
        <w:rPr/>
        <w:t>compatibility</w:t>
      </w:r>
      <w:r>
        <w:rPr>
          <w:spacing w:val="-1"/>
        </w:rPr>
        <w:t> </w:t>
      </w:r>
      <w:r>
        <w:rPr/>
        <w:t>of</w:t>
      </w:r>
      <w:r>
        <w:rPr>
          <w:spacing w:val="-1"/>
        </w:rPr>
        <w:t> </w:t>
      </w:r>
      <w:r>
        <w:rPr/>
        <w:t>the</w:t>
      </w:r>
      <w:r>
        <w:rPr>
          <w:spacing w:val="-1"/>
        </w:rPr>
        <w:t> </w:t>
      </w:r>
      <w:r>
        <w:rPr/>
        <w:t>then</w:t>
      </w:r>
      <w:r>
        <w:rPr>
          <w:spacing w:val="-1"/>
        </w:rPr>
        <w:t> </w:t>
      </w:r>
      <w:r>
        <w:rPr/>
        <w:t>provisions of the Consumer Credit Act 1974 with the Human Rights Act 1998, putting aside the issue of </w:t>
      </w:r>
      <w:r>
        <w:rPr>
          <w:spacing w:val="-2"/>
        </w:rPr>
        <w:t>retroactivity.</w:t>
      </w:r>
    </w:p>
    <w:p>
      <w:pPr>
        <w:pStyle w:val="BodyText"/>
        <w:spacing w:before="9"/>
      </w:pPr>
    </w:p>
    <w:p>
      <w:pPr>
        <w:spacing w:line="235" w:lineRule="auto" w:before="0"/>
        <w:ind w:left="705" w:right="168" w:hanging="541"/>
        <w:jc w:val="both"/>
        <w:rPr>
          <w:sz w:val="20"/>
        </w:rPr>
      </w:pPr>
      <w:bookmarkStart w:name="_bookmark1000" w:id="1002"/>
      <w:bookmarkEnd w:id="1002"/>
      <w:r>
        <w:rPr/>
      </w:r>
      <w:hyperlink w:history="true" w:anchor="_bookmark980">
        <w:r>
          <w:rPr>
            <w:color w:val="005DA1"/>
            <w:position w:val="5"/>
            <w:sz w:val="14"/>
            <w:u w:val="single" w:color="005DA1"/>
          </w:rPr>
          <w:t>529</w:t>
        </w:r>
      </w:hyperlink>
      <w:r>
        <w:rPr>
          <w:position w:val="5"/>
          <w:sz w:val="14"/>
        </w:rPr>
        <w:t>.</w:t>
      </w:r>
      <w:r>
        <w:rPr>
          <w:spacing w:val="80"/>
          <w:position w:val="5"/>
          <w:sz w:val="14"/>
        </w:rPr>
        <w:t>  </w:t>
      </w:r>
      <w:r>
        <w:rPr>
          <w:rFonts w:ascii="Arial" w:hAnsi="Arial"/>
          <w:i/>
          <w:sz w:val="20"/>
        </w:rPr>
        <w:t>[2003] UKHL 40, [2003] 3 W.L.R. 568 </w:t>
      </w:r>
      <w:r>
        <w:rPr>
          <w:sz w:val="20"/>
        </w:rPr>
        <w:t>at [215]–[220]. For a straightforward application of the HL’s approach see </w:t>
      </w:r>
      <w:r>
        <w:rPr>
          <w:rFonts w:ascii="Arial" w:hAnsi="Arial"/>
          <w:i/>
          <w:sz w:val="20"/>
        </w:rPr>
        <w:t>Laws v Society of Lloyd’s [2003] EWCA Civ 1887 </w:t>
      </w:r>
      <w:r>
        <w:rPr>
          <w:sz w:val="20"/>
        </w:rPr>
        <w:t>at [32]–[33] (Lloyd’s enjoyed statutory immunity barring bad faith prior to coming into force of 1998 Act).</w:t>
      </w:r>
    </w:p>
    <w:p>
      <w:pPr>
        <w:pStyle w:val="BodyText"/>
        <w:spacing w:before="5"/>
      </w:pPr>
    </w:p>
    <w:p>
      <w:pPr>
        <w:tabs>
          <w:tab w:pos="705" w:val="left" w:leader="none"/>
        </w:tabs>
        <w:spacing w:before="0"/>
        <w:ind w:left="165" w:right="0" w:firstLine="0"/>
        <w:jc w:val="left"/>
        <w:rPr>
          <w:sz w:val="20"/>
        </w:rPr>
      </w:pPr>
      <w:bookmarkStart w:name="_bookmark1001" w:id="1003"/>
      <w:bookmarkEnd w:id="1003"/>
      <w:r>
        <w:rPr/>
      </w:r>
      <w:hyperlink w:history="true" w:anchor="_bookmark981">
        <w:r>
          <w:rPr>
            <w:color w:val="005DA1"/>
            <w:spacing w:val="-4"/>
            <w:position w:val="5"/>
            <w:sz w:val="14"/>
            <w:u w:val="single" w:color="005DA1"/>
          </w:rPr>
          <w:t>530</w:t>
        </w:r>
      </w:hyperlink>
      <w:r>
        <w:rPr>
          <w:spacing w:val="-4"/>
          <w:position w:val="5"/>
          <w:sz w:val="14"/>
        </w:rPr>
        <w:t>.</w:t>
      </w:r>
      <w:r>
        <w:rPr>
          <w:position w:val="5"/>
          <w:sz w:val="14"/>
        </w:rPr>
        <w:tab/>
      </w:r>
      <w:r>
        <w:rPr>
          <w:rFonts w:ascii="Arial"/>
          <w:i/>
          <w:sz w:val="20"/>
        </w:rPr>
        <w:t>[2003]</w:t>
      </w:r>
      <w:r>
        <w:rPr>
          <w:rFonts w:ascii="Arial"/>
          <w:i/>
          <w:spacing w:val="-2"/>
          <w:sz w:val="20"/>
        </w:rPr>
        <w:t> </w:t>
      </w:r>
      <w:r>
        <w:rPr>
          <w:rFonts w:ascii="Arial"/>
          <w:i/>
          <w:sz w:val="20"/>
        </w:rPr>
        <w:t>EWHC 1994 (Ch), [2003] All E.R. (D) 58 </w:t>
      </w:r>
      <w:r>
        <w:rPr>
          <w:rFonts w:ascii="Arial"/>
          <w:i/>
          <w:spacing w:val="-2"/>
          <w:sz w:val="20"/>
        </w:rPr>
        <w:t>(Aug)</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002" w:id="1004"/>
      <w:bookmarkEnd w:id="1004"/>
      <w:r>
        <w:rPr/>
      </w:r>
      <w:hyperlink w:history="true" w:anchor="_bookmark982">
        <w:r>
          <w:rPr>
            <w:color w:val="005DA1"/>
            <w:spacing w:val="-4"/>
            <w:position w:val="5"/>
            <w:sz w:val="14"/>
            <w:u w:val="single" w:color="005DA1"/>
          </w:rPr>
          <w:t>531</w:t>
        </w:r>
      </w:hyperlink>
      <w:r>
        <w:rPr>
          <w:spacing w:val="-4"/>
          <w:position w:val="5"/>
          <w:sz w:val="14"/>
        </w:rPr>
        <w:t>.</w:t>
      </w:r>
      <w:r>
        <w:rPr>
          <w:position w:val="5"/>
          <w:sz w:val="14"/>
        </w:rPr>
        <w:tab/>
      </w:r>
      <w:r>
        <w:rPr>
          <w:rFonts w:ascii="Arial"/>
          <w:i/>
          <w:sz w:val="20"/>
        </w:rPr>
        <w:t>[2003] EWHC 1994 (Ch)</w:t>
      </w:r>
      <w:r>
        <w:rPr>
          <w:rFonts w:ascii="Arial"/>
          <w:i/>
          <w:spacing w:val="-1"/>
          <w:sz w:val="20"/>
        </w:rPr>
        <w:t> </w:t>
      </w:r>
      <w:r>
        <w:rPr>
          <w:sz w:val="20"/>
        </w:rPr>
        <w:t>at [103]-</w:t>
      </w:r>
      <w:r>
        <w:rPr>
          <w:spacing w:val="-2"/>
          <w:sz w:val="20"/>
        </w:rPr>
        <w:t>[104].</w:t>
      </w:r>
    </w:p>
    <w:p>
      <w:pPr>
        <w:pStyle w:val="BodyText"/>
        <w:spacing w:before="5"/>
      </w:pPr>
    </w:p>
    <w:p>
      <w:pPr>
        <w:tabs>
          <w:tab w:pos="705" w:val="left" w:leader="none"/>
        </w:tabs>
        <w:spacing w:before="0"/>
        <w:ind w:left="165" w:right="0" w:firstLine="0"/>
        <w:jc w:val="left"/>
        <w:rPr>
          <w:sz w:val="20"/>
        </w:rPr>
      </w:pPr>
      <w:bookmarkStart w:name="_bookmark1003" w:id="1005"/>
      <w:bookmarkEnd w:id="1005"/>
      <w:r>
        <w:rPr/>
      </w:r>
      <w:hyperlink w:history="true" w:anchor="_bookmark983">
        <w:r>
          <w:rPr>
            <w:color w:val="005DA1"/>
            <w:spacing w:val="-4"/>
            <w:position w:val="5"/>
            <w:sz w:val="14"/>
            <w:u w:val="single" w:color="005DA1"/>
          </w:rPr>
          <w:t>532</w:t>
        </w:r>
      </w:hyperlink>
      <w:r>
        <w:rPr>
          <w:spacing w:val="-4"/>
          <w:position w:val="5"/>
          <w:sz w:val="14"/>
        </w:rPr>
        <w:t>.</w:t>
      </w:r>
      <w:r>
        <w:rPr>
          <w:position w:val="5"/>
          <w:sz w:val="14"/>
        </w:rPr>
        <w:tab/>
      </w:r>
      <w:r>
        <w:rPr>
          <w:rFonts w:ascii="Arial"/>
          <w:i/>
          <w:sz w:val="20"/>
        </w:rPr>
        <w:t>[2003]</w:t>
      </w:r>
      <w:r>
        <w:rPr>
          <w:rFonts w:ascii="Arial"/>
          <w:i/>
          <w:spacing w:val="-1"/>
          <w:sz w:val="20"/>
        </w:rPr>
        <w:t> </w:t>
      </w:r>
      <w:r>
        <w:rPr>
          <w:rFonts w:ascii="Arial"/>
          <w:i/>
          <w:sz w:val="20"/>
        </w:rPr>
        <w:t>UKHL 40, [2004] 1 A.C. 816</w:t>
      </w:r>
      <w:r>
        <w:rPr>
          <w:sz w:val="20"/>
        </w:rPr>
        <w:t>, above, para.1-</w:t>
      </w:r>
      <w:r>
        <w:rPr>
          <w:spacing w:val="-4"/>
          <w:sz w:val="20"/>
        </w:rPr>
        <w:t>059.</w:t>
      </w:r>
    </w:p>
    <w:p>
      <w:pPr>
        <w:pStyle w:val="BodyText"/>
        <w:spacing w:before="5"/>
      </w:pPr>
    </w:p>
    <w:p>
      <w:pPr>
        <w:tabs>
          <w:tab w:pos="705" w:val="left" w:leader="none"/>
        </w:tabs>
        <w:spacing w:before="0"/>
        <w:ind w:left="165" w:right="0" w:firstLine="0"/>
        <w:jc w:val="left"/>
        <w:rPr>
          <w:sz w:val="20"/>
        </w:rPr>
      </w:pPr>
      <w:bookmarkStart w:name="_bookmark1004" w:id="1006"/>
      <w:bookmarkEnd w:id="1006"/>
      <w:r>
        <w:rPr/>
      </w:r>
      <w:hyperlink w:history="true" w:anchor="_bookmark984">
        <w:r>
          <w:rPr>
            <w:color w:val="005DA1"/>
            <w:spacing w:val="-4"/>
            <w:position w:val="5"/>
            <w:sz w:val="14"/>
            <w:u w:val="single" w:color="005DA1"/>
          </w:rPr>
          <w:t>533</w:t>
        </w:r>
      </w:hyperlink>
      <w:r>
        <w:rPr>
          <w:spacing w:val="-4"/>
          <w:position w:val="5"/>
          <w:sz w:val="14"/>
        </w:rPr>
        <w:t>.</w:t>
      </w:r>
      <w:r>
        <w:rPr>
          <w:position w:val="5"/>
          <w:sz w:val="14"/>
        </w:rPr>
        <w:tab/>
      </w:r>
      <w:r>
        <w:rPr>
          <w:rFonts w:ascii="Arial" w:hAnsi="Arial"/>
          <w:i/>
          <w:sz w:val="20"/>
        </w:rPr>
        <w:t>[2003]</w:t>
      </w:r>
      <w:r>
        <w:rPr>
          <w:rFonts w:ascii="Arial" w:hAnsi="Arial"/>
          <w:i/>
          <w:spacing w:val="-2"/>
          <w:sz w:val="20"/>
        </w:rPr>
        <w:t> </w:t>
      </w:r>
      <w:r>
        <w:rPr>
          <w:rFonts w:ascii="Arial" w:hAnsi="Arial"/>
          <w:i/>
          <w:sz w:val="20"/>
        </w:rPr>
        <w:t>EWHC 1994 (Ch)</w:t>
      </w:r>
      <w:r>
        <w:rPr>
          <w:rFonts w:ascii="Arial" w:hAnsi="Arial"/>
          <w:i/>
          <w:spacing w:val="-1"/>
          <w:sz w:val="20"/>
        </w:rPr>
        <w:t> </w:t>
      </w:r>
      <w:r>
        <w:rPr>
          <w:sz w:val="20"/>
        </w:rPr>
        <w:t>at </w:t>
      </w:r>
      <w:r>
        <w:rPr>
          <w:spacing w:val="-2"/>
          <w:sz w:val="20"/>
        </w:rPr>
        <w:t>[107]–[115].</w:t>
      </w:r>
    </w:p>
    <w:p>
      <w:pPr>
        <w:pStyle w:val="BodyText"/>
        <w:spacing w:before="5"/>
      </w:pPr>
    </w:p>
    <w:p>
      <w:pPr>
        <w:tabs>
          <w:tab w:pos="705" w:val="left" w:leader="none"/>
        </w:tabs>
        <w:spacing w:before="0"/>
        <w:ind w:left="165" w:right="0" w:firstLine="0"/>
        <w:jc w:val="left"/>
        <w:rPr>
          <w:sz w:val="20"/>
        </w:rPr>
      </w:pPr>
      <w:bookmarkStart w:name="_bookmark1005" w:id="1007"/>
      <w:bookmarkEnd w:id="1007"/>
      <w:r>
        <w:rPr/>
      </w:r>
      <w:hyperlink w:history="true" w:anchor="_bookmark985">
        <w:r>
          <w:rPr>
            <w:color w:val="005DA1"/>
            <w:spacing w:val="-4"/>
            <w:position w:val="5"/>
            <w:sz w:val="14"/>
            <w:u w:val="single" w:color="005DA1"/>
          </w:rPr>
          <w:t>534</w:t>
        </w:r>
      </w:hyperlink>
      <w:r>
        <w:rPr>
          <w:spacing w:val="-4"/>
          <w:position w:val="5"/>
          <w:sz w:val="14"/>
        </w:rPr>
        <w:t>.</w:t>
      </w:r>
      <w:r>
        <w:rPr>
          <w:position w:val="5"/>
          <w:sz w:val="14"/>
        </w:rPr>
        <w:tab/>
      </w:r>
      <w:r>
        <w:rPr>
          <w:rFonts w:ascii="Arial"/>
          <w:i/>
          <w:sz w:val="20"/>
        </w:rPr>
        <w:t>[2003] UKHL 40</w:t>
      </w:r>
      <w:r>
        <w:rPr>
          <w:rFonts w:ascii="Arial"/>
          <w:i/>
          <w:spacing w:val="-1"/>
          <w:sz w:val="20"/>
        </w:rPr>
        <w:t> </w:t>
      </w:r>
      <w:r>
        <w:rPr>
          <w:sz w:val="20"/>
        </w:rPr>
        <w:t>at [161]; </w:t>
      </w:r>
      <w:r>
        <w:rPr>
          <w:rFonts w:ascii="Arial"/>
          <w:i/>
          <w:sz w:val="20"/>
        </w:rPr>
        <w:t>[2003] EWHC 1994 (Ch)</w:t>
      </w:r>
      <w:r>
        <w:rPr>
          <w:rFonts w:ascii="Arial"/>
          <w:i/>
          <w:spacing w:val="-1"/>
          <w:sz w:val="20"/>
        </w:rPr>
        <w:t> </w:t>
      </w:r>
      <w:r>
        <w:rPr>
          <w:sz w:val="20"/>
        </w:rPr>
        <w:t>at [110] and </w:t>
      </w:r>
      <w:r>
        <w:rPr>
          <w:spacing w:val="-2"/>
          <w:sz w:val="20"/>
        </w:rPr>
        <w:t>[114].</w:t>
      </w:r>
    </w:p>
    <w:p>
      <w:pPr>
        <w:pStyle w:val="BodyText"/>
        <w:spacing w:before="5"/>
      </w:pPr>
    </w:p>
    <w:p>
      <w:pPr>
        <w:tabs>
          <w:tab w:pos="705" w:val="left" w:leader="none"/>
        </w:tabs>
        <w:spacing w:before="1"/>
        <w:ind w:left="165" w:right="0" w:firstLine="0"/>
        <w:jc w:val="left"/>
        <w:rPr>
          <w:sz w:val="20"/>
        </w:rPr>
      </w:pPr>
      <w:bookmarkStart w:name="_bookmark1006" w:id="1008"/>
      <w:bookmarkEnd w:id="1008"/>
      <w:r>
        <w:rPr/>
      </w:r>
      <w:hyperlink w:history="true" w:anchor="_bookmark986">
        <w:r>
          <w:rPr>
            <w:color w:val="005DA1"/>
            <w:spacing w:val="-4"/>
            <w:position w:val="5"/>
            <w:sz w:val="14"/>
            <w:u w:val="single" w:color="005DA1"/>
          </w:rPr>
          <w:t>535</w:t>
        </w:r>
      </w:hyperlink>
      <w:r>
        <w:rPr>
          <w:spacing w:val="-4"/>
          <w:position w:val="5"/>
          <w:sz w:val="14"/>
        </w:rPr>
        <w:t>.</w:t>
      </w:r>
      <w:r>
        <w:rPr>
          <w:position w:val="5"/>
          <w:sz w:val="14"/>
        </w:rPr>
        <w:tab/>
      </w:r>
      <w:r>
        <w:rPr>
          <w:rFonts w:ascii="Arial"/>
          <w:i/>
          <w:sz w:val="20"/>
        </w:rPr>
        <w:t>[2003] EWHC 1994 (Ch)</w:t>
      </w:r>
      <w:r>
        <w:rPr>
          <w:rFonts w:ascii="Arial"/>
          <w:i/>
          <w:spacing w:val="-1"/>
          <w:sz w:val="20"/>
        </w:rPr>
        <w:t> </w:t>
      </w:r>
      <w:r>
        <w:rPr>
          <w:sz w:val="20"/>
        </w:rPr>
        <w:t>at </w:t>
      </w:r>
      <w:r>
        <w:rPr>
          <w:spacing w:val="-2"/>
          <w:sz w:val="20"/>
        </w:rPr>
        <w:t>[114].</w:t>
      </w:r>
    </w:p>
    <w:p>
      <w:pPr>
        <w:pStyle w:val="BodyText"/>
        <w:spacing w:before="4"/>
      </w:pPr>
    </w:p>
    <w:p>
      <w:pPr>
        <w:tabs>
          <w:tab w:pos="705" w:val="left" w:leader="none"/>
        </w:tabs>
        <w:spacing w:before="1"/>
        <w:ind w:left="165" w:right="0" w:firstLine="0"/>
        <w:jc w:val="left"/>
        <w:rPr>
          <w:sz w:val="20"/>
        </w:rPr>
      </w:pPr>
      <w:bookmarkStart w:name="_bookmark1007" w:id="1009"/>
      <w:bookmarkEnd w:id="1009"/>
      <w:r>
        <w:rPr/>
      </w:r>
      <w:hyperlink w:history="true" w:anchor="_bookmark987">
        <w:r>
          <w:rPr>
            <w:color w:val="005DA1"/>
            <w:spacing w:val="-4"/>
            <w:position w:val="5"/>
            <w:sz w:val="14"/>
            <w:u w:val="single" w:color="005DA1"/>
          </w:rPr>
          <w:t>536</w:t>
        </w:r>
      </w:hyperlink>
      <w:r>
        <w:rPr>
          <w:spacing w:val="-4"/>
          <w:position w:val="5"/>
          <w:sz w:val="14"/>
        </w:rPr>
        <w:t>.</w:t>
      </w:r>
      <w:r>
        <w:rPr>
          <w:position w:val="5"/>
          <w:sz w:val="14"/>
        </w:rPr>
        <w:tab/>
      </w:r>
      <w:r>
        <w:rPr>
          <w:rFonts w:ascii="Arial"/>
          <w:i/>
          <w:sz w:val="20"/>
        </w:rPr>
        <w:t>[2003] EWHC 1994 (Ch)</w:t>
      </w:r>
      <w:r>
        <w:rPr>
          <w:rFonts w:ascii="Arial"/>
          <w:i/>
          <w:spacing w:val="-1"/>
          <w:sz w:val="20"/>
        </w:rPr>
        <w:t> </w:t>
      </w:r>
      <w:r>
        <w:rPr>
          <w:sz w:val="20"/>
        </w:rPr>
        <w:t>at </w:t>
      </w:r>
      <w:r>
        <w:rPr>
          <w:spacing w:val="-2"/>
          <w:sz w:val="20"/>
        </w:rPr>
        <w:t>[115].</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4. - The Human Rights Act 1998 and </w:t>
      </w:r>
      <w:r>
        <w:rPr>
          <w:rFonts w:ascii="Arial"/>
          <w:b/>
          <w:spacing w:val="-2"/>
          <w:sz w:val="24"/>
        </w:rPr>
        <w:t>Contracts</w:t>
      </w:r>
    </w:p>
    <w:p>
      <w:pPr>
        <w:spacing w:before="194"/>
        <w:ind w:left="2184" w:right="0" w:firstLine="0"/>
        <w:jc w:val="left"/>
        <w:rPr>
          <w:rFonts w:ascii="Arial"/>
          <w:b/>
          <w:sz w:val="24"/>
        </w:rPr>
      </w:pPr>
      <w:r>
        <w:rPr>
          <w:rFonts w:ascii="Arial"/>
          <w:b/>
          <w:sz w:val="24"/>
        </w:rPr>
        <w:t>(a) - Contracts made before October 2, </w:t>
      </w:r>
      <w:r>
        <w:rPr>
          <w:rFonts w:ascii="Arial"/>
          <w:b/>
          <w:spacing w:val="-4"/>
          <w:sz w:val="24"/>
        </w:rPr>
        <w:t>2000</w:t>
      </w:r>
    </w:p>
    <w:p>
      <w:pPr>
        <w:pStyle w:val="ListParagraph"/>
        <w:numPr>
          <w:ilvl w:val="0"/>
          <w:numId w:val="6"/>
        </w:numPr>
        <w:tabs>
          <w:tab w:pos="2517" w:val="left" w:leader="none"/>
        </w:tabs>
        <w:spacing w:line="240" w:lineRule="auto" w:before="194" w:after="0"/>
        <w:ind w:left="2517" w:right="0" w:hanging="359"/>
        <w:jc w:val="left"/>
        <w:rPr>
          <w:b/>
          <w:sz w:val="24"/>
        </w:rPr>
      </w:pPr>
      <w:r>
        <w:rPr>
          <w:b/>
          <w:sz w:val="24"/>
        </w:rPr>
        <w:t>- Contracts made by “Public </w:t>
      </w:r>
      <w:r>
        <w:rPr>
          <w:b/>
          <w:spacing w:val="-2"/>
          <w:sz w:val="24"/>
        </w:rPr>
        <w:t>Authorities”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Section 6 and accrued contractual </w:t>
      </w:r>
      <w:r>
        <w:rPr>
          <w:rFonts w:ascii="Arial"/>
          <w:b/>
          <w:spacing w:val="-2"/>
          <w:sz w:val="18"/>
        </w:rPr>
        <w:t>rights</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061</w:t>
      </w:r>
    </w:p>
    <w:p>
      <w:pPr>
        <w:pStyle w:val="BodyText"/>
        <w:spacing w:line="235" w:lineRule="auto" w:before="202"/>
        <w:ind w:left="164" w:right="167"/>
        <w:jc w:val="both"/>
      </w:pPr>
      <w:bookmarkStart w:name="_bookmark1008" w:id="1010"/>
      <w:bookmarkEnd w:id="1010"/>
      <w:r>
        <w:rPr/>
      </w:r>
      <w:r>
        <w:rPr/>
        <w:t>The making of a contract by a person or body may sometimes constitute an “act” by a </w:t>
      </w:r>
      <w:r>
        <w:rPr/>
        <w:t>“public </w:t>
      </w:r>
      <w:bookmarkStart w:name="_bookmark1009" w:id="1011"/>
      <w:bookmarkEnd w:id="1011"/>
      <w:r>
        <w:rPr/>
        <w:t>authority”</w:t>
      </w:r>
      <w:r>
        <w:rPr/>
        <w:t> within the meaning of s.6 of the 1998 Act. </w:t>
      </w:r>
      <w:r>
        <w:rPr>
          <w:color w:val="005DA1"/>
          <w:u w:val="single" w:color="005DA1"/>
          <w:vertAlign w:val="superscript"/>
        </w:rPr>
        <w:t>537</w:t>
      </w:r>
      <w:r>
        <w:rPr>
          <w:color w:val="005DA1"/>
          <w:vertAlign w:val="baseline"/>
        </w:rPr>
        <w:t> </w:t>
      </w:r>
      <w:r>
        <w:rPr>
          <w:vertAlign w:val="baseline"/>
        </w:rPr>
        <w:t>While the decision in </w:t>
      </w:r>
      <w:r>
        <w:rPr>
          <w:rFonts w:ascii="Arial" w:hAnsi="Arial"/>
          <w:i/>
          <w:vertAlign w:val="baseline"/>
        </w:rPr>
        <w:t>Wilson v First County Trust Ltd (No.2) </w:t>
      </w:r>
      <w:r>
        <w:rPr>
          <w:color w:val="005DA1"/>
          <w:u w:val="single" w:color="005DA1"/>
          <w:vertAlign w:val="superscript"/>
        </w:rPr>
        <w:t>538</w:t>
      </w:r>
      <w:r>
        <w:rPr>
          <w:vertAlign w:val="baseline"/>
        </w:rPr>
        <w:t>was directly concerned with the application of ss.3 and 4 of the 1998 Act to transactions which created rights accruing before its coming into force, it is submitted that a similar approach would be taken so as to deny the application of s.6 of the 1998 Act to contracts made by “public authorities” before its coming into force. As Lord Nicholls observed in setting out the general framework of the 1998 Act:</w:t>
      </w:r>
    </w:p>
    <w:p>
      <w:pPr>
        <w:pStyle w:val="BodyText"/>
      </w:pPr>
    </w:p>
    <w:p>
      <w:pPr>
        <w:pStyle w:val="BodyText"/>
        <w:spacing w:before="124"/>
      </w:pPr>
    </w:p>
    <w:p>
      <w:pPr>
        <w:pStyle w:val="BodyText"/>
        <w:spacing w:line="235" w:lineRule="auto"/>
        <w:ind w:left="1245" w:right="167"/>
        <w:jc w:val="both"/>
      </w:pPr>
      <w:r>
        <w:rPr/>
        <w:t>“On a natural reading [s.6] is directed at post-Act conduct. The context </w:t>
      </w:r>
      <w:r>
        <w:rPr/>
        <w:t>powerfully </w:t>
      </w:r>
      <w:bookmarkStart w:name="_bookmark1010" w:id="1012"/>
      <w:bookmarkEnd w:id="1012"/>
      <w:r>
        <w:rPr/>
        <w:t>supports</w:t>
      </w:r>
      <w:r>
        <w:rPr/>
        <w:t> this interpretation. One would not expect a statute promoting human rights values to render unlawful acts which were lawful when done.” </w:t>
      </w:r>
      <w:r>
        <w:rPr>
          <w:color w:val="005DA1"/>
          <w:u w:val="single" w:color="005DA1"/>
          <w:vertAlign w:val="superscript"/>
        </w:rPr>
        <w:t>539</w:t>
      </w:r>
    </w:p>
    <w:p>
      <w:pPr>
        <w:pStyle w:val="BodyText"/>
        <w:spacing w:before="112"/>
      </w:pPr>
    </w:p>
    <w:p>
      <w:pPr>
        <w:pStyle w:val="BodyText"/>
        <w:ind w:left="165"/>
        <w:jc w:val="both"/>
      </w:pPr>
      <w:r>
        <w:rPr/>
        <w:t>Lord Scott of Foscote agreed, observing </w:t>
      </w:r>
      <w:r>
        <w:rPr>
          <w:spacing w:val="-2"/>
        </w:rPr>
        <w:t>that:</w:t>
      </w:r>
    </w:p>
    <w:p>
      <w:pPr>
        <w:pStyle w:val="BodyText"/>
      </w:pPr>
    </w:p>
    <w:p>
      <w:pPr>
        <w:pStyle w:val="BodyText"/>
        <w:spacing w:before="126"/>
      </w:pPr>
    </w:p>
    <w:p>
      <w:pPr>
        <w:pStyle w:val="BodyText"/>
        <w:spacing w:line="235" w:lineRule="auto"/>
        <w:ind w:left="1245" w:right="167"/>
        <w:jc w:val="both"/>
      </w:pPr>
      <w:bookmarkStart w:name="_bookmark1011" w:id="1013"/>
      <w:bookmarkEnd w:id="1013"/>
      <w:r>
        <w:rPr/>
      </w:r>
      <w:r>
        <w:rPr/>
        <w:t>“It is plain that section 6 is looking to the future. It is not purporting to make unlawful a </w:t>
      </w:r>
      <w:r>
        <w:rPr/>
        <w:t>pre 2 October 2000 act of a public authority.” </w:t>
      </w:r>
      <w:r>
        <w:rPr>
          <w:color w:val="005DA1"/>
          <w:u w:val="single" w:color="005DA1"/>
          <w:vertAlign w:val="superscript"/>
        </w:rPr>
        <w:t>540</w:t>
      </w:r>
    </w:p>
    <w:p>
      <w:pPr>
        <w:pStyle w:val="BodyText"/>
        <w:spacing w:before="116"/>
      </w:pPr>
    </w:p>
    <w:p>
      <w:pPr>
        <w:pStyle w:val="BodyText"/>
        <w:spacing w:line="235" w:lineRule="auto"/>
        <w:ind w:left="165" w:right="167"/>
        <w:jc w:val="both"/>
      </w:pPr>
      <w:r>
        <w:rPr/>
        <w:t>The</w:t>
      </w:r>
      <w:r>
        <w:rPr>
          <w:spacing w:val="-1"/>
        </w:rPr>
        <w:t> </w:t>
      </w:r>
      <w:r>
        <w:rPr/>
        <w:t>approach</w:t>
      </w:r>
      <w:r>
        <w:rPr>
          <w:spacing w:val="-1"/>
        </w:rPr>
        <w:t> </w:t>
      </w:r>
      <w:r>
        <w:rPr/>
        <w:t>of</w:t>
      </w:r>
      <w:r>
        <w:rPr>
          <w:spacing w:val="-1"/>
        </w:rPr>
        <w:t> </w:t>
      </w:r>
      <w:r>
        <w:rPr/>
        <w:t>the</w:t>
      </w:r>
      <w:r>
        <w:rPr>
          <w:spacing w:val="-1"/>
        </w:rPr>
        <w:t> </w:t>
      </w:r>
      <w:r>
        <w:rPr/>
        <w:t>majority</w:t>
      </w:r>
      <w:r>
        <w:rPr>
          <w:spacing w:val="-1"/>
        </w:rPr>
        <w:t> </w:t>
      </w:r>
      <w:r>
        <w:rPr/>
        <w:t>of</w:t>
      </w:r>
      <w:r>
        <w:rPr>
          <w:spacing w:val="-1"/>
        </w:rPr>
        <w:t> </w:t>
      </w:r>
      <w:r>
        <w:rPr/>
        <w:t>the</w:t>
      </w:r>
      <w:r>
        <w:rPr>
          <w:spacing w:val="-1"/>
        </w:rPr>
        <w:t> </w:t>
      </w:r>
      <w:r>
        <w:rPr/>
        <w:t>House</w:t>
      </w:r>
      <w:r>
        <w:rPr>
          <w:spacing w:val="-1"/>
        </w:rPr>
        <w:t> </w:t>
      </w:r>
      <w:r>
        <w:rPr/>
        <w:t>of</w:t>
      </w:r>
      <w:r>
        <w:rPr>
          <w:spacing w:val="-1"/>
        </w:rPr>
        <w:t> </w:t>
      </w:r>
      <w:r>
        <w:rPr/>
        <w:t>Lords</w:t>
      </w:r>
      <w:r>
        <w:rPr>
          <w:spacing w:val="-1"/>
        </w:rPr>
        <w:t> </w:t>
      </w:r>
      <w:r>
        <w:rPr/>
        <w:t>in</w:t>
      </w:r>
      <w:r>
        <w:rPr>
          <w:spacing w:val="-1"/>
        </w:rPr>
        <w:t> </w:t>
      </w:r>
      <w:r>
        <w:rPr>
          <w:rFonts w:ascii="Arial" w:hAnsi="Arial"/>
          <w:i/>
        </w:rPr>
        <w:t>Wilson</w:t>
      </w:r>
      <w:r>
        <w:rPr>
          <w:rFonts w:ascii="Arial" w:hAnsi="Arial"/>
          <w:i/>
          <w:spacing w:val="-1"/>
        </w:rPr>
        <w:t> </w:t>
      </w:r>
      <w:r>
        <w:rPr>
          <w:rFonts w:ascii="Arial" w:hAnsi="Arial"/>
          <w:i/>
        </w:rPr>
        <w:t>v</w:t>
      </w:r>
      <w:r>
        <w:rPr>
          <w:rFonts w:ascii="Arial" w:hAnsi="Arial"/>
          <w:i/>
          <w:spacing w:val="-1"/>
        </w:rPr>
        <w:t> </w:t>
      </w:r>
      <w:r>
        <w:rPr>
          <w:rFonts w:ascii="Arial" w:hAnsi="Arial"/>
          <w:i/>
        </w:rPr>
        <w:t>First</w:t>
      </w:r>
      <w:r>
        <w:rPr>
          <w:rFonts w:ascii="Arial" w:hAnsi="Arial"/>
          <w:i/>
          <w:spacing w:val="-1"/>
        </w:rPr>
        <w:t> </w:t>
      </w:r>
      <w:r>
        <w:rPr>
          <w:rFonts w:ascii="Arial" w:hAnsi="Arial"/>
          <w:i/>
        </w:rPr>
        <w:t>County</w:t>
      </w:r>
      <w:r>
        <w:rPr>
          <w:rFonts w:ascii="Arial" w:hAnsi="Arial"/>
          <w:i/>
          <w:spacing w:val="-1"/>
        </w:rPr>
        <w:t> </w:t>
      </w:r>
      <w:r>
        <w:rPr>
          <w:rFonts w:ascii="Arial" w:hAnsi="Arial"/>
          <w:i/>
        </w:rPr>
        <w:t>Trust</w:t>
      </w:r>
      <w:r>
        <w:rPr>
          <w:rFonts w:ascii="Arial" w:hAnsi="Arial"/>
          <w:i/>
          <w:spacing w:val="-1"/>
        </w:rPr>
        <w:t> </w:t>
      </w:r>
      <w:r>
        <w:rPr>
          <w:rFonts w:ascii="Arial" w:hAnsi="Arial"/>
          <w:i/>
        </w:rPr>
        <w:t>Ltd</w:t>
      </w:r>
      <w:r>
        <w:rPr>
          <w:rFonts w:ascii="Arial" w:hAnsi="Arial"/>
          <w:i/>
          <w:spacing w:val="-1"/>
        </w:rPr>
        <w:t> </w:t>
      </w:r>
      <w:r>
        <w:rPr>
          <w:rFonts w:ascii="Arial" w:hAnsi="Arial"/>
          <w:i/>
        </w:rPr>
        <w:t>(No.2)</w:t>
      </w:r>
      <w:r>
        <w:rPr>
          <w:rFonts w:ascii="Arial" w:hAnsi="Arial"/>
          <w:i/>
          <w:spacing w:val="-1"/>
        </w:rPr>
        <w:t> </w:t>
      </w:r>
      <w:r>
        <w:rPr/>
        <w:t>therefore clearly indicates that s.6 of the 1998 Act will not be applied so as to make unlawful the making of contracts by public authorities before its coming into force on December 2, 2000. And while </w:t>
      </w:r>
      <w:r>
        <w:rPr/>
        <w:t>Lord </w:t>
      </w:r>
      <w:bookmarkStart w:name="_bookmark1012" w:id="1014"/>
      <w:bookmarkEnd w:id="1014"/>
      <w:r>
        <w:rPr/>
        <w:t>Rodger</w:t>
      </w:r>
      <w:r>
        <w:rPr/>
        <w:t> of Earlsferry took a more nuanced approach to the distinct types of “retroactivity” which he identified according to the different Convention rights protected by the 1998 Act, </w:t>
      </w:r>
      <w:r>
        <w:rPr>
          <w:color w:val="005DA1"/>
          <w:u w:val="single" w:color="005DA1"/>
          <w:vertAlign w:val="superscript"/>
        </w:rPr>
        <w:t>541</w:t>
      </w:r>
      <w:r>
        <w:rPr>
          <w:color w:val="005DA1"/>
          <w:vertAlign w:val="baseline"/>
        </w:rPr>
        <w:t> </w:t>
      </w:r>
      <w:r>
        <w:rPr>
          <w:vertAlign w:val="baseline"/>
        </w:rPr>
        <w:t>he also</w:t>
      </w:r>
      <w:r>
        <w:rPr>
          <w:spacing w:val="40"/>
          <w:vertAlign w:val="baseline"/>
        </w:rPr>
        <w:t> </w:t>
      </w:r>
      <w:r>
        <w:rPr>
          <w:vertAlign w:val="baseline"/>
        </w:rPr>
        <w:t>proceeded on the basis that:</w:t>
      </w:r>
    </w:p>
    <w:p>
      <w:pPr>
        <w:pStyle w:val="BodyText"/>
      </w:pPr>
    </w:p>
    <w:p>
      <w:pPr>
        <w:pStyle w:val="BodyText"/>
        <w:spacing w:before="124"/>
      </w:pPr>
    </w:p>
    <w:p>
      <w:pPr>
        <w:pStyle w:val="BodyText"/>
        <w:spacing w:line="235" w:lineRule="auto"/>
        <w:ind w:left="1245" w:right="167"/>
        <w:jc w:val="both"/>
      </w:pPr>
      <w:bookmarkStart w:name="_bookmark1013" w:id="1015"/>
      <w:bookmarkEnd w:id="1015"/>
      <w:r>
        <w:rPr/>
      </w:r>
      <w:r>
        <w:rPr/>
        <w:t>“Parliament must have intended all the operative provisions [which include s.6] of </w:t>
      </w:r>
      <w:r>
        <w:rPr/>
        <w:t>this particular</w:t>
      </w:r>
      <w:r>
        <w:rPr>
          <w:spacing w:val="2"/>
        </w:rPr>
        <w:t> </w:t>
      </w:r>
      <w:r>
        <w:rPr/>
        <w:t>statute</w:t>
      </w:r>
      <w:r>
        <w:rPr>
          <w:spacing w:val="4"/>
        </w:rPr>
        <w:t> </w:t>
      </w:r>
      <w:r>
        <w:rPr/>
        <w:t>to</w:t>
      </w:r>
      <w:r>
        <w:rPr>
          <w:spacing w:val="4"/>
        </w:rPr>
        <w:t> </w:t>
      </w:r>
      <w:r>
        <w:rPr/>
        <w:t>take</w:t>
      </w:r>
      <w:r>
        <w:rPr>
          <w:spacing w:val="4"/>
        </w:rPr>
        <w:t> </w:t>
      </w:r>
      <w:r>
        <w:rPr/>
        <w:t>effect</w:t>
      </w:r>
      <w:r>
        <w:rPr>
          <w:spacing w:val="4"/>
        </w:rPr>
        <w:t> </w:t>
      </w:r>
      <w:r>
        <w:rPr/>
        <w:t>in</w:t>
      </w:r>
      <w:r>
        <w:rPr>
          <w:spacing w:val="4"/>
        </w:rPr>
        <w:t> </w:t>
      </w:r>
      <w:r>
        <w:rPr/>
        <w:t>the</w:t>
      </w:r>
      <w:r>
        <w:rPr>
          <w:spacing w:val="4"/>
        </w:rPr>
        <w:t> </w:t>
      </w:r>
      <w:r>
        <w:rPr/>
        <w:t>same</w:t>
      </w:r>
      <w:r>
        <w:rPr>
          <w:spacing w:val="4"/>
        </w:rPr>
        <w:t> </w:t>
      </w:r>
      <w:r>
        <w:rPr/>
        <w:t>way</w:t>
      </w:r>
      <w:r>
        <w:rPr>
          <w:spacing w:val="4"/>
        </w:rPr>
        <w:t> </w:t>
      </w:r>
      <w:r>
        <w:rPr/>
        <w:t>in</w:t>
      </w:r>
      <w:r>
        <w:rPr>
          <w:spacing w:val="4"/>
        </w:rPr>
        <w:t> </w:t>
      </w:r>
      <w:r>
        <w:rPr/>
        <w:t>respect</w:t>
      </w:r>
      <w:r>
        <w:rPr>
          <w:spacing w:val="4"/>
        </w:rPr>
        <w:t> </w:t>
      </w:r>
      <w:r>
        <w:rPr/>
        <w:t>of</w:t>
      </w:r>
      <w:r>
        <w:rPr>
          <w:spacing w:val="4"/>
        </w:rPr>
        <w:t> </w:t>
      </w:r>
      <w:r>
        <w:rPr/>
        <w:t>any</w:t>
      </w:r>
      <w:r>
        <w:rPr>
          <w:spacing w:val="4"/>
        </w:rPr>
        <w:t> </w:t>
      </w:r>
      <w:r>
        <w:rPr/>
        <w:t>given</w:t>
      </w:r>
      <w:r>
        <w:rPr>
          <w:spacing w:val="4"/>
        </w:rPr>
        <w:t> </w:t>
      </w:r>
      <w:r>
        <w:rPr/>
        <w:t>Convention</w:t>
      </w:r>
      <w:r>
        <w:rPr>
          <w:spacing w:val="4"/>
        </w:rPr>
        <w:t> </w:t>
      </w:r>
      <w:r>
        <w:rPr>
          <w:spacing w:val="-2"/>
        </w:rPr>
        <w:t>right.”</w:t>
      </w:r>
    </w:p>
    <w:p>
      <w:pPr>
        <w:spacing w:line="113" w:lineRule="exact" w:before="0"/>
        <w:ind w:left="1245" w:right="0" w:firstLine="0"/>
        <w:jc w:val="left"/>
        <w:rPr>
          <w:sz w:val="12"/>
        </w:rPr>
      </w:pPr>
      <w:r>
        <w:rPr>
          <w:color w:val="005DA1"/>
          <w:spacing w:val="-5"/>
          <w:sz w:val="12"/>
          <w:u w:val="single" w:color="005DA1"/>
        </w:rPr>
        <w:t>542</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9"/>
        <w:rPr>
          <w:sz w:val="12"/>
        </w:rPr>
      </w:pPr>
    </w:p>
    <w:p>
      <w:pPr>
        <w:spacing w:before="0"/>
        <w:ind w:left="165" w:right="0" w:firstLine="0"/>
        <w:jc w:val="both"/>
        <w:rPr>
          <w:rFonts w:ascii="Arial" w:hAnsi="Arial"/>
          <w:b/>
          <w:sz w:val="18"/>
        </w:rPr>
      </w:pPr>
      <w:r>
        <w:rPr>
          <w:rFonts w:ascii="Arial" w:hAnsi="Arial"/>
          <w:b/>
          <w:sz w:val="18"/>
        </w:rPr>
        <w:t>The later performance of contracts made by “public </w:t>
      </w:r>
      <w:r>
        <w:rPr>
          <w:rFonts w:ascii="Arial" w:hAnsi="Arial"/>
          <w:b/>
          <w:spacing w:val="-2"/>
          <w:sz w:val="18"/>
        </w:rPr>
        <w:t>authorities”</w:t>
      </w:r>
    </w:p>
    <w:p>
      <w:pPr>
        <w:spacing w:after="0"/>
        <w:jc w:val="both"/>
        <w:rPr>
          <w:rFonts w:ascii="Arial" w:hAnsi="Arial"/>
          <w:b/>
          <w:sz w:val="18"/>
        </w:rPr>
        <w:sectPr>
          <w:headerReference w:type="default" r:id="rId24"/>
          <w:pgSz w:w="11900" w:h="16840"/>
          <w:pgMar w:header="971" w:footer="0" w:top="1300" w:bottom="280" w:left="1275" w:right="1275"/>
          <w:pgNumType w:start="1"/>
        </w:sectPr>
      </w:pPr>
    </w:p>
    <w:p>
      <w:pPr>
        <w:spacing w:before="262"/>
        <w:ind w:left="165" w:right="0" w:firstLine="0"/>
        <w:jc w:val="left"/>
        <w:rPr>
          <w:rFonts w:ascii="Arial"/>
          <w:b/>
          <w:sz w:val="24"/>
        </w:rPr>
      </w:pPr>
      <w:r>
        <w:rPr>
          <w:rFonts w:ascii="Arial"/>
          <w:b/>
          <w:sz w:val="24"/>
        </w:rPr>
        <w:t>1-</w:t>
      </w:r>
      <w:r>
        <w:rPr>
          <w:rFonts w:ascii="Arial"/>
          <w:b/>
          <w:spacing w:val="-5"/>
          <w:sz w:val="24"/>
        </w:rPr>
        <w:t>062</w:t>
      </w:r>
    </w:p>
    <w:p>
      <w:pPr>
        <w:pStyle w:val="BodyText"/>
        <w:spacing w:line="235" w:lineRule="auto" w:before="202"/>
        <w:ind w:left="165" w:right="167"/>
        <w:jc w:val="both"/>
      </w:pPr>
      <w:bookmarkStart w:name="_bookmark1014" w:id="1016"/>
      <w:bookmarkEnd w:id="1016"/>
      <w:r>
        <w:rPr/>
      </w:r>
      <w:r>
        <w:rPr/>
        <w:t>A further question relating to contracts made before the coming into effect of s.6 of the 1998 </w:t>
      </w:r>
      <w:r>
        <w:rPr/>
        <w:t>Act concerns a public authority’s “act” of performance of a contract rather than its “act” in making one. </w:t>
      </w:r>
      <w:r>
        <w:rPr>
          <w:color w:val="005DA1"/>
          <w:u w:val="single" w:color="005DA1"/>
          <w:vertAlign w:val="superscript"/>
        </w:rPr>
        <w:t>543</w:t>
      </w:r>
      <w:r>
        <w:rPr>
          <w:color w:val="005DA1"/>
          <w:vertAlign w:val="baseline"/>
        </w:rPr>
        <w:t> </w:t>
      </w:r>
      <w:r>
        <w:rPr>
          <w:vertAlign w:val="baseline"/>
        </w:rPr>
        <w:t>For if a public authority has made a contract before the coming into effect of the 1998 Act, but</w:t>
      </w:r>
      <w:r>
        <w:rPr>
          <w:spacing w:val="-1"/>
          <w:vertAlign w:val="baseline"/>
        </w:rPr>
        <w:t> </w:t>
      </w:r>
      <w:r>
        <w:rPr>
          <w:rFonts w:ascii="Arial" w:hAnsi="Arial"/>
          <w:i/>
          <w:vertAlign w:val="baseline"/>
        </w:rPr>
        <w:t>after </w:t>
      </w:r>
      <w:r>
        <w:rPr>
          <w:vertAlign w:val="baseline"/>
        </w:rPr>
        <w:t>its coming into effect performs one of its obligations in a way required by the contract but incompatible with a Convention right, such a performance could be thought itself to constitute an “act” made unlawful by s.6 of the 1998 Act. On the other hand, against this line of reasoning it could be</w:t>
      </w:r>
      <w:r>
        <w:rPr>
          <w:spacing w:val="40"/>
          <w:vertAlign w:val="baseline"/>
        </w:rPr>
        <w:t> </w:t>
      </w:r>
      <w:r>
        <w:rPr>
          <w:vertAlign w:val="baseline"/>
        </w:rPr>
        <w:t>contended</w:t>
      </w:r>
      <w:r>
        <w:rPr>
          <w:spacing w:val="-2"/>
          <w:vertAlign w:val="baseline"/>
        </w:rPr>
        <w:t> </w:t>
      </w:r>
      <w:r>
        <w:rPr>
          <w:vertAlign w:val="baseline"/>
        </w:rPr>
        <w:t>that</w:t>
      </w:r>
      <w:r>
        <w:rPr>
          <w:spacing w:val="-2"/>
          <w:vertAlign w:val="baseline"/>
        </w:rPr>
        <w:t> </w:t>
      </w:r>
      <w:r>
        <w:rPr>
          <w:vertAlign w:val="baseline"/>
        </w:rPr>
        <w:t>s.6</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1998</w:t>
      </w:r>
      <w:r>
        <w:rPr>
          <w:spacing w:val="-2"/>
          <w:vertAlign w:val="baseline"/>
        </w:rPr>
        <w:t> </w:t>
      </w:r>
      <w:r>
        <w:rPr>
          <w:vertAlign w:val="baseline"/>
        </w:rPr>
        <w:t>Act</w:t>
      </w:r>
      <w:r>
        <w:rPr>
          <w:spacing w:val="-2"/>
          <w:vertAlign w:val="baseline"/>
        </w:rPr>
        <w:t> </w:t>
      </w:r>
      <w:r>
        <w:rPr>
          <w:vertAlign w:val="baseline"/>
        </w:rPr>
        <w:t>should</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interpreted</w:t>
      </w:r>
      <w:r>
        <w:rPr>
          <w:spacing w:val="-2"/>
          <w:vertAlign w:val="baseline"/>
        </w:rPr>
        <w:t> </w:t>
      </w:r>
      <w:r>
        <w:rPr>
          <w:vertAlign w:val="baseline"/>
        </w:rPr>
        <w:t>so</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render</w:t>
      </w:r>
      <w:r>
        <w:rPr>
          <w:spacing w:val="-2"/>
          <w:vertAlign w:val="baseline"/>
        </w:rPr>
        <w:t> </w:t>
      </w:r>
      <w:r>
        <w:rPr>
          <w:vertAlign w:val="baseline"/>
        </w:rPr>
        <w:t>illegal</w:t>
      </w:r>
      <w:r>
        <w:rPr>
          <w:spacing w:val="-2"/>
          <w:vertAlign w:val="baseline"/>
        </w:rPr>
        <w:t> </w:t>
      </w:r>
      <w:r>
        <w:rPr>
          <w:vertAlign w:val="baseline"/>
        </w:rPr>
        <w:t>the</w:t>
      </w:r>
      <w:r>
        <w:rPr>
          <w:spacing w:val="-2"/>
          <w:vertAlign w:val="baseline"/>
        </w:rPr>
        <w:t> </w:t>
      </w:r>
      <w:r>
        <w:rPr>
          <w:vertAlign w:val="baseline"/>
        </w:rPr>
        <w:t>performance</w:t>
      </w:r>
      <w:r>
        <w:rPr>
          <w:spacing w:val="-2"/>
          <w:vertAlign w:val="baseline"/>
        </w:rPr>
        <w:t> </w:t>
      </w:r>
      <w:r>
        <w:rPr>
          <w:vertAlign w:val="baseline"/>
        </w:rPr>
        <w:t>of existing contractual obligations since this would have the correlative effect of prejudicing the existing rights of the other party under the contract. In resolving these arguments, observations made in </w:t>
      </w:r>
      <w:r>
        <w:rPr>
          <w:rFonts w:ascii="Arial" w:hAnsi="Arial"/>
          <w:i/>
          <w:vertAlign w:val="baseline"/>
        </w:rPr>
        <w:t>Wilson v First County Trust Ltd (No.2) </w:t>
      </w:r>
      <w:r>
        <w:rPr>
          <w:vertAlign w:val="baseline"/>
        </w:rPr>
        <w:t>concerning the retroactive effect of legislation in general and the 1998 Act in particular may be helpful, even though that decision was concerned with the </w:t>
      </w:r>
      <w:bookmarkStart w:name="_bookmark1015" w:id="1017"/>
      <w:bookmarkEnd w:id="1017"/>
      <w:r>
        <w:rPr>
          <w:vertAlign w:val="baseline"/>
        </w:rPr>
        <w:t>incompatibility</w:t>
      </w:r>
      <w:r>
        <w:rPr>
          <w:vertAlign w:val="baseline"/>
        </w:rPr>
        <w:t> with Convention rights of primary legislation as applied to facts occurring before the 1998 Act’s coming into force. </w:t>
      </w:r>
      <w:r>
        <w:rPr>
          <w:color w:val="005DA1"/>
          <w:u w:val="single" w:color="005DA1"/>
          <w:vertAlign w:val="superscript"/>
        </w:rPr>
        <w:t>544</w:t>
      </w:r>
      <w:r>
        <w:rPr>
          <w:color w:val="005DA1"/>
          <w:vertAlign w:val="baseline"/>
        </w:rPr>
        <w:t> </w:t>
      </w:r>
      <w:r>
        <w:rPr>
          <w:vertAlign w:val="baseline"/>
        </w:rPr>
        <w:t>In this respect, Lord Rodger of Earlsferry noted that:</w:t>
      </w:r>
    </w:p>
    <w:p>
      <w:pPr>
        <w:pStyle w:val="BodyText"/>
      </w:pPr>
    </w:p>
    <w:p>
      <w:pPr>
        <w:pStyle w:val="BodyText"/>
        <w:spacing w:before="122"/>
      </w:pPr>
    </w:p>
    <w:p>
      <w:pPr>
        <w:pStyle w:val="BodyText"/>
        <w:spacing w:line="235" w:lineRule="auto"/>
        <w:ind w:left="1245" w:right="167"/>
        <w:jc w:val="both"/>
      </w:pPr>
      <w:r>
        <w:rPr/>
        <w:t>“Retroactive provisions alter the existing rights and duties of those whom they affect. </w:t>
      </w:r>
      <w:r>
        <w:rPr/>
        <w:t>But not all provisions which alter existing rights and duties are retroactive. The statute book </w:t>
      </w:r>
      <w:bookmarkStart w:name="_bookmark1016" w:id="1018"/>
      <w:bookmarkEnd w:id="1018"/>
      <w:r>
        <w:rPr/>
        <w:t>contains</w:t>
      </w:r>
      <w:r>
        <w:rPr/>
        <w:t> many statutes which are not retroactive but alter existing rights and duties—only prospectively, with effect from the date of commencement.” </w:t>
      </w:r>
      <w:r>
        <w:rPr>
          <w:color w:val="005DA1"/>
          <w:u w:val="single" w:color="005DA1"/>
          <w:vertAlign w:val="superscript"/>
        </w:rPr>
        <w:t>545</w:t>
      </w:r>
    </w:p>
    <w:p>
      <w:pPr>
        <w:pStyle w:val="BodyText"/>
        <w:spacing w:before="115"/>
      </w:pPr>
    </w:p>
    <w:p>
      <w:pPr>
        <w:pStyle w:val="BodyText"/>
        <w:spacing w:line="235" w:lineRule="auto"/>
        <w:ind w:left="165" w:right="167"/>
        <w:jc w:val="both"/>
      </w:pPr>
      <w:bookmarkStart w:name="_bookmark1017" w:id="1019"/>
      <w:bookmarkEnd w:id="1019"/>
      <w:r>
        <w:rPr/>
      </w:r>
      <w:r>
        <w:rPr/>
        <w:t>While Lord Rodger quoted with approval the words of Dickson J. to the effect that “[n]o-one has a vested right to continuance of the law as it stood in the past”, </w:t>
      </w:r>
      <w:r>
        <w:rPr>
          <w:color w:val="005DA1"/>
          <w:u w:val="single" w:color="005DA1"/>
          <w:vertAlign w:val="superscript"/>
        </w:rPr>
        <w:t>546</w:t>
      </w:r>
      <w:r>
        <w:rPr>
          <w:color w:val="005DA1"/>
          <w:vertAlign w:val="baseline"/>
        </w:rPr>
        <w:t> </w:t>
      </w:r>
      <w:r>
        <w:rPr>
          <w:vertAlign w:val="baseline"/>
        </w:rPr>
        <w:t>he observed that:</w:t>
      </w:r>
    </w:p>
    <w:p>
      <w:pPr>
        <w:pStyle w:val="BodyText"/>
      </w:pPr>
    </w:p>
    <w:p>
      <w:pPr>
        <w:pStyle w:val="BodyText"/>
        <w:spacing w:before="126"/>
      </w:pPr>
    </w:p>
    <w:p>
      <w:pPr>
        <w:pStyle w:val="BodyText"/>
        <w:spacing w:line="235" w:lineRule="auto"/>
        <w:ind w:left="1245" w:right="167"/>
        <w:jc w:val="both"/>
      </w:pPr>
      <w:r>
        <w:rPr/>
        <w:t>“… often … a sudden change in existing rights would be so unfair to certain individuals </w:t>
      </w:r>
      <w:r>
        <w:rPr/>
        <w:t>or </w:t>
      </w:r>
      <w:bookmarkStart w:name="_bookmark1018" w:id="1020"/>
      <w:bookmarkEnd w:id="1020"/>
      <w:r>
        <w:rPr/>
        <w:t>businesses</w:t>
      </w:r>
      <w:r>
        <w:rPr/>
        <w:t> in their particular predicament that it is to be presumed that Parliament did</w:t>
      </w:r>
      <w:r>
        <w:rPr>
          <w:spacing w:val="80"/>
        </w:rPr>
        <w:t> </w:t>
      </w:r>
      <w:r>
        <w:rPr/>
        <w:t>not intend the new legislation to affect them in that respect.” </w:t>
      </w:r>
      <w:r>
        <w:rPr>
          <w:color w:val="005DA1"/>
          <w:u w:val="single" w:color="005DA1"/>
          <w:vertAlign w:val="superscript"/>
        </w:rPr>
        <w:t>547</w:t>
      </w:r>
    </w:p>
    <w:p>
      <w:pPr>
        <w:pStyle w:val="BodyText"/>
        <w:spacing w:before="116"/>
      </w:pPr>
    </w:p>
    <w:p>
      <w:pPr>
        <w:pStyle w:val="BodyText"/>
        <w:spacing w:line="235" w:lineRule="auto"/>
        <w:ind w:left="165" w:right="167"/>
        <w:jc w:val="both"/>
      </w:pPr>
      <w:bookmarkStart w:name="_bookmark1019" w:id="1021"/>
      <w:bookmarkEnd w:id="1021"/>
      <w:r>
        <w:rPr/>
      </w:r>
      <w:r>
        <w:rPr/>
        <w:t>Although he added that “in practice the presumption against legislation altering vested rights </w:t>
      </w:r>
      <w:r>
        <w:rPr/>
        <w:t>is regarded</w:t>
      </w:r>
      <w:r>
        <w:rPr>
          <w:spacing w:val="-1"/>
        </w:rPr>
        <w:t> </w:t>
      </w:r>
      <w:r>
        <w:rPr/>
        <w:t>as</w:t>
      </w:r>
      <w:r>
        <w:rPr>
          <w:spacing w:val="-1"/>
        </w:rPr>
        <w:t> </w:t>
      </w:r>
      <w:r>
        <w:rPr/>
        <w:t>weaker</w:t>
      </w:r>
      <w:r>
        <w:rPr>
          <w:spacing w:val="-1"/>
        </w:rPr>
        <w:t> </w:t>
      </w:r>
      <w:r>
        <w:rPr/>
        <w:t>than</w:t>
      </w:r>
      <w:r>
        <w:rPr>
          <w:spacing w:val="-1"/>
        </w:rPr>
        <w:t> </w:t>
      </w:r>
      <w:r>
        <w:rPr/>
        <w:t>the</w:t>
      </w:r>
      <w:r>
        <w:rPr>
          <w:spacing w:val="-1"/>
        </w:rPr>
        <w:t> </w:t>
      </w:r>
      <w:r>
        <w:rPr/>
        <w:t>presumption</w:t>
      </w:r>
      <w:r>
        <w:rPr>
          <w:spacing w:val="-1"/>
        </w:rPr>
        <w:t> </w:t>
      </w:r>
      <w:r>
        <w:rPr/>
        <w:t>against</w:t>
      </w:r>
      <w:r>
        <w:rPr>
          <w:spacing w:val="-1"/>
        </w:rPr>
        <w:t> </w:t>
      </w:r>
      <w:r>
        <w:rPr/>
        <w:t>legislation</w:t>
      </w:r>
      <w:r>
        <w:rPr>
          <w:spacing w:val="-1"/>
        </w:rPr>
        <w:t> </w:t>
      </w:r>
      <w:r>
        <w:rPr/>
        <w:t>having</w:t>
      </w:r>
      <w:r>
        <w:rPr>
          <w:spacing w:val="-1"/>
        </w:rPr>
        <w:t> </w:t>
      </w:r>
      <w:r>
        <w:rPr/>
        <w:t>retroactive</w:t>
      </w:r>
      <w:r>
        <w:rPr>
          <w:spacing w:val="-1"/>
        </w:rPr>
        <w:t> </w:t>
      </w:r>
      <w:r>
        <w:rPr/>
        <w:t>effect”.</w:t>
      </w:r>
      <w:r>
        <w:rPr>
          <w:spacing w:val="-2"/>
        </w:rPr>
        <w:t> </w:t>
      </w:r>
      <w:r>
        <w:rPr>
          <w:color w:val="005DA1"/>
          <w:u w:val="single" w:color="005DA1"/>
          <w:vertAlign w:val="superscript"/>
        </w:rPr>
        <w:t>548</w:t>
      </w:r>
      <w:r>
        <w:rPr>
          <w:color w:val="005DA1"/>
          <w:spacing w:val="-1"/>
          <w:vertAlign w:val="baseline"/>
        </w:rPr>
        <w:t> </w:t>
      </w:r>
      <w:r>
        <w:rPr>
          <w:vertAlign w:val="baseline"/>
        </w:rPr>
        <w:t>What</w:t>
      </w:r>
      <w:r>
        <w:rPr>
          <w:spacing w:val="-1"/>
          <w:vertAlign w:val="baseline"/>
        </w:rPr>
        <w:t> </w:t>
      </w:r>
      <w:r>
        <w:rPr>
          <w:vertAlign w:val="baseline"/>
        </w:rPr>
        <w:t>these observations suggest is that s.6 of the 1998 Act should be interpreted so as not to make unlawful the “acts of performance” of public authorities of contractual obligations created before its coming into force even if these acts are incompatible with Convention rights, since such an illegality would prejudice the existing rights of other parties under those contracts. However, a future court could </w:t>
      </w:r>
      <w:bookmarkStart w:name="_bookmark1020" w:id="1022"/>
      <w:bookmarkEnd w:id="1022"/>
      <w:r>
        <w:rPr>
          <w:vertAlign w:val="baseline"/>
        </w:rPr>
        <w:t>prefer</w:t>
      </w:r>
      <w:r>
        <w:rPr>
          <w:vertAlign w:val="baseline"/>
        </w:rPr>
        <w:t> to follow the more nuanced approach adopted by Lord Rodger for this purpose, distinguishing </w:t>
      </w:r>
      <w:bookmarkStart w:name="_bookmark1021" w:id="1023"/>
      <w:bookmarkEnd w:id="1023"/>
      <w:r>
        <w:rPr>
          <w:vertAlign w:val="baseline"/>
        </w:rPr>
        <w:t>between</w:t>
      </w:r>
      <w:r>
        <w:rPr>
          <w:vertAlign w:val="baseline"/>
        </w:rPr>
        <w:t> the various Convention rights </w:t>
      </w:r>
      <w:r>
        <w:rPr>
          <w:color w:val="005DA1"/>
          <w:u w:val="single" w:color="005DA1"/>
          <w:vertAlign w:val="superscript"/>
        </w:rPr>
        <w:t>549</w:t>
      </w:r>
      <w:r>
        <w:rPr>
          <w:color w:val="005DA1"/>
          <w:vertAlign w:val="baseline"/>
        </w:rPr>
        <w:t> </w:t>
      </w:r>
      <w:r>
        <w:rPr>
          <w:vertAlign w:val="baseline"/>
        </w:rPr>
        <w:t>in assessing the effect of the operative provisions of the 1998 Act. </w:t>
      </w:r>
      <w:r>
        <w:rPr>
          <w:color w:val="005DA1"/>
          <w:u w:val="single" w:color="005DA1"/>
          <w:vertAlign w:val="superscript"/>
        </w:rPr>
        <w:t>550</w:t>
      </w:r>
    </w:p>
    <w:p>
      <w:pPr>
        <w:pStyle w:val="BodyText"/>
      </w:pPr>
    </w:p>
    <w:p>
      <w:pPr>
        <w:pStyle w:val="BodyText"/>
        <w:spacing w:before="35"/>
      </w:pPr>
    </w:p>
    <w:p>
      <w:pPr>
        <w:spacing w:before="0"/>
        <w:ind w:left="165" w:right="0" w:firstLine="0"/>
        <w:jc w:val="both"/>
        <w:rPr>
          <w:rFonts w:ascii="Arial"/>
          <w:b/>
          <w:sz w:val="18"/>
        </w:rPr>
      </w:pPr>
      <w:r>
        <w:rPr>
          <w:rFonts w:ascii="Arial"/>
          <w:b/>
          <w:sz w:val="18"/>
        </w:rPr>
        <w:t>Effect of any unlawful performance by a public </w:t>
      </w:r>
      <w:r>
        <w:rPr>
          <w:rFonts w:ascii="Arial"/>
          <w:b/>
          <w:spacing w:val="-2"/>
          <w:sz w:val="18"/>
        </w:rPr>
        <w:t>authority</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063</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If a court were to hold that a public authority would act unlawfully within the meaning of s.6 of the 1998 Act by performing an obligation arising under a contract made before the coming into force of that</w:t>
      </w:r>
      <w:r>
        <w:rPr>
          <w:spacing w:val="-2"/>
        </w:rPr>
        <w:t> </w:t>
      </w:r>
      <w:r>
        <w:rPr/>
        <w:t>Act,</w:t>
      </w:r>
      <w:r>
        <w:rPr>
          <w:spacing w:val="-2"/>
        </w:rPr>
        <w:t> </w:t>
      </w:r>
      <w:r>
        <w:rPr/>
        <w:t>then</w:t>
      </w:r>
      <w:r>
        <w:rPr>
          <w:spacing w:val="-2"/>
        </w:rPr>
        <w:t> </w:t>
      </w:r>
      <w:r>
        <w:rPr/>
        <w:t>either</w:t>
      </w:r>
      <w:r>
        <w:rPr>
          <w:spacing w:val="-2"/>
        </w:rPr>
        <w:t> </w:t>
      </w:r>
      <w:r>
        <w:rPr/>
        <w:t>the</w:t>
      </w:r>
      <w:r>
        <w:rPr>
          <w:spacing w:val="-2"/>
        </w:rPr>
        <w:t> </w:t>
      </w:r>
      <w:r>
        <w:rPr/>
        <w:t>performance</w:t>
      </w:r>
      <w:r>
        <w:rPr>
          <w:spacing w:val="-2"/>
        </w:rPr>
        <w:t> </w:t>
      </w:r>
      <w:r>
        <w:rPr/>
        <w:t>of</w:t>
      </w:r>
      <w:r>
        <w:rPr>
          <w:spacing w:val="-2"/>
        </w:rPr>
        <w:t> </w:t>
      </w:r>
      <w:r>
        <w:rPr/>
        <w:t>the</w:t>
      </w:r>
      <w:r>
        <w:rPr>
          <w:spacing w:val="-2"/>
        </w:rPr>
        <w:t> </w:t>
      </w:r>
      <w:r>
        <w:rPr/>
        <w:t>contractual</w:t>
      </w:r>
      <w:r>
        <w:rPr>
          <w:spacing w:val="-2"/>
        </w:rPr>
        <w:t> </w:t>
      </w:r>
      <w:r>
        <w:rPr/>
        <w:t>obligation</w:t>
      </w:r>
      <w:r>
        <w:rPr>
          <w:spacing w:val="-2"/>
        </w:rPr>
        <w:t> </w:t>
      </w:r>
      <w:r>
        <w:rPr/>
        <w:t>in</w:t>
      </w:r>
      <w:r>
        <w:rPr>
          <w:spacing w:val="-2"/>
        </w:rPr>
        <w:t> </w:t>
      </w:r>
      <w:r>
        <w:rPr/>
        <w:t>question</w:t>
      </w:r>
      <w:r>
        <w:rPr>
          <w:spacing w:val="-2"/>
        </w:rPr>
        <w:t> </w:t>
      </w:r>
      <w:r>
        <w:rPr/>
        <w:t>would</w:t>
      </w:r>
      <w:r>
        <w:rPr>
          <w:spacing w:val="-2"/>
        </w:rPr>
        <w:t> </w:t>
      </w:r>
      <w:r>
        <w:rPr/>
        <w:t>be</w:t>
      </w:r>
      <w:r>
        <w:rPr>
          <w:spacing w:val="-2"/>
        </w:rPr>
        <w:t> </w:t>
      </w:r>
      <w:r>
        <w:rPr/>
        <w:t>excused</w:t>
      </w:r>
      <w:r>
        <w:rPr>
          <w:spacing w:val="-2"/>
        </w:rPr>
        <w:t> </w:t>
      </w:r>
      <w:r>
        <w:rPr/>
        <w:t>or</w:t>
      </w:r>
      <w:r>
        <w:rPr>
          <w:spacing w:val="-2"/>
        </w:rPr>
        <w:t> </w:t>
      </w:r>
      <w:r>
        <w:rPr/>
        <w:t>the </w:t>
      </w:r>
      <w:bookmarkStart w:name="_bookmark1022" w:id="1024"/>
      <w:bookmarkEnd w:id="1024"/>
      <w:r>
        <w:rPr/>
        <w:t>contract</w:t>
      </w:r>
      <w:r>
        <w:rPr>
          <w:spacing w:val="3"/>
        </w:rPr>
        <w:t> </w:t>
      </w:r>
      <w:r>
        <w:rPr/>
        <w:t>as</w:t>
      </w:r>
      <w:r>
        <w:rPr>
          <w:spacing w:val="3"/>
        </w:rPr>
        <w:t> </w:t>
      </w:r>
      <w:r>
        <w:rPr/>
        <w:t>a</w:t>
      </w:r>
      <w:r>
        <w:rPr>
          <w:spacing w:val="3"/>
        </w:rPr>
        <w:t> </w:t>
      </w:r>
      <w:r>
        <w:rPr/>
        <w:t>whole</w:t>
      </w:r>
      <w:r>
        <w:rPr>
          <w:spacing w:val="3"/>
        </w:rPr>
        <w:t> </w:t>
      </w:r>
      <w:r>
        <w:rPr/>
        <w:t>would</w:t>
      </w:r>
      <w:r>
        <w:rPr>
          <w:spacing w:val="3"/>
        </w:rPr>
        <w:t> </w:t>
      </w:r>
      <w:r>
        <w:rPr/>
        <w:t>be</w:t>
      </w:r>
      <w:r>
        <w:rPr>
          <w:spacing w:val="3"/>
        </w:rPr>
        <w:t> </w:t>
      </w:r>
      <w:r>
        <w:rPr/>
        <w:t>frustrated</w:t>
      </w:r>
      <w:r>
        <w:rPr>
          <w:spacing w:val="3"/>
        </w:rPr>
        <w:t> </w:t>
      </w:r>
      <w:r>
        <w:rPr/>
        <w:t>by</w:t>
      </w:r>
      <w:r>
        <w:rPr>
          <w:spacing w:val="3"/>
        </w:rPr>
        <w:t> </w:t>
      </w:r>
      <w:r>
        <w:rPr/>
        <w:t>this</w:t>
      </w:r>
      <w:r>
        <w:rPr>
          <w:spacing w:val="3"/>
        </w:rPr>
        <w:t> </w:t>
      </w:r>
      <w:r>
        <w:rPr/>
        <w:t>supervening</w:t>
      </w:r>
      <w:r>
        <w:rPr>
          <w:spacing w:val="3"/>
        </w:rPr>
        <w:t> </w:t>
      </w:r>
      <w:r>
        <w:rPr/>
        <w:t>illegality,</w:t>
      </w:r>
      <w:r>
        <w:rPr>
          <w:spacing w:val="3"/>
        </w:rPr>
        <w:t> </w:t>
      </w:r>
      <w:r>
        <w:rPr/>
        <w:t>this</w:t>
      </w:r>
      <w:r>
        <w:rPr>
          <w:spacing w:val="3"/>
        </w:rPr>
        <w:t> </w:t>
      </w:r>
      <w:r>
        <w:rPr/>
        <w:t>depending</w:t>
      </w:r>
      <w:r>
        <w:rPr>
          <w:spacing w:val="3"/>
        </w:rPr>
        <w:t> </w:t>
      </w:r>
      <w:r>
        <w:rPr/>
        <w:t>on</w:t>
      </w:r>
      <w:r>
        <w:rPr>
          <w:spacing w:val="3"/>
        </w:rPr>
        <w:t> </w:t>
      </w:r>
      <w:r>
        <w:rPr/>
        <w:t>the</w:t>
      </w:r>
      <w:r>
        <w:rPr>
          <w:spacing w:val="3"/>
        </w:rPr>
        <w:t> </w:t>
      </w:r>
      <w:r>
        <w:rPr>
          <w:spacing w:val="-2"/>
        </w:rPr>
        <w:t>illegality’s</w:t>
      </w:r>
    </w:p>
    <w:p>
      <w:pPr>
        <w:pStyle w:val="BodyText"/>
        <w:spacing w:before="115"/>
        <w:ind w:left="165"/>
        <w:jc w:val="both"/>
        <w:rPr>
          <w:position w:val="-2"/>
        </w:rPr>
      </w:pPr>
      <w:r>
        <w:rPr/>
        <w:t>significance for the main purpose of the contract as a whole. </w:t>
      </w:r>
      <w:r>
        <w:rPr>
          <w:color w:val="005DA1"/>
          <w:u w:val="single" w:color="005DA1"/>
          <w:vertAlign w:val="superscript"/>
        </w:rPr>
        <w:t>551</w:t>
      </w:r>
      <w:r>
        <w:rPr>
          <w:color w:val="005DA1"/>
          <w:spacing w:val="80"/>
          <w:w w:val="150"/>
          <w:vertAlign w:val="baseline"/>
        </w:rPr>
        <w:t> </w:t>
      </w:r>
      <w:r>
        <w:rPr>
          <w:color w:val="005DA1"/>
          <w:position w:val="-2"/>
          <w:vertAlign w:val="baseline"/>
        </w:rPr>
        <w:drawing>
          <wp:inline distT="0" distB="0" distL="0" distR="0">
            <wp:extent cx="107988" cy="107988"/>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Unlawful manner of performance by public </w:t>
      </w:r>
      <w:r>
        <w:rPr>
          <w:rFonts w:ascii="Arial"/>
          <w:b/>
          <w:spacing w:val="-2"/>
          <w:sz w:val="18"/>
        </w:rPr>
        <w:t>authority</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064</w:t>
      </w:r>
    </w:p>
    <w:p>
      <w:pPr>
        <w:pStyle w:val="BodyText"/>
        <w:spacing w:before="199"/>
        <w:ind w:left="165"/>
      </w:pPr>
      <w:r>
        <w:rPr/>
        <w:t>Different</w:t>
      </w:r>
      <w:r>
        <w:rPr>
          <w:spacing w:val="34"/>
        </w:rPr>
        <w:t> </w:t>
      </w:r>
      <w:r>
        <w:rPr/>
        <w:t>considerations</w:t>
      </w:r>
      <w:r>
        <w:rPr>
          <w:spacing w:val="34"/>
        </w:rPr>
        <w:t> </w:t>
      </w:r>
      <w:r>
        <w:rPr/>
        <w:t>apply</w:t>
      </w:r>
      <w:r>
        <w:rPr>
          <w:spacing w:val="34"/>
        </w:rPr>
        <w:t> </w:t>
      </w:r>
      <w:r>
        <w:rPr/>
        <w:t>where</w:t>
      </w:r>
      <w:r>
        <w:rPr>
          <w:spacing w:val="34"/>
        </w:rPr>
        <w:t> </w:t>
      </w:r>
      <w:r>
        <w:rPr/>
        <w:t>a</w:t>
      </w:r>
      <w:r>
        <w:rPr>
          <w:spacing w:val="34"/>
        </w:rPr>
        <w:t> </w:t>
      </w:r>
      <w:r>
        <w:rPr/>
        <w:t>public</w:t>
      </w:r>
      <w:r>
        <w:rPr>
          <w:spacing w:val="34"/>
        </w:rPr>
        <w:t> </w:t>
      </w:r>
      <w:r>
        <w:rPr/>
        <w:t>authority’s</w:t>
      </w:r>
      <w:r>
        <w:rPr>
          <w:spacing w:val="34"/>
        </w:rPr>
        <w:t> </w:t>
      </w:r>
      <w:r>
        <w:rPr/>
        <w:t>action</w:t>
      </w:r>
      <w:r>
        <w:rPr>
          <w:spacing w:val="34"/>
        </w:rPr>
        <w:t> </w:t>
      </w:r>
      <w:r>
        <w:rPr/>
        <w:t>in</w:t>
      </w:r>
      <w:r>
        <w:rPr>
          <w:spacing w:val="34"/>
        </w:rPr>
        <w:t> </w:t>
      </w:r>
      <w:r>
        <w:rPr/>
        <w:t>performing</w:t>
      </w:r>
      <w:r>
        <w:rPr>
          <w:spacing w:val="34"/>
        </w:rPr>
        <w:t> </w:t>
      </w:r>
      <w:r>
        <w:rPr/>
        <w:t>an</w:t>
      </w:r>
      <w:r>
        <w:rPr>
          <w:spacing w:val="34"/>
        </w:rPr>
        <w:t> </w:t>
      </w:r>
      <w:r>
        <w:rPr/>
        <w:t>obligation</w:t>
      </w:r>
      <w:r>
        <w:rPr>
          <w:spacing w:val="34"/>
        </w:rPr>
        <w:t> </w:t>
      </w:r>
      <w:r>
        <w:rPr>
          <w:spacing w:val="-2"/>
        </w:rPr>
        <w:t>arising</w:t>
      </w:r>
    </w:p>
    <w:p>
      <w:pPr>
        <w:pStyle w:val="BodyText"/>
        <w:spacing w:after="0"/>
        <w:sectPr>
          <w:pgSz w:w="11900" w:h="16840"/>
          <w:pgMar w:header="971" w:footer="0" w:top="1300" w:bottom="280" w:left="1275" w:right="1275"/>
        </w:sectPr>
      </w:pPr>
    </w:p>
    <w:p>
      <w:pPr>
        <w:pStyle w:val="BodyText"/>
        <w:spacing w:line="235" w:lineRule="auto" w:before="210"/>
        <w:ind w:left="165" w:right="167"/>
        <w:jc w:val="both"/>
      </w:pPr>
      <w:r>
        <w:rPr/>
        <w:t>under a contract made before the coming into force of the 1998 Act is incompatible with a </w:t>
      </w:r>
      <w:r>
        <w:rPr/>
        <w:t>Convention right, but where this incompatibility is not required by the obligation itself, but rather reflects the </w:t>
      </w:r>
      <w:bookmarkStart w:name="_bookmark1023" w:id="1025"/>
      <w:bookmarkEnd w:id="1025"/>
      <w:r>
        <w:rPr/>
        <w:t>chosen</w:t>
      </w:r>
      <w:r>
        <w:rPr/>
        <w:t> manner of its performance by the public authority. In these circumstances, the arguments as to the effect of s.6 of the 1998 Act would differ from those exposed earlier, </w:t>
      </w:r>
      <w:r>
        <w:rPr>
          <w:color w:val="005DA1"/>
          <w:u w:val="single" w:color="005DA1"/>
          <w:vertAlign w:val="superscript"/>
        </w:rPr>
        <w:t>552</w:t>
      </w:r>
      <w:r>
        <w:rPr>
          <w:color w:val="005DA1"/>
          <w:vertAlign w:val="baseline"/>
        </w:rPr>
        <w:t> </w:t>
      </w:r>
      <w:r>
        <w:rPr>
          <w:vertAlign w:val="baseline"/>
        </w:rPr>
        <w:t>as ex hypothesi the other party to the contract would not have any accrued rights to the action of the public authority in purported performance of the contract. It is submitted, therefore, that in these circumstances a public authority could be held to act unlawfully within the meaning of s.6, even though the contract predated the 1998 Act’s coming into force. Where this is the case, then the courts are likely to look to their </w:t>
      </w:r>
      <w:bookmarkStart w:name="_bookmark1024" w:id="1026"/>
      <w:bookmarkEnd w:id="1026"/>
      <w:r>
        <w:rPr>
          <w:vertAlign w:val="baseline"/>
        </w:rPr>
        <w:t>general</w:t>
      </w:r>
      <w:r>
        <w:rPr>
          <w:vertAlign w:val="baseline"/>
        </w:rPr>
        <w:t> approach to illegality in performance to determine the effects of this “unlawful act” on the contractual rights of the parties inter se. </w:t>
      </w:r>
      <w:r>
        <w:rPr>
          <w:color w:val="005DA1"/>
          <w:u w:val="single" w:color="005DA1"/>
          <w:vertAlign w:val="superscript"/>
        </w:rPr>
        <w:t>553</w:t>
      </w:r>
    </w:p>
    <w:p>
      <w:pPr>
        <w:pStyle w:val="BodyText"/>
      </w:pPr>
    </w:p>
    <w:p>
      <w:pPr>
        <w:pStyle w:val="BodyText"/>
        <w:spacing w:before="36"/>
      </w:pPr>
      <w:r>
        <w:rPr/>
        <mc:AlternateContent>
          <mc:Choice Requires="wps">
            <w:drawing>
              <wp:anchor distT="0" distB="0" distL="0" distR="0" allowOverlap="1" layoutInCell="1" locked="0" behindDoc="1" simplePos="0" relativeHeight="487664640">
                <wp:simplePos x="0" y="0"/>
                <wp:positionH relativeFrom="page">
                  <wp:posOffset>914400</wp:posOffset>
                </wp:positionH>
                <wp:positionV relativeFrom="paragraph">
                  <wp:posOffset>184520</wp:posOffset>
                </wp:positionV>
                <wp:extent cx="5724525" cy="1270"/>
                <wp:effectExtent l="0" t="0" r="0" b="0"/>
                <wp:wrapTopAndBottom/>
                <wp:docPr id="314" name="Graphic 314"/>
                <wp:cNvGraphicFramePr>
                  <a:graphicFrameLocks/>
                </wp:cNvGraphicFramePr>
                <a:graphic>
                  <a:graphicData uri="http://schemas.microsoft.com/office/word/2010/wordprocessingShape">
                    <wps:wsp>
                      <wps:cNvPr id="314" name="Graphic 31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29187pt;width:450.75pt;height:.1pt;mso-position-horizontal-relative:page;mso-position-vertical-relative:paragraph;z-index:-15651840;mso-wrap-distance-left:0;mso-wrap-distance-right:0" id="docshape31"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pStyle w:val="BodyText"/>
        <w:tabs>
          <w:tab w:pos="705" w:val="left" w:leader="none"/>
        </w:tabs>
        <w:spacing w:line="235" w:lineRule="auto"/>
        <w:ind w:left="705" w:right="168" w:hanging="541"/>
      </w:pPr>
      <w:bookmarkStart w:name="_bookmark1025" w:id="1027"/>
      <w:bookmarkEnd w:id="1027"/>
      <w:r>
        <w:rPr/>
      </w:r>
      <w:hyperlink w:history="true" w:anchor="_bookmark1008">
        <w:r>
          <w:rPr>
            <w:color w:val="005DA1"/>
            <w:spacing w:val="-4"/>
            <w:position w:val="5"/>
            <w:sz w:val="14"/>
            <w:u w:val="single" w:color="005DA1"/>
          </w:rPr>
          <w:t>537</w:t>
        </w:r>
      </w:hyperlink>
      <w:r>
        <w:rPr>
          <w:spacing w:val="-4"/>
          <w:position w:val="5"/>
          <w:sz w:val="14"/>
        </w:rPr>
        <w:t>.</w:t>
      </w:r>
      <w:r>
        <w:rPr>
          <w:position w:val="5"/>
          <w:sz w:val="14"/>
        </w:rPr>
        <w:tab/>
      </w:r>
      <w:r>
        <w:rPr/>
        <w:t>On the application of the definition of “public authority” under ss.6(3) and (5) of the 1998 Act to the making of contracts, see below, para.1-073—1-075.</w:t>
      </w:r>
    </w:p>
    <w:p>
      <w:pPr>
        <w:pStyle w:val="BodyText"/>
        <w:spacing w:before="5"/>
      </w:pPr>
    </w:p>
    <w:p>
      <w:pPr>
        <w:tabs>
          <w:tab w:pos="705" w:val="left" w:leader="none"/>
        </w:tabs>
        <w:spacing w:before="0"/>
        <w:ind w:left="165" w:right="0" w:firstLine="0"/>
        <w:jc w:val="left"/>
        <w:rPr>
          <w:sz w:val="20"/>
        </w:rPr>
      </w:pPr>
      <w:bookmarkStart w:name="_bookmark1026" w:id="1028"/>
      <w:bookmarkEnd w:id="1028"/>
      <w:r>
        <w:rPr/>
      </w:r>
      <w:hyperlink w:history="true" w:anchor="_bookmark1009">
        <w:r>
          <w:rPr>
            <w:color w:val="005DA1"/>
            <w:spacing w:val="-4"/>
            <w:position w:val="5"/>
            <w:sz w:val="14"/>
            <w:u w:val="single" w:color="005DA1"/>
          </w:rPr>
          <w:t>538</w:t>
        </w:r>
      </w:hyperlink>
      <w:r>
        <w:rPr>
          <w:spacing w:val="-4"/>
          <w:position w:val="5"/>
          <w:sz w:val="14"/>
        </w:rPr>
        <w:t>.</w:t>
      </w:r>
      <w:r>
        <w:rPr>
          <w:position w:val="5"/>
          <w:sz w:val="14"/>
        </w:rPr>
        <w:tab/>
      </w:r>
      <w:r>
        <w:rPr>
          <w:rFonts w:ascii="Arial"/>
          <w:i/>
          <w:sz w:val="20"/>
        </w:rPr>
        <w:t>[2003] 3 W.L.R. 568, (2003) 3 W.L.R. </w:t>
      </w:r>
      <w:r>
        <w:rPr>
          <w:rFonts w:ascii="Arial"/>
          <w:i/>
          <w:spacing w:val="-4"/>
          <w:sz w:val="20"/>
        </w:rPr>
        <w:t>568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27" w:id="1029"/>
      <w:bookmarkEnd w:id="1029"/>
      <w:r>
        <w:rPr/>
      </w:r>
      <w:hyperlink w:history="true" w:anchor="_bookmark1010">
        <w:r>
          <w:rPr>
            <w:color w:val="005DA1"/>
            <w:spacing w:val="-4"/>
            <w:position w:val="5"/>
            <w:sz w:val="14"/>
            <w:u w:val="single" w:color="005DA1"/>
          </w:rPr>
          <w:t>539</w:t>
        </w:r>
      </w:hyperlink>
      <w:r>
        <w:rPr>
          <w:spacing w:val="-4"/>
          <w:position w:val="5"/>
          <w:sz w:val="14"/>
        </w:rPr>
        <w:t>.</w:t>
      </w:r>
      <w:r>
        <w:rPr>
          <w:position w:val="5"/>
          <w:sz w:val="14"/>
        </w:rPr>
        <w:tab/>
      </w:r>
      <w:r>
        <w:rPr>
          <w:rFonts w:ascii="Arial"/>
          <w:i/>
          <w:sz w:val="20"/>
        </w:rPr>
        <w:t>[2003]</w:t>
      </w:r>
      <w:r>
        <w:rPr>
          <w:rFonts w:ascii="Arial"/>
          <w:i/>
          <w:spacing w:val="-2"/>
          <w:sz w:val="20"/>
        </w:rPr>
        <w:t> </w:t>
      </w:r>
      <w:r>
        <w:rPr>
          <w:rFonts w:ascii="Arial"/>
          <w:i/>
          <w:sz w:val="20"/>
        </w:rPr>
        <w:t>3 W.L.R. 568</w:t>
      </w:r>
      <w:r>
        <w:rPr>
          <w:rFonts w:ascii="Arial"/>
          <w:i/>
          <w:spacing w:val="-1"/>
          <w:sz w:val="20"/>
        </w:rPr>
        <w:t> </w:t>
      </w:r>
      <w:r>
        <w:rPr>
          <w:sz w:val="20"/>
        </w:rPr>
        <w:t>at </w:t>
      </w:r>
      <w:r>
        <w:rPr>
          <w:spacing w:val="-2"/>
          <w:sz w:val="20"/>
        </w:rPr>
        <w:t>[12].</w:t>
      </w:r>
    </w:p>
    <w:p>
      <w:pPr>
        <w:pStyle w:val="BodyText"/>
        <w:spacing w:before="5"/>
      </w:pPr>
    </w:p>
    <w:p>
      <w:pPr>
        <w:tabs>
          <w:tab w:pos="705" w:val="left" w:leader="none"/>
        </w:tabs>
        <w:spacing w:before="0"/>
        <w:ind w:left="165" w:right="0" w:firstLine="0"/>
        <w:jc w:val="left"/>
        <w:rPr>
          <w:sz w:val="20"/>
        </w:rPr>
      </w:pPr>
      <w:bookmarkStart w:name="_bookmark1028" w:id="1030"/>
      <w:bookmarkEnd w:id="1030"/>
      <w:r>
        <w:rPr/>
      </w:r>
      <w:hyperlink w:history="true" w:anchor="_bookmark1011">
        <w:r>
          <w:rPr>
            <w:color w:val="005DA1"/>
            <w:spacing w:val="-4"/>
            <w:position w:val="5"/>
            <w:sz w:val="14"/>
            <w:u w:val="single" w:color="005DA1"/>
          </w:rPr>
          <w:t>540</w:t>
        </w:r>
      </w:hyperlink>
      <w:r>
        <w:rPr>
          <w:spacing w:val="-4"/>
          <w:position w:val="5"/>
          <w:sz w:val="14"/>
        </w:rPr>
        <w:t>.</w:t>
      </w:r>
      <w:r>
        <w:rPr>
          <w:position w:val="5"/>
          <w:sz w:val="14"/>
        </w:rPr>
        <w:tab/>
      </w:r>
      <w:r>
        <w:rPr>
          <w:rFonts w:ascii="Arial"/>
          <w:i/>
          <w:sz w:val="20"/>
        </w:rPr>
        <w:t>[2003] 3 W.L.R. 568</w:t>
      </w:r>
      <w:r>
        <w:rPr>
          <w:rFonts w:ascii="Arial"/>
          <w:i/>
          <w:spacing w:val="-1"/>
          <w:sz w:val="20"/>
        </w:rPr>
        <w:t> </w:t>
      </w:r>
      <w:r>
        <w:rPr>
          <w:sz w:val="20"/>
        </w:rPr>
        <w:t>at </w:t>
      </w:r>
      <w:r>
        <w:rPr>
          <w:spacing w:val="-2"/>
          <w:sz w:val="20"/>
        </w:rPr>
        <w:t>[156].</w:t>
      </w:r>
    </w:p>
    <w:p>
      <w:pPr>
        <w:pStyle w:val="BodyText"/>
        <w:spacing w:before="5"/>
      </w:pPr>
    </w:p>
    <w:p>
      <w:pPr>
        <w:pStyle w:val="BodyText"/>
        <w:tabs>
          <w:tab w:pos="705" w:val="left" w:leader="none"/>
        </w:tabs>
        <w:ind w:left="165"/>
      </w:pPr>
      <w:bookmarkStart w:name="_bookmark1029" w:id="1031"/>
      <w:bookmarkEnd w:id="1031"/>
      <w:r>
        <w:rPr/>
      </w:r>
      <w:hyperlink w:history="true" w:anchor="_bookmark1012">
        <w:r>
          <w:rPr>
            <w:color w:val="005DA1"/>
            <w:spacing w:val="-4"/>
            <w:position w:val="5"/>
            <w:sz w:val="14"/>
            <w:u w:val="single" w:color="005DA1"/>
          </w:rPr>
          <w:t>541</w:t>
        </w:r>
      </w:hyperlink>
      <w:r>
        <w:rPr>
          <w:spacing w:val="-4"/>
          <w:position w:val="5"/>
          <w:sz w:val="14"/>
        </w:rPr>
        <w:t>.</w:t>
      </w:r>
      <w:r>
        <w:rPr>
          <w:position w:val="5"/>
          <w:sz w:val="14"/>
        </w:rPr>
        <w:tab/>
      </w:r>
      <w:r>
        <w:rPr/>
        <w:t>See</w:t>
      </w:r>
      <w:r>
        <w:rPr>
          <w:spacing w:val="-2"/>
        </w:rPr>
        <w:t> </w:t>
      </w:r>
      <w:r>
        <w:rPr/>
        <w:t>above, para.1-</w:t>
      </w:r>
      <w:r>
        <w:rPr>
          <w:spacing w:val="-4"/>
        </w:rPr>
        <w:t>059.</w:t>
      </w:r>
    </w:p>
    <w:p>
      <w:pPr>
        <w:pStyle w:val="BodyText"/>
        <w:spacing w:before="5"/>
      </w:pPr>
    </w:p>
    <w:p>
      <w:pPr>
        <w:tabs>
          <w:tab w:pos="705" w:val="left" w:leader="none"/>
        </w:tabs>
        <w:spacing w:before="1"/>
        <w:ind w:left="165" w:right="0" w:firstLine="0"/>
        <w:jc w:val="left"/>
        <w:rPr>
          <w:sz w:val="20"/>
        </w:rPr>
      </w:pPr>
      <w:bookmarkStart w:name="_bookmark1030" w:id="1032"/>
      <w:bookmarkEnd w:id="1032"/>
      <w:r>
        <w:rPr/>
      </w:r>
      <w:hyperlink w:history="true" w:anchor="_bookmark1013">
        <w:r>
          <w:rPr>
            <w:color w:val="005DA1"/>
            <w:spacing w:val="-4"/>
            <w:position w:val="5"/>
            <w:sz w:val="14"/>
            <w:u w:val="single" w:color="005DA1"/>
          </w:rPr>
          <w:t>542</w:t>
        </w:r>
      </w:hyperlink>
      <w:r>
        <w:rPr>
          <w:spacing w:val="-4"/>
          <w:position w:val="5"/>
          <w:sz w:val="14"/>
        </w:rPr>
        <w:t>.</w:t>
      </w:r>
      <w:r>
        <w:rPr>
          <w:position w:val="5"/>
          <w:sz w:val="14"/>
        </w:rPr>
        <w:tab/>
      </w:r>
      <w:r>
        <w:rPr>
          <w:rFonts w:ascii="Arial"/>
          <w:i/>
          <w:sz w:val="20"/>
        </w:rPr>
        <w:t>[2003] UKHL 40, [2003] 3 W.L.R. 568</w:t>
      </w:r>
      <w:r>
        <w:rPr>
          <w:rFonts w:ascii="Arial"/>
          <w:i/>
          <w:spacing w:val="-1"/>
          <w:sz w:val="20"/>
        </w:rPr>
        <w:t> </w:t>
      </w:r>
      <w:r>
        <w:rPr>
          <w:sz w:val="20"/>
        </w:rPr>
        <w:t>at </w:t>
      </w:r>
      <w:r>
        <w:rPr>
          <w:spacing w:val="-2"/>
          <w:sz w:val="20"/>
        </w:rPr>
        <w:t>[156].</w:t>
      </w:r>
    </w:p>
    <w:p>
      <w:pPr>
        <w:pStyle w:val="BodyText"/>
        <w:spacing w:before="8"/>
      </w:pPr>
    </w:p>
    <w:p>
      <w:pPr>
        <w:pStyle w:val="BodyText"/>
        <w:tabs>
          <w:tab w:pos="705" w:val="left" w:leader="none"/>
        </w:tabs>
        <w:spacing w:line="235" w:lineRule="auto"/>
        <w:ind w:left="705" w:right="167" w:hanging="541"/>
      </w:pPr>
      <w:bookmarkStart w:name="_bookmark1031" w:id="1033"/>
      <w:bookmarkEnd w:id="1033"/>
      <w:r>
        <w:rPr/>
      </w:r>
      <w:hyperlink w:history="true" w:anchor="_bookmark1014">
        <w:r>
          <w:rPr>
            <w:color w:val="005DA1"/>
            <w:spacing w:val="-4"/>
            <w:position w:val="5"/>
            <w:sz w:val="14"/>
            <w:u w:val="single" w:color="005DA1"/>
          </w:rPr>
          <w:t>543</w:t>
        </w:r>
      </w:hyperlink>
      <w:r>
        <w:rPr>
          <w:spacing w:val="-4"/>
          <w:position w:val="5"/>
          <w:sz w:val="14"/>
        </w:rPr>
        <w:t>.</w:t>
      </w:r>
      <w:r>
        <w:rPr>
          <w:position w:val="5"/>
          <w:sz w:val="14"/>
        </w:rPr>
        <w:tab/>
      </w:r>
      <w:r>
        <w:rPr/>
        <w:t>For the purposes of the present discussion, it will be assumed that the public authority fulfils </w:t>
      </w:r>
      <w:r>
        <w:rPr/>
        <w:t>the criteria required by the 1998 Act s.6(3) and (4), on which see below, paras 1-073—1-075.</w:t>
      </w:r>
    </w:p>
    <w:p>
      <w:pPr>
        <w:pStyle w:val="BodyText"/>
        <w:spacing w:before="9"/>
      </w:pPr>
    </w:p>
    <w:p>
      <w:pPr>
        <w:pStyle w:val="BodyText"/>
        <w:spacing w:line="235" w:lineRule="auto" w:before="1"/>
        <w:ind w:left="705" w:right="167" w:hanging="541"/>
        <w:jc w:val="both"/>
      </w:pPr>
      <w:bookmarkStart w:name="_bookmark1032" w:id="1034"/>
      <w:bookmarkEnd w:id="1034"/>
      <w:r>
        <w:rPr/>
      </w:r>
      <w:hyperlink w:history="true" w:anchor="_bookmark1015">
        <w:r>
          <w:rPr>
            <w:color w:val="005DA1"/>
            <w:position w:val="5"/>
            <w:sz w:val="14"/>
            <w:u w:val="single" w:color="005DA1"/>
          </w:rPr>
          <w:t>544</w:t>
        </w:r>
      </w:hyperlink>
      <w:r>
        <w:rPr>
          <w:position w:val="5"/>
          <w:sz w:val="14"/>
        </w:rPr>
        <w:t>.</w:t>
      </w:r>
      <w:r>
        <w:rPr>
          <w:spacing w:val="80"/>
          <w:position w:val="5"/>
          <w:sz w:val="14"/>
        </w:rPr>
        <w:t>  </w:t>
      </w:r>
      <w:r>
        <w:rPr>
          <w:rFonts w:ascii="Arial" w:hAnsi="Arial"/>
          <w:i/>
        </w:rPr>
        <w:t>[2003] UKHL 40, [2003] 3 W.L.R. 568</w:t>
      </w:r>
      <w:r>
        <w:rPr/>
        <w:t>. Lord Rodger of Earlsferry explicitly stated that ss.3–9 </w:t>
      </w:r>
      <w:r>
        <w:rPr/>
        <w:t>of the 1998 Act should be interpreted so as to apply retroactively or only from commencement as</w:t>
      </w:r>
      <w:r>
        <w:rPr>
          <w:spacing w:val="40"/>
        </w:rPr>
        <w:t> </w:t>
      </w:r>
      <w:r>
        <w:rPr/>
        <w:t>a whole: at [204], [206].</w:t>
      </w:r>
    </w:p>
    <w:p>
      <w:pPr>
        <w:pStyle w:val="BodyText"/>
        <w:spacing w:before="8"/>
      </w:pPr>
    </w:p>
    <w:p>
      <w:pPr>
        <w:pStyle w:val="BodyText"/>
        <w:spacing w:line="235" w:lineRule="auto"/>
        <w:ind w:left="705" w:right="167" w:hanging="541"/>
        <w:jc w:val="both"/>
      </w:pPr>
      <w:bookmarkStart w:name="_bookmark1033" w:id="1035"/>
      <w:bookmarkEnd w:id="1035"/>
      <w:r>
        <w:rPr/>
      </w:r>
      <w:hyperlink w:history="true" w:anchor="_bookmark1016">
        <w:r>
          <w:rPr>
            <w:color w:val="005DA1"/>
            <w:position w:val="5"/>
            <w:sz w:val="14"/>
            <w:u w:val="single" w:color="005DA1"/>
          </w:rPr>
          <w:t>545</w:t>
        </w:r>
      </w:hyperlink>
      <w:r>
        <w:rPr>
          <w:position w:val="5"/>
          <w:sz w:val="14"/>
        </w:rPr>
        <w:t>.</w:t>
      </w:r>
      <w:r>
        <w:rPr>
          <w:spacing w:val="80"/>
          <w:w w:val="150"/>
          <w:position w:val="5"/>
          <w:sz w:val="14"/>
        </w:rPr>
        <w:t> </w:t>
      </w:r>
      <w:r>
        <w:rPr>
          <w:rFonts w:ascii="Arial" w:hAnsi="Arial"/>
          <w:i/>
        </w:rPr>
        <w:t>[2003] 3 W.L.R. 568 </w:t>
      </w:r>
      <w:r>
        <w:rPr/>
        <w:t>at [188]. On the restricted basis for Lord Rodger’s decision, see above, para.1-059. Lord Rodger drew on the discussion in P.A. Coté, </w:t>
      </w:r>
      <w:r>
        <w:rPr>
          <w:rFonts w:ascii="Arial" w:hAnsi="Arial"/>
          <w:i/>
        </w:rPr>
        <w:t>The Interpretation of </w:t>
      </w:r>
      <w:r>
        <w:rPr>
          <w:rFonts w:ascii="Arial" w:hAnsi="Arial"/>
          <w:i/>
        </w:rPr>
        <w:t>Legislation in Canada</w:t>
      </w:r>
      <w:r>
        <w:rPr/>
        <w:t>, 3rd edn (2000), Ch.2, s.1 and referred to </w:t>
      </w:r>
      <w:r>
        <w:rPr>
          <w:rFonts w:ascii="Arial" w:hAnsi="Arial"/>
          <w:i/>
        </w:rPr>
        <w:t>West v Gwynne [1911] 2 Ch. 1</w:t>
      </w:r>
      <w:r>
        <w:rPr/>
        <w:t>. Lord Hobhouse adopted Lord Rodger’s observations on the various usages of the word “retrospective”: </w:t>
      </w:r>
      <w:r>
        <w:rPr>
          <w:rFonts w:ascii="Arial" w:hAnsi="Arial"/>
          <w:i/>
        </w:rPr>
        <w:t>[2003] UKHL 40, [2003] 3 W.L.R. 568 </w:t>
      </w:r>
      <w:r>
        <w:rPr/>
        <w:t>at [145]. See also the observations of</w:t>
      </w:r>
      <w:r>
        <w:rPr>
          <w:spacing w:val="40"/>
        </w:rPr>
        <w:t> </w:t>
      </w:r>
      <w:r>
        <w:rPr/>
        <w:t>Lord Scott of Foscote at [161], who noted that: “Where transactions calculated to continue for some considerable period are entered into, intervening legislation may in some respect or other affect the rights or obligations that accrue after the legislation has come into force”. He illustrated this by reference to contracts of lease and landlord and tenant legislation.</w:t>
      </w:r>
    </w:p>
    <w:p>
      <w:pPr>
        <w:pStyle w:val="BodyText"/>
        <w:spacing w:before="3"/>
      </w:pPr>
    </w:p>
    <w:p>
      <w:pPr>
        <w:tabs>
          <w:tab w:pos="705" w:val="left" w:leader="none"/>
        </w:tabs>
        <w:spacing w:line="227" w:lineRule="exact" w:before="0"/>
        <w:ind w:left="165" w:right="0" w:firstLine="0"/>
        <w:jc w:val="left"/>
        <w:rPr>
          <w:rFonts w:ascii="Arial"/>
          <w:i/>
          <w:sz w:val="20"/>
        </w:rPr>
      </w:pPr>
      <w:bookmarkStart w:name="_bookmark1034" w:id="1036"/>
      <w:bookmarkEnd w:id="1036"/>
      <w:r>
        <w:rPr/>
      </w:r>
      <w:hyperlink w:history="true" w:anchor="_bookmark1017">
        <w:r>
          <w:rPr>
            <w:color w:val="005DA1"/>
            <w:spacing w:val="-4"/>
            <w:position w:val="5"/>
            <w:sz w:val="14"/>
            <w:u w:val="single" w:color="005DA1"/>
          </w:rPr>
          <w:t>546</w:t>
        </w:r>
      </w:hyperlink>
      <w:r>
        <w:rPr>
          <w:spacing w:val="-4"/>
          <w:position w:val="5"/>
          <w:sz w:val="14"/>
        </w:rPr>
        <w:t>.</w:t>
      </w:r>
      <w:r>
        <w:rPr>
          <w:position w:val="5"/>
          <w:sz w:val="14"/>
        </w:rPr>
        <w:tab/>
      </w:r>
      <w:r>
        <w:rPr>
          <w:rFonts w:ascii="Arial"/>
          <w:i/>
          <w:sz w:val="20"/>
        </w:rPr>
        <w:t>[2003]</w:t>
      </w:r>
      <w:r>
        <w:rPr>
          <w:rFonts w:ascii="Arial"/>
          <w:i/>
          <w:spacing w:val="39"/>
          <w:sz w:val="20"/>
        </w:rPr>
        <w:t> </w:t>
      </w:r>
      <w:r>
        <w:rPr>
          <w:rFonts w:ascii="Arial"/>
          <w:i/>
          <w:sz w:val="20"/>
        </w:rPr>
        <w:t>UKHL</w:t>
      </w:r>
      <w:r>
        <w:rPr>
          <w:rFonts w:ascii="Arial"/>
          <w:i/>
          <w:spacing w:val="39"/>
          <w:sz w:val="20"/>
        </w:rPr>
        <w:t> </w:t>
      </w:r>
      <w:r>
        <w:rPr>
          <w:rFonts w:ascii="Arial"/>
          <w:i/>
          <w:sz w:val="20"/>
        </w:rPr>
        <w:t>40,</w:t>
      </w:r>
      <w:r>
        <w:rPr>
          <w:rFonts w:ascii="Arial"/>
          <w:i/>
          <w:spacing w:val="39"/>
          <w:sz w:val="20"/>
        </w:rPr>
        <w:t> </w:t>
      </w:r>
      <w:r>
        <w:rPr>
          <w:rFonts w:ascii="Arial"/>
          <w:i/>
          <w:sz w:val="20"/>
        </w:rPr>
        <w:t>[2003]</w:t>
      </w:r>
      <w:r>
        <w:rPr>
          <w:rFonts w:ascii="Arial"/>
          <w:i/>
          <w:spacing w:val="39"/>
          <w:sz w:val="20"/>
        </w:rPr>
        <w:t> </w:t>
      </w:r>
      <w:r>
        <w:rPr>
          <w:rFonts w:ascii="Arial"/>
          <w:i/>
          <w:sz w:val="20"/>
        </w:rPr>
        <w:t>3</w:t>
      </w:r>
      <w:r>
        <w:rPr>
          <w:rFonts w:ascii="Arial"/>
          <w:i/>
          <w:spacing w:val="39"/>
          <w:sz w:val="20"/>
        </w:rPr>
        <w:t> </w:t>
      </w:r>
      <w:r>
        <w:rPr>
          <w:rFonts w:ascii="Arial"/>
          <w:i/>
          <w:sz w:val="20"/>
        </w:rPr>
        <w:t>W.L.R.</w:t>
      </w:r>
      <w:r>
        <w:rPr>
          <w:rFonts w:ascii="Arial"/>
          <w:i/>
          <w:spacing w:val="39"/>
          <w:sz w:val="20"/>
        </w:rPr>
        <w:t> </w:t>
      </w:r>
      <w:r>
        <w:rPr>
          <w:rFonts w:ascii="Arial"/>
          <w:i/>
          <w:sz w:val="20"/>
        </w:rPr>
        <w:t>568</w:t>
      </w:r>
      <w:r>
        <w:rPr>
          <w:rFonts w:ascii="Arial"/>
          <w:i/>
          <w:spacing w:val="39"/>
          <w:sz w:val="20"/>
        </w:rPr>
        <w:t> </w:t>
      </w:r>
      <w:r>
        <w:rPr>
          <w:sz w:val="20"/>
        </w:rPr>
        <w:t>at</w:t>
      </w:r>
      <w:r>
        <w:rPr>
          <w:spacing w:val="39"/>
          <w:sz w:val="20"/>
        </w:rPr>
        <w:t> </w:t>
      </w:r>
      <w:r>
        <w:rPr>
          <w:sz w:val="20"/>
        </w:rPr>
        <w:t>[192];</w:t>
      </w:r>
      <w:r>
        <w:rPr>
          <w:spacing w:val="39"/>
          <w:sz w:val="20"/>
        </w:rPr>
        <w:t> </w:t>
      </w:r>
      <w:r>
        <w:rPr>
          <w:rFonts w:ascii="Arial"/>
          <w:i/>
          <w:sz w:val="20"/>
        </w:rPr>
        <w:t>Gustavson</w:t>
      </w:r>
      <w:r>
        <w:rPr>
          <w:rFonts w:ascii="Arial"/>
          <w:i/>
          <w:spacing w:val="39"/>
          <w:sz w:val="20"/>
        </w:rPr>
        <w:t> </w:t>
      </w:r>
      <w:r>
        <w:rPr>
          <w:rFonts w:ascii="Arial"/>
          <w:i/>
          <w:sz w:val="20"/>
        </w:rPr>
        <w:t>Drilling</w:t>
      </w:r>
      <w:r>
        <w:rPr>
          <w:rFonts w:ascii="Arial"/>
          <w:i/>
          <w:spacing w:val="39"/>
          <w:sz w:val="20"/>
        </w:rPr>
        <w:t> </w:t>
      </w:r>
      <w:r>
        <w:rPr>
          <w:rFonts w:ascii="Arial"/>
          <w:i/>
          <w:sz w:val="20"/>
        </w:rPr>
        <w:t>(1964)</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Minister</w:t>
      </w:r>
      <w:r>
        <w:rPr>
          <w:rFonts w:ascii="Arial"/>
          <w:i/>
          <w:spacing w:val="39"/>
          <w:sz w:val="20"/>
        </w:rPr>
        <w:t> </w:t>
      </w:r>
      <w:r>
        <w:rPr>
          <w:rFonts w:ascii="Arial"/>
          <w:i/>
          <w:spacing w:val="-5"/>
          <w:sz w:val="20"/>
        </w:rPr>
        <w:t>of</w:t>
      </w:r>
    </w:p>
    <w:p>
      <w:pPr>
        <w:spacing w:line="227" w:lineRule="exact" w:before="0"/>
        <w:ind w:left="705" w:right="0" w:firstLine="0"/>
        <w:jc w:val="left"/>
        <w:rPr>
          <w:sz w:val="20"/>
        </w:rPr>
      </w:pPr>
      <w:r>
        <w:rPr>
          <w:rFonts w:ascii="Arial" w:hAnsi="Arial"/>
          <w:i/>
          <w:sz w:val="20"/>
        </w:rPr>
        <w:t>National Revenue [1977] 1 S.C.R. 271, </w:t>
      </w:r>
      <w:r>
        <w:rPr>
          <w:rFonts w:ascii="Arial" w:hAnsi="Arial"/>
          <w:i/>
          <w:spacing w:val="-2"/>
          <w:sz w:val="20"/>
        </w:rPr>
        <w:t>282–283</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035" w:id="1037"/>
      <w:bookmarkEnd w:id="1037"/>
      <w:r>
        <w:rPr/>
      </w:r>
      <w:hyperlink w:history="true" w:anchor="_bookmark1018">
        <w:r>
          <w:rPr>
            <w:color w:val="005DA1"/>
            <w:spacing w:val="-4"/>
            <w:position w:val="5"/>
            <w:sz w:val="14"/>
            <w:u w:val="single" w:color="005DA1"/>
          </w:rPr>
          <w:t>547</w:t>
        </w:r>
      </w:hyperlink>
      <w:r>
        <w:rPr>
          <w:spacing w:val="-4"/>
          <w:position w:val="5"/>
          <w:sz w:val="14"/>
        </w:rPr>
        <w:t>.</w:t>
      </w:r>
      <w:r>
        <w:rPr>
          <w:position w:val="5"/>
          <w:sz w:val="14"/>
        </w:rPr>
        <w:tab/>
      </w:r>
      <w:r>
        <w:rPr>
          <w:rFonts w:ascii="Arial"/>
          <w:i/>
          <w:sz w:val="20"/>
        </w:rPr>
        <w:t>[2003] UKHL 40, [2003] 3 W.L.R. 568</w:t>
      </w:r>
      <w:r>
        <w:rPr>
          <w:rFonts w:ascii="Arial"/>
          <w:i/>
          <w:spacing w:val="-1"/>
          <w:sz w:val="20"/>
        </w:rPr>
        <w:t> </w:t>
      </w:r>
      <w:r>
        <w:rPr>
          <w:sz w:val="20"/>
        </w:rPr>
        <w:t>at </w:t>
      </w:r>
      <w:r>
        <w:rPr>
          <w:spacing w:val="-2"/>
          <w:sz w:val="20"/>
        </w:rPr>
        <w:t>[193].</w:t>
      </w:r>
    </w:p>
    <w:p>
      <w:pPr>
        <w:pStyle w:val="BodyText"/>
        <w:spacing w:before="5"/>
      </w:pPr>
    </w:p>
    <w:p>
      <w:pPr>
        <w:tabs>
          <w:tab w:pos="705" w:val="left" w:leader="none"/>
        </w:tabs>
        <w:spacing w:before="0"/>
        <w:ind w:left="165" w:right="0" w:firstLine="0"/>
        <w:jc w:val="left"/>
        <w:rPr>
          <w:sz w:val="20"/>
        </w:rPr>
      </w:pPr>
      <w:bookmarkStart w:name="_bookmark1036" w:id="1038"/>
      <w:bookmarkEnd w:id="1038"/>
      <w:r>
        <w:rPr/>
      </w:r>
      <w:hyperlink w:history="true" w:anchor="_bookmark1019">
        <w:r>
          <w:rPr>
            <w:color w:val="005DA1"/>
            <w:spacing w:val="-4"/>
            <w:position w:val="5"/>
            <w:sz w:val="14"/>
            <w:u w:val="single" w:color="005DA1"/>
          </w:rPr>
          <w:t>548</w:t>
        </w:r>
      </w:hyperlink>
      <w:r>
        <w:rPr>
          <w:spacing w:val="-4"/>
          <w:position w:val="5"/>
          <w:sz w:val="14"/>
        </w:rPr>
        <w:t>.</w:t>
      </w:r>
      <w:r>
        <w:rPr>
          <w:position w:val="5"/>
          <w:sz w:val="14"/>
        </w:rPr>
        <w:tab/>
      </w:r>
      <w:r>
        <w:rPr>
          <w:rFonts w:ascii="Arial"/>
          <w:i/>
          <w:sz w:val="20"/>
        </w:rPr>
        <w:t>[2003] 3 W.L.R. 568</w:t>
      </w:r>
      <w:r>
        <w:rPr>
          <w:rFonts w:ascii="Arial"/>
          <w:i/>
          <w:spacing w:val="-1"/>
          <w:sz w:val="20"/>
        </w:rPr>
        <w:t> </w:t>
      </w:r>
      <w:r>
        <w:rPr>
          <w:sz w:val="20"/>
        </w:rPr>
        <w:t>at </w:t>
      </w:r>
      <w:r>
        <w:rPr>
          <w:spacing w:val="-2"/>
          <w:sz w:val="20"/>
        </w:rPr>
        <w:t>[195].</w:t>
      </w:r>
    </w:p>
    <w:p>
      <w:pPr>
        <w:pStyle w:val="BodyText"/>
        <w:spacing w:before="9"/>
      </w:pPr>
    </w:p>
    <w:p>
      <w:pPr>
        <w:pStyle w:val="BodyText"/>
        <w:spacing w:line="235" w:lineRule="auto"/>
        <w:ind w:left="705" w:right="167" w:hanging="541"/>
        <w:jc w:val="both"/>
      </w:pPr>
      <w:bookmarkStart w:name="_bookmark1037" w:id="1039"/>
      <w:bookmarkEnd w:id="1039"/>
      <w:r>
        <w:rPr/>
      </w:r>
      <w:hyperlink w:history="true" w:anchor="_bookmark1020">
        <w:r>
          <w:rPr>
            <w:color w:val="005DA1"/>
            <w:position w:val="5"/>
            <w:sz w:val="14"/>
            <w:u w:val="single" w:color="005DA1"/>
          </w:rPr>
          <w:t>549</w:t>
        </w:r>
      </w:hyperlink>
      <w:r>
        <w:rPr>
          <w:position w:val="5"/>
          <w:sz w:val="14"/>
        </w:rPr>
        <w:t>.</w:t>
      </w:r>
      <w:r>
        <w:rPr>
          <w:spacing w:val="40"/>
          <w:position w:val="5"/>
          <w:sz w:val="14"/>
        </w:rPr>
        <w:t>  </w:t>
      </w:r>
      <w:r>
        <w:rPr>
          <w:rFonts w:ascii="Arial" w:hAnsi="Arial"/>
          <w:i/>
        </w:rPr>
        <w:t>[2003] 3 W.L.R. 568 </w:t>
      </w:r>
      <w:r>
        <w:rPr/>
        <w:t>at [209]–[210]. He distinguished in particular between the procedural rights protected by art.6 of the Convention and other, substantive rights. For Lord Rodger the proper question was therefore whether the 1998 Act gave effect to art.1 of the First Protocol to the Convention so as to affect vested rights or pending proceedings: </w:t>
      </w:r>
      <w:r>
        <w:rPr>
          <w:rFonts w:ascii="Arial" w:hAnsi="Arial"/>
          <w:i/>
        </w:rPr>
        <w:t>[2003] 3 W.L.R. 568 </w:t>
      </w:r>
      <w:r>
        <w:rPr/>
        <w:t>at [215].</w:t>
      </w:r>
    </w:p>
    <w:p>
      <w:pPr>
        <w:pStyle w:val="BodyText"/>
        <w:spacing w:before="5"/>
      </w:pPr>
    </w:p>
    <w:p>
      <w:pPr>
        <w:pStyle w:val="BodyText"/>
        <w:tabs>
          <w:tab w:pos="705" w:val="left" w:leader="none"/>
        </w:tabs>
        <w:ind w:left="165"/>
      </w:pPr>
      <w:bookmarkStart w:name="_bookmark1038" w:id="1040"/>
      <w:bookmarkEnd w:id="1040"/>
      <w:r>
        <w:rPr/>
      </w:r>
      <w:hyperlink w:history="true" w:anchor="_bookmark1021">
        <w:r>
          <w:rPr>
            <w:color w:val="005DA1"/>
            <w:spacing w:val="-4"/>
            <w:position w:val="5"/>
            <w:sz w:val="14"/>
            <w:u w:val="single" w:color="005DA1"/>
          </w:rPr>
          <w:t>550</w:t>
        </w:r>
      </w:hyperlink>
      <w:r>
        <w:rPr>
          <w:spacing w:val="-4"/>
          <w:position w:val="5"/>
          <w:sz w:val="14"/>
        </w:rPr>
        <w:t>.</w:t>
      </w:r>
      <w:r>
        <w:rPr>
          <w:position w:val="5"/>
          <w:sz w:val="14"/>
        </w:rPr>
        <w:tab/>
      </w:r>
      <w:r>
        <w:rPr/>
        <w:t>i.e. Human Rights Act 1998 </w:t>
      </w:r>
      <w:r>
        <w:rPr>
          <w:spacing w:val="-2"/>
        </w:rPr>
        <w:t>ss.3–9.</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05952">
            <wp:simplePos x="0" y="0"/>
            <wp:positionH relativeFrom="page">
              <wp:posOffset>1257846</wp:posOffset>
            </wp:positionH>
            <wp:positionV relativeFrom="paragraph">
              <wp:posOffset>160174</wp:posOffset>
            </wp:positionV>
            <wp:extent cx="107988" cy="107988"/>
            <wp:effectExtent l="0" t="0" r="0" b="0"/>
            <wp:wrapNone/>
            <wp:docPr id="315" name="Image 315"/>
            <wp:cNvGraphicFramePr>
              <a:graphicFrameLocks/>
            </wp:cNvGraphicFramePr>
            <a:graphic>
              <a:graphicData uri="http://schemas.openxmlformats.org/drawingml/2006/picture">
                <pic:pic>
                  <pic:nvPicPr>
                    <pic:cNvPr id="315" name="Image 31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39" w:id="1041"/>
      <w:bookmarkEnd w:id="1041"/>
      <w:r>
        <w:rPr/>
      </w:r>
      <w:hyperlink w:history="true" w:anchor="_bookmark1022">
        <w:r>
          <w:rPr>
            <w:color w:val="005DA1"/>
            <w:spacing w:val="-4"/>
            <w:sz w:val="14"/>
            <w:u w:val="single" w:color="005DA1"/>
          </w:rPr>
          <w:t>551</w:t>
        </w:r>
      </w:hyperlink>
      <w:r>
        <w:rPr>
          <w:spacing w:val="-4"/>
          <w:sz w:val="14"/>
        </w:rPr>
        <w:t>.</w:t>
      </w:r>
    </w:p>
    <w:p>
      <w:pPr>
        <w:spacing w:line="235" w:lineRule="auto" w:before="212"/>
        <w:ind w:left="165" w:right="168" w:firstLine="170"/>
        <w:jc w:val="left"/>
        <w:rPr>
          <w:sz w:val="20"/>
        </w:rPr>
      </w:pPr>
      <w:r>
        <w:rPr/>
        <w:br w:type="column"/>
      </w:r>
      <w:r>
        <w:rPr>
          <w:sz w:val="20"/>
        </w:rPr>
        <w:t>cf.</w:t>
      </w:r>
      <w:r>
        <w:rPr>
          <w:spacing w:val="80"/>
          <w:sz w:val="20"/>
        </w:rPr>
        <w:t> </w:t>
      </w:r>
      <w:r>
        <w:rPr>
          <w:sz w:val="20"/>
        </w:rPr>
        <w:t>Peel,</w:t>
      </w:r>
      <w:r>
        <w:rPr>
          <w:spacing w:val="80"/>
          <w:sz w:val="20"/>
        </w:rPr>
        <w:t> </w:t>
      </w:r>
      <w:r>
        <w:rPr>
          <w:rFonts w:ascii="Arial" w:hAnsi="Arial"/>
          <w:i/>
          <w:sz w:val="20"/>
        </w:rPr>
        <w:t>Treitel</w:t>
      </w:r>
      <w:r>
        <w:rPr>
          <w:rFonts w:ascii="Arial" w:hAnsi="Arial"/>
          <w:i/>
          <w:spacing w:val="80"/>
          <w:sz w:val="20"/>
        </w:rPr>
        <w:t> </w:t>
      </w:r>
      <w:r>
        <w:rPr>
          <w:rFonts w:ascii="Arial" w:hAnsi="Arial"/>
          <w:i/>
          <w:sz w:val="20"/>
        </w:rPr>
        <w:t>on</w:t>
      </w:r>
      <w:r>
        <w:rPr>
          <w:rFonts w:ascii="Arial" w:hAnsi="Arial"/>
          <w:i/>
          <w:spacing w:val="80"/>
          <w:sz w:val="20"/>
        </w:rPr>
        <w:t> </w:t>
      </w:r>
      <w:r>
        <w:rPr>
          <w:rFonts w:ascii="Arial" w:hAnsi="Arial"/>
          <w:i/>
          <w:sz w:val="20"/>
        </w:rPr>
        <w:t>The</w:t>
      </w:r>
      <w:r>
        <w:rPr>
          <w:rFonts w:ascii="Arial" w:hAnsi="Arial"/>
          <w:i/>
          <w:spacing w:val="80"/>
          <w:sz w:val="20"/>
        </w:rPr>
        <w:t> </w:t>
      </w:r>
      <w:r>
        <w:rPr>
          <w:rFonts w:ascii="Arial" w:hAnsi="Arial"/>
          <w:i/>
          <w:sz w:val="20"/>
        </w:rPr>
        <w:t>Law</w:t>
      </w:r>
      <w:r>
        <w:rPr>
          <w:rFonts w:ascii="Arial" w:hAnsi="Arial"/>
          <w:i/>
          <w:spacing w:val="80"/>
          <w:sz w:val="20"/>
        </w:rPr>
        <w:t> </w:t>
      </w:r>
      <w:r>
        <w:rPr>
          <w:rFonts w:ascii="Arial" w:hAnsi="Arial"/>
          <w:i/>
          <w:sz w:val="20"/>
        </w:rPr>
        <w:t>of</w:t>
      </w:r>
      <w:r>
        <w:rPr>
          <w:rFonts w:ascii="Arial" w:hAnsi="Arial"/>
          <w:i/>
          <w:spacing w:val="80"/>
          <w:sz w:val="20"/>
        </w:rPr>
        <w:t> </w:t>
      </w:r>
      <w:r>
        <w:rPr>
          <w:rFonts w:ascii="Arial" w:hAnsi="Arial"/>
          <w:i/>
          <w:sz w:val="20"/>
        </w:rPr>
        <w:t>Contract</w:t>
      </w:r>
      <w:r>
        <w:rPr>
          <w:sz w:val="20"/>
        </w:rPr>
        <w:t>,</w:t>
      </w:r>
      <w:r>
        <w:rPr>
          <w:spacing w:val="80"/>
          <w:sz w:val="20"/>
        </w:rPr>
        <w:t> </w:t>
      </w:r>
      <w:r>
        <w:rPr>
          <w:sz w:val="20"/>
        </w:rPr>
        <w:t>14th</w:t>
      </w:r>
      <w:r>
        <w:rPr>
          <w:spacing w:val="80"/>
          <w:sz w:val="20"/>
        </w:rPr>
        <w:t> </w:t>
      </w:r>
      <w:r>
        <w:rPr>
          <w:sz w:val="20"/>
        </w:rPr>
        <w:t>edn</w:t>
      </w:r>
      <w:r>
        <w:rPr>
          <w:spacing w:val="80"/>
          <w:sz w:val="20"/>
        </w:rPr>
        <w:t> </w:t>
      </w:r>
      <w:r>
        <w:rPr>
          <w:sz w:val="20"/>
        </w:rPr>
        <w:t>(2015)</w:t>
      </w:r>
      <w:r>
        <w:rPr>
          <w:spacing w:val="80"/>
          <w:sz w:val="20"/>
        </w:rPr>
        <w:t> </w:t>
      </w:r>
      <w:r>
        <w:rPr>
          <w:sz w:val="20"/>
        </w:rPr>
        <w:t>and</w:t>
      </w:r>
      <w:r>
        <w:rPr>
          <w:spacing w:val="80"/>
          <w:sz w:val="20"/>
        </w:rPr>
        <w:t> </w:t>
      </w:r>
      <w:r>
        <w:rPr>
          <w:sz w:val="20"/>
        </w:rPr>
        <w:t>see</w:t>
      </w:r>
      <w:r>
        <w:rPr>
          <w:spacing w:val="80"/>
          <w:sz w:val="20"/>
        </w:rPr>
        <w:t> </w:t>
      </w:r>
      <w:r>
        <w:rPr>
          <w:sz w:val="20"/>
        </w:rPr>
        <w:t>below,</w:t>
      </w:r>
      <w:r>
        <w:rPr>
          <w:spacing w:val="80"/>
          <w:sz w:val="20"/>
        </w:rPr>
        <w:t> </w:t>
      </w:r>
      <w:r>
        <w:rPr>
          <w:sz w:val="20"/>
        </w:rPr>
        <w:t>paras</w:t>
      </w:r>
      <w:r>
        <w:rPr>
          <w:spacing w:val="40"/>
          <w:sz w:val="20"/>
        </w:rPr>
        <w:t> </w:t>
      </w:r>
      <w:r>
        <w:rPr>
          <w:spacing w:val="-2"/>
          <w:sz w:val="20"/>
        </w:rPr>
        <w:t>23-066—23-069.</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tabs>
          <w:tab w:pos="705" w:val="left" w:leader="none"/>
        </w:tabs>
        <w:spacing w:before="166"/>
        <w:ind w:left="165"/>
      </w:pPr>
      <w:bookmarkStart w:name="_bookmark1040" w:id="1042"/>
      <w:bookmarkEnd w:id="1042"/>
      <w:r>
        <w:rPr/>
      </w:r>
      <w:hyperlink w:history="true" w:anchor="_bookmark1023">
        <w:r>
          <w:rPr>
            <w:color w:val="005DA1"/>
            <w:spacing w:val="-4"/>
            <w:position w:val="5"/>
            <w:sz w:val="14"/>
            <w:u w:val="single" w:color="005DA1"/>
          </w:rPr>
          <w:t>552</w:t>
        </w:r>
      </w:hyperlink>
      <w:r>
        <w:rPr>
          <w:spacing w:val="-4"/>
          <w:position w:val="5"/>
          <w:sz w:val="14"/>
        </w:rPr>
        <w:t>.</w:t>
      </w:r>
      <w:r>
        <w:rPr>
          <w:position w:val="5"/>
          <w:sz w:val="14"/>
        </w:rPr>
        <w:tab/>
      </w:r>
      <w:r>
        <w:rPr/>
        <w:t>Above,</w:t>
      </w:r>
      <w:r>
        <w:rPr>
          <w:spacing w:val="-2"/>
        </w:rPr>
        <w:t> </w:t>
      </w:r>
      <w:r>
        <w:rPr/>
        <w:t>paras 1-062—1-</w:t>
      </w:r>
      <w:r>
        <w:rPr>
          <w:spacing w:val="-4"/>
        </w:rPr>
        <w:t>063.</w:t>
      </w:r>
    </w:p>
    <w:p>
      <w:pPr>
        <w:pStyle w:val="BodyText"/>
        <w:spacing w:before="5"/>
      </w:pPr>
    </w:p>
    <w:p>
      <w:pPr>
        <w:pStyle w:val="BodyText"/>
        <w:tabs>
          <w:tab w:pos="705" w:val="left" w:leader="none"/>
        </w:tabs>
        <w:spacing w:before="1"/>
        <w:ind w:left="165"/>
      </w:pPr>
      <w:bookmarkStart w:name="_bookmark1041" w:id="1043"/>
      <w:bookmarkEnd w:id="1043"/>
      <w:r>
        <w:rPr/>
      </w:r>
      <w:hyperlink w:history="true" w:anchor="_bookmark1024">
        <w:r>
          <w:rPr>
            <w:color w:val="005DA1"/>
            <w:spacing w:val="-4"/>
            <w:position w:val="5"/>
            <w:sz w:val="14"/>
            <w:u w:val="single" w:color="005DA1"/>
          </w:rPr>
          <w:t>553</w:t>
        </w:r>
      </w:hyperlink>
      <w:r>
        <w:rPr>
          <w:spacing w:val="-4"/>
          <w:position w:val="5"/>
          <w:sz w:val="14"/>
        </w:rPr>
        <w:t>.</w:t>
      </w:r>
      <w:r>
        <w:rPr>
          <w:position w:val="5"/>
          <w:sz w:val="14"/>
        </w:rPr>
        <w:tab/>
      </w:r>
      <w:r>
        <w:rPr/>
        <w:t>See below, paras 16-151 et </w:t>
      </w:r>
      <w:r>
        <w:rPr>
          <w:spacing w:val="-4"/>
        </w:rPr>
        <w:t>seq.</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4. - The Human Rights Act 1998 and </w:t>
      </w:r>
      <w:r>
        <w:rPr>
          <w:rFonts w:ascii="Arial"/>
          <w:b/>
          <w:spacing w:val="-2"/>
          <w:sz w:val="24"/>
        </w:rPr>
        <w:t>Contracts</w:t>
      </w:r>
    </w:p>
    <w:p>
      <w:pPr>
        <w:spacing w:before="194"/>
        <w:ind w:left="2184" w:right="0" w:firstLine="0"/>
        <w:jc w:val="left"/>
        <w:rPr>
          <w:rFonts w:ascii="Arial"/>
          <w:b/>
          <w:sz w:val="24"/>
        </w:rPr>
      </w:pPr>
      <w:r>
        <w:rPr>
          <w:rFonts w:ascii="Arial"/>
          <w:b/>
          <w:sz w:val="24"/>
        </w:rPr>
        <w:t>(a) - Contracts made before October 2, </w:t>
      </w:r>
      <w:r>
        <w:rPr>
          <w:rFonts w:ascii="Arial"/>
          <w:b/>
          <w:spacing w:val="-4"/>
          <w:sz w:val="24"/>
        </w:rPr>
        <w:t>2000</w:t>
      </w:r>
    </w:p>
    <w:p>
      <w:pPr>
        <w:pStyle w:val="ListParagraph"/>
        <w:numPr>
          <w:ilvl w:val="0"/>
          <w:numId w:val="6"/>
        </w:numPr>
        <w:tabs>
          <w:tab w:pos="1037" w:val="left" w:leader="none"/>
        </w:tabs>
        <w:spacing w:line="240" w:lineRule="auto" w:before="194" w:after="0"/>
        <w:ind w:left="1037" w:right="0" w:hanging="426"/>
        <w:jc w:val="left"/>
        <w:rPr>
          <w:b/>
          <w:sz w:val="24"/>
        </w:rPr>
      </w:pPr>
      <w:r>
        <w:rPr>
          <w:b/>
          <w:sz w:val="24"/>
        </w:rPr>
        <w:t>- The Duty of Courts as “Public Authorities” in relation to </w:t>
      </w:r>
      <w:r>
        <w:rPr>
          <w:b/>
          <w:spacing w:val="-2"/>
          <w:sz w:val="24"/>
        </w:rPr>
        <w:t>Contracts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The construction of </w:t>
      </w:r>
      <w:r>
        <w:rPr>
          <w:rFonts w:ascii="Arial"/>
          <w:b/>
          <w:spacing w:val="-2"/>
          <w:sz w:val="18"/>
        </w:rPr>
        <w:t>contracts</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065</w:t>
      </w:r>
    </w:p>
    <w:p>
      <w:pPr>
        <w:pStyle w:val="BodyText"/>
        <w:spacing w:line="235" w:lineRule="auto" w:before="202"/>
        <w:ind w:left="164" w:right="167"/>
        <w:jc w:val="both"/>
      </w:pPr>
      <w:bookmarkStart w:name="_bookmark1042" w:id="1044"/>
      <w:bookmarkEnd w:id="1044"/>
      <w:r>
        <w:rPr/>
      </w:r>
      <w:r>
        <w:rPr/>
        <w:t>In </w:t>
      </w:r>
      <w:r>
        <w:rPr>
          <w:rFonts w:ascii="Arial" w:hAnsi="Arial"/>
          <w:i/>
        </w:rPr>
        <w:t>Biggin Hill Airport Ltd v Bromley LBC </w:t>
      </w:r>
      <w:r>
        <w:rPr>
          <w:color w:val="005DA1"/>
          <w:u w:val="single" w:color="005DA1"/>
          <w:vertAlign w:val="superscript"/>
        </w:rPr>
        <w:t>554</w:t>
      </w:r>
      <w:r>
        <w:rPr>
          <w:color w:val="005DA1"/>
          <w:vertAlign w:val="baseline"/>
        </w:rPr>
        <w:t> </w:t>
      </w:r>
      <w:r>
        <w:rPr>
          <w:vertAlign w:val="baseline"/>
        </w:rPr>
        <w:t>(which concerned a contract made between a local </w:t>
      </w:r>
      <w:bookmarkStart w:name="_bookmark1043" w:id="1045"/>
      <w:bookmarkEnd w:id="1045"/>
      <w:r>
        <w:rPr>
          <w:vertAlign w:val="baseline"/>
        </w:rPr>
        <w:t>authority</w:t>
      </w:r>
      <w:r>
        <w:rPr>
          <w:vertAlign w:val="baseline"/>
        </w:rPr>
        <w:t> and a private company), it was held that the 1998 Act did not require a court as itself a</w:t>
      </w:r>
      <w:r>
        <w:rPr>
          <w:spacing w:val="80"/>
          <w:vertAlign w:val="baseline"/>
        </w:rPr>
        <w:t> </w:t>
      </w:r>
      <w:r>
        <w:rPr>
          <w:vertAlign w:val="baseline"/>
        </w:rPr>
        <w:t>public</w:t>
      </w:r>
      <w:r>
        <w:rPr>
          <w:spacing w:val="-2"/>
          <w:vertAlign w:val="baseline"/>
        </w:rPr>
        <w:t> </w:t>
      </w:r>
      <w:r>
        <w:rPr>
          <w:vertAlign w:val="baseline"/>
        </w:rPr>
        <w:t>authority</w:t>
      </w:r>
      <w:r>
        <w:rPr>
          <w:spacing w:val="-2"/>
          <w:vertAlign w:val="baseline"/>
        </w:rPr>
        <w:t> </w:t>
      </w:r>
      <w:r>
        <w:rPr>
          <w:color w:val="005DA1"/>
          <w:u w:val="single" w:color="005DA1"/>
          <w:vertAlign w:val="superscript"/>
        </w:rPr>
        <w:t>555</w:t>
      </w:r>
      <w:r>
        <w:rPr>
          <w:color w:val="005DA1"/>
          <w:spacing w:val="-2"/>
          <w:vertAlign w:val="baseline"/>
        </w:rPr>
        <w:t> </w:t>
      </w:r>
      <w:r>
        <w:rPr>
          <w:vertAlign w:val="baseline"/>
        </w:rPr>
        <w:t>to</w:t>
      </w:r>
      <w:r>
        <w:rPr>
          <w:spacing w:val="-2"/>
          <w:vertAlign w:val="baseline"/>
        </w:rPr>
        <w:t> </w:t>
      </w:r>
      <w:r>
        <w:rPr>
          <w:vertAlign w:val="baseline"/>
        </w:rPr>
        <w:t>interpret</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made</w:t>
      </w:r>
      <w:r>
        <w:rPr>
          <w:spacing w:val="-2"/>
          <w:vertAlign w:val="baseline"/>
        </w:rPr>
        <w:t> </w:t>
      </w:r>
      <w:r>
        <w:rPr>
          <w:rFonts w:ascii="Arial" w:hAnsi="Arial"/>
          <w:i/>
          <w:vertAlign w:val="baseline"/>
        </w:rPr>
        <w:t>before</w:t>
      </w:r>
      <w:r>
        <w:rPr>
          <w:rFonts w:ascii="Arial" w:hAnsi="Arial"/>
          <w:i/>
          <w:spacing w:val="-2"/>
          <w:vertAlign w:val="baseline"/>
        </w:rPr>
        <w:t> </w:t>
      </w:r>
      <w:r>
        <w:rPr>
          <w:vertAlign w:val="baseline"/>
        </w:rPr>
        <w:t>the</w:t>
      </w:r>
      <w:r>
        <w:rPr>
          <w:spacing w:val="-2"/>
          <w:vertAlign w:val="baseline"/>
        </w:rPr>
        <w:t> </w:t>
      </w:r>
      <w:r>
        <w:rPr>
          <w:vertAlign w:val="baseline"/>
        </w:rPr>
        <w:t>coming</w:t>
      </w:r>
      <w:r>
        <w:rPr>
          <w:spacing w:val="-2"/>
          <w:vertAlign w:val="baseline"/>
        </w:rPr>
        <w:t> </w:t>
      </w:r>
      <w:r>
        <w:rPr>
          <w:vertAlign w:val="baseline"/>
        </w:rPr>
        <w:t>into</w:t>
      </w:r>
      <w:r>
        <w:rPr>
          <w:spacing w:val="-2"/>
          <w:vertAlign w:val="baseline"/>
        </w:rPr>
        <w:t> </w:t>
      </w:r>
      <w:r>
        <w:rPr>
          <w:vertAlign w:val="baseline"/>
        </w:rPr>
        <w:t>effect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Act</w:t>
      </w:r>
      <w:r>
        <w:rPr>
          <w:spacing w:val="-2"/>
          <w:vertAlign w:val="baseline"/>
        </w:rPr>
        <w:t> </w:t>
      </w:r>
      <w:r>
        <w:rPr>
          <w:vertAlign w:val="baseline"/>
        </w:rPr>
        <w:t>in</w:t>
      </w:r>
      <w:r>
        <w:rPr>
          <w:spacing w:val="-2"/>
          <w:vertAlign w:val="baseline"/>
        </w:rPr>
        <w:t> </w:t>
      </w:r>
      <w:r>
        <w:rPr>
          <w:vertAlign w:val="baseline"/>
        </w:rPr>
        <w:t>such</w:t>
      </w:r>
      <w:r>
        <w:rPr>
          <w:spacing w:val="-2"/>
          <w:vertAlign w:val="baseline"/>
        </w:rPr>
        <w:t> </w:t>
      </w:r>
      <w:r>
        <w:rPr>
          <w:vertAlign w:val="baseline"/>
        </w:rPr>
        <w:t>a way as to be compatible with the Convention rights of third parties to the contract, since common law </w:t>
      </w:r>
      <w:bookmarkStart w:name="_bookmark1044" w:id="1046"/>
      <w:bookmarkEnd w:id="1046"/>
      <w:r>
        <w:rPr>
          <w:vertAlign w:val="baseline"/>
        </w:rPr>
        <w:t>authority</w:t>
      </w:r>
      <w:r>
        <w:rPr>
          <w:vertAlign w:val="baseline"/>
        </w:rPr>
        <w:t> established that a court should look to the factual circumstances at the time of a contract’s conclusion for the resolution of issues of its construction. </w:t>
      </w:r>
      <w:r>
        <w:rPr>
          <w:color w:val="005DA1"/>
          <w:u w:val="single" w:color="005DA1"/>
          <w:vertAlign w:val="superscript"/>
        </w:rPr>
        <w:t>556</w:t>
      </w:r>
      <w:r>
        <w:rPr>
          <w:color w:val="005DA1"/>
          <w:vertAlign w:val="baseline"/>
        </w:rPr>
        <w:t> </w:t>
      </w:r>
      <w:r>
        <w:rPr>
          <w:vertAlign w:val="baseline"/>
        </w:rPr>
        <w:t>This decision may be seen as reflecting</w:t>
      </w:r>
      <w:r>
        <w:rPr>
          <w:spacing w:val="40"/>
          <w:vertAlign w:val="baseline"/>
        </w:rPr>
        <w:t> </w:t>
      </w:r>
      <w:r>
        <w:rPr>
          <w:vertAlign w:val="baseline"/>
        </w:rPr>
        <w:t>in the context of the control and application of the common law a similar principle of non-</w:t>
      </w:r>
      <w:r>
        <w:rPr>
          <w:vertAlign w:val="baseline"/>
        </w:rPr>
        <w:t>retroactivity </w:t>
      </w:r>
      <w:bookmarkStart w:name="_bookmark1045" w:id="1047"/>
      <w:bookmarkEnd w:id="1047"/>
      <w:r>
        <w:rPr>
          <w:vertAlign w:val="baseline"/>
        </w:rPr>
        <w:t>as</w:t>
      </w:r>
      <w:r>
        <w:rPr>
          <w:vertAlign w:val="baseline"/>
        </w:rPr>
        <w:t> was applied by the House of Lords in its later decision in </w:t>
      </w:r>
      <w:r>
        <w:rPr>
          <w:rFonts w:ascii="Arial" w:hAnsi="Arial"/>
          <w:i/>
          <w:vertAlign w:val="baseline"/>
        </w:rPr>
        <w:t>Wilson v First County Trust Ltd (No.2) </w:t>
      </w:r>
      <w:r>
        <w:rPr>
          <w:vertAlign w:val="baseline"/>
        </w:rPr>
        <w:t>for the purposes of the control and application of primary legislation. </w:t>
      </w:r>
      <w:r>
        <w:rPr>
          <w:color w:val="005DA1"/>
          <w:u w:val="single" w:color="005DA1"/>
          <w:vertAlign w:val="superscript"/>
        </w:rPr>
        <w:t>557</w:t>
      </w:r>
      <w:r>
        <w:rPr>
          <w:color w:val="005DA1"/>
          <w:vertAlign w:val="baseline"/>
        </w:rPr>
        <w:t> </w:t>
      </w:r>
      <w:r>
        <w:rPr>
          <w:vertAlign w:val="baseline"/>
        </w:rPr>
        <w:t>On the other hand, in </w:t>
      </w:r>
      <w:r>
        <w:rPr>
          <w:rFonts w:ascii="Arial" w:hAnsi="Arial"/>
          <w:i/>
          <w:vertAlign w:val="baseline"/>
        </w:rPr>
        <w:t>Biggin Hill Airport </w:t>
      </w:r>
      <w:r>
        <w:rPr>
          <w:vertAlign w:val="baseline"/>
        </w:rPr>
        <w:t>it was accepted that even in respect of a contract made before the coming into force of the 1998 Act, where the contract was </w:t>
      </w:r>
      <w:r>
        <w:rPr>
          <w:rFonts w:ascii="Arial" w:hAnsi="Arial"/>
          <w:i/>
          <w:vertAlign w:val="baseline"/>
        </w:rPr>
        <w:t>made by </w:t>
      </w:r>
      <w:r>
        <w:rPr>
          <w:vertAlign w:val="baseline"/>
        </w:rPr>
        <w:t>a public authority the protection of people’s Convention </w:t>
      </w:r>
      <w:bookmarkStart w:name="_bookmark1046" w:id="1048"/>
      <w:bookmarkEnd w:id="1048"/>
      <w:r>
        <w:rPr>
          <w:vertAlign w:val="baseline"/>
        </w:rPr>
        <w:t>rights</w:t>
      </w:r>
      <w:r>
        <w:rPr>
          <w:spacing w:val="-2"/>
          <w:vertAlign w:val="baseline"/>
        </w:rPr>
        <w:t> </w:t>
      </w:r>
      <w:r>
        <w:rPr>
          <w:vertAlign w:val="baseline"/>
        </w:rPr>
        <w:t>might</w:t>
      </w:r>
      <w:r>
        <w:rPr>
          <w:spacing w:val="-2"/>
          <w:vertAlign w:val="baseline"/>
        </w:rPr>
        <w:t> </w:t>
      </w:r>
      <w:r>
        <w:rPr>
          <w:vertAlign w:val="baseline"/>
        </w:rPr>
        <w:t>form</w:t>
      </w:r>
      <w:r>
        <w:rPr>
          <w:spacing w:val="-2"/>
          <w:vertAlign w:val="baseline"/>
        </w:rPr>
        <w:t> </w:t>
      </w:r>
      <w:r>
        <w:rPr>
          <w:vertAlign w:val="baseline"/>
        </w:rPr>
        <w:t>an</w:t>
      </w:r>
      <w:r>
        <w:rPr>
          <w:spacing w:val="-2"/>
          <w:vertAlign w:val="baseline"/>
        </w:rPr>
        <w:t> </w:t>
      </w:r>
      <w:r>
        <w:rPr>
          <w:vertAlign w:val="baseline"/>
        </w:rPr>
        <w:t>element</w:t>
      </w:r>
      <w:r>
        <w:rPr>
          <w:spacing w:val="-2"/>
          <w:vertAlign w:val="baseline"/>
        </w:rPr>
        <w:t> </w:t>
      </w:r>
      <w:r>
        <w:rPr>
          <w:vertAlign w:val="baseline"/>
        </w:rPr>
        <w:t>in</w:t>
      </w:r>
      <w:r>
        <w:rPr>
          <w:spacing w:val="-2"/>
          <w:vertAlign w:val="baseline"/>
        </w:rPr>
        <w:t> </w:t>
      </w:r>
      <w:r>
        <w:rPr>
          <w:vertAlign w:val="baseline"/>
        </w:rPr>
        <w:t>its</w:t>
      </w:r>
      <w:r>
        <w:rPr>
          <w:spacing w:val="-2"/>
          <w:vertAlign w:val="baseline"/>
        </w:rPr>
        <w:t> </w:t>
      </w:r>
      <w:r>
        <w:rPr>
          <w:vertAlign w:val="baseline"/>
        </w:rPr>
        <w:t>decision-making</w:t>
      </w:r>
      <w:r>
        <w:rPr>
          <w:spacing w:val="-2"/>
          <w:vertAlign w:val="baseline"/>
        </w:rPr>
        <w:t> </w:t>
      </w:r>
      <w:r>
        <w:rPr>
          <w:vertAlign w:val="baseline"/>
        </w:rPr>
        <w:t>process,</w:t>
      </w:r>
      <w:r>
        <w:rPr>
          <w:spacing w:val="-2"/>
          <w:vertAlign w:val="baseline"/>
        </w:rPr>
        <w:t> </w:t>
      </w:r>
      <w:r>
        <w:rPr>
          <w:vertAlign w:val="baseline"/>
        </w:rPr>
        <w:t>although</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facts</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found</w:t>
      </w:r>
      <w:r>
        <w:rPr>
          <w:spacing w:val="-2"/>
          <w:vertAlign w:val="baseline"/>
        </w:rPr>
        <w:t> </w:t>
      </w:r>
      <w:r>
        <w:rPr>
          <w:vertAlign w:val="baseline"/>
        </w:rPr>
        <w:t>that it had not done so. </w:t>
      </w:r>
      <w:r>
        <w:rPr>
          <w:color w:val="005DA1"/>
          <w:u w:val="single" w:color="005DA1"/>
          <w:vertAlign w:val="superscript"/>
        </w:rPr>
        <w:t>558</w:t>
      </w:r>
      <w:r>
        <w:rPr>
          <w:color w:val="005DA1"/>
          <w:vertAlign w:val="baseline"/>
        </w:rPr>
        <w:t> </w:t>
      </w:r>
      <w:r>
        <w:rPr>
          <w:vertAlign w:val="baseline"/>
        </w:rPr>
        <w:t>If a court were to find such an element to have been the case, then its decision protecting the Convention right would not have any true retroactive impact: it would merely be giving </w:t>
      </w:r>
      <w:bookmarkStart w:name="_bookmark1047" w:id="1049"/>
      <w:bookmarkEnd w:id="1049"/>
      <w:r>
        <w:rPr>
          <w:vertAlign w:val="baseline"/>
        </w:rPr>
        <w:t>effect</w:t>
      </w:r>
      <w:r>
        <w:rPr>
          <w:vertAlign w:val="baseline"/>
        </w:rPr>
        <w:t> to the existing common law principle of interpretation of a contract by reference to the common intentions of the parties as construed in their factual matrix. </w:t>
      </w:r>
      <w:r>
        <w:rPr>
          <w:color w:val="005DA1"/>
          <w:u w:val="single" w:color="005DA1"/>
          <w:vertAlign w:val="superscript"/>
        </w:rPr>
        <w:t>559</w:t>
      </w:r>
    </w:p>
    <w:p>
      <w:pPr>
        <w:pStyle w:val="BodyText"/>
      </w:pPr>
    </w:p>
    <w:p>
      <w:pPr>
        <w:pStyle w:val="BodyText"/>
        <w:spacing w:before="34"/>
      </w:pPr>
      <w:r>
        <w:rPr/>
        <mc:AlternateContent>
          <mc:Choice Requires="wps">
            <w:drawing>
              <wp:anchor distT="0" distB="0" distL="0" distR="0" allowOverlap="1" layoutInCell="1" locked="0" behindDoc="1" simplePos="0" relativeHeight="487665664">
                <wp:simplePos x="0" y="0"/>
                <wp:positionH relativeFrom="page">
                  <wp:posOffset>914400</wp:posOffset>
                </wp:positionH>
                <wp:positionV relativeFrom="paragraph">
                  <wp:posOffset>183109</wp:posOffset>
                </wp:positionV>
                <wp:extent cx="5724525" cy="1270"/>
                <wp:effectExtent l="0" t="0" r="0" b="0"/>
                <wp:wrapTopAndBottom/>
                <wp:docPr id="317" name="Graphic 317"/>
                <wp:cNvGraphicFramePr>
                  <a:graphicFrameLocks/>
                </wp:cNvGraphicFramePr>
                <a:graphic>
                  <a:graphicData uri="http://schemas.microsoft.com/office/word/2010/wordprocessingShape">
                    <wps:wsp>
                      <wps:cNvPr id="317" name="Graphic 31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18055pt;width:450.75pt;height:.1pt;mso-position-horizontal-relative:page;mso-position-vertical-relative:paragraph;z-index:-15650816;mso-wrap-distance-left:0;mso-wrap-distance-right:0" id="docshape33" coordorigin="1440,288" coordsize="9015,0" path="m1440,288l10454,288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bookmarkStart w:name="_bookmark1048" w:id="1050"/>
      <w:bookmarkEnd w:id="1050"/>
      <w:r>
        <w:rPr/>
      </w:r>
      <w:hyperlink w:history="true" w:anchor="_bookmark1042">
        <w:r>
          <w:rPr>
            <w:color w:val="005DA1"/>
            <w:spacing w:val="-4"/>
            <w:position w:val="5"/>
            <w:sz w:val="14"/>
            <w:u w:val="single" w:color="005DA1"/>
          </w:rPr>
          <w:t>554</w:t>
        </w:r>
      </w:hyperlink>
      <w:r>
        <w:rPr>
          <w:spacing w:val="-4"/>
          <w:position w:val="5"/>
          <w:sz w:val="14"/>
        </w:rPr>
        <w:t>.</w:t>
      </w:r>
      <w:r>
        <w:rPr>
          <w:position w:val="5"/>
          <w:sz w:val="14"/>
        </w:rPr>
        <w:tab/>
      </w:r>
      <w:r>
        <w:rPr>
          <w:rFonts w:ascii="Arial"/>
          <w:i/>
          <w:sz w:val="20"/>
        </w:rPr>
        <w:t>The</w:t>
      </w:r>
      <w:r>
        <w:rPr>
          <w:rFonts w:ascii="Arial"/>
          <w:i/>
          <w:spacing w:val="14"/>
          <w:sz w:val="20"/>
        </w:rPr>
        <w:t> </w:t>
      </w:r>
      <w:r>
        <w:rPr>
          <w:rFonts w:ascii="Arial"/>
          <w:i/>
          <w:sz w:val="20"/>
        </w:rPr>
        <w:t>Times,</w:t>
      </w:r>
      <w:r>
        <w:rPr>
          <w:rFonts w:ascii="Arial"/>
          <w:i/>
          <w:spacing w:val="14"/>
          <w:sz w:val="20"/>
        </w:rPr>
        <w:t> </w:t>
      </w:r>
      <w:r>
        <w:rPr>
          <w:rFonts w:ascii="Arial"/>
          <w:i/>
          <w:sz w:val="20"/>
        </w:rPr>
        <w:t>January</w:t>
      </w:r>
      <w:r>
        <w:rPr>
          <w:rFonts w:ascii="Arial"/>
          <w:i/>
          <w:spacing w:val="14"/>
          <w:sz w:val="20"/>
        </w:rPr>
        <w:t> </w:t>
      </w:r>
      <w:r>
        <w:rPr>
          <w:rFonts w:ascii="Arial"/>
          <w:i/>
          <w:sz w:val="20"/>
        </w:rPr>
        <w:t>9,</w:t>
      </w:r>
      <w:r>
        <w:rPr>
          <w:rFonts w:ascii="Arial"/>
          <w:i/>
          <w:spacing w:val="14"/>
          <w:sz w:val="20"/>
        </w:rPr>
        <w:t> </w:t>
      </w:r>
      <w:r>
        <w:rPr>
          <w:rFonts w:ascii="Arial"/>
          <w:i/>
          <w:sz w:val="20"/>
        </w:rPr>
        <w:t>2001,</w:t>
      </w:r>
      <w:r>
        <w:rPr>
          <w:rFonts w:ascii="Arial"/>
          <w:i/>
          <w:spacing w:val="14"/>
          <w:sz w:val="20"/>
        </w:rPr>
        <w:t> </w:t>
      </w:r>
      <w:r>
        <w:rPr>
          <w:rFonts w:ascii="Arial"/>
          <w:i/>
          <w:sz w:val="20"/>
        </w:rPr>
        <w:t>(2001)</w:t>
      </w:r>
      <w:r>
        <w:rPr>
          <w:rFonts w:ascii="Arial"/>
          <w:i/>
          <w:spacing w:val="14"/>
          <w:sz w:val="20"/>
        </w:rPr>
        <w:t> </w:t>
      </w:r>
      <w:r>
        <w:rPr>
          <w:rFonts w:ascii="Arial"/>
          <w:i/>
          <w:sz w:val="20"/>
        </w:rPr>
        <w:t>98(3)</w:t>
      </w:r>
      <w:r>
        <w:rPr>
          <w:rFonts w:ascii="Arial"/>
          <w:i/>
          <w:spacing w:val="14"/>
          <w:sz w:val="20"/>
        </w:rPr>
        <w:t> </w:t>
      </w:r>
      <w:r>
        <w:rPr>
          <w:rFonts w:ascii="Arial"/>
          <w:i/>
          <w:sz w:val="20"/>
        </w:rPr>
        <w:t>L.S.G.</w:t>
      </w:r>
      <w:r>
        <w:rPr>
          <w:rFonts w:ascii="Arial"/>
          <w:i/>
          <w:spacing w:val="14"/>
          <w:sz w:val="20"/>
        </w:rPr>
        <w:t> </w:t>
      </w:r>
      <w:r>
        <w:rPr>
          <w:rFonts w:ascii="Arial"/>
          <w:i/>
          <w:sz w:val="20"/>
        </w:rPr>
        <w:t>42</w:t>
      </w:r>
      <w:r>
        <w:rPr>
          <w:rFonts w:ascii="Arial"/>
          <w:i/>
          <w:spacing w:val="14"/>
          <w:sz w:val="20"/>
        </w:rPr>
        <w:t> </w:t>
      </w:r>
      <w:r>
        <w:rPr>
          <w:sz w:val="20"/>
        </w:rPr>
        <w:t>reversed</w:t>
      </w:r>
      <w:r>
        <w:rPr>
          <w:spacing w:val="14"/>
          <w:sz w:val="20"/>
        </w:rPr>
        <w:t> </w:t>
      </w:r>
      <w:r>
        <w:rPr>
          <w:sz w:val="20"/>
        </w:rPr>
        <w:t>on</w:t>
      </w:r>
      <w:r>
        <w:rPr>
          <w:spacing w:val="14"/>
          <w:sz w:val="20"/>
        </w:rPr>
        <w:t> </w:t>
      </w:r>
      <w:r>
        <w:rPr>
          <w:sz w:val="20"/>
        </w:rPr>
        <w:t>other</w:t>
      </w:r>
      <w:r>
        <w:rPr>
          <w:spacing w:val="14"/>
          <w:sz w:val="20"/>
        </w:rPr>
        <w:t> </w:t>
      </w:r>
      <w:r>
        <w:rPr>
          <w:sz w:val="20"/>
        </w:rPr>
        <w:t>grounds</w:t>
      </w:r>
      <w:r>
        <w:rPr>
          <w:spacing w:val="14"/>
          <w:sz w:val="20"/>
        </w:rPr>
        <w:t> </w:t>
      </w:r>
      <w:r>
        <w:rPr>
          <w:rFonts w:ascii="Arial"/>
          <w:i/>
          <w:sz w:val="20"/>
        </w:rPr>
        <w:t>[2001]</w:t>
      </w:r>
      <w:r>
        <w:rPr>
          <w:rFonts w:ascii="Arial"/>
          <w:i/>
          <w:spacing w:val="14"/>
          <w:sz w:val="20"/>
        </w:rPr>
        <w:t> </w:t>
      </w:r>
      <w:r>
        <w:rPr>
          <w:rFonts w:ascii="Arial"/>
          <w:i/>
          <w:spacing w:val="-4"/>
          <w:sz w:val="20"/>
        </w:rPr>
        <w:t>EWCA</w:t>
      </w:r>
    </w:p>
    <w:p>
      <w:pPr>
        <w:spacing w:line="227" w:lineRule="exact" w:before="0"/>
        <w:ind w:left="705" w:right="0" w:firstLine="0"/>
        <w:jc w:val="left"/>
        <w:rPr>
          <w:sz w:val="20"/>
        </w:rPr>
      </w:pPr>
      <w:r>
        <w:rPr>
          <w:rFonts w:ascii="Arial"/>
          <w:i/>
          <w:sz w:val="20"/>
        </w:rPr>
        <w:t>Civ 1089, The Times, August 13, 2001, (2001) 98(33) L.S.G. </w:t>
      </w:r>
      <w:r>
        <w:rPr>
          <w:rFonts w:ascii="Arial"/>
          <w:i/>
          <w:spacing w:val="-5"/>
          <w:sz w:val="20"/>
        </w:rPr>
        <w:t>30</w:t>
      </w:r>
      <w:r>
        <w:rPr>
          <w:spacing w:val="-5"/>
          <w:sz w:val="20"/>
        </w:rPr>
        <w:t>.</w:t>
      </w:r>
    </w:p>
    <w:p>
      <w:pPr>
        <w:pStyle w:val="BodyText"/>
        <w:spacing w:before="5"/>
      </w:pPr>
    </w:p>
    <w:p>
      <w:pPr>
        <w:pStyle w:val="BodyText"/>
        <w:tabs>
          <w:tab w:pos="705" w:val="left" w:leader="none"/>
        </w:tabs>
        <w:ind w:left="165"/>
      </w:pPr>
      <w:bookmarkStart w:name="_bookmark1049" w:id="1051"/>
      <w:bookmarkEnd w:id="1051"/>
      <w:r>
        <w:rPr/>
      </w:r>
      <w:hyperlink w:history="true" w:anchor="_bookmark1043">
        <w:r>
          <w:rPr>
            <w:color w:val="005DA1"/>
            <w:spacing w:val="-4"/>
            <w:position w:val="5"/>
            <w:sz w:val="14"/>
            <w:u w:val="single" w:color="005DA1"/>
          </w:rPr>
          <w:t>555</w:t>
        </w:r>
      </w:hyperlink>
      <w:r>
        <w:rPr>
          <w:spacing w:val="-4"/>
          <w:position w:val="5"/>
          <w:sz w:val="14"/>
        </w:rPr>
        <w:t>.</w:t>
      </w:r>
      <w:r>
        <w:rPr>
          <w:position w:val="5"/>
          <w:sz w:val="14"/>
        </w:rPr>
        <w:tab/>
      </w:r>
      <w:r>
        <w:rPr/>
        <w:t>Human Rights Act 1998 </w:t>
      </w:r>
      <w:r>
        <w:rPr>
          <w:spacing w:val="-2"/>
        </w:rPr>
        <w:t>s.6(3)(a).</w:t>
      </w:r>
    </w:p>
    <w:p>
      <w:pPr>
        <w:pStyle w:val="BodyText"/>
        <w:spacing w:before="9"/>
      </w:pPr>
    </w:p>
    <w:p>
      <w:pPr>
        <w:tabs>
          <w:tab w:pos="705" w:val="left" w:leader="none"/>
        </w:tabs>
        <w:spacing w:line="235" w:lineRule="auto" w:before="0"/>
        <w:ind w:left="705" w:right="168" w:hanging="541"/>
        <w:jc w:val="left"/>
        <w:rPr>
          <w:sz w:val="20"/>
        </w:rPr>
      </w:pPr>
      <w:bookmarkStart w:name="_bookmark1050" w:id="1052"/>
      <w:bookmarkEnd w:id="1052"/>
      <w:r>
        <w:rPr/>
      </w:r>
      <w:hyperlink w:history="true" w:anchor="_bookmark1044">
        <w:r>
          <w:rPr>
            <w:color w:val="005DA1"/>
            <w:spacing w:val="-4"/>
            <w:position w:val="5"/>
            <w:sz w:val="14"/>
            <w:u w:val="single" w:color="005DA1"/>
          </w:rPr>
          <w:t>556</w:t>
        </w:r>
      </w:hyperlink>
      <w:r>
        <w:rPr>
          <w:spacing w:val="-4"/>
          <w:position w:val="5"/>
          <w:sz w:val="14"/>
        </w:rPr>
        <w:t>.</w:t>
      </w:r>
      <w:r>
        <w:rPr>
          <w:position w:val="5"/>
          <w:sz w:val="14"/>
        </w:rPr>
        <w:tab/>
      </w:r>
      <w:r>
        <w:rPr>
          <w:rFonts w:ascii="Arial"/>
          <w:i/>
          <w:sz w:val="20"/>
        </w:rPr>
        <w:t>Prenn</w:t>
      </w:r>
      <w:r>
        <w:rPr>
          <w:rFonts w:ascii="Arial"/>
          <w:i/>
          <w:spacing w:val="40"/>
          <w:sz w:val="20"/>
        </w:rPr>
        <w:t> </w:t>
      </w:r>
      <w:r>
        <w:rPr>
          <w:rFonts w:ascii="Arial"/>
          <w:i/>
          <w:sz w:val="20"/>
        </w:rPr>
        <w:t>v</w:t>
      </w:r>
      <w:r>
        <w:rPr>
          <w:rFonts w:ascii="Arial"/>
          <w:i/>
          <w:spacing w:val="40"/>
          <w:sz w:val="20"/>
        </w:rPr>
        <w:t> </w:t>
      </w:r>
      <w:r>
        <w:rPr>
          <w:rFonts w:ascii="Arial"/>
          <w:i/>
          <w:sz w:val="20"/>
        </w:rPr>
        <w:t>Simmonds</w:t>
      </w:r>
      <w:r>
        <w:rPr>
          <w:rFonts w:ascii="Arial"/>
          <w:i/>
          <w:spacing w:val="40"/>
          <w:sz w:val="20"/>
        </w:rPr>
        <w:t> </w:t>
      </w:r>
      <w:r>
        <w:rPr>
          <w:rFonts w:ascii="Arial"/>
          <w:i/>
          <w:sz w:val="20"/>
        </w:rPr>
        <w:t>[1971]</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1381</w:t>
      </w:r>
      <w:r>
        <w:rPr>
          <w:sz w:val="20"/>
        </w:rPr>
        <w:t>;</w:t>
      </w:r>
      <w:r>
        <w:rPr>
          <w:spacing w:val="40"/>
          <w:sz w:val="20"/>
        </w:rPr>
        <w:t> </w:t>
      </w:r>
      <w:r>
        <w:rPr>
          <w:rFonts w:ascii="Arial"/>
          <w:i/>
          <w:sz w:val="20"/>
        </w:rPr>
        <w:t>Investors</w:t>
      </w:r>
      <w:r>
        <w:rPr>
          <w:rFonts w:ascii="Arial"/>
          <w:i/>
          <w:spacing w:val="40"/>
          <w:sz w:val="20"/>
        </w:rPr>
        <w:t> </w:t>
      </w:r>
      <w:r>
        <w:rPr>
          <w:rFonts w:ascii="Arial"/>
          <w:i/>
          <w:sz w:val="20"/>
        </w:rPr>
        <w:t>Compensation</w:t>
      </w:r>
      <w:r>
        <w:rPr>
          <w:rFonts w:ascii="Arial"/>
          <w:i/>
          <w:spacing w:val="40"/>
          <w:sz w:val="20"/>
        </w:rPr>
        <w:t> </w:t>
      </w:r>
      <w:r>
        <w:rPr>
          <w:rFonts w:ascii="Arial"/>
          <w:i/>
          <w:sz w:val="20"/>
        </w:rPr>
        <w:t>Scheme</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West</w:t>
      </w:r>
      <w:r>
        <w:rPr>
          <w:rFonts w:ascii="Arial"/>
          <w:i/>
          <w:spacing w:val="80"/>
          <w:sz w:val="20"/>
        </w:rPr>
        <w:t> </w:t>
      </w:r>
      <w:r>
        <w:rPr>
          <w:rFonts w:ascii="Arial"/>
          <w:i/>
          <w:sz w:val="20"/>
        </w:rPr>
        <w:t>Bromwich Building Society [1998] 1 W.L.R. 896 </w:t>
      </w:r>
      <w:r>
        <w:rPr>
          <w:sz w:val="20"/>
        </w:rPr>
        <w:t>and see below, paras 13-041 et seq.</w:t>
      </w:r>
    </w:p>
    <w:p>
      <w:pPr>
        <w:pStyle w:val="BodyText"/>
        <w:spacing w:before="5"/>
      </w:pPr>
    </w:p>
    <w:p>
      <w:pPr>
        <w:tabs>
          <w:tab w:pos="705" w:val="left" w:leader="none"/>
        </w:tabs>
        <w:spacing w:before="0"/>
        <w:ind w:left="165" w:right="0" w:firstLine="0"/>
        <w:jc w:val="left"/>
        <w:rPr>
          <w:sz w:val="20"/>
        </w:rPr>
      </w:pPr>
      <w:bookmarkStart w:name="_bookmark1051" w:id="1053"/>
      <w:bookmarkEnd w:id="1053"/>
      <w:r>
        <w:rPr/>
      </w:r>
      <w:hyperlink w:history="true" w:anchor="_bookmark1045">
        <w:r>
          <w:rPr>
            <w:color w:val="005DA1"/>
            <w:spacing w:val="-4"/>
            <w:position w:val="5"/>
            <w:sz w:val="14"/>
            <w:u w:val="single" w:color="005DA1"/>
          </w:rPr>
          <w:t>557</w:t>
        </w:r>
      </w:hyperlink>
      <w:r>
        <w:rPr>
          <w:spacing w:val="-4"/>
          <w:position w:val="5"/>
          <w:sz w:val="14"/>
        </w:rPr>
        <w:t>.</w:t>
      </w:r>
      <w:r>
        <w:rPr>
          <w:position w:val="5"/>
          <w:sz w:val="14"/>
        </w:rPr>
        <w:tab/>
      </w:r>
      <w:r>
        <w:rPr>
          <w:sz w:val="20"/>
        </w:rPr>
        <w:t>Above, para.1-</w:t>
      </w:r>
      <w:r>
        <w:rPr>
          <w:spacing w:val="-4"/>
          <w:sz w:val="20"/>
        </w:rPr>
        <w:t>059.</w:t>
      </w:r>
    </w:p>
    <w:p>
      <w:pPr>
        <w:pStyle w:val="BodyText"/>
        <w:spacing w:before="5"/>
      </w:pPr>
    </w:p>
    <w:p>
      <w:pPr>
        <w:tabs>
          <w:tab w:pos="705" w:val="left" w:leader="none"/>
        </w:tabs>
        <w:spacing w:line="227" w:lineRule="exact" w:before="0"/>
        <w:ind w:left="165" w:right="0" w:firstLine="0"/>
        <w:jc w:val="left"/>
        <w:rPr>
          <w:sz w:val="20"/>
        </w:rPr>
      </w:pPr>
      <w:bookmarkStart w:name="_bookmark1052" w:id="1054"/>
      <w:bookmarkEnd w:id="1054"/>
      <w:r>
        <w:rPr/>
      </w:r>
      <w:hyperlink w:history="true" w:anchor="_bookmark1046">
        <w:r>
          <w:rPr>
            <w:color w:val="005DA1"/>
            <w:spacing w:val="-4"/>
            <w:position w:val="5"/>
            <w:sz w:val="14"/>
            <w:u w:val="single" w:color="005DA1"/>
          </w:rPr>
          <w:t>558</w:t>
        </w:r>
      </w:hyperlink>
      <w:r>
        <w:rPr>
          <w:spacing w:val="-4"/>
          <w:position w:val="5"/>
          <w:sz w:val="14"/>
        </w:rPr>
        <w:t>.</w:t>
      </w:r>
      <w:r>
        <w:rPr>
          <w:position w:val="5"/>
          <w:sz w:val="14"/>
        </w:rPr>
        <w:tab/>
      </w:r>
      <w:r>
        <w:rPr>
          <w:rFonts w:ascii="Arial"/>
          <w:i/>
          <w:sz w:val="20"/>
        </w:rPr>
        <w:t>Biggin</w:t>
      </w:r>
      <w:r>
        <w:rPr>
          <w:rFonts w:ascii="Arial"/>
          <w:i/>
          <w:spacing w:val="17"/>
          <w:sz w:val="20"/>
        </w:rPr>
        <w:t> </w:t>
      </w:r>
      <w:r>
        <w:rPr>
          <w:rFonts w:ascii="Arial"/>
          <w:i/>
          <w:sz w:val="20"/>
        </w:rPr>
        <w:t>Hill</w:t>
      </w:r>
      <w:r>
        <w:rPr>
          <w:rFonts w:ascii="Arial"/>
          <w:i/>
          <w:spacing w:val="17"/>
          <w:sz w:val="20"/>
        </w:rPr>
        <w:t> </w:t>
      </w:r>
      <w:r>
        <w:rPr>
          <w:rFonts w:ascii="Arial"/>
          <w:i/>
          <w:sz w:val="20"/>
        </w:rPr>
        <w:t>Airport</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Bromley</w:t>
      </w:r>
      <w:r>
        <w:rPr>
          <w:rFonts w:ascii="Arial"/>
          <w:i/>
          <w:spacing w:val="17"/>
          <w:sz w:val="20"/>
        </w:rPr>
        <w:t> </w:t>
      </w:r>
      <w:r>
        <w:rPr>
          <w:rFonts w:ascii="Arial"/>
          <w:i/>
          <w:sz w:val="20"/>
        </w:rPr>
        <w:t>LBC,</w:t>
      </w:r>
      <w:r>
        <w:rPr>
          <w:rFonts w:ascii="Arial"/>
          <w:i/>
          <w:spacing w:val="17"/>
          <w:sz w:val="20"/>
        </w:rPr>
        <w:t> </w:t>
      </w:r>
      <w:r>
        <w:rPr>
          <w:rFonts w:ascii="Arial"/>
          <w:i/>
          <w:sz w:val="20"/>
        </w:rPr>
        <w:t>The</w:t>
      </w:r>
      <w:r>
        <w:rPr>
          <w:rFonts w:ascii="Arial"/>
          <w:i/>
          <w:spacing w:val="17"/>
          <w:sz w:val="20"/>
        </w:rPr>
        <w:t> </w:t>
      </w:r>
      <w:r>
        <w:rPr>
          <w:rFonts w:ascii="Arial"/>
          <w:i/>
          <w:sz w:val="20"/>
        </w:rPr>
        <w:t>Times,</w:t>
      </w:r>
      <w:r>
        <w:rPr>
          <w:rFonts w:ascii="Arial"/>
          <w:i/>
          <w:spacing w:val="17"/>
          <w:sz w:val="20"/>
        </w:rPr>
        <w:t> </w:t>
      </w:r>
      <w:r>
        <w:rPr>
          <w:rFonts w:ascii="Arial"/>
          <w:i/>
          <w:sz w:val="20"/>
        </w:rPr>
        <w:t>January</w:t>
      </w:r>
      <w:r>
        <w:rPr>
          <w:rFonts w:ascii="Arial"/>
          <w:i/>
          <w:spacing w:val="17"/>
          <w:sz w:val="20"/>
        </w:rPr>
        <w:t> </w:t>
      </w:r>
      <w:r>
        <w:rPr>
          <w:rFonts w:ascii="Arial"/>
          <w:i/>
          <w:sz w:val="20"/>
        </w:rPr>
        <w:t>9,</w:t>
      </w:r>
      <w:r>
        <w:rPr>
          <w:rFonts w:ascii="Arial"/>
          <w:i/>
          <w:spacing w:val="17"/>
          <w:sz w:val="20"/>
        </w:rPr>
        <w:t> </w:t>
      </w:r>
      <w:r>
        <w:rPr>
          <w:rFonts w:ascii="Arial"/>
          <w:i/>
          <w:sz w:val="20"/>
        </w:rPr>
        <w:t>2001,</w:t>
      </w:r>
      <w:r>
        <w:rPr>
          <w:rFonts w:ascii="Arial"/>
          <w:i/>
          <w:spacing w:val="17"/>
          <w:sz w:val="20"/>
        </w:rPr>
        <w:t> </w:t>
      </w:r>
      <w:r>
        <w:rPr>
          <w:rFonts w:ascii="Arial"/>
          <w:i/>
          <w:sz w:val="20"/>
        </w:rPr>
        <w:t>(2001)</w:t>
      </w:r>
      <w:r>
        <w:rPr>
          <w:rFonts w:ascii="Arial"/>
          <w:i/>
          <w:spacing w:val="17"/>
          <w:sz w:val="20"/>
        </w:rPr>
        <w:t> </w:t>
      </w:r>
      <w:r>
        <w:rPr>
          <w:rFonts w:ascii="Arial"/>
          <w:i/>
          <w:sz w:val="20"/>
        </w:rPr>
        <w:t>98(3)</w:t>
      </w:r>
      <w:r>
        <w:rPr>
          <w:rFonts w:ascii="Arial"/>
          <w:i/>
          <w:spacing w:val="17"/>
          <w:sz w:val="20"/>
        </w:rPr>
        <w:t> </w:t>
      </w:r>
      <w:r>
        <w:rPr>
          <w:rFonts w:ascii="Arial"/>
          <w:i/>
          <w:sz w:val="20"/>
        </w:rPr>
        <w:t>L.S.G.</w:t>
      </w:r>
      <w:r>
        <w:rPr>
          <w:rFonts w:ascii="Arial"/>
          <w:i/>
          <w:spacing w:val="17"/>
          <w:sz w:val="20"/>
        </w:rPr>
        <w:t> </w:t>
      </w:r>
      <w:r>
        <w:rPr>
          <w:rFonts w:ascii="Arial"/>
          <w:i/>
          <w:sz w:val="20"/>
        </w:rPr>
        <w:t>42</w:t>
      </w:r>
      <w:r>
        <w:rPr>
          <w:rFonts w:ascii="Arial"/>
          <w:i/>
          <w:spacing w:val="16"/>
          <w:sz w:val="20"/>
        </w:rPr>
        <w:t> </w:t>
      </w:r>
      <w:r>
        <w:rPr>
          <w:spacing w:val="-5"/>
          <w:sz w:val="20"/>
        </w:rPr>
        <w:t>at</w:t>
      </w:r>
    </w:p>
    <w:p>
      <w:pPr>
        <w:spacing w:line="225" w:lineRule="exact" w:before="0"/>
        <w:ind w:left="705" w:right="0" w:firstLine="0"/>
        <w:jc w:val="left"/>
        <w:rPr>
          <w:rFonts w:ascii="Arial"/>
          <w:i/>
          <w:sz w:val="20"/>
        </w:rPr>
      </w:pPr>
      <w:r>
        <w:rPr>
          <w:sz w:val="20"/>
        </w:rPr>
        <w:t>[173],</w:t>
      </w:r>
      <w:r>
        <w:rPr>
          <w:spacing w:val="10"/>
          <w:sz w:val="20"/>
        </w:rPr>
        <w:t> </w:t>
      </w:r>
      <w:r>
        <w:rPr>
          <w:sz w:val="20"/>
        </w:rPr>
        <w:t>reversed</w:t>
      </w:r>
      <w:r>
        <w:rPr>
          <w:spacing w:val="10"/>
          <w:sz w:val="20"/>
        </w:rPr>
        <w:t> </w:t>
      </w:r>
      <w:r>
        <w:rPr>
          <w:sz w:val="20"/>
        </w:rPr>
        <w:t>on</w:t>
      </w:r>
      <w:r>
        <w:rPr>
          <w:spacing w:val="10"/>
          <w:sz w:val="20"/>
        </w:rPr>
        <w:t> </w:t>
      </w:r>
      <w:r>
        <w:rPr>
          <w:sz w:val="20"/>
        </w:rPr>
        <w:t>other</w:t>
      </w:r>
      <w:r>
        <w:rPr>
          <w:spacing w:val="10"/>
          <w:sz w:val="20"/>
        </w:rPr>
        <w:t> </w:t>
      </w:r>
      <w:r>
        <w:rPr>
          <w:sz w:val="20"/>
        </w:rPr>
        <w:t>grounds</w:t>
      </w:r>
      <w:r>
        <w:rPr>
          <w:spacing w:val="10"/>
          <w:sz w:val="20"/>
        </w:rPr>
        <w:t> </w:t>
      </w:r>
      <w:r>
        <w:rPr>
          <w:rFonts w:ascii="Arial"/>
          <w:i/>
          <w:sz w:val="20"/>
        </w:rPr>
        <w:t>[2001]</w:t>
      </w:r>
      <w:r>
        <w:rPr>
          <w:rFonts w:ascii="Arial"/>
          <w:i/>
          <w:spacing w:val="10"/>
          <w:sz w:val="20"/>
        </w:rPr>
        <w:t> </w:t>
      </w:r>
      <w:r>
        <w:rPr>
          <w:rFonts w:ascii="Arial"/>
          <w:i/>
          <w:sz w:val="20"/>
        </w:rPr>
        <w:t>EWCA</w:t>
      </w:r>
      <w:r>
        <w:rPr>
          <w:rFonts w:ascii="Arial"/>
          <w:i/>
          <w:spacing w:val="10"/>
          <w:sz w:val="20"/>
        </w:rPr>
        <w:t> </w:t>
      </w:r>
      <w:r>
        <w:rPr>
          <w:rFonts w:ascii="Arial"/>
          <w:i/>
          <w:sz w:val="20"/>
        </w:rPr>
        <w:t>Civ</w:t>
      </w:r>
      <w:r>
        <w:rPr>
          <w:rFonts w:ascii="Arial"/>
          <w:i/>
          <w:spacing w:val="10"/>
          <w:sz w:val="20"/>
        </w:rPr>
        <w:t> </w:t>
      </w:r>
      <w:r>
        <w:rPr>
          <w:rFonts w:ascii="Arial"/>
          <w:i/>
          <w:sz w:val="20"/>
        </w:rPr>
        <w:t>1089,</w:t>
      </w:r>
      <w:r>
        <w:rPr>
          <w:rFonts w:ascii="Arial"/>
          <w:i/>
          <w:spacing w:val="10"/>
          <w:sz w:val="20"/>
        </w:rPr>
        <w:t> </w:t>
      </w:r>
      <w:r>
        <w:rPr>
          <w:rFonts w:ascii="Arial"/>
          <w:i/>
          <w:sz w:val="20"/>
        </w:rPr>
        <w:t>The</w:t>
      </w:r>
      <w:r>
        <w:rPr>
          <w:rFonts w:ascii="Arial"/>
          <w:i/>
          <w:spacing w:val="10"/>
          <w:sz w:val="20"/>
        </w:rPr>
        <w:t> </w:t>
      </w:r>
      <w:r>
        <w:rPr>
          <w:rFonts w:ascii="Arial"/>
          <w:i/>
          <w:sz w:val="20"/>
        </w:rPr>
        <w:t>Times,</w:t>
      </w:r>
      <w:r>
        <w:rPr>
          <w:rFonts w:ascii="Arial"/>
          <w:i/>
          <w:spacing w:val="10"/>
          <w:sz w:val="20"/>
        </w:rPr>
        <w:t> </w:t>
      </w:r>
      <w:r>
        <w:rPr>
          <w:rFonts w:ascii="Arial"/>
          <w:i/>
          <w:sz w:val="20"/>
        </w:rPr>
        <w:t>August</w:t>
      </w:r>
      <w:r>
        <w:rPr>
          <w:rFonts w:ascii="Arial"/>
          <w:i/>
          <w:spacing w:val="10"/>
          <w:sz w:val="20"/>
        </w:rPr>
        <w:t> </w:t>
      </w:r>
      <w:r>
        <w:rPr>
          <w:rFonts w:ascii="Arial"/>
          <w:i/>
          <w:sz w:val="20"/>
        </w:rPr>
        <w:t>13,</w:t>
      </w:r>
      <w:r>
        <w:rPr>
          <w:rFonts w:ascii="Arial"/>
          <w:i/>
          <w:spacing w:val="10"/>
          <w:sz w:val="20"/>
        </w:rPr>
        <w:t> </w:t>
      </w:r>
      <w:r>
        <w:rPr>
          <w:rFonts w:ascii="Arial"/>
          <w:i/>
          <w:sz w:val="20"/>
        </w:rPr>
        <w:t>2001,</w:t>
      </w:r>
      <w:r>
        <w:rPr>
          <w:rFonts w:ascii="Arial"/>
          <w:i/>
          <w:spacing w:val="10"/>
          <w:sz w:val="20"/>
        </w:rPr>
        <w:t> </w:t>
      </w:r>
      <w:r>
        <w:rPr>
          <w:rFonts w:ascii="Arial"/>
          <w:i/>
          <w:spacing w:val="-2"/>
          <w:sz w:val="20"/>
        </w:rPr>
        <w:t>(2001)</w:t>
      </w:r>
    </w:p>
    <w:p>
      <w:pPr>
        <w:spacing w:line="227" w:lineRule="exact" w:before="0"/>
        <w:ind w:left="705" w:right="0" w:firstLine="0"/>
        <w:jc w:val="left"/>
        <w:rPr>
          <w:sz w:val="20"/>
        </w:rPr>
      </w:pPr>
      <w:r>
        <w:rPr>
          <w:rFonts w:ascii="Arial"/>
          <w:i/>
          <w:sz w:val="20"/>
        </w:rPr>
        <w:t>98(33) L.S.G. </w:t>
      </w:r>
      <w:r>
        <w:rPr>
          <w:rFonts w:ascii="Arial"/>
          <w:i/>
          <w:spacing w:val="-5"/>
          <w:sz w:val="20"/>
        </w:rPr>
        <w:t>30</w:t>
      </w:r>
      <w:r>
        <w:rPr>
          <w:spacing w:val="-5"/>
          <w:sz w:val="20"/>
        </w:rPr>
        <w:t>.</w:t>
      </w:r>
    </w:p>
    <w:p>
      <w:pPr>
        <w:pStyle w:val="BodyText"/>
        <w:spacing w:before="5"/>
      </w:pPr>
    </w:p>
    <w:p>
      <w:pPr>
        <w:pStyle w:val="BodyText"/>
        <w:tabs>
          <w:tab w:pos="705" w:val="left" w:leader="none"/>
        </w:tabs>
        <w:spacing w:before="1"/>
        <w:ind w:left="165"/>
      </w:pPr>
      <w:bookmarkStart w:name="_bookmark1053" w:id="1055"/>
      <w:bookmarkEnd w:id="1055"/>
      <w:r>
        <w:rPr/>
      </w:r>
      <w:hyperlink w:history="true" w:anchor="_bookmark1047">
        <w:r>
          <w:rPr>
            <w:color w:val="005DA1"/>
            <w:spacing w:val="-4"/>
            <w:position w:val="5"/>
            <w:sz w:val="14"/>
            <w:u w:val="single" w:color="005DA1"/>
          </w:rPr>
          <w:t>559</w:t>
        </w:r>
      </w:hyperlink>
      <w:r>
        <w:rPr>
          <w:spacing w:val="-4"/>
          <w:position w:val="5"/>
          <w:sz w:val="14"/>
        </w:rPr>
        <w:t>.</w:t>
      </w:r>
      <w:r>
        <w:rPr>
          <w:position w:val="5"/>
          <w:sz w:val="14"/>
        </w:rPr>
        <w:tab/>
      </w:r>
      <w:r>
        <w:rPr/>
        <w:t>See below, paras 13-043, 13-121—13-</w:t>
      </w:r>
      <w:r>
        <w:rPr>
          <w:spacing w:val="-4"/>
        </w:rPr>
        <w:t>123.</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25"/>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4. - The Human Rights Act 1998 and </w:t>
      </w:r>
      <w:r>
        <w:rPr>
          <w:rFonts w:ascii="Arial"/>
          <w:b/>
          <w:spacing w:val="-2"/>
          <w:sz w:val="24"/>
        </w:rPr>
        <w:t>Contracts</w:t>
      </w:r>
    </w:p>
    <w:p>
      <w:pPr>
        <w:spacing w:before="194"/>
        <w:ind w:left="1951" w:right="0" w:firstLine="0"/>
        <w:jc w:val="left"/>
        <w:rPr>
          <w:rFonts w:ascii="Arial"/>
          <w:b/>
          <w:sz w:val="24"/>
        </w:rPr>
      </w:pPr>
      <w:r>
        <w:rPr>
          <w:rFonts w:ascii="Arial"/>
          <w:b/>
          <w:sz w:val="24"/>
        </w:rPr>
        <w:t>(b) - Contracts made on or after October 2, </w:t>
      </w:r>
      <w:r>
        <w:rPr>
          <w:rFonts w:ascii="Arial"/>
          <w:b/>
          <w:spacing w:val="-4"/>
          <w:sz w:val="24"/>
        </w:rPr>
        <w:t>2000</w:t>
      </w:r>
    </w:p>
    <w:p>
      <w:pPr>
        <w:pStyle w:val="ListParagraph"/>
        <w:numPr>
          <w:ilvl w:val="0"/>
          <w:numId w:val="7"/>
        </w:numPr>
        <w:tabs>
          <w:tab w:pos="1017" w:val="left" w:leader="none"/>
        </w:tabs>
        <w:spacing w:line="240" w:lineRule="auto" w:before="194" w:after="0"/>
        <w:ind w:left="1017" w:right="0" w:hanging="293"/>
        <w:jc w:val="left"/>
        <w:rPr>
          <w:b/>
          <w:sz w:val="24"/>
        </w:rPr>
      </w:pPr>
      <w:r>
        <w:rPr>
          <w:b/>
          <w:sz w:val="24"/>
        </w:rPr>
        <w:t>- The Construction and Review of Legislation Governing </w:t>
      </w:r>
      <w:r>
        <w:rPr>
          <w:b/>
          <w:spacing w:val="-2"/>
          <w:sz w:val="24"/>
        </w:rPr>
        <w:t>Contracts</w:t>
      </w:r>
    </w:p>
    <w:p>
      <w:pPr>
        <w:pStyle w:val="BodyText"/>
        <w:rPr>
          <w:rFonts w:ascii="Arial"/>
          <w:b/>
          <w:sz w:val="24"/>
        </w:rPr>
      </w:pPr>
    </w:p>
    <w:p>
      <w:pPr>
        <w:pStyle w:val="BodyText"/>
        <w:spacing w:before="93"/>
        <w:rPr>
          <w:rFonts w:ascii="Arial"/>
          <w:b/>
          <w:sz w:val="24"/>
        </w:rPr>
      </w:pPr>
    </w:p>
    <w:p>
      <w:pPr>
        <w:spacing w:line="235" w:lineRule="auto" w:before="0"/>
        <w:ind w:left="164" w:right="0" w:firstLine="0"/>
        <w:jc w:val="left"/>
        <w:rPr>
          <w:rFonts w:ascii="Arial"/>
          <w:b/>
          <w:sz w:val="18"/>
        </w:rPr>
      </w:pPr>
      <w:r>
        <w:rPr>
          <w:rFonts w:ascii="Arial"/>
          <w:b/>
          <w:sz w:val="18"/>
        </w:rPr>
        <w:t>Sections</w:t>
      </w:r>
      <w:r>
        <w:rPr>
          <w:rFonts w:ascii="Arial"/>
          <w:b/>
          <w:spacing w:val="64"/>
          <w:sz w:val="18"/>
        </w:rPr>
        <w:t> </w:t>
      </w:r>
      <w:r>
        <w:rPr>
          <w:rFonts w:ascii="Arial"/>
          <w:b/>
          <w:sz w:val="18"/>
        </w:rPr>
        <w:t>3</w:t>
      </w:r>
      <w:r>
        <w:rPr>
          <w:rFonts w:ascii="Arial"/>
          <w:b/>
          <w:spacing w:val="64"/>
          <w:sz w:val="18"/>
        </w:rPr>
        <w:t> </w:t>
      </w:r>
      <w:r>
        <w:rPr>
          <w:rFonts w:ascii="Arial"/>
          <w:b/>
          <w:sz w:val="18"/>
        </w:rPr>
        <w:t>and</w:t>
      </w:r>
      <w:r>
        <w:rPr>
          <w:rFonts w:ascii="Arial"/>
          <w:b/>
          <w:spacing w:val="64"/>
          <w:sz w:val="18"/>
        </w:rPr>
        <w:t> </w:t>
      </w:r>
      <w:r>
        <w:rPr>
          <w:rFonts w:ascii="Arial"/>
          <w:b/>
          <w:sz w:val="18"/>
        </w:rPr>
        <w:t>4</w:t>
      </w:r>
      <w:r>
        <w:rPr>
          <w:rFonts w:ascii="Arial"/>
          <w:b/>
          <w:spacing w:val="64"/>
          <w:sz w:val="18"/>
        </w:rPr>
        <w:t> </w:t>
      </w:r>
      <w:r>
        <w:rPr>
          <w:rFonts w:ascii="Arial"/>
          <w:b/>
          <w:sz w:val="18"/>
        </w:rPr>
        <w:t>of</w:t>
      </w:r>
      <w:r>
        <w:rPr>
          <w:rFonts w:ascii="Arial"/>
          <w:b/>
          <w:spacing w:val="64"/>
          <w:sz w:val="18"/>
        </w:rPr>
        <w:t> </w:t>
      </w:r>
      <w:r>
        <w:rPr>
          <w:rFonts w:ascii="Arial"/>
          <w:b/>
          <w:sz w:val="18"/>
        </w:rPr>
        <w:t>the</w:t>
      </w:r>
      <w:r>
        <w:rPr>
          <w:rFonts w:ascii="Arial"/>
          <w:b/>
          <w:spacing w:val="64"/>
          <w:sz w:val="18"/>
        </w:rPr>
        <w:t> </w:t>
      </w:r>
      <w:r>
        <w:rPr>
          <w:rFonts w:ascii="Arial"/>
          <w:b/>
          <w:sz w:val="18"/>
        </w:rPr>
        <w:t>1998</w:t>
      </w:r>
      <w:r>
        <w:rPr>
          <w:rFonts w:ascii="Arial"/>
          <w:b/>
          <w:spacing w:val="64"/>
          <w:sz w:val="18"/>
        </w:rPr>
        <w:t> </w:t>
      </w:r>
      <w:r>
        <w:rPr>
          <w:rFonts w:ascii="Arial"/>
          <w:b/>
          <w:sz w:val="18"/>
        </w:rPr>
        <w:t>Act:</w:t>
      </w:r>
      <w:r>
        <w:rPr>
          <w:rFonts w:ascii="Arial"/>
          <w:b/>
          <w:spacing w:val="64"/>
          <w:sz w:val="18"/>
        </w:rPr>
        <w:t> </w:t>
      </w:r>
      <w:r>
        <w:rPr>
          <w:rFonts w:ascii="Arial"/>
          <w:b/>
          <w:sz w:val="18"/>
        </w:rPr>
        <w:t>primary</w:t>
      </w:r>
      <w:r>
        <w:rPr>
          <w:rFonts w:ascii="Arial"/>
          <w:b/>
          <w:spacing w:val="64"/>
          <w:sz w:val="18"/>
        </w:rPr>
        <w:t> </w:t>
      </w:r>
      <w:r>
        <w:rPr>
          <w:rFonts w:ascii="Arial"/>
          <w:b/>
          <w:sz w:val="18"/>
        </w:rPr>
        <w:t>or</w:t>
      </w:r>
      <w:r>
        <w:rPr>
          <w:rFonts w:ascii="Arial"/>
          <w:b/>
          <w:spacing w:val="64"/>
          <w:sz w:val="18"/>
        </w:rPr>
        <w:t> </w:t>
      </w:r>
      <w:r>
        <w:rPr>
          <w:rFonts w:ascii="Arial"/>
          <w:b/>
          <w:sz w:val="18"/>
        </w:rPr>
        <w:t>secondary</w:t>
      </w:r>
      <w:r>
        <w:rPr>
          <w:rFonts w:ascii="Arial"/>
          <w:b/>
          <w:spacing w:val="64"/>
          <w:sz w:val="18"/>
        </w:rPr>
        <w:t> </w:t>
      </w:r>
      <w:r>
        <w:rPr>
          <w:rFonts w:ascii="Arial"/>
          <w:b/>
          <w:sz w:val="18"/>
        </w:rPr>
        <w:t>legislation</w:t>
      </w:r>
      <w:r>
        <w:rPr>
          <w:rFonts w:ascii="Arial"/>
          <w:b/>
          <w:spacing w:val="64"/>
          <w:sz w:val="18"/>
        </w:rPr>
        <w:t> </w:t>
      </w:r>
      <w:r>
        <w:rPr>
          <w:rFonts w:ascii="Arial"/>
          <w:b/>
          <w:sz w:val="18"/>
        </w:rPr>
        <w:t>governing</w:t>
      </w:r>
      <w:r>
        <w:rPr>
          <w:rFonts w:ascii="Arial"/>
          <w:b/>
          <w:spacing w:val="64"/>
          <w:sz w:val="18"/>
        </w:rPr>
        <w:t> </w:t>
      </w:r>
      <w:r>
        <w:rPr>
          <w:rFonts w:ascii="Arial"/>
          <w:b/>
          <w:sz w:val="18"/>
        </w:rPr>
        <w:t>the</w:t>
      </w:r>
      <w:r>
        <w:rPr>
          <w:rFonts w:ascii="Arial"/>
          <w:b/>
          <w:spacing w:val="64"/>
          <w:sz w:val="18"/>
        </w:rPr>
        <w:t> </w:t>
      </w:r>
      <w:r>
        <w:rPr>
          <w:rFonts w:ascii="Arial"/>
          <w:b/>
          <w:sz w:val="18"/>
        </w:rPr>
        <w:t>contract</w:t>
      </w:r>
      <w:r>
        <w:rPr>
          <w:rFonts w:ascii="Arial"/>
          <w:b/>
          <w:spacing w:val="64"/>
          <w:sz w:val="18"/>
        </w:rPr>
        <w:t> </w:t>
      </w:r>
      <w:r>
        <w:rPr>
          <w:rFonts w:ascii="Arial"/>
          <w:b/>
          <w:sz w:val="18"/>
        </w:rPr>
        <w:t>and Convention rights</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1-</w:t>
      </w:r>
      <w:r>
        <w:rPr>
          <w:rFonts w:ascii="Arial"/>
          <w:b/>
          <w:spacing w:val="-5"/>
          <w:sz w:val="24"/>
        </w:rPr>
        <w:t>066</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054" w:id="1056"/>
      <w:bookmarkEnd w:id="1056"/>
      <w:r>
        <w:rPr>
          <w:rFonts w:ascii="Times New Roman" w:hAnsi="Times New Roman"/>
          <w:spacing w:val="-2"/>
        </w:rPr>
      </w:r>
      <w:r>
        <w:rPr/>
        <w:t>While it was not necessary for its decision in </w:t>
      </w:r>
      <w:r>
        <w:rPr>
          <w:rFonts w:ascii="Arial" w:hAnsi="Arial"/>
          <w:i/>
        </w:rPr>
        <w:t>Wilson v First County Trust Ltd (No.2)</w:t>
      </w:r>
      <w:r>
        <w:rPr/>
        <w:t>, </w:t>
      </w:r>
      <w:r>
        <w:rPr>
          <w:color w:val="005DA1"/>
          <w:u w:val="single" w:color="005DA1"/>
          <w:vertAlign w:val="superscript"/>
        </w:rPr>
        <w:t>560</w:t>
      </w:r>
      <w:r>
        <w:rPr>
          <w:color w:val="005DA1"/>
          <w:vertAlign w:val="baseline"/>
        </w:rPr>
        <w:t> </w:t>
      </w:r>
      <w:r>
        <w:rPr>
          <w:vertAlign w:val="baseline"/>
        </w:rPr>
        <w:t>four members of the House of Lords considered there the substantive questions of compatibility </w:t>
      </w:r>
      <w:r>
        <w:rPr>
          <w:vertAlign w:val="baseline"/>
        </w:rPr>
        <w:t>with Convention rights of the then provisions of the Consumer Credit Act 1974 (putting aside the retroactive element found on the facts), and this makes clear their general view that questions of compatibility with Convention rights of legislation governing contracts made </w:t>
      </w:r>
      <w:r>
        <w:rPr>
          <w:rFonts w:ascii="Arial" w:hAnsi="Arial"/>
          <w:i/>
          <w:vertAlign w:val="baseline"/>
        </w:rPr>
        <w:t>on or after </w:t>
      </w:r>
      <w:r>
        <w:rPr>
          <w:vertAlign w:val="baseline"/>
        </w:rPr>
        <w:t>the date of their coming into force, viz October 2, 2000, would arise for the purposes of ss.3 and 4 of the 1998 Act.</w:t>
      </w:r>
      <w:r>
        <w:rPr>
          <w:spacing w:val="-1"/>
          <w:vertAlign w:val="baseline"/>
        </w:rPr>
        <w:t> </w:t>
      </w:r>
      <w:r>
        <w:rPr>
          <w:vertAlign w:val="baseline"/>
        </w:rPr>
        <w:t>The</w:t>
      </w:r>
      <w:r>
        <w:rPr>
          <w:spacing w:val="-1"/>
          <w:vertAlign w:val="baseline"/>
        </w:rPr>
        <w:t> </w:t>
      </w:r>
      <w:r>
        <w:rPr>
          <w:vertAlign w:val="baseline"/>
        </w:rPr>
        <w:t>substantive</w:t>
      </w:r>
      <w:r>
        <w:rPr>
          <w:spacing w:val="-1"/>
          <w:vertAlign w:val="baseline"/>
        </w:rPr>
        <w:t> </w:t>
      </w:r>
      <w:r>
        <w:rPr>
          <w:vertAlign w:val="baseline"/>
        </w:rPr>
        <w:t>questions</w:t>
      </w:r>
      <w:r>
        <w:rPr>
          <w:spacing w:val="-1"/>
          <w:vertAlign w:val="baseline"/>
        </w:rPr>
        <w:t> </w:t>
      </w:r>
      <w:r>
        <w:rPr>
          <w:vertAlign w:val="baseline"/>
        </w:rPr>
        <w:t>raised</w:t>
      </w:r>
      <w:r>
        <w:rPr>
          <w:spacing w:val="-1"/>
          <w:vertAlign w:val="baseline"/>
        </w:rPr>
        <w:t> </w:t>
      </w:r>
      <w:r>
        <w:rPr>
          <w:vertAlign w:val="baseline"/>
        </w:rPr>
        <w:t>in</w:t>
      </w:r>
      <w:r>
        <w:rPr>
          <w:spacing w:val="-1"/>
          <w:vertAlign w:val="baseline"/>
        </w:rPr>
        <w:t> </w:t>
      </w:r>
      <w:r>
        <w:rPr>
          <w:rFonts w:ascii="Arial" w:hAnsi="Arial"/>
          <w:i/>
          <w:vertAlign w:val="baseline"/>
        </w:rPr>
        <w:t>Wilson</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First</w:t>
      </w:r>
      <w:r>
        <w:rPr>
          <w:rFonts w:ascii="Arial" w:hAnsi="Arial"/>
          <w:i/>
          <w:spacing w:val="-1"/>
          <w:vertAlign w:val="baseline"/>
        </w:rPr>
        <w:t> </w:t>
      </w:r>
      <w:r>
        <w:rPr>
          <w:rFonts w:ascii="Arial" w:hAnsi="Arial"/>
          <w:i/>
          <w:vertAlign w:val="baseline"/>
        </w:rPr>
        <w:t>County</w:t>
      </w:r>
      <w:r>
        <w:rPr>
          <w:rFonts w:ascii="Arial" w:hAnsi="Arial"/>
          <w:i/>
          <w:spacing w:val="-1"/>
          <w:vertAlign w:val="baseline"/>
        </w:rPr>
        <w:t> </w:t>
      </w:r>
      <w:r>
        <w:rPr>
          <w:rFonts w:ascii="Arial" w:hAnsi="Arial"/>
          <w:i/>
          <w:vertAlign w:val="baseline"/>
        </w:rPr>
        <w:t>Trust</w:t>
      </w:r>
      <w:r>
        <w:rPr>
          <w:rFonts w:ascii="Arial" w:hAnsi="Arial"/>
          <w:i/>
          <w:spacing w:val="-1"/>
          <w:vertAlign w:val="baseline"/>
        </w:rPr>
        <w:t> </w:t>
      </w:r>
      <w:r>
        <w:rPr>
          <w:rFonts w:ascii="Arial" w:hAnsi="Arial"/>
          <w:i/>
          <w:vertAlign w:val="baseline"/>
        </w:rPr>
        <w:t>Ltd</w:t>
      </w:r>
      <w:r>
        <w:rPr>
          <w:rFonts w:ascii="Arial" w:hAnsi="Arial"/>
          <w:i/>
          <w:spacing w:val="-1"/>
          <w:vertAlign w:val="baseline"/>
        </w:rPr>
        <w:t> </w:t>
      </w:r>
      <w:r>
        <w:rPr>
          <w:rFonts w:ascii="Arial" w:hAnsi="Arial"/>
          <w:i/>
          <w:vertAlign w:val="baseline"/>
        </w:rPr>
        <w:t>(No.2)</w:t>
      </w:r>
      <w:r>
        <w:rPr>
          <w:rFonts w:ascii="Arial" w:hAnsi="Arial"/>
          <w:i/>
          <w:spacing w:val="-1"/>
          <w:vertAlign w:val="baseline"/>
        </w:rPr>
        <w:t> </w:t>
      </w:r>
      <w:r>
        <w:rPr>
          <w:vertAlign w:val="baseline"/>
        </w:rPr>
        <w:t>itself</w:t>
      </w:r>
      <w:r>
        <w:rPr>
          <w:spacing w:val="-1"/>
          <w:vertAlign w:val="baseline"/>
        </w:rPr>
        <w:t> </w:t>
      </w:r>
      <w:r>
        <w:rPr>
          <w:vertAlign w:val="baseline"/>
        </w:rPr>
        <w:t>were</w:t>
      </w:r>
      <w:r>
        <w:rPr>
          <w:spacing w:val="-1"/>
          <w:vertAlign w:val="baseline"/>
        </w:rPr>
        <w:t> </w:t>
      </w:r>
      <w:r>
        <w:rPr>
          <w:vertAlign w:val="baseline"/>
        </w:rPr>
        <w:t>whether</w:t>
      </w:r>
      <w:r>
        <w:rPr>
          <w:spacing w:val="-1"/>
          <w:vertAlign w:val="baseline"/>
        </w:rPr>
        <w:t> </w:t>
      </w:r>
      <w:r>
        <w:rPr>
          <w:vertAlign w:val="baseline"/>
        </w:rPr>
        <w:t>the denial of any possibility of enforcement of the contract of consumer credit or its attendant security by the creditor against the consumer was incompatible either with the creditor’s right to a fair trial under art.6 of the European Convention or with the creditor’s right to the peaceful enjoyment of his possessions under art.1 of the First Protocol to the Convention. The issue of compatibility with art.6 was fairly quickly dealt with by the House of Lords as art.6(1) is concerned to ensure a fair civil </w:t>
      </w:r>
      <w:bookmarkStart w:name="_bookmark1055" w:id="1057"/>
      <w:bookmarkEnd w:id="1057"/>
      <w:r>
        <w:rPr>
          <w:vertAlign w:val="baseline"/>
        </w:rPr>
        <w:t>process</w:t>
      </w:r>
      <w:r>
        <w:rPr>
          <w:vertAlign w:val="baseline"/>
        </w:rPr>
        <w:t> and “does not itself guarantee any particular content for civil rights and obligations in the substantive law of the contracting states”. </w:t>
      </w:r>
      <w:r>
        <w:rPr>
          <w:color w:val="005DA1"/>
          <w:u w:val="single" w:color="005DA1"/>
          <w:vertAlign w:val="superscript"/>
        </w:rPr>
        <w:t>561</w:t>
      </w:r>
      <w:r>
        <w:rPr>
          <w:color w:val="005DA1"/>
          <w:vertAlign w:val="baseline"/>
        </w:rPr>
        <w:t> </w:t>
      </w:r>
      <w:r>
        <w:rPr>
          <w:vertAlign w:val="baseline"/>
        </w:rPr>
        <w:t>The effect of the Consumer Credit Act was to deny the </w:t>
      </w:r>
      <w:bookmarkStart w:name="_bookmark1056" w:id="1058"/>
      <w:bookmarkEnd w:id="1058"/>
      <w:r>
        <w:rPr>
          <w:vertAlign w:val="baseline"/>
        </w:rPr>
        <w:t>creditor</w:t>
      </w:r>
      <w:r>
        <w:rPr>
          <w:spacing w:val="43"/>
          <w:vertAlign w:val="baseline"/>
        </w:rPr>
        <w:t> </w:t>
      </w:r>
      <w:r>
        <w:rPr>
          <w:vertAlign w:val="baseline"/>
        </w:rPr>
        <w:t>any</w:t>
      </w:r>
      <w:r>
        <w:rPr>
          <w:spacing w:val="43"/>
          <w:vertAlign w:val="baseline"/>
        </w:rPr>
        <w:t> </w:t>
      </w:r>
      <w:r>
        <w:rPr>
          <w:vertAlign w:val="baseline"/>
        </w:rPr>
        <w:t>substantive</w:t>
      </w:r>
      <w:r>
        <w:rPr>
          <w:spacing w:val="43"/>
          <w:vertAlign w:val="baseline"/>
        </w:rPr>
        <w:t> </w:t>
      </w:r>
      <w:r>
        <w:rPr>
          <w:vertAlign w:val="baseline"/>
        </w:rPr>
        <w:t>legal</w:t>
      </w:r>
      <w:r>
        <w:rPr>
          <w:spacing w:val="43"/>
          <w:vertAlign w:val="baseline"/>
        </w:rPr>
        <w:t> </w:t>
      </w:r>
      <w:r>
        <w:rPr>
          <w:vertAlign w:val="baseline"/>
        </w:rPr>
        <w:t>rights</w:t>
      </w:r>
      <w:r>
        <w:rPr>
          <w:spacing w:val="43"/>
          <w:vertAlign w:val="baseline"/>
        </w:rPr>
        <w:t> </w:t>
      </w:r>
      <w:r>
        <w:rPr>
          <w:vertAlign w:val="baseline"/>
        </w:rPr>
        <w:t>under</w:t>
      </w:r>
      <w:r>
        <w:rPr>
          <w:spacing w:val="43"/>
          <w:vertAlign w:val="baseline"/>
        </w:rPr>
        <w:t> </w:t>
      </w:r>
      <w:r>
        <w:rPr>
          <w:vertAlign w:val="baseline"/>
        </w:rPr>
        <w:t>the</w:t>
      </w:r>
      <w:r>
        <w:rPr>
          <w:spacing w:val="43"/>
          <w:vertAlign w:val="baseline"/>
        </w:rPr>
        <w:t> </w:t>
      </w:r>
      <w:r>
        <w:rPr>
          <w:vertAlign w:val="baseline"/>
        </w:rPr>
        <w:t>contract</w:t>
      </w:r>
      <w:r>
        <w:rPr>
          <w:spacing w:val="43"/>
          <w:vertAlign w:val="baseline"/>
        </w:rPr>
        <w:t> </w:t>
      </w:r>
      <w:r>
        <w:rPr>
          <w:vertAlign w:val="baseline"/>
        </w:rPr>
        <w:t>or</w:t>
      </w:r>
      <w:r>
        <w:rPr>
          <w:spacing w:val="43"/>
          <w:vertAlign w:val="baseline"/>
        </w:rPr>
        <w:t> </w:t>
      </w:r>
      <w:r>
        <w:rPr>
          <w:vertAlign w:val="baseline"/>
        </w:rPr>
        <w:t>in</w:t>
      </w:r>
      <w:r>
        <w:rPr>
          <w:spacing w:val="43"/>
          <w:vertAlign w:val="baseline"/>
        </w:rPr>
        <w:t> </w:t>
      </w:r>
      <w:r>
        <w:rPr>
          <w:vertAlign w:val="baseline"/>
        </w:rPr>
        <w:t>relation</w:t>
      </w:r>
      <w:r>
        <w:rPr>
          <w:spacing w:val="43"/>
          <w:vertAlign w:val="baseline"/>
        </w:rPr>
        <w:t> </w:t>
      </w:r>
      <w:r>
        <w:rPr>
          <w:vertAlign w:val="baseline"/>
        </w:rPr>
        <w:t>to</w:t>
      </w:r>
      <w:r>
        <w:rPr>
          <w:spacing w:val="43"/>
          <w:vertAlign w:val="baseline"/>
        </w:rPr>
        <w:t> </w:t>
      </w:r>
      <w:r>
        <w:rPr>
          <w:vertAlign w:val="baseline"/>
        </w:rPr>
        <w:t>the</w:t>
      </w:r>
      <w:r>
        <w:rPr>
          <w:spacing w:val="43"/>
          <w:vertAlign w:val="baseline"/>
        </w:rPr>
        <w:t> </w:t>
      </w:r>
      <w:r>
        <w:rPr>
          <w:vertAlign w:val="baseline"/>
        </w:rPr>
        <w:t>security</w:t>
      </w:r>
      <w:r>
        <w:rPr>
          <w:spacing w:val="43"/>
          <w:vertAlign w:val="baseline"/>
        </w:rPr>
        <w:t> </w:t>
      </w:r>
      <w:r>
        <w:rPr>
          <w:vertAlign w:val="baseline"/>
        </w:rPr>
        <w:t>and</w:t>
      </w:r>
      <w:r>
        <w:rPr>
          <w:spacing w:val="43"/>
          <w:vertAlign w:val="baseline"/>
        </w:rPr>
        <w:t> </w:t>
      </w:r>
      <w:r>
        <w:rPr>
          <w:vertAlign w:val="baseline"/>
        </w:rPr>
        <w:t>did</w:t>
      </w:r>
      <w:r>
        <w:rPr>
          <w:spacing w:val="43"/>
          <w:vertAlign w:val="baseline"/>
        </w:rPr>
        <w:t> </w:t>
      </w:r>
      <w:r>
        <w:rPr>
          <w:spacing w:val="-5"/>
          <w:vertAlign w:val="baseline"/>
        </w:rPr>
        <w:t>not</w:t>
      </w:r>
    </w:p>
    <w:p>
      <w:pPr>
        <w:pStyle w:val="BodyText"/>
        <w:spacing w:line="235" w:lineRule="auto" w:before="114"/>
        <w:ind w:left="165" w:right="167"/>
        <w:jc w:val="both"/>
      </w:pPr>
      <w:r>
        <w:rPr/>
        <w:t>concern its procedural rights. </w:t>
      </w:r>
      <w:r>
        <w:rPr>
          <w:color w:val="005DA1"/>
          <w:u w:val="single" w:color="005DA1"/>
          <w:vertAlign w:val="superscript"/>
        </w:rPr>
        <w:t>562</w:t>
      </w:r>
      <w:r>
        <w:rPr>
          <w:color w:val="005DA1"/>
          <w:spacing w:val="80"/>
          <w:w w:val="150"/>
          <w:vertAlign w:val="baseline"/>
        </w:rPr>
        <w:t> </w:t>
      </w:r>
      <w:r>
        <w:rPr>
          <w:color w:val="005DA1"/>
          <w:spacing w:val="18"/>
          <w:position w:val="-2"/>
          <w:vertAlign w:val="baseline"/>
        </w:rPr>
        <w:drawing>
          <wp:inline distT="0" distB="0" distL="0" distR="0">
            <wp:extent cx="107988" cy="107988"/>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9"/>
          <w:vertAlign w:val="baseline"/>
        </w:rPr>
        <w:t> </w:t>
      </w:r>
      <w:r>
        <w:rPr>
          <w:vertAlign w:val="baseline"/>
        </w:rPr>
        <w:t>While their lordships also agreed that (putting aside the question </w:t>
      </w:r>
      <w:bookmarkStart w:name="_bookmark1057" w:id="1059"/>
      <w:bookmarkEnd w:id="1059"/>
      <w:r>
        <w:rPr>
          <w:vertAlign w:val="baseline"/>
        </w:rPr>
        <w:t>of</w:t>
      </w:r>
      <w:r>
        <w:rPr>
          <w:vertAlign w:val="baseline"/>
        </w:rPr>
        <w:t> the temporal application of the 1998 Act) the creditor’s right to its possessions was not denied </w:t>
      </w:r>
      <w:r>
        <w:rPr>
          <w:vertAlign w:val="baseline"/>
        </w:rPr>
        <w:t>by the relevant provisions of Consumer Credit Act 1974, </w:t>
      </w:r>
      <w:r>
        <w:rPr>
          <w:color w:val="005DA1"/>
          <w:u w:val="single" w:color="005DA1"/>
          <w:vertAlign w:val="superscript"/>
        </w:rPr>
        <w:t>563</w:t>
      </w:r>
      <w:r>
        <w:rPr>
          <w:color w:val="005DA1"/>
          <w:vertAlign w:val="baseline"/>
        </w:rPr>
        <w:t> </w:t>
      </w:r>
      <w:r>
        <w:rPr>
          <w:vertAlign w:val="baseline"/>
        </w:rPr>
        <w:t>their reasons for coming to this conclusion differed. Here, there were two issues: (i) did the facts of the case engage the application of art.1 of</w:t>
      </w:r>
      <w:r>
        <w:rPr>
          <w:spacing w:val="80"/>
          <w:vertAlign w:val="baseline"/>
        </w:rPr>
        <w:t> </w:t>
      </w:r>
      <w:r>
        <w:rPr>
          <w:vertAlign w:val="baseline"/>
        </w:rPr>
        <w:t>the First Protocol; (ii) if so, did the provisions of the Consumer Credit Act put in place a legitimate, proportionate and sufficiently certain restriction on the creditor’s rights? The following paragraphs will examine the treatment of these issues in </w:t>
      </w:r>
      <w:r>
        <w:rPr>
          <w:rFonts w:ascii="Arial" w:hAnsi="Arial"/>
          <w:i/>
          <w:vertAlign w:val="baseline"/>
        </w:rPr>
        <w:t>Wilson v First County Trust Ltd (No.2) </w:t>
      </w:r>
      <w:r>
        <w:rPr>
          <w:vertAlign w:val="baseline"/>
        </w:rPr>
        <w:t>itself and in the subsequent case law.</w:t>
      </w:r>
    </w:p>
    <w:p>
      <w:pPr>
        <w:pStyle w:val="BodyText"/>
      </w:pPr>
    </w:p>
    <w:p>
      <w:pPr>
        <w:pStyle w:val="BodyText"/>
        <w:spacing w:before="36"/>
      </w:pPr>
    </w:p>
    <w:p>
      <w:pPr>
        <w:spacing w:before="0"/>
        <w:ind w:left="165" w:right="0" w:firstLine="0"/>
        <w:jc w:val="both"/>
        <w:rPr>
          <w:rFonts w:ascii="Arial"/>
          <w:b/>
          <w:sz w:val="18"/>
        </w:rPr>
      </w:pPr>
      <w:r>
        <w:rPr>
          <w:rFonts w:ascii="Arial"/>
          <w:b/>
          <w:sz w:val="18"/>
        </w:rPr>
        <w:t>Unenforceable contractual rights and engaging art.1 of the First </w:t>
      </w:r>
      <w:r>
        <w:rPr>
          <w:rFonts w:ascii="Arial"/>
          <w:b/>
          <w:spacing w:val="-2"/>
          <w:sz w:val="18"/>
        </w:rPr>
        <w:t>Protocol</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067</w:t>
      </w:r>
    </w:p>
    <w:p>
      <w:pPr>
        <w:pStyle w:val="BodyText"/>
        <w:spacing w:line="235" w:lineRule="auto" w:before="203"/>
        <w:ind w:left="165" w:right="167"/>
        <w:jc w:val="both"/>
      </w:pPr>
      <w:bookmarkStart w:name="_bookmark1058" w:id="1060"/>
      <w:bookmarkEnd w:id="1060"/>
      <w:r>
        <w:rPr/>
      </w:r>
      <w:r>
        <w:rPr/>
        <w:t>The four members of the House of Lords who expressed their views were divided in their response to </w:t>
      </w:r>
      <w:bookmarkStart w:name="_bookmark1059" w:id="1061"/>
      <w:bookmarkEnd w:id="1061"/>
      <w:r>
        <w:rPr/>
        <w:t>the</w:t>
      </w:r>
      <w:r>
        <w:rPr/>
        <w:t> question whether the facts of </w:t>
      </w:r>
      <w:r>
        <w:rPr>
          <w:rFonts w:ascii="Arial" w:hAnsi="Arial"/>
          <w:i/>
        </w:rPr>
        <w:t>Wilson v First County Trust Ltd (No.2) </w:t>
      </w:r>
      <w:r>
        <w:rPr>
          <w:color w:val="005DA1"/>
          <w:u w:val="single" w:color="005DA1"/>
          <w:vertAlign w:val="superscript"/>
        </w:rPr>
        <w:t>564</w:t>
      </w:r>
      <w:r>
        <w:rPr>
          <w:color w:val="005DA1"/>
          <w:vertAlign w:val="baseline"/>
        </w:rPr>
        <w:t> </w:t>
      </w:r>
      <w:r>
        <w:rPr>
          <w:vertAlign w:val="baseline"/>
        </w:rPr>
        <w:t>engaged the application of </w:t>
      </w:r>
      <w:bookmarkStart w:name="_bookmark1060" w:id="1062"/>
      <w:bookmarkEnd w:id="1062"/>
      <w:r>
        <w:rPr>
          <w:vertAlign w:val="baseline"/>
        </w:rPr>
        <w:t>art.1</w:t>
      </w:r>
      <w:r>
        <w:rPr>
          <w:vertAlign w:val="baseline"/>
        </w:rPr>
        <w:t> of the First Protocol. </w:t>
      </w:r>
      <w:r>
        <w:rPr>
          <w:color w:val="005DA1"/>
          <w:u w:val="single" w:color="005DA1"/>
          <w:vertAlign w:val="superscript"/>
        </w:rPr>
        <w:t>565</w:t>
      </w:r>
      <w:r>
        <w:rPr>
          <w:color w:val="005DA1"/>
          <w:vertAlign w:val="baseline"/>
        </w:rPr>
        <w:t> </w:t>
      </w:r>
      <w:r>
        <w:rPr>
          <w:vertAlign w:val="baseline"/>
        </w:rPr>
        <w:t>For Lord Nicholls, “‘possessions’ in Article 1 is apt to embrace contractual rights”, </w:t>
      </w:r>
      <w:r>
        <w:rPr>
          <w:color w:val="005DA1"/>
          <w:u w:val="single" w:color="005DA1"/>
          <w:vertAlign w:val="superscript"/>
        </w:rPr>
        <w:t>566</w:t>
      </w:r>
      <w:r>
        <w:rPr>
          <w:color w:val="005DA1"/>
          <w:vertAlign w:val="baseline"/>
        </w:rPr>
        <w:t> </w:t>
      </w:r>
      <w:r>
        <w:rPr>
          <w:vertAlign w:val="baseline"/>
        </w:rPr>
        <w:t>and the provisions of the 1974 Act which denied any rights of enforcement </w:t>
      </w:r>
      <w:r>
        <w:rPr>
          <w:vertAlign w:val="baseline"/>
        </w:rPr>
        <w:t>of the contract to the creditor would engage art.1 as they are:</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67"/>
        <w:jc w:val="both"/>
      </w:pPr>
      <w:r>
        <w:rPr/>
        <w:t>“… more readily and appropriately to be characterised as a statutory deprivation of the </w:t>
      </w:r>
      <w:bookmarkStart w:name="_bookmark1061" w:id="1063"/>
      <w:bookmarkEnd w:id="1063"/>
      <w:r>
        <w:rPr/>
        <w:t>lender’s</w:t>
      </w:r>
      <w:r>
        <w:rPr/>
        <w:t> rights of property in the broadest sense of that expression than as a </w:t>
      </w:r>
      <w:r>
        <w:rPr/>
        <w:t>mere delimitation of the extent of the rights granted by a transaction.” </w:t>
      </w:r>
      <w:r>
        <w:rPr>
          <w:color w:val="005DA1"/>
          <w:u w:val="single" w:color="005DA1"/>
          <w:vertAlign w:val="superscript"/>
        </w:rPr>
        <w:t>567</w:t>
      </w:r>
    </w:p>
    <w:p>
      <w:pPr>
        <w:pStyle w:val="BodyText"/>
        <w:spacing w:before="115"/>
      </w:pPr>
    </w:p>
    <w:p>
      <w:pPr>
        <w:pStyle w:val="BodyText"/>
        <w:spacing w:line="235" w:lineRule="auto" w:before="1"/>
        <w:ind w:left="165" w:right="167"/>
        <w:jc w:val="both"/>
      </w:pPr>
      <w:r>
        <w:rPr/>
        <w:t>Lord</w:t>
      </w:r>
      <w:r>
        <w:rPr>
          <w:spacing w:val="-1"/>
        </w:rPr>
        <w:t> </w:t>
      </w:r>
      <w:r>
        <w:rPr/>
        <w:t>Hobhouse</w:t>
      </w:r>
      <w:r>
        <w:rPr>
          <w:spacing w:val="-1"/>
        </w:rPr>
        <w:t> </w:t>
      </w:r>
      <w:r>
        <w:rPr/>
        <w:t>of</w:t>
      </w:r>
      <w:r>
        <w:rPr>
          <w:spacing w:val="-1"/>
        </w:rPr>
        <w:t> </w:t>
      </w:r>
      <w:r>
        <w:rPr/>
        <w:t>Woodborough</w:t>
      </w:r>
      <w:r>
        <w:rPr>
          <w:spacing w:val="-1"/>
        </w:rPr>
        <w:t> </w:t>
      </w:r>
      <w:r>
        <w:rPr/>
        <w:t>agreed</w:t>
      </w:r>
      <w:r>
        <w:rPr>
          <w:spacing w:val="-1"/>
        </w:rPr>
        <w:t> </w:t>
      </w:r>
      <w:r>
        <w:rPr/>
        <w:t>that</w:t>
      </w:r>
      <w:r>
        <w:rPr>
          <w:spacing w:val="-1"/>
        </w:rPr>
        <w:t> </w:t>
      </w:r>
      <w:r>
        <w:rPr/>
        <w:t>art.1</w:t>
      </w:r>
      <w:r>
        <w:rPr>
          <w:spacing w:val="-1"/>
        </w:rPr>
        <w:t> </w:t>
      </w:r>
      <w:r>
        <w:rPr/>
        <w:t>could</w:t>
      </w:r>
      <w:r>
        <w:rPr>
          <w:spacing w:val="-1"/>
        </w:rPr>
        <w:t> </w:t>
      </w:r>
      <w:r>
        <w:rPr/>
        <w:t>be</w:t>
      </w:r>
      <w:r>
        <w:rPr>
          <w:spacing w:val="-1"/>
        </w:rPr>
        <w:t> </w:t>
      </w:r>
      <w:r>
        <w:rPr/>
        <w:t>engaged,</w:t>
      </w:r>
      <w:r>
        <w:rPr>
          <w:spacing w:val="-1"/>
        </w:rPr>
        <w:t> </w:t>
      </w:r>
      <w:r>
        <w:rPr/>
        <w:t>but</w:t>
      </w:r>
      <w:r>
        <w:rPr>
          <w:spacing w:val="-1"/>
        </w:rPr>
        <w:t> </w:t>
      </w:r>
      <w:r>
        <w:rPr/>
        <w:t>on</w:t>
      </w:r>
      <w:r>
        <w:rPr>
          <w:spacing w:val="-1"/>
        </w:rPr>
        <w:t> </w:t>
      </w:r>
      <w:r>
        <w:rPr/>
        <w:t>the</w:t>
      </w:r>
      <w:r>
        <w:rPr>
          <w:spacing w:val="-1"/>
        </w:rPr>
        <w:t> </w:t>
      </w:r>
      <w:r>
        <w:rPr/>
        <w:t>narrower</w:t>
      </w:r>
      <w:r>
        <w:rPr>
          <w:spacing w:val="-1"/>
        </w:rPr>
        <w:t> </w:t>
      </w:r>
      <w:r>
        <w:rPr/>
        <w:t>ground</w:t>
      </w:r>
      <w:r>
        <w:rPr>
          <w:spacing w:val="-1"/>
        </w:rPr>
        <w:t> </w:t>
      </w:r>
      <w:r>
        <w:rPr/>
        <w:t>that the 1974 Act was able to operate so as to deprive the creditor of its special title to possession of the security under a contract of pledge; conversely, if a creditor had not taken possession of any security, </w:t>
      </w:r>
      <w:bookmarkStart w:name="_bookmark1062" w:id="1064"/>
      <w:bookmarkEnd w:id="1064"/>
      <w:r>
        <w:rPr/>
        <w:t>art.1</w:t>
      </w:r>
      <w:r>
        <w:rPr/>
        <w:t> would not be engaged as the creditor would be left merely with “the purported enforcement of a claimed contractual right which the lenders had never in truth validly acquired”. </w:t>
      </w:r>
      <w:r>
        <w:rPr>
          <w:color w:val="005DA1"/>
          <w:u w:val="single" w:color="005DA1"/>
          <w:vertAlign w:val="superscript"/>
        </w:rPr>
        <w:t>568</w:t>
      </w:r>
      <w:r>
        <w:rPr>
          <w:color w:val="005DA1"/>
          <w:vertAlign w:val="baseline"/>
        </w:rPr>
        <w:t> </w:t>
      </w:r>
      <w:r>
        <w:rPr>
          <w:vertAlign w:val="baseline"/>
        </w:rPr>
        <w:t>By contrast, Lords Hope and Scott agreed that art.1 would not be engaged on the facts before them: art.1 of the First Protocol is directed to interference with existing possessions or property rights, whereas the creditor </w:t>
      </w:r>
      <w:bookmarkStart w:name="_bookmark1063" w:id="1065"/>
      <w:bookmarkEnd w:id="1065"/>
      <w:r>
        <w:rPr>
          <w:vertAlign w:val="baseline"/>
        </w:rPr>
        <w:t>never</w:t>
      </w:r>
      <w:r>
        <w:rPr>
          <w:vertAlign w:val="baseline"/>
        </w:rPr>
        <w:t> had any rights of enforcement or possession against the borrower owing to the application of the provisions of the 1974 Act. </w:t>
      </w:r>
      <w:r>
        <w:rPr>
          <w:color w:val="005DA1"/>
          <w:u w:val="single" w:color="005DA1"/>
          <w:vertAlign w:val="superscript"/>
        </w:rPr>
        <w:t>569</w:t>
      </w:r>
      <w:r>
        <w:rPr>
          <w:color w:val="005DA1"/>
          <w:vertAlign w:val="baseline"/>
        </w:rPr>
        <w:t> </w:t>
      </w:r>
      <w:r>
        <w:rPr>
          <w:vertAlign w:val="baseline"/>
        </w:rPr>
        <w:t>In the words of Lord Hope, art.1:</w:t>
      </w:r>
    </w:p>
    <w:p>
      <w:pPr>
        <w:pStyle w:val="BodyText"/>
      </w:pPr>
    </w:p>
    <w:p>
      <w:pPr>
        <w:pStyle w:val="BodyText"/>
        <w:spacing w:before="123"/>
      </w:pPr>
    </w:p>
    <w:p>
      <w:pPr>
        <w:pStyle w:val="BodyText"/>
        <w:spacing w:line="235" w:lineRule="auto"/>
        <w:ind w:left="1245" w:right="167"/>
        <w:jc w:val="both"/>
      </w:pPr>
      <w:r>
        <w:rPr/>
        <w:t>“… does not confer a right of property as such nor does it guarantee the content of </w:t>
      </w:r>
      <w:r>
        <w:rPr/>
        <w:t>any rights of property. What it does is to guarantee the peaceful enjoyment of the</w:t>
      </w:r>
      <w:r>
        <w:rPr>
          <w:spacing w:val="80"/>
        </w:rPr>
        <w:t> </w:t>
      </w:r>
      <w:r>
        <w:rPr/>
        <w:t>possessions that a person already owns … [I]t is a matter for domestic law to define the </w:t>
      </w:r>
      <w:bookmarkStart w:name="_bookmark1064" w:id="1066"/>
      <w:bookmarkEnd w:id="1066"/>
      <w:r>
        <w:rPr/>
        <w:t>nature</w:t>
      </w:r>
      <w:r>
        <w:rPr/>
        <w:t> and extent of any rights which a party acquires from time to time as a result of the transactions which he or she enters into.” </w:t>
      </w:r>
      <w:r>
        <w:rPr>
          <w:color w:val="005DA1"/>
          <w:u w:val="single" w:color="005DA1"/>
          <w:vertAlign w:val="superscript"/>
        </w:rPr>
        <w:t>570</w:t>
      </w:r>
    </w:p>
    <w:p>
      <w:pPr>
        <w:pStyle w:val="BodyText"/>
        <w:spacing w:before="111"/>
      </w:pPr>
    </w:p>
    <w:p>
      <w:pPr>
        <w:pStyle w:val="BodyText"/>
        <w:ind w:left="164"/>
        <w:jc w:val="both"/>
      </w:pPr>
      <w:r>
        <w:rPr/>
        <w:t>According to Lord </w:t>
      </w:r>
      <w:r>
        <w:rPr>
          <w:spacing w:val="-2"/>
        </w:rPr>
        <w:t>Scott:</w:t>
      </w:r>
    </w:p>
    <w:p>
      <w:pPr>
        <w:pStyle w:val="BodyText"/>
      </w:pPr>
    </w:p>
    <w:p>
      <w:pPr>
        <w:pStyle w:val="BodyText"/>
        <w:spacing w:before="126"/>
      </w:pPr>
    </w:p>
    <w:p>
      <w:pPr>
        <w:pStyle w:val="BodyText"/>
        <w:spacing w:line="235" w:lineRule="auto"/>
        <w:ind w:left="1244" w:right="167"/>
        <w:jc w:val="both"/>
      </w:pPr>
      <w:r>
        <w:rPr/>
        <w:t>“No authority has been cited … for the proposition that a statutory provision which prevents a transaction from having the quality of legal enforceability can be regarded </w:t>
      </w:r>
      <w:r>
        <w:rPr/>
        <w:t>an </w:t>
      </w:r>
      <w:bookmarkStart w:name="_bookmark1065" w:id="1067"/>
      <w:bookmarkEnd w:id="1067"/>
      <w:r>
        <w:rPr/>
        <w:t>interference</w:t>
      </w:r>
      <w:r>
        <w:rPr/>
        <w:t> for Article 1 purposes with the possessions of the party who would have benefited if the transaction had had that quality.” </w:t>
      </w:r>
      <w:r>
        <w:rPr>
          <w:color w:val="005DA1"/>
          <w:u w:val="single" w:color="005DA1"/>
          <w:vertAlign w:val="superscript"/>
        </w:rPr>
        <w:t>571</w:t>
      </w:r>
    </w:p>
    <w:p>
      <w:pPr>
        <w:pStyle w:val="BodyText"/>
        <w:spacing w:before="115"/>
      </w:pPr>
    </w:p>
    <w:p>
      <w:pPr>
        <w:pStyle w:val="BodyText"/>
        <w:spacing w:line="235" w:lineRule="auto"/>
        <w:ind w:left="165" w:right="167"/>
        <w:jc w:val="both"/>
      </w:pPr>
      <w:r>
        <w:rPr/>
        <w:t>Implicit in Lord Nicholls’ view is an understanding that even in a context such as consumer </w:t>
      </w:r>
      <w:r>
        <w:rPr/>
        <w:t>credit where statute defines the circumstances in which the parties’ rights arise, it is the parties’ agreement (possibly as recognised by the common law) which forms the source of their contractual rights, which are then eligible for protection under art.1. For Lords Hope and Scott, it is the statute itself which </w:t>
      </w:r>
      <w:bookmarkStart w:name="_bookmark1066" w:id="1068"/>
      <w:bookmarkEnd w:id="1068"/>
      <w:r>
        <w:rPr/>
        <w:t>defines</w:t>
      </w:r>
      <w:r>
        <w:rPr/>
        <w:t> the circumstances when the parties’ agreement will or will not give rise to rights in them: the law creates the parties’ rights, it does not curtail pre-existing rights. </w:t>
      </w:r>
      <w:r>
        <w:rPr>
          <w:color w:val="005DA1"/>
          <w:u w:val="single" w:color="005DA1"/>
          <w:vertAlign w:val="superscript"/>
        </w:rPr>
        <w:t>572</w:t>
      </w:r>
    </w:p>
    <w:p>
      <w:pPr>
        <w:pStyle w:val="BodyText"/>
        <w:spacing w:before="79"/>
      </w:pPr>
    </w:p>
    <w:p>
      <w:pPr>
        <w:spacing w:before="0"/>
        <w:ind w:left="165" w:right="0" w:firstLine="0"/>
        <w:jc w:val="left"/>
        <w:rPr>
          <w:rFonts w:ascii="Arial"/>
          <w:b/>
          <w:sz w:val="24"/>
        </w:rPr>
      </w:pPr>
      <w:r>
        <w:rPr>
          <w:rFonts w:ascii="Arial"/>
          <w:b/>
          <w:sz w:val="24"/>
        </w:rPr>
        <w:t>1-</w:t>
      </w:r>
      <w:r>
        <w:rPr>
          <w:rFonts w:ascii="Arial"/>
          <w:b/>
          <w:spacing w:val="-5"/>
          <w:sz w:val="24"/>
        </w:rPr>
        <w:t>068</w:t>
      </w:r>
    </w:p>
    <w:p>
      <w:pPr>
        <w:pStyle w:val="BodyText"/>
        <w:spacing w:line="235" w:lineRule="auto" w:before="203"/>
        <w:ind w:left="165" w:right="168"/>
        <w:jc w:val="both"/>
      </w:pPr>
      <w:r>
        <w:rPr/>
        <w:t>It is submitted, that whatever the general theoretical validity of either view of the nature and origin of </w:t>
      </w:r>
      <w:bookmarkStart w:name="_bookmark1067" w:id="1069"/>
      <w:bookmarkEnd w:id="1069"/>
      <w:r>
        <w:rPr/>
        <w:t>contractual</w:t>
      </w:r>
      <w:r>
        <w:rPr/>
        <w:t> rights in the modern law, the approach of Lord Nicholls is to be preferred for the purposes of art.1 of the First Protocol. </w:t>
      </w:r>
      <w:r>
        <w:rPr>
          <w:color w:val="005DA1"/>
          <w:u w:val="single" w:color="005DA1"/>
          <w:vertAlign w:val="superscript"/>
        </w:rPr>
        <w:t>573</w:t>
      </w:r>
      <w:r>
        <w:rPr>
          <w:color w:val="005DA1"/>
          <w:vertAlign w:val="baseline"/>
        </w:rPr>
        <w:t> </w:t>
      </w:r>
      <w:r>
        <w:rPr>
          <w:vertAlign w:val="baseline"/>
        </w:rPr>
        <w:t>For the overall function of art.1 is to prevent states from depriving persons of their possessions illegitimately and for this purpose legislation which denies a right which </w:t>
      </w:r>
      <w:bookmarkStart w:name="_bookmark1068" w:id="1070"/>
      <w:bookmarkEnd w:id="1070"/>
      <w:r>
        <w:rPr>
          <w:vertAlign w:val="baseline"/>
        </w:rPr>
        <w:t>would</w:t>
      </w:r>
      <w:r>
        <w:rPr>
          <w:vertAlign w:val="baseline"/>
        </w:rPr>
        <w:t> otherwise arise (i.e. under the general law) can be seen to have such a depriving effect. </w:t>
      </w:r>
      <w:r>
        <w:rPr>
          <w:vertAlign w:val="baseline"/>
        </w:rPr>
        <w:t>This </w:t>
      </w:r>
      <w:bookmarkStart w:name="_bookmark1069" w:id="1071"/>
      <w:bookmarkEnd w:id="1071"/>
      <w:r>
        <w:rPr>
          <w:vertAlign w:val="baseline"/>
        </w:rPr>
        <w:t>approach</w:t>
      </w:r>
      <w:r>
        <w:rPr>
          <w:vertAlign w:val="baseline"/>
        </w:rPr>
        <w:t> may be supported by reference to the case law of the European Court of Human Rights </w:t>
      </w:r>
      <w:r>
        <w:rPr>
          <w:color w:val="005DA1"/>
          <w:u w:val="single" w:color="005DA1"/>
          <w:vertAlign w:val="superscript"/>
        </w:rPr>
        <w:t>574</w:t>
      </w:r>
      <w:r>
        <w:rPr>
          <w:color w:val="005DA1"/>
          <w:vertAlign w:val="baseline"/>
        </w:rPr>
        <w:t> </w:t>
      </w:r>
      <w:r>
        <w:rPr>
          <w:vertAlign w:val="baseline"/>
        </w:rPr>
        <w:t>and especially its later decision in </w:t>
      </w:r>
      <w:r>
        <w:rPr>
          <w:rFonts w:ascii="Arial" w:hAnsi="Arial"/>
          <w:i/>
          <w:vertAlign w:val="baseline"/>
        </w:rPr>
        <w:t>Stretch v UK </w:t>
      </w:r>
      <w:r>
        <w:rPr>
          <w:color w:val="005DA1"/>
          <w:u w:val="single" w:color="005DA1"/>
          <w:vertAlign w:val="superscript"/>
        </w:rPr>
        <w:t>575</w:t>
      </w:r>
      <w:r>
        <w:rPr>
          <w:color w:val="005DA1"/>
          <w:vertAlign w:val="baseline"/>
        </w:rPr>
        <w:t> </w:t>
      </w:r>
      <w:r>
        <w:rPr>
          <w:vertAlign w:val="baseline"/>
        </w:rPr>
        <w:t>in which it held that art.1 of the First Protocol was engaged where a person’s option to renew a lease was subsequently found to be void as ultra vires the lessor public authority’s powers, the Court observing that:</w:t>
      </w:r>
    </w:p>
    <w:p>
      <w:pPr>
        <w:pStyle w:val="BodyText"/>
      </w:pPr>
    </w:p>
    <w:p>
      <w:pPr>
        <w:pStyle w:val="BodyText"/>
        <w:spacing w:before="123"/>
      </w:pPr>
    </w:p>
    <w:p>
      <w:pPr>
        <w:pStyle w:val="BodyText"/>
        <w:spacing w:line="235" w:lineRule="auto"/>
        <w:ind w:left="1245" w:right="167"/>
        <w:jc w:val="both"/>
      </w:pPr>
      <w:r>
        <w:rPr/>
        <w:t>“… according to the established case law of the Convention organs, ‘possessions’ can </w:t>
      </w:r>
      <w:r>
        <w:rPr/>
        <w:t>be ‘existing possessions’ or assets, including claims, in respect of which the applicant can </w:t>
      </w:r>
      <w:bookmarkStart w:name="_bookmark1070" w:id="1072"/>
      <w:bookmarkEnd w:id="1072"/>
      <w:r>
        <w:rPr/>
        <w:t>argue</w:t>
      </w:r>
      <w:r>
        <w:rPr/>
        <w:t> that he has at least a ‘legitimate expectation’ of obtaining effect enjoyment of a property right.” </w:t>
      </w:r>
      <w:r>
        <w:rPr>
          <w:color w:val="005DA1"/>
          <w:u w:val="single" w:color="005DA1"/>
          <w:vertAlign w:val="superscript"/>
        </w:rPr>
        <w:t>576</w:t>
      </w:r>
    </w:p>
    <w:p>
      <w:pPr>
        <w:pStyle w:val="BodyText"/>
        <w:spacing w:before="115"/>
      </w:pPr>
    </w:p>
    <w:p>
      <w:pPr>
        <w:pStyle w:val="BodyText"/>
        <w:spacing w:line="235" w:lineRule="auto"/>
        <w:ind w:left="165" w:right="167"/>
        <w:jc w:val="both"/>
      </w:pPr>
      <w:r>
        <w:rPr/>
        <w:t>This decision is therefore incompatible with an approach to art.1 which views the existence of </w:t>
      </w:r>
      <w:r>
        <w:rPr/>
        <w:t>a property</w:t>
      </w:r>
      <w:r>
        <w:rPr>
          <w:spacing w:val="41"/>
        </w:rPr>
        <w:t> </w:t>
      </w:r>
      <w:r>
        <w:rPr/>
        <w:t>right</w:t>
      </w:r>
      <w:r>
        <w:rPr>
          <w:spacing w:val="41"/>
        </w:rPr>
        <w:t> </w:t>
      </w:r>
      <w:r>
        <w:rPr/>
        <w:t>as</w:t>
      </w:r>
      <w:r>
        <w:rPr>
          <w:spacing w:val="41"/>
        </w:rPr>
        <w:t> </w:t>
      </w:r>
      <w:r>
        <w:rPr/>
        <w:t>contingent</w:t>
      </w:r>
      <w:r>
        <w:rPr>
          <w:spacing w:val="41"/>
        </w:rPr>
        <w:t> </w:t>
      </w:r>
      <w:r>
        <w:rPr/>
        <w:t>on</w:t>
      </w:r>
      <w:r>
        <w:rPr>
          <w:spacing w:val="41"/>
        </w:rPr>
        <w:t> </w:t>
      </w:r>
      <w:r>
        <w:rPr/>
        <w:t>its</w:t>
      </w:r>
      <w:r>
        <w:rPr>
          <w:spacing w:val="41"/>
        </w:rPr>
        <w:t> </w:t>
      </w:r>
      <w:r>
        <w:rPr/>
        <w:t>recognition</w:t>
      </w:r>
      <w:r>
        <w:rPr>
          <w:spacing w:val="41"/>
        </w:rPr>
        <w:t> </w:t>
      </w:r>
      <w:r>
        <w:rPr/>
        <w:t>by</w:t>
      </w:r>
      <w:r>
        <w:rPr>
          <w:spacing w:val="41"/>
        </w:rPr>
        <w:t> </w:t>
      </w:r>
      <w:r>
        <w:rPr/>
        <w:t>the</w:t>
      </w:r>
      <w:r>
        <w:rPr>
          <w:spacing w:val="41"/>
        </w:rPr>
        <w:t> </w:t>
      </w:r>
      <w:r>
        <w:rPr/>
        <w:t>national</w:t>
      </w:r>
      <w:r>
        <w:rPr>
          <w:spacing w:val="41"/>
        </w:rPr>
        <w:t> </w:t>
      </w:r>
      <w:r>
        <w:rPr/>
        <w:t>law</w:t>
      </w:r>
      <w:r>
        <w:rPr>
          <w:spacing w:val="41"/>
        </w:rPr>
        <w:t> </w:t>
      </w:r>
      <w:r>
        <w:rPr/>
        <w:t>of</w:t>
      </w:r>
      <w:r>
        <w:rPr>
          <w:spacing w:val="41"/>
        </w:rPr>
        <w:t> </w:t>
      </w:r>
      <w:r>
        <w:rPr/>
        <w:t>contract</w:t>
      </w:r>
      <w:r>
        <w:rPr>
          <w:spacing w:val="41"/>
        </w:rPr>
        <w:t> </w:t>
      </w:r>
      <w:r>
        <w:rPr/>
        <w:t>unmitigated</w:t>
      </w:r>
      <w:r>
        <w:rPr>
          <w:spacing w:val="41"/>
        </w:rPr>
        <w:t> </w:t>
      </w:r>
      <w:r>
        <w:rPr/>
        <w:t>by</w:t>
      </w:r>
      <w:r>
        <w:rPr>
          <w:spacing w:val="41"/>
        </w:rPr>
        <w:t> </w:t>
      </w:r>
      <w:r>
        <w:rPr>
          <w:spacing w:val="-5"/>
        </w:rPr>
        <w:t>the</w:t>
      </w:r>
    </w:p>
    <w:p>
      <w:pPr>
        <w:pStyle w:val="BodyText"/>
        <w:spacing w:after="0" w:line="235" w:lineRule="auto"/>
        <w:jc w:val="both"/>
        <w:sectPr>
          <w:headerReference w:type="default" r:id="rId26"/>
          <w:pgSz w:w="11900" w:h="16840"/>
          <w:pgMar w:header="971" w:footer="0" w:top="1300" w:bottom="280" w:left="1275" w:right="1275"/>
          <w:pgNumType w:start="2"/>
        </w:sectPr>
      </w:pPr>
    </w:p>
    <w:p>
      <w:pPr>
        <w:pStyle w:val="BodyText"/>
        <w:spacing w:before="106"/>
        <w:ind w:left="165"/>
        <w:jc w:val="both"/>
      </w:pPr>
      <w:r>
        <w:rPr/>
        <w:t>influence of Convention </w:t>
      </w:r>
      <w:r>
        <w:rPr>
          <w:spacing w:val="-2"/>
        </w:rPr>
        <w:t>rights.</w:t>
      </w:r>
    </w:p>
    <w:p>
      <w:pPr>
        <w:pStyle w:val="BodyText"/>
      </w:pPr>
    </w:p>
    <w:p>
      <w:pPr>
        <w:pStyle w:val="BodyText"/>
        <w:spacing w:before="38"/>
      </w:pPr>
    </w:p>
    <w:p>
      <w:pPr>
        <w:spacing w:before="0"/>
        <w:ind w:left="165" w:right="0" w:firstLine="0"/>
        <w:jc w:val="both"/>
        <w:rPr>
          <w:rFonts w:ascii="Arial"/>
          <w:b/>
          <w:sz w:val="18"/>
        </w:rPr>
      </w:pPr>
      <w:r>
        <w:rPr>
          <w:rFonts w:ascii="Arial"/>
          <w:b/>
          <w:sz w:val="18"/>
        </w:rPr>
        <w:t>Subsequent </w:t>
      </w:r>
      <w:r>
        <w:rPr>
          <w:rFonts w:ascii="Arial"/>
          <w:b/>
          <w:spacing w:val="-2"/>
          <w:sz w:val="18"/>
        </w:rPr>
        <w:t>cases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069</w:t>
      </w:r>
    </w:p>
    <w:p>
      <w:pPr>
        <w:pStyle w:val="BodyText"/>
        <w:spacing w:line="235" w:lineRule="auto" w:before="203"/>
        <w:ind w:left="164" w:right="167"/>
        <w:jc w:val="both"/>
      </w:pPr>
      <w:r>
        <w:rPr/>
        <w:t>In subsequent English decisions, Lord Nicholls’ distinction in </w:t>
      </w:r>
      <w:r>
        <w:rPr>
          <w:rFonts w:ascii="Arial" w:hAnsi="Arial"/>
          <w:i/>
        </w:rPr>
        <w:t>Wilson v First County Trust Ltd (No.2) </w:t>
      </w:r>
      <w:bookmarkStart w:name="_bookmark1071" w:id="1073"/>
      <w:bookmarkEnd w:id="1073"/>
      <w:r>
        <w:rPr>
          <w:rFonts w:ascii="Arial" w:hAnsi="Arial"/>
          <w:i/>
        </w:rPr>
      </w:r>
      <w:r>
        <w:rPr/>
        <w:t>between an Act’s deprivation of a person’s contractual rights and its mere delimitation of them has sometimes been taken up and applied. </w:t>
      </w:r>
      <w:r>
        <w:rPr>
          <w:color w:val="005DA1"/>
          <w:u w:val="single" w:color="005DA1"/>
          <w:vertAlign w:val="superscript"/>
        </w:rPr>
        <w:t>577</w:t>
      </w:r>
      <w:r>
        <w:rPr>
          <w:color w:val="005DA1"/>
          <w:vertAlign w:val="baseline"/>
        </w:rPr>
        <w:t> </w:t>
      </w:r>
      <w:r>
        <w:rPr>
          <w:vertAlign w:val="baseline"/>
        </w:rPr>
        <w:t>So, for example, in </w:t>
      </w:r>
      <w:r>
        <w:rPr>
          <w:rFonts w:ascii="Arial" w:hAnsi="Arial"/>
          <w:i/>
          <w:vertAlign w:val="baseline"/>
        </w:rPr>
        <w:t>Pennycook v Shaws (EAL) Ltd</w:t>
      </w:r>
      <w:r>
        <w:rPr>
          <w:vertAlign w:val="baseline"/>
        </w:rPr>
        <w:t>, </w:t>
      </w:r>
      <w:r>
        <w:rPr>
          <w:color w:val="005DA1"/>
          <w:u w:val="single" w:color="005DA1"/>
          <w:vertAlign w:val="superscript"/>
        </w:rPr>
        <w:t>578</w:t>
      </w:r>
      <w:r>
        <w:rPr>
          <w:color w:val="005DA1"/>
          <w:vertAlign w:val="baseline"/>
        </w:rPr>
        <w:t> </w:t>
      </w:r>
      <w:r>
        <w:rPr>
          <w:vertAlign w:val="baseline"/>
        </w:rPr>
        <w:t>the Court of Appeal considered whether a tenant’s statutory right to renew a business tenancy </w:t>
      </w:r>
      <w:r>
        <w:rPr>
          <w:vertAlign w:val="baseline"/>
        </w:rPr>
        <w:t>conferred by Pt II of the Landlord and Tenant Act 1954 is a “possession” for the purposes of art.1. Arden L.J. </w:t>
      </w:r>
      <w:bookmarkStart w:name="_bookmark1072" w:id="1074"/>
      <w:bookmarkEnd w:id="1074"/>
      <w:r>
        <w:rPr>
          <w:vertAlign w:val="baseline"/>
        </w:rPr>
        <w:t>(with</w:t>
      </w:r>
      <w:r>
        <w:rPr>
          <w:vertAlign w:val="baseline"/>
        </w:rPr>
        <w:t> whom Thorpe L.J. and Sir Martin Nourse agreed) found “the most detailed guidance” as to how to</w:t>
      </w:r>
      <w:r>
        <w:rPr>
          <w:spacing w:val="-3"/>
          <w:vertAlign w:val="baseline"/>
        </w:rPr>
        <w:t> </w:t>
      </w:r>
      <w:r>
        <w:rPr>
          <w:vertAlign w:val="baseline"/>
        </w:rPr>
        <w:t>approach</w:t>
      </w:r>
      <w:r>
        <w:rPr>
          <w:spacing w:val="-3"/>
          <w:vertAlign w:val="baseline"/>
        </w:rPr>
        <w:t> </w:t>
      </w:r>
      <w:r>
        <w:rPr>
          <w:vertAlign w:val="baseline"/>
        </w:rPr>
        <w:t>this</w:t>
      </w:r>
      <w:r>
        <w:rPr>
          <w:spacing w:val="-3"/>
          <w:vertAlign w:val="baseline"/>
        </w:rPr>
        <w:t> </w:t>
      </w:r>
      <w:r>
        <w:rPr>
          <w:vertAlign w:val="baseline"/>
        </w:rPr>
        <w:t>question</w:t>
      </w:r>
      <w:r>
        <w:rPr>
          <w:spacing w:val="-3"/>
          <w:vertAlign w:val="baseline"/>
        </w:rPr>
        <w:t> </w:t>
      </w:r>
      <w:r>
        <w:rPr>
          <w:vertAlign w:val="baseline"/>
        </w:rPr>
        <w:t>in</w:t>
      </w:r>
      <w:r>
        <w:rPr>
          <w:spacing w:val="-3"/>
          <w:vertAlign w:val="baseline"/>
        </w:rPr>
        <w:t> </w:t>
      </w:r>
      <w:r>
        <w:rPr>
          <w:vertAlign w:val="baseline"/>
        </w:rPr>
        <w:t>Lord</w:t>
      </w:r>
      <w:r>
        <w:rPr>
          <w:spacing w:val="-3"/>
          <w:vertAlign w:val="baseline"/>
        </w:rPr>
        <w:t> </w:t>
      </w:r>
      <w:r>
        <w:rPr>
          <w:vertAlign w:val="baseline"/>
        </w:rPr>
        <w:t>Nicholls’s</w:t>
      </w:r>
      <w:r>
        <w:rPr>
          <w:spacing w:val="-3"/>
          <w:vertAlign w:val="baseline"/>
        </w:rPr>
        <w:t> </w:t>
      </w:r>
      <w:r>
        <w:rPr>
          <w:vertAlign w:val="baseline"/>
        </w:rPr>
        <w:t>speech</w:t>
      </w:r>
      <w:r>
        <w:rPr>
          <w:spacing w:val="-3"/>
          <w:vertAlign w:val="baseline"/>
        </w:rPr>
        <w:t> </w:t>
      </w:r>
      <w:r>
        <w:rPr>
          <w:vertAlign w:val="baseline"/>
        </w:rPr>
        <w:t>in</w:t>
      </w:r>
      <w:r>
        <w:rPr>
          <w:spacing w:val="-3"/>
          <w:vertAlign w:val="baseline"/>
        </w:rPr>
        <w:t> </w:t>
      </w:r>
      <w:r>
        <w:rPr>
          <w:vertAlign w:val="baseline"/>
        </w:rPr>
        <w:t>the</w:t>
      </w:r>
      <w:r>
        <w:rPr>
          <w:spacing w:val="-4"/>
          <w:vertAlign w:val="baseline"/>
        </w:rPr>
        <w:t> </w:t>
      </w:r>
      <w:r>
        <w:rPr>
          <w:rFonts w:ascii="Arial" w:hAnsi="Arial"/>
          <w:i/>
          <w:vertAlign w:val="baseline"/>
        </w:rPr>
        <w:t>Wilson</w:t>
      </w:r>
      <w:r>
        <w:rPr>
          <w:rFonts w:ascii="Arial" w:hAnsi="Arial"/>
          <w:i/>
          <w:spacing w:val="-3"/>
          <w:vertAlign w:val="baseline"/>
        </w:rPr>
        <w:t> </w:t>
      </w:r>
      <w:r>
        <w:rPr>
          <w:vertAlign w:val="baseline"/>
        </w:rPr>
        <w:t>case,</w:t>
      </w:r>
      <w:r>
        <w:rPr>
          <w:spacing w:val="-3"/>
          <w:vertAlign w:val="baseline"/>
        </w:rPr>
        <w:t> </w:t>
      </w:r>
      <w:r>
        <w:rPr>
          <w:color w:val="005DA1"/>
          <w:u w:val="single" w:color="005DA1"/>
          <w:vertAlign w:val="superscript"/>
        </w:rPr>
        <w:t>579</w:t>
      </w:r>
      <w:r>
        <w:rPr>
          <w:color w:val="005DA1"/>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result</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court needed to look:</w:t>
      </w:r>
    </w:p>
    <w:p>
      <w:pPr>
        <w:pStyle w:val="BodyText"/>
      </w:pPr>
    </w:p>
    <w:p>
      <w:pPr>
        <w:pStyle w:val="BodyText"/>
        <w:spacing w:before="123"/>
      </w:pPr>
    </w:p>
    <w:p>
      <w:pPr>
        <w:pStyle w:val="BodyText"/>
        <w:spacing w:line="235" w:lineRule="auto" w:before="1"/>
        <w:ind w:left="1244"/>
      </w:pPr>
      <w:bookmarkStart w:name="_bookmark1073" w:id="1075"/>
      <w:bookmarkEnd w:id="1075"/>
      <w:r>
        <w:rPr/>
      </w:r>
      <w:r>
        <w:rPr/>
        <w:t>“…</w:t>
      </w:r>
      <w:r>
        <w:rPr>
          <w:spacing w:val="23"/>
        </w:rPr>
        <w:t> </w:t>
      </w:r>
      <w:r>
        <w:rPr/>
        <w:t>at</w:t>
      </w:r>
      <w:r>
        <w:rPr>
          <w:spacing w:val="23"/>
        </w:rPr>
        <w:t> </w:t>
      </w:r>
      <w:r>
        <w:rPr/>
        <w:t>the</w:t>
      </w:r>
      <w:r>
        <w:rPr>
          <w:spacing w:val="23"/>
        </w:rPr>
        <w:t> </w:t>
      </w:r>
      <w:r>
        <w:rPr/>
        <w:t>substance</w:t>
      </w:r>
      <w:r>
        <w:rPr>
          <w:spacing w:val="23"/>
        </w:rPr>
        <w:t> </w:t>
      </w:r>
      <w:r>
        <w:rPr/>
        <w:t>of</w:t>
      </w:r>
      <w:r>
        <w:rPr>
          <w:spacing w:val="23"/>
        </w:rPr>
        <w:t> </w:t>
      </w:r>
      <w:r>
        <w:rPr/>
        <w:t>the</w:t>
      </w:r>
      <w:r>
        <w:rPr>
          <w:spacing w:val="23"/>
        </w:rPr>
        <w:t> </w:t>
      </w:r>
      <w:r>
        <w:rPr/>
        <w:t>claimed</w:t>
      </w:r>
      <w:r>
        <w:rPr>
          <w:spacing w:val="23"/>
        </w:rPr>
        <w:t> </w:t>
      </w:r>
      <w:r>
        <w:rPr/>
        <w:t>right</w:t>
      </w:r>
      <w:r>
        <w:rPr>
          <w:spacing w:val="23"/>
        </w:rPr>
        <w:t> </w:t>
      </w:r>
      <w:r>
        <w:rPr/>
        <w:t>to</w:t>
      </w:r>
      <w:r>
        <w:rPr>
          <w:spacing w:val="23"/>
        </w:rPr>
        <w:t> </w:t>
      </w:r>
      <w:r>
        <w:rPr/>
        <w:t>see</w:t>
      </w:r>
      <w:r>
        <w:rPr>
          <w:spacing w:val="23"/>
        </w:rPr>
        <w:t> </w:t>
      </w:r>
      <w:r>
        <w:rPr/>
        <w:t>whether</w:t>
      </w:r>
      <w:r>
        <w:rPr>
          <w:spacing w:val="23"/>
        </w:rPr>
        <w:t> </w:t>
      </w:r>
      <w:r>
        <w:rPr/>
        <w:t>the</w:t>
      </w:r>
      <w:r>
        <w:rPr>
          <w:spacing w:val="23"/>
        </w:rPr>
        <w:t> </w:t>
      </w:r>
      <w:r>
        <w:rPr/>
        <w:t>bar</w:t>
      </w:r>
      <w:r>
        <w:rPr>
          <w:spacing w:val="23"/>
        </w:rPr>
        <w:t> </w:t>
      </w:r>
      <w:r>
        <w:rPr/>
        <w:t>to</w:t>
      </w:r>
      <w:r>
        <w:rPr>
          <w:spacing w:val="23"/>
        </w:rPr>
        <w:t> </w:t>
      </w:r>
      <w:r>
        <w:rPr/>
        <w:t>the</w:t>
      </w:r>
      <w:r>
        <w:rPr>
          <w:spacing w:val="23"/>
        </w:rPr>
        <w:t> </w:t>
      </w:r>
      <w:r>
        <w:rPr/>
        <w:t>exercise</w:t>
      </w:r>
      <w:r>
        <w:rPr>
          <w:spacing w:val="23"/>
        </w:rPr>
        <w:t> </w:t>
      </w:r>
      <w:r>
        <w:rPr/>
        <w:t>of</w:t>
      </w:r>
      <w:r>
        <w:rPr>
          <w:spacing w:val="23"/>
        </w:rPr>
        <w:t> </w:t>
      </w:r>
      <w:r>
        <w:rPr/>
        <w:t>the tenant’s</w:t>
      </w:r>
      <w:r>
        <w:rPr>
          <w:spacing w:val="13"/>
        </w:rPr>
        <w:t> </w:t>
      </w:r>
      <w:r>
        <w:rPr/>
        <w:t>right</w:t>
      </w:r>
      <w:r>
        <w:rPr>
          <w:spacing w:val="13"/>
        </w:rPr>
        <w:t> </w:t>
      </w:r>
      <w:r>
        <w:rPr/>
        <w:t>is</w:t>
      </w:r>
      <w:r>
        <w:rPr>
          <w:spacing w:val="13"/>
        </w:rPr>
        <w:t> </w:t>
      </w:r>
      <w:r>
        <w:rPr/>
        <w:t>a</w:t>
      </w:r>
      <w:r>
        <w:rPr>
          <w:spacing w:val="13"/>
        </w:rPr>
        <w:t> </w:t>
      </w:r>
      <w:r>
        <w:rPr/>
        <w:t>delimitation</w:t>
      </w:r>
      <w:r>
        <w:rPr>
          <w:spacing w:val="13"/>
        </w:rPr>
        <w:t> </w:t>
      </w:r>
      <w:r>
        <w:rPr/>
        <w:t>of</w:t>
      </w:r>
      <w:r>
        <w:rPr>
          <w:spacing w:val="13"/>
        </w:rPr>
        <w:t> </w:t>
      </w:r>
      <w:r>
        <w:rPr/>
        <w:t>the</w:t>
      </w:r>
      <w:r>
        <w:rPr>
          <w:spacing w:val="13"/>
        </w:rPr>
        <w:t> </w:t>
      </w:r>
      <w:r>
        <w:rPr/>
        <w:t>right</w:t>
      </w:r>
      <w:r>
        <w:rPr>
          <w:spacing w:val="13"/>
        </w:rPr>
        <w:t> </w:t>
      </w:r>
      <w:r>
        <w:rPr/>
        <w:t>or</w:t>
      </w:r>
      <w:r>
        <w:rPr>
          <w:spacing w:val="13"/>
        </w:rPr>
        <w:t> </w:t>
      </w:r>
      <w:r>
        <w:rPr/>
        <w:t>whether</w:t>
      </w:r>
      <w:r>
        <w:rPr>
          <w:spacing w:val="13"/>
        </w:rPr>
        <w:t> </w:t>
      </w:r>
      <w:r>
        <w:rPr/>
        <w:t>it</w:t>
      </w:r>
      <w:r>
        <w:rPr>
          <w:spacing w:val="13"/>
        </w:rPr>
        <w:t> </w:t>
      </w:r>
      <w:r>
        <w:rPr/>
        <w:t>represents</w:t>
      </w:r>
      <w:r>
        <w:rPr>
          <w:spacing w:val="13"/>
        </w:rPr>
        <w:t> </w:t>
      </w:r>
      <w:r>
        <w:rPr/>
        <w:t>a</w:t>
      </w:r>
      <w:r>
        <w:rPr>
          <w:spacing w:val="13"/>
        </w:rPr>
        <w:t> </w:t>
      </w:r>
      <w:r>
        <w:rPr/>
        <w:t>deprivation</w:t>
      </w:r>
      <w:r>
        <w:rPr>
          <w:spacing w:val="13"/>
        </w:rPr>
        <w:t> </w:t>
      </w:r>
      <w:r>
        <w:rPr/>
        <w:t>of</w:t>
      </w:r>
      <w:r>
        <w:rPr>
          <w:spacing w:val="13"/>
        </w:rPr>
        <w:t> </w:t>
      </w:r>
      <w:r>
        <w:rPr>
          <w:spacing w:val="-2"/>
        </w:rPr>
        <w:t>right.”</w:t>
      </w:r>
    </w:p>
    <w:p>
      <w:pPr>
        <w:spacing w:line="113" w:lineRule="exact" w:before="0"/>
        <w:ind w:left="1245" w:right="0" w:firstLine="0"/>
        <w:jc w:val="left"/>
        <w:rPr>
          <w:sz w:val="12"/>
        </w:rPr>
      </w:pPr>
      <w:r>
        <w:rPr>
          <w:color w:val="005DA1"/>
          <w:spacing w:val="-5"/>
          <w:sz w:val="12"/>
          <w:u w:val="single" w:color="005DA1"/>
        </w:rPr>
        <w:t>580</w:t>
      </w:r>
    </w:p>
    <w:p>
      <w:pPr>
        <w:pStyle w:val="BodyText"/>
        <w:rPr>
          <w:sz w:val="12"/>
        </w:rPr>
      </w:pPr>
    </w:p>
    <w:p>
      <w:pPr>
        <w:pStyle w:val="BodyText"/>
        <w:rPr>
          <w:sz w:val="12"/>
        </w:rPr>
      </w:pPr>
    </w:p>
    <w:p>
      <w:pPr>
        <w:pStyle w:val="BodyText"/>
        <w:spacing w:before="44"/>
        <w:rPr>
          <w:sz w:val="12"/>
        </w:rPr>
      </w:pPr>
    </w:p>
    <w:p>
      <w:pPr>
        <w:pStyle w:val="BodyText"/>
        <w:spacing w:line="235" w:lineRule="auto"/>
        <w:ind w:left="164" w:right="167"/>
        <w:jc w:val="both"/>
      </w:pPr>
      <w:bookmarkStart w:name="_bookmark1074" w:id="1076"/>
      <w:bookmarkEnd w:id="1076"/>
      <w:r>
        <w:rPr/>
      </w:r>
      <w:bookmarkStart w:name="_bookmark1075" w:id="1077"/>
      <w:bookmarkEnd w:id="1077"/>
      <w:r>
        <w:rPr/>
      </w:r>
      <w:r>
        <w:rPr/>
        <w:t>On the facts before her, Arden L.J. held that the 1954 Act deprived the tenant of a right. </w:t>
      </w:r>
      <w:r>
        <w:rPr>
          <w:color w:val="005DA1"/>
          <w:u w:val="single" w:color="005DA1"/>
          <w:vertAlign w:val="superscript"/>
        </w:rPr>
        <w:t>581</w:t>
      </w:r>
      <w:r>
        <w:rPr>
          <w:color w:val="005DA1"/>
          <w:vertAlign w:val="baseline"/>
        </w:rPr>
        <w:t> </w:t>
      </w:r>
      <w:r>
        <w:rPr>
          <w:vertAlign w:val="baseline"/>
        </w:rPr>
        <w:t>By the</w:t>
      </w:r>
      <w:r>
        <w:rPr>
          <w:spacing w:val="40"/>
          <w:vertAlign w:val="baseline"/>
        </w:rPr>
        <w:t> </w:t>
      </w:r>
      <w:bookmarkStart w:name="_bookmark1076" w:id="1078"/>
      <w:bookmarkEnd w:id="1078"/>
      <w:r>
        <w:rPr>
          <w:vertAlign w:val="baseline"/>
        </w:rPr>
        <w:t>time</w:t>
      </w:r>
      <w:r>
        <w:rPr>
          <w:vertAlign w:val="baseline"/>
        </w:rPr>
        <w:t> of </w:t>
      </w:r>
      <w:r>
        <w:rPr>
          <w:rFonts w:ascii="Arial" w:hAnsi="Arial"/>
          <w:i/>
          <w:vertAlign w:val="baseline"/>
        </w:rPr>
        <w:t>PW &amp; Co Ltd v Milton Gate Investments Ltd</w:t>
      </w:r>
      <w:r>
        <w:rPr>
          <w:vertAlign w:val="baseline"/>
        </w:rPr>
        <w:t>, </w:t>
      </w:r>
      <w:r>
        <w:rPr>
          <w:color w:val="005DA1"/>
          <w:u w:val="single" w:color="005DA1"/>
          <w:vertAlign w:val="superscript"/>
        </w:rPr>
        <w:t>582</w:t>
      </w:r>
      <w:r>
        <w:rPr>
          <w:color w:val="005DA1"/>
          <w:vertAlign w:val="baseline"/>
        </w:rPr>
        <w:t> </w:t>
      </w:r>
      <w:r>
        <w:rPr>
          <w:vertAlign w:val="baseline"/>
        </w:rPr>
        <w:t>however, Neuberger J. was able to take into account the decision of the European Court of Human Rights in </w:t>
      </w:r>
      <w:r>
        <w:rPr>
          <w:rFonts w:ascii="Arial" w:hAnsi="Arial"/>
          <w:i/>
          <w:vertAlign w:val="baseline"/>
        </w:rPr>
        <w:t>Stretch v UK </w:t>
      </w:r>
      <w:r>
        <w:rPr>
          <w:color w:val="005DA1"/>
          <w:u w:val="single" w:color="005DA1"/>
          <w:vertAlign w:val="superscript"/>
        </w:rPr>
        <w:t>583</w:t>
      </w:r>
      <w:r>
        <w:rPr>
          <w:color w:val="005DA1"/>
          <w:vertAlign w:val="baseline"/>
        </w:rPr>
        <w:t> </w:t>
      </w:r>
      <w:r>
        <w:rPr>
          <w:vertAlign w:val="baseline"/>
        </w:rPr>
        <w:t>in deciding whether art.1 was engaged. Neuberger J. there accepted that the Human Rights Act required ss.139 or 141 of the Law of Property Act 1925 to be interpreted so as to prevent a head-landlord from being deprived of rent under the covenants of sub-tenancies which had not determined by the exercise of a “break clause” by the head-tenant. In these circumstances, art.1 of the First Protocol to the </w:t>
      </w:r>
      <w:r>
        <w:rPr>
          <w:vertAlign w:val="baseline"/>
        </w:rPr>
        <w:t>European Convention was engaged: if the underleases would survive the determination of the head-lease without the tenant’s covenants being enforceable, the head-landlord would be kept out of the</w:t>
      </w:r>
      <w:r>
        <w:rPr>
          <w:spacing w:val="40"/>
          <w:vertAlign w:val="baseline"/>
        </w:rPr>
        <w:t> </w:t>
      </w:r>
      <w:bookmarkStart w:name="_bookmark1077" w:id="1079"/>
      <w:bookmarkEnd w:id="1079"/>
      <w:r>
        <w:rPr>
          <w:vertAlign w:val="baseline"/>
        </w:rPr>
        <w:t>premises</w:t>
      </w:r>
      <w:r>
        <w:rPr>
          <w:vertAlign w:val="baseline"/>
        </w:rPr>
        <w:t> in question for the remainder of the sub-leases without being able to recover any rent </w:t>
      </w:r>
      <w:bookmarkStart w:name="_bookmark1078" w:id="1080"/>
      <w:bookmarkEnd w:id="1080"/>
      <w:r>
        <w:rPr>
          <w:vertAlign w:val="baseline"/>
        </w:rPr>
        <w:t>whatever:</w:t>
      </w:r>
      <w:r>
        <w:rPr>
          <w:vertAlign w:val="baseline"/>
        </w:rPr>
        <w:t> “[t]hat is scarcely ‘peaceful enjoyment of [its] possessions’.” </w:t>
      </w:r>
      <w:r>
        <w:rPr>
          <w:color w:val="005DA1"/>
          <w:u w:val="single" w:color="005DA1"/>
          <w:vertAlign w:val="superscript"/>
        </w:rPr>
        <w:t>584</w:t>
      </w:r>
      <w:r>
        <w:rPr>
          <w:color w:val="005DA1"/>
          <w:vertAlign w:val="baseline"/>
        </w:rPr>
        <w:t> </w:t>
      </w:r>
      <w:r>
        <w:rPr>
          <w:vertAlign w:val="baseline"/>
        </w:rPr>
        <w:t>In </w:t>
      </w:r>
      <w:r>
        <w:rPr>
          <w:rFonts w:ascii="Arial" w:hAnsi="Arial"/>
          <w:i/>
          <w:vertAlign w:val="baseline"/>
        </w:rPr>
        <w:t>Horsham Group Properties Ltd v Clark </w:t>
      </w:r>
      <w:r>
        <w:rPr>
          <w:color w:val="005DA1"/>
          <w:u w:val="single" w:color="005DA1"/>
          <w:vertAlign w:val="superscript"/>
        </w:rPr>
        <w:t>585</w:t>
      </w:r>
      <w:r>
        <w:rPr>
          <w:color w:val="005DA1"/>
          <w:vertAlign w:val="baseline"/>
        </w:rPr>
        <w:t> </w:t>
      </w:r>
      <w:r>
        <w:rPr>
          <w:vertAlign w:val="baseline"/>
        </w:rPr>
        <w:t>the questions arose whether the exercise of the right by a mortgagee to appoint a receiver under s.101(1)(i) of the Law of Property 1925 and to sell the property under a term of the mortgage deed engaged art.1 of the First Protocol of the Convention by reason of its effect on </w:t>
      </w:r>
      <w:bookmarkStart w:name="_bookmark1079" w:id="1081"/>
      <w:bookmarkEnd w:id="1081"/>
      <w:r>
        <w:rPr>
          <w:vertAlign w:val="baseline"/>
        </w:rPr>
        <w:t>the</w:t>
      </w:r>
      <w:r>
        <w:rPr>
          <w:vertAlign w:val="baseline"/>
        </w:rPr>
        <w:t> mortgagor’s interest and, if it did, whether it infringed that article. Briggs J. held that a mortgagor’s </w:t>
      </w:r>
      <w:bookmarkStart w:name="_bookmark1080" w:id="1082"/>
      <w:bookmarkEnd w:id="1082"/>
      <w:r>
        <w:rPr>
          <w:vertAlign w:val="baseline"/>
        </w:rPr>
        <w:t>equity</w:t>
      </w:r>
      <w:r>
        <w:rPr>
          <w:vertAlign w:val="baseline"/>
        </w:rPr>
        <w:t> of redemption was a “possession” for the purposes of art.1 First Protocol, </w:t>
      </w:r>
      <w:r>
        <w:rPr>
          <w:color w:val="005DA1"/>
          <w:u w:val="single" w:color="005DA1"/>
          <w:vertAlign w:val="superscript"/>
        </w:rPr>
        <w:t>586</w:t>
      </w:r>
      <w:r>
        <w:rPr>
          <w:color w:val="005DA1"/>
          <w:vertAlign w:val="baseline"/>
        </w:rPr>
        <w:t> </w:t>
      </w:r>
      <w:r>
        <w:rPr>
          <w:vertAlign w:val="baseline"/>
        </w:rPr>
        <w:t>relying on </w:t>
      </w:r>
      <w:r>
        <w:rPr>
          <w:rFonts w:ascii="Arial" w:hAnsi="Arial"/>
          <w:i/>
          <w:vertAlign w:val="baseline"/>
        </w:rPr>
        <w:t>Pennycook v Shaws (EAL) Ltd</w:t>
      </w:r>
      <w:r>
        <w:rPr>
          <w:vertAlign w:val="baseline"/>
        </w:rPr>
        <w:t>. </w:t>
      </w:r>
      <w:r>
        <w:rPr>
          <w:color w:val="005DA1"/>
          <w:u w:val="single" w:color="005DA1"/>
          <w:vertAlign w:val="superscript"/>
        </w:rPr>
        <w:t>587</w:t>
      </w:r>
      <w:r>
        <w:rPr>
          <w:color w:val="005DA1"/>
          <w:vertAlign w:val="baseline"/>
        </w:rPr>
        <w:t> </w:t>
      </w:r>
      <w:r>
        <w:rPr>
          <w:vertAlign w:val="baseline"/>
        </w:rPr>
        <w:t>However, he further held that the particular mortgagor before him “lost her equity of redemption by virtue of the exercise of powers conferred purely by contract” rather </w:t>
      </w:r>
      <w:bookmarkStart w:name="_bookmark1081" w:id="1083"/>
      <w:bookmarkEnd w:id="1083"/>
      <w:r>
        <w:rPr>
          <w:vertAlign w:val="baseline"/>
        </w:rPr>
        <w:t>than</w:t>
      </w:r>
      <w:r>
        <w:rPr>
          <w:vertAlign w:val="baseline"/>
        </w:rPr>
        <w:t> as a result of the legislative powers, and therefore “without any state intervention at all” so as to engage art.1 First Protocol. </w:t>
      </w:r>
      <w:r>
        <w:rPr>
          <w:color w:val="005DA1"/>
          <w:u w:val="single" w:color="005DA1"/>
          <w:vertAlign w:val="superscript"/>
        </w:rPr>
        <w:t>588</w:t>
      </w:r>
      <w:r>
        <w:rPr>
          <w:color w:val="005DA1"/>
          <w:vertAlign w:val="baseline"/>
        </w:rPr>
        <w:t> </w:t>
      </w:r>
      <w:r>
        <w:rPr>
          <w:vertAlign w:val="baseline"/>
        </w:rPr>
        <w:t>Moreover, he preferred to rest his decision on the broader ground that “section 101 serves to implement rather than override the private bargain between mortgagor and mortgagee”, being “in substance a form of conveyancing shorthand designed to implement the </w:t>
      </w:r>
      <w:bookmarkStart w:name="_bookmark1082" w:id="1084"/>
      <w:bookmarkEnd w:id="1084"/>
      <w:r>
        <w:rPr>
          <w:vertAlign w:val="baseline"/>
        </w:rPr>
        <w:t>ordinary</w:t>
      </w:r>
      <w:r>
        <w:rPr>
          <w:vertAlign w:val="baseline"/>
        </w:rPr>
        <w:t> expectations of mortgagors and mortgagees while reducing the costs and delays of conveyancing”. </w:t>
      </w:r>
      <w:r>
        <w:rPr>
          <w:color w:val="005DA1"/>
          <w:u w:val="single" w:color="005DA1"/>
          <w:vertAlign w:val="superscript"/>
        </w:rPr>
        <w:t>589</w:t>
      </w:r>
      <w:r>
        <w:rPr>
          <w:color w:val="005DA1"/>
          <w:vertAlign w:val="baseline"/>
        </w:rPr>
        <w:t> </w:t>
      </w:r>
      <w:r>
        <w:rPr>
          <w:vertAlign w:val="baseline"/>
        </w:rPr>
        <w:t>Section 101 was subject to contrary intention and was “as far removed from the </w:t>
      </w:r>
      <w:bookmarkStart w:name="_bookmark1083" w:id="1085"/>
      <w:bookmarkEnd w:id="1085"/>
      <w:r>
        <w:rPr>
          <w:vertAlign w:val="baseline"/>
        </w:rPr>
        <w:t>concept</w:t>
      </w:r>
      <w:r>
        <w:rPr>
          <w:vertAlign w:val="baseline"/>
        </w:rPr>
        <w:t> of state intervention into private rights through overriding legislation, which lies behind article 1,</w:t>
      </w:r>
      <w:r>
        <w:rPr>
          <w:spacing w:val="26"/>
          <w:vertAlign w:val="baseline"/>
        </w:rPr>
        <w:t> </w:t>
      </w:r>
      <w:r>
        <w:rPr>
          <w:vertAlign w:val="baseline"/>
        </w:rPr>
        <w:t>as</w:t>
      </w:r>
      <w:r>
        <w:rPr>
          <w:spacing w:val="26"/>
          <w:vertAlign w:val="baseline"/>
        </w:rPr>
        <w:t> </w:t>
      </w:r>
      <w:r>
        <w:rPr>
          <w:vertAlign w:val="baseline"/>
        </w:rPr>
        <w:t>it</w:t>
      </w:r>
      <w:r>
        <w:rPr>
          <w:spacing w:val="26"/>
          <w:vertAlign w:val="baseline"/>
        </w:rPr>
        <w:t> </w:t>
      </w:r>
      <w:r>
        <w:rPr>
          <w:vertAlign w:val="baseline"/>
        </w:rPr>
        <w:t>is</w:t>
      </w:r>
      <w:r>
        <w:rPr>
          <w:spacing w:val="26"/>
          <w:vertAlign w:val="baseline"/>
        </w:rPr>
        <w:t> </w:t>
      </w:r>
      <w:r>
        <w:rPr>
          <w:vertAlign w:val="baseline"/>
        </w:rPr>
        <w:t>possible</w:t>
      </w:r>
      <w:r>
        <w:rPr>
          <w:spacing w:val="26"/>
          <w:vertAlign w:val="baseline"/>
        </w:rPr>
        <w:t> </w:t>
      </w:r>
      <w:r>
        <w:rPr>
          <w:vertAlign w:val="baseline"/>
        </w:rPr>
        <w:t>for</w:t>
      </w:r>
      <w:r>
        <w:rPr>
          <w:spacing w:val="26"/>
          <w:vertAlign w:val="baseline"/>
        </w:rPr>
        <w:t> </w:t>
      </w:r>
      <w:r>
        <w:rPr>
          <w:vertAlign w:val="baseline"/>
        </w:rPr>
        <w:t>legislation</w:t>
      </w:r>
      <w:r>
        <w:rPr>
          <w:spacing w:val="26"/>
          <w:vertAlign w:val="baseline"/>
        </w:rPr>
        <w:t> </w:t>
      </w:r>
      <w:r>
        <w:rPr>
          <w:vertAlign w:val="baseline"/>
        </w:rPr>
        <w:t>to</w:t>
      </w:r>
      <w:r>
        <w:rPr>
          <w:spacing w:val="26"/>
          <w:vertAlign w:val="baseline"/>
        </w:rPr>
        <w:t> </w:t>
      </w:r>
      <w:r>
        <w:rPr>
          <w:vertAlign w:val="baseline"/>
        </w:rPr>
        <w:t>get”.</w:t>
      </w:r>
      <w:r>
        <w:rPr>
          <w:spacing w:val="26"/>
          <w:vertAlign w:val="baseline"/>
        </w:rPr>
        <w:t> </w:t>
      </w:r>
      <w:r>
        <w:rPr>
          <w:color w:val="005DA1"/>
          <w:u w:val="single" w:color="005DA1"/>
          <w:vertAlign w:val="superscript"/>
        </w:rPr>
        <w:t>590</w:t>
      </w:r>
      <w:r>
        <w:rPr>
          <w:color w:val="005DA1"/>
          <w:spacing w:val="26"/>
          <w:vertAlign w:val="baseline"/>
        </w:rPr>
        <w:t> </w:t>
      </w:r>
      <w:r>
        <w:rPr>
          <w:vertAlign w:val="baseline"/>
        </w:rPr>
        <w:t>As</w:t>
      </w:r>
      <w:r>
        <w:rPr>
          <w:spacing w:val="26"/>
          <w:vertAlign w:val="baseline"/>
        </w:rPr>
        <w:t> </w:t>
      </w:r>
      <w:r>
        <w:rPr>
          <w:vertAlign w:val="baseline"/>
        </w:rPr>
        <w:t>a</w:t>
      </w:r>
      <w:r>
        <w:rPr>
          <w:spacing w:val="27"/>
          <w:vertAlign w:val="baseline"/>
        </w:rPr>
        <w:t> </w:t>
      </w:r>
      <w:r>
        <w:rPr>
          <w:vertAlign w:val="baseline"/>
        </w:rPr>
        <w:t>result,</w:t>
      </w:r>
      <w:r>
        <w:rPr>
          <w:spacing w:val="26"/>
          <w:vertAlign w:val="baseline"/>
        </w:rPr>
        <w:t> </w:t>
      </w:r>
      <w:r>
        <w:rPr>
          <w:vertAlign w:val="baseline"/>
        </w:rPr>
        <w:t>the</w:t>
      </w:r>
      <w:r>
        <w:rPr>
          <w:spacing w:val="26"/>
          <w:vertAlign w:val="baseline"/>
        </w:rPr>
        <w:t> </w:t>
      </w:r>
      <w:r>
        <w:rPr>
          <w:vertAlign w:val="baseline"/>
        </w:rPr>
        <w:t>exercise</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statutory</w:t>
      </w:r>
      <w:r>
        <w:rPr>
          <w:spacing w:val="26"/>
          <w:vertAlign w:val="baseline"/>
        </w:rPr>
        <w:t> </w:t>
      </w:r>
      <w:r>
        <w:rPr>
          <w:vertAlign w:val="baseline"/>
        </w:rPr>
        <w:t>power</w:t>
      </w:r>
      <w:r>
        <w:rPr>
          <w:spacing w:val="26"/>
          <w:vertAlign w:val="baseline"/>
        </w:rPr>
        <w:t> </w:t>
      </w:r>
      <w:r>
        <w:rPr>
          <w:spacing w:val="-2"/>
          <w:vertAlign w:val="baseline"/>
        </w:rPr>
        <w:t>under</w:t>
      </w:r>
    </w:p>
    <w:p>
      <w:pPr>
        <w:pStyle w:val="BodyText"/>
        <w:spacing w:line="235" w:lineRule="auto"/>
        <w:ind w:left="165" w:right="167"/>
        <w:jc w:val="both"/>
      </w:pPr>
      <w:bookmarkStart w:name="_bookmark1084" w:id="1086"/>
      <w:bookmarkEnd w:id="1086"/>
      <w:r>
        <w:rPr/>
      </w:r>
      <w:r>
        <w:rPr/>
        <w:t>s.101 did not constitute a deprivation of possessions within the meaning of art.1 First Protocol so </w:t>
      </w:r>
      <w:r>
        <w:rPr/>
        <w:t>as</w:t>
      </w:r>
      <w:r>
        <w:rPr>
          <w:spacing w:val="40"/>
        </w:rPr>
        <w:t> </w:t>
      </w:r>
      <w:r>
        <w:rPr/>
        <w:t>to engage that provision. </w:t>
      </w:r>
      <w:r>
        <w:rPr>
          <w:color w:val="005DA1"/>
          <w:u w:val="single" w:color="005DA1"/>
          <w:vertAlign w:val="superscript"/>
        </w:rPr>
        <w:t>591</w:t>
      </w:r>
      <w:r>
        <w:rPr>
          <w:color w:val="005DA1"/>
          <w:vertAlign w:val="baseline"/>
        </w:rPr>
        <w:t> </w:t>
      </w:r>
      <w:r>
        <w:rPr>
          <w:vertAlign w:val="baseline"/>
        </w:rPr>
        <w:t>On the other hand, in </w:t>
      </w:r>
      <w:r>
        <w:rPr>
          <w:rFonts w:ascii="Arial" w:hAnsi="Arial"/>
          <w:i/>
          <w:vertAlign w:val="baseline"/>
        </w:rPr>
        <w:t>K Ltd v National Westminster Bank Plc </w:t>
      </w:r>
      <w:r>
        <w:rPr>
          <w:color w:val="005DA1"/>
          <w:u w:val="single" w:color="005DA1"/>
          <w:vertAlign w:val="superscript"/>
        </w:rPr>
        <w:t>592</w:t>
      </w:r>
      <w:r>
        <w:rPr>
          <w:color w:val="005DA1"/>
          <w:vertAlign w:val="baseline"/>
        </w:rPr>
        <w:t> </w:t>
      </w:r>
      <w:r>
        <w:rPr>
          <w:vertAlign w:val="baseline"/>
        </w:rPr>
        <w:t>Longmore L.J. (with whom Ward and Laws L.JJ. agreed) doubted whether the exception creation by ss.328, 333, 335 and 338 of the Proceeds of Crime Act 2002 to a bank’s customer’s right to have the contract of mandate performed is “the kind of possession which art.1 [of the First Protocol] contemplates</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peaceably</w:t>
      </w:r>
      <w:r>
        <w:rPr>
          <w:spacing w:val="-2"/>
          <w:vertAlign w:val="baseline"/>
        </w:rPr>
        <w:t> </w:t>
      </w:r>
      <w:r>
        <w:rPr>
          <w:vertAlign w:val="baseline"/>
        </w:rPr>
        <w:t>enjoyed”</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legislation</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cancel</w:t>
      </w:r>
      <w:r>
        <w:rPr>
          <w:spacing w:val="-2"/>
          <w:vertAlign w:val="baseline"/>
        </w:rPr>
        <w:t> </w:t>
      </w:r>
      <w:r>
        <w:rPr>
          <w:vertAlign w:val="baseline"/>
        </w:rPr>
        <w:t>the</w:t>
      </w:r>
      <w:r>
        <w:rPr>
          <w:spacing w:val="-2"/>
          <w:vertAlign w:val="baseline"/>
        </w:rPr>
        <w:t> </w:t>
      </w:r>
      <w:r>
        <w:rPr>
          <w:vertAlign w:val="baseline"/>
        </w:rPr>
        <w:t>debt</w:t>
      </w:r>
      <w:r>
        <w:rPr>
          <w:spacing w:val="-2"/>
          <w:vertAlign w:val="baseline"/>
        </w:rPr>
        <w:t> </w:t>
      </w:r>
      <w:r>
        <w:rPr>
          <w:vertAlign w:val="baseline"/>
        </w:rPr>
        <w:t>but</w:t>
      </w:r>
      <w:r>
        <w:rPr>
          <w:spacing w:val="-2"/>
          <w:vertAlign w:val="baseline"/>
        </w:rPr>
        <w:t> </w:t>
      </w:r>
      <w:r>
        <w:rPr>
          <w:vertAlign w:val="baseline"/>
        </w:rPr>
        <w:t>merely</w:t>
      </w:r>
      <w:r>
        <w:rPr>
          <w:spacing w:val="-2"/>
          <w:vertAlign w:val="baseline"/>
        </w:rPr>
        <w:t> </w:t>
      </w:r>
      <w:r>
        <w:rPr>
          <w:vertAlign w:val="baseline"/>
        </w:rPr>
        <w:t>deferred </w:t>
      </w:r>
      <w:bookmarkStart w:name="_bookmark1085" w:id="1087"/>
      <w:bookmarkEnd w:id="1087"/>
      <w:r>
        <w:rPr>
          <w:vertAlign w:val="baseline"/>
        </w:rPr>
        <w:t>performance</w:t>
      </w:r>
      <w:r>
        <w:rPr>
          <w:spacing w:val="80"/>
          <w:vertAlign w:val="baseline"/>
        </w:rPr>
        <w:t> </w:t>
      </w:r>
      <w:r>
        <w:rPr>
          <w:vertAlign w:val="baseline"/>
        </w:rPr>
        <w:t>of</w:t>
      </w:r>
      <w:r>
        <w:rPr>
          <w:spacing w:val="80"/>
          <w:vertAlign w:val="baseline"/>
        </w:rPr>
        <w:t> </w:t>
      </w:r>
      <w:r>
        <w:rPr>
          <w:vertAlign w:val="baseline"/>
        </w:rPr>
        <w:t>the</w:t>
      </w:r>
      <w:r>
        <w:rPr>
          <w:spacing w:val="80"/>
          <w:vertAlign w:val="baseline"/>
        </w:rPr>
        <w:t> </w:t>
      </w:r>
      <w:r>
        <w:rPr>
          <w:vertAlign w:val="baseline"/>
        </w:rPr>
        <w:t>contract</w:t>
      </w:r>
      <w:r>
        <w:rPr>
          <w:spacing w:val="80"/>
          <w:vertAlign w:val="baseline"/>
        </w:rPr>
        <w:t> </w:t>
      </w:r>
      <w:r>
        <w:rPr>
          <w:vertAlign w:val="baseline"/>
        </w:rPr>
        <w:t>for</w:t>
      </w:r>
      <w:r>
        <w:rPr>
          <w:spacing w:val="80"/>
          <w:vertAlign w:val="baseline"/>
        </w:rPr>
        <w:t> </w:t>
      </w:r>
      <w:r>
        <w:rPr>
          <w:vertAlign w:val="baseline"/>
        </w:rPr>
        <w:t>a</w:t>
      </w:r>
      <w:r>
        <w:rPr>
          <w:spacing w:val="80"/>
          <w:vertAlign w:val="baseline"/>
        </w:rPr>
        <w:t> </w:t>
      </w:r>
      <w:r>
        <w:rPr>
          <w:vertAlign w:val="baseline"/>
        </w:rPr>
        <w:t>number</w:t>
      </w:r>
      <w:r>
        <w:rPr>
          <w:spacing w:val="80"/>
          <w:vertAlign w:val="baseline"/>
        </w:rPr>
        <w:t> </w:t>
      </w:r>
      <w:r>
        <w:rPr>
          <w:vertAlign w:val="baseline"/>
        </w:rPr>
        <w:t>of</w:t>
      </w:r>
      <w:r>
        <w:rPr>
          <w:spacing w:val="80"/>
          <w:vertAlign w:val="baseline"/>
        </w:rPr>
        <w:t> </w:t>
      </w:r>
      <w:r>
        <w:rPr>
          <w:vertAlign w:val="baseline"/>
        </w:rPr>
        <w:t>days</w:t>
      </w:r>
      <w:r>
        <w:rPr>
          <w:spacing w:val="80"/>
          <w:vertAlign w:val="baseline"/>
        </w:rPr>
        <w:t> </w:t>
      </w:r>
      <w:r>
        <w:rPr>
          <w:vertAlign w:val="baseline"/>
        </w:rPr>
        <w:t>during</w:t>
      </w:r>
      <w:r>
        <w:rPr>
          <w:spacing w:val="80"/>
          <w:vertAlign w:val="baseline"/>
        </w:rPr>
        <w:t> </w:t>
      </w:r>
      <w:r>
        <w:rPr>
          <w:vertAlign w:val="baseline"/>
        </w:rPr>
        <w:t>which</w:t>
      </w:r>
      <w:r>
        <w:rPr>
          <w:spacing w:val="80"/>
          <w:vertAlign w:val="baseline"/>
        </w:rPr>
        <w:t> </w:t>
      </w:r>
      <w:r>
        <w:rPr>
          <w:vertAlign w:val="baseline"/>
        </w:rPr>
        <w:t>the</w:t>
      </w:r>
      <w:r>
        <w:rPr>
          <w:spacing w:val="80"/>
          <w:vertAlign w:val="baseline"/>
        </w:rPr>
        <w:t> </w:t>
      </w:r>
      <w:r>
        <w:rPr>
          <w:vertAlign w:val="baseline"/>
        </w:rPr>
        <w:t>bank’s</w:t>
      </w:r>
      <w:r>
        <w:rPr>
          <w:spacing w:val="80"/>
          <w:vertAlign w:val="baseline"/>
        </w:rPr>
        <w:t> </w:t>
      </w:r>
      <w:r>
        <w:rPr>
          <w:vertAlign w:val="baseline"/>
        </w:rPr>
        <w:t>suspicion</w:t>
      </w:r>
      <w:r>
        <w:rPr>
          <w:spacing w:val="80"/>
          <w:vertAlign w:val="baseline"/>
        </w:rPr>
        <w:t> </w:t>
      </w:r>
      <w:r>
        <w:rPr>
          <w:vertAlign w:val="baseline"/>
        </w:rPr>
        <w:t>of money-laundering was investigated. </w:t>
      </w:r>
      <w:r>
        <w:rPr>
          <w:color w:val="005DA1"/>
          <w:u w:val="single" w:color="005DA1"/>
          <w:vertAlign w:val="superscript"/>
        </w:rPr>
        <w:t>593</w:t>
      </w:r>
    </w:p>
    <w:p>
      <w:pPr>
        <w:pStyle w:val="BodyText"/>
        <w:spacing w:before="68"/>
      </w:pPr>
    </w:p>
    <w:p>
      <w:pPr>
        <w:spacing w:before="0"/>
        <w:ind w:left="165" w:right="0" w:firstLine="0"/>
        <w:jc w:val="left"/>
        <w:rPr>
          <w:rFonts w:ascii="Arial"/>
          <w:b/>
          <w:sz w:val="24"/>
        </w:rPr>
      </w:pPr>
      <w:r>
        <w:rPr>
          <w:rFonts w:ascii="Arial"/>
          <w:b/>
          <w:sz w:val="24"/>
        </w:rPr>
        <w:t>1-</w:t>
      </w:r>
      <w:r>
        <w:rPr>
          <w:rFonts w:ascii="Arial"/>
          <w:b/>
          <w:spacing w:val="-5"/>
          <w:sz w:val="24"/>
        </w:rPr>
        <w:t>070</w:t>
      </w:r>
    </w:p>
    <w:p>
      <w:pPr>
        <w:spacing w:before="199"/>
        <w:ind w:left="165" w:right="0" w:firstLine="0"/>
        <w:jc w:val="both"/>
        <w:rPr>
          <w:rFonts w:ascii="Arial"/>
          <w:i/>
          <w:sz w:val="20"/>
        </w:rPr>
      </w:pPr>
      <w:bookmarkStart w:name="_bookmark1086" w:id="1088"/>
      <w:bookmarkEnd w:id="1088"/>
      <w:r>
        <w:rPr/>
      </w:r>
      <w:r>
        <w:rPr>
          <w:sz w:val="20"/>
        </w:rPr>
        <w:t>By</w:t>
      </w:r>
      <w:r>
        <w:rPr>
          <w:spacing w:val="-1"/>
          <w:sz w:val="20"/>
        </w:rPr>
        <w:t> </w:t>
      </w:r>
      <w:r>
        <w:rPr>
          <w:sz w:val="20"/>
        </w:rPr>
        <w:t>contrast,</w:t>
      </w:r>
      <w:r>
        <w:rPr>
          <w:spacing w:val="-1"/>
          <w:sz w:val="20"/>
        </w:rPr>
        <w:t> </w:t>
      </w:r>
      <w:r>
        <w:rPr>
          <w:sz w:val="20"/>
        </w:rPr>
        <w:t>in</w:t>
      </w:r>
      <w:r>
        <w:rPr>
          <w:spacing w:val="-1"/>
          <w:sz w:val="20"/>
        </w:rPr>
        <w:t> </w:t>
      </w:r>
      <w:r>
        <w:rPr>
          <w:rFonts w:ascii="Arial"/>
          <w:i/>
          <w:sz w:val="20"/>
        </w:rPr>
        <w:t>Salat</w:t>
      </w:r>
      <w:r>
        <w:rPr>
          <w:rFonts w:ascii="Arial"/>
          <w:i/>
          <w:spacing w:val="-1"/>
          <w:sz w:val="20"/>
        </w:rPr>
        <w:t> </w:t>
      </w:r>
      <w:r>
        <w:rPr>
          <w:rFonts w:ascii="Arial"/>
          <w:i/>
          <w:sz w:val="20"/>
        </w:rPr>
        <w:t>v</w:t>
      </w:r>
      <w:r>
        <w:rPr>
          <w:rFonts w:ascii="Arial"/>
          <w:i/>
          <w:spacing w:val="-1"/>
          <w:sz w:val="20"/>
        </w:rPr>
        <w:t> </w:t>
      </w:r>
      <w:r>
        <w:rPr>
          <w:rFonts w:ascii="Arial"/>
          <w:i/>
          <w:sz w:val="20"/>
        </w:rPr>
        <w:t>Barutis</w:t>
      </w:r>
      <w:r>
        <w:rPr>
          <w:rFonts w:ascii="Arial"/>
          <w:i/>
          <w:spacing w:val="-1"/>
          <w:sz w:val="20"/>
        </w:rPr>
        <w:t> </w:t>
      </w:r>
      <w:r>
        <w:rPr>
          <w:color w:val="005DA1"/>
          <w:sz w:val="20"/>
          <w:u w:val="single" w:color="005DA1"/>
          <w:vertAlign w:val="superscript"/>
        </w:rPr>
        <w:t>594</w:t>
      </w:r>
      <w:r>
        <w:rPr>
          <w:color w:val="005DA1"/>
          <w:spacing w:val="-1"/>
          <w:sz w:val="20"/>
          <w:vertAlign w:val="baseline"/>
        </w:rPr>
        <w:t> </w:t>
      </w:r>
      <w:r>
        <w:rPr>
          <w:sz w:val="20"/>
          <w:vertAlign w:val="baseline"/>
        </w:rPr>
        <w:t>the</w:t>
      </w:r>
      <w:r>
        <w:rPr>
          <w:spacing w:val="-1"/>
          <w:sz w:val="20"/>
          <w:vertAlign w:val="baseline"/>
        </w:rPr>
        <w:t> </w:t>
      </w:r>
      <w:r>
        <w:rPr>
          <w:sz w:val="20"/>
          <w:vertAlign w:val="baseline"/>
        </w:rPr>
        <w:t>Court</w:t>
      </w:r>
      <w:r>
        <w:rPr>
          <w:spacing w:val="-1"/>
          <w:sz w:val="20"/>
          <w:vertAlign w:val="baseline"/>
        </w:rPr>
        <w:t> </w:t>
      </w:r>
      <w:r>
        <w:rPr>
          <w:sz w:val="20"/>
          <w:vertAlign w:val="baseline"/>
        </w:rPr>
        <w:t>of</w:t>
      </w:r>
      <w:r>
        <w:rPr>
          <w:spacing w:val="-1"/>
          <w:sz w:val="20"/>
          <w:vertAlign w:val="baseline"/>
        </w:rPr>
        <w:t> </w:t>
      </w:r>
      <w:r>
        <w:rPr>
          <w:sz w:val="20"/>
          <w:vertAlign w:val="baseline"/>
        </w:rPr>
        <w:t>Appeal</w:t>
      </w:r>
      <w:r>
        <w:rPr>
          <w:spacing w:val="-1"/>
          <w:sz w:val="20"/>
          <w:vertAlign w:val="baseline"/>
        </w:rPr>
        <w:t> </w:t>
      </w:r>
      <w:r>
        <w:rPr>
          <w:sz w:val="20"/>
          <w:vertAlign w:val="baseline"/>
        </w:rPr>
        <w:t>saw the</w:t>
      </w:r>
      <w:r>
        <w:rPr>
          <w:spacing w:val="-1"/>
          <w:sz w:val="20"/>
          <w:vertAlign w:val="baseline"/>
        </w:rPr>
        <w:t> </w:t>
      </w:r>
      <w:r>
        <w:rPr>
          <w:sz w:val="20"/>
          <w:vertAlign w:val="baseline"/>
        </w:rPr>
        <w:t>majority</w:t>
      </w:r>
      <w:r>
        <w:rPr>
          <w:spacing w:val="-1"/>
          <w:sz w:val="20"/>
          <w:vertAlign w:val="baseline"/>
        </w:rPr>
        <w:t> </w:t>
      </w:r>
      <w:r>
        <w:rPr>
          <w:sz w:val="20"/>
          <w:vertAlign w:val="baseline"/>
        </w:rPr>
        <w:t>opinion</w:t>
      </w:r>
      <w:r>
        <w:rPr>
          <w:spacing w:val="-1"/>
          <w:sz w:val="20"/>
          <w:vertAlign w:val="baseline"/>
        </w:rPr>
        <w:t> </w:t>
      </w:r>
      <w:r>
        <w:rPr>
          <w:sz w:val="20"/>
          <w:vertAlign w:val="baseline"/>
        </w:rPr>
        <w:t>in</w:t>
      </w:r>
      <w:r>
        <w:rPr>
          <w:spacing w:val="-2"/>
          <w:sz w:val="20"/>
          <w:vertAlign w:val="baseline"/>
        </w:rPr>
        <w:t> </w:t>
      </w:r>
      <w:r>
        <w:rPr>
          <w:rFonts w:ascii="Arial"/>
          <w:i/>
          <w:sz w:val="20"/>
          <w:vertAlign w:val="baseline"/>
        </w:rPr>
        <w:t>Wilson</w:t>
      </w:r>
      <w:r>
        <w:rPr>
          <w:rFonts w:ascii="Arial"/>
          <w:i/>
          <w:spacing w:val="-1"/>
          <w:sz w:val="20"/>
          <w:vertAlign w:val="baseline"/>
        </w:rPr>
        <w:t> </w:t>
      </w:r>
      <w:r>
        <w:rPr>
          <w:rFonts w:ascii="Arial"/>
          <w:i/>
          <w:sz w:val="20"/>
          <w:vertAlign w:val="baseline"/>
        </w:rPr>
        <w:t>v</w:t>
      </w:r>
      <w:r>
        <w:rPr>
          <w:rFonts w:ascii="Arial"/>
          <w:i/>
          <w:spacing w:val="-1"/>
          <w:sz w:val="20"/>
          <w:vertAlign w:val="baseline"/>
        </w:rPr>
        <w:t> </w:t>
      </w:r>
      <w:r>
        <w:rPr>
          <w:rFonts w:ascii="Arial"/>
          <w:i/>
          <w:sz w:val="20"/>
          <w:vertAlign w:val="baseline"/>
        </w:rPr>
        <w:t>First</w:t>
      </w:r>
      <w:r>
        <w:rPr>
          <w:rFonts w:ascii="Arial"/>
          <w:i/>
          <w:spacing w:val="-1"/>
          <w:sz w:val="20"/>
          <w:vertAlign w:val="baseline"/>
        </w:rPr>
        <w:t> </w:t>
      </w:r>
      <w:r>
        <w:rPr>
          <w:rFonts w:ascii="Arial"/>
          <w:i/>
          <w:spacing w:val="-2"/>
          <w:sz w:val="20"/>
          <w:vertAlign w:val="baseline"/>
        </w:rPr>
        <w:t>County</w:t>
      </w:r>
    </w:p>
    <w:p>
      <w:pPr>
        <w:spacing w:after="0"/>
        <w:jc w:val="both"/>
        <w:rPr>
          <w:rFonts w:ascii="Arial"/>
          <w:i/>
          <w:sz w:val="20"/>
        </w:rPr>
        <w:sectPr>
          <w:pgSz w:w="11900" w:h="16840"/>
          <w:pgMar w:header="971" w:footer="0" w:top="1300" w:bottom="280" w:left="1275" w:right="1275"/>
        </w:sectPr>
      </w:pPr>
    </w:p>
    <w:p>
      <w:pPr>
        <w:pStyle w:val="BodyText"/>
        <w:spacing w:line="235" w:lineRule="auto" w:before="110"/>
        <w:ind w:left="164" w:right="167"/>
        <w:jc w:val="both"/>
      </w:pPr>
      <w:bookmarkStart w:name="_bookmark1087" w:id="1089"/>
      <w:bookmarkEnd w:id="1089"/>
      <w:r>
        <w:rPr/>
      </w:r>
      <w:r>
        <w:rPr>
          <w:rFonts w:ascii="Arial" w:hAnsi="Arial"/>
          <w:i/>
        </w:rPr>
        <w:t>Trust Ltd (No.2)</w:t>
      </w:r>
      <w:r>
        <w:rPr/>
        <w:t>. as being found in the speeches of Lords Hobhouse, Scott and Hope rather </w:t>
      </w:r>
      <w:r>
        <w:rPr/>
        <w:t>than Lords Nicolls and Roger </w:t>
      </w:r>
      <w:r>
        <w:rPr>
          <w:color w:val="005DA1"/>
          <w:u w:val="single" w:color="005DA1"/>
          <w:vertAlign w:val="superscript"/>
        </w:rPr>
        <w:t>595</w:t>
      </w:r>
      <w:r>
        <w:rPr>
          <w:color w:val="005DA1"/>
          <w:vertAlign w:val="baseline"/>
        </w:rPr>
        <w:t> </w:t>
      </w:r>
      <w:r>
        <w:rPr>
          <w:vertAlign w:val="baseline"/>
        </w:rPr>
        <w:t>and held that </w:t>
      </w:r>
      <w:r>
        <w:rPr>
          <w:rFonts w:ascii="Arial" w:hAnsi="Arial"/>
          <w:i/>
          <w:vertAlign w:val="baseline"/>
        </w:rPr>
        <w:t>Wilson </w:t>
      </w:r>
      <w:r>
        <w:rPr>
          <w:vertAlign w:val="baseline"/>
        </w:rPr>
        <w:t>is therefore authority for the proposition that there is no violation of a contracting party’s rights under art.1 of the First Protocol to the Convention where</w:t>
      </w:r>
      <w:r>
        <w:rPr>
          <w:spacing w:val="40"/>
          <w:vertAlign w:val="baseline"/>
        </w:rPr>
        <w:t> </w:t>
      </w:r>
      <w:bookmarkStart w:name="_bookmark1088" w:id="1090"/>
      <w:bookmarkEnd w:id="1090"/>
      <w:r>
        <w:rPr>
          <w:vertAlign w:val="baseline"/>
        </w:rPr>
        <w:t>that</w:t>
      </w:r>
      <w:r>
        <w:rPr>
          <w:vertAlign w:val="baseline"/>
        </w:rPr>
        <w:t> party did not acquire any effective rights against the other contracting party as a result of the application of UK statute. </w:t>
      </w:r>
      <w:r>
        <w:rPr>
          <w:color w:val="005DA1"/>
          <w:u w:val="single" w:color="005DA1"/>
          <w:vertAlign w:val="superscript"/>
        </w:rPr>
        <w:t>596</w:t>
      </w:r>
      <w:r>
        <w:rPr>
          <w:color w:val="005DA1"/>
          <w:vertAlign w:val="baseline"/>
        </w:rPr>
        <w:t> </w:t>
      </w:r>
      <w:r>
        <w:rPr>
          <w:vertAlign w:val="baseline"/>
        </w:rPr>
        <w:t>The Court of Appeal applied this proposition to a case where a contracting party’s rights under a contract of credit hire agreement were unenforceable against the </w:t>
      </w:r>
      <w:bookmarkStart w:name="_bookmark1089" w:id="1091"/>
      <w:bookmarkEnd w:id="1091"/>
      <w:r>
        <w:rPr>
          <w:vertAlign w:val="baseline"/>
        </w:rPr>
        <w:t>consumer</w:t>
      </w:r>
      <w:r>
        <w:rPr>
          <w:spacing w:val="-1"/>
          <w:vertAlign w:val="baseline"/>
        </w:rPr>
        <w:t> </w:t>
      </w:r>
      <w:r>
        <w:rPr>
          <w:vertAlign w:val="baseline"/>
        </w:rPr>
        <w:t>hirer</w:t>
      </w:r>
      <w:r>
        <w:rPr>
          <w:spacing w:val="-1"/>
          <w:vertAlign w:val="baseline"/>
        </w:rPr>
        <w:t> </w:t>
      </w:r>
      <w:r>
        <w:rPr>
          <w:vertAlign w:val="baseline"/>
        </w:rPr>
        <w:t>by</w:t>
      </w:r>
      <w:r>
        <w:rPr>
          <w:spacing w:val="-1"/>
          <w:vertAlign w:val="baseline"/>
        </w:rPr>
        <w:t> </w:t>
      </w:r>
      <w:r>
        <w:rPr>
          <w:vertAlign w:val="baseline"/>
        </w:rPr>
        <w:t>operation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Cancellation</w:t>
      </w:r>
      <w:r>
        <w:rPr>
          <w:spacing w:val="-1"/>
          <w:vertAlign w:val="baseline"/>
        </w:rPr>
        <w:t> </w:t>
      </w:r>
      <w:r>
        <w:rPr>
          <w:vertAlign w:val="baseline"/>
        </w:rPr>
        <w:t>of</w:t>
      </w:r>
      <w:r>
        <w:rPr>
          <w:spacing w:val="-1"/>
          <w:vertAlign w:val="baseline"/>
        </w:rPr>
        <w:t> </w:t>
      </w:r>
      <w:r>
        <w:rPr>
          <w:vertAlign w:val="baseline"/>
        </w:rPr>
        <w:t>Contracts</w:t>
      </w:r>
      <w:r>
        <w:rPr>
          <w:spacing w:val="-1"/>
          <w:vertAlign w:val="baseline"/>
        </w:rPr>
        <w:t> </w:t>
      </w:r>
      <w:r>
        <w:rPr>
          <w:vertAlign w:val="baseline"/>
        </w:rPr>
        <w:t>made</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Consumer’s</w:t>
      </w:r>
      <w:r>
        <w:rPr>
          <w:spacing w:val="-1"/>
          <w:vertAlign w:val="baseline"/>
        </w:rPr>
        <w:t> </w:t>
      </w:r>
      <w:r>
        <w:rPr>
          <w:vertAlign w:val="baseline"/>
        </w:rPr>
        <w:t>Home</w:t>
      </w:r>
      <w:r>
        <w:rPr>
          <w:spacing w:val="-1"/>
          <w:vertAlign w:val="baseline"/>
        </w:rPr>
        <w:t> </w:t>
      </w:r>
      <w:r>
        <w:rPr>
          <w:vertAlign w:val="baseline"/>
        </w:rPr>
        <w:t>or</w:t>
      </w:r>
      <w:r>
        <w:rPr>
          <w:spacing w:val="-1"/>
          <w:vertAlign w:val="baseline"/>
        </w:rPr>
        <w:t> </w:t>
      </w:r>
      <w:r>
        <w:rPr>
          <w:vertAlign w:val="baseline"/>
        </w:rPr>
        <w:t>Place</w:t>
      </w:r>
      <w:r>
        <w:rPr>
          <w:spacing w:val="-1"/>
          <w:vertAlign w:val="baseline"/>
        </w:rPr>
        <w:t> </w:t>
      </w:r>
      <w:r>
        <w:rPr>
          <w:vertAlign w:val="baseline"/>
        </w:rPr>
        <w:t>of </w:t>
      </w:r>
      <w:bookmarkStart w:name="_bookmark1090" w:id="1092"/>
      <w:bookmarkEnd w:id="1092"/>
      <w:r>
        <w:rPr>
          <w:vertAlign w:val="baseline"/>
        </w:rPr>
        <w:t>Work</w:t>
      </w:r>
      <w:r>
        <w:rPr>
          <w:vertAlign w:val="baseline"/>
        </w:rPr>
        <w:t> etc. Regulations 2008. </w:t>
      </w:r>
      <w:r>
        <w:rPr>
          <w:color w:val="005DA1"/>
          <w:u w:val="single" w:color="005DA1"/>
          <w:vertAlign w:val="superscript"/>
        </w:rPr>
        <w:t>597</w:t>
      </w:r>
      <w:r>
        <w:rPr>
          <w:color w:val="005DA1"/>
          <w:vertAlign w:val="baseline"/>
        </w:rPr>
        <w:t> </w:t>
      </w:r>
      <w:r>
        <w:rPr>
          <w:vertAlign w:val="baseline"/>
        </w:rPr>
        <w:t>In the Court of Appeal’s view, this position was not affected by the decision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European</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Human</w:t>
      </w:r>
      <w:r>
        <w:rPr>
          <w:spacing w:val="-2"/>
          <w:vertAlign w:val="baseline"/>
        </w:rPr>
        <w:t> </w:t>
      </w:r>
      <w:r>
        <w:rPr>
          <w:vertAlign w:val="baseline"/>
        </w:rPr>
        <w:t>Rights</w:t>
      </w:r>
      <w:r>
        <w:rPr>
          <w:spacing w:val="-2"/>
          <w:vertAlign w:val="baseline"/>
        </w:rPr>
        <w:t> </w:t>
      </w:r>
      <w:r>
        <w:rPr>
          <w:vertAlign w:val="baseline"/>
        </w:rPr>
        <w:t>in</w:t>
      </w:r>
      <w:r>
        <w:rPr>
          <w:spacing w:val="-3"/>
          <w:vertAlign w:val="baseline"/>
        </w:rPr>
        <w:t> </w:t>
      </w:r>
      <w:r>
        <w:rPr>
          <w:rFonts w:ascii="Arial" w:hAnsi="Arial"/>
          <w:i/>
          <w:vertAlign w:val="baseline"/>
        </w:rPr>
        <w:t>Stretch</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UK</w:t>
      </w:r>
      <w:r>
        <w:rPr>
          <w:rFonts w:ascii="Arial" w:hAnsi="Arial"/>
          <w:i/>
          <w:spacing w:val="-2"/>
          <w:vertAlign w:val="baseline"/>
        </w:rPr>
        <w:t> </w:t>
      </w:r>
      <w:r>
        <w:rPr>
          <w:color w:val="005DA1"/>
          <w:u w:val="single" w:color="005DA1"/>
          <w:vertAlign w:val="superscript"/>
        </w:rPr>
        <w:t>598</w:t>
      </w:r>
      <w:r>
        <w:rPr>
          <w:color w:val="005DA1"/>
          <w:spacing w:val="-2"/>
          <w:vertAlign w:val="baseline"/>
        </w:rPr>
        <w:t> </w:t>
      </w:r>
      <w:r>
        <w:rPr>
          <w:vertAlign w:val="baseline"/>
        </w:rPr>
        <w:t>at</w:t>
      </w:r>
      <w:r>
        <w:rPr>
          <w:spacing w:val="-2"/>
          <w:vertAlign w:val="baseline"/>
        </w:rPr>
        <w:t> </w:t>
      </w:r>
      <w:r>
        <w:rPr>
          <w:vertAlign w:val="baseline"/>
        </w:rPr>
        <w:t>least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context</w:t>
      </w:r>
      <w:r>
        <w:rPr>
          <w:spacing w:val="-2"/>
          <w:vertAlign w:val="baseline"/>
        </w:rPr>
        <w:t> </w:t>
      </w:r>
      <w:r>
        <w:rPr>
          <w:vertAlign w:val="baseline"/>
        </w:rPr>
        <w:t>before</w:t>
      </w:r>
      <w:r>
        <w:rPr>
          <w:spacing w:val="-2"/>
          <w:vertAlign w:val="baseline"/>
        </w:rPr>
        <w:t> </w:t>
      </w:r>
      <w:r>
        <w:rPr>
          <w:vertAlign w:val="baseline"/>
        </w:rPr>
        <w:t>it,</w:t>
      </w:r>
      <w:r>
        <w:rPr>
          <w:spacing w:val="-2"/>
          <w:vertAlign w:val="baseline"/>
        </w:rPr>
        <w:t> </w:t>
      </w:r>
      <w:r>
        <w:rPr>
          <w:vertAlign w:val="baseline"/>
        </w:rPr>
        <w:t>as the credit hire company must be taken to have been aware of the effect of the 2008 Regulations at</w:t>
      </w:r>
      <w:r>
        <w:rPr>
          <w:spacing w:val="40"/>
          <w:vertAlign w:val="baseline"/>
        </w:rPr>
        <w:t> </w:t>
      </w:r>
      <w:bookmarkStart w:name="_bookmark1091" w:id="1093"/>
      <w:bookmarkEnd w:id="1093"/>
      <w:r>
        <w:rPr>
          <w:vertAlign w:val="baseline"/>
        </w:rPr>
        <w:t>the</w:t>
      </w:r>
      <w:r>
        <w:rPr>
          <w:vertAlign w:val="baseline"/>
        </w:rPr>
        <w:t> time it entered into the agreement and so cannot have had a legitimate expectation of being able to</w:t>
      </w:r>
      <w:r>
        <w:rPr>
          <w:spacing w:val="12"/>
          <w:vertAlign w:val="baseline"/>
        </w:rPr>
        <w:t> </w:t>
      </w:r>
      <w:r>
        <w:rPr>
          <w:vertAlign w:val="baseline"/>
        </w:rPr>
        <w:t>enforce</w:t>
      </w:r>
      <w:r>
        <w:rPr>
          <w:spacing w:val="12"/>
          <w:vertAlign w:val="baseline"/>
        </w:rPr>
        <w:t> </w:t>
      </w:r>
      <w:r>
        <w:rPr>
          <w:vertAlign w:val="baseline"/>
        </w:rPr>
        <w:t>the</w:t>
      </w:r>
      <w:r>
        <w:rPr>
          <w:spacing w:val="12"/>
          <w:vertAlign w:val="baseline"/>
        </w:rPr>
        <w:t> </w:t>
      </w:r>
      <w:r>
        <w:rPr>
          <w:vertAlign w:val="baseline"/>
        </w:rPr>
        <w:t>agreement</w:t>
      </w:r>
      <w:r>
        <w:rPr>
          <w:spacing w:val="12"/>
          <w:vertAlign w:val="baseline"/>
        </w:rPr>
        <w:t> </w:t>
      </w:r>
      <w:r>
        <w:rPr>
          <w:vertAlign w:val="baseline"/>
        </w:rPr>
        <w:t>against</w:t>
      </w:r>
      <w:r>
        <w:rPr>
          <w:spacing w:val="12"/>
          <w:vertAlign w:val="baseline"/>
        </w:rPr>
        <w:t> </w:t>
      </w:r>
      <w:r>
        <w:rPr>
          <w:vertAlign w:val="baseline"/>
        </w:rPr>
        <w:t>the</w:t>
      </w:r>
      <w:r>
        <w:rPr>
          <w:spacing w:val="12"/>
          <w:vertAlign w:val="baseline"/>
        </w:rPr>
        <w:t> </w:t>
      </w:r>
      <w:r>
        <w:rPr>
          <w:vertAlign w:val="baseline"/>
        </w:rPr>
        <w:t>consumer</w:t>
      </w:r>
      <w:r>
        <w:rPr>
          <w:spacing w:val="12"/>
          <w:vertAlign w:val="baseline"/>
        </w:rPr>
        <w:t> </w:t>
      </w:r>
      <w:r>
        <w:rPr>
          <w:vertAlign w:val="baseline"/>
        </w:rPr>
        <w:t>hirer</w:t>
      </w:r>
      <w:r>
        <w:rPr>
          <w:spacing w:val="12"/>
          <w:vertAlign w:val="baseline"/>
        </w:rPr>
        <w:t> </w:t>
      </w:r>
      <w:r>
        <w:rPr>
          <w:vertAlign w:val="baseline"/>
        </w:rPr>
        <w:t>if</w:t>
      </w:r>
      <w:r>
        <w:rPr>
          <w:spacing w:val="12"/>
          <w:vertAlign w:val="baseline"/>
        </w:rPr>
        <w:t> </w:t>
      </w:r>
      <w:r>
        <w:rPr>
          <w:vertAlign w:val="baseline"/>
        </w:rPr>
        <w:t>it</w:t>
      </w:r>
      <w:r>
        <w:rPr>
          <w:spacing w:val="12"/>
          <w:vertAlign w:val="baseline"/>
        </w:rPr>
        <w:t> </w:t>
      </w:r>
      <w:r>
        <w:rPr>
          <w:vertAlign w:val="baseline"/>
        </w:rPr>
        <w:t>did</w:t>
      </w:r>
      <w:r>
        <w:rPr>
          <w:spacing w:val="12"/>
          <w:vertAlign w:val="baseline"/>
        </w:rPr>
        <w:t> </w:t>
      </w:r>
      <w:r>
        <w:rPr>
          <w:vertAlign w:val="baseline"/>
        </w:rPr>
        <w:t>not</w:t>
      </w:r>
      <w:r>
        <w:rPr>
          <w:spacing w:val="12"/>
          <w:vertAlign w:val="baseline"/>
        </w:rPr>
        <w:t> </w:t>
      </w:r>
      <w:r>
        <w:rPr>
          <w:vertAlign w:val="baseline"/>
        </w:rPr>
        <w:t>comply</w:t>
      </w:r>
      <w:r>
        <w:rPr>
          <w:spacing w:val="12"/>
          <w:vertAlign w:val="baseline"/>
        </w:rPr>
        <w:t> </w:t>
      </w:r>
      <w:r>
        <w:rPr>
          <w:vertAlign w:val="baseline"/>
        </w:rPr>
        <w:t>with</w:t>
      </w:r>
      <w:r>
        <w:rPr>
          <w:spacing w:val="12"/>
          <w:vertAlign w:val="baseline"/>
        </w:rPr>
        <w:t> </w:t>
      </w:r>
      <w:r>
        <w:rPr>
          <w:vertAlign w:val="baseline"/>
        </w:rPr>
        <w:t>the</w:t>
      </w:r>
      <w:r>
        <w:rPr>
          <w:spacing w:val="12"/>
          <w:vertAlign w:val="baseline"/>
        </w:rPr>
        <w:t> </w:t>
      </w:r>
      <w:r>
        <w:rPr>
          <w:vertAlign w:val="baseline"/>
        </w:rPr>
        <w:t>relevant</w:t>
      </w:r>
      <w:r>
        <w:rPr>
          <w:spacing w:val="12"/>
          <w:vertAlign w:val="baseline"/>
        </w:rPr>
        <w:t> </w:t>
      </w:r>
      <w:r>
        <w:rPr>
          <w:spacing w:val="-2"/>
          <w:vertAlign w:val="baseline"/>
        </w:rPr>
        <w:t>regulation.</w:t>
      </w:r>
    </w:p>
    <w:p>
      <w:pPr>
        <w:spacing w:line="109" w:lineRule="exact" w:before="0"/>
        <w:ind w:left="165" w:right="0" w:firstLine="0"/>
        <w:jc w:val="left"/>
        <w:rPr>
          <w:sz w:val="12"/>
        </w:rPr>
      </w:pPr>
      <w:r>
        <w:rPr>
          <w:color w:val="005DA1"/>
          <w:spacing w:val="-5"/>
          <w:sz w:val="12"/>
          <w:u w:val="single" w:color="005DA1"/>
        </w:rPr>
        <w:t>599</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hAnsi="Arial"/>
          <w:b/>
          <w:sz w:val="18"/>
        </w:rPr>
      </w:pPr>
      <w:r>
        <w:rPr>
          <w:rFonts w:ascii="Arial" w:hAnsi="Arial"/>
          <w:b/>
          <w:sz w:val="18"/>
        </w:rPr>
        <w:t>The legitimacy, certainty, and proportionality of the legislative interference with a person’s </w:t>
      </w:r>
      <w:r>
        <w:rPr>
          <w:rFonts w:ascii="Arial" w:hAnsi="Arial"/>
          <w:b/>
          <w:spacing w:val="-2"/>
          <w:sz w:val="18"/>
        </w:rPr>
        <w:t>property</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071</w:t>
      </w:r>
    </w:p>
    <w:p>
      <w:pPr>
        <w:pStyle w:val="BodyText"/>
        <w:spacing w:line="235" w:lineRule="auto" w:before="202"/>
        <w:ind w:left="164" w:right="167"/>
        <w:jc w:val="both"/>
      </w:pPr>
      <w:r>
        <w:rPr/>
        <w:t>If a court decides that art.1 of the First Protocol is engaged, it must then address the question</w:t>
      </w:r>
      <w:r>
        <w:rPr>
          <w:spacing w:val="80"/>
        </w:rPr>
        <w:t> </w:t>
      </w:r>
      <w:bookmarkStart w:name="_bookmark1092" w:id="1094"/>
      <w:bookmarkEnd w:id="1094"/>
      <w:r>
        <w:rPr/>
        <w:t>whether</w:t>
      </w:r>
      <w:r>
        <w:rPr/>
        <w:t> the law’s interference with the right of property is legitimate, sufficiently certain and proportionate. </w:t>
      </w:r>
      <w:r>
        <w:rPr>
          <w:color w:val="005DA1"/>
          <w:u w:val="single" w:color="005DA1"/>
          <w:vertAlign w:val="superscript"/>
        </w:rPr>
        <w:t>600</w:t>
      </w:r>
      <w:r>
        <w:rPr>
          <w:color w:val="005DA1"/>
          <w:vertAlign w:val="baseline"/>
        </w:rPr>
        <w:t> </w:t>
      </w:r>
      <w:r>
        <w:rPr>
          <w:vertAlign w:val="baseline"/>
        </w:rPr>
        <w:t>In this respect, in </w:t>
      </w:r>
      <w:r>
        <w:rPr>
          <w:rFonts w:ascii="Arial" w:hAnsi="Arial"/>
          <w:i/>
          <w:vertAlign w:val="baseline"/>
        </w:rPr>
        <w:t>Wilson v First County Trust Ltd (No.2) </w:t>
      </w:r>
      <w:r>
        <w:rPr>
          <w:color w:val="005DA1"/>
          <w:u w:val="single" w:color="005DA1"/>
          <w:vertAlign w:val="superscript"/>
        </w:rPr>
        <w:t>601</w:t>
      </w:r>
      <w:r>
        <w:rPr>
          <w:color w:val="005DA1"/>
          <w:vertAlign w:val="baseline"/>
        </w:rPr>
        <w:t> </w:t>
      </w:r>
      <w:r>
        <w:rPr>
          <w:vertAlign w:val="baseline"/>
        </w:rPr>
        <w:t>those judges who expressed a view on the matter considered that if the provisions of the Consumer Credit Act </w:t>
      </w:r>
      <w:r>
        <w:rPr>
          <w:vertAlign w:val="baseline"/>
        </w:rPr>
        <w:t>1974 were properly held to interfere with the creditor’s right of property, then this interference was both </w:t>
      </w:r>
      <w:bookmarkStart w:name="_bookmark1093" w:id="1095"/>
      <w:bookmarkEnd w:id="1095"/>
      <w:r>
        <w:rPr>
          <w:vertAlign w:val="baseline"/>
        </w:rPr>
        <w:t>“legitimate”</w:t>
      </w:r>
      <w:r>
        <w:rPr>
          <w:vertAlign w:val="baseline"/>
        </w:rPr>
        <w:t> and “proportionate” given the importance of the social policy of protection of borrowers which lay behind them. </w:t>
      </w:r>
      <w:r>
        <w:rPr>
          <w:color w:val="005DA1"/>
          <w:u w:val="single" w:color="005DA1"/>
          <w:vertAlign w:val="superscript"/>
        </w:rPr>
        <w:t>602</w:t>
      </w:r>
      <w:r>
        <w:rPr>
          <w:color w:val="005DA1"/>
          <w:vertAlign w:val="baseline"/>
        </w:rPr>
        <w:t> </w:t>
      </w:r>
      <w:r>
        <w:rPr>
          <w:vertAlign w:val="baseline"/>
        </w:rPr>
        <w:t>And while Lord Nicholls expressed some hesitation on the issue of </w:t>
      </w:r>
      <w:bookmarkStart w:name="_bookmark1094" w:id="1096"/>
      <w:bookmarkEnd w:id="1096"/>
      <w:r>
        <w:rPr>
          <w:vertAlign w:val="baseline"/>
        </w:rPr>
        <w:t>certainty,</w:t>
      </w:r>
      <w:r>
        <w:rPr>
          <w:vertAlign w:val="baseline"/>
        </w:rPr>
        <w:t> he concluded that he was “not persuaded [that] the degree of uncertainty involved … [was] unacceptably high”. </w:t>
      </w:r>
      <w:r>
        <w:rPr>
          <w:color w:val="005DA1"/>
          <w:u w:val="single" w:color="005DA1"/>
          <w:vertAlign w:val="superscript"/>
        </w:rPr>
        <w:t>603</w:t>
      </w:r>
      <w:r>
        <w:rPr>
          <w:color w:val="005DA1"/>
          <w:vertAlign w:val="baseline"/>
        </w:rPr>
        <w:t> </w:t>
      </w:r>
      <w:r>
        <w:rPr>
          <w:vertAlign w:val="baseline"/>
        </w:rPr>
        <w:t>Therefore, there was no incompatibility between the relevant provisions of the </w:t>
      </w:r>
      <w:bookmarkStart w:name="_bookmark1095" w:id="1097"/>
      <w:bookmarkEnd w:id="1097"/>
      <w:r>
        <w:rPr>
          <w:vertAlign w:val="baseline"/>
        </w:rPr>
        <w:t>Consumer</w:t>
      </w:r>
      <w:r>
        <w:rPr>
          <w:spacing w:val="-1"/>
          <w:vertAlign w:val="baseline"/>
        </w:rPr>
        <w:t> </w:t>
      </w:r>
      <w:r>
        <w:rPr>
          <w:vertAlign w:val="baseline"/>
        </w:rPr>
        <w:t>Credit</w:t>
      </w:r>
      <w:r>
        <w:rPr>
          <w:spacing w:val="-1"/>
          <w:vertAlign w:val="baseline"/>
        </w:rPr>
        <w:t> </w:t>
      </w:r>
      <w:r>
        <w:rPr>
          <w:vertAlign w:val="baseline"/>
        </w:rPr>
        <w:t>Act</w:t>
      </w:r>
      <w:r>
        <w:rPr>
          <w:spacing w:val="-1"/>
          <w:vertAlign w:val="baseline"/>
        </w:rPr>
        <w:t> </w:t>
      </w:r>
      <w:r>
        <w:rPr>
          <w:vertAlign w:val="baseline"/>
        </w:rPr>
        <w:t>1974</w:t>
      </w:r>
      <w:r>
        <w:rPr>
          <w:spacing w:val="-1"/>
          <w:vertAlign w:val="baseline"/>
        </w:rPr>
        <w:t> </w:t>
      </w:r>
      <w:r>
        <w:rPr>
          <w:vertAlign w:val="baseline"/>
        </w:rPr>
        <w:t>and</w:t>
      </w:r>
      <w:r>
        <w:rPr>
          <w:spacing w:val="-1"/>
          <w:vertAlign w:val="baseline"/>
        </w:rPr>
        <w:t> </w:t>
      </w:r>
      <w:r>
        <w:rPr>
          <w:vertAlign w:val="baseline"/>
        </w:rPr>
        <w:t>creditors’</w:t>
      </w:r>
      <w:r>
        <w:rPr>
          <w:spacing w:val="-1"/>
          <w:vertAlign w:val="baseline"/>
        </w:rPr>
        <w:t> </w:t>
      </w:r>
      <w:r>
        <w:rPr>
          <w:vertAlign w:val="baseline"/>
        </w:rPr>
        <w:t>Convention</w:t>
      </w:r>
      <w:r>
        <w:rPr>
          <w:spacing w:val="-1"/>
          <w:vertAlign w:val="baseline"/>
        </w:rPr>
        <w:t> </w:t>
      </w:r>
      <w:r>
        <w:rPr>
          <w:vertAlign w:val="baseline"/>
        </w:rPr>
        <w:t>rights.</w:t>
      </w:r>
      <w:r>
        <w:rPr>
          <w:spacing w:val="-1"/>
          <w:vertAlign w:val="baseline"/>
        </w:rPr>
        <w:t> </w:t>
      </w:r>
      <w:r>
        <w:rPr>
          <w:vertAlign w:val="baseline"/>
        </w:rPr>
        <w:t>Similarly,</w:t>
      </w:r>
      <w:r>
        <w:rPr>
          <w:spacing w:val="-1"/>
          <w:vertAlign w:val="baseline"/>
        </w:rPr>
        <w:t> </w:t>
      </w:r>
      <w:r>
        <w:rPr>
          <w:vertAlign w:val="baseline"/>
        </w:rPr>
        <w:t>in</w:t>
      </w:r>
      <w:r>
        <w:rPr>
          <w:spacing w:val="-2"/>
          <w:vertAlign w:val="baseline"/>
        </w:rPr>
        <w:t> </w:t>
      </w:r>
      <w:r>
        <w:rPr>
          <w:rFonts w:ascii="Arial" w:hAnsi="Arial"/>
          <w:i/>
          <w:vertAlign w:val="baseline"/>
        </w:rPr>
        <w:t>K</w:t>
      </w:r>
      <w:r>
        <w:rPr>
          <w:rFonts w:ascii="Arial" w:hAnsi="Arial"/>
          <w:i/>
          <w:spacing w:val="-1"/>
          <w:vertAlign w:val="baseline"/>
        </w:rPr>
        <w:t> </w:t>
      </w:r>
      <w:r>
        <w:rPr>
          <w:rFonts w:ascii="Arial" w:hAnsi="Arial"/>
          <w:i/>
          <w:vertAlign w:val="baseline"/>
        </w:rPr>
        <w:t>Ltd</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National</w:t>
      </w:r>
      <w:r>
        <w:rPr>
          <w:rFonts w:ascii="Arial" w:hAnsi="Arial"/>
          <w:i/>
          <w:spacing w:val="-1"/>
          <w:vertAlign w:val="baseline"/>
        </w:rPr>
        <w:t> </w:t>
      </w:r>
      <w:r>
        <w:rPr>
          <w:rFonts w:ascii="Arial" w:hAnsi="Arial"/>
          <w:i/>
          <w:vertAlign w:val="baseline"/>
        </w:rPr>
        <w:t>Westminster Bank Plc </w:t>
      </w:r>
      <w:r>
        <w:rPr>
          <w:color w:val="005DA1"/>
          <w:u w:val="single" w:color="005DA1"/>
          <w:vertAlign w:val="superscript"/>
        </w:rPr>
        <w:t>604</w:t>
      </w:r>
      <w:r>
        <w:rPr>
          <w:color w:val="005DA1"/>
          <w:vertAlign w:val="baseline"/>
        </w:rPr>
        <w:t> </w:t>
      </w:r>
      <w:r>
        <w:rPr>
          <w:vertAlign w:val="baseline"/>
        </w:rPr>
        <w:t>the Court of Appeal held that even if the exception created by the Proceeds of Crime Act 2002 to a bank’s customer’s right to have the contract of mandate performed attracted the application of art.1, any interference with the customer’s common law rights under the mandate did not impair its </w:t>
      </w:r>
      <w:bookmarkStart w:name="_bookmark1096" w:id="1098"/>
      <w:bookmarkEnd w:id="1098"/>
      <w:r>
        <w:rPr>
          <w:vertAlign w:val="baseline"/>
        </w:rPr>
        <w:t>right</w:t>
      </w:r>
      <w:r>
        <w:rPr>
          <w:vertAlign w:val="baseline"/>
        </w:rPr>
        <w:t> of access to the courts in anything more than a short suspensory manner and, given the purposes of the 2002 Act, did so in pursuance of a legitimate aim in a proportionate manner. </w:t>
      </w:r>
      <w:r>
        <w:rPr>
          <w:color w:val="005DA1"/>
          <w:u w:val="single" w:color="005DA1"/>
          <w:vertAlign w:val="superscript"/>
        </w:rPr>
        <w:t>605</w:t>
      </w:r>
    </w:p>
    <w:p>
      <w:pPr>
        <w:pStyle w:val="BodyText"/>
      </w:pPr>
    </w:p>
    <w:p>
      <w:pPr>
        <w:pStyle w:val="BodyText"/>
        <w:spacing w:before="33"/>
      </w:pPr>
    </w:p>
    <w:p>
      <w:pPr>
        <w:spacing w:before="0"/>
        <w:ind w:left="165" w:right="0" w:firstLine="0"/>
        <w:jc w:val="left"/>
        <w:rPr>
          <w:rFonts w:ascii="Arial"/>
          <w:b/>
          <w:sz w:val="18"/>
        </w:rPr>
      </w:pPr>
      <w:r>
        <w:rPr>
          <w:rFonts w:ascii="Arial"/>
          <w:b/>
          <w:sz w:val="18"/>
        </w:rPr>
        <w:t>Examples of other Convention </w:t>
      </w:r>
      <w:r>
        <w:rPr>
          <w:rFonts w:ascii="Arial"/>
          <w:b/>
          <w:spacing w:val="-2"/>
          <w:sz w:val="18"/>
        </w:rPr>
        <w:t>rights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072</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097" w:id="1099"/>
      <w:bookmarkEnd w:id="1099"/>
      <w:r>
        <w:rPr>
          <w:rFonts w:ascii="Times New Roman" w:hAnsi="Times New Roman"/>
          <w:spacing w:val="10"/>
        </w:rPr>
      </w:r>
      <w:r>
        <w:rPr/>
        <w:t>Examples of the application of ss.3 and 4 of the 1998 Act may arise in relation to other </w:t>
      </w:r>
      <w:r>
        <w:rPr/>
        <w:t>Convention rights. </w:t>
      </w:r>
      <w:r>
        <w:rPr>
          <w:color w:val="005DA1"/>
          <w:u w:val="single" w:color="005DA1"/>
          <w:vertAlign w:val="superscript"/>
        </w:rPr>
        <w:t>606</w:t>
      </w:r>
      <w:r>
        <w:rPr>
          <w:color w:val="005DA1"/>
          <w:vertAlign w:val="baseline"/>
        </w:rPr>
        <w:t> </w:t>
      </w:r>
      <w:r>
        <w:rPr>
          <w:vertAlign w:val="baseline"/>
        </w:rPr>
        <w:t>So, it has been argued that s.11(1)(a) of the Landlord and Tenant Act 1985 imposing an obligation “to keep in repair the structure” of the dwelling house must be construed by operation of s.3(1) of the 1998 Act so as to give effect to the tenant’s rights under art.8 of the European </w:t>
      </w:r>
      <w:bookmarkStart w:name="_bookmark1098" w:id="1100"/>
      <w:bookmarkEnd w:id="1100"/>
      <w:r>
        <w:rPr>
          <w:vertAlign w:val="baseline"/>
        </w:rPr>
        <w:t>Convention</w:t>
      </w:r>
      <w:r>
        <w:rPr>
          <w:vertAlign w:val="baseline"/>
        </w:rPr>
        <w:t> and thereby must be read as imposing an obligation “to put and keep [the structure] in good habitable repair”. </w:t>
      </w:r>
      <w:r>
        <w:rPr>
          <w:color w:val="005DA1"/>
          <w:u w:val="single" w:color="005DA1"/>
          <w:vertAlign w:val="superscript"/>
        </w:rPr>
        <w:t>607</w:t>
      </w:r>
      <w:r>
        <w:rPr>
          <w:color w:val="005DA1"/>
          <w:vertAlign w:val="baseline"/>
        </w:rPr>
        <w:t> </w:t>
      </w:r>
      <w:r>
        <w:rPr>
          <w:vertAlign w:val="baseline"/>
        </w:rPr>
        <w:t>However, this argument was rejected by the Court of Appeal on the basis </w:t>
      </w:r>
      <w:bookmarkStart w:name="_bookmark1099" w:id="1101"/>
      <w:bookmarkEnd w:id="1101"/>
      <w:r>
        <w:rPr>
          <w:vertAlign w:val="baseline"/>
        </w:rPr>
        <w:t>that</w:t>
      </w:r>
      <w:r>
        <w:rPr>
          <w:spacing w:val="14"/>
          <w:vertAlign w:val="baseline"/>
        </w:rPr>
        <w:t> </w:t>
      </w:r>
      <w:r>
        <w:rPr>
          <w:vertAlign w:val="baseline"/>
        </w:rPr>
        <w:t>this</w:t>
      </w:r>
      <w:r>
        <w:rPr>
          <w:spacing w:val="14"/>
          <w:vertAlign w:val="baseline"/>
        </w:rPr>
        <w:t> </w:t>
      </w:r>
      <w:r>
        <w:rPr>
          <w:vertAlign w:val="baseline"/>
        </w:rPr>
        <w:t>was</w:t>
      </w:r>
      <w:r>
        <w:rPr>
          <w:spacing w:val="14"/>
          <w:vertAlign w:val="baseline"/>
        </w:rPr>
        <w:t> </w:t>
      </w:r>
      <w:r>
        <w:rPr>
          <w:vertAlign w:val="baseline"/>
        </w:rPr>
        <w:t>not</w:t>
      </w:r>
      <w:r>
        <w:rPr>
          <w:spacing w:val="14"/>
          <w:vertAlign w:val="baseline"/>
        </w:rPr>
        <w:t> </w:t>
      </w:r>
      <w:r>
        <w:rPr>
          <w:vertAlign w:val="baseline"/>
        </w:rPr>
        <w:t>a</w:t>
      </w:r>
      <w:r>
        <w:rPr>
          <w:spacing w:val="14"/>
          <w:vertAlign w:val="baseline"/>
        </w:rPr>
        <w:t> </w:t>
      </w:r>
      <w:r>
        <w:rPr>
          <w:vertAlign w:val="baseline"/>
        </w:rPr>
        <w:t>possible</w:t>
      </w:r>
      <w:r>
        <w:rPr>
          <w:spacing w:val="14"/>
          <w:vertAlign w:val="baseline"/>
        </w:rPr>
        <w:t> </w:t>
      </w:r>
      <w:r>
        <w:rPr>
          <w:vertAlign w:val="baseline"/>
        </w:rPr>
        <w:t>reading</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relevant</w:t>
      </w:r>
      <w:r>
        <w:rPr>
          <w:spacing w:val="14"/>
          <w:vertAlign w:val="baseline"/>
        </w:rPr>
        <w:t> </w:t>
      </w:r>
      <w:r>
        <w:rPr>
          <w:vertAlign w:val="baseline"/>
        </w:rPr>
        <w:t>provisions</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Landlord</w:t>
      </w:r>
      <w:r>
        <w:rPr>
          <w:spacing w:val="14"/>
          <w:vertAlign w:val="baseline"/>
        </w:rPr>
        <w:t> </w:t>
      </w:r>
      <w:r>
        <w:rPr>
          <w:vertAlign w:val="baseline"/>
        </w:rPr>
        <w:t>and</w:t>
      </w:r>
      <w:r>
        <w:rPr>
          <w:spacing w:val="14"/>
          <w:vertAlign w:val="baseline"/>
        </w:rPr>
        <w:t> </w:t>
      </w:r>
      <w:r>
        <w:rPr>
          <w:vertAlign w:val="baseline"/>
        </w:rPr>
        <w:t>Tenant</w:t>
      </w:r>
      <w:r>
        <w:rPr>
          <w:spacing w:val="14"/>
          <w:vertAlign w:val="baseline"/>
        </w:rPr>
        <w:t> </w:t>
      </w:r>
      <w:r>
        <w:rPr>
          <w:vertAlign w:val="baseline"/>
        </w:rPr>
        <w:t>Act</w:t>
      </w:r>
      <w:r>
        <w:rPr>
          <w:spacing w:val="14"/>
          <w:vertAlign w:val="baseline"/>
        </w:rPr>
        <w:t> </w:t>
      </w:r>
      <w:r>
        <w:rPr>
          <w:spacing w:val="-2"/>
          <w:vertAlign w:val="baseline"/>
        </w:rPr>
        <w:t>1985,</w:t>
      </w:r>
    </w:p>
    <w:p>
      <w:pPr>
        <w:pStyle w:val="BodyText"/>
        <w:spacing w:line="235" w:lineRule="auto" w:before="118"/>
        <w:ind w:left="164" w:right="167"/>
        <w:jc w:val="both"/>
      </w:pPr>
      <w:r>
        <w:rPr/>
        <w:t>given the interpretation to them previously established by the Court of Appeal. </w:t>
      </w:r>
      <w:r>
        <w:rPr>
          <w:color w:val="005DA1"/>
          <w:u w:val="single" w:color="005DA1"/>
          <w:vertAlign w:val="superscript"/>
        </w:rPr>
        <w:t>608</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It has also been </w:t>
      </w:r>
      <w:bookmarkStart w:name="_bookmark1100" w:id="1102"/>
      <w:bookmarkEnd w:id="1102"/>
      <w:r>
        <w:rPr>
          <w:vertAlign w:val="baseline"/>
        </w:rPr>
        <w:t>argued</w:t>
      </w:r>
      <w:r>
        <w:rPr>
          <w:vertAlign w:val="baseline"/>
        </w:rPr>
        <w:t> that the system of adjudication set up by the Housing Grants Construction and Regeneration </w:t>
      </w:r>
      <w:bookmarkStart w:name="_bookmark1101" w:id="1103"/>
      <w:bookmarkEnd w:id="1103"/>
      <w:r>
        <w:rPr>
          <w:vertAlign w:val="baseline"/>
        </w:rPr>
        <w:t>Act</w:t>
      </w:r>
      <w:r>
        <w:rPr>
          <w:vertAlign w:val="baseline"/>
        </w:rPr>
        <w:t> 1996 s.108(2) is incompatible with art.6 of the European Convention. </w:t>
      </w:r>
      <w:r>
        <w:rPr>
          <w:color w:val="005DA1"/>
          <w:u w:val="single" w:color="005DA1"/>
          <w:vertAlign w:val="superscript"/>
        </w:rPr>
        <w:t>609</w:t>
      </w:r>
      <w:r>
        <w:rPr>
          <w:color w:val="005DA1"/>
          <w:vertAlign w:val="baseline"/>
        </w:rPr>
        <w:t> </w:t>
      </w:r>
      <w:r>
        <w:rPr>
          <w:vertAlign w:val="baseline"/>
        </w:rPr>
        <w:t>Furthermore, in </w:t>
      </w:r>
      <w:r>
        <w:rPr>
          <w:rFonts w:ascii="Arial" w:hAnsi="Arial"/>
          <w:i/>
          <w:vertAlign w:val="baseline"/>
        </w:rPr>
        <w:t>Ghaidan </w:t>
      </w:r>
      <w:bookmarkStart w:name="_bookmark1102" w:id="1104"/>
      <w:bookmarkEnd w:id="1104"/>
      <w:r>
        <w:rPr>
          <w:rFonts w:ascii="Arial" w:hAnsi="Arial"/>
          <w:i/>
          <w:vertAlign w:val="baseline"/>
        </w:rPr>
        <w:t>v</w:t>
      </w:r>
      <w:r>
        <w:rPr>
          <w:rFonts w:ascii="Arial" w:hAnsi="Arial"/>
          <w:i/>
          <w:vertAlign w:val="baseline"/>
        </w:rPr>
        <w:t> Godin Mendoza </w:t>
      </w:r>
      <w:r>
        <w:rPr>
          <w:color w:val="005DA1"/>
          <w:u w:val="single" w:color="005DA1"/>
          <w:vertAlign w:val="superscript"/>
        </w:rPr>
        <w:t>610</w:t>
      </w:r>
      <w:r>
        <w:rPr>
          <w:color w:val="005DA1"/>
          <w:vertAlign w:val="baseline"/>
        </w:rPr>
        <w:t> </w:t>
      </w:r>
      <w:r>
        <w:rPr>
          <w:vertAlign w:val="baseline"/>
        </w:rPr>
        <w:t>a majority of the House of Lords relied on s.3 of the Human Rights Act 1998 to “read and give effect” to the provisions of the Rent Act 1977 </w:t>
      </w:r>
      <w:r>
        <w:rPr>
          <w:color w:val="005DA1"/>
          <w:u w:val="single" w:color="005DA1"/>
          <w:vertAlign w:val="superscript"/>
        </w:rPr>
        <w:t>611</w:t>
      </w:r>
      <w:r>
        <w:rPr>
          <w:color w:val="005DA1"/>
          <w:vertAlign w:val="baseline"/>
        </w:rPr>
        <w:t> </w:t>
      </w:r>
      <w:r>
        <w:rPr>
          <w:vertAlign w:val="baseline"/>
        </w:rPr>
        <w:t>which grants a statutory tenancy to “[t]he surviving spouse (if any) of the original tenant if residing in the dwelling-house immediately before</w:t>
      </w:r>
      <w:r>
        <w:rPr>
          <w:spacing w:val="-1"/>
          <w:vertAlign w:val="baseline"/>
        </w:rPr>
        <w:t> </w:t>
      </w:r>
      <w:r>
        <w:rPr>
          <w:vertAlign w:val="baseline"/>
        </w:rPr>
        <w:t>the</w:t>
      </w:r>
      <w:r>
        <w:rPr>
          <w:spacing w:val="-1"/>
          <w:vertAlign w:val="baseline"/>
        </w:rPr>
        <w:t> </w:t>
      </w:r>
      <w:r>
        <w:rPr>
          <w:vertAlign w:val="baseline"/>
        </w:rPr>
        <w:t>death</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original</w:t>
      </w:r>
      <w:r>
        <w:rPr>
          <w:spacing w:val="-1"/>
          <w:vertAlign w:val="baseline"/>
        </w:rPr>
        <w:t> </w:t>
      </w:r>
      <w:r>
        <w:rPr>
          <w:vertAlign w:val="baseline"/>
        </w:rPr>
        <w:t>tenant”</w:t>
      </w:r>
      <w:r>
        <w:rPr>
          <w:spacing w:val="-1"/>
          <w:vertAlign w:val="baseline"/>
        </w:rPr>
        <w:t> </w:t>
      </w:r>
      <w:r>
        <w:rPr>
          <w:vertAlign w:val="baseline"/>
        </w:rPr>
        <w:t>so</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vertAlign w:val="baseline"/>
        </w:rPr>
        <w:t>include</w:t>
      </w:r>
      <w:r>
        <w:rPr>
          <w:spacing w:val="-1"/>
          <w:vertAlign w:val="baseline"/>
        </w:rPr>
        <w:t> </w:t>
      </w:r>
      <w:r>
        <w:rPr>
          <w:vertAlign w:val="baseline"/>
        </w:rPr>
        <w:t>homosexual</w:t>
      </w:r>
      <w:r>
        <w:rPr>
          <w:spacing w:val="-1"/>
          <w:vertAlign w:val="baseline"/>
        </w:rPr>
        <w:t> </w:t>
      </w:r>
      <w:r>
        <w:rPr>
          <w:vertAlign w:val="baseline"/>
        </w:rPr>
        <w:t>cohabitees,</w:t>
      </w:r>
      <w:r>
        <w:rPr>
          <w:spacing w:val="-1"/>
          <w:vertAlign w:val="baseline"/>
        </w:rPr>
        <w:t> </w:t>
      </w:r>
      <w:r>
        <w:rPr>
          <w:vertAlign w:val="baseline"/>
        </w:rPr>
        <w:t>so</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vertAlign w:val="baseline"/>
        </w:rPr>
        <w:t>give</w:t>
      </w:r>
      <w:r>
        <w:rPr>
          <w:spacing w:val="-1"/>
          <w:vertAlign w:val="baseline"/>
        </w:rPr>
        <w:t> </w:t>
      </w:r>
      <w:r>
        <w:rPr>
          <w:vertAlign w:val="baseline"/>
        </w:rPr>
        <w:t>effect</w:t>
      </w:r>
      <w:r>
        <w:rPr>
          <w:spacing w:val="-1"/>
          <w:vertAlign w:val="baseline"/>
        </w:rPr>
        <w:t> </w:t>
      </w:r>
      <w:r>
        <w:rPr>
          <w:vertAlign w:val="baseline"/>
        </w:rPr>
        <w:t>to </w:t>
      </w:r>
      <w:bookmarkStart w:name="_bookmark1103" w:id="1105"/>
      <w:bookmarkEnd w:id="1105"/>
      <w:r>
        <w:rPr>
          <w:vertAlign w:val="baseline"/>
        </w:rPr>
        <w:t>their</w:t>
      </w:r>
      <w:r>
        <w:rPr>
          <w:vertAlign w:val="baseline"/>
        </w:rPr>
        <w:t> Convention right not to be discriminated against on the ground of sexual orientation in respect of their right to respect for a person’s home. </w:t>
      </w:r>
      <w:r>
        <w:rPr>
          <w:color w:val="005DA1"/>
          <w:u w:val="single" w:color="005DA1"/>
          <w:vertAlign w:val="superscript"/>
        </w:rPr>
        <w:t>612</w:t>
      </w:r>
    </w:p>
    <w:p>
      <w:pPr>
        <w:pStyle w:val="BodyText"/>
      </w:pPr>
    </w:p>
    <w:p>
      <w:pPr>
        <w:pStyle w:val="BodyText"/>
        <w:spacing w:before="36"/>
      </w:pPr>
      <w:r>
        <w:rPr/>
        <mc:AlternateContent>
          <mc:Choice Requires="wps">
            <w:drawing>
              <wp:anchor distT="0" distB="0" distL="0" distR="0" allowOverlap="1" layoutInCell="1" locked="0" behindDoc="1" simplePos="0" relativeHeight="487666176">
                <wp:simplePos x="0" y="0"/>
                <wp:positionH relativeFrom="page">
                  <wp:posOffset>914400</wp:posOffset>
                </wp:positionH>
                <wp:positionV relativeFrom="paragraph">
                  <wp:posOffset>184137</wp:posOffset>
                </wp:positionV>
                <wp:extent cx="5724525" cy="1270"/>
                <wp:effectExtent l="0" t="0" r="0" b="0"/>
                <wp:wrapTopAndBottom/>
                <wp:docPr id="323" name="Graphic 323"/>
                <wp:cNvGraphicFramePr>
                  <a:graphicFrameLocks/>
                </wp:cNvGraphicFramePr>
                <a:graphic>
                  <a:graphicData uri="http://schemas.microsoft.com/office/word/2010/wordprocessingShape">
                    <wps:wsp>
                      <wps:cNvPr id="323" name="Graphic 32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99023pt;width:450.75pt;height:.1pt;mso-position-horizontal-relative:page;mso-position-vertical-relative:paragraph;z-index:-15650304;mso-wrap-distance-left:0;mso-wrap-distance-right:0" id="docshape35" coordorigin="1440,290" coordsize="9015,0" path="m1440,290l10454,290e" filled="false" stroked="true" strokeweight="1pt" strokecolor="#000000">
                <v:path arrowok="t"/>
                <v:stroke dashstyle="solid"/>
                <w10:wrap type="topAndBottom"/>
              </v:shape>
            </w:pict>
          </mc:Fallback>
        </mc:AlternateContent>
      </w:r>
    </w:p>
    <w:p>
      <w:pPr>
        <w:pStyle w:val="BodyText"/>
        <w:spacing w:after="0"/>
        <w:sectPr>
          <w:pgSz w:w="11900" w:h="16840"/>
          <w:pgMar w:header="971" w:footer="0" w:top="1300" w:bottom="280" w:left="1275" w:right="1275"/>
        </w:sectPr>
      </w:pPr>
    </w:p>
    <w:p>
      <w:pPr>
        <w:pStyle w:val="BodyText"/>
        <w:spacing w:before="60"/>
      </w:pPr>
    </w:p>
    <w:p>
      <w:pPr>
        <w:spacing w:line="235" w:lineRule="auto" w:before="0"/>
        <w:ind w:left="705" w:right="167" w:hanging="541"/>
        <w:jc w:val="both"/>
        <w:rPr>
          <w:sz w:val="20"/>
        </w:rPr>
      </w:pPr>
      <w:hyperlink w:history="true" w:anchor="_bookmark1054">
        <w:r>
          <w:rPr>
            <w:color w:val="005DA1"/>
            <w:position w:val="5"/>
            <w:sz w:val="14"/>
            <w:u w:val="single" w:color="005DA1"/>
          </w:rPr>
          <w:t>560</w:t>
        </w:r>
      </w:hyperlink>
      <w:r>
        <w:rPr>
          <w:position w:val="5"/>
          <w:sz w:val="14"/>
        </w:rPr>
        <w:t>.</w:t>
      </w:r>
      <w:r>
        <w:rPr>
          <w:spacing w:val="80"/>
          <w:position w:val="5"/>
          <w:sz w:val="14"/>
        </w:rPr>
        <w:t>  </w:t>
      </w:r>
      <w:r>
        <w:rPr>
          <w:rFonts w:ascii="Arial" w:hAnsi="Arial"/>
          <w:i/>
          <w:sz w:val="20"/>
        </w:rPr>
        <w:t>[2003] UKHL 40, [2003] 3 W.L.R. 568</w:t>
      </w:r>
      <w:r>
        <w:rPr>
          <w:sz w:val="20"/>
        </w:rPr>
        <w:t>. These observations were obiter given their decision </w:t>
      </w:r>
      <w:r>
        <w:rPr>
          <w:sz w:val="20"/>
        </w:rPr>
        <w:t>on the non-retroactive impact of ss.3 and 4 of the 1998 Act: see above, paras 1-059—1-060. Lord Rodger expressed no views on these hypothetical issues: </w:t>
      </w:r>
      <w:r>
        <w:rPr>
          <w:rFonts w:ascii="Arial" w:hAnsi="Arial"/>
          <w:i/>
          <w:sz w:val="20"/>
        </w:rPr>
        <w:t>[2003] 3 W.L.R. 568 </w:t>
      </w:r>
      <w:r>
        <w:rPr>
          <w:sz w:val="20"/>
        </w:rPr>
        <w:t>at [220].</w:t>
      </w:r>
    </w:p>
    <w:p>
      <w:pPr>
        <w:pStyle w:val="BodyText"/>
        <w:spacing w:before="5"/>
      </w:pPr>
    </w:p>
    <w:p>
      <w:pPr>
        <w:tabs>
          <w:tab w:pos="705" w:val="left" w:leader="none"/>
        </w:tabs>
        <w:spacing w:before="0"/>
        <w:ind w:left="165" w:right="0" w:firstLine="0"/>
        <w:jc w:val="left"/>
        <w:rPr>
          <w:sz w:val="20"/>
        </w:rPr>
      </w:pPr>
      <w:bookmarkStart w:name="_bookmark1104" w:id="1106"/>
      <w:bookmarkEnd w:id="1106"/>
      <w:r>
        <w:rPr/>
      </w:r>
      <w:hyperlink w:history="true" w:anchor="_bookmark1055">
        <w:r>
          <w:rPr>
            <w:color w:val="005DA1"/>
            <w:spacing w:val="-4"/>
            <w:position w:val="5"/>
            <w:sz w:val="14"/>
            <w:u w:val="single" w:color="005DA1"/>
          </w:rPr>
          <w:t>561</w:t>
        </w:r>
      </w:hyperlink>
      <w:r>
        <w:rPr>
          <w:spacing w:val="-4"/>
          <w:position w:val="5"/>
          <w:sz w:val="14"/>
        </w:rPr>
        <w:t>.</w:t>
      </w:r>
      <w:r>
        <w:rPr>
          <w:position w:val="5"/>
          <w:sz w:val="14"/>
        </w:rPr>
        <w:tab/>
      </w:r>
      <w:r>
        <w:rPr>
          <w:rFonts w:ascii="Arial"/>
          <w:i/>
          <w:sz w:val="20"/>
        </w:rPr>
        <w:t>[2003] UKHL 40, [2003] 3 W.L.R. 568</w:t>
      </w:r>
      <w:r>
        <w:rPr>
          <w:rFonts w:ascii="Arial"/>
          <w:i/>
          <w:spacing w:val="-1"/>
          <w:sz w:val="20"/>
        </w:rPr>
        <w:t> </w:t>
      </w:r>
      <w:r>
        <w:rPr>
          <w:sz w:val="20"/>
        </w:rPr>
        <w:t>at [33], per Lord </w:t>
      </w:r>
      <w:r>
        <w:rPr>
          <w:spacing w:val="-2"/>
          <w:sz w:val="20"/>
        </w:rPr>
        <w:t>Nicholls.</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105" w:id="1107"/>
      <w:bookmarkEnd w:id="1107"/>
      <w:r>
        <w:rPr/>
      </w:r>
      <w:hyperlink w:history="true" w:anchor="_bookmark1056">
        <w:r>
          <w:rPr>
            <w:color w:val="005DA1"/>
            <w:spacing w:val="-4"/>
            <w:sz w:val="14"/>
            <w:u w:val="single" w:color="005DA1"/>
          </w:rPr>
          <w:t>562</w:t>
        </w:r>
      </w:hyperlink>
      <w:r>
        <w:rPr>
          <w:spacing w:val="-4"/>
          <w:sz w:val="14"/>
        </w:rPr>
        <w:t>.</w:t>
      </w:r>
    </w:p>
    <w:p>
      <w:pPr>
        <w:spacing w:line="227" w:lineRule="exact" w:before="208"/>
        <w:ind w:left="335" w:right="0" w:firstLine="0"/>
        <w:jc w:val="both"/>
        <w:rPr>
          <w:sz w:val="20"/>
        </w:rPr>
      </w:pPr>
      <w:r>
        <w:rPr/>
        <w:br w:type="column"/>
      </w:r>
      <w:r>
        <w:rPr>
          <w:rFonts w:ascii="Arial" w:hAnsi="Arial"/>
          <w:i/>
          <w:sz w:val="20"/>
        </w:rPr>
        <w:t>[2003]</w:t>
      </w:r>
      <w:r>
        <w:rPr>
          <w:rFonts w:ascii="Arial" w:hAnsi="Arial"/>
          <w:i/>
          <w:spacing w:val="30"/>
          <w:sz w:val="20"/>
        </w:rPr>
        <w:t> </w:t>
      </w:r>
      <w:r>
        <w:rPr>
          <w:rFonts w:ascii="Arial" w:hAnsi="Arial"/>
          <w:i/>
          <w:sz w:val="20"/>
        </w:rPr>
        <w:t>3</w:t>
      </w:r>
      <w:r>
        <w:rPr>
          <w:rFonts w:ascii="Arial" w:hAnsi="Arial"/>
          <w:i/>
          <w:spacing w:val="30"/>
          <w:sz w:val="20"/>
        </w:rPr>
        <w:t> </w:t>
      </w:r>
      <w:r>
        <w:rPr>
          <w:rFonts w:ascii="Arial" w:hAnsi="Arial"/>
          <w:i/>
          <w:sz w:val="20"/>
        </w:rPr>
        <w:t>W.L.R.</w:t>
      </w:r>
      <w:r>
        <w:rPr>
          <w:rFonts w:ascii="Arial" w:hAnsi="Arial"/>
          <w:i/>
          <w:spacing w:val="30"/>
          <w:sz w:val="20"/>
        </w:rPr>
        <w:t> </w:t>
      </w:r>
      <w:r>
        <w:rPr>
          <w:rFonts w:ascii="Arial" w:hAnsi="Arial"/>
          <w:i/>
          <w:sz w:val="20"/>
        </w:rPr>
        <w:t>568</w:t>
      </w:r>
      <w:r>
        <w:rPr>
          <w:rFonts w:ascii="Arial" w:hAnsi="Arial"/>
          <w:i/>
          <w:spacing w:val="30"/>
          <w:sz w:val="20"/>
        </w:rPr>
        <w:t> </w:t>
      </w:r>
      <w:r>
        <w:rPr>
          <w:sz w:val="20"/>
        </w:rPr>
        <w:t>at</w:t>
      </w:r>
      <w:r>
        <w:rPr>
          <w:spacing w:val="30"/>
          <w:sz w:val="20"/>
        </w:rPr>
        <w:t> </w:t>
      </w:r>
      <w:r>
        <w:rPr>
          <w:sz w:val="20"/>
        </w:rPr>
        <w:t>[104]–[105]</w:t>
      </w:r>
      <w:r>
        <w:rPr>
          <w:spacing w:val="30"/>
          <w:sz w:val="20"/>
        </w:rPr>
        <w:t> </w:t>
      </w:r>
      <w:r>
        <w:rPr>
          <w:sz w:val="20"/>
        </w:rPr>
        <w:t>(Lord</w:t>
      </w:r>
      <w:r>
        <w:rPr>
          <w:spacing w:val="30"/>
          <w:sz w:val="20"/>
        </w:rPr>
        <w:t> </w:t>
      </w:r>
      <w:r>
        <w:rPr>
          <w:sz w:val="20"/>
        </w:rPr>
        <w:t>Hope);</w:t>
      </w:r>
      <w:r>
        <w:rPr>
          <w:spacing w:val="30"/>
          <w:sz w:val="20"/>
        </w:rPr>
        <w:t> </w:t>
      </w:r>
      <w:r>
        <w:rPr>
          <w:sz w:val="20"/>
        </w:rPr>
        <w:t>[132]</w:t>
      </w:r>
      <w:r>
        <w:rPr>
          <w:spacing w:val="30"/>
          <w:sz w:val="20"/>
        </w:rPr>
        <w:t> </w:t>
      </w:r>
      <w:r>
        <w:rPr>
          <w:sz w:val="20"/>
        </w:rPr>
        <w:t>(Lord</w:t>
      </w:r>
      <w:r>
        <w:rPr>
          <w:spacing w:val="30"/>
          <w:sz w:val="20"/>
        </w:rPr>
        <w:t> </w:t>
      </w:r>
      <w:r>
        <w:rPr>
          <w:sz w:val="20"/>
        </w:rPr>
        <w:t>Hobhouse);</w:t>
      </w:r>
      <w:r>
        <w:rPr>
          <w:spacing w:val="30"/>
          <w:sz w:val="20"/>
        </w:rPr>
        <w:t> </w:t>
      </w:r>
      <w:r>
        <w:rPr>
          <w:sz w:val="20"/>
        </w:rPr>
        <w:t>[165]–[166]</w:t>
      </w:r>
      <w:r>
        <w:rPr>
          <w:spacing w:val="30"/>
          <w:sz w:val="20"/>
        </w:rPr>
        <w:t> </w:t>
      </w:r>
      <w:r>
        <w:rPr>
          <w:spacing w:val="-2"/>
          <w:sz w:val="20"/>
        </w:rPr>
        <w:t>(Lord</w:t>
      </w:r>
    </w:p>
    <w:p>
      <w:pPr>
        <w:pStyle w:val="BodyText"/>
        <w:spacing w:line="235" w:lineRule="auto" w:before="2"/>
        <w:ind w:left="165" w:right="167"/>
        <w:jc w:val="both"/>
      </w:pPr>
      <w:r>
        <w:rPr/>
        <w:drawing>
          <wp:anchor distT="0" distB="0" distL="0" distR="0" allowOverlap="1" layoutInCell="1" locked="0" behindDoc="0" simplePos="0" relativeHeight="15807488">
            <wp:simplePos x="0" y="0"/>
            <wp:positionH relativeFrom="page">
              <wp:posOffset>1257846</wp:posOffset>
            </wp:positionH>
            <wp:positionV relativeFrom="paragraph">
              <wp:posOffset>-116071</wp:posOffset>
            </wp:positionV>
            <wp:extent cx="107988" cy="107988"/>
            <wp:effectExtent l="0" t="0" r="0" b="0"/>
            <wp:wrapNone/>
            <wp:docPr id="324" name="Image 324"/>
            <wp:cNvGraphicFramePr>
              <a:graphicFrameLocks/>
            </wp:cNvGraphicFramePr>
            <a:graphic>
              <a:graphicData uri="http://schemas.openxmlformats.org/drawingml/2006/picture">
                <pic:pic>
                  <pic:nvPicPr>
                    <pic:cNvPr id="324" name="Image 324"/>
                    <pic:cNvPicPr/>
                  </pic:nvPicPr>
                  <pic:blipFill>
                    <a:blip r:embed="rId6" cstate="print"/>
                    <a:stretch>
                      <a:fillRect/>
                    </a:stretch>
                  </pic:blipFill>
                  <pic:spPr>
                    <a:xfrm>
                      <a:off x="0" y="0"/>
                      <a:ext cx="107988" cy="107988"/>
                    </a:xfrm>
                    <a:prstGeom prst="rect">
                      <a:avLst/>
                    </a:prstGeom>
                  </pic:spPr>
                </pic:pic>
              </a:graphicData>
            </a:graphic>
          </wp:anchor>
        </w:drawing>
      </w:r>
      <w:r>
        <w:rPr/>
        <w:t>Scott); [215] (Lord Rodger agreeing with Lord Nicholls). This approach was applied </w:t>
      </w:r>
      <w:r>
        <w:rPr/>
        <w:t>in </w:t>
      </w:r>
      <w:r>
        <w:rPr>
          <w:rFonts w:ascii="Arial" w:hAnsi="Arial"/>
          <w:i/>
        </w:rPr>
        <w:t>Winstanley v Sleeman [2013] EWHC 4792 (QB) </w:t>
      </w:r>
      <w:r>
        <w:rPr/>
        <w:t>at [58]–[59] (rule against scrutiny of academic judgments in claims for breach of contract does not bar access to the courts).</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8"/>
      </w:pPr>
    </w:p>
    <w:p>
      <w:pPr>
        <w:pStyle w:val="BodyText"/>
        <w:tabs>
          <w:tab w:pos="705" w:val="left" w:leader="none"/>
        </w:tabs>
        <w:spacing w:line="235" w:lineRule="auto" w:before="1"/>
        <w:ind w:left="705" w:right="168" w:hanging="541"/>
      </w:pPr>
      <w:bookmarkStart w:name="_bookmark1106" w:id="1108"/>
      <w:bookmarkEnd w:id="1108"/>
      <w:r>
        <w:rPr/>
      </w:r>
      <w:hyperlink w:history="true" w:anchor="_bookmark1057">
        <w:r>
          <w:rPr>
            <w:color w:val="005DA1"/>
            <w:spacing w:val="-4"/>
            <w:position w:val="5"/>
            <w:sz w:val="14"/>
            <w:u w:val="single" w:color="005DA1"/>
          </w:rPr>
          <w:t>563</w:t>
        </w:r>
      </w:hyperlink>
      <w:r>
        <w:rPr>
          <w:spacing w:val="-4"/>
          <w:position w:val="5"/>
          <w:sz w:val="14"/>
        </w:rPr>
        <w:t>.</w:t>
      </w:r>
      <w:r>
        <w:rPr>
          <w:position w:val="5"/>
          <w:sz w:val="14"/>
        </w:rPr>
        <w:tab/>
      </w:r>
      <w:r>
        <w:rPr/>
        <w:t>Consumer Credit Act 1974 ss.65, 106, 113 and especially 127(3). Section 127(3) of the </w:t>
      </w:r>
      <w:r>
        <w:rPr/>
        <w:t>1974</w:t>
      </w:r>
      <w:r>
        <w:rPr>
          <w:spacing w:val="40"/>
        </w:rPr>
        <w:t> </w:t>
      </w:r>
      <w:r>
        <w:rPr/>
        <w:t>Act was repealed by the Consumer Credit Act 2006 s.15: see Vol.II, para.39-094.</w:t>
      </w:r>
    </w:p>
    <w:p>
      <w:pPr>
        <w:pStyle w:val="BodyText"/>
        <w:spacing w:before="9"/>
      </w:pPr>
    </w:p>
    <w:p>
      <w:pPr>
        <w:tabs>
          <w:tab w:pos="705" w:val="left" w:leader="none"/>
        </w:tabs>
        <w:spacing w:line="235" w:lineRule="auto" w:before="0"/>
        <w:ind w:left="705" w:right="168" w:hanging="541"/>
        <w:jc w:val="left"/>
        <w:rPr>
          <w:sz w:val="20"/>
        </w:rPr>
      </w:pPr>
      <w:bookmarkStart w:name="_bookmark1107" w:id="1109"/>
      <w:bookmarkEnd w:id="1109"/>
      <w:r>
        <w:rPr/>
      </w:r>
      <w:hyperlink w:history="true" w:anchor="_bookmark1058">
        <w:r>
          <w:rPr>
            <w:color w:val="005DA1"/>
            <w:spacing w:val="-4"/>
            <w:position w:val="5"/>
            <w:sz w:val="14"/>
            <w:u w:val="single" w:color="005DA1"/>
          </w:rPr>
          <w:t>564</w:t>
        </w:r>
      </w:hyperlink>
      <w:r>
        <w:rPr>
          <w:spacing w:val="-4"/>
          <w:position w:val="5"/>
          <w:sz w:val="14"/>
        </w:rPr>
        <w:t>.</w:t>
      </w:r>
      <w:r>
        <w:rPr>
          <w:position w:val="5"/>
          <w:sz w:val="14"/>
        </w:rPr>
        <w:tab/>
      </w:r>
      <w:r>
        <w:rPr>
          <w:rFonts w:ascii="Arial"/>
          <w:i/>
          <w:sz w:val="20"/>
        </w:rPr>
        <w:t>[2003] UKHL 40, [2003] 3 W.L.R. 568</w:t>
      </w:r>
      <w:r>
        <w:rPr>
          <w:sz w:val="20"/>
        </w:rPr>
        <w:t>. These observations were obiter given their decision </w:t>
      </w:r>
      <w:r>
        <w:rPr>
          <w:sz w:val="20"/>
        </w:rPr>
        <w:t>on the non-retroactive impact of ss.3 and 4 of the 1998 Act: see above, para.1-059.</w:t>
      </w:r>
    </w:p>
    <w:p>
      <w:pPr>
        <w:pStyle w:val="BodyText"/>
        <w:spacing w:before="9"/>
      </w:pPr>
    </w:p>
    <w:p>
      <w:pPr>
        <w:tabs>
          <w:tab w:pos="705" w:val="left" w:leader="none"/>
        </w:tabs>
        <w:spacing w:line="235" w:lineRule="auto" w:before="0"/>
        <w:ind w:left="705" w:right="168" w:hanging="541"/>
        <w:jc w:val="left"/>
        <w:rPr>
          <w:sz w:val="20"/>
        </w:rPr>
      </w:pPr>
      <w:bookmarkStart w:name="_bookmark1108" w:id="1110"/>
      <w:bookmarkEnd w:id="1110"/>
      <w:r>
        <w:rPr/>
      </w:r>
      <w:hyperlink w:history="true" w:anchor="_bookmark1059">
        <w:r>
          <w:rPr>
            <w:color w:val="005DA1"/>
            <w:spacing w:val="-4"/>
            <w:position w:val="5"/>
            <w:sz w:val="14"/>
            <w:u w:val="single" w:color="005DA1"/>
          </w:rPr>
          <w:t>565</w:t>
        </w:r>
      </w:hyperlink>
      <w:r>
        <w:rPr>
          <w:spacing w:val="-4"/>
          <w:position w:val="5"/>
          <w:sz w:val="14"/>
        </w:rPr>
        <w:t>.</w:t>
      </w:r>
      <w:r>
        <w:rPr>
          <w:position w:val="5"/>
          <w:sz w:val="14"/>
        </w:rPr>
        <w:tab/>
      </w:r>
      <w:r>
        <w:rPr>
          <w:sz w:val="20"/>
        </w:rPr>
        <w:t>As has been noted, Lord Rodger of Earlsferry did not decide the point: </w:t>
      </w:r>
      <w:r>
        <w:rPr>
          <w:rFonts w:ascii="Arial"/>
          <w:i/>
          <w:sz w:val="20"/>
        </w:rPr>
        <w:t>[2003] 3 W.L.R. 568 </w:t>
      </w:r>
      <w:r>
        <w:rPr>
          <w:sz w:val="20"/>
        </w:rPr>
        <w:t>at </w:t>
      </w:r>
      <w:r>
        <w:rPr>
          <w:spacing w:val="-2"/>
          <w:sz w:val="20"/>
        </w:rPr>
        <w:t>[220].</w:t>
      </w:r>
    </w:p>
    <w:p>
      <w:pPr>
        <w:pStyle w:val="BodyText"/>
        <w:spacing w:before="9"/>
      </w:pPr>
    </w:p>
    <w:p>
      <w:pPr>
        <w:spacing w:line="235" w:lineRule="auto" w:before="0"/>
        <w:ind w:left="705" w:right="168" w:hanging="541"/>
        <w:jc w:val="both"/>
        <w:rPr>
          <w:sz w:val="20"/>
        </w:rPr>
      </w:pPr>
      <w:bookmarkStart w:name="_bookmark1109" w:id="1111"/>
      <w:bookmarkEnd w:id="1111"/>
      <w:r>
        <w:rPr/>
      </w:r>
      <w:hyperlink w:history="true" w:anchor="_bookmark1060">
        <w:r>
          <w:rPr>
            <w:color w:val="005DA1"/>
            <w:position w:val="5"/>
            <w:sz w:val="14"/>
            <w:u w:val="single" w:color="005DA1"/>
          </w:rPr>
          <w:t>566</w:t>
        </w:r>
      </w:hyperlink>
      <w:r>
        <w:rPr>
          <w:position w:val="5"/>
          <w:sz w:val="14"/>
        </w:rPr>
        <w:t>.</w:t>
      </w:r>
      <w:r>
        <w:rPr>
          <w:spacing w:val="80"/>
          <w:position w:val="5"/>
          <w:sz w:val="14"/>
        </w:rPr>
        <w:t>  </w:t>
      </w:r>
      <w:r>
        <w:rPr>
          <w:rFonts w:ascii="Arial" w:hAnsi="Arial"/>
          <w:i/>
          <w:sz w:val="20"/>
        </w:rPr>
        <w:t>[2003] UKHL 40, [2003] 3 W.L.R. 568 </w:t>
      </w:r>
      <w:r>
        <w:rPr>
          <w:sz w:val="20"/>
        </w:rPr>
        <w:t>at [39]. This view may be supported from the Strasbourg case law, e.g. </w:t>
      </w:r>
      <w:r>
        <w:rPr>
          <w:rFonts w:ascii="Arial" w:hAnsi="Arial"/>
          <w:i/>
          <w:sz w:val="20"/>
        </w:rPr>
        <w:t>Stran Greek Refineries &amp; Stratis Andreadis v Greece (1995) E.H.R.R. 293 </w:t>
      </w:r>
      <w:r>
        <w:rPr>
          <w:sz w:val="20"/>
        </w:rPr>
        <w:t>at [60]–[62] (right under arbitration award); </w:t>
      </w:r>
      <w:r>
        <w:rPr>
          <w:rFonts w:ascii="Arial" w:hAnsi="Arial"/>
          <w:i/>
          <w:sz w:val="20"/>
        </w:rPr>
        <w:t>Stretch v UK (2004) 38 E.H.R.R. 12 </w:t>
      </w:r>
      <w:r>
        <w:rPr>
          <w:sz w:val="20"/>
        </w:rPr>
        <w:t>especially at [32] (option to renew lease later considered void as ultra vires the public authority lessor’s power).</w:t>
      </w:r>
    </w:p>
    <w:p>
      <w:pPr>
        <w:pStyle w:val="BodyText"/>
        <w:spacing w:before="5"/>
      </w:pPr>
    </w:p>
    <w:p>
      <w:pPr>
        <w:tabs>
          <w:tab w:pos="705" w:val="left" w:leader="none"/>
        </w:tabs>
        <w:spacing w:before="0"/>
        <w:ind w:left="165" w:right="0" w:firstLine="0"/>
        <w:jc w:val="left"/>
        <w:rPr>
          <w:sz w:val="20"/>
        </w:rPr>
      </w:pPr>
      <w:bookmarkStart w:name="_bookmark1110" w:id="1112"/>
      <w:bookmarkEnd w:id="1112"/>
      <w:r>
        <w:rPr/>
      </w:r>
      <w:hyperlink w:history="true" w:anchor="_bookmark1061">
        <w:r>
          <w:rPr>
            <w:color w:val="005DA1"/>
            <w:spacing w:val="-4"/>
            <w:position w:val="5"/>
            <w:sz w:val="14"/>
            <w:u w:val="single" w:color="005DA1"/>
          </w:rPr>
          <w:t>567</w:t>
        </w:r>
      </w:hyperlink>
      <w:r>
        <w:rPr>
          <w:spacing w:val="-4"/>
          <w:position w:val="5"/>
          <w:sz w:val="14"/>
        </w:rPr>
        <w:t>.</w:t>
      </w:r>
      <w:r>
        <w:rPr>
          <w:position w:val="5"/>
          <w:sz w:val="14"/>
        </w:rPr>
        <w:tab/>
      </w:r>
      <w:r>
        <w:rPr>
          <w:rFonts w:ascii="Arial"/>
          <w:i/>
          <w:sz w:val="20"/>
        </w:rPr>
        <w:t>[2003]</w:t>
      </w:r>
      <w:r>
        <w:rPr>
          <w:rFonts w:ascii="Arial"/>
          <w:i/>
          <w:spacing w:val="-2"/>
          <w:sz w:val="20"/>
        </w:rPr>
        <w:t> </w:t>
      </w:r>
      <w:r>
        <w:rPr>
          <w:rFonts w:ascii="Arial"/>
          <w:i/>
          <w:sz w:val="20"/>
        </w:rPr>
        <w:t>3 W.L.R. 568</w:t>
      </w:r>
      <w:r>
        <w:rPr>
          <w:rFonts w:ascii="Arial"/>
          <w:i/>
          <w:spacing w:val="-1"/>
          <w:sz w:val="20"/>
        </w:rPr>
        <w:t> </w:t>
      </w:r>
      <w:r>
        <w:rPr>
          <w:sz w:val="20"/>
        </w:rPr>
        <w:t>at </w:t>
      </w:r>
      <w:r>
        <w:rPr>
          <w:spacing w:val="-2"/>
          <w:sz w:val="20"/>
        </w:rPr>
        <w:t>[44].</w:t>
      </w:r>
    </w:p>
    <w:p>
      <w:pPr>
        <w:pStyle w:val="BodyText"/>
        <w:spacing w:before="5"/>
      </w:pPr>
    </w:p>
    <w:p>
      <w:pPr>
        <w:tabs>
          <w:tab w:pos="705" w:val="left" w:leader="none"/>
        </w:tabs>
        <w:spacing w:before="0"/>
        <w:ind w:left="165" w:right="0" w:firstLine="0"/>
        <w:jc w:val="left"/>
        <w:rPr>
          <w:sz w:val="20"/>
        </w:rPr>
      </w:pPr>
      <w:bookmarkStart w:name="_bookmark1111" w:id="1113"/>
      <w:bookmarkEnd w:id="1113"/>
      <w:r>
        <w:rPr/>
      </w:r>
      <w:hyperlink w:history="true" w:anchor="_bookmark1062">
        <w:r>
          <w:rPr>
            <w:color w:val="005DA1"/>
            <w:spacing w:val="-4"/>
            <w:position w:val="5"/>
            <w:sz w:val="14"/>
            <w:u w:val="single" w:color="005DA1"/>
          </w:rPr>
          <w:t>568</w:t>
        </w:r>
      </w:hyperlink>
      <w:r>
        <w:rPr>
          <w:spacing w:val="-4"/>
          <w:position w:val="5"/>
          <w:sz w:val="14"/>
        </w:rPr>
        <w:t>.</w:t>
      </w:r>
      <w:r>
        <w:rPr>
          <w:position w:val="5"/>
          <w:sz w:val="14"/>
        </w:rPr>
        <w:tab/>
      </w:r>
      <w:r>
        <w:rPr>
          <w:rFonts w:ascii="Arial"/>
          <w:i/>
          <w:sz w:val="20"/>
        </w:rPr>
        <w:t>[2003] 3 W.L.R. 568</w:t>
      </w:r>
      <w:r>
        <w:rPr>
          <w:rFonts w:ascii="Arial"/>
          <w:i/>
          <w:spacing w:val="-1"/>
          <w:sz w:val="20"/>
        </w:rPr>
        <w:t> </w:t>
      </w:r>
      <w:r>
        <w:rPr>
          <w:sz w:val="20"/>
        </w:rPr>
        <w:t>at </w:t>
      </w:r>
      <w:r>
        <w:rPr>
          <w:spacing w:val="-2"/>
          <w:sz w:val="20"/>
        </w:rPr>
        <w:t>[137].</w:t>
      </w:r>
    </w:p>
    <w:p>
      <w:pPr>
        <w:pStyle w:val="BodyText"/>
        <w:spacing w:before="5"/>
      </w:pPr>
    </w:p>
    <w:p>
      <w:pPr>
        <w:tabs>
          <w:tab w:pos="705" w:val="left" w:leader="none"/>
        </w:tabs>
        <w:spacing w:before="0"/>
        <w:ind w:left="165" w:right="0" w:firstLine="0"/>
        <w:jc w:val="left"/>
        <w:rPr>
          <w:sz w:val="20"/>
        </w:rPr>
      </w:pPr>
      <w:bookmarkStart w:name="_bookmark1112" w:id="1114"/>
      <w:bookmarkEnd w:id="1114"/>
      <w:r>
        <w:rPr/>
      </w:r>
      <w:hyperlink w:history="true" w:anchor="_bookmark1063">
        <w:r>
          <w:rPr>
            <w:color w:val="005DA1"/>
            <w:spacing w:val="-4"/>
            <w:position w:val="5"/>
            <w:sz w:val="14"/>
            <w:u w:val="single" w:color="005DA1"/>
          </w:rPr>
          <w:t>569</w:t>
        </w:r>
      </w:hyperlink>
      <w:r>
        <w:rPr>
          <w:spacing w:val="-4"/>
          <w:position w:val="5"/>
          <w:sz w:val="14"/>
        </w:rPr>
        <w:t>.</w:t>
      </w:r>
      <w:r>
        <w:rPr>
          <w:position w:val="5"/>
          <w:sz w:val="14"/>
        </w:rPr>
        <w:tab/>
      </w:r>
      <w:r>
        <w:rPr>
          <w:rFonts w:ascii="Arial"/>
          <w:i/>
          <w:sz w:val="20"/>
        </w:rPr>
        <w:t>[2003] 3 W.L.R. 568</w:t>
      </w:r>
      <w:r>
        <w:rPr>
          <w:rFonts w:ascii="Arial"/>
          <w:i/>
          <w:spacing w:val="-1"/>
          <w:sz w:val="20"/>
        </w:rPr>
        <w:t> </w:t>
      </w:r>
      <w:r>
        <w:rPr>
          <w:sz w:val="20"/>
        </w:rPr>
        <w:t>at [107] (Lord Hope) and [168] (Lord </w:t>
      </w:r>
      <w:r>
        <w:rPr>
          <w:spacing w:val="-2"/>
          <w:sz w:val="20"/>
        </w:rPr>
        <w:t>Scott).</w:t>
      </w:r>
    </w:p>
    <w:p>
      <w:pPr>
        <w:pStyle w:val="BodyText"/>
        <w:spacing w:before="5"/>
      </w:pPr>
    </w:p>
    <w:p>
      <w:pPr>
        <w:tabs>
          <w:tab w:pos="705" w:val="left" w:leader="none"/>
        </w:tabs>
        <w:spacing w:before="0"/>
        <w:ind w:left="165" w:right="0" w:firstLine="0"/>
        <w:jc w:val="left"/>
        <w:rPr>
          <w:sz w:val="20"/>
        </w:rPr>
      </w:pPr>
      <w:bookmarkStart w:name="_bookmark1113" w:id="1115"/>
      <w:bookmarkEnd w:id="1115"/>
      <w:r>
        <w:rPr/>
      </w:r>
      <w:hyperlink w:history="true" w:anchor="_bookmark1064">
        <w:r>
          <w:rPr>
            <w:color w:val="005DA1"/>
            <w:spacing w:val="-4"/>
            <w:position w:val="5"/>
            <w:sz w:val="14"/>
            <w:u w:val="single" w:color="005DA1"/>
          </w:rPr>
          <w:t>570</w:t>
        </w:r>
      </w:hyperlink>
      <w:r>
        <w:rPr>
          <w:spacing w:val="-4"/>
          <w:position w:val="5"/>
          <w:sz w:val="14"/>
        </w:rPr>
        <w:t>.</w:t>
      </w:r>
      <w:r>
        <w:rPr>
          <w:position w:val="5"/>
          <w:sz w:val="14"/>
        </w:rPr>
        <w:tab/>
      </w:r>
      <w:r>
        <w:rPr>
          <w:rFonts w:ascii="Arial"/>
          <w:i/>
          <w:sz w:val="20"/>
        </w:rPr>
        <w:t>[2003] 3 W.L.R. 568</w:t>
      </w:r>
      <w:r>
        <w:rPr>
          <w:rFonts w:ascii="Arial"/>
          <w:i/>
          <w:spacing w:val="-1"/>
          <w:sz w:val="20"/>
        </w:rPr>
        <w:t> </w:t>
      </w:r>
      <w:r>
        <w:rPr>
          <w:sz w:val="20"/>
        </w:rPr>
        <w:t>at </w:t>
      </w:r>
      <w:r>
        <w:rPr>
          <w:spacing w:val="-2"/>
          <w:sz w:val="20"/>
        </w:rPr>
        <w:t>[106].</w:t>
      </w:r>
    </w:p>
    <w:p>
      <w:pPr>
        <w:pStyle w:val="BodyText"/>
        <w:spacing w:before="5"/>
      </w:pPr>
    </w:p>
    <w:p>
      <w:pPr>
        <w:tabs>
          <w:tab w:pos="705" w:val="left" w:leader="none"/>
        </w:tabs>
        <w:spacing w:before="0"/>
        <w:ind w:left="165" w:right="0" w:firstLine="0"/>
        <w:jc w:val="left"/>
        <w:rPr>
          <w:sz w:val="20"/>
        </w:rPr>
      </w:pPr>
      <w:bookmarkStart w:name="_bookmark1114" w:id="1116"/>
      <w:bookmarkEnd w:id="1116"/>
      <w:r>
        <w:rPr/>
      </w:r>
      <w:hyperlink w:history="true" w:anchor="_bookmark1065">
        <w:r>
          <w:rPr>
            <w:color w:val="005DA1"/>
            <w:spacing w:val="-4"/>
            <w:position w:val="5"/>
            <w:sz w:val="14"/>
            <w:u w:val="single" w:color="005DA1"/>
          </w:rPr>
          <w:t>571</w:t>
        </w:r>
      </w:hyperlink>
      <w:r>
        <w:rPr>
          <w:spacing w:val="-4"/>
          <w:position w:val="5"/>
          <w:sz w:val="14"/>
        </w:rPr>
        <w:t>.</w:t>
      </w:r>
      <w:r>
        <w:rPr>
          <w:position w:val="5"/>
          <w:sz w:val="14"/>
        </w:rPr>
        <w:tab/>
      </w:r>
      <w:r>
        <w:rPr>
          <w:rFonts w:ascii="Arial"/>
          <w:i/>
          <w:sz w:val="20"/>
        </w:rPr>
        <w:t>[2003] 3 W.L.R. 568</w:t>
      </w:r>
      <w:r>
        <w:rPr>
          <w:rFonts w:ascii="Arial"/>
          <w:i/>
          <w:spacing w:val="-1"/>
          <w:sz w:val="20"/>
        </w:rPr>
        <w:t> </w:t>
      </w:r>
      <w:r>
        <w:rPr>
          <w:sz w:val="20"/>
        </w:rPr>
        <w:t>at </w:t>
      </w:r>
      <w:r>
        <w:rPr>
          <w:spacing w:val="-2"/>
          <w:sz w:val="20"/>
        </w:rPr>
        <w:t>[168].</w:t>
      </w:r>
    </w:p>
    <w:p>
      <w:pPr>
        <w:pStyle w:val="BodyText"/>
        <w:spacing w:before="9"/>
      </w:pPr>
    </w:p>
    <w:p>
      <w:pPr>
        <w:pStyle w:val="BodyText"/>
        <w:spacing w:line="235" w:lineRule="auto"/>
        <w:ind w:left="705" w:right="167" w:hanging="541"/>
        <w:jc w:val="both"/>
      </w:pPr>
      <w:bookmarkStart w:name="_bookmark1115" w:id="1117"/>
      <w:bookmarkEnd w:id="1117"/>
      <w:r>
        <w:rPr/>
      </w:r>
      <w:hyperlink w:history="true" w:anchor="_bookmark1066">
        <w:r>
          <w:rPr>
            <w:color w:val="005DA1"/>
            <w:position w:val="5"/>
            <w:sz w:val="14"/>
            <w:u w:val="single" w:color="005DA1"/>
          </w:rPr>
          <w:t>572</w:t>
        </w:r>
      </w:hyperlink>
      <w:r>
        <w:rPr>
          <w:position w:val="5"/>
          <w:sz w:val="14"/>
        </w:rPr>
        <w:t>.</w:t>
      </w:r>
      <w:r>
        <w:rPr>
          <w:spacing w:val="80"/>
          <w:w w:val="150"/>
          <w:position w:val="5"/>
          <w:sz w:val="14"/>
        </w:rPr>
        <w:t> </w:t>
      </w:r>
      <w:r>
        <w:rPr/>
        <w:t>While the context of this discussion was the application of s.4 of the 1998 Act to </w:t>
      </w:r>
      <w:r>
        <w:rPr/>
        <w:t>primary legislation, similar questions would arise in relation to any review or development of the common law undertaken by the courts as “public authorities” under s.6 of the 1998 Act. On this see below, para.1-084.</w:t>
      </w:r>
    </w:p>
    <w:p>
      <w:pPr>
        <w:pStyle w:val="BodyText"/>
        <w:spacing w:before="8"/>
      </w:pPr>
    </w:p>
    <w:p>
      <w:pPr>
        <w:spacing w:line="235" w:lineRule="auto" w:before="1"/>
        <w:ind w:left="705" w:right="168" w:hanging="541"/>
        <w:jc w:val="both"/>
        <w:rPr>
          <w:sz w:val="20"/>
        </w:rPr>
      </w:pPr>
      <w:bookmarkStart w:name="_bookmark1116" w:id="1118"/>
      <w:bookmarkEnd w:id="1118"/>
      <w:r>
        <w:rPr/>
      </w:r>
      <w:hyperlink w:history="true" w:anchor="_bookmark1067">
        <w:r>
          <w:rPr>
            <w:color w:val="005DA1"/>
            <w:position w:val="5"/>
            <w:sz w:val="14"/>
            <w:u w:val="single" w:color="005DA1"/>
          </w:rPr>
          <w:t>573</w:t>
        </w:r>
      </w:hyperlink>
      <w:r>
        <w:rPr>
          <w:position w:val="5"/>
          <w:sz w:val="14"/>
        </w:rPr>
        <w:t>.</w:t>
      </w:r>
      <w:r>
        <w:rPr>
          <w:spacing w:val="40"/>
          <w:position w:val="5"/>
          <w:sz w:val="14"/>
        </w:rPr>
        <w:t>  </w:t>
      </w:r>
      <w:r>
        <w:rPr>
          <w:sz w:val="20"/>
        </w:rPr>
        <w:t>See</w:t>
      </w:r>
      <w:r>
        <w:rPr>
          <w:spacing w:val="-2"/>
          <w:sz w:val="20"/>
        </w:rPr>
        <w:t> </w:t>
      </w:r>
      <w:r>
        <w:rPr>
          <w:sz w:val="20"/>
        </w:rPr>
        <w:t>further</w:t>
      </w:r>
      <w:r>
        <w:rPr>
          <w:spacing w:val="-2"/>
          <w:sz w:val="20"/>
        </w:rPr>
        <w:t> </w:t>
      </w:r>
      <w:r>
        <w:rPr>
          <w:sz w:val="20"/>
        </w:rPr>
        <w:t>McMeel,</w:t>
      </w:r>
      <w:r>
        <w:rPr>
          <w:spacing w:val="-2"/>
          <w:sz w:val="20"/>
        </w:rPr>
        <w:t> </w:t>
      </w:r>
      <w:r>
        <w:rPr>
          <w:rFonts w:ascii="Arial"/>
          <w:i/>
          <w:sz w:val="20"/>
        </w:rPr>
        <w:t>The</w:t>
      </w:r>
      <w:r>
        <w:rPr>
          <w:rFonts w:ascii="Arial"/>
          <w:i/>
          <w:spacing w:val="-2"/>
          <w:sz w:val="20"/>
        </w:rPr>
        <w:t> </w:t>
      </w:r>
      <w:r>
        <w:rPr>
          <w:rFonts w:ascii="Arial"/>
          <w:i/>
          <w:sz w:val="20"/>
        </w:rPr>
        <w:t>Construction</w:t>
      </w:r>
      <w:r>
        <w:rPr>
          <w:rFonts w:ascii="Arial"/>
          <w:i/>
          <w:spacing w:val="-2"/>
          <w:sz w:val="20"/>
        </w:rPr>
        <w:t> </w:t>
      </w:r>
      <w:r>
        <w:rPr>
          <w:rFonts w:ascii="Arial"/>
          <w:i/>
          <w:sz w:val="20"/>
        </w:rPr>
        <w:t>of</w:t>
      </w:r>
      <w:r>
        <w:rPr>
          <w:rFonts w:ascii="Arial"/>
          <w:i/>
          <w:spacing w:val="-2"/>
          <w:sz w:val="20"/>
        </w:rPr>
        <w:t> </w:t>
      </w:r>
      <w:r>
        <w:rPr>
          <w:rFonts w:ascii="Arial"/>
          <w:i/>
          <w:sz w:val="20"/>
        </w:rPr>
        <w:t>Contracts:</w:t>
      </w:r>
      <w:r>
        <w:rPr>
          <w:rFonts w:ascii="Arial"/>
          <w:i/>
          <w:spacing w:val="-2"/>
          <w:sz w:val="20"/>
        </w:rPr>
        <w:t> </w:t>
      </w:r>
      <w:r>
        <w:rPr>
          <w:rFonts w:ascii="Arial"/>
          <w:i/>
          <w:sz w:val="20"/>
        </w:rPr>
        <w:t>Interpretation,</w:t>
      </w:r>
      <w:r>
        <w:rPr>
          <w:rFonts w:ascii="Arial"/>
          <w:i/>
          <w:spacing w:val="-2"/>
          <w:sz w:val="20"/>
        </w:rPr>
        <w:t> </w:t>
      </w:r>
      <w:r>
        <w:rPr>
          <w:rFonts w:ascii="Arial"/>
          <w:i/>
          <w:sz w:val="20"/>
        </w:rPr>
        <w:t>Implication</w:t>
      </w:r>
      <w:r>
        <w:rPr>
          <w:rFonts w:ascii="Arial"/>
          <w:i/>
          <w:spacing w:val="-2"/>
          <w:sz w:val="20"/>
        </w:rPr>
        <w:t> </w:t>
      </w:r>
      <w:r>
        <w:rPr>
          <w:rFonts w:ascii="Arial"/>
          <w:i/>
          <w:sz w:val="20"/>
        </w:rPr>
        <w:t>and</w:t>
      </w:r>
      <w:r>
        <w:rPr>
          <w:rFonts w:ascii="Arial"/>
          <w:i/>
          <w:spacing w:val="-2"/>
          <w:sz w:val="20"/>
        </w:rPr>
        <w:t> </w:t>
      </w:r>
      <w:r>
        <w:rPr>
          <w:rFonts w:ascii="Arial"/>
          <w:i/>
          <w:sz w:val="20"/>
        </w:rPr>
        <w:t>Rectification</w:t>
      </w:r>
      <w:r>
        <w:rPr>
          <w:sz w:val="20"/>
        </w:rPr>
        <w:t>, 2nd edn (2011), paras 9.17 et seq.; Allen, </w:t>
      </w:r>
      <w:r>
        <w:rPr>
          <w:rFonts w:ascii="Arial"/>
          <w:i/>
          <w:sz w:val="20"/>
        </w:rPr>
        <w:t>Property and the Human Rights Act 1998 </w:t>
      </w:r>
      <w:r>
        <w:rPr>
          <w:sz w:val="20"/>
        </w:rPr>
        <w:t>(2005), </w:t>
      </w:r>
      <w:r>
        <w:rPr>
          <w:spacing w:val="-2"/>
          <w:sz w:val="20"/>
        </w:rPr>
        <w:t>Ch.8.</w:t>
      </w:r>
    </w:p>
    <w:p>
      <w:pPr>
        <w:pStyle w:val="BodyText"/>
        <w:spacing w:before="4"/>
      </w:pPr>
    </w:p>
    <w:p>
      <w:pPr>
        <w:pStyle w:val="BodyText"/>
        <w:tabs>
          <w:tab w:pos="705" w:val="left" w:leader="none"/>
        </w:tabs>
        <w:spacing w:before="1"/>
        <w:ind w:left="165"/>
      </w:pPr>
      <w:bookmarkStart w:name="_bookmark1117" w:id="1119"/>
      <w:bookmarkEnd w:id="1119"/>
      <w:r>
        <w:rPr/>
      </w:r>
      <w:hyperlink w:history="true" w:anchor="_bookmark1068">
        <w:r>
          <w:rPr>
            <w:color w:val="005DA1"/>
            <w:spacing w:val="-4"/>
            <w:position w:val="5"/>
            <w:sz w:val="14"/>
            <w:u w:val="single" w:color="005DA1"/>
          </w:rPr>
          <w:t>574</w:t>
        </w:r>
      </w:hyperlink>
      <w:r>
        <w:rPr>
          <w:spacing w:val="-4"/>
          <w:position w:val="5"/>
          <w:sz w:val="14"/>
        </w:rPr>
        <w:t>.</w:t>
      </w:r>
      <w:r>
        <w:rPr>
          <w:position w:val="5"/>
          <w:sz w:val="14"/>
        </w:rPr>
        <w:tab/>
      </w:r>
      <w:r>
        <w:rPr/>
        <w:t>See cases cited at n.504, </w:t>
      </w:r>
      <w:r>
        <w:rPr>
          <w:spacing w:val="-2"/>
        </w:rPr>
        <w:t>above.</w:t>
      </w:r>
    </w:p>
    <w:p>
      <w:pPr>
        <w:pStyle w:val="BodyText"/>
        <w:spacing w:before="4"/>
      </w:pPr>
    </w:p>
    <w:p>
      <w:pPr>
        <w:tabs>
          <w:tab w:pos="705" w:val="left" w:leader="none"/>
        </w:tabs>
        <w:spacing w:before="1"/>
        <w:ind w:left="165" w:right="0" w:firstLine="0"/>
        <w:jc w:val="left"/>
        <w:rPr>
          <w:sz w:val="20"/>
        </w:rPr>
      </w:pPr>
      <w:bookmarkStart w:name="_bookmark1118" w:id="1120"/>
      <w:bookmarkEnd w:id="1120"/>
      <w:r>
        <w:rPr/>
      </w:r>
      <w:hyperlink w:history="true" w:anchor="_bookmark1069">
        <w:r>
          <w:rPr>
            <w:color w:val="005DA1"/>
            <w:spacing w:val="-4"/>
            <w:position w:val="5"/>
            <w:sz w:val="14"/>
            <w:u w:val="single" w:color="005DA1"/>
          </w:rPr>
          <w:t>575</w:t>
        </w:r>
      </w:hyperlink>
      <w:r>
        <w:rPr>
          <w:spacing w:val="-4"/>
          <w:position w:val="5"/>
          <w:sz w:val="14"/>
        </w:rPr>
        <w:t>.</w:t>
      </w:r>
      <w:r>
        <w:rPr>
          <w:position w:val="5"/>
          <w:sz w:val="14"/>
        </w:rPr>
        <w:tab/>
      </w:r>
      <w:r>
        <w:rPr>
          <w:rFonts w:ascii="Arial"/>
          <w:i/>
          <w:sz w:val="20"/>
        </w:rPr>
        <w:t>(2004) 38 E.H.R.R. </w:t>
      </w:r>
      <w:r>
        <w:rPr>
          <w:rFonts w:ascii="Arial"/>
          <w:i/>
          <w:spacing w:val="-5"/>
          <w:sz w:val="20"/>
        </w:rPr>
        <w:t>12</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119" w:id="1121"/>
      <w:bookmarkEnd w:id="1121"/>
      <w:r>
        <w:rPr/>
      </w:r>
      <w:hyperlink w:history="true" w:anchor="_bookmark1070">
        <w:r>
          <w:rPr>
            <w:color w:val="005DA1"/>
            <w:spacing w:val="-4"/>
            <w:position w:val="5"/>
            <w:sz w:val="14"/>
            <w:u w:val="single" w:color="005DA1"/>
          </w:rPr>
          <w:t>576</w:t>
        </w:r>
      </w:hyperlink>
      <w:r>
        <w:rPr>
          <w:spacing w:val="-4"/>
          <w:position w:val="5"/>
          <w:sz w:val="14"/>
        </w:rPr>
        <w:t>.</w:t>
      </w:r>
      <w:r>
        <w:rPr>
          <w:position w:val="5"/>
          <w:sz w:val="14"/>
        </w:rPr>
        <w:tab/>
      </w:r>
      <w:r>
        <w:rPr>
          <w:rFonts w:ascii="Arial"/>
          <w:i/>
          <w:sz w:val="20"/>
        </w:rPr>
        <w:t>(2004) 38 E.H.R.R. 12</w:t>
      </w:r>
      <w:r>
        <w:rPr>
          <w:rFonts w:ascii="Arial"/>
          <w:i/>
          <w:spacing w:val="-1"/>
          <w:sz w:val="20"/>
        </w:rPr>
        <w:t> </w:t>
      </w:r>
      <w:r>
        <w:rPr>
          <w:sz w:val="20"/>
        </w:rPr>
        <w:t>at [32], and see also [34] and </w:t>
      </w:r>
      <w:r>
        <w:rPr>
          <w:spacing w:val="-2"/>
          <w:sz w:val="20"/>
        </w:rPr>
        <w:t>[35].</w:t>
      </w:r>
    </w:p>
    <w:p>
      <w:pPr>
        <w:pStyle w:val="BodyText"/>
        <w:spacing w:before="5"/>
      </w:pPr>
    </w:p>
    <w:p>
      <w:pPr>
        <w:tabs>
          <w:tab w:pos="705" w:val="left" w:leader="none"/>
        </w:tabs>
        <w:spacing w:before="0"/>
        <w:ind w:left="165" w:right="0" w:firstLine="0"/>
        <w:jc w:val="left"/>
        <w:rPr>
          <w:sz w:val="20"/>
        </w:rPr>
      </w:pPr>
      <w:bookmarkStart w:name="_bookmark1120" w:id="1122"/>
      <w:bookmarkEnd w:id="1122"/>
      <w:r>
        <w:rPr/>
      </w:r>
      <w:hyperlink w:history="true" w:anchor="_bookmark1071">
        <w:r>
          <w:rPr>
            <w:color w:val="005DA1"/>
            <w:spacing w:val="-4"/>
            <w:position w:val="5"/>
            <w:sz w:val="14"/>
            <w:u w:val="single" w:color="005DA1"/>
          </w:rPr>
          <w:t>577</w:t>
        </w:r>
      </w:hyperlink>
      <w:r>
        <w:rPr>
          <w:spacing w:val="-4"/>
          <w:position w:val="5"/>
          <w:sz w:val="14"/>
        </w:rPr>
        <w:t>.</w:t>
      </w:r>
      <w:r>
        <w:rPr>
          <w:position w:val="5"/>
          <w:sz w:val="14"/>
        </w:rPr>
        <w:tab/>
      </w:r>
      <w:r>
        <w:rPr>
          <w:rFonts w:ascii="Arial"/>
          <w:i/>
          <w:sz w:val="20"/>
        </w:rPr>
        <w:t>[2003] UKHL 40, [2004] 1 A.C. 816</w:t>
      </w:r>
      <w:r>
        <w:rPr>
          <w:rFonts w:ascii="Arial"/>
          <w:i/>
          <w:spacing w:val="-1"/>
          <w:sz w:val="20"/>
        </w:rPr>
        <w:t> </w:t>
      </w:r>
      <w:r>
        <w:rPr>
          <w:sz w:val="20"/>
        </w:rPr>
        <w:t>at </w:t>
      </w:r>
      <w:r>
        <w:rPr>
          <w:spacing w:val="-2"/>
          <w:sz w:val="20"/>
        </w:rPr>
        <w:t>[137].</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121" w:id="1123"/>
      <w:bookmarkEnd w:id="1123"/>
      <w:r>
        <w:rPr/>
      </w:r>
      <w:hyperlink w:history="true" w:anchor="_bookmark1071">
        <w:r>
          <w:rPr>
            <w:color w:val="005DA1"/>
            <w:spacing w:val="-4"/>
            <w:position w:val="5"/>
            <w:sz w:val="14"/>
            <w:u w:val="single" w:color="005DA1"/>
          </w:rPr>
          <w:t>578</w:t>
        </w:r>
      </w:hyperlink>
      <w:r>
        <w:rPr>
          <w:spacing w:val="-4"/>
          <w:position w:val="5"/>
          <w:sz w:val="14"/>
        </w:rPr>
        <w:t>.</w:t>
      </w:r>
      <w:r>
        <w:rPr>
          <w:position w:val="5"/>
          <w:sz w:val="14"/>
        </w:rPr>
        <w:tab/>
      </w:r>
      <w:r>
        <w:rPr>
          <w:rFonts w:ascii="Arial" w:hAnsi="Arial"/>
          <w:i/>
          <w:sz w:val="20"/>
        </w:rPr>
        <w:t>[2004]</w:t>
      </w:r>
      <w:r>
        <w:rPr>
          <w:rFonts w:ascii="Arial" w:hAnsi="Arial"/>
          <w:i/>
          <w:spacing w:val="29"/>
          <w:sz w:val="20"/>
        </w:rPr>
        <w:t> </w:t>
      </w:r>
      <w:r>
        <w:rPr>
          <w:rFonts w:ascii="Arial" w:hAnsi="Arial"/>
          <w:i/>
          <w:sz w:val="20"/>
        </w:rPr>
        <w:t>EWCA</w:t>
      </w:r>
      <w:r>
        <w:rPr>
          <w:rFonts w:ascii="Arial" w:hAnsi="Arial"/>
          <w:i/>
          <w:spacing w:val="29"/>
          <w:sz w:val="20"/>
        </w:rPr>
        <w:t> </w:t>
      </w:r>
      <w:r>
        <w:rPr>
          <w:rFonts w:ascii="Arial" w:hAnsi="Arial"/>
          <w:i/>
          <w:sz w:val="20"/>
        </w:rPr>
        <w:t>Civ</w:t>
      </w:r>
      <w:r>
        <w:rPr>
          <w:rFonts w:ascii="Arial" w:hAnsi="Arial"/>
          <w:i/>
          <w:spacing w:val="29"/>
          <w:sz w:val="20"/>
        </w:rPr>
        <w:t> </w:t>
      </w:r>
      <w:r>
        <w:rPr>
          <w:rFonts w:ascii="Arial" w:hAnsi="Arial"/>
          <w:i/>
          <w:sz w:val="20"/>
        </w:rPr>
        <w:t>100,</w:t>
      </w:r>
      <w:r>
        <w:rPr>
          <w:rFonts w:ascii="Arial" w:hAnsi="Arial"/>
          <w:i/>
          <w:spacing w:val="29"/>
          <w:sz w:val="20"/>
        </w:rPr>
        <w:t> </w:t>
      </w:r>
      <w:r>
        <w:rPr>
          <w:rFonts w:ascii="Arial" w:hAnsi="Arial"/>
          <w:i/>
          <w:sz w:val="20"/>
        </w:rPr>
        <w:t>[2004]</w:t>
      </w:r>
      <w:r>
        <w:rPr>
          <w:rFonts w:ascii="Arial" w:hAnsi="Arial"/>
          <w:i/>
          <w:spacing w:val="29"/>
          <w:sz w:val="20"/>
        </w:rPr>
        <w:t> </w:t>
      </w:r>
      <w:r>
        <w:rPr>
          <w:rFonts w:ascii="Arial" w:hAnsi="Arial"/>
          <w:i/>
          <w:sz w:val="20"/>
        </w:rPr>
        <w:t>Ch.</w:t>
      </w:r>
      <w:r>
        <w:rPr>
          <w:rFonts w:ascii="Arial" w:hAnsi="Arial"/>
          <w:i/>
          <w:spacing w:val="29"/>
          <w:sz w:val="20"/>
        </w:rPr>
        <w:t> </w:t>
      </w:r>
      <w:r>
        <w:rPr>
          <w:rFonts w:ascii="Arial" w:hAnsi="Arial"/>
          <w:i/>
          <w:sz w:val="20"/>
        </w:rPr>
        <w:t>296</w:t>
      </w:r>
      <w:r>
        <w:rPr>
          <w:rFonts w:ascii="Arial" w:hAnsi="Arial"/>
          <w:i/>
          <w:spacing w:val="29"/>
          <w:sz w:val="20"/>
        </w:rPr>
        <w:t> </w:t>
      </w:r>
      <w:r>
        <w:rPr>
          <w:sz w:val="20"/>
        </w:rPr>
        <w:t>at</w:t>
      </w:r>
      <w:r>
        <w:rPr>
          <w:spacing w:val="29"/>
          <w:sz w:val="20"/>
        </w:rPr>
        <w:t> </w:t>
      </w:r>
      <w:r>
        <w:rPr>
          <w:sz w:val="20"/>
        </w:rPr>
        <w:t>[30]–[42].</w:t>
      </w:r>
      <w:r>
        <w:rPr>
          <w:spacing w:val="29"/>
          <w:sz w:val="20"/>
        </w:rPr>
        <w:t> </w:t>
      </w:r>
      <w:r>
        <w:rPr>
          <w:sz w:val="20"/>
        </w:rPr>
        <w:t>See</w:t>
      </w:r>
      <w:r>
        <w:rPr>
          <w:spacing w:val="29"/>
          <w:sz w:val="20"/>
        </w:rPr>
        <w:t> </w:t>
      </w:r>
      <w:r>
        <w:rPr>
          <w:sz w:val="20"/>
        </w:rPr>
        <w:t>also</w:t>
      </w:r>
      <w:r>
        <w:rPr>
          <w:spacing w:val="29"/>
          <w:sz w:val="20"/>
        </w:rPr>
        <w:t> </w:t>
      </w:r>
      <w:r>
        <w:rPr>
          <w:rFonts w:ascii="Arial" w:hAnsi="Arial"/>
          <w:i/>
          <w:sz w:val="20"/>
        </w:rPr>
        <w:t>C</w:t>
      </w:r>
      <w:r>
        <w:rPr>
          <w:rFonts w:ascii="Arial" w:hAnsi="Arial"/>
          <w:i/>
          <w:spacing w:val="29"/>
          <w:sz w:val="20"/>
        </w:rPr>
        <w:t> </w:t>
      </w:r>
      <w:r>
        <w:rPr>
          <w:rFonts w:ascii="Arial" w:hAnsi="Arial"/>
          <w:i/>
          <w:sz w:val="20"/>
        </w:rPr>
        <w:t>A</w:t>
      </w:r>
      <w:r>
        <w:rPr>
          <w:rFonts w:ascii="Arial" w:hAnsi="Arial"/>
          <w:i/>
          <w:spacing w:val="29"/>
          <w:sz w:val="20"/>
        </w:rPr>
        <w:t> </w:t>
      </w:r>
      <w:r>
        <w:rPr>
          <w:rFonts w:ascii="Arial" w:hAnsi="Arial"/>
          <w:i/>
          <w:sz w:val="20"/>
        </w:rPr>
        <w:t>Webber</w:t>
      </w:r>
      <w:r>
        <w:rPr>
          <w:rFonts w:ascii="Arial" w:hAnsi="Arial"/>
          <w:i/>
          <w:spacing w:val="29"/>
          <w:sz w:val="20"/>
        </w:rPr>
        <w:t> </w:t>
      </w:r>
      <w:r>
        <w:rPr>
          <w:rFonts w:ascii="Arial" w:hAnsi="Arial"/>
          <w:i/>
          <w:sz w:val="20"/>
        </w:rPr>
        <w:t>(Transport)</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pacing w:val="-10"/>
          <w:sz w:val="20"/>
        </w:rPr>
        <w:t>v</w:t>
      </w:r>
    </w:p>
    <w:p>
      <w:pPr>
        <w:spacing w:line="225" w:lineRule="exact" w:before="0"/>
        <w:ind w:left="705" w:right="0" w:firstLine="0"/>
        <w:jc w:val="left"/>
        <w:rPr>
          <w:rFonts w:ascii="Arial" w:hAnsi="Arial"/>
          <w:i/>
          <w:sz w:val="20"/>
        </w:rPr>
      </w:pPr>
      <w:r>
        <w:rPr>
          <w:rFonts w:ascii="Arial" w:hAnsi="Arial"/>
          <w:i/>
          <w:sz w:val="20"/>
        </w:rPr>
        <w:t>Railtrack</w:t>
      </w:r>
      <w:r>
        <w:rPr>
          <w:rFonts w:ascii="Arial" w:hAnsi="Arial"/>
          <w:i/>
          <w:spacing w:val="25"/>
          <w:sz w:val="20"/>
        </w:rPr>
        <w:t> </w:t>
      </w:r>
      <w:r>
        <w:rPr>
          <w:rFonts w:ascii="Arial" w:hAnsi="Arial"/>
          <w:i/>
          <w:sz w:val="20"/>
        </w:rPr>
        <w:t>Plc</w:t>
      </w:r>
      <w:r>
        <w:rPr>
          <w:rFonts w:ascii="Arial" w:hAnsi="Arial"/>
          <w:i/>
          <w:spacing w:val="25"/>
          <w:sz w:val="20"/>
        </w:rPr>
        <w:t> </w:t>
      </w:r>
      <w:r>
        <w:rPr>
          <w:rFonts w:ascii="Arial" w:hAnsi="Arial"/>
          <w:i/>
          <w:sz w:val="20"/>
        </w:rPr>
        <w:t>[2003]</w:t>
      </w:r>
      <w:r>
        <w:rPr>
          <w:rFonts w:ascii="Arial" w:hAnsi="Arial"/>
          <w:i/>
          <w:spacing w:val="25"/>
          <w:sz w:val="20"/>
        </w:rPr>
        <w:t> </w:t>
      </w:r>
      <w:r>
        <w:rPr>
          <w:rFonts w:ascii="Arial" w:hAnsi="Arial"/>
          <w:i/>
          <w:sz w:val="20"/>
        </w:rPr>
        <w:t>EWCA</w:t>
      </w:r>
      <w:r>
        <w:rPr>
          <w:rFonts w:ascii="Arial" w:hAnsi="Arial"/>
          <w:i/>
          <w:spacing w:val="25"/>
          <w:sz w:val="20"/>
        </w:rPr>
        <w:t> </w:t>
      </w:r>
      <w:r>
        <w:rPr>
          <w:rFonts w:ascii="Arial" w:hAnsi="Arial"/>
          <w:i/>
          <w:sz w:val="20"/>
        </w:rPr>
        <w:t>Civ</w:t>
      </w:r>
      <w:r>
        <w:rPr>
          <w:rFonts w:ascii="Arial" w:hAnsi="Arial"/>
          <w:i/>
          <w:spacing w:val="25"/>
          <w:sz w:val="20"/>
        </w:rPr>
        <w:t> </w:t>
      </w:r>
      <w:r>
        <w:rPr>
          <w:rFonts w:ascii="Arial" w:hAnsi="Arial"/>
          <w:i/>
          <w:sz w:val="20"/>
        </w:rPr>
        <w:t>1167,</w:t>
      </w:r>
      <w:r>
        <w:rPr>
          <w:rFonts w:ascii="Arial" w:hAnsi="Arial"/>
          <w:i/>
          <w:spacing w:val="25"/>
          <w:sz w:val="20"/>
        </w:rPr>
        <w:t> </w:t>
      </w:r>
      <w:r>
        <w:rPr>
          <w:rFonts w:ascii="Arial" w:hAnsi="Arial"/>
          <w:i/>
          <w:sz w:val="20"/>
        </w:rPr>
        <w:t>[2004]</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W.L.R.</w:t>
      </w:r>
      <w:r>
        <w:rPr>
          <w:rFonts w:ascii="Arial" w:hAnsi="Arial"/>
          <w:i/>
          <w:spacing w:val="25"/>
          <w:sz w:val="20"/>
        </w:rPr>
        <w:t> </w:t>
      </w:r>
      <w:r>
        <w:rPr>
          <w:rFonts w:ascii="Arial" w:hAnsi="Arial"/>
          <w:i/>
          <w:sz w:val="20"/>
        </w:rPr>
        <w:t>320</w:t>
      </w:r>
      <w:r>
        <w:rPr>
          <w:rFonts w:ascii="Arial" w:hAnsi="Arial"/>
          <w:i/>
          <w:spacing w:val="24"/>
          <w:sz w:val="20"/>
        </w:rPr>
        <w:t> </w:t>
      </w:r>
      <w:r>
        <w:rPr>
          <w:sz w:val="20"/>
        </w:rPr>
        <w:t>at</w:t>
      </w:r>
      <w:r>
        <w:rPr>
          <w:spacing w:val="25"/>
          <w:sz w:val="20"/>
        </w:rPr>
        <w:t> </w:t>
      </w:r>
      <w:r>
        <w:rPr>
          <w:sz w:val="20"/>
        </w:rPr>
        <w:t>[59]–[61];</w:t>
      </w:r>
      <w:r>
        <w:rPr>
          <w:spacing w:val="25"/>
          <w:sz w:val="20"/>
        </w:rPr>
        <w:t> </w:t>
      </w:r>
      <w:r>
        <w:rPr>
          <w:rFonts w:ascii="Arial" w:hAnsi="Arial"/>
          <w:i/>
          <w:sz w:val="20"/>
        </w:rPr>
        <w:t>Re</w:t>
      </w:r>
      <w:r>
        <w:rPr>
          <w:rFonts w:ascii="Arial" w:hAnsi="Arial"/>
          <w:i/>
          <w:spacing w:val="25"/>
          <w:sz w:val="20"/>
        </w:rPr>
        <w:t> </w:t>
      </w:r>
      <w:r>
        <w:rPr>
          <w:rFonts w:ascii="Arial" w:hAnsi="Arial"/>
          <w:i/>
          <w:sz w:val="20"/>
        </w:rPr>
        <w:t>T</w:t>
      </w:r>
      <w:r>
        <w:rPr>
          <w:rFonts w:ascii="Arial" w:hAnsi="Arial"/>
          <w:i/>
          <w:spacing w:val="25"/>
          <w:sz w:val="20"/>
        </w:rPr>
        <w:t> </w:t>
      </w:r>
      <w:r>
        <w:rPr>
          <w:rFonts w:ascii="Arial" w:hAnsi="Arial"/>
          <w:i/>
          <w:sz w:val="20"/>
        </w:rPr>
        <w:t>&amp;</w:t>
      </w:r>
      <w:r>
        <w:rPr>
          <w:rFonts w:ascii="Arial" w:hAnsi="Arial"/>
          <w:i/>
          <w:spacing w:val="25"/>
          <w:sz w:val="20"/>
        </w:rPr>
        <w:t> </w:t>
      </w:r>
      <w:r>
        <w:rPr>
          <w:rFonts w:ascii="Arial" w:hAnsi="Arial"/>
          <w:i/>
          <w:sz w:val="20"/>
        </w:rPr>
        <w:t>N</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pacing w:val="-2"/>
          <w:sz w:val="20"/>
        </w:rPr>
        <w:t>[2005]</w:t>
      </w:r>
    </w:p>
    <w:p>
      <w:pPr>
        <w:spacing w:line="225" w:lineRule="exact" w:before="0"/>
        <w:ind w:left="705" w:right="0" w:firstLine="0"/>
        <w:jc w:val="left"/>
        <w:rPr>
          <w:rFonts w:ascii="Arial"/>
          <w:i/>
          <w:sz w:val="20"/>
        </w:rPr>
      </w:pPr>
      <w:r>
        <w:rPr>
          <w:rFonts w:ascii="Arial"/>
          <w:i/>
          <w:sz w:val="20"/>
        </w:rPr>
        <w:t>EWHC</w:t>
      </w:r>
      <w:r>
        <w:rPr>
          <w:rFonts w:ascii="Arial"/>
          <w:i/>
          <w:spacing w:val="3"/>
          <w:sz w:val="20"/>
        </w:rPr>
        <w:t> </w:t>
      </w:r>
      <w:r>
        <w:rPr>
          <w:rFonts w:ascii="Arial"/>
          <w:i/>
          <w:sz w:val="20"/>
        </w:rPr>
        <w:t>2870</w:t>
      </w:r>
      <w:r>
        <w:rPr>
          <w:rFonts w:ascii="Arial"/>
          <w:i/>
          <w:spacing w:val="3"/>
          <w:sz w:val="20"/>
        </w:rPr>
        <w:t> </w:t>
      </w:r>
      <w:r>
        <w:rPr>
          <w:rFonts w:ascii="Arial"/>
          <w:i/>
          <w:sz w:val="20"/>
        </w:rPr>
        <w:t>(Ch),</w:t>
      </w:r>
      <w:r>
        <w:rPr>
          <w:rFonts w:ascii="Arial"/>
          <w:i/>
          <w:spacing w:val="3"/>
          <w:sz w:val="20"/>
        </w:rPr>
        <w:t> </w:t>
      </w:r>
      <w:r>
        <w:rPr>
          <w:rFonts w:ascii="Arial"/>
          <w:i/>
          <w:sz w:val="20"/>
        </w:rPr>
        <w:t>[2006]</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1728</w:t>
      </w:r>
      <w:r>
        <w:rPr>
          <w:rFonts w:ascii="Arial"/>
          <w:i/>
          <w:spacing w:val="3"/>
          <w:sz w:val="20"/>
        </w:rPr>
        <w:t> </w:t>
      </w:r>
      <w:r>
        <w:rPr>
          <w:sz w:val="20"/>
        </w:rPr>
        <w:t>at</w:t>
      </w:r>
      <w:r>
        <w:rPr>
          <w:spacing w:val="3"/>
          <w:sz w:val="20"/>
        </w:rPr>
        <w:t> </w:t>
      </w:r>
      <w:r>
        <w:rPr>
          <w:sz w:val="20"/>
        </w:rPr>
        <w:t>[171];</w:t>
      </w:r>
      <w:r>
        <w:rPr>
          <w:spacing w:val="3"/>
          <w:sz w:val="20"/>
        </w:rPr>
        <w:t> </w:t>
      </w:r>
      <w:r>
        <w:rPr>
          <w:rFonts w:ascii="Arial"/>
          <w:i/>
          <w:sz w:val="20"/>
        </w:rPr>
        <w:t>JA</w:t>
      </w:r>
      <w:r>
        <w:rPr>
          <w:rFonts w:ascii="Arial"/>
          <w:i/>
          <w:spacing w:val="3"/>
          <w:sz w:val="20"/>
        </w:rPr>
        <w:t> </w:t>
      </w:r>
      <w:r>
        <w:rPr>
          <w:rFonts w:ascii="Arial"/>
          <w:i/>
          <w:sz w:val="20"/>
        </w:rPr>
        <w:t>Pye</w:t>
      </w:r>
      <w:r>
        <w:rPr>
          <w:rFonts w:ascii="Arial"/>
          <w:i/>
          <w:spacing w:val="3"/>
          <w:sz w:val="20"/>
        </w:rPr>
        <w:t> </w:t>
      </w:r>
      <w:r>
        <w:rPr>
          <w:rFonts w:ascii="Arial"/>
          <w:i/>
          <w:sz w:val="20"/>
        </w:rPr>
        <w:t>(Oxford)</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United</w:t>
      </w:r>
      <w:r>
        <w:rPr>
          <w:rFonts w:ascii="Arial"/>
          <w:i/>
          <w:spacing w:val="3"/>
          <w:sz w:val="20"/>
        </w:rPr>
        <w:t> </w:t>
      </w:r>
      <w:r>
        <w:rPr>
          <w:rFonts w:ascii="Arial"/>
          <w:i/>
          <w:sz w:val="20"/>
        </w:rPr>
        <w:t>Kingdom</w:t>
      </w:r>
      <w:r>
        <w:rPr>
          <w:rFonts w:ascii="Arial"/>
          <w:i/>
          <w:spacing w:val="3"/>
          <w:sz w:val="20"/>
        </w:rPr>
        <w:t> </w:t>
      </w:r>
      <w:r>
        <w:rPr>
          <w:rFonts w:ascii="Arial"/>
          <w:i/>
          <w:spacing w:val="-2"/>
          <w:sz w:val="20"/>
        </w:rPr>
        <w:t>(2006)</w:t>
      </w:r>
    </w:p>
    <w:p>
      <w:pPr>
        <w:spacing w:line="227" w:lineRule="exact" w:before="0"/>
        <w:ind w:left="705" w:right="0" w:firstLine="0"/>
        <w:jc w:val="left"/>
        <w:rPr>
          <w:sz w:val="20"/>
        </w:rPr>
      </w:pPr>
      <w:r>
        <w:rPr>
          <w:rFonts w:ascii="Arial"/>
          <w:i/>
          <w:sz w:val="20"/>
        </w:rPr>
        <w:t>43 E.H.R.R. 3</w:t>
      </w:r>
      <w:r>
        <w:rPr>
          <w:rFonts w:ascii="Arial"/>
          <w:i/>
          <w:spacing w:val="-1"/>
          <w:sz w:val="20"/>
        </w:rPr>
        <w:t> </w:t>
      </w:r>
      <w:r>
        <w:rPr>
          <w:sz w:val="20"/>
        </w:rPr>
        <w:t>at </w:t>
      </w:r>
      <w:r>
        <w:rPr>
          <w:spacing w:val="-2"/>
          <w:sz w:val="20"/>
        </w:rPr>
        <w:t>[52].</w:t>
      </w:r>
    </w:p>
    <w:p>
      <w:pPr>
        <w:pStyle w:val="BodyText"/>
        <w:spacing w:before="5"/>
      </w:pPr>
    </w:p>
    <w:p>
      <w:pPr>
        <w:tabs>
          <w:tab w:pos="705" w:val="left" w:leader="none"/>
        </w:tabs>
        <w:spacing w:before="0"/>
        <w:ind w:left="165" w:right="0" w:firstLine="0"/>
        <w:jc w:val="left"/>
        <w:rPr>
          <w:sz w:val="20"/>
        </w:rPr>
      </w:pPr>
      <w:bookmarkStart w:name="_bookmark1122" w:id="1124"/>
      <w:bookmarkEnd w:id="1124"/>
      <w:r>
        <w:rPr/>
      </w:r>
      <w:hyperlink w:history="true" w:anchor="_bookmark1072">
        <w:r>
          <w:rPr>
            <w:color w:val="005DA1"/>
            <w:spacing w:val="-4"/>
            <w:position w:val="5"/>
            <w:sz w:val="14"/>
            <w:u w:val="single" w:color="005DA1"/>
          </w:rPr>
          <w:t>579</w:t>
        </w:r>
      </w:hyperlink>
      <w:r>
        <w:rPr>
          <w:spacing w:val="-4"/>
          <w:position w:val="5"/>
          <w:sz w:val="14"/>
        </w:rPr>
        <w:t>.</w:t>
      </w:r>
      <w:r>
        <w:rPr>
          <w:position w:val="5"/>
          <w:sz w:val="14"/>
        </w:rPr>
        <w:tab/>
      </w:r>
      <w:r>
        <w:rPr>
          <w:rFonts w:ascii="Arial"/>
          <w:i/>
          <w:sz w:val="20"/>
        </w:rPr>
        <w:t>[2004] EWCA Civ 100</w:t>
      </w:r>
      <w:r>
        <w:rPr>
          <w:rFonts w:ascii="Arial"/>
          <w:i/>
          <w:spacing w:val="-1"/>
          <w:sz w:val="20"/>
        </w:rPr>
        <w:t> </w:t>
      </w:r>
      <w:r>
        <w:rPr>
          <w:sz w:val="20"/>
        </w:rPr>
        <w:t>at </w:t>
      </w:r>
      <w:r>
        <w:rPr>
          <w:spacing w:val="-2"/>
          <w:sz w:val="20"/>
        </w:rPr>
        <w:t>[34].</w:t>
      </w:r>
    </w:p>
    <w:p>
      <w:pPr>
        <w:spacing w:after="0"/>
        <w:jc w:val="left"/>
        <w:rPr>
          <w:sz w:val="20"/>
        </w:rPr>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073">
        <w:r>
          <w:rPr>
            <w:color w:val="005DA1"/>
            <w:spacing w:val="-4"/>
            <w:position w:val="5"/>
            <w:sz w:val="14"/>
            <w:u w:val="single" w:color="005DA1"/>
          </w:rPr>
          <w:t>580</w:t>
        </w:r>
      </w:hyperlink>
      <w:r>
        <w:rPr>
          <w:spacing w:val="-4"/>
          <w:position w:val="5"/>
          <w:sz w:val="14"/>
        </w:rPr>
        <w:t>.</w:t>
      </w:r>
      <w:r>
        <w:rPr>
          <w:position w:val="5"/>
          <w:sz w:val="14"/>
        </w:rPr>
        <w:tab/>
      </w:r>
      <w:r>
        <w:rPr>
          <w:rFonts w:ascii="Arial"/>
          <w:i/>
          <w:sz w:val="20"/>
        </w:rPr>
        <w:t>[2004] EWCA Civ 100</w:t>
      </w:r>
      <w:r>
        <w:rPr>
          <w:rFonts w:ascii="Arial"/>
          <w:i/>
          <w:spacing w:val="-1"/>
          <w:sz w:val="20"/>
        </w:rPr>
        <w:t> </w:t>
      </w:r>
      <w:r>
        <w:rPr>
          <w:sz w:val="20"/>
        </w:rPr>
        <w:t>at </w:t>
      </w:r>
      <w:r>
        <w:rPr>
          <w:spacing w:val="-2"/>
          <w:sz w:val="20"/>
        </w:rPr>
        <w:t>[35].</w:t>
      </w:r>
    </w:p>
    <w:p>
      <w:pPr>
        <w:pStyle w:val="BodyText"/>
        <w:spacing w:before="5"/>
      </w:pPr>
    </w:p>
    <w:p>
      <w:pPr>
        <w:tabs>
          <w:tab w:pos="705" w:val="left" w:leader="none"/>
        </w:tabs>
        <w:spacing w:before="1"/>
        <w:ind w:left="165" w:right="0" w:firstLine="0"/>
        <w:jc w:val="left"/>
        <w:rPr>
          <w:sz w:val="20"/>
        </w:rPr>
      </w:pPr>
      <w:bookmarkStart w:name="_bookmark1123" w:id="1125"/>
      <w:bookmarkEnd w:id="1125"/>
      <w:r>
        <w:rPr/>
      </w:r>
      <w:hyperlink w:history="true" w:anchor="_bookmark1074">
        <w:r>
          <w:rPr>
            <w:color w:val="005DA1"/>
            <w:spacing w:val="-4"/>
            <w:position w:val="5"/>
            <w:sz w:val="14"/>
            <w:u w:val="single" w:color="005DA1"/>
          </w:rPr>
          <w:t>581</w:t>
        </w:r>
      </w:hyperlink>
      <w:r>
        <w:rPr>
          <w:spacing w:val="-4"/>
          <w:position w:val="5"/>
          <w:sz w:val="14"/>
        </w:rPr>
        <w:t>.</w:t>
      </w:r>
      <w:r>
        <w:rPr>
          <w:position w:val="5"/>
          <w:sz w:val="14"/>
        </w:rPr>
        <w:tab/>
      </w:r>
      <w:r>
        <w:rPr>
          <w:rFonts w:ascii="Arial"/>
          <w:i/>
          <w:sz w:val="20"/>
        </w:rPr>
        <w:t>[2004] EWCA Civ 100</w:t>
      </w:r>
      <w:r>
        <w:rPr>
          <w:rFonts w:ascii="Arial"/>
          <w:i/>
          <w:spacing w:val="-1"/>
          <w:sz w:val="20"/>
        </w:rPr>
        <w:t> </w:t>
      </w:r>
      <w:r>
        <w:rPr>
          <w:sz w:val="20"/>
        </w:rPr>
        <w:t>at </w:t>
      </w:r>
      <w:r>
        <w:rPr>
          <w:spacing w:val="-2"/>
          <w:sz w:val="20"/>
        </w:rPr>
        <w:t>[38].</w:t>
      </w:r>
    </w:p>
    <w:p>
      <w:pPr>
        <w:pStyle w:val="BodyText"/>
        <w:spacing w:before="4"/>
      </w:pPr>
    </w:p>
    <w:p>
      <w:pPr>
        <w:tabs>
          <w:tab w:pos="705" w:val="left" w:leader="none"/>
        </w:tabs>
        <w:spacing w:before="1"/>
        <w:ind w:left="165" w:right="0" w:firstLine="0"/>
        <w:jc w:val="left"/>
        <w:rPr>
          <w:sz w:val="20"/>
        </w:rPr>
      </w:pPr>
      <w:bookmarkStart w:name="_bookmark1124" w:id="1126"/>
      <w:bookmarkEnd w:id="1126"/>
      <w:r>
        <w:rPr/>
      </w:r>
      <w:hyperlink w:history="true" w:anchor="_bookmark1075">
        <w:r>
          <w:rPr>
            <w:color w:val="005DA1"/>
            <w:spacing w:val="-4"/>
            <w:position w:val="5"/>
            <w:sz w:val="14"/>
            <w:u w:val="single" w:color="005DA1"/>
          </w:rPr>
          <w:t>582</w:t>
        </w:r>
      </w:hyperlink>
      <w:r>
        <w:rPr>
          <w:spacing w:val="-4"/>
          <w:position w:val="5"/>
          <w:sz w:val="14"/>
        </w:rPr>
        <w:t>.</w:t>
      </w:r>
      <w:r>
        <w:rPr>
          <w:position w:val="5"/>
          <w:sz w:val="14"/>
        </w:rPr>
        <w:tab/>
      </w:r>
      <w:r>
        <w:rPr>
          <w:rFonts w:ascii="Arial"/>
          <w:i/>
          <w:sz w:val="20"/>
        </w:rPr>
        <w:t>[2003] EWHC 1994 (Ch), [2004] Ch. </w:t>
      </w:r>
      <w:r>
        <w:rPr>
          <w:rFonts w:ascii="Arial"/>
          <w:i/>
          <w:spacing w:val="-4"/>
          <w:sz w:val="20"/>
        </w:rPr>
        <w:t>142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125" w:id="1127"/>
      <w:bookmarkEnd w:id="1127"/>
      <w:r>
        <w:rPr/>
      </w:r>
      <w:hyperlink w:history="true" w:anchor="_bookmark1076">
        <w:r>
          <w:rPr>
            <w:color w:val="005DA1"/>
            <w:spacing w:val="-4"/>
            <w:position w:val="5"/>
            <w:sz w:val="14"/>
            <w:u w:val="single" w:color="005DA1"/>
          </w:rPr>
          <w:t>583</w:t>
        </w:r>
      </w:hyperlink>
      <w:r>
        <w:rPr>
          <w:spacing w:val="-4"/>
          <w:position w:val="5"/>
          <w:sz w:val="14"/>
        </w:rPr>
        <w:t>.</w:t>
      </w:r>
      <w:r>
        <w:rPr>
          <w:position w:val="5"/>
          <w:sz w:val="14"/>
        </w:rPr>
        <w:tab/>
      </w:r>
      <w:r>
        <w:rPr>
          <w:rFonts w:ascii="Arial"/>
          <w:i/>
          <w:sz w:val="20"/>
        </w:rPr>
        <w:t>(2004) 38 E.H.R.R. 12</w:t>
      </w:r>
      <w:r>
        <w:rPr>
          <w:rFonts w:ascii="Arial"/>
          <w:i/>
          <w:spacing w:val="-1"/>
          <w:sz w:val="20"/>
        </w:rPr>
        <w:t> </w:t>
      </w:r>
      <w:r>
        <w:rPr>
          <w:sz w:val="20"/>
        </w:rPr>
        <w:t>especially at </w:t>
      </w:r>
      <w:r>
        <w:rPr>
          <w:spacing w:val="-2"/>
          <w:sz w:val="20"/>
        </w:rPr>
        <w:t>[32].</w:t>
      </w:r>
    </w:p>
    <w:p>
      <w:pPr>
        <w:pStyle w:val="BodyText"/>
        <w:spacing w:before="4"/>
      </w:pPr>
    </w:p>
    <w:p>
      <w:pPr>
        <w:tabs>
          <w:tab w:pos="705" w:val="left" w:leader="none"/>
        </w:tabs>
        <w:spacing w:before="1"/>
        <w:ind w:left="165" w:right="0" w:firstLine="0"/>
        <w:jc w:val="left"/>
        <w:rPr>
          <w:sz w:val="20"/>
        </w:rPr>
      </w:pPr>
      <w:bookmarkStart w:name="_bookmark1126" w:id="1128"/>
      <w:bookmarkEnd w:id="1128"/>
      <w:r>
        <w:rPr/>
      </w:r>
      <w:hyperlink w:history="true" w:anchor="_bookmark1077">
        <w:r>
          <w:rPr>
            <w:color w:val="005DA1"/>
            <w:spacing w:val="-4"/>
            <w:position w:val="5"/>
            <w:sz w:val="14"/>
            <w:u w:val="single" w:color="005DA1"/>
          </w:rPr>
          <w:t>584</w:t>
        </w:r>
      </w:hyperlink>
      <w:r>
        <w:rPr>
          <w:spacing w:val="-4"/>
          <w:position w:val="5"/>
          <w:sz w:val="14"/>
        </w:rPr>
        <w:t>.</w:t>
      </w:r>
      <w:r>
        <w:rPr>
          <w:position w:val="5"/>
          <w:sz w:val="14"/>
        </w:rPr>
        <w:tab/>
      </w:r>
      <w:r>
        <w:rPr>
          <w:rFonts w:ascii="Arial"/>
          <w:i/>
          <w:sz w:val="20"/>
        </w:rPr>
        <w:t>[2003] EWHC 1994 (Ch)</w:t>
      </w:r>
      <w:r>
        <w:rPr>
          <w:rFonts w:ascii="Arial"/>
          <w:i/>
          <w:spacing w:val="-1"/>
          <w:sz w:val="20"/>
        </w:rPr>
        <w:t> </w:t>
      </w:r>
      <w:r>
        <w:rPr>
          <w:sz w:val="20"/>
        </w:rPr>
        <w:t>at [126], per Neuberger </w:t>
      </w:r>
      <w:r>
        <w:rPr>
          <w:spacing w:val="-5"/>
          <w:sz w:val="20"/>
        </w:rPr>
        <w:t>J.</w:t>
      </w:r>
    </w:p>
    <w:p>
      <w:pPr>
        <w:pStyle w:val="BodyText"/>
        <w:spacing w:before="4"/>
      </w:pPr>
    </w:p>
    <w:p>
      <w:pPr>
        <w:tabs>
          <w:tab w:pos="705" w:val="left" w:leader="none"/>
        </w:tabs>
        <w:spacing w:before="1"/>
        <w:ind w:left="165" w:right="0" w:firstLine="0"/>
        <w:jc w:val="left"/>
        <w:rPr>
          <w:sz w:val="20"/>
        </w:rPr>
      </w:pPr>
      <w:bookmarkStart w:name="_bookmark1127" w:id="1129"/>
      <w:bookmarkEnd w:id="1129"/>
      <w:r>
        <w:rPr/>
      </w:r>
      <w:hyperlink w:history="true" w:anchor="_bookmark1078">
        <w:r>
          <w:rPr>
            <w:color w:val="005DA1"/>
            <w:spacing w:val="-4"/>
            <w:position w:val="5"/>
            <w:sz w:val="14"/>
            <w:u w:val="single" w:color="005DA1"/>
          </w:rPr>
          <w:t>585</w:t>
        </w:r>
      </w:hyperlink>
      <w:r>
        <w:rPr>
          <w:spacing w:val="-4"/>
          <w:position w:val="5"/>
          <w:sz w:val="14"/>
        </w:rPr>
        <w:t>.</w:t>
      </w:r>
      <w:r>
        <w:rPr>
          <w:position w:val="5"/>
          <w:sz w:val="14"/>
        </w:rPr>
        <w:tab/>
      </w:r>
      <w:r>
        <w:rPr>
          <w:rFonts w:ascii="Arial"/>
          <w:i/>
          <w:sz w:val="20"/>
        </w:rPr>
        <w:t>[2008] EWHC 2327 (Ch), [2009] 1 W.L.R. </w:t>
      </w:r>
      <w:r>
        <w:rPr>
          <w:rFonts w:ascii="Arial"/>
          <w:i/>
          <w:spacing w:val="-2"/>
          <w:sz w:val="20"/>
        </w:rPr>
        <w:t>1255</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128" w:id="1130"/>
      <w:bookmarkEnd w:id="1130"/>
      <w:r>
        <w:rPr/>
      </w:r>
      <w:hyperlink w:history="true" w:anchor="_bookmark1079">
        <w:r>
          <w:rPr>
            <w:color w:val="005DA1"/>
            <w:spacing w:val="-4"/>
            <w:position w:val="5"/>
            <w:sz w:val="14"/>
            <w:u w:val="single" w:color="005DA1"/>
          </w:rPr>
          <w:t>586</w:t>
        </w:r>
      </w:hyperlink>
      <w:r>
        <w:rPr>
          <w:spacing w:val="-4"/>
          <w:position w:val="5"/>
          <w:sz w:val="14"/>
        </w:rPr>
        <w:t>.</w:t>
      </w:r>
      <w:r>
        <w:rPr>
          <w:position w:val="5"/>
          <w:sz w:val="14"/>
        </w:rPr>
        <w:tab/>
      </w:r>
      <w:r>
        <w:rPr>
          <w:rFonts w:ascii="Arial"/>
          <w:i/>
          <w:sz w:val="20"/>
        </w:rPr>
        <w:t>[2008] EWHC 2327 (Ch)</w:t>
      </w:r>
      <w:r>
        <w:rPr>
          <w:rFonts w:ascii="Arial"/>
          <w:i/>
          <w:spacing w:val="-1"/>
          <w:sz w:val="20"/>
        </w:rPr>
        <w:t> </w:t>
      </w:r>
      <w:r>
        <w:rPr>
          <w:sz w:val="20"/>
        </w:rPr>
        <w:t>at </w:t>
      </w:r>
      <w:r>
        <w:rPr>
          <w:spacing w:val="-2"/>
          <w:sz w:val="20"/>
        </w:rPr>
        <w:t>[25].</w:t>
      </w:r>
    </w:p>
    <w:p>
      <w:pPr>
        <w:pStyle w:val="BodyText"/>
        <w:spacing w:before="5"/>
      </w:pPr>
    </w:p>
    <w:p>
      <w:pPr>
        <w:tabs>
          <w:tab w:pos="705" w:val="left" w:leader="none"/>
        </w:tabs>
        <w:spacing w:before="0"/>
        <w:ind w:left="165" w:right="0" w:firstLine="0"/>
        <w:jc w:val="left"/>
        <w:rPr>
          <w:sz w:val="20"/>
        </w:rPr>
      </w:pPr>
      <w:bookmarkStart w:name="_bookmark1129" w:id="1131"/>
      <w:bookmarkEnd w:id="1131"/>
      <w:r>
        <w:rPr/>
      </w:r>
      <w:hyperlink w:history="true" w:anchor="_bookmark1080">
        <w:r>
          <w:rPr>
            <w:color w:val="005DA1"/>
            <w:spacing w:val="-4"/>
            <w:position w:val="5"/>
            <w:sz w:val="14"/>
            <w:u w:val="single" w:color="005DA1"/>
          </w:rPr>
          <w:t>587</w:t>
        </w:r>
      </w:hyperlink>
      <w:r>
        <w:rPr>
          <w:spacing w:val="-4"/>
          <w:position w:val="5"/>
          <w:sz w:val="14"/>
        </w:rPr>
        <w:t>.</w:t>
      </w:r>
      <w:r>
        <w:rPr>
          <w:position w:val="5"/>
          <w:sz w:val="14"/>
        </w:rPr>
        <w:tab/>
      </w:r>
      <w:r>
        <w:rPr>
          <w:rFonts w:ascii="Arial" w:hAnsi="Arial"/>
          <w:i/>
          <w:sz w:val="20"/>
        </w:rPr>
        <w:t>[2004] EWCA Civ 100, [2004] Ch. 296</w:t>
      </w:r>
      <w:r>
        <w:rPr>
          <w:rFonts w:ascii="Arial" w:hAnsi="Arial"/>
          <w:i/>
          <w:spacing w:val="-1"/>
          <w:sz w:val="20"/>
        </w:rPr>
        <w:t> </w:t>
      </w:r>
      <w:r>
        <w:rPr>
          <w:sz w:val="20"/>
        </w:rPr>
        <w:t>at </w:t>
      </w:r>
      <w:r>
        <w:rPr>
          <w:spacing w:val="-2"/>
          <w:sz w:val="20"/>
        </w:rPr>
        <w:t>[30]–[42].</w:t>
      </w:r>
    </w:p>
    <w:p>
      <w:pPr>
        <w:pStyle w:val="BodyText"/>
        <w:spacing w:before="5"/>
      </w:pPr>
    </w:p>
    <w:p>
      <w:pPr>
        <w:tabs>
          <w:tab w:pos="705" w:val="left" w:leader="none"/>
        </w:tabs>
        <w:spacing w:before="0"/>
        <w:ind w:left="165" w:right="0" w:firstLine="0"/>
        <w:jc w:val="left"/>
        <w:rPr>
          <w:sz w:val="20"/>
        </w:rPr>
      </w:pPr>
      <w:bookmarkStart w:name="_bookmark1130" w:id="1132"/>
      <w:bookmarkEnd w:id="1132"/>
      <w:r>
        <w:rPr/>
      </w:r>
      <w:hyperlink w:history="true" w:anchor="_bookmark1081">
        <w:r>
          <w:rPr>
            <w:color w:val="005DA1"/>
            <w:spacing w:val="-4"/>
            <w:position w:val="5"/>
            <w:sz w:val="14"/>
            <w:u w:val="single" w:color="005DA1"/>
          </w:rPr>
          <w:t>588</w:t>
        </w:r>
      </w:hyperlink>
      <w:r>
        <w:rPr>
          <w:spacing w:val="-4"/>
          <w:position w:val="5"/>
          <w:sz w:val="14"/>
        </w:rPr>
        <w:t>.</w:t>
      </w:r>
      <w:r>
        <w:rPr>
          <w:position w:val="5"/>
          <w:sz w:val="14"/>
        </w:rPr>
        <w:tab/>
      </w:r>
      <w:r>
        <w:rPr>
          <w:rFonts w:ascii="Arial"/>
          <w:i/>
          <w:sz w:val="20"/>
        </w:rPr>
        <w:t>[2008] EWHC 2327 (Ch)</w:t>
      </w:r>
      <w:r>
        <w:rPr>
          <w:rFonts w:ascii="Arial"/>
          <w:i/>
          <w:spacing w:val="-1"/>
          <w:sz w:val="20"/>
        </w:rPr>
        <w:t> </w:t>
      </w:r>
      <w:r>
        <w:rPr>
          <w:sz w:val="20"/>
        </w:rPr>
        <w:t>at [33] and </w:t>
      </w:r>
      <w:r>
        <w:rPr>
          <w:spacing w:val="-2"/>
          <w:sz w:val="20"/>
        </w:rPr>
        <w:t>[38].</w:t>
      </w:r>
    </w:p>
    <w:p>
      <w:pPr>
        <w:pStyle w:val="BodyText"/>
        <w:spacing w:before="5"/>
      </w:pPr>
    </w:p>
    <w:p>
      <w:pPr>
        <w:tabs>
          <w:tab w:pos="705" w:val="left" w:leader="none"/>
        </w:tabs>
        <w:spacing w:before="0"/>
        <w:ind w:left="165" w:right="0" w:firstLine="0"/>
        <w:jc w:val="left"/>
        <w:rPr>
          <w:sz w:val="20"/>
        </w:rPr>
      </w:pPr>
      <w:bookmarkStart w:name="_bookmark1131" w:id="1133"/>
      <w:bookmarkEnd w:id="1133"/>
      <w:r>
        <w:rPr/>
      </w:r>
      <w:hyperlink w:history="true" w:anchor="_bookmark1082">
        <w:r>
          <w:rPr>
            <w:color w:val="005DA1"/>
            <w:spacing w:val="-4"/>
            <w:position w:val="5"/>
            <w:sz w:val="14"/>
            <w:u w:val="single" w:color="005DA1"/>
          </w:rPr>
          <w:t>589</w:t>
        </w:r>
      </w:hyperlink>
      <w:r>
        <w:rPr>
          <w:spacing w:val="-4"/>
          <w:position w:val="5"/>
          <w:sz w:val="14"/>
        </w:rPr>
        <w:t>.</w:t>
      </w:r>
      <w:r>
        <w:rPr>
          <w:position w:val="5"/>
          <w:sz w:val="14"/>
        </w:rPr>
        <w:tab/>
      </w:r>
      <w:r>
        <w:rPr>
          <w:rFonts w:ascii="Arial"/>
          <w:i/>
          <w:sz w:val="20"/>
        </w:rPr>
        <w:t>[2008] EWHC 2327 (Ch)</w:t>
      </w:r>
      <w:r>
        <w:rPr>
          <w:rFonts w:ascii="Arial"/>
          <w:i/>
          <w:spacing w:val="-1"/>
          <w:sz w:val="20"/>
        </w:rPr>
        <w:t> </w:t>
      </w:r>
      <w:r>
        <w:rPr>
          <w:sz w:val="20"/>
        </w:rPr>
        <w:t>at </w:t>
      </w:r>
      <w:r>
        <w:rPr>
          <w:spacing w:val="-2"/>
          <w:sz w:val="20"/>
        </w:rPr>
        <w:t>[35].</w:t>
      </w:r>
    </w:p>
    <w:p>
      <w:pPr>
        <w:pStyle w:val="BodyText"/>
        <w:spacing w:before="5"/>
      </w:pPr>
    </w:p>
    <w:p>
      <w:pPr>
        <w:tabs>
          <w:tab w:pos="705" w:val="left" w:leader="none"/>
        </w:tabs>
        <w:spacing w:before="0"/>
        <w:ind w:left="165" w:right="0" w:firstLine="0"/>
        <w:jc w:val="left"/>
        <w:rPr>
          <w:sz w:val="20"/>
        </w:rPr>
      </w:pPr>
      <w:bookmarkStart w:name="_bookmark1132" w:id="1134"/>
      <w:bookmarkEnd w:id="1134"/>
      <w:r>
        <w:rPr/>
      </w:r>
      <w:hyperlink w:history="true" w:anchor="_bookmark1083">
        <w:r>
          <w:rPr>
            <w:color w:val="005DA1"/>
            <w:spacing w:val="-4"/>
            <w:position w:val="5"/>
            <w:sz w:val="14"/>
            <w:u w:val="single" w:color="005DA1"/>
          </w:rPr>
          <w:t>590</w:t>
        </w:r>
      </w:hyperlink>
      <w:r>
        <w:rPr>
          <w:spacing w:val="-4"/>
          <w:position w:val="5"/>
          <w:sz w:val="14"/>
        </w:rPr>
        <w:t>.</w:t>
      </w:r>
      <w:r>
        <w:rPr>
          <w:position w:val="5"/>
          <w:sz w:val="14"/>
        </w:rPr>
        <w:tab/>
      </w:r>
      <w:r>
        <w:rPr>
          <w:rFonts w:ascii="Arial"/>
          <w:i/>
          <w:sz w:val="20"/>
        </w:rPr>
        <w:t>[2008] EWHC 2327 (Ch)</w:t>
      </w:r>
      <w:r>
        <w:rPr>
          <w:rFonts w:ascii="Arial"/>
          <w:i/>
          <w:spacing w:val="-1"/>
          <w:sz w:val="20"/>
        </w:rPr>
        <w:t> </w:t>
      </w:r>
      <w:r>
        <w:rPr>
          <w:sz w:val="20"/>
        </w:rPr>
        <w:t>at </w:t>
      </w:r>
      <w:r>
        <w:rPr>
          <w:spacing w:val="-2"/>
          <w:sz w:val="20"/>
        </w:rPr>
        <w:t>[36].</w:t>
      </w:r>
    </w:p>
    <w:p>
      <w:pPr>
        <w:pStyle w:val="BodyText"/>
        <w:spacing w:before="5"/>
      </w:pPr>
    </w:p>
    <w:p>
      <w:pPr>
        <w:tabs>
          <w:tab w:pos="705" w:val="left" w:leader="none"/>
        </w:tabs>
        <w:spacing w:before="0"/>
        <w:ind w:left="165" w:right="0" w:firstLine="0"/>
        <w:jc w:val="left"/>
        <w:rPr>
          <w:sz w:val="20"/>
        </w:rPr>
      </w:pPr>
      <w:bookmarkStart w:name="_bookmark1133" w:id="1135"/>
      <w:bookmarkEnd w:id="1135"/>
      <w:r>
        <w:rPr/>
      </w:r>
      <w:hyperlink w:history="true" w:anchor="_bookmark1084">
        <w:r>
          <w:rPr>
            <w:color w:val="005DA1"/>
            <w:spacing w:val="-4"/>
            <w:position w:val="5"/>
            <w:sz w:val="14"/>
            <w:u w:val="single" w:color="005DA1"/>
          </w:rPr>
          <w:t>591</w:t>
        </w:r>
      </w:hyperlink>
      <w:r>
        <w:rPr>
          <w:spacing w:val="-4"/>
          <w:position w:val="5"/>
          <w:sz w:val="14"/>
        </w:rPr>
        <w:t>.</w:t>
      </w:r>
      <w:r>
        <w:rPr>
          <w:position w:val="5"/>
          <w:sz w:val="14"/>
        </w:rPr>
        <w:tab/>
      </w:r>
      <w:r>
        <w:rPr>
          <w:rFonts w:ascii="Arial"/>
          <w:i/>
          <w:sz w:val="20"/>
        </w:rPr>
        <w:t>[2008] EWHC 2327 (Ch)</w:t>
      </w:r>
      <w:r>
        <w:rPr>
          <w:rFonts w:ascii="Arial"/>
          <w:i/>
          <w:spacing w:val="-1"/>
          <w:sz w:val="20"/>
        </w:rPr>
        <w:t> </w:t>
      </w:r>
      <w:r>
        <w:rPr>
          <w:sz w:val="20"/>
        </w:rPr>
        <w:t>at </w:t>
      </w:r>
      <w:r>
        <w:rPr>
          <w:spacing w:val="-2"/>
          <w:sz w:val="20"/>
        </w:rPr>
        <w:t>[40].</w:t>
      </w:r>
    </w:p>
    <w:p>
      <w:pPr>
        <w:pStyle w:val="BodyText"/>
        <w:spacing w:before="5"/>
      </w:pPr>
    </w:p>
    <w:p>
      <w:pPr>
        <w:tabs>
          <w:tab w:pos="705" w:val="left" w:leader="none"/>
        </w:tabs>
        <w:spacing w:before="0"/>
        <w:ind w:left="165" w:right="0" w:firstLine="0"/>
        <w:jc w:val="left"/>
        <w:rPr>
          <w:sz w:val="20"/>
        </w:rPr>
      </w:pPr>
      <w:bookmarkStart w:name="_bookmark1134" w:id="1136"/>
      <w:bookmarkEnd w:id="1136"/>
      <w:r>
        <w:rPr/>
      </w:r>
      <w:hyperlink w:history="true" w:anchor="_bookmark1084">
        <w:r>
          <w:rPr>
            <w:color w:val="005DA1"/>
            <w:spacing w:val="-4"/>
            <w:position w:val="5"/>
            <w:sz w:val="14"/>
            <w:u w:val="single" w:color="005DA1"/>
          </w:rPr>
          <w:t>592</w:t>
        </w:r>
      </w:hyperlink>
      <w:r>
        <w:rPr>
          <w:spacing w:val="-4"/>
          <w:position w:val="5"/>
          <w:sz w:val="14"/>
        </w:rPr>
        <w:t>.</w:t>
      </w:r>
      <w:r>
        <w:rPr>
          <w:position w:val="5"/>
          <w:sz w:val="14"/>
        </w:rPr>
        <w:tab/>
      </w:r>
      <w:r>
        <w:rPr>
          <w:rFonts w:ascii="Arial"/>
          <w:i/>
          <w:sz w:val="20"/>
        </w:rPr>
        <w:t>[2006] EWCA Civ 1039, [2007] 1 W.L.R. </w:t>
      </w:r>
      <w:r>
        <w:rPr>
          <w:rFonts w:ascii="Arial"/>
          <w:i/>
          <w:spacing w:val="-4"/>
          <w:sz w:val="20"/>
        </w:rPr>
        <w:t>311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35" w:id="1137"/>
      <w:bookmarkEnd w:id="1137"/>
      <w:r>
        <w:rPr/>
      </w:r>
      <w:hyperlink w:history="true" w:anchor="_bookmark1085">
        <w:r>
          <w:rPr>
            <w:color w:val="005DA1"/>
            <w:spacing w:val="-4"/>
            <w:position w:val="5"/>
            <w:sz w:val="14"/>
            <w:u w:val="single" w:color="005DA1"/>
          </w:rPr>
          <w:t>593</w:t>
        </w:r>
      </w:hyperlink>
      <w:r>
        <w:rPr>
          <w:spacing w:val="-4"/>
          <w:position w:val="5"/>
          <w:sz w:val="14"/>
        </w:rPr>
        <w:t>.</w:t>
      </w:r>
      <w:r>
        <w:rPr>
          <w:position w:val="5"/>
          <w:sz w:val="14"/>
        </w:rPr>
        <w:tab/>
      </w:r>
      <w:r>
        <w:rPr>
          <w:rFonts w:ascii="Arial"/>
          <w:i/>
          <w:sz w:val="20"/>
        </w:rPr>
        <w:t>[2006] EWCA Civ 1039</w:t>
      </w:r>
      <w:r>
        <w:rPr>
          <w:rFonts w:ascii="Arial"/>
          <w:i/>
          <w:spacing w:val="-1"/>
          <w:sz w:val="20"/>
        </w:rPr>
        <w:t> </w:t>
      </w:r>
      <w:r>
        <w:rPr>
          <w:sz w:val="20"/>
        </w:rPr>
        <w:t>at </w:t>
      </w:r>
      <w:r>
        <w:rPr>
          <w:spacing w:val="-2"/>
          <w:sz w:val="20"/>
        </w:rPr>
        <w:t>[25].</w:t>
      </w:r>
    </w:p>
    <w:p>
      <w:pPr>
        <w:pStyle w:val="BodyText"/>
        <w:spacing w:before="5"/>
      </w:pPr>
    </w:p>
    <w:p>
      <w:pPr>
        <w:tabs>
          <w:tab w:pos="705" w:val="left" w:leader="none"/>
        </w:tabs>
        <w:spacing w:before="0"/>
        <w:ind w:left="165" w:right="0" w:firstLine="0"/>
        <w:jc w:val="left"/>
        <w:rPr>
          <w:sz w:val="20"/>
        </w:rPr>
      </w:pPr>
      <w:bookmarkStart w:name="_bookmark1136" w:id="1138"/>
      <w:bookmarkEnd w:id="1138"/>
      <w:r>
        <w:rPr/>
      </w:r>
      <w:hyperlink w:history="true" w:anchor="_bookmark1086">
        <w:r>
          <w:rPr>
            <w:color w:val="005DA1"/>
            <w:spacing w:val="-4"/>
            <w:position w:val="5"/>
            <w:sz w:val="14"/>
            <w:u w:val="single" w:color="005DA1"/>
          </w:rPr>
          <w:t>594</w:t>
        </w:r>
      </w:hyperlink>
      <w:r>
        <w:rPr>
          <w:spacing w:val="-4"/>
          <w:position w:val="5"/>
          <w:sz w:val="14"/>
        </w:rPr>
        <w:t>.</w:t>
      </w:r>
      <w:r>
        <w:rPr>
          <w:position w:val="5"/>
          <w:sz w:val="14"/>
        </w:rPr>
        <w:tab/>
      </w:r>
      <w:r>
        <w:rPr>
          <w:rFonts w:ascii="Arial"/>
          <w:i/>
          <w:sz w:val="20"/>
        </w:rPr>
        <w:t>[2013] EWCA Civ 1499, [2013] C.T.L.C. </w:t>
      </w:r>
      <w:r>
        <w:rPr>
          <w:rFonts w:ascii="Arial"/>
          <w:i/>
          <w:spacing w:val="-4"/>
          <w:sz w:val="20"/>
        </w:rPr>
        <w:t>250</w:t>
      </w:r>
      <w:r>
        <w:rPr>
          <w:spacing w:val="-4"/>
          <w:sz w:val="20"/>
        </w:rPr>
        <w:t>.</w:t>
      </w:r>
    </w:p>
    <w:p>
      <w:pPr>
        <w:pStyle w:val="BodyText"/>
        <w:spacing w:before="5"/>
      </w:pPr>
    </w:p>
    <w:p>
      <w:pPr>
        <w:spacing w:line="227" w:lineRule="exact" w:before="0"/>
        <w:ind w:left="165" w:right="0" w:firstLine="0"/>
        <w:jc w:val="both"/>
        <w:rPr>
          <w:sz w:val="20"/>
        </w:rPr>
      </w:pPr>
      <w:bookmarkStart w:name="_bookmark1137" w:id="1139"/>
      <w:bookmarkEnd w:id="1139"/>
      <w:r>
        <w:rPr/>
      </w:r>
      <w:hyperlink w:history="true" w:anchor="_bookmark1087">
        <w:r>
          <w:rPr>
            <w:color w:val="005DA1"/>
            <w:position w:val="5"/>
            <w:sz w:val="14"/>
            <w:u w:val="single" w:color="005DA1"/>
          </w:rPr>
          <w:t>595</w:t>
        </w:r>
      </w:hyperlink>
      <w:r>
        <w:rPr>
          <w:position w:val="5"/>
          <w:sz w:val="14"/>
        </w:rPr>
        <w:t>.</w:t>
      </w:r>
      <w:r>
        <w:rPr>
          <w:spacing w:val="75"/>
          <w:w w:val="150"/>
          <w:position w:val="5"/>
          <w:sz w:val="14"/>
        </w:rPr>
        <w:t>  </w:t>
      </w:r>
      <w:r>
        <w:rPr>
          <w:rFonts w:ascii="Arial"/>
          <w:i/>
          <w:sz w:val="20"/>
        </w:rPr>
        <w:t>[2003]</w:t>
      </w:r>
      <w:r>
        <w:rPr>
          <w:rFonts w:ascii="Arial"/>
          <w:i/>
          <w:spacing w:val="23"/>
          <w:sz w:val="20"/>
        </w:rPr>
        <w:t> </w:t>
      </w:r>
      <w:r>
        <w:rPr>
          <w:rFonts w:ascii="Arial"/>
          <w:i/>
          <w:sz w:val="20"/>
        </w:rPr>
        <w:t>UKHL</w:t>
      </w:r>
      <w:r>
        <w:rPr>
          <w:rFonts w:ascii="Arial"/>
          <w:i/>
          <w:spacing w:val="23"/>
          <w:sz w:val="20"/>
        </w:rPr>
        <w:t> </w:t>
      </w:r>
      <w:r>
        <w:rPr>
          <w:rFonts w:ascii="Arial"/>
          <w:i/>
          <w:sz w:val="20"/>
        </w:rPr>
        <w:t>40,</w:t>
      </w:r>
      <w:r>
        <w:rPr>
          <w:rFonts w:ascii="Arial"/>
          <w:i/>
          <w:spacing w:val="23"/>
          <w:sz w:val="20"/>
        </w:rPr>
        <w:t> </w:t>
      </w:r>
      <w:r>
        <w:rPr>
          <w:rFonts w:ascii="Arial"/>
          <w:i/>
          <w:sz w:val="20"/>
        </w:rPr>
        <w:t>[2004]</w:t>
      </w:r>
      <w:r>
        <w:rPr>
          <w:rFonts w:ascii="Arial"/>
          <w:i/>
          <w:spacing w:val="23"/>
          <w:sz w:val="20"/>
        </w:rPr>
        <w:t> </w:t>
      </w:r>
      <w:r>
        <w:rPr>
          <w:rFonts w:ascii="Arial"/>
          <w:i/>
          <w:sz w:val="20"/>
        </w:rPr>
        <w:t>1</w:t>
      </w:r>
      <w:r>
        <w:rPr>
          <w:rFonts w:ascii="Arial"/>
          <w:i/>
          <w:spacing w:val="23"/>
          <w:sz w:val="20"/>
        </w:rPr>
        <w:t> </w:t>
      </w:r>
      <w:r>
        <w:rPr>
          <w:rFonts w:ascii="Arial"/>
          <w:i/>
          <w:sz w:val="20"/>
        </w:rPr>
        <w:t>A.C.</w:t>
      </w:r>
      <w:r>
        <w:rPr>
          <w:rFonts w:ascii="Arial"/>
          <w:i/>
          <w:spacing w:val="23"/>
          <w:sz w:val="20"/>
        </w:rPr>
        <w:t> </w:t>
      </w:r>
      <w:r>
        <w:rPr>
          <w:rFonts w:ascii="Arial"/>
          <w:i/>
          <w:sz w:val="20"/>
        </w:rPr>
        <w:t>816</w:t>
      </w:r>
      <w:r>
        <w:rPr>
          <w:rFonts w:ascii="Arial"/>
          <w:i/>
          <w:spacing w:val="22"/>
          <w:sz w:val="20"/>
        </w:rPr>
        <w:t> </w:t>
      </w:r>
      <w:r>
        <w:rPr>
          <w:sz w:val="20"/>
        </w:rPr>
        <w:t>at</w:t>
      </w:r>
      <w:r>
        <w:rPr>
          <w:spacing w:val="23"/>
          <w:sz w:val="20"/>
        </w:rPr>
        <w:t> </w:t>
      </w:r>
      <w:r>
        <w:rPr>
          <w:sz w:val="20"/>
        </w:rPr>
        <w:t>[107]</w:t>
      </w:r>
      <w:r>
        <w:rPr>
          <w:spacing w:val="23"/>
          <w:sz w:val="20"/>
        </w:rPr>
        <w:t> </w:t>
      </w:r>
      <w:r>
        <w:rPr>
          <w:sz w:val="20"/>
        </w:rPr>
        <w:t>(Lord</w:t>
      </w:r>
      <w:r>
        <w:rPr>
          <w:spacing w:val="23"/>
          <w:sz w:val="20"/>
        </w:rPr>
        <w:t> </w:t>
      </w:r>
      <w:r>
        <w:rPr>
          <w:sz w:val="20"/>
        </w:rPr>
        <w:t>Hope);</w:t>
      </w:r>
      <w:r>
        <w:rPr>
          <w:spacing w:val="23"/>
          <w:sz w:val="20"/>
        </w:rPr>
        <w:t> </w:t>
      </w:r>
      <w:r>
        <w:rPr>
          <w:sz w:val="20"/>
        </w:rPr>
        <w:t>[137]</w:t>
      </w:r>
      <w:r>
        <w:rPr>
          <w:spacing w:val="23"/>
          <w:sz w:val="20"/>
        </w:rPr>
        <w:t> </w:t>
      </w:r>
      <w:r>
        <w:rPr>
          <w:sz w:val="20"/>
        </w:rPr>
        <w:t>(Lord</w:t>
      </w:r>
      <w:r>
        <w:rPr>
          <w:spacing w:val="23"/>
          <w:sz w:val="20"/>
        </w:rPr>
        <w:t> </w:t>
      </w:r>
      <w:r>
        <w:rPr>
          <w:sz w:val="20"/>
        </w:rPr>
        <w:t>Hobhouse);</w:t>
      </w:r>
      <w:r>
        <w:rPr>
          <w:spacing w:val="23"/>
          <w:sz w:val="20"/>
        </w:rPr>
        <w:t> </w:t>
      </w:r>
      <w:r>
        <w:rPr>
          <w:sz w:val="20"/>
        </w:rPr>
        <w:t>[168]</w:t>
      </w:r>
      <w:r>
        <w:rPr>
          <w:spacing w:val="23"/>
          <w:sz w:val="20"/>
        </w:rPr>
        <w:t> </w:t>
      </w:r>
      <w:r>
        <w:rPr>
          <w:spacing w:val="-2"/>
          <w:sz w:val="20"/>
        </w:rPr>
        <w:t>(Lord</w:t>
      </w:r>
    </w:p>
    <w:p>
      <w:pPr>
        <w:pStyle w:val="BodyText"/>
        <w:spacing w:line="235" w:lineRule="auto" w:before="1"/>
        <w:ind w:left="705" w:right="167"/>
        <w:jc w:val="both"/>
      </w:pPr>
      <w:r>
        <w:rPr/>
        <w:t>Scott) and cf. [44] (Lord Nicholls). While Lord Rodger agreed with Lord Nicholls as to </w:t>
      </w:r>
      <w:r>
        <w:rPr/>
        <w:t>the application of the Human Rights Act 1998 to the facts of </w:t>
      </w:r>
      <w:r>
        <w:rPr>
          <w:rFonts w:ascii="Arial"/>
          <w:i/>
        </w:rPr>
        <w:t>Wilson </w:t>
      </w:r>
      <w:r>
        <w:rPr/>
        <w:t>(i.e. to a contract made before the 1998 Act), he did not express a view on the engagement of art.1, First Protocol ECHR to</w:t>
      </w:r>
      <w:r>
        <w:rPr>
          <w:spacing w:val="40"/>
        </w:rPr>
        <w:t> </w:t>
      </w:r>
      <w:r>
        <w:rPr/>
        <w:t>the</w:t>
      </w:r>
      <w:r>
        <w:rPr>
          <w:spacing w:val="28"/>
        </w:rPr>
        <w:t> </w:t>
      </w:r>
      <w:r>
        <w:rPr/>
        <w:t>Consumer</w:t>
      </w:r>
      <w:r>
        <w:rPr>
          <w:spacing w:val="28"/>
        </w:rPr>
        <w:t> </w:t>
      </w:r>
      <w:r>
        <w:rPr/>
        <w:t>Credit</w:t>
      </w:r>
      <w:r>
        <w:rPr>
          <w:spacing w:val="28"/>
        </w:rPr>
        <w:t> </w:t>
      </w:r>
      <w:r>
        <w:rPr/>
        <w:t>Act):</w:t>
      </w:r>
      <w:r>
        <w:rPr>
          <w:spacing w:val="28"/>
        </w:rPr>
        <w:t> </w:t>
      </w:r>
      <w:r>
        <w:rPr>
          <w:rFonts w:ascii="Arial"/>
          <w:i/>
        </w:rPr>
        <w:t>[2003]</w:t>
      </w:r>
      <w:r>
        <w:rPr>
          <w:rFonts w:ascii="Arial"/>
          <w:i/>
          <w:spacing w:val="28"/>
        </w:rPr>
        <w:t> </w:t>
      </w:r>
      <w:r>
        <w:rPr>
          <w:rFonts w:ascii="Arial"/>
          <w:i/>
        </w:rPr>
        <w:t>UKHL</w:t>
      </w:r>
      <w:r>
        <w:rPr>
          <w:rFonts w:ascii="Arial"/>
          <w:i/>
          <w:spacing w:val="28"/>
        </w:rPr>
        <w:t> </w:t>
      </w:r>
      <w:r>
        <w:rPr>
          <w:rFonts w:ascii="Arial"/>
          <w:i/>
        </w:rPr>
        <w:t>40</w:t>
      </w:r>
      <w:r>
        <w:rPr>
          <w:rFonts w:ascii="Arial"/>
          <w:i/>
          <w:spacing w:val="28"/>
        </w:rPr>
        <w:t> </w:t>
      </w:r>
      <w:r>
        <w:rPr/>
        <w:t>at</w:t>
      </w:r>
      <w:r>
        <w:rPr>
          <w:spacing w:val="28"/>
        </w:rPr>
        <w:t> </w:t>
      </w:r>
      <w:r>
        <w:rPr/>
        <w:t>[215]</w:t>
      </w:r>
      <w:r>
        <w:rPr>
          <w:spacing w:val="28"/>
        </w:rPr>
        <w:t> </w:t>
      </w:r>
      <w:r>
        <w:rPr/>
        <w:t>and</w:t>
      </w:r>
      <w:r>
        <w:rPr>
          <w:spacing w:val="28"/>
        </w:rPr>
        <w:t> </w:t>
      </w:r>
      <w:r>
        <w:rPr/>
        <w:t>[220].</w:t>
      </w:r>
      <w:r>
        <w:rPr>
          <w:spacing w:val="28"/>
        </w:rPr>
        <w:t> </w:t>
      </w:r>
      <w:r>
        <w:rPr/>
        <w:t>See</w:t>
      </w:r>
      <w:r>
        <w:rPr>
          <w:spacing w:val="28"/>
        </w:rPr>
        <w:t> </w:t>
      </w:r>
      <w:r>
        <w:rPr/>
        <w:t>above,</w:t>
      </w:r>
      <w:r>
        <w:rPr>
          <w:spacing w:val="28"/>
        </w:rPr>
        <w:t> </w:t>
      </w:r>
      <w:r>
        <w:rPr/>
        <w:t>paras</w:t>
      </w:r>
      <w:r>
        <w:rPr>
          <w:spacing w:val="28"/>
        </w:rPr>
        <w:t> </w:t>
      </w:r>
      <w:r>
        <w:rPr/>
        <w:t>1-059</w:t>
      </w:r>
      <w:r>
        <w:rPr>
          <w:spacing w:val="28"/>
        </w:rPr>
        <w:t> </w:t>
      </w:r>
      <w:r>
        <w:rPr>
          <w:spacing w:val="-5"/>
        </w:rPr>
        <w:t>and</w:t>
      </w:r>
    </w:p>
    <w:p>
      <w:pPr>
        <w:pStyle w:val="BodyText"/>
        <w:spacing w:line="225" w:lineRule="exact"/>
        <w:ind w:left="705"/>
      </w:pPr>
      <w:r>
        <w:rPr/>
        <w:t>1-</w:t>
      </w:r>
      <w:r>
        <w:rPr>
          <w:spacing w:val="-4"/>
        </w:rPr>
        <w:t>061.</w:t>
      </w:r>
    </w:p>
    <w:p>
      <w:pPr>
        <w:pStyle w:val="BodyText"/>
        <w:spacing w:before="5"/>
      </w:pPr>
    </w:p>
    <w:p>
      <w:pPr>
        <w:tabs>
          <w:tab w:pos="705" w:val="left" w:leader="none"/>
        </w:tabs>
        <w:spacing w:before="0"/>
        <w:ind w:left="165" w:right="0" w:firstLine="0"/>
        <w:jc w:val="left"/>
        <w:rPr>
          <w:sz w:val="20"/>
        </w:rPr>
      </w:pPr>
      <w:bookmarkStart w:name="_bookmark1138" w:id="1140"/>
      <w:bookmarkEnd w:id="1140"/>
      <w:r>
        <w:rPr/>
      </w:r>
      <w:hyperlink w:history="true" w:anchor="_bookmark1088">
        <w:r>
          <w:rPr>
            <w:color w:val="005DA1"/>
            <w:spacing w:val="-4"/>
            <w:position w:val="5"/>
            <w:sz w:val="14"/>
            <w:u w:val="single" w:color="005DA1"/>
          </w:rPr>
          <w:t>596</w:t>
        </w:r>
      </w:hyperlink>
      <w:r>
        <w:rPr>
          <w:spacing w:val="-4"/>
          <w:position w:val="5"/>
          <w:sz w:val="14"/>
        </w:rPr>
        <w:t>.</w:t>
      </w:r>
      <w:r>
        <w:rPr>
          <w:position w:val="5"/>
          <w:sz w:val="14"/>
        </w:rPr>
        <w:tab/>
      </w:r>
      <w:r>
        <w:rPr>
          <w:rFonts w:ascii="Arial"/>
          <w:i/>
          <w:sz w:val="20"/>
        </w:rPr>
        <w:t>[2013] EWCA Civ 1499</w:t>
      </w:r>
      <w:r>
        <w:rPr>
          <w:rFonts w:ascii="Arial"/>
          <w:i/>
          <w:spacing w:val="-1"/>
          <w:sz w:val="20"/>
        </w:rPr>
        <w:t> </w:t>
      </w:r>
      <w:r>
        <w:rPr>
          <w:sz w:val="20"/>
        </w:rPr>
        <w:t>at [27] (Moore-Bick L.J. giving judgment for the </w:t>
      </w:r>
      <w:r>
        <w:rPr>
          <w:spacing w:val="-2"/>
          <w:sz w:val="20"/>
        </w:rPr>
        <w:t>court).</w:t>
      </w:r>
    </w:p>
    <w:p>
      <w:pPr>
        <w:pStyle w:val="BodyText"/>
        <w:spacing w:before="9"/>
      </w:pPr>
    </w:p>
    <w:p>
      <w:pPr>
        <w:pStyle w:val="BodyText"/>
        <w:spacing w:line="235" w:lineRule="auto"/>
        <w:ind w:left="705" w:right="167" w:hanging="541"/>
        <w:jc w:val="both"/>
      </w:pPr>
      <w:bookmarkStart w:name="_bookmark1139" w:id="1141"/>
      <w:bookmarkEnd w:id="1141"/>
      <w:r>
        <w:rPr/>
      </w:r>
      <w:hyperlink w:history="true" w:anchor="_bookmark1089">
        <w:r>
          <w:rPr>
            <w:color w:val="005DA1"/>
            <w:position w:val="5"/>
            <w:sz w:val="14"/>
            <w:u w:val="single" w:color="005DA1"/>
          </w:rPr>
          <w:t>597</w:t>
        </w:r>
      </w:hyperlink>
      <w:r>
        <w:rPr>
          <w:position w:val="5"/>
          <w:sz w:val="14"/>
        </w:rPr>
        <w:t>.</w:t>
      </w:r>
      <w:r>
        <w:rPr>
          <w:spacing w:val="40"/>
          <w:position w:val="5"/>
          <w:sz w:val="14"/>
        </w:rPr>
        <w:t>  </w:t>
      </w:r>
      <w:r>
        <w:rPr/>
        <w:t>SI</w:t>
      </w:r>
      <w:r>
        <w:rPr>
          <w:spacing w:val="40"/>
        </w:rPr>
        <w:t> </w:t>
      </w:r>
      <w:r>
        <w:rPr/>
        <w:t>2008/1816;</w:t>
      </w:r>
      <w:r>
        <w:rPr>
          <w:spacing w:val="40"/>
        </w:rPr>
        <w:t> </w:t>
      </w:r>
      <w:r>
        <w:rPr>
          <w:rFonts w:ascii="Arial"/>
          <w:i/>
        </w:rPr>
        <w:t>[2013]</w:t>
      </w:r>
      <w:r>
        <w:rPr>
          <w:rFonts w:ascii="Arial"/>
          <w:i/>
          <w:spacing w:val="40"/>
        </w:rPr>
        <w:t> </w:t>
      </w:r>
      <w:r>
        <w:rPr>
          <w:rFonts w:ascii="Arial"/>
          <w:i/>
        </w:rPr>
        <w:t>EWCA</w:t>
      </w:r>
      <w:r>
        <w:rPr>
          <w:rFonts w:ascii="Arial"/>
          <w:i/>
          <w:spacing w:val="40"/>
        </w:rPr>
        <w:t> </w:t>
      </w:r>
      <w:r>
        <w:rPr>
          <w:rFonts w:ascii="Arial"/>
          <w:i/>
        </w:rPr>
        <w:t>Civ</w:t>
      </w:r>
      <w:r>
        <w:rPr>
          <w:rFonts w:ascii="Arial"/>
          <w:i/>
          <w:spacing w:val="40"/>
        </w:rPr>
        <w:t> </w:t>
      </w:r>
      <w:r>
        <w:rPr>
          <w:rFonts w:ascii="Arial"/>
          <w:i/>
        </w:rPr>
        <w:t>1499</w:t>
      </w:r>
      <w:r>
        <w:rPr>
          <w:rFonts w:ascii="Arial"/>
          <w:i/>
          <w:spacing w:val="40"/>
        </w:rPr>
        <w:t> </w:t>
      </w:r>
      <w:r>
        <w:rPr/>
        <w:t>at</w:t>
      </w:r>
      <w:r>
        <w:rPr>
          <w:spacing w:val="40"/>
        </w:rPr>
        <w:t> </w:t>
      </w:r>
      <w:r>
        <w:rPr/>
        <w:t>[27].</w:t>
      </w:r>
      <w:r>
        <w:rPr>
          <w:spacing w:val="40"/>
        </w:rPr>
        <w:t> </w:t>
      </w:r>
      <w:r>
        <w:rPr/>
        <w:t>The</w:t>
      </w:r>
      <w:r>
        <w:rPr>
          <w:spacing w:val="40"/>
        </w:rPr>
        <w:t> </w:t>
      </w:r>
      <w:r>
        <w:rPr/>
        <w:t>2008</w:t>
      </w:r>
      <w:r>
        <w:rPr>
          <w:spacing w:val="40"/>
        </w:rPr>
        <w:t> </w:t>
      </w:r>
      <w:r>
        <w:rPr/>
        <w:t>Regulations</w:t>
      </w:r>
      <w:r>
        <w:rPr>
          <w:spacing w:val="40"/>
        </w:rPr>
        <w:t> </w:t>
      </w:r>
      <w:r>
        <w:rPr/>
        <w:t>were</w:t>
      </w:r>
      <w:r>
        <w:rPr>
          <w:spacing w:val="40"/>
        </w:rPr>
        <w:t> </w:t>
      </w:r>
      <w:r>
        <w:rPr/>
        <w:t>revoked</w:t>
      </w:r>
      <w:r>
        <w:rPr>
          <w:spacing w:val="40"/>
        </w:rPr>
        <w:t> </w:t>
      </w:r>
      <w:r>
        <w:rPr/>
        <w:t>and replaced by the Consumer Contracts (Information, Cancellation and Additional Charges) Regulations 2013 (SI 2013/3134) on which see Vol.II, paras 38-056 et seq.</w:t>
      </w:r>
    </w:p>
    <w:p>
      <w:pPr>
        <w:pStyle w:val="BodyText"/>
        <w:spacing w:before="9"/>
      </w:pPr>
    </w:p>
    <w:p>
      <w:pPr>
        <w:tabs>
          <w:tab w:pos="705" w:val="left" w:leader="none"/>
        </w:tabs>
        <w:spacing w:line="235" w:lineRule="auto" w:before="0"/>
        <w:ind w:left="705" w:right="168" w:hanging="541"/>
        <w:jc w:val="left"/>
        <w:rPr>
          <w:sz w:val="20"/>
        </w:rPr>
      </w:pPr>
      <w:bookmarkStart w:name="_bookmark1140" w:id="1142"/>
      <w:bookmarkEnd w:id="1142"/>
      <w:r>
        <w:rPr/>
      </w:r>
      <w:hyperlink w:history="true" w:anchor="_bookmark1090">
        <w:r>
          <w:rPr>
            <w:color w:val="005DA1"/>
            <w:spacing w:val="-4"/>
            <w:position w:val="5"/>
            <w:sz w:val="14"/>
            <w:u w:val="single" w:color="005DA1"/>
          </w:rPr>
          <w:t>598</w:t>
        </w:r>
      </w:hyperlink>
      <w:r>
        <w:rPr>
          <w:spacing w:val="-4"/>
          <w:position w:val="5"/>
          <w:sz w:val="14"/>
        </w:rPr>
        <w:t>.</w:t>
      </w:r>
      <w:r>
        <w:rPr>
          <w:position w:val="5"/>
          <w:sz w:val="14"/>
        </w:rPr>
        <w:tab/>
      </w:r>
      <w:r>
        <w:rPr>
          <w:rFonts w:ascii="Arial"/>
          <w:i/>
          <w:sz w:val="20"/>
        </w:rPr>
        <w:t>(2004) 38 E.H.H.R. 12 </w:t>
      </w:r>
      <w:r>
        <w:rPr>
          <w:sz w:val="20"/>
        </w:rPr>
        <w:t>discussed above, para.1-068 where it is argued that it supports the </w:t>
      </w:r>
      <w:r>
        <w:rPr>
          <w:sz w:val="20"/>
        </w:rPr>
        <w:t>view of Lord Nicholls in </w:t>
      </w:r>
      <w:r>
        <w:rPr>
          <w:rFonts w:ascii="Arial"/>
          <w:i/>
          <w:sz w:val="20"/>
        </w:rPr>
        <w:t>Wilson v First County Trust Ltd (No.2)</w:t>
      </w:r>
      <w:r>
        <w:rPr>
          <w:sz w:val="20"/>
        </w:rPr>
        <w:t>.</w:t>
      </w:r>
    </w:p>
    <w:p>
      <w:pPr>
        <w:pStyle w:val="BodyText"/>
        <w:spacing w:before="5"/>
      </w:pPr>
    </w:p>
    <w:p>
      <w:pPr>
        <w:tabs>
          <w:tab w:pos="705" w:val="left" w:leader="none"/>
        </w:tabs>
        <w:spacing w:before="1"/>
        <w:ind w:left="165" w:right="0" w:firstLine="0"/>
        <w:jc w:val="left"/>
        <w:rPr>
          <w:sz w:val="20"/>
        </w:rPr>
      </w:pPr>
      <w:bookmarkStart w:name="_bookmark1141" w:id="1143"/>
      <w:bookmarkEnd w:id="1143"/>
      <w:r>
        <w:rPr/>
      </w:r>
      <w:hyperlink w:history="true" w:anchor="_bookmark1091">
        <w:r>
          <w:rPr>
            <w:color w:val="005DA1"/>
            <w:spacing w:val="-4"/>
            <w:position w:val="5"/>
            <w:sz w:val="14"/>
            <w:u w:val="single" w:color="005DA1"/>
          </w:rPr>
          <w:t>599</w:t>
        </w:r>
      </w:hyperlink>
      <w:r>
        <w:rPr>
          <w:spacing w:val="-4"/>
          <w:position w:val="5"/>
          <w:sz w:val="14"/>
        </w:rPr>
        <w:t>.</w:t>
      </w:r>
      <w:r>
        <w:rPr>
          <w:position w:val="5"/>
          <w:sz w:val="14"/>
        </w:rPr>
        <w:tab/>
      </w:r>
      <w:r>
        <w:rPr>
          <w:rFonts w:ascii="Arial"/>
          <w:i/>
          <w:sz w:val="20"/>
        </w:rPr>
        <w:t>[2013] EWCA Civ 1499</w:t>
      </w:r>
      <w:r>
        <w:rPr>
          <w:rFonts w:ascii="Arial"/>
          <w:i/>
          <w:spacing w:val="-1"/>
          <w:sz w:val="20"/>
        </w:rPr>
        <w:t> </w:t>
      </w:r>
      <w:r>
        <w:rPr>
          <w:sz w:val="20"/>
        </w:rPr>
        <w:t>at </w:t>
      </w:r>
      <w:r>
        <w:rPr>
          <w:spacing w:val="-2"/>
          <w:sz w:val="20"/>
        </w:rPr>
        <w:t>[27].</w:t>
      </w:r>
    </w:p>
    <w:p>
      <w:pPr>
        <w:pStyle w:val="BodyText"/>
        <w:spacing w:before="4"/>
      </w:pPr>
    </w:p>
    <w:p>
      <w:pPr>
        <w:tabs>
          <w:tab w:pos="705" w:val="left" w:leader="none"/>
        </w:tabs>
        <w:spacing w:before="1"/>
        <w:ind w:left="165" w:right="0" w:firstLine="0"/>
        <w:jc w:val="left"/>
        <w:rPr>
          <w:sz w:val="20"/>
        </w:rPr>
      </w:pPr>
      <w:bookmarkStart w:name="_bookmark1142" w:id="1144"/>
      <w:bookmarkEnd w:id="1144"/>
      <w:r>
        <w:rPr/>
      </w:r>
      <w:hyperlink w:history="true" w:anchor="_bookmark1092">
        <w:r>
          <w:rPr>
            <w:color w:val="005DA1"/>
            <w:spacing w:val="-4"/>
            <w:position w:val="5"/>
            <w:sz w:val="14"/>
            <w:u w:val="single" w:color="005DA1"/>
          </w:rPr>
          <w:t>600</w:t>
        </w:r>
      </w:hyperlink>
      <w:r>
        <w:rPr>
          <w:spacing w:val="-4"/>
          <w:position w:val="5"/>
          <w:sz w:val="14"/>
        </w:rPr>
        <w:t>.</w:t>
      </w:r>
      <w:r>
        <w:rPr>
          <w:position w:val="5"/>
          <w:sz w:val="14"/>
        </w:rPr>
        <w:tab/>
      </w:r>
      <w:r>
        <w:rPr>
          <w:rFonts w:ascii="Arial" w:hAnsi="Arial"/>
          <w:i/>
          <w:sz w:val="20"/>
        </w:rPr>
        <w:t>Sporrong and Lönnroth v Sweden (1983) 5 E.H.R.R. 35</w:t>
      </w:r>
      <w:r>
        <w:rPr>
          <w:rFonts w:ascii="Arial" w:hAnsi="Arial"/>
          <w:i/>
          <w:spacing w:val="-1"/>
          <w:sz w:val="20"/>
        </w:rPr>
        <w:t> </w:t>
      </w:r>
      <w:r>
        <w:rPr>
          <w:sz w:val="20"/>
        </w:rPr>
        <w:t>at </w:t>
      </w:r>
      <w:r>
        <w:rPr>
          <w:spacing w:val="-2"/>
          <w:sz w:val="20"/>
        </w:rPr>
        <w:t>[69]–[73].</w:t>
      </w:r>
    </w:p>
    <w:p>
      <w:pPr>
        <w:pStyle w:val="BodyText"/>
        <w:spacing w:before="4"/>
      </w:pPr>
    </w:p>
    <w:p>
      <w:pPr>
        <w:tabs>
          <w:tab w:pos="705" w:val="left" w:leader="none"/>
        </w:tabs>
        <w:spacing w:before="1"/>
        <w:ind w:left="165" w:right="0" w:firstLine="0"/>
        <w:jc w:val="left"/>
        <w:rPr>
          <w:sz w:val="20"/>
        </w:rPr>
      </w:pPr>
      <w:bookmarkStart w:name="_bookmark1143" w:id="1145"/>
      <w:bookmarkEnd w:id="1145"/>
      <w:r>
        <w:rPr/>
      </w:r>
      <w:hyperlink w:history="true" w:anchor="_bookmark1092">
        <w:r>
          <w:rPr>
            <w:color w:val="005DA1"/>
            <w:spacing w:val="-4"/>
            <w:position w:val="5"/>
            <w:sz w:val="14"/>
            <w:u w:val="single" w:color="005DA1"/>
          </w:rPr>
          <w:t>601</w:t>
        </w:r>
      </w:hyperlink>
      <w:r>
        <w:rPr>
          <w:spacing w:val="-4"/>
          <w:position w:val="5"/>
          <w:sz w:val="14"/>
        </w:rPr>
        <w:t>.</w:t>
      </w:r>
      <w:r>
        <w:rPr>
          <w:position w:val="5"/>
          <w:sz w:val="14"/>
        </w:rPr>
        <w:tab/>
      </w:r>
      <w:r>
        <w:rPr>
          <w:rFonts w:ascii="Arial"/>
          <w:i/>
          <w:sz w:val="20"/>
        </w:rPr>
        <w:t>[2003] UKHL 40, [2003] 3 W.L.R. </w:t>
      </w:r>
      <w:r>
        <w:rPr>
          <w:rFonts w:ascii="Arial"/>
          <w:i/>
          <w:spacing w:val="-4"/>
          <w:sz w:val="20"/>
        </w:rPr>
        <w:t>568</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144" w:id="1146"/>
      <w:bookmarkEnd w:id="1146"/>
      <w:r>
        <w:rPr/>
      </w:r>
      <w:hyperlink w:history="true" w:anchor="_bookmark1093">
        <w:r>
          <w:rPr>
            <w:color w:val="005DA1"/>
            <w:spacing w:val="-4"/>
            <w:position w:val="5"/>
            <w:sz w:val="14"/>
            <w:u w:val="single" w:color="005DA1"/>
          </w:rPr>
          <w:t>602</w:t>
        </w:r>
      </w:hyperlink>
      <w:r>
        <w:rPr>
          <w:spacing w:val="-4"/>
          <w:position w:val="5"/>
          <w:sz w:val="14"/>
        </w:rPr>
        <w:t>.</w:t>
      </w:r>
      <w:r>
        <w:rPr>
          <w:position w:val="5"/>
          <w:sz w:val="14"/>
        </w:rPr>
        <w:tab/>
      </w:r>
      <w:r>
        <w:rPr>
          <w:rFonts w:ascii="Arial" w:hAnsi="Arial"/>
          <w:i/>
          <w:sz w:val="20"/>
        </w:rPr>
        <w:t>[2003]</w:t>
      </w:r>
      <w:r>
        <w:rPr>
          <w:rFonts w:ascii="Arial" w:hAnsi="Arial"/>
          <w:i/>
          <w:spacing w:val="19"/>
          <w:sz w:val="20"/>
        </w:rPr>
        <w:t> </w:t>
      </w:r>
      <w:r>
        <w:rPr>
          <w:rFonts w:ascii="Arial" w:hAnsi="Arial"/>
          <w:i/>
          <w:sz w:val="20"/>
        </w:rPr>
        <w:t>UKHL</w:t>
      </w:r>
      <w:r>
        <w:rPr>
          <w:rFonts w:ascii="Arial" w:hAnsi="Arial"/>
          <w:i/>
          <w:spacing w:val="19"/>
          <w:sz w:val="20"/>
        </w:rPr>
        <w:t> </w:t>
      </w:r>
      <w:r>
        <w:rPr>
          <w:rFonts w:ascii="Arial" w:hAnsi="Arial"/>
          <w:i/>
          <w:sz w:val="20"/>
        </w:rPr>
        <w:t>40,</w:t>
      </w:r>
      <w:r>
        <w:rPr>
          <w:rFonts w:ascii="Arial" w:hAnsi="Arial"/>
          <w:i/>
          <w:spacing w:val="19"/>
          <w:sz w:val="20"/>
        </w:rPr>
        <w:t> </w:t>
      </w:r>
      <w:r>
        <w:rPr>
          <w:rFonts w:ascii="Arial" w:hAnsi="Arial"/>
          <w:i/>
          <w:sz w:val="20"/>
        </w:rPr>
        <w:t>[2003]</w:t>
      </w:r>
      <w:r>
        <w:rPr>
          <w:rFonts w:ascii="Arial" w:hAnsi="Arial"/>
          <w:i/>
          <w:spacing w:val="19"/>
          <w:sz w:val="20"/>
        </w:rPr>
        <w:t> </w:t>
      </w:r>
      <w:r>
        <w:rPr>
          <w:rFonts w:ascii="Arial" w:hAnsi="Arial"/>
          <w:i/>
          <w:sz w:val="20"/>
        </w:rPr>
        <w:t>3</w:t>
      </w:r>
      <w:r>
        <w:rPr>
          <w:rFonts w:ascii="Arial" w:hAnsi="Arial"/>
          <w:i/>
          <w:spacing w:val="19"/>
          <w:sz w:val="20"/>
        </w:rPr>
        <w:t> </w:t>
      </w:r>
      <w:r>
        <w:rPr>
          <w:rFonts w:ascii="Arial" w:hAnsi="Arial"/>
          <w:i/>
          <w:sz w:val="20"/>
        </w:rPr>
        <w:t>W.L.R.</w:t>
      </w:r>
      <w:r>
        <w:rPr>
          <w:rFonts w:ascii="Arial" w:hAnsi="Arial"/>
          <w:i/>
          <w:spacing w:val="19"/>
          <w:sz w:val="20"/>
        </w:rPr>
        <w:t> </w:t>
      </w:r>
      <w:r>
        <w:rPr>
          <w:rFonts w:ascii="Arial" w:hAnsi="Arial"/>
          <w:i/>
          <w:sz w:val="20"/>
        </w:rPr>
        <w:t>568</w:t>
      </w:r>
      <w:r>
        <w:rPr>
          <w:rFonts w:ascii="Arial" w:hAnsi="Arial"/>
          <w:i/>
          <w:spacing w:val="19"/>
          <w:sz w:val="20"/>
        </w:rPr>
        <w:t> </w:t>
      </w:r>
      <w:r>
        <w:rPr>
          <w:sz w:val="20"/>
        </w:rPr>
        <w:t>at</w:t>
      </w:r>
      <w:r>
        <w:rPr>
          <w:spacing w:val="19"/>
          <w:sz w:val="20"/>
        </w:rPr>
        <w:t> </w:t>
      </w:r>
      <w:r>
        <w:rPr>
          <w:sz w:val="20"/>
        </w:rPr>
        <w:t>[62],</w:t>
      </w:r>
      <w:r>
        <w:rPr>
          <w:spacing w:val="19"/>
          <w:sz w:val="20"/>
        </w:rPr>
        <w:t> </w:t>
      </w:r>
      <w:r>
        <w:rPr>
          <w:sz w:val="20"/>
        </w:rPr>
        <w:t>[74]–[75]</w:t>
      </w:r>
      <w:r>
        <w:rPr>
          <w:spacing w:val="19"/>
          <w:sz w:val="20"/>
        </w:rPr>
        <w:t> </w:t>
      </w:r>
      <w:r>
        <w:rPr>
          <w:sz w:val="20"/>
        </w:rPr>
        <w:t>(Lord</w:t>
      </w:r>
      <w:r>
        <w:rPr>
          <w:spacing w:val="19"/>
          <w:sz w:val="20"/>
        </w:rPr>
        <w:t> </w:t>
      </w:r>
      <w:r>
        <w:rPr>
          <w:sz w:val="20"/>
        </w:rPr>
        <w:t>Nicholls,</w:t>
      </w:r>
      <w:r>
        <w:rPr>
          <w:spacing w:val="19"/>
          <w:sz w:val="20"/>
        </w:rPr>
        <w:t> </w:t>
      </w:r>
      <w:r>
        <w:rPr>
          <w:sz w:val="20"/>
        </w:rPr>
        <w:t>with</w:t>
      </w:r>
      <w:r>
        <w:rPr>
          <w:spacing w:val="19"/>
          <w:sz w:val="20"/>
        </w:rPr>
        <w:t> </w:t>
      </w:r>
      <w:r>
        <w:rPr>
          <w:sz w:val="20"/>
        </w:rPr>
        <w:t>whom</w:t>
      </w:r>
      <w:r>
        <w:rPr>
          <w:spacing w:val="19"/>
          <w:sz w:val="20"/>
        </w:rPr>
        <w:t> </w:t>
      </w:r>
      <w:r>
        <w:rPr>
          <w:sz w:val="20"/>
        </w:rPr>
        <w:t>Lord</w:t>
      </w:r>
      <w:r>
        <w:rPr>
          <w:spacing w:val="19"/>
          <w:sz w:val="20"/>
        </w:rPr>
        <w:t> </w:t>
      </w:r>
      <w:r>
        <w:rPr>
          <w:sz w:val="20"/>
        </w:rPr>
        <w:t>Hope agreed at [109]); [138] (Lord Hobhouse of Woolborough); [169]–[170] (Lord Scott).</w:t>
      </w:r>
    </w:p>
    <w:p>
      <w:pPr>
        <w:pStyle w:val="BodyText"/>
        <w:spacing w:before="9"/>
      </w:pPr>
    </w:p>
    <w:p>
      <w:pPr>
        <w:spacing w:line="235" w:lineRule="auto" w:before="1"/>
        <w:ind w:left="705" w:right="167" w:hanging="541"/>
        <w:jc w:val="both"/>
        <w:rPr>
          <w:sz w:val="20"/>
        </w:rPr>
      </w:pPr>
      <w:bookmarkStart w:name="_bookmark1145" w:id="1147"/>
      <w:bookmarkEnd w:id="1147"/>
      <w:r>
        <w:rPr/>
      </w:r>
      <w:hyperlink w:history="true" w:anchor="_bookmark1094">
        <w:r>
          <w:rPr>
            <w:color w:val="005DA1"/>
            <w:position w:val="5"/>
            <w:sz w:val="14"/>
            <w:u w:val="single" w:color="005DA1"/>
          </w:rPr>
          <w:t>603</w:t>
        </w:r>
      </w:hyperlink>
      <w:r>
        <w:rPr>
          <w:position w:val="5"/>
          <w:sz w:val="14"/>
        </w:rPr>
        <w:t>.</w:t>
      </w:r>
      <w:r>
        <w:rPr>
          <w:spacing w:val="80"/>
          <w:position w:val="5"/>
          <w:sz w:val="14"/>
        </w:rPr>
        <w:t>  </w:t>
      </w:r>
      <w:r>
        <w:rPr>
          <w:rFonts w:ascii="Arial" w:hAnsi="Arial"/>
          <w:i/>
          <w:sz w:val="20"/>
        </w:rPr>
        <w:t>[2003] UKHL 40 </w:t>
      </w:r>
      <w:r>
        <w:rPr>
          <w:sz w:val="20"/>
        </w:rPr>
        <w:t>at [77]. See also </w:t>
      </w:r>
      <w:r>
        <w:rPr>
          <w:rFonts w:ascii="Arial" w:hAnsi="Arial"/>
          <w:i/>
          <w:sz w:val="20"/>
        </w:rPr>
        <w:t>Horsham Group Properties Ltd v Clark [2008] EWHC 2327 (Ch),</w:t>
      </w:r>
      <w:r>
        <w:rPr>
          <w:rFonts w:ascii="Arial" w:hAnsi="Arial"/>
          <w:i/>
          <w:spacing w:val="-2"/>
          <w:sz w:val="20"/>
        </w:rPr>
        <w:t> </w:t>
      </w:r>
      <w:r>
        <w:rPr>
          <w:rFonts w:ascii="Arial" w:hAnsi="Arial"/>
          <w:i/>
          <w:sz w:val="20"/>
        </w:rPr>
        <w:t>[2009]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1255</w:t>
      </w:r>
      <w:r>
        <w:rPr>
          <w:rFonts w:ascii="Arial" w:hAnsi="Arial"/>
          <w:i/>
          <w:spacing w:val="-2"/>
          <w:sz w:val="20"/>
        </w:rPr>
        <w:t> </w:t>
      </w:r>
      <w:r>
        <w:rPr>
          <w:sz w:val="20"/>
        </w:rPr>
        <w:t>at</w:t>
      </w:r>
      <w:r>
        <w:rPr>
          <w:spacing w:val="-2"/>
          <w:sz w:val="20"/>
        </w:rPr>
        <w:t> </w:t>
      </w:r>
      <w:r>
        <w:rPr>
          <w:sz w:val="20"/>
        </w:rPr>
        <w:t>[44]</w:t>
      </w:r>
      <w:r>
        <w:rPr>
          <w:spacing w:val="-2"/>
          <w:sz w:val="20"/>
        </w:rPr>
        <w:t> </w:t>
      </w:r>
      <w:r>
        <w:rPr>
          <w:sz w:val="20"/>
        </w:rPr>
        <w:t>(on</w:t>
      </w:r>
      <w:r>
        <w:rPr>
          <w:spacing w:val="-2"/>
          <w:sz w:val="20"/>
        </w:rPr>
        <w:t> </w:t>
      </w:r>
      <w:r>
        <w:rPr>
          <w:sz w:val="20"/>
        </w:rPr>
        <w:t>which</w:t>
      </w:r>
      <w:r>
        <w:rPr>
          <w:spacing w:val="-2"/>
          <w:sz w:val="20"/>
        </w:rPr>
        <w:t> </w:t>
      </w:r>
      <w:r>
        <w:rPr>
          <w:sz w:val="20"/>
        </w:rPr>
        <w:t>see</w:t>
      </w:r>
      <w:r>
        <w:rPr>
          <w:spacing w:val="-2"/>
          <w:sz w:val="20"/>
        </w:rPr>
        <w:t> </w:t>
      </w:r>
      <w:r>
        <w:rPr>
          <w:sz w:val="20"/>
        </w:rPr>
        <w:t>above,</w:t>
      </w:r>
      <w:r>
        <w:rPr>
          <w:spacing w:val="-2"/>
          <w:sz w:val="20"/>
        </w:rPr>
        <w:t> </w:t>
      </w:r>
      <w:r>
        <w:rPr>
          <w:sz w:val="20"/>
        </w:rPr>
        <w:t>para.1-069),</w:t>
      </w:r>
      <w:r>
        <w:rPr>
          <w:spacing w:val="-2"/>
          <w:sz w:val="20"/>
        </w:rPr>
        <w:t> </w:t>
      </w:r>
      <w:r>
        <w:rPr>
          <w:sz w:val="20"/>
        </w:rPr>
        <w:t>where</w:t>
      </w:r>
      <w:r>
        <w:rPr>
          <w:spacing w:val="-2"/>
          <w:sz w:val="20"/>
        </w:rPr>
        <w:t> </w:t>
      </w:r>
      <w:r>
        <w:rPr>
          <w:sz w:val="20"/>
        </w:rPr>
        <w:t>it</w:t>
      </w:r>
      <w:r>
        <w:rPr>
          <w:spacing w:val="-2"/>
          <w:sz w:val="20"/>
        </w:rPr>
        <w:t> </w:t>
      </w:r>
      <w:r>
        <w:rPr>
          <w:sz w:val="20"/>
        </w:rPr>
        <w:t>was</w:t>
      </w:r>
      <w:r>
        <w:rPr>
          <w:spacing w:val="-2"/>
          <w:sz w:val="20"/>
        </w:rPr>
        <w:t> </w:t>
      </w:r>
      <w:r>
        <w:rPr>
          <w:sz w:val="20"/>
        </w:rPr>
        <w:t>held</w:t>
      </w:r>
      <w:r>
        <w:rPr>
          <w:spacing w:val="-2"/>
          <w:sz w:val="20"/>
        </w:rPr>
        <w:t> </w:t>
      </w:r>
      <w:r>
        <w:rPr>
          <w:sz w:val="20"/>
        </w:rPr>
        <w:t>that</w:t>
      </w:r>
      <w:r>
        <w:rPr>
          <w:spacing w:val="-2"/>
          <w:sz w:val="20"/>
        </w:rPr>
        <w:t> </w:t>
      </w:r>
      <w:r>
        <w:rPr>
          <w:sz w:val="20"/>
        </w:rPr>
        <w:t>any deprivation of possession constituted by the exercise by a mortgagee of its powers under </w:t>
      </w:r>
      <w:r>
        <w:rPr>
          <w:sz w:val="20"/>
        </w:rPr>
        <w:t>s.101 of the Law of Property Act after a relevant default by the mortgagor is justified in the public interest, and requires no “case-by-case exercise of a proportionality discretion by the court”.</w:t>
      </w:r>
    </w:p>
    <w:p>
      <w:pPr>
        <w:spacing w:after="0" w:line="235" w:lineRule="auto"/>
        <w:jc w:val="both"/>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095">
        <w:r>
          <w:rPr>
            <w:color w:val="005DA1"/>
            <w:spacing w:val="-4"/>
            <w:position w:val="5"/>
            <w:sz w:val="14"/>
            <w:u w:val="single" w:color="005DA1"/>
          </w:rPr>
          <w:t>604</w:t>
        </w:r>
      </w:hyperlink>
      <w:r>
        <w:rPr>
          <w:spacing w:val="-4"/>
          <w:position w:val="5"/>
          <w:sz w:val="14"/>
        </w:rPr>
        <w:t>.</w:t>
      </w:r>
      <w:r>
        <w:rPr>
          <w:position w:val="5"/>
          <w:sz w:val="14"/>
        </w:rPr>
        <w:tab/>
      </w:r>
      <w:r>
        <w:rPr>
          <w:rFonts w:ascii="Arial"/>
          <w:i/>
          <w:sz w:val="20"/>
        </w:rPr>
        <w:t>[2006] EWCA Civ 1039 [2007] 1 W.L.R. </w:t>
      </w:r>
      <w:r>
        <w:rPr>
          <w:rFonts w:ascii="Arial"/>
          <w:i/>
          <w:spacing w:val="-4"/>
          <w:sz w:val="20"/>
        </w:rPr>
        <w:t>311</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146" w:id="1148"/>
      <w:bookmarkEnd w:id="1148"/>
      <w:r>
        <w:rPr/>
      </w:r>
      <w:hyperlink w:history="true" w:anchor="_bookmark1096">
        <w:r>
          <w:rPr>
            <w:color w:val="005DA1"/>
            <w:spacing w:val="-4"/>
            <w:position w:val="5"/>
            <w:sz w:val="14"/>
            <w:u w:val="single" w:color="005DA1"/>
          </w:rPr>
          <w:t>605</w:t>
        </w:r>
      </w:hyperlink>
      <w:r>
        <w:rPr>
          <w:spacing w:val="-4"/>
          <w:position w:val="5"/>
          <w:sz w:val="14"/>
        </w:rPr>
        <w:t>.</w:t>
      </w:r>
      <w:r>
        <w:rPr>
          <w:position w:val="5"/>
          <w:sz w:val="14"/>
        </w:rPr>
        <w:tab/>
      </w:r>
      <w:r>
        <w:rPr>
          <w:rFonts w:ascii="Arial"/>
          <w:i/>
          <w:sz w:val="20"/>
        </w:rPr>
        <w:t>[2006] EWCA Civ 1039</w:t>
      </w:r>
      <w:r>
        <w:rPr>
          <w:rFonts w:ascii="Arial"/>
          <w:i/>
          <w:spacing w:val="-1"/>
          <w:sz w:val="20"/>
        </w:rPr>
        <w:t> </w:t>
      </w:r>
      <w:r>
        <w:rPr>
          <w:sz w:val="20"/>
        </w:rPr>
        <w:t>at </w:t>
      </w:r>
      <w:r>
        <w:rPr>
          <w:spacing w:val="-2"/>
          <w:sz w:val="20"/>
        </w:rPr>
        <w:t>[24].</w:t>
      </w:r>
    </w:p>
    <w:p>
      <w:pPr>
        <w:pStyle w:val="BodyText"/>
        <w:spacing w:before="8"/>
      </w:pPr>
    </w:p>
    <w:p>
      <w:pPr>
        <w:spacing w:line="235" w:lineRule="auto" w:before="0"/>
        <w:ind w:left="705" w:right="167" w:hanging="541"/>
        <w:jc w:val="both"/>
        <w:rPr>
          <w:sz w:val="20"/>
        </w:rPr>
      </w:pPr>
      <w:bookmarkStart w:name="_bookmark1147" w:id="1149"/>
      <w:bookmarkEnd w:id="1149"/>
      <w:r>
        <w:rPr/>
      </w:r>
      <w:hyperlink w:history="true" w:anchor="_bookmark1097">
        <w:r>
          <w:rPr>
            <w:color w:val="005DA1"/>
            <w:position w:val="5"/>
            <w:sz w:val="14"/>
            <w:u w:val="single" w:color="005DA1"/>
          </w:rPr>
          <w:t>606</w:t>
        </w:r>
      </w:hyperlink>
      <w:r>
        <w:rPr>
          <w:position w:val="5"/>
          <w:sz w:val="14"/>
        </w:rPr>
        <w:t>.</w:t>
      </w:r>
      <w:r>
        <w:rPr>
          <w:spacing w:val="80"/>
          <w:position w:val="5"/>
          <w:sz w:val="14"/>
        </w:rPr>
        <w:t>  </w:t>
      </w:r>
      <w:r>
        <w:rPr>
          <w:sz w:val="20"/>
        </w:rPr>
        <w:t>On</w:t>
      </w:r>
      <w:r>
        <w:rPr>
          <w:spacing w:val="40"/>
          <w:sz w:val="20"/>
        </w:rPr>
        <w:t> </w:t>
      </w:r>
      <w:r>
        <w:rPr>
          <w:sz w:val="20"/>
        </w:rPr>
        <w:t>the</w:t>
      </w:r>
      <w:r>
        <w:rPr>
          <w:spacing w:val="40"/>
          <w:sz w:val="20"/>
        </w:rPr>
        <w:t> </w:t>
      </w:r>
      <w:r>
        <w:rPr>
          <w:sz w:val="20"/>
        </w:rPr>
        <w:t>possible</w:t>
      </w:r>
      <w:r>
        <w:rPr>
          <w:spacing w:val="40"/>
          <w:sz w:val="20"/>
        </w:rPr>
        <w:t> </w:t>
      </w:r>
      <w:r>
        <w:rPr>
          <w:sz w:val="20"/>
        </w:rPr>
        <w:t>impact</w:t>
      </w:r>
      <w:r>
        <w:rPr>
          <w:spacing w:val="40"/>
          <w:sz w:val="20"/>
        </w:rPr>
        <w:t> </w:t>
      </w:r>
      <w:r>
        <w:rPr>
          <w:sz w:val="20"/>
        </w:rPr>
        <w:t>of</w:t>
      </w:r>
      <w:r>
        <w:rPr>
          <w:spacing w:val="40"/>
          <w:sz w:val="20"/>
        </w:rPr>
        <w:t> </w:t>
      </w:r>
      <w:r>
        <w:rPr>
          <w:sz w:val="20"/>
        </w:rPr>
        <w:t>the</w:t>
      </w:r>
      <w:r>
        <w:rPr>
          <w:spacing w:val="40"/>
          <w:sz w:val="20"/>
        </w:rPr>
        <w:t> </w:t>
      </w:r>
      <w:r>
        <w:rPr>
          <w:sz w:val="20"/>
        </w:rPr>
        <w:t>Human</w:t>
      </w:r>
      <w:r>
        <w:rPr>
          <w:spacing w:val="40"/>
          <w:sz w:val="20"/>
        </w:rPr>
        <w:t> </w:t>
      </w:r>
      <w:r>
        <w:rPr>
          <w:sz w:val="20"/>
        </w:rPr>
        <w:t>Rights</w:t>
      </w:r>
      <w:r>
        <w:rPr>
          <w:spacing w:val="40"/>
          <w:sz w:val="20"/>
        </w:rPr>
        <w:t> </w:t>
      </w:r>
      <w:r>
        <w:rPr>
          <w:sz w:val="20"/>
        </w:rPr>
        <w:t>Act</w:t>
      </w:r>
      <w:r>
        <w:rPr>
          <w:spacing w:val="40"/>
          <w:sz w:val="20"/>
        </w:rPr>
        <w:t> </w:t>
      </w:r>
      <w:r>
        <w:rPr>
          <w:sz w:val="20"/>
        </w:rPr>
        <w:t>on</w:t>
      </w:r>
      <w:r>
        <w:rPr>
          <w:spacing w:val="40"/>
          <w:sz w:val="20"/>
        </w:rPr>
        <w:t> </w:t>
      </w:r>
      <w:r>
        <w:rPr>
          <w:sz w:val="20"/>
        </w:rPr>
        <w:t>arbitral</w:t>
      </w:r>
      <w:r>
        <w:rPr>
          <w:spacing w:val="40"/>
          <w:sz w:val="20"/>
        </w:rPr>
        <w:t> </w:t>
      </w:r>
      <w:r>
        <w:rPr>
          <w:sz w:val="20"/>
        </w:rPr>
        <w:t>proceedings</w:t>
      </w:r>
      <w:r>
        <w:rPr>
          <w:spacing w:val="40"/>
          <w:sz w:val="20"/>
        </w:rPr>
        <w:t> </w:t>
      </w:r>
      <w:r>
        <w:rPr>
          <w:sz w:val="20"/>
        </w:rPr>
        <w:t>see</w:t>
      </w:r>
      <w:r>
        <w:rPr>
          <w:spacing w:val="40"/>
          <w:sz w:val="20"/>
        </w:rPr>
        <w:t> </w:t>
      </w:r>
      <w:r>
        <w:rPr>
          <w:sz w:val="20"/>
        </w:rPr>
        <w:t>Vol.II,</w:t>
      </w:r>
      <w:r>
        <w:rPr>
          <w:spacing w:val="40"/>
          <w:sz w:val="20"/>
        </w:rPr>
        <w:t> </w:t>
      </w:r>
      <w:r>
        <w:rPr>
          <w:sz w:val="20"/>
        </w:rPr>
        <w:t>paras 32-015—32-019 referring, inter alia, to </w:t>
      </w:r>
      <w:r>
        <w:rPr>
          <w:rFonts w:ascii="Arial" w:hAnsi="Arial"/>
          <w:i/>
          <w:sz w:val="20"/>
        </w:rPr>
        <w:t>Stretford v Football Association Ltd [2007] EWCA Civ 238, [2007] 2 Lloyd’s Rep. 31 </w:t>
      </w:r>
      <w:r>
        <w:rPr>
          <w:sz w:val="20"/>
        </w:rPr>
        <w:t>(where it was held that an arbitration clause and any arbitration made under it which was subject to the provisions of the Arbitration Act 1996 did not constitute an infringement of a person’s rights under art.6 of the European Convention); </w:t>
      </w:r>
      <w:r>
        <w:rPr>
          <w:rFonts w:ascii="Arial" w:hAnsi="Arial"/>
          <w:i/>
          <w:sz w:val="20"/>
        </w:rPr>
        <w:t>Sumukan Ltd v The Commonwealth Secretariat [2007] EWCA Civ 243, [2007] 2 Lloyd’s Rep. 87 </w:t>
      </w:r>
      <w:r>
        <w:rPr>
          <w:sz w:val="20"/>
        </w:rPr>
        <w:t>at [53]–[62] (where it was held that an agreement not to appeal an arbitration award under s.69 of the Arbitration Act 1996 did not constitute an infringement of a person’s rights under art.6 of the European Convention).</w:t>
      </w:r>
    </w:p>
    <w:p>
      <w:pPr>
        <w:pStyle w:val="BodyText"/>
        <w:spacing w:before="3"/>
      </w:pPr>
    </w:p>
    <w:p>
      <w:pPr>
        <w:tabs>
          <w:tab w:pos="705" w:val="left" w:leader="none"/>
        </w:tabs>
        <w:spacing w:before="0"/>
        <w:ind w:left="165" w:right="0" w:firstLine="0"/>
        <w:jc w:val="left"/>
        <w:rPr>
          <w:sz w:val="20"/>
        </w:rPr>
      </w:pPr>
      <w:bookmarkStart w:name="_bookmark1148" w:id="1150"/>
      <w:bookmarkEnd w:id="1150"/>
      <w:r>
        <w:rPr/>
      </w:r>
      <w:hyperlink w:history="true" w:anchor="_bookmark1098">
        <w:r>
          <w:rPr>
            <w:color w:val="005DA1"/>
            <w:spacing w:val="-4"/>
            <w:position w:val="5"/>
            <w:sz w:val="14"/>
            <w:u w:val="single" w:color="005DA1"/>
          </w:rPr>
          <w:t>607</w:t>
        </w:r>
      </w:hyperlink>
      <w:r>
        <w:rPr>
          <w:spacing w:val="-4"/>
          <w:position w:val="5"/>
          <w:sz w:val="14"/>
        </w:rPr>
        <w:t>.</w:t>
      </w:r>
      <w:r>
        <w:rPr>
          <w:position w:val="5"/>
          <w:sz w:val="14"/>
        </w:rPr>
        <w:tab/>
      </w:r>
      <w:r>
        <w:rPr>
          <w:rFonts w:ascii="Arial"/>
          <w:i/>
          <w:sz w:val="20"/>
        </w:rPr>
        <w:t>Lee v Leeds City Council [2002] EWCA Civ 6, [2002] 1 W.L.R. 1488</w:t>
      </w:r>
      <w:r>
        <w:rPr>
          <w:rFonts w:ascii="Arial"/>
          <w:i/>
          <w:spacing w:val="-1"/>
          <w:sz w:val="20"/>
        </w:rPr>
        <w:t> </w:t>
      </w:r>
      <w:r>
        <w:rPr>
          <w:sz w:val="20"/>
        </w:rPr>
        <w:t>at </w:t>
      </w:r>
      <w:r>
        <w:rPr>
          <w:spacing w:val="-2"/>
          <w:sz w:val="20"/>
        </w:rPr>
        <w:t>[56].</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1149" w:id="1151"/>
      <w:bookmarkEnd w:id="1151"/>
      <w:r>
        <w:rPr/>
      </w:r>
      <w:hyperlink w:history="true" w:anchor="_bookmark1099">
        <w:r>
          <w:rPr>
            <w:color w:val="005DA1"/>
            <w:spacing w:val="-4"/>
            <w:sz w:val="14"/>
            <w:u w:val="single" w:color="005DA1"/>
          </w:rPr>
          <w:t>608</w:t>
        </w:r>
      </w:hyperlink>
      <w:r>
        <w:rPr>
          <w:spacing w:val="-4"/>
          <w:sz w:val="14"/>
        </w:rPr>
        <w:t>.</w:t>
      </w:r>
    </w:p>
    <w:p>
      <w:pPr>
        <w:spacing w:line="227" w:lineRule="exact" w:before="208"/>
        <w:ind w:left="0" w:right="168" w:firstLine="0"/>
        <w:jc w:val="right"/>
        <w:rPr>
          <w:sz w:val="20"/>
        </w:rPr>
      </w:pPr>
      <w:r>
        <w:rPr/>
        <w:br w:type="column"/>
      </w:r>
      <w:r>
        <w:rPr>
          <w:rFonts w:ascii="Arial" w:hAnsi="Arial"/>
          <w:i/>
          <w:sz w:val="20"/>
        </w:rPr>
        <w:t>[2002]</w:t>
      </w:r>
      <w:r>
        <w:rPr>
          <w:rFonts w:ascii="Arial" w:hAnsi="Arial"/>
          <w:i/>
          <w:spacing w:val="5"/>
          <w:sz w:val="20"/>
        </w:rPr>
        <w:t> </w:t>
      </w:r>
      <w:r>
        <w:rPr>
          <w:rFonts w:ascii="Arial" w:hAnsi="Arial"/>
          <w:i/>
          <w:sz w:val="20"/>
        </w:rPr>
        <w:t>1</w:t>
      </w:r>
      <w:r>
        <w:rPr>
          <w:rFonts w:ascii="Arial" w:hAnsi="Arial"/>
          <w:i/>
          <w:spacing w:val="8"/>
          <w:sz w:val="20"/>
        </w:rPr>
        <w:t> </w:t>
      </w:r>
      <w:r>
        <w:rPr>
          <w:rFonts w:ascii="Arial" w:hAnsi="Arial"/>
          <w:i/>
          <w:sz w:val="20"/>
        </w:rPr>
        <w:t>W.L.R.</w:t>
      </w:r>
      <w:r>
        <w:rPr>
          <w:rFonts w:ascii="Arial" w:hAnsi="Arial"/>
          <w:i/>
          <w:spacing w:val="8"/>
          <w:sz w:val="20"/>
        </w:rPr>
        <w:t> </w:t>
      </w:r>
      <w:r>
        <w:rPr>
          <w:rFonts w:ascii="Arial" w:hAnsi="Arial"/>
          <w:i/>
          <w:sz w:val="20"/>
        </w:rPr>
        <w:t>1488</w:t>
      </w:r>
      <w:r>
        <w:rPr>
          <w:rFonts w:ascii="Arial" w:hAnsi="Arial"/>
          <w:i/>
          <w:spacing w:val="8"/>
          <w:sz w:val="20"/>
        </w:rPr>
        <w:t> </w:t>
      </w:r>
      <w:r>
        <w:rPr>
          <w:sz w:val="20"/>
        </w:rPr>
        <w:t>at</w:t>
      </w:r>
      <w:r>
        <w:rPr>
          <w:spacing w:val="8"/>
          <w:sz w:val="20"/>
        </w:rPr>
        <w:t> </w:t>
      </w:r>
      <w:r>
        <w:rPr>
          <w:sz w:val="20"/>
        </w:rPr>
        <w:t>[56]–[59],</w:t>
      </w:r>
      <w:r>
        <w:rPr>
          <w:spacing w:val="8"/>
          <w:sz w:val="20"/>
        </w:rPr>
        <w:t> </w:t>
      </w:r>
      <w:r>
        <w:rPr>
          <w:sz w:val="20"/>
        </w:rPr>
        <w:t>referring</w:t>
      </w:r>
      <w:r>
        <w:rPr>
          <w:spacing w:val="8"/>
          <w:sz w:val="20"/>
        </w:rPr>
        <w:t> </w:t>
      </w:r>
      <w:r>
        <w:rPr>
          <w:sz w:val="20"/>
        </w:rPr>
        <w:t>to</w:t>
      </w:r>
      <w:r>
        <w:rPr>
          <w:spacing w:val="8"/>
          <w:sz w:val="20"/>
        </w:rPr>
        <w:t> </w:t>
      </w:r>
      <w:r>
        <w:rPr>
          <w:rFonts w:ascii="Arial" w:hAnsi="Arial"/>
          <w:i/>
          <w:sz w:val="20"/>
        </w:rPr>
        <w:t>Quick</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Taff</w:t>
      </w:r>
      <w:r>
        <w:rPr>
          <w:rFonts w:ascii="Arial" w:hAnsi="Arial"/>
          <w:i/>
          <w:spacing w:val="8"/>
          <w:sz w:val="20"/>
        </w:rPr>
        <w:t> </w:t>
      </w:r>
      <w:r>
        <w:rPr>
          <w:rFonts w:ascii="Arial" w:hAnsi="Arial"/>
          <w:i/>
          <w:sz w:val="20"/>
        </w:rPr>
        <w:t>Ely</w:t>
      </w:r>
      <w:r>
        <w:rPr>
          <w:rFonts w:ascii="Arial" w:hAnsi="Arial"/>
          <w:i/>
          <w:spacing w:val="8"/>
          <w:sz w:val="20"/>
        </w:rPr>
        <w:t> </w:t>
      </w:r>
      <w:r>
        <w:rPr>
          <w:rFonts w:ascii="Arial" w:hAnsi="Arial"/>
          <w:i/>
          <w:sz w:val="20"/>
        </w:rPr>
        <w:t>BC</w:t>
      </w:r>
      <w:r>
        <w:rPr>
          <w:rFonts w:ascii="Arial" w:hAnsi="Arial"/>
          <w:i/>
          <w:spacing w:val="8"/>
          <w:sz w:val="20"/>
        </w:rPr>
        <w:t> </w:t>
      </w:r>
      <w:r>
        <w:rPr>
          <w:rFonts w:ascii="Arial" w:hAnsi="Arial"/>
          <w:i/>
          <w:sz w:val="20"/>
        </w:rPr>
        <w:t>[1986]</w:t>
      </w:r>
      <w:r>
        <w:rPr>
          <w:rFonts w:ascii="Arial" w:hAnsi="Arial"/>
          <w:i/>
          <w:spacing w:val="8"/>
          <w:sz w:val="20"/>
        </w:rPr>
        <w:t> </w:t>
      </w:r>
      <w:r>
        <w:rPr>
          <w:rFonts w:ascii="Arial" w:hAnsi="Arial"/>
          <w:i/>
          <w:sz w:val="20"/>
        </w:rPr>
        <w:t>Q.B.</w:t>
      </w:r>
      <w:r>
        <w:rPr>
          <w:rFonts w:ascii="Arial" w:hAnsi="Arial"/>
          <w:i/>
          <w:spacing w:val="8"/>
          <w:sz w:val="20"/>
        </w:rPr>
        <w:t> </w:t>
      </w:r>
      <w:r>
        <w:rPr>
          <w:rFonts w:ascii="Arial" w:hAnsi="Arial"/>
          <w:i/>
          <w:sz w:val="20"/>
        </w:rPr>
        <w:t>809</w:t>
      </w:r>
      <w:r>
        <w:rPr>
          <w:sz w:val="20"/>
        </w:rPr>
        <w:t>.</w:t>
      </w:r>
      <w:r>
        <w:rPr>
          <w:spacing w:val="8"/>
          <w:sz w:val="20"/>
        </w:rPr>
        <w:t> </w:t>
      </w:r>
      <w:r>
        <w:rPr>
          <w:sz w:val="20"/>
        </w:rPr>
        <w:t>See</w:t>
      </w:r>
      <w:r>
        <w:rPr>
          <w:spacing w:val="8"/>
          <w:sz w:val="20"/>
        </w:rPr>
        <w:t> </w:t>
      </w:r>
      <w:r>
        <w:rPr>
          <w:spacing w:val="-4"/>
          <w:sz w:val="20"/>
        </w:rPr>
        <w:t>also</w:t>
      </w:r>
    </w:p>
    <w:p>
      <w:pPr>
        <w:spacing w:line="227" w:lineRule="exact" w:before="0"/>
        <w:ind w:left="0" w:right="248" w:firstLine="0"/>
        <w:jc w:val="right"/>
        <w:rPr>
          <w:sz w:val="20"/>
        </w:rPr>
      </w:pPr>
      <w:r>
        <w:rPr>
          <w:sz w:val="20"/>
        </w:rPr>
        <w:drawing>
          <wp:anchor distT="0" distB="0" distL="0" distR="0" allowOverlap="1" layoutInCell="1" locked="0" behindDoc="0" simplePos="0" relativeHeight="15808000">
            <wp:simplePos x="0" y="0"/>
            <wp:positionH relativeFrom="page">
              <wp:posOffset>1257846</wp:posOffset>
            </wp:positionH>
            <wp:positionV relativeFrom="paragraph">
              <wp:posOffset>-116215</wp:posOffset>
            </wp:positionV>
            <wp:extent cx="107988" cy="107988"/>
            <wp:effectExtent l="0" t="0" r="0" b="0"/>
            <wp:wrapNone/>
            <wp:docPr id="325" name="Image 325"/>
            <wp:cNvGraphicFramePr>
              <a:graphicFrameLocks/>
            </wp:cNvGraphicFramePr>
            <a:graphic>
              <a:graphicData uri="http://schemas.openxmlformats.org/drawingml/2006/picture">
                <pic:pic>
                  <pic:nvPicPr>
                    <pic:cNvPr id="325" name="Image 32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McDonald v McDonald [2016] UKSC 28, [2017] A.C. 273</w:t>
      </w:r>
      <w:r>
        <w:rPr>
          <w:rFonts w:ascii="Arial" w:hAnsi="Arial"/>
          <w:i/>
          <w:spacing w:val="-1"/>
          <w:sz w:val="20"/>
        </w:rPr>
        <w:t> </w:t>
      </w:r>
      <w:r>
        <w:rPr>
          <w:sz w:val="20"/>
        </w:rPr>
        <w:t>at [61]–[70], noted below, para.1-</w:t>
      </w:r>
      <w:r>
        <w:rPr>
          <w:spacing w:val="-4"/>
          <w:sz w:val="20"/>
        </w:rPr>
        <w:t>091.</w:t>
      </w:r>
    </w:p>
    <w:p>
      <w:pPr>
        <w:spacing w:after="0" w:line="227" w:lineRule="exact"/>
        <w:jc w:val="right"/>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bookmarkStart w:name="_bookmark1150" w:id="1152"/>
      <w:bookmarkEnd w:id="1152"/>
      <w:r>
        <w:rPr/>
      </w:r>
      <w:hyperlink w:history="true" w:anchor="_bookmark1100">
        <w:r>
          <w:rPr>
            <w:color w:val="005DA1"/>
            <w:position w:val="5"/>
            <w:sz w:val="14"/>
            <w:u w:val="single" w:color="005DA1"/>
          </w:rPr>
          <w:t>609</w:t>
        </w:r>
      </w:hyperlink>
      <w:r>
        <w:rPr>
          <w:position w:val="5"/>
          <w:sz w:val="14"/>
        </w:rPr>
        <w:t>.</w:t>
      </w:r>
      <w:r>
        <w:rPr>
          <w:spacing w:val="80"/>
          <w:position w:val="5"/>
          <w:sz w:val="14"/>
        </w:rPr>
        <w:t>  </w:t>
      </w:r>
      <w:r>
        <w:rPr>
          <w:rFonts w:ascii="Arial"/>
          <w:i/>
          <w:sz w:val="20"/>
        </w:rPr>
        <w:t>Austin Hall Building Ltd v Buckland Securities Ltd [2001] B.L.R. 272 </w:t>
      </w:r>
      <w:r>
        <w:rPr>
          <w:sz w:val="20"/>
        </w:rPr>
        <w:t>at [18]. No determination was made under s.4 of the Act as no notice had been given to the Crown pursuant to s.5 of the Human Rights Act 1998.</w:t>
      </w:r>
    </w:p>
    <w:p>
      <w:pPr>
        <w:pStyle w:val="BodyText"/>
        <w:spacing w:before="5"/>
      </w:pPr>
    </w:p>
    <w:p>
      <w:pPr>
        <w:tabs>
          <w:tab w:pos="705" w:val="left" w:leader="none"/>
        </w:tabs>
        <w:spacing w:before="0"/>
        <w:ind w:left="165" w:right="0" w:firstLine="0"/>
        <w:jc w:val="left"/>
        <w:rPr>
          <w:sz w:val="20"/>
        </w:rPr>
      </w:pPr>
      <w:bookmarkStart w:name="_bookmark1151" w:id="1153"/>
      <w:bookmarkEnd w:id="1153"/>
      <w:r>
        <w:rPr/>
      </w:r>
      <w:hyperlink w:history="true" w:anchor="_bookmark1101">
        <w:r>
          <w:rPr>
            <w:color w:val="005DA1"/>
            <w:spacing w:val="-4"/>
            <w:position w:val="5"/>
            <w:sz w:val="14"/>
            <w:u w:val="single" w:color="005DA1"/>
          </w:rPr>
          <w:t>610</w:t>
        </w:r>
      </w:hyperlink>
      <w:r>
        <w:rPr>
          <w:spacing w:val="-4"/>
          <w:position w:val="5"/>
          <w:sz w:val="14"/>
        </w:rPr>
        <w:t>.</w:t>
      </w:r>
      <w:r>
        <w:rPr>
          <w:position w:val="5"/>
          <w:sz w:val="14"/>
        </w:rPr>
        <w:tab/>
      </w:r>
      <w:r>
        <w:rPr>
          <w:rFonts w:ascii="Arial"/>
          <w:i/>
          <w:sz w:val="20"/>
        </w:rPr>
        <w:t>[2004] UKHL 30, [2004] 2 A.C. </w:t>
      </w:r>
      <w:r>
        <w:rPr>
          <w:rFonts w:ascii="Arial"/>
          <w:i/>
          <w:spacing w:val="-4"/>
          <w:sz w:val="20"/>
        </w:rPr>
        <w:t>557</w:t>
      </w:r>
      <w:r>
        <w:rPr>
          <w:spacing w:val="-4"/>
          <w:sz w:val="20"/>
        </w:rPr>
        <w:t>.</w:t>
      </w:r>
    </w:p>
    <w:p>
      <w:pPr>
        <w:pStyle w:val="BodyText"/>
        <w:spacing w:before="5"/>
      </w:pPr>
    </w:p>
    <w:p>
      <w:pPr>
        <w:pStyle w:val="BodyText"/>
        <w:tabs>
          <w:tab w:pos="705" w:val="left" w:leader="none"/>
        </w:tabs>
        <w:ind w:left="165"/>
      </w:pPr>
      <w:bookmarkStart w:name="_bookmark1152" w:id="1154"/>
      <w:bookmarkEnd w:id="1154"/>
      <w:r>
        <w:rPr/>
      </w:r>
      <w:hyperlink w:history="true" w:anchor="_bookmark1102">
        <w:r>
          <w:rPr>
            <w:color w:val="005DA1"/>
            <w:spacing w:val="-4"/>
            <w:position w:val="5"/>
            <w:sz w:val="14"/>
            <w:u w:val="single" w:color="005DA1"/>
          </w:rPr>
          <w:t>611</w:t>
        </w:r>
      </w:hyperlink>
      <w:r>
        <w:rPr>
          <w:spacing w:val="-4"/>
          <w:position w:val="5"/>
          <w:sz w:val="14"/>
        </w:rPr>
        <w:t>.</w:t>
      </w:r>
      <w:r>
        <w:rPr>
          <w:position w:val="5"/>
          <w:sz w:val="14"/>
        </w:rPr>
        <w:tab/>
      </w:r>
      <w:r>
        <w:rPr/>
        <w:t>Rent Act 1977 Sch.I paras 2 and 3 (as </w:t>
      </w:r>
      <w:r>
        <w:rPr>
          <w:spacing w:val="-2"/>
        </w:rPr>
        <w:t>amended).</w:t>
      </w:r>
    </w:p>
    <w:p>
      <w:pPr>
        <w:pStyle w:val="BodyText"/>
        <w:spacing w:before="5"/>
      </w:pPr>
    </w:p>
    <w:p>
      <w:pPr>
        <w:pStyle w:val="BodyText"/>
        <w:tabs>
          <w:tab w:pos="705" w:val="left" w:leader="none"/>
        </w:tabs>
        <w:ind w:left="165"/>
      </w:pPr>
      <w:bookmarkStart w:name="_bookmark1153" w:id="1155"/>
      <w:bookmarkEnd w:id="1155"/>
      <w:r>
        <w:rPr/>
      </w:r>
      <w:hyperlink w:history="true" w:anchor="_bookmark1103">
        <w:r>
          <w:rPr>
            <w:color w:val="005DA1"/>
            <w:spacing w:val="-4"/>
            <w:position w:val="5"/>
            <w:sz w:val="14"/>
            <w:u w:val="single" w:color="005DA1"/>
          </w:rPr>
          <w:t>612</w:t>
        </w:r>
      </w:hyperlink>
      <w:r>
        <w:rPr>
          <w:spacing w:val="-4"/>
          <w:position w:val="5"/>
          <w:sz w:val="14"/>
        </w:rPr>
        <w:t>.</w:t>
      </w:r>
      <w:r>
        <w:rPr>
          <w:position w:val="5"/>
          <w:sz w:val="14"/>
        </w:rPr>
        <w:tab/>
      </w:r>
      <w:r>
        <w:rPr/>
        <w:t>European Convention on Human Rights arts 8 and </w:t>
      </w:r>
      <w:r>
        <w:rPr>
          <w:spacing w:val="-5"/>
        </w:rPr>
        <w:t>14.</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4. - The Human Rights Act 1998 and </w:t>
      </w:r>
      <w:r>
        <w:rPr>
          <w:rFonts w:ascii="Arial"/>
          <w:b/>
          <w:spacing w:val="-2"/>
          <w:sz w:val="24"/>
        </w:rPr>
        <w:t>Contracts</w:t>
      </w:r>
    </w:p>
    <w:p>
      <w:pPr>
        <w:spacing w:before="194"/>
        <w:ind w:left="1951" w:right="0" w:firstLine="0"/>
        <w:jc w:val="left"/>
        <w:rPr>
          <w:rFonts w:ascii="Arial"/>
          <w:b/>
          <w:sz w:val="24"/>
        </w:rPr>
      </w:pPr>
      <w:r>
        <w:rPr>
          <w:rFonts w:ascii="Arial"/>
          <w:b/>
          <w:sz w:val="24"/>
        </w:rPr>
        <w:t>(b) - Contracts made on or after October 2, </w:t>
      </w:r>
      <w:r>
        <w:rPr>
          <w:rFonts w:ascii="Arial"/>
          <w:b/>
          <w:spacing w:val="-4"/>
          <w:sz w:val="24"/>
        </w:rPr>
        <w:t>2000</w:t>
      </w:r>
    </w:p>
    <w:p>
      <w:pPr>
        <w:pStyle w:val="ListParagraph"/>
        <w:numPr>
          <w:ilvl w:val="0"/>
          <w:numId w:val="8"/>
        </w:numPr>
        <w:tabs>
          <w:tab w:pos="2517" w:val="left" w:leader="none"/>
        </w:tabs>
        <w:spacing w:line="240" w:lineRule="auto" w:before="194" w:after="0"/>
        <w:ind w:left="2517" w:right="0" w:hanging="359"/>
        <w:jc w:val="left"/>
        <w:rPr>
          <w:b/>
          <w:sz w:val="24"/>
        </w:rPr>
      </w:pPr>
      <w:r>
        <w:rPr>
          <w:b/>
          <w:sz w:val="24"/>
        </w:rPr>
        <w:t>- Contracts made by “Public </w:t>
      </w:r>
      <w:r>
        <w:rPr>
          <w:b/>
          <w:spacing w:val="-2"/>
          <w:sz w:val="24"/>
        </w:rPr>
        <w:t>Authorities”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hAnsi="Arial"/>
          <w:b/>
          <w:sz w:val="18"/>
        </w:rPr>
      </w:pPr>
      <w:r>
        <w:rPr>
          <w:rFonts w:ascii="Arial" w:hAnsi="Arial"/>
          <w:b/>
          <w:sz w:val="18"/>
        </w:rPr>
        <w:t>“Public authorities” within the meaning of s.6 of the 1998 </w:t>
      </w:r>
      <w:r>
        <w:rPr>
          <w:rFonts w:ascii="Arial" w:hAnsi="Arial"/>
          <w:b/>
          <w:spacing w:val="-5"/>
          <w:sz w:val="18"/>
        </w:rPr>
        <w:t>Act</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073</w:t>
      </w:r>
    </w:p>
    <w:p>
      <w:pPr>
        <w:pStyle w:val="BodyText"/>
        <w:spacing w:line="235" w:lineRule="auto" w:before="202"/>
        <w:ind w:left="164" w:right="167"/>
        <w:jc w:val="both"/>
      </w:pPr>
      <w:bookmarkStart w:name="_bookmark1154" w:id="1156"/>
      <w:bookmarkEnd w:id="1156"/>
      <w:r>
        <w:rPr/>
      </w:r>
      <w:r>
        <w:rPr/>
        <w:t>An</w:t>
      </w:r>
      <w:r>
        <w:rPr>
          <w:spacing w:val="-3"/>
        </w:rPr>
        <w:t> </w:t>
      </w:r>
      <w:r>
        <w:rPr/>
        <w:t>important</w:t>
      </w:r>
      <w:r>
        <w:rPr>
          <w:spacing w:val="-3"/>
        </w:rPr>
        <w:t> </w:t>
      </w:r>
      <w:r>
        <w:rPr/>
        <w:t>preliminary</w:t>
      </w:r>
      <w:r>
        <w:rPr>
          <w:spacing w:val="-3"/>
        </w:rPr>
        <w:t> </w:t>
      </w:r>
      <w:r>
        <w:rPr/>
        <w:t>question</w:t>
      </w:r>
      <w:r>
        <w:rPr>
          <w:spacing w:val="-3"/>
        </w:rPr>
        <w:t> </w:t>
      </w:r>
      <w:r>
        <w:rPr/>
        <w:t>is</w:t>
      </w:r>
      <w:r>
        <w:rPr>
          <w:spacing w:val="-3"/>
        </w:rPr>
        <w:t> </w:t>
      </w:r>
      <w:r>
        <w:rPr/>
        <w:t>whether,</w:t>
      </w:r>
      <w:r>
        <w:rPr>
          <w:spacing w:val="-3"/>
        </w:rPr>
        <w:t> </w:t>
      </w:r>
      <w:r>
        <w:rPr/>
        <w:t>when</w:t>
      </w:r>
      <w:r>
        <w:rPr>
          <w:spacing w:val="-3"/>
        </w:rPr>
        <w:t> </w:t>
      </w:r>
      <w:r>
        <w:rPr/>
        <w:t>or</w:t>
      </w:r>
      <w:r>
        <w:rPr>
          <w:spacing w:val="-3"/>
        </w:rPr>
        <w:t> </w:t>
      </w:r>
      <w:r>
        <w:rPr/>
        <w:t>to</w:t>
      </w:r>
      <w:r>
        <w:rPr>
          <w:spacing w:val="-3"/>
        </w:rPr>
        <w:t> </w:t>
      </w:r>
      <w:r>
        <w:rPr/>
        <w:t>what</w:t>
      </w:r>
      <w:r>
        <w:rPr>
          <w:spacing w:val="-3"/>
        </w:rPr>
        <w:t> </w:t>
      </w:r>
      <w:r>
        <w:rPr/>
        <w:t>extent</w:t>
      </w:r>
      <w:r>
        <w:rPr>
          <w:spacing w:val="-3"/>
        </w:rPr>
        <w:t> </w:t>
      </w:r>
      <w:r>
        <w:rPr/>
        <w:t>contracts</w:t>
      </w:r>
      <w:r>
        <w:rPr>
          <w:spacing w:val="-3"/>
        </w:rPr>
        <w:t> </w:t>
      </w:r>
      <w:r>
        <w:rPr/>
        <w:t>made</w:t>
      </w:r>
      <w:r>
        <w:rPr>
          <w:spacing w:val="-3"/>
        </w:rPr>
        <w:t> </w:t>
      </w:r>
      <w:r>
        <w:rPr/>
        <w:t>(or</w:t>
      </w:r>
      <w:r>
        <w:rPr>
          <w:spacing w:val="-3"/>
        </w:rPr>
        <w:t> </w:t>
      </w:r>
      <w:r>
        <w:rPr/>
        <w:t>not</w:t>
      </w:r>
      <w:r>
        <w:rPr>
          <w:spacing w:val="-3"/>
        </w:rPr>
        <w:t> </w:t>
      </w:r>
      <w:r>
        <w:rPr/>
        <w:t>made)</w:t>
      </w:r>
      <w:r>
        <w:rPr>
          <w:spacing w:val="-4"/>
        </w:rPr>
        <w:t> </w:t>
      </w:r>
      <w:r>
        <w:rPr>
          <w:color w:val="005DA1"/>
          <w:u w:val="single" w:color="005DA1"/>
          <w:vertAlign w:val="superscript"/>
        </w:rPr>
        <w:t>613</w:t>
      </w:r>
      <w:r>
        <w:rPr>
          <w:color w:val="005DA1"/>
          <w:vertAlign w:val="baseline"/>
        </w:rPr>
        <w:t> </w:t>
      </w:r>
      <w:r>
        <w:rPr>
          <w:vertAlign w:val="baseline"/>
        </w:rPr>
        <w:t>by public authorities or by other persons attract the application of s.6 of the 1998 Act. According </w:t>
      </w:r>
      <w:r>
        <w:rPr>
          <w:vertAlign w:val="baseline"/>
        </w:rPr>
        <w:t>to s.6(1) “[i]t is unlawful for a public authority to act in a way which is incompatible with a Convention right”.</w:t>
      </w:r>
      <w:r>
        <w:rPr>
          <w:spacing w:val="7"/>
          <w:vertAlign w:val="baseline"/>
        </w:rPr>
        <w:t> </w:t>
      </w:r>
      <w:r>
        <w:rPr>
          <w:vertAlign w:val="baseline"/>
        </w:rPr>
        <w:t>Section</w:t>
      </w:r>
      <w:r>
        <w:rPr>
          <w:spacing w:val="7"/>
          <w:vertAlign w:val="baseline"/>
        </w:rPr>
        <w:t> </w:t>
      </w:r>
      <w:r>
        <w:rPr>
          <w:vertAlign w:val="baseline"/>
        </w:rPr>
        <w:t>6(3)</w:t>
      </w:r>
      <w:r>
        <w:rPr>
          <w:spacing w:val="7"/>
          <w:vertAlign w:val="baseline"/>
        </w:rPr>
        <w:t> </w:t>
      </w:r>
      <w:r>
        <w:rPr>
          <w:vertAlign w:val="baseline"/>
        </w:rPr>
        <w:t>provides</w:t>
      </w:r>
      <w:r>
        <w:rPr>
          <w:spacing w:val="7"/>
          <w:vertAlign w:val="baseline"/>
        </w:rPr>
        <w:t> </w:t>
      </w:r>
      <w:r>
        <w:rPr>
          <w:vertAlign w:val="baseline"/>
        </w:rPr>
        <w:t>for</w:t>
      </w:r>
      <w:r>
        <w:rPr>
          <w:spacing w:val="7"/>
          <w:vertAlign w:val="baseline"/>
        </w:rPr>
        <w:t> </w:t>
      </w:r>
      <w:r>
        <w:rPr>
          <w:vertAlign w:val="baseline"/>
        </w:rPr>
        <w:t>this</w:t>
      </w:r>
      <w:r>
        <w:rPr>
          <w:spacing w:val="7"/>
          <w:vertAlign w:val="baseline"/>
        </w:rPr>
        <w:t> </w:t>
      </w:r>
      <w:r>
        <w:rPr>
          <w:vertAlign w:val="baseline"/>
        </w:rPr>
        <w:t>purpose</w:t>
      </w:r>
      <w:r>
        <w:rPr>
          <w:spacing w:val="7"/>
          <w:vertAlign w:val="baseline"/>
        </w:rPr>
        <w:t> </w:t>
      </w:r>
      <w:r>
        <w:rPr>
          <w:vertAlign w:val="baseline"/>
        </w:rPr>
        <w:t>that</w:t>
      </w:r>
      <w:r>
        <w:rPr>
          <w:spacing w:val="7"/>
          <w:vertAlign w:val="baseline"/>
        </w:rPr>
        <w:t> </w:t>
      </w:r>
      <w:r>
        <w:rPr>
          <w:vertAlign w:val="baseline"/>
        </w:rPr>
        <w:t>“public</w:t>
      </w:r>
      <w:r>
        <w:rPr>
          <w:spacing w:val="7"/>
          <w:vertAlign w:val="baseline"/>
        </w:rPr>
        <w:t> </w:t>
      </w:r>
      <w:r>
        <w:rPr>
          <w:vertAlign w:val="baseline"/>
        </w:rPr>
        <w:t>authority</w:t>
      </w:r>
      <w:r>
        <w:rPr>
          <w:spacing w:val="7"/>
          <w:vertAlign w:val="baseline"/>
        </w:rPr>
        <w:t> </w:t>
      </w:r>
      <w:r>
        <w:rPr>
          <w:vertAlign w:val="baseline"/>
        </w:rPr>
        <w:t>includes</w:t>
      </w:r>
      <w:r>
        <w:rPr>
          <w:spacing w:val="7"/>
          <w:vertAlign w:val="baseline"/>
        </w:rPr>
        <w:t> </w:t>
      </w:r>
      <w:r>
        <w:rPr>
          <w:vertAlign w:val="baseline"/>
        </w:rPr>
        <w:t>(a)</w:t>
      </w:r>
      <w:r>
        <w:rPr>
          <w:spacing w:val="7"/>
          <w:vertAlign w:val="baseline"/>
        </w:rPr>
        <w:t> </w:t>
      </w:r>
      <w:r>
        <w:rPr>
          <w:vertAlign w:val="baseline"/>
        </w:rPr>
        <w:t>a</w:t>
      </w:r>
      <w:r>
        <w:rPr>
          <w:spacing w:val="7"/>
          <w:vertAlign w:val="baseline"/>
        </w:rPr>
        <w:t> </w:t>
      </w:r>
      <w:r>
        <w:rPr>
          <w:vertAlign w:val="baseline"/>
        </w:rPr>
        <w:t>court</w:t>
      </w:r>
      <w:r>
        <w:rPr>
          <w:spacing w:val="7"/>
          <w:vertAlign w:val="baseline"/>
        </w:rPr>
        <w:t> </w:t>
      </w:r>
      <w:r>
        <w:rPr>
          <w:vertAlign w:val="baseline"/>
        </w:rPr>
        <w:t>or</w:t>
      </w:r>
      <w:r>
        <w:rPr>
          <w:spacing w:val="7"/>
          <w:vertAlign w:val="baseline"/>
        </w:rPr>
        <w:t> </w:t>
      </w:r>
      <w:r>
        <w:rPr>
          <w:vertAlign w:val="baseline"/>
        </w:rPr>
        <w:t>tribunal,</w:t>
      </w:r>
      <w:r>
        <w:rPr>
          <w:spacing w:val="7"/>
          <w:vertAlign w:val="baseline"/>
        </w:rPr>
        <w:t> </w:t>
      </w:r>
      <w:r>
        <w:rPr>
          <w:spacing w:val="-5"/>
          <w:vertAlign w:val="baseline"/>
        </w:rPr>
        <w:t>and</w:t>
      </w:r>
    </w:p>
    <w:p>
      <w:pPr>
        <w:pStyle w:val="BodyText"/>
        <w:spacing w:line="225" w:lineRule="exact"/>
        <w:ind w:left="164"/>
        <w:jc w:val="both"/>
      </w:pPr>
      <w:r>
        <w:rPr/>
        <w:t>(b) any person certain of whose functions are functions of a public nature”; s.6(5) then explains </w:t>
      </w:r>
      <w:r>
        <w:rPr>
          <w:spacing w:val="-2"/>
        </w:rPr>
        <w:t>that:</w:t>
      </w:r>
    </w:p>
    <w:p>
      <w:pPr>
        <w:pStyle w:val="BodyText"/>
      </w:pPr>
    </w:p>
    <w:p>
      <w:pPr>
        <w:pStyle w:val="BodyText"/>
        <w:spacing w:before="126"/>
      </w:pPr>
    </w:p>
    <w:p>
      <w:pPr>
        <w:pStyle w:val="BodyText"/>
        <w:spacing w:line="235" w:lineRule="auto"/>
        <w:ind w:left="1244"/>
      </w:pPr>
      <w:r>
        <w:rPr/>
        <w:t>“In</w:t>
      </w:r>
      <w:r>
        <w:rPr>
          <w:spacing w:val="40"/>
        </w:rPr>
        <w:t> </w:t>
      </w:r>
      <w:r>
        <w:rPr/>
        <w:t>relation</w:t>
      </w:r>
      <w:r>
        <w:rPr>
          <w:spacing w:val="40"/>
        </w:rPr>
        <w:t> </w:t>
      </w:r>
      <w:r>
        <w:rPr/>
        <w:t>to</w:t>
      </w:r>
      <w:r>
        <w:rPr>
          <w:spacing w:val="40"/>
        </w:rPr>
        <w:t> </w:t>
      </w:r>
      <w:r>
        <w:rPr/>
        <w:t>a</w:t>
      </w:r>
      <w:r>
        <w:rPr>
          <w:spacing w:val="40"/>
        </w:rPr>
        <w:t> </w:t>
      </w:r>
      <w:r>
        <w:rPr/>
        <w:t>particular</w:t>
      </w:r>
      <w:r>
        <w:rPr>
          <w:spacing w:val="40"/>
        </w:rPr>
        <w:t> </w:t>
      </w:r>
      <w:r>
        <w:rPr/>
        <w:t>act,</w:t>
      </w:r>
      <w:r>
        <w:rPr>
          <w:spacing w:val="40"/>
        </w:rPr>
        <w:t> </w:t>
      </w:r>
      <w:r>
        <w:rPr/>
        <w:t>a</w:t>
      </w:r>
      <w:r>
        <w:rPr>
          <w:spacing w:val="40"/>
        </w:rPr>
        <w:t> </w:t>
      </w:r>
      <w:r>
        <w:rPr/>
        <w:t>person</w:t>
      </w:r>
      <w:r>
        <w:rPr>
          <w:spacing w:val="40"/>
        </w:rPr>
        <w:t> </w:t>
      </w:r>
      <w:r>
        <w:rPr/>
        <w:t>is</w:t>
      </w:r>
      <w:r>
        <w:rPr>
          <w:spacing w:val="40"/>
        </w:rPr>
        <w:t> </w:t>
      </w:r>
      <w:r>
        <w:rPr/>
        <w:t>not</w:t>
      </w:r>
      <w:r>
        <w:rPr>
          <w:spacing w:val="40"/>
        </w:rPr>
        <w:t> </w:t>
      </w:r>
      <w:r>
        <w:rPr/>
        <w:t>a</w:t>
      </w:r>
      <w:r>
        <w:rPr>
          <w:spacing w:val="40"/>
        </w:rPr>
        <w:t> </w:t>
      </w:r>
      <w:r>
        <w:rPr/>
        <w:t>public</w:t>
      </w:r>
      <w:r>
        <w:rPr>
          <w:spacing w:val="40"/>
        </w:rPr>
        <w:t> </w:t>
      </w:r>
      <w:r>
        <w:rPr/>
        <w:t>authority</w:t>
      </w:r>
      <w:r>
        <w:rPr>
          <w:spacing w:val="40"/>
        </w:rPr>
        <w:t> </w:t>
      </w:r>
      <w:r>
        <w:rPr/>
        <w:t>by</w:t>
      </w:r>
      <w:r>
        <w:rPr>
          <w:spacing w:val="40"/>
        </w:rPr>
        <w:t> </w:t>
      </w:r>
      <w:r>
        <w:rPr/>
        <w:t>virtue</w:t>
      </w:r>
      <w:r>
        <w:rPr>
          <w:spacing w:val="40"/>
        </w:rPr>
        <w:t> </w:t>
      </w:r>
      <w:r>
        <w:rPr/>
        <w:t>only</w:t>
      </w:r>
      <w:r>
        <w:rPr>
          <w:spacing w:val="40"/>
        </w:rPr>
        <w:t> </w:t>
      </w:r>
      <w:r>
        <w:rPr/>
        <w:t>of</w:t>
      </w:r>
      <w:r>
        <w:rPr>
          <w:spacing w:val="80"/>
          <w:w w:val="150"/>
        </w:rPr>
        <w:t> </w:t>
      </w:r>
      <w:r>
        <w:rPr/>
        <w:t>subsection 3(b) if the nature of the act is private.”</w:t>
      </w:r>
    </w:p>
    <w:p>
      <w:pPr>
        <w:pStyle w:val="BodyText"/>
        <w:spacing w:before="116"/>
      </w:pPr>
    </w:p>
    <w:p>
      <w:pPr>
        <w:pStyle w:val="BodyText"/>
        <w:spacing w:line="235" w:lineRule="auto"/>
        <w:ind w:left="164" w:right="167"/>
        <w:jc w:val="both"/>
      </w:pPr>
      <w:r>
        <w:rPr/>
        <w:t>This provision therefore recognises two categories of person: “core public authorities” (sometimes </w:t>
      </w:r>
      <w:bookmarkStart w:name="_bookmark1155" w:id="1157"/>
      <w:bookmarkEnd w:id="1157"/>
      <w:r>
        <w:rPr/>
        <w:t>termed</w:t>
      </w:r>
      <w:r>
        <w:rPr/>
        <w:t> “pure public authorities”), that is, those persons or bodies which are public authorities for all </w:t>
      </w:r>
      <w:bookmarkStart w:name="_bookmark1156" w:id="1158"/>
      <w:bookmarkEnd w:id="1158"/>
      <w:r>
        <w:rPr/>
        <w:t>purposes,</w:t>
      </w:r>
      <w:r>
        <w:rPr/>
        <w:t> such as government ministers, local authorities, and the police </w:t>
      </w:r>
      <w:r>
        <w:rPr>
          <w:color w:val="005DA1"/>
          <w:u w:val="single" w:color="005DA1"/>
          <w:vertAlign w:val="superscript"/>
        </w:rPr>
        <w:t>614</w:t>
      </w:r>
      <w:r>
        <w:rPr>
          <w:vertAlign w:val="baseline"/>
        </w:rPr>
        <w:t>; and “hybrid” </w:t>
      </w:r>
      <w:r>
        <w:rPr>
          <w:vertAlign w:val="baseline"/>
        </w:rPr>
        <w:t>bodies which may act either publicly or privately depending on the nature of the act or omission. </w:t>
      </w:r>
      <w:r>
        <w:rPr>
          <w:color w:val="005DA1"/>
          <w:u w:val="single" w:color="005DA1"/>
          <w:vertAlign w:val="superscript"/>
        </w:rPr>
        <w:t>615</w:t>
      </w:r>
      <w:r>
        <w:rPr>
          <w:color w:val="005DA1"/>
          <w:vertAlign w:val="baseline"/>
        </w:rPr>
        <w:t> </w:t>
      </w:r>
      <w:r>
        <w:rPr>
          <w:vertAlign w:val="baseline"/>
        </w:rPr>
        <w:t>As regards “core public authorities”, </w:t>
      </w:r>
      <w:r>
        <w:rPr>
          <w:rFonts w:ascii="Arial" w:hAnsi="Arial"/>
          <w:i/>
          <w:vertAlign w:val="baseline"/>
        </w:rPr>
        <w:t>all </w:t>
      </w:r>
      <w:r>
        <w:rPr>
          <w:vertAlign w:val="baseline"/>
        </w:rPr>
        <w:t>their “acts” (including apparently their acts in making, performing </w:t>
      </w:r>
      <w:bookmarkStart w:name="_bookmark1157" w:id="1159"/>
      <w:bookmarkEnd w:id="1159"/>
      <w:r>
        <w:rPr>
          <w:vertAlign w:val="baseline"/>
        </w:rPr>
        <w:t>or</w:t>
      </w:r>
      <w:r>
        <w:rPr>
          <w:vertAlign w:val="baseline"/>
        </w:rPr>
        <w:t> breaking their contracts) are subject to the test of illegality found in s.6, however “private” they may appear. </w:t>
      </w:r>
      <w:r>
        <w:rPr>
          <w:color w:val="005DA1"/>
          <w:u w:val="single" w:color="005DA1"/>
          <w:vertAlign w:val="superscript"/>
        </w:rPr>
        <w:t>616</w:t>
      </w:r>
      <w:r>
        <w:rPr>
          <w:color w:val="005DA1"/>
          <w:vertAlign w:val="baseline"/>
        </w:rPr>
        <w:t> </w:t>
      </w:r>
      <w:r>
        <w:rPr>
          <w:vertAlign w:val="baseline"/>
        </w:rPr>
        <w:t>As regards “hybrid” bodies, it is a much more difficult question whether their conclusion of a contract constitutes an act “the nature of [which] is private”, rather than public.</w:t>
      </w:r>
    </w:p>
    <w:p>
      <w:pPr>
        <w:pStyle w:val="BodyText"/>
      </w:pPr>
    </w:p>
    <w:p>
      <w:pPr>
        <w:pStyle w:val="BodyText"/>
        <w:spacing w:before="35"/>
      </w:pPr>
    </w:p>
    <w:p>
      <w:pPr>
        <w:spacing w:before="1"/>
        <w:ind w:left="165" w:right="0" w:firstLine="0"/>
        <w:jc w:val="both"/>
        <w:rPr>
          <w:rFonts w:ascii="Arial" w:hAnsi="Arial"/>
          <w:b/>
          <w:sz w:val="18"/>
        </w:rPr>
      </w:pPr>
      <w:r>
        <w:rPr>
          <w:rFonts w:ascii="Arial" w:hAnsi="Arial"/>
          <w:b/>
          <w:sz w:val="18"/>
        </w:rPr>
        <w:t>“Hybrid bodies” and “functions of a public </w:t>
      </w:r>
      <w:r>
        <w:rPr>
          <w:rFonts w:ascii="Arial" w:hAnsi="Arial"/>
          <w:b/>
          <w:spacing w:val="-2"/>
          <w:sz w:val="18"/>
        </w:rPr>
        <w:t>nature”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074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158" w:id="1160"/>
      <w:bookmarkEnd w:id="1160"/>
      <w:r>
        <w:rPr>
          <w:rFonts w:ascii="Times New Roman" w:hAnsi="Times New Roman"/>
          <w:spacing w:val="9"/>
        </w:rPr>
      </w:r>
      <w:bookmarkStart w:name="_bookmark1159" w:id="1161"/>
      <w:bookmarkEnd w:id="1161"/>
      <w:r>
        <w:rPr>
          <w:rFonts w:ascii="Times New Roman" w:hAnsi="Times New Roman"/>
          <w:spacing w:val="9"/>
        </w:rPr>
      </w:r>
      <w:r>
        <w:rPr/>
        <w:t>The way in which s.6 applies to “hybrid bodies” has arisen in three important decisions.</w:t>
      </w:r>
      <w:r>
        <w:rPr>
          <w:spacing w:val="-1"/>
        </w:rPr>
        <w:t> </w:t>
      </w:r>
      <w:r>
        <w:rPr>
          <w:color w:val="005DA1"/>
          <w:u w:val="single" w:color="005DA1"/>
          <w:vertAlign w:val="superscript"/>
        </w:rPr>
        <w:t>617</w:t>
      </w:r>
      <w:r>
        <w:rPr>
          <w:color w:val="005DA1"/>
          <w:vertAlign w:val="baseline"/>
        </w:rPr>
        <w:t> </w:t>
      </w:r>
      <w:r>
        <w:rPr>
          <w:vertAlign w:val="baseline"/>
        </w:rPr>
        <w:t>In </w:t>
      </w:r>
      <w:r>
        <w:rPr>
          <w:rFonts w:ascii="Arial" w:hAnsi="Arial"/>
          <w:i/>
          <w:vertAlign w:val="baseline"/>
        </w:rPr>
        <w:t>Aston Cantlow and Wilmcote with Billesley Parochial Church Council v Wallbank </w:t>
      </w:r>
      <w:r>
        <w:rPr>
          <w:color w:val="005DA1"/>
          <w:u w:val="single" w:color="005DA1"/>
          <w:vertAlign w:val="superscript"/>
        </w:rPr>
        <w:t>618</w:t>
      </w:r>
      <w:r>
        <w:rPr>
          <w:color w:val="005DA1"/>
          <w:vertAlign w:val="baseline"/>
        </w:rPr>
        <w:t> </w:t>
      </w:r>
      <w:r>
        <w:rPr>
          <w:vertAlign w:val="baseline"/>
        </w:rPr>
        <w:t>the House of Lords considered that there is no single test to determine whether or not a particular function exercised by </w:t>
      </w:r>
      <w:r>
        <w:rPr>
          <w:vertAlign w:val="baseline"/>
        </w:rPr>
        <w:t>a “hybrid body” is “public” within the meaning of s.6(3)(b), though factors to be taken into account </w:t>
      </w:r>
      <w:r>
        <w:rPr>
          <w:spacing w:val="-2"/>
          <w:vertAlign w:val="baseline"/>
        </w:rPr>
        <w:t>include:</w:t>
      </w:r>
    </w:p>
    <w:p>
      <w:pPr>
        <w:pStyle w:val="BodyText"/>
      </w:pPr>
    </w:p>
    <w:p>
      <w:pPr>
        <w:pStyle w:val="BodyText"/>
        <w:spacing w:before="125"/>
      </w:pPr>
    </w:p>
    <w:p>
      <w:pPr>
        <w:pStyle w:val="BodyText"/>
        <w:spacing w:line="235" w:lineRule="auto"/>
        <w:ind w:left="1245" w:right="167"/>
      </w:pPr>
      <w:r>
        <w:rPr/>
        <w:t>“… the extent to which in carrying out the relevant function the body is publicly funded, or </w:t>
      </w:r>
      <w:bookmarkStart w:name="_bookmark1160" w:id="1162"/>
      <w:bookmarkEnd w:id="1162"/>
      <w:r>
        <w:rPr/>
        <w:t>is</w:t>
      </w:r>
      <w:r>
        <w:rPr>
          <w:spacing w:val="51"/>
        </w:rPr>
        <w:t> </w:t>
      </w:r>
      <w:r>
        <w:rPr/>
        <w:t>exercising</w:t>
      </w:r>
      <w:r>
        <w:rPr>
          <w:spacing w:val="51"/>
        </w:rPr>
        <w:t> </w:t>
      </w:r>
      <w:r>
        <w:rPr/>
        <w:t>statutory</w:t>
      </w:r>
      <w:r>
        <w:rPr>
          <w:spacing w:val="51"/>
        </w:rPr>
        <w:t> </w:t>
      </w:r>
      <w:r>
        <w:rPr/>
        <w:t>powers,</w:t>
      </w:r>
      <w:r>
        <w:rPr>
          <w:spacing w:val="51"/>
        </w:rPr>
        <w:t> </w:t>
      </w:r>
      <w:r>
        <w:rPr/>
        <w:t>or</w:t>
      </w:r>
      <w:r>
        <w:rPr>
          <w:spacing w:val="51"/>
        </w:rPr>
        <w:t> </w:t>
      </w:r>
      <w:r>
        <w:rPr/>
        <w:t>is</w:t>
      </w:r>
      <w:r>
        <w:rPr>
          <w:spacing w:val="51"/>
        </w:rPr>
        <w:t> </w:t>
      </w:r>
      <w:r>
        <w:rPr/>
        <w:t>taking</w:t>
      </w:r>
      <w:r>
        <w:rPr>
          <w:spacing w:val="51"/>
        </w:rPr>
        <w:t> </w:t>
      </w:r>
      <w:r>
        <w:rPr/>
        <w:t>the</w:t>
      </w:r>
      <w:r>
        <w:rPr>
          <w:spacing w:val="51"/>
        </w:rPr>
        <w:t> </w:t>
      </w:r>
      <w:r>
        <w:rPr/>
        <w:t>place</w:t>
      </w:r>
      <w:r>
        <w:rPr>
          <w:spacing w:val="51"/>
        </w:rPr>
        <w:t> </w:t>
      </w:r>
      <w:r>
        <w:rPr/>
        <w:t>of</w:t>
      </w:r>
      <w:r>
        <w:rPr>
          <w:spacing w:val="51"/>
        </w:rPr>
        <w:t> </w:t>
      </w:r>
      <w:r>
        <w:rPr/>
        <w:t>central</w:t>
      </w:r>
      <w:r>
        <w:rPr>
          <w:spacing w:val="51"/>
        </w:rPr>
        <w:t> </w:t>
      </w:r>
      <w:r>
        <w:rPr/>
        <w:t>government</w:t>
      </w:r>
      <w:r>
        <w:rPr>
          <w:spacing w:val="51"/>
        </w:rPr>
        <w:t> </w:t>
      </w:r>
      <w:r>
        <w:rPr/>
        <w:t>or</w:t>
      </w:r>
      <w:r>
        <w:rPr>
          <w:spacing w:val="51"/>
        </w:rPr>
        <w:t> </w:t>
      </w:r>
      <w:r>
        <w:rPr>
          <w:spacing w:val="-2"/>
        </w:rPr>
        <w:t>local</w:t>
      </w:r>
    </w:p>
    <w:p>
      <w:pPr>
        <w:pStyle w:val="BodyText"/>
        <w:spacing w:before="116"/>
        <w:ind w:left="1245"/>
        <w:rPr>
          <w:position w:val="-2"/>
        </w:rPr>
      </w:pPr>
      <w:r>
        <w:rPr/>
        <w:t>authorities, or is providing a public service.” </w:t>
      </w:r>
      <w:r>
        <w:rPr>
          <w:color w:val="005DA1"/>
          <w:u w:val="single" w:color="005DA1"/>
          <w:vertAlign w:val="superscript"/>
        </w:rPr>
        <w:t>619</w:t>
      </w:r>
      <w:r>
        <w:rPr>
          <w:color w:val="005DA1"/>
          <w:spacing w:val="80"/>
          <w:w w:val="150"/>
          <w:vertAlign w:val="baseline"/>
        </w:rPr>
        <w:t> </w:t>
      </w:r>
      <w:r>
        <w:rPr>
          <w:color w:val="005DA1"/>
          <w:position w:val="-2"/>
          <w:vertAlign w:val="baseline"/>
        </w:rPr>
        <w:drawing>
          <wp:inline distT="0" distB="0" distL="0" distR="0">
            <wp:extent cx="107988" cy="107988"/>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rPr>
          <w:position w:val="-2"/>
        </w:rPr>
        <w:sectPr>
          <w:headerReference w:type="default" r:id="rId27"/>
          <w:pgSz w:w="11900" w:h="16840"/>
          <w:pgMar w:header="971" w:footer="0" w:top="1300" w:bottom="280" w:left="1275" w:right="1275"/>
          <w:pgNumType w:start="1"/>
        </w:sectPr>
      </w:pPr>
    </w:p>
    <w:p>
      <w:pPr>
        <w:pStyle w:val="BodyText"/>
        <w:spacing w:line="235" w:lineRule="auto" w:before="110"/>
        <w:ind w:left="165" w:right="167"/>
        <w:jc w:val="both"/>
      </w:pPr>
      <w:r>
        <w:rPr/>
        <w:t>In this respect, although the domestic case law on judicial review may provide some assistance as to what does and does not constitute a “function of a public nature” within the meaning of s.6(3)(b), </w:t>
      </w:r>
      <w:r>
        <w:rPr/>
        <w:t>this </w:t>
      </w:r>
      <w:bookmarkStart w:name="_bookmark1161" w:id="1163"/>
      <w:bookmarkEnd w:id="1163"/>
      <w:r>
        <w:rPr/>
        <w:t>case</w:t>
      </w:r>
      <w:r>
        <w:rPr/>
        <w:t> law must be examined in the light of the jurisprudence of the European Court of Human Rights as to those bodies which engage the responsibility of the state for the purposes of the Convention.</w:t>
      </w:r>
      <w:r>
        <w:rPr>
          <w:spacing w:val="-1"/>
        </w:rPr>
        <w:t> </w:t>
      </w:r>
      <w:r>
        <w:rPr>
          <w:color w:val="005DA1"/>
          <w:u w:val="single" w:color="005DA1"/>
          <w:vertAlign w:val="superscript"/>
        </w:rPr>
        <w:t>620</w:t>
      </w:r>
    </w:p>
    <w:p>
      <w:pPr>
        <w:pStyle w:val="BodyText"/>
        <w:spacing w:before="89"/>
      </w:pPr>
    </w:p>
    <w:p>
      <w:pPr>
        <w:pStyle w:val="BodyText"/>
        <w:spacing w:line="235" w:lineRule="auto"/>
        <w:ind w:left="164" w:right="167"/>
        <w:jc w:val="both"/>
      </w:pPr>
      <w:bookmarkStart w:name="_bookmark1162" w:id="1164"/>
      <w:bookmarkEnd w:id="1164"/>
      <w:r>
        <w:rPr/>
      </w:r>
      <w:r>
        <w:rPr/>
        <w:t>Subsequently in </w:t>
      </w:r>
      <w:r>
        <w:rPr>
          <w:rFonts w:ascii="Arial" w:hAnsi="Arial"/>
          <w:i/>
        </w:rPr>
        <w:t>R. (West) v Lloyd’s of London </w:t>
      </w:r>
      <w:r>
        <w:rPr>
          <w:color w:val="005DA1"/>
          <w:u w:val="single" w:color="005DA1"/>
          <w:vertAlign w:val="superscript"/>
        </w:rPr>
        <w:t>621</w:t>
      </w:r>
      <w:r>
        <w:rPr>
          <w:color w:val="005DA1"/>
          <w:vertAlign w:val="baseline"/>
        </w:rPr>
        <w:t> </w:t>
      </w:r>
      <w:r>
        <w:rPr>
          <w:vertAlign w:val="baseline"/>
        </w:rPr>
        <w:t>the Court of Appeal held that decisions by </w:t>
      </w:r>
      <w:r>
        <w:rPr>
          <w:vertAlign w:val="baseline"/>
        </w:rPr>
        <w:t>Lloyd’s</w:t>
      </w:r>
      <w:r>
        <w:rPr>
          <w:spacing w:val="40"/>
          <w:vertAlign w:val="baseline"/>
        </w:rPr>
        <w:t> </w:t>
      </w:r>
      <w:r>
        <w:rPr>
          <w:vertAlign w:val="baseline"/>
        </w:rPr>
        <w:t>of London under powers contained in its byelaws to approve minority buy-outs of four syndicates of which the applicant was a member (and which he complained were prejudicial to his rights of due process and of possession of this property under art.6 of the Convention and under art.1 of its First Protocol) were not subject to challenge by way of judicial review, whether by virtue of s.6 of the 1998 Act or more generally. In the view of the Court of Appeal, the relationship between Lloyd’s and its </w:t>
      </w:r>
      <w:bookmarkStart w:name="_bookmark1163" w:id="1165"/>
      <w:bookmarkEnd w:id="1165"/>
      <w:r>
        <w:rPr>
          <w:vertAlign w:val="baseline"/>
        </w:rPr>
        <w:t>members</w:t>
      </w:r>
      <w:r>
        <w:rPr>
          <w:spacing w:val="-1"/>
          <w:vertAlign w:val="baseline"/>
        </w:rPr>
        <w:t> </w:t>
      </w:r>
      <w:r>
        <w:rPr>
          <w:vertAlign w:val="baseline"/>
        </w:rPr>
        <w:t>was</w:t>
      </w:r>
      <w:r>
        <w:rPr>
          <w:spacing w:val="-1"/>
          <w:vertAlign w:val="baseline"/>
        </w:rPr>
        <w:t> </w:t>
      </w:r>
      <w:r>
        <w:rPr>
          <w:vertAlign w:val="baseline"/>
        </w:rPr>
        <w:t>entirely</w:t>
      </w:r>
      <w:r>
        <w:rPr>
          <w:spacing w:val="-1"/>
          <w:vertAlign w:val="baseline"/>
        </w:rPr>
        <w:t> </w:t>
      </w:r>
      <w:r>
        <w:rPr>
          <w:vertAlign w:val="baseline"/>
        </w:rPr>
        <w:t>voluntary</w:t>
      </w:r>
      <w:r>
        <w:rPr>
          <w:spacing w:val="-1"/>
          <w:vertAlign w:val="baseline"/>
        </w:rPr>
        <w:t> </w:t>
      </w:r>
      <w:r>
        <w:rPr>
          <w:vertAlign w:val="baseline"/>
        </w:rPr>
        <w:t>and</w:t>
      </w:r>
      <w:r>
        <w:rPr>
          <w:spacing w:val="-1"/>
          <w:vertAlign w:val="baseline"/>
        </w:rPr>
        <w:t> </w:t>
      </w:r>
      <w:r>
        <w:rPr>
          <w:vertAlign w:val="baseline"/>
        </w:rPr>
        <w:t>contractual</w:t>
      </w:r>
      <w:r>
        <w:rPr>
          <w:spacing w:val="-1"/>
          <w:vertAlign w:val="baseline"/>
        </w:rPr>
        <w:t> </w:t>
      </w:r>
      <w:r>
        <w:rPr>
          <w:vertAlign w:val="baseline"/>
        </w:rPr>
        <w:t>and</w:t>
      </w:r>
      <w:r>
        <w:rPr>
          <w:spacing w:val="-1"/>
          <w:vertAlign w:val="baseline"/>
        </w:rPr>
        <w:t> </w:t>
      </w:r>
      <w:r>
        <w:rPr>
          <w:vertAlign w:val="baseline"/>
        </w:rPr>
        <w:t>their</w:t>
      </w:r>
      <w:r>
        <w:rPr>
          <w:spacing w:val="-1"/>
          <w:vertAlign w:val="baseline"/>
        </w:rPr>
        <w:t> </w:t>
      </w:r>
      <w:r>
        <w:rPr>
          <w:vertAlign w:val="baseline"/>
        </w:rPr>
        <w:t>rights</w:t>
      </w:r>
      <w:r>
        <w:rPr>
          <w:spacing w:val="-1"/>
          <w:vertAlign w:val="baseline"/>
        </w:rPr>
        <w:t> </w:t>
      </w:r>
      <w:r>
        <w:rPr>
          <w:vertAlign w:val="baseline"/>
        </w:rPr>
        <w:t>to</w:t>
      </w:r>
      <w:r>
        <w:rPr>
          <w:spacing w:val="-1"/>
          <w:vertAlign w:val="baseline"/>
        </w:rPr>
        <w:t> </w:t>
      </w:r>
      <w:r>
        <w:rPr>
          <w:vertAlign w:val="baseline"/>
        </w:rPr>
        <w:t>participate</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syndicate</w:t>
      </w:r>
      <w:r>
        <w:rPr>
          <w:spacing w:val="-1"/>
          <w:vertAlign w:val="baseline"/>
        </w:rPr>
        <w:t> </w:t>
      </w:r>
      <w:r>
        <w:rPr>
          <w:vertAlign w:val="baseline"/>
        </w:rPr>
        <w:t>governed exclusively by the terms of their contracts with their managing agents. </w:t>
      </w:r>
      <w:r>
        <w:rPr>
          <w:color w:val="005DA1"/>
          <w:u w:val="single" w:color="005DA1"/>
          <w:vertAlign w:val="superscript"/>
        </w:rPr>
        <w:t>622</w:t>
      </w:r>
      <w:r>
        <w:rPr>
          <w:color w:val="005DA1"/>
          <w:vertAlign w:val="baseline"/>
        </w:rPr>
        <w:t> </w:t>
      </w:r>
      <w:r>
        <w:rPr>
          <w:vertAlign w:val="baseline"/>
        </w:rPr>
        <w:t>Applying the approach of</w:t>
      </w:r>
      <w:r>
        <w:rPr>
          <w:spacing w:val="40"/>
          <w:vertAlign w:val="baseline"/>
        </w:rPr>
        <w:t> </w:t>
      </w:r>
      <w:r>
        <w:rPr>
          <w:vertAlign w:val="baseline"/>
        </w:rPr>
        <w:t>the</w:t>
      </w:r>
      <w:r>
        <w:rPr>
          <w:spacing w:val="-2"/>
          <w:vertAlign w:val="baseline"/>
        </w:rPr>
        <w:t> </w:t>
      </w:r>
      <w:r>
        <w:rPr>
          <w:vertAlign w:val="baseline"/>
        </w:rPr>
        <w:t>House</w:t>
      </w:r>
      <w:r>
        <w:rPr>
          <w:spacing w:val="-2"/>
          <w:vertAlign w:val="baseline"/>
        </w:rPr>
        <w:t> </w:t>
      </w:r>
      <w:r>
        <w:rPr>
          <w:vertAlign w:val="baseline"/>
        </w:rPr>
        <w:t>of</w:t>
      </w:r>
      <w:r>
        <w:rPr>
          <w:spacing w:val="-2"/>
          <w:vertAlign w:val="baseline"/>
        </w:rPr>
        <w:t> </w:t>
      </w:r>
      <w:r>
        <w:rPr>
          <w:vertAlign w:val="baseline"/>
        </w:rPr>
        <w:t>Lords</w:t>
      </w:r>
      <w:r>
        <w:rPr>
          <w:spacing w:val="-2"/>
          <w:vertAlign w:val="baseline"/>
        </w:rPr>
        <w:t> </w:t>
      </w:r>
      <w:r>
        <w:rPr>
          <w:vertAlign w:val="baseline"/>
        </w:rPr>
        <w:t>in</w:t>
      </w:r>
      <w:r>
        <w:rPr>
          <w:spacing w:val="-2"/>
          <w:vertAlign w:val="baseline"/>
        </w:rPr>
        <w:t> </w:t>
      </w:r>
      <w:r>
        <w:rPr>
          <w:rFonts w:ascii="Arial" w:hAnsi="Arial"/>
          <w:i/>
          <w:vertAlign w:val="baseline"/>
        </w:rPr>
        <w:t>Aston</w:t>
      </w:r>
      <w:r>
        <w:rPr>
          <w:rFonts w:ascii="Arial" w:hAnsi="Arial"/>
          <w:i/>
          <w:spacing w:val="-2"/>
          <w:vertAlign w:val="baseline"/>
        </w:rPr>
        <w:t> </w:t>
      </w:r>
      <w:r>
        <w:rPr>
          <w:rFonts w:ascii="Arial" w:hAnsi="Arial"/>
          <w:i/>
          <w:vertAlign w:val="baseline"/>
        </w:rPr>
        <w:t>Cantlow</w:t>
      </w:r>
      <w:r>
        <w:rPr>
          <w:vertAlign w:val="baseline"/>
        </w:rPr>
        <w:t>,</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purposes</w:t>
      </w:r>
      <w:r>
        <w:rPr>
          <w:spacing w:val="-2"/>
          <w:vertAlign w:val="baseline"/>
        </w:rPr>
        <w:t> </w:t>
      </w:r>
      <w:r>
        <w:rPr>
          <w:vertAlign w:val="baseline"/>
        </w:rPr>
        <w:t>of</w:t>
      </w:r>
      <w:r>
        <w:rPr>
          <w:spacing w:val="-2"/>
          <w:vertAlign w:val="baseline"/>
        </w:rPr>
        <w:t> </w:t>
      </w:r>
      <w:r>
        <w:rPr>
          <w:vertAlign w:val="baseline"/>
        </w:rPr>
        <w:t>s.6</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1998 Act the objectives of Lloyd’s were “wholly commercial” and “not governmental even in the broad</w:t>
      </w:r>
      <w:r>
        <w:rPr>
          <w:spacing w:val="40"/>
          <w:vertAlign w:val="baseline"/>
        </w:rPr>
        <w:t> </w:t>
      </w:r>
      <w:r>
        <w:rPr>
          <w:vertAlign w:val="baseline"/>
        </w:rPr>
        <w:t>sense of that expression”: it was rather the Financial Services Authority acting under the Financial </w:t>
      </w:r>
      <w:bookmarkStart w:name="_bookmark1164" w:id="1166"/>
      <w:bookmarkEnd w:id="1166"/>
      <w:r>
        <w:rPr>
          <w:vertAlign w:val="baseline"/>
        </w:rPr>
        <w:t>Services</w:t>
      </w:r>
      <w:r>
        <w:rPr>
          <w:vertAlign w:val="baseline"/>
        </w:rPr>
        <w:t> and Markets Act 2000 “which is the governmental organisation which will be answerable to the Strasbourg court”. </w:t>
      </w:r>
      <w:r>
        <w:rPr>
          <w:color w:val="005DA1"/>
          <w:u w:val="single" w:color="005DA1"/>
          <w:vertAlign w:val="superscript"/>
        </w:rPr>
        <w:t>623</w:t>
      </w:r>
    </w:p>
    <w:p>
      <w:pPr>
        <w:pStyle w:val="BodyText"/>
        <w:spacing w:before="76"/>
      </w:pPr>
    </w:p>
    <w:p>
      <w:pPr>
        <w:spacing w:before="0"/>
        <w:ind w:left="165" w:right="0" w:firstLine="0"/>
        <w:jc w:val="left"/>
        <w:rPr>
          <w:rFonts w:ascii="Arial"/>
          <w:b/>
          <w:sz w:val="24"/>
        </w:rPr>
      </w:pPr>
      <w:r>
        <w:rPr>
          <w:rFonts w:ascii="Arial"/>
          <w:b/>
          <w:sz w:val="24"/>
        </w:rPr>
        <w:t>1-</w:t>
      </w:r>
      <w:r>
        <w:rPr>
          <w:rFonts w:ascii="Arial"/>
          <w:b/>
          <w:spacing w:val="-5"/>
          <w:sz w:val="24"/>
        </w:rPr>
        <w:t>075</w:t>
      </w:r>
    </w:p>
    <w:p>
      <w:pPr>
        <w:pStyle w:val="BodyText"/>
        <w:spacing w:line="235" w:lineRule="auto" w:before="203"/>
        <w:ind w:left="165" w:right="167"/>
        <w:jc w:val="both"/>
      </w:pPr>
      <w:bookmarkStart w:name="_bookmark1165" w:id="1167"/>
      <w:bookmarkEnd w:id="1167"/>
      <w:r>
        <w:rPr/>
      </w:r>
      <w:r>
        <w:rPr/>
        <w:t>Thirdly, in the important and controversial decision in </w:t>
      </w:r>
      <w:r>
        <w:rPr>
          <w:rFonts w:ascii="Arial" w:hAnsi="Arial"/>
          <w:i/>
        </w:rPr>
        <w:t>YL v Birmingham City Council </w:t>
      </w:r>
      <w:r>
        <w:rPr>
          <w:color w:val="005DA1"/>
          <w:u w:val="single" w:color="005DA1"/>
          <w:vertAlign w:val="superscript"/>
        </w:rPr>
        <w:t>624</w:t>
      </w:r>
      <w:r>
        <w:rPr>
          <w:color w:val="005DA1"/>
          <w:vertAlign w:val="baseline"/>
        </w:rPr>
        <w:t> </w:t>
      </w:r>
      <w:r>
        <w:rPr>
          <w:vertAlign w:val="baseline"/>
        </w:rPr>
        <w:t>a majority </w:t>
      </w:r>
      <w:r>
        <w:rPr>
          <w:vertAlign w:val="baseline"/>
        </w:rPr>
        <w:t>of the House of Lords held that a commercial company providing residential and nursing care to a person under a contract was not acting as someone “certain of whose functions are functions of a public nature” within the meaning of s.6(3)(b) of the 1998 Act, even though in so doing the company acted under a contract with a local authority which concluded it in furtherance of its statutory duties to make arrangements for providing residential accommodation for persons in need of care and</w:t>
      </w:r>
      <w:r>
        <w:rPr>
          <w:spacing w:val="80"/>
          <w:vertAlign w:val="baseline"/>
        </w:rPr>
        <w:t> </w:t>
      </w:r>
      <w:r>
        <w:rPr>
          <w:vertAlign w:val="baseline"/>
        </w:rPr>
        <w:t>attention not otherwise available to them. The grounds of their lordships’ decisions were complex, but </w:t>
      </w:r>
      <w:bookmarkStart w:name="_bookmark1166" w:id="1168"/>
      <w:bookmarkEnd w:id="1168"/>
      <w:r>
        <w:rPr>
          <w:vertAlign w:val="baseline"/>
        </w:rPr>
        <w:t>of</w:t>
      </w:r>
      <w:r>
        <w:rPr>
          <w:spacing w:val="40"/>
          <w:vertAlign w:val="baseline"/>
        </w:rPr>
        <w:t> </w:t>
      </w:r>
      <w:r>
        <w:rPr>
          <w:vertAlign w:val="baseline"/>
        </w:rPr>
        <w:t>key</w:t>
      </w:r>
      <w:r>
        <w:rPr>
          <w:spacing w:val="40"/>
          <w:vertAlign w:val="baseline"/>
        </w:rPr>
        <w:t> </w:t>
      </w:r>
      <w:r>
        <w:rPr>
          <w:vertAlign w:val="baseline"/>
        </w:rPr>
        <w:t>significance</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majority</w:t>
      </w:r>
      <w:r>
        <w:rPr>
          <w:spacing w:val="40"/>
          <w:vertAlign w:val="baseline"/>
        </w:rPr>
        <w:t> </w:t>
      </w:r>
      <w:r>
        <w:rPr>
          <w:vertAlign w:val="baseline"/>
        </w:rPr>
        <w:t>were</w:t>
      </w:r>
      <w:r>
        <w:rPr>
          <w:spacing w:val="40"/>
          <w:vertAlign w:val="baseline"/>
        </w:rPr>
        <w:t> </w:t>
      </w:r>
      <w:r>
        <w:rPr>
          <w:vertAlign w:val="baseline"/>
        </w:rPr>
        <w:t>the</w:t>
      </w:r>
      <w:r>
        <w:rPr>
          <w:spacing w:val="40"/>
          <w:vertAlign w:val="baseline"/>
        </w:rPr>
        <w:t> </w:t>
      </w:r>
      <w:r>
        <w:rPr>
          <w:vertAlign w:val="baseline"/>
        </w:rPr>
        <w:t>nature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body</w:t>
      </w:r>
      <w:r>
        <w:rPr>
          <w:spacing w:val="40"/>
          <w:vertAlign w:val="baseline"/>
        </w:rPr>
        <w:t> </w:t>
      </w:r>
      <w:r>
        <w:rPr>
          <w:vertAlign w:val="baseline"/>
        </w:rPr>
        <w:t>providing</w:t>
      </w:r>
      <w:r>
        <w:rPr>
          <w:spacing w:val="40"/>
          <w:vertAlign w:val="baseline"/>
        </w:rPr>
        <w:t> </w:t>
      </w:r>
      <w:r>
        <w:rPr>
          <w:vertAlign w:val="baseline"/>
        </w:rPr>
        <w:t>the</w:t>
      </w:r>
      <w:r>
        <w:rPr>
          <w:spacing w:val="40"/>
          <w:vertAlign w:val="baseline"/>
        </w:rPr>
        <w:t> </w:t>
      </w:r>
      <w:r>
        <w:rPr>
          <w:vertAlign w:val="baseline"/>
        </w:rPr>
        <w:t>care</w:t>
      </w:r>
      <w:r>
        <w:rPr>
          <w:spacing w:val="40"/>
          <w:vertAlign w:val="baseline"/>
        </w:rPr>
        <w:t> </w:t>
      </w:r>
      <w:r>
        <w:rPr>
          <w:vertAlign w:val="baseline"/>
        </w:rPr>
        <w:t>(“a</w:t>
      </w:r>
      <w:r>
        <w:rPr>
          <w:spacing w:val="40"/>
          <w:vertAlign w:val="baseline"/>
        </w:rPr>
        <w:t> </w:t>
      </w:r>
      <w:r>
        <w:rPr>
          <w:vertAlign w:val="baseline"/>
        </w:rPr>
        <w:t>private, </w:t>
      </w:r>
      <w:bookmarkStart w:name="_bookmark1167" w:id="1169"/>
      <w:bookmarkEnd w:id="1169"/>
      <w:r>
        <w:rPr>
          <w:vertAlign w:val="baseline"/>
        </w:rPr>
        <w:t>profit</w:t>
      </w:r>
      <w:r>
        <w:rPr>
          <w:vertAlign w:val="baseline"/>
        </w:rPr>
        <w:t>-earning company” </w:t>
      </w:r>
      <w:r>
        <w:rPr>
          <w:color w:val="005DA1"/>
          <w:u w:val="single" w:color="005DA1"/>
          <w:vertAlign w:val="superscript"/>
        </w:rPr>
        <w:t>625</w:t>
      </w:r>
      <w:r>
        <w:rPr>
          <w:vertAlign w:val="baseline"/>
        </w:rPr>
        <w:t>); the nature of the obligation which the person in receipt of nursing care was seeking to enforce, namely “a private law contract” </w:t>
      </w:r>
      <w:r>
        <w:rPr>
          <w:color w:val="005DA1"/>
          <w:u w:val="single" w:color="005DA1"/>
          <w:vertAlign w:val="superscript"/>
        </w:rPr>
        <w:t>626</w:t>
      </w:r>
      <w:r>
        <w:rPr>
          <w:vertAlign w:val="baseline"/>
        </w:rPr>
        <w:t>; and, more widely, a concern for the widespread effect of the opposite decision, which was seen as requiring any commercial company </w:t>
      </w:r>
      <w:bookmarkStart w:name="_bookmark1168" w:id="1170"/>
      <w:bookmarkEnd w:id="1170"/>
      <w:r>
        <w:rPr>
          <w:vertAlign w:val="baseline"/>
        </w:rPr>
        <w:t>(and</w:t>
      </w:r>
      <w:r>
        <w:rPr>
          <w:vertAlign w:val="baseline"/>
        </w:rPr>
        <w:t> its employees) which carried on an operation of a similar nature to an operation carried on by a local authority under statutory powers also to be covered by the 1998 Act. </w:t>
      </w:r>
      <w:r>
        <w:rPr>
          <w:color w:val="005DA1"/>
          <w:u w:val="single" w:color="005DA1"/>
          <w:vertAlign w:val="superscript"/>
        </w:rPr>
        <w:t>627</w:t>
      </w:r>
      <w:r>
        <w:rPr>
          <w:color w:val="005DA1"/>
          <w:vertAlign w:val="baseline"/>
        </w:rPr>
        <w:t> </w:t>
      </w:r>
      <w:r>
        <w:rPr>
          <w:vertAlign w:val="baseline"/>
        </w:rPr>
        <w:t>For the minority (Baroness Hale of Richmond, with whom Lord Bingham of Cornhill agreed) the meaning of s.6 had to be seen in the context of the case law of the European Court of Human Rights which has sometimes </w:t>
      </w:r>
      <w:bookmarkStart w:name="_bookmark1169" w:id="1171"/>
      <w:bookmarkEnd w:id="1171"/>
      <w:r>
        <w:rPr>
          <w:vertAlign w:val="baseline"/>
        </w:rPr>
        <w:t>placed</w:t>
      </w:r>
      <w:r>
        <w:rPr>
          <w:vertAlign w:val="baseline"/>
        </w:rPr>
        <w:t> responsibility on a state for the acts of a private body, notably imposing positive obligations on it</w:t>
      </w:r>
      <w:r>
        <w:rPr>
          <w:spacing w:val="-3"/>
          <w:vertAlign w:val="baseline"/>
        </w:rPr>
        <w:t> </w:t>
      </w:r>
      <w:r>
        <w:rPr>
          <w:vertAlign w:val="baseline"/>
        </w:rPr>
        <w:t>to</w:t>
      </w:r>
      <w:r>
        <w:rPr>
          <w:spacing w:val="-3"/>
          <w:vertAlign w:val="baseline"/>
        </w:rPr>
        <w:t> </w:t>
      </w:r>
      <w:r>
        <w:rPr>
          <w:vertAlign w:val="baseline"/>
        </w:rPr>
        <w:t>prevent</w:t>
      </w:r>
      <w:r>
        <w:rPr>
          <w:spacing w:val="-3"/>
          <w:vertAlign w:val="baseline"/>
        </w:rPr>
        <w:t> </w:t>
      </w:r>
      <w:r>
        <w:rPr>
          <w:vertAlign w:val="baseline"/>
        </w:rPr>
        <w:t>violations</w:t>
      </w:r>
      <w:r>
        <w:rPr>
          <w:spacing w:val="-3"/>
          <w:vertAlign w:val="baseline"/>
        </w:rPr>
        <w:t> </w:t>
      </w:r>
      <w:r>
        <w:rPr>
          <w:vertAlign w:val="baseline"/>
        </w:rPr>
        <w:t>of</w:t>
      </w:r>
      <w:r>
        <w:rPr>
          <w:spacing w:val="-3"/>
          <w:vertAlign w:val="baseline"/>
        </w:rPr>
        <w:t> </w:t>
      </w:r>
      <w:r>
        <w:rPr>
          <w:vertAlign w:val="baseline"/>
        </w:rPr>
        <w:t>an</w:t>
      </w:r>
      <w:r>
        <w:rPr>
          <w:spacing w:val="-3"/>
          <w:vertAlign w:val="baseline"/>
        </w:rPr>
        <w:t> </w:t>
      </w:r>
      <w:r>
        <w:rPr>
          <w:vertAlign w:val="baseline"/>
        </w:rPr>
        <w:t>individual’s</w:t>
      </w:r>
      <w:r>
        <w:rPr>
          <w:spacing w:val="-3"/>
          <w:vertAlign w:val="baseline"/>
        </w:rPr>
        <w:t> </w:t>
      </w:r>
      <w:r>
        <w:rPr>
          <w:vertAlign w:val="baseline"/>
        </w:rPr>
        <w:t>human</w:t>
      </w:r>
      <w:r>
        <w:rPr>
          <w:spacing w:val="-3"/>
          <w:vertAlign w:val="baseline"/>
        </w:rPr>
        <w:t> </w:t>
      </w:r>
      <w:r>
        <w:rPr>
          <w:vertAlign w:val="baseline"/>
        </w:rPr>
        <w:t>rights.</w:t>
      </w:r>
      <w:r>
        <w:rPr>
          <w:spacing w:val="-4"/>
          <w:vertAlign w:val="baseline"/>
        </w:rPr>
        <w:t> </w:t>
      </w:r>
      <w:r>
        <w:rPr>
          <w:color w:val="005DA1"/>
          <w:u w:val="single" w:color="005DA1"/>
          <w:vertAlign w:val="superscript"/>
        </w:rPr>
        <w:t>628</w:t>
      </w:r>
      <w:r>
        <w:rPr>
          <w:color w:val="005DA1"/>
          <w:spacing w:val="-3"/>
          <w:vertAlign w:val="baseline"/>
        </w:rPr>
        <w:t> </w:t>
      </w:r>
      <w:r>
        <w:rPr>
          <w:vertAlign w:val="baseline"/>
        </w:rPr>
        <w:t>So,</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purposes</w:t>
      </w:r>
      <w:r>
        <w:rPr>
          <w:spacing w:val="-3"/>
          <w:vertAlign w:val="baseline"/>
        </w:rPr>
        <w:t> </w:t>
      </w:r>
      <w:r>
        <w:rPr>
          <w:vertAlign w:val="baseline"/>
        </w:rPr>
        <w:t>of</w:t>
      </w:r>
      <w:r>
        <w:rPr>
          <w:spacing w:val="-3"/>
          <w:vertAlign w:val="baseline"/>
        </w:rPr>
        <w:t> </w:t>
      </w:r>
      <w:r>
        <w:rPr>
          <w:vertAlign w:val="baseline"/>
        </w:rPr>
        <w:t>s.6</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1998</w:t>
      </w:r>
      <w:r>
        <w:rPr>
          <w:spacing w:val="-3"/>
          <w:vertAlign w:val="baseline"/>
        </w:rPr>
        <w:t> </w:t>
      </w:r>
      <w:r>
        <w:rPr>
          <w:vertAlign w:val="baseline"/>
        </w:rPr>
        <w:t>Act</w:t>
      </w:r>
      <w:r>
        <w:rPr>
          <w:spacing w:val="-3"/>
          <w:vertAlign w:val="baseline"/>
        </w:rPr>
        <w:t> </w:t>
      </w:r>
      <w:r>
        <w:rPr>
          <w:vertAlign w:val="baseline"/>
        </w:rPr>
        <w:t>in Baroness Hale’s view:</w:t>
      </w:r>
    </w:p>
    <w:p>
      <w:pPr>
        <w:pStyle w:val="BodyText"/>
      </w:pPr>
    </w:p>
    <w:p>
      <w:pPr>
        <w:pStyle w:val="BodyText"/>
        <w:spacing w:before="120"/>
      </w:pPr>
    </w:p>
    <w:p>
      <w:pPr>
        <w:pStyle w:val="BodyText"/>
        <w:spacing w:line="235" w:lineRule="auto"/>
        <w:ind w:left="1245" w:right="167"/>
        <w:jc w:val="both"/>
      </w:pPr>
      <w:r>
        <w:rPr/>
        <w:t>“The contrast is between what is ‘public’ in the sense of being done for or by or on behalf </w:t>
      </w:r>
      <w:bookmarkStart w:name="_bookmark1170" w:id="1172"/>
      <w:bookmarkEnd w:id="1172"/>
      <w:r>
        <w:rPr/>
        <w:t>of</w:t>
      </w:r>
      <w:r>
        <w:rPr/>
        <w:t> people as a whole and what is ‘private’ in the sense of being done for one’s </w:t>
      </w:r>
      <w:r>
        <w:rPr/>
        <w:t>own purposes.” </w:t>
      </w:r>
      <w:r>
        <w:rPr>
          <w:color w:val="005DA1"/>
          <w:u w:val="single" w:color="005DA1"/>
          <w:vertAlign w:val="superscript"/>
        </w:rPr>
        <w:t>629</w:t>
      </w:r>
    </w:p>
    <w:p>
      <w:pPr>
        <w:pStyle w:val="BodyText"/>
        <w:spacing w:before="111"/>
      </w:pPr>
    </w:p>
    <w:p>
      <w:pPr>
        <w:pStyle w:val="BodyText"/>
        <w:spacing w:before="1"/>
        <w:ind w:left="165"/>
      </w:pPr>
      <w:r>
        <w:rPr>
          <w:spacing w:val="-4"/>
        </w:rPr>
        <w:t>and:</w:t>
      </w:r>
    </w:p>
    <w:p>
      <w:pPr>
        <w:pStyle w:val="BodyText"/>
      </w:pPr>
    </w:p>
    <w:p>
      <w:pPr>
        <w:pStyle w:val="BodyText"/>
        <w:spacing w:before="125"/>
      </w:pPr>
    </w:p>
    <w:p>
      <w:pPr>
        <w:pStyle w:val="BodyText"/>
        <w:spacing w:line="235" w:lineRule="auto"/>
        <w:ind w:left="1245" w:right="167"/>
        <w:jc w:val="both"/>
      </w:pPr>
      <w:r>
        <w:rPr/>
        <w:t>“… while there cannot be a single litmus test of what is a function of a public nature, the </w:t>
      </w:r>
      <w:bookmarkStart w:name="_bookmark1171" w:id="1173"/>
      <w:bookmarkEnd w:id="1173"/>
      <w:r>
        <w:rPr/>
        <w:t>underlying</w:t>
      </w:r>
      <w:r>
        <w:rPr>
          <w:spacing w:val="-1"/>
        </w:rPr>
        <w:t> </w:t>
      </w:r>
      <w:r>
        <w:rPr/>
        <w:t>rationale</w:t>
      </w:r>
      <w:r>
        <w:rPr>
          <w:spacing w:val="-1"/>
        </w:rPr>
        <w:t> </w:t>
      </w:r>
      <w:r>
        <w:rPr/>
        <w:t>must</w:t>
      </w:r>
      <w:r>
        <w:rPr>
          <w:spacing w:val="-1"/>
        </w:rPr>
        <w:t> </w:t>
      </w:r>
      <w:r>
        <w:rPr/>
        <w:t>be</w:t>
      </w:r>
      <w:r>
        <w:rPr>
          <w:spacing w:val="-1"/>
        </w:rPr>
        <w:t> </w:t>
      </w:r>
      <w:r>
        <w:rPr/>
        <w:t>that</w:t>
      </w:r>
      <w:r>
        <w:rPr>
          <w:spacing w:val="-1"/>
        </w:rPr>
        <w:t> </w:t>
      </w:r>
      <w:r>
        <w:rPr/>
        <w:t>it</w:t>
      </w:r>
      <w:r>
        <w:rPr>
          <w:spacing w:val="-1"/>
        </w:rPr>
        <w:t> </w:t>
      </w:r>
      <w:r>
        <w:rPr/>
        <w:t>is</w:t>
      </w:r>
      <w:r>
        <w:rPr>
          <w:spacing w:val="-1"/>
        </w:rPr>
        <w:t> </w:t>
      </w:r>
      <w:r>
        <w:rPr/>
        <w:t>a</w:t>
      </w:r>
      <w:r>
        <w:rPr>
          <w:spacing w:val="-1"/>
        </w:rPr>
        <w:t> </w:t>
      </w:r>
      <w:r>
        <w:rPr/>
        <w:t>task</w:t>
      </w:r>
      <w:r>
        <w:rPr>
          <w:spacing w:val="-1"/>
        </w:rPr>
        <w:t> </w:t>
      </w:r>
      <w:r>
        <w:rPr/>
        <w:t>for</w:t>
      </w:r>
      <w:r>
        <w:rPr>
          <w:spacing w:val="-1"/>
        </w:rPr>
        <w:t> </w:t>
      </w:r>
      <w:r>
        <w:rPr/>
        <w:t>which</w:t>
      </w:r>
      <w:r>
        <w:rPr>
          <w:spacing w:val="-1"/>
        </w:rPr>
        <w:t> </w:t>
      </w:r>
      <w:r>
        <w:rPr/>
        <w:t>the</w:t>
      </w:r>
      <w:r>
        <w:rPr>
          <w:spacing w:val="-1"/>
        </w:rPr>
        <w:t> </w:t>
      </w:r>
      <w:r>
        <w:rPr/>
        <w:t>public,</w:t>
      </w:r>
      <w:r>
        <w:rPr>
          <w:spacing w:val="-1"/>
        </w:rPr>
        <w:t> </w:t>
      </w:r>
      <w:r>
        <w:rPr/>
        <w:t>in</w:t>
      </w:r>
      <w:r>
        <w:rPr>
          <w:spacing w:val="-1"/>
        </w:rPr>
        <w:t> </w:t>
      </w:r>
      <w:r>
        <w:rPr/>
        <w:t>the</w:t>
      </w:r>
      <w:r>
        <w:rPr>
          <w:spacing w:val="-1"/>
        </w:rPr>
        <w:t> </w:t>
      </w:r>
      <w:r>
        <w:rPr/>
        <w:t>shape</w:t>
      </w:r>
      <w:r>
        <w:rPr>
          <w:spacing w:val="-1"/>
        </w:rPr>
        <w:t> </w:t>
      </w:r>
      <w:r>
        <w:rPr/>
        <w:t>of</w:t>
      </w:r>
      <w:r>
        <w:rPr>
          <w:spacing w:val="-1"/>
        </w:rPr>
        <w:t> </w:t>
      </w:r>
      <w:r>
        <w:rPr/>
        <w:t>the</w:t>
      </w:r>
      <w:r>
        <w:rPr>
          <w:spacing w:val="-1"/>
        </w:rPr>
        <w:t> </w:t>
      </w:r>
      <w:r>
        <w:rPr/>
        <w:t>state, have assumed responsibility, at public expense if need be, and in the public interest.” </w:t>
      </w:r>
      <w:r>
        <w:rPr>
          <w:color w:val="005DA1"/>
          <w:u w:val="single" w:color="005DA1"/>
          <w:vertAlign w:val="superscript"/>
        </w:rPr>
        <w:t>630</w:t>
      </w:r>
    </w:p>
    <w:p>
      <w:pPr>
        <w:pStyle w:val="BodyText"/>
        <w:spacing w:before="116"/>
      </w:pPr>
    </w:p>
    <w:p>
      <w:pPr>
        <w:pStyle w:val="BodyText"/>
        <w:spacing w:line="235" w:lineRule="auto"/>
        <w:ind w:left="165" w:right="167"/>
        <w:jc w:val="both"/>
      </w:pPr>
      <w:r>
        <w:rPr/>
        <w:t>This led the minority to hold that the company undertook functions “of a public nature” in providing </w:t>
      </w:r>
      <w:bookmarkStart w:name="_bookmark1172" w:id="1174"/>
      <w:bookmarkEnd w:id="1174"/>
      <w:r>
        <w:rPr/>
        <w:t>residential</w:t>
      </w:r>
      <w:r>
        <w:rPr/>
        <w:t> care to persons in need under a contract with the local authority which discharged thereby its</w:t>
      </w:r>
      <w:r>
        <w:rPr>
          <w:spacing w:val="-2"/>
        </w:rPr>
        <w:t> </w:t>
      </w:r>
      <w:r>
        <w:rPr/>
        <w:t>statutory</w:t>
      </w:r>
      <w:r>
        <w:rPr>
          <w:spacing w:val="-2"/>
        </w:rPr>
        <w:t> </w:t>
      </w:r>
      <w:r>
        <w:rPr/>
        <w:t>duty</w:t>
      </w:r>
      <w:r>
        <w:rPr>
          <w:spacing w:val="-2"/>
        </w:rPr>
        <w:t> </w:t>
      </w:r>
      <w:r>
        <w:rPr/>
        <w:t>to</w:t>
      </w:r>
      <w:r>
        <w:rPr>
          <w:spacing w:val="-2"/>
        </w:rPr>
        <w:t> </w:t>
      </w:r>
      <w:r>
        <w:rPr/>
        <w:t>make</w:t>
      </w:r>
      <w:r>
        <w:rPr>
          <w:spacing w:val="-2"/>
        </w:rPr>
        <w:t> </w:t>
      </w:r>
      <w:r>
        <w:rPr/>
        <w:t>arrangements</w:t>
      </w:r>
      <w:r>
        <w:rPr>
          <w:spacing w:val="-2"/>
        </w:rPr>
        <w:t> </w:t>
      </w:r>
      <w:r>
        <w:rPr/>
        <w:t>for</w:t>
      </w:r>
      <w:r>
        <w:rPr>
          <w:spacing w:val="-2"/>
        </w:rPr>
        <w:t> </w:t>
      </w:r>
      <w:r>
        <w:rPr/>
        <w:t>this</w:t>
      </w:r>
      <w:r>
        <w:rPr>
          <w:spacing w:val="-2"/>
        </w:rPr>
        <w:t> </w:t>
      </w:r>
      <w:r>
        <w:rPr/>
        <w:t>purpose.</w:t>
      </w:r>
      <w:r>
        <w:rPr>
          <w:spacing w:val="-3"/>
        </w:rPr>
        <w:t> </w:t>
      </w:r>
      <w:r>
        <w:rPr>
          <w:color w:val="005DA1"/>
          <w:u w:val="single" w:color="005DA1"/>
          <w:vertAlign w:val="superscript"/>
        </w:rPr>
        <w:t>631</w:t>
      </w:r>
      <w:r>
        <w:rPr>
          <w:color w:val="005DA1"/>
          <w:spacing w:val="-2"/>
          <w:vertAlign w:val="baseline"/>
        </w:rPr>
        <w:t> </w:t>
      </w:r>
      <w:r>
        <w:rPr>
          <w:vertAlign w:val="baseline"/>
        </w:rPr>
        <w:t>The</w:t>
      </w:r>
      <w:r>
        <w:rPr>
          <w:spacing w:val="-2"/>
          <w:vertAlign w:val="baseline"/>
        </w:rPr>
        <w:t> </w:t>
      </w:r>
      <w:r>
        <w:rPr>
          <w:vertAlign w:val="baseline"/>
        </w:rPr>
        <w:t>minority’s</w:t>
      </w:r>
      <w:r>
        <w:rPr>
          <w:spacing w:val="-2"/>
          <w:vertAlign w:val="baseline"/>
        </w:rPr>
        <w:t> </w:t>
      </w:r>
      <w:r>
        <w:rPr>
          <w:vertAlign w:val="baseline"/>
        </w:rPr>
        <w:t>position</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cogently supported by Professor Craig on the basis that:</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67"/>
        <w:jc w:val="both"/>
      </w:pPr>
      <w:bookmarkStart w:name="_bookmark1173" w:id="1175"/>
      <w:bookmarkEnd w:id="1175"/>
      <w:r>
        <w:rPr/>
      </w:r>
      <w:r>
        <w:rPr/>
        <w:t>“If it is decided that a core public authority is performing a public function pursuant to </w:t>
      </w:r>
      <w:r>
        <w:rPr/>
        <w:t>a statutory duty or power cast upon it, then that should be decisive” </w:t>
      </w:r>
      <w:r>
        <w:rPr>
          <w:color w:val="005DA1"/>
          <w:u w:val="single" w:color="005DA1"/>
          <w:vertAlign w:val="superscript"/>
        </w:rPr>
        <w:t>632</w:t>
      </w:r>
    </w:p>
    <w:p>
      <w:pPr>
        <w:pStyle w:val="BodyText"/>
        <w:spacing w:before="116"/>
      </w:pPr>
    </w:p>
    <w:p>
      <w:pPr>
        <w:pStyle w:val="BodyText"/>
        <w:spacing w:line="235" w:lineRule="auto"/>
        <w:ind w:left="165" w:right="167"/>
        <w:jc w:val="both"/>
      </w:pPr>
      <w:r>
        <w:rPr/>
        <w:t>of</w:t>
      </w:r>
      <w:r>
        <w:rPr>
          <w:spacing w:val="-2"/>
        </w:rPr>
        <w:t> </w:t>
      </w:r>
      <w:r>
        <w:rPr/>
        <w:t>the</w:t>
      </w:r>
      <w:r>
        <w:rPr>
          <w:spacing w:val="-2"/>
        </w:rPr>
        <w:t> </w:t>
      </w:r>
      <w:r>
        <w:rPr/>
        <w:t>question</w:t>
      </w:r>
      <w:r>
        <w:rPr>
          <w:spacing w:val="-2"/>
        </w:rPr>
        <w:t> </w:t>
      </w:r>
      <w:r>
        <w:rPr/>
        <w:t>of</w:t>
      </w:r>
      <w:r>
        <w:rPr>
          <w:spacing w:val="-2"/>
        </w:rPr>
        <w:t> </w:t>
      </w:r>
      <w:r>
        <w:rPr/>
        <w:t>its</w:t>
      </w:r>
      <w:r>
        <w:rPr>
          <w:spacing w:val="-2"/>
        </w:rPr>
        <w:t> </w:t>
      </w:r>
      <w:r>
        <w:rPr/>
        <w:t>performing</w:t>
      </w:r>
      <w:r>
        <w:rPr>
          <w:spacing w:val="-2"/>
        </w:rPr>
        <w:t> </w:t>
      </w:r>
      <w:r>
        <w:rPr/>
        <w:t>a</w:t>
      </w:r>
      <w:r>
        <w:rPr>
          <w:spacing w:val="-2"/>
        </w:rPr>
        <w:t> </w:t>
      </w:r>
      <w:r>
        <w:rPr/>
        <w:t>public</w:t>
      </w:r>
      <w:r>
        <w:rPr>
          <w:spacing w:val="-2"/>
        </w:rPr>
        <w:t> </w:t>
      </w:r>
      <w:r>
        <w:rPr/>
        <w:t>function</w:t>
      </w:r>
      <w:r>
        <w:rPr>
          <w:spacing w:val="-2"/>
        </w:rPr>
        <w:t> </w:t>
      </w:r>
      <w:r>
        <w:rPr/>
        <w:t>and</w:t>
      </w:r>
      <w:r>
        <w:rPr>
          <w:spacing w:val="-2"/>
        </w:rPr>
        <w:t> </w:t>
      </w:r>
      <w:r>
        <w:rPr/>
        <w:t>so</w:t>
      </w:r>
      <w:r>
        <w:rPr>
          <w:spacing w:val="-2"/>
        </w:rPr>
        <w:t> </w:t>
      </w:r>
      <w:r>
        <w:rPr/>
        <w:t>there</w:t>
      </w:r>
      <w:r>
        <w:rPr>
          <w:spacing w:val="-2"/>
        </w:rPr>
        <w:t> </w:t>
      </w:r>
      <w:r>
        <w:rPr/>
        <w:t>should</w:t>
      </w:r>
      <w:r>
        <w:rPr>
          <w:spacing w:val="-2"/>
        </w:rPr>
        <w:t> </w:t>
      </w:r>
      <w:r>
        <w:rPr/>
        <w:t>be</w:t>
      </w:r>
      <w:r>
        <w:rPr>
          <w:spacing w:val="-2"/>
        </w:rPr>
        <w:t> </w:t>
      </w:r>
      <w:r>
        <w:rPr/>
        <w:t>no</w:t>
      </w:r>
      <w:r>
        <w:rPr>
          <w:spacing w:val="-2"/>
        </w:rPr>
        <w:t> </w:t>
      </w:r>
      <w:r>
        <w:rPr/>
        <w:t>assessment</w:t>
      </w:r>
      <w:r>
        <w:rPr>
          <w:spacing w:val="-2"/>
        </w:rPr>
        <w:t> </w:t>
      </w:r>
      <w:r>
        <w:rPr/>
        <w:t>of</w:t>
      </w:r>
      <w:r>
        <w:rPr>
          <w:spacing w:val="-2"/>
        </w:rPr>
        <w:t> </w:t>
      </w:r>
      <w:r>
        <w:rPr/>
        <w:t>factors</w:t>
      </w:r>
      <w:r>
        <w:rPr>
          <w:spacing w:val="-2"/>
        </w:rPr>
        <w:t> </w:t>
      </w:r>
      <w:r>
        <w:rPr/>
        <w:t>(as undertaken by the majority):</w:t>
      </w:r>
    </w:p>
    <w:p>
      <w:pPr>
        <w:pStyle w:val="BodyText"/>
      </w:pPr>
    </w:p>
    <w:p>
      <w:pPr>
        <w:pStyle w:val="BodyText"/>
        <w:spacing w:before="126"/>
      </w:pPr>
    </w:p>
    <w:p>
      <w:pPr>
        <w:pStyle w:val="BodyText"/>
        <w:spacing w:line="235" w:lineRule="auto"/>
        <w:ind w:left="1245" w:right="167"/>
        <w:jc w:val="both"/>
      </w:pPr>
      <w:bookmarkStart w:name="_bookmark1174" w:id="1176"/>
      <w:bookmarkEnd w:id="1176"/>
      <w:r>
        <w:rPr/>
      </w:r>
      <w:r>
        <w:rPr/>
        <w:t>“… the nature of the function does not change if the task is contracted out to a body </w:t>
      </w:r>
      <w:r>
        <w:rPr/>
        <w:t>that</w:t>
      </w:r>
      <w:r>
        <w:rPr>
          <w:spacing w:val="40"/>
        </w:rPr>
        <w:t> </w:t>
      </w:r>
      <w:r>
        <w:rPr/>
        <w:t>is nominally private. </w:t>
      </w:r>
      <w:r>
        <w:rPr>
          <w:color w:val="005DA1"/>
          <w:u w:val="single" w:color="005DA1"/>
          <w:vertAlign w:val="superscript"/>
        </w:rPr>
        <w:t>633</w:t>
      </w:r>
      <w:r>
        <w:rPr>
          <w:color w:val="005DA1"/>
          <w:vertAlign w:val="baseline"/>
        </w:rPr>
        <w:t> </w:t>
      </w:r>
      <w:r>
        <w:rPr>
          <w:vertAlign w:val="baseline"/>
        </w:rPr>
        <w:t>It cannot be correct as a matter of principle for the availability of </w:t>
      </w:r>
      <w:bookmarkStart w:name="_bookmark1175" w:id="1177"/>
      <w:bookmarkEnd w:id="1177"/>
      <w:r>
        <w:rPr>
          <w:vertAlign w:val="baseline"/>
        </w:rPr>
        <w:t>Convention</w:t>
      </w:r>
      <w:r>
        <w:rPr>
          <w:vertAlign w:val="baseline"/>
        </w:rPr>
        <w:t> rights to be dependent upon the fortuitous incidence as to how the core</w:t>
      </w:r>
      <w:r>
        <w:rPr>
          <w:spacing w:val="40"/>
          <w:vertAlign w:val="baseline"/>
        </w:rPr>
        <w:t> </w:t>
      </w:r>
      <w:r>
        <w:rPr>
          <w:vertAlign w:val="baseline"/>
        </w:rPr>
        <w:t>public authority chooses to discharge its functions.” </w:t>
      </w:r>
      <w:r>
        <w:rPr>
          <w:color w:val="005DA1"/>
          <w:u w:val="single" w:color="005DA1"/>
          <w:vertAlign w:val="superscript"/>
        </w:rPr>
        <w:t>634</w:t>
      </w:r>
    </w:p>
    <w:p>
      <w:pPr>
        <w:pStyle w:val="BodyText"/>
        <w:spacing w:before="115"/>
      </w:pPr>
    </w:p>
    <w:p>
      <w:pPr>
        <w:pStyle w:val="BodyText"/>
        <w:spacing w:line="235" w:lineRule="auto"/>
        <w:ind w:left="165" w:right="167"/>
        <w:jc w:val="both"/>
      </w:pPr>
      <w:bookmarkStart w:name="_bookmark1176" w:id="1178"/>
      <w:bookmarkEnd w:id="1178"/>
      <w:r>
        <w:rPr/>
      </w:r>
      <w:r>
        <w:rPr/>
        <w:t>However, he acknowledges that legislative intervention may be required to reform the law on </w:t>
      </w:r>
      <w:r>
        <w:rPr/>
        <w:t>the question. </w:t>
      </w:r>
      <w:r>
        <w:rPr>
          <w:color w:val="005DA1"/>
          <w:u w:val="single" w:color="005DA1"/>
          <w:vertAlign w:val="superscript"/>
        </w:rPr>
        <w:t>635</w:t>
      </w:r>
    </w:p>
    <w:p>
      <w:pPr>
        <w:pStyle w:val="BodyText"/>
        <w:spacing w:before="89"/>
      </w:pPr>
    </w:p>
    <w:p>
      <w:pPr>
        <w:pStyle w:val="BodyText"/>
        <w:spacing w:line="235" w:lineRule="auto" w:before="1"/>
        <w:ind w:left="165" w:right="167"/>
        <w:jc w:val="both"/>
      </w:pPr>
      <w:bookmarkStart w:name="_bookmark1177" w:id="1179"/>
      <w:bookmarkEnd w:id="1179"/>
      <w:r>
        <w:rPr/>
      </w:r>
      <w:r>
        <w:rPr/>
        <w:t>A rather more liberal approach to “public act” was taken by the Court of Appeal in </w:t>
      </w:r>
      <w:r>
        <w:rPr>
          <w:rFonts w:ascii="Arial" w:hAnsi="Arial"/>
          <w:i/>
        </w:rPr>
        <w:t>R. (Weaver) </w:t>
      </w:r>
      <w:r>
        <w:rPr>
          <w:rFonts w:ascii="Arial" w:hAnsi="Arial"/>
          <w:i/>
        </w:rPr>
        <w:t>v London and Quadrant Housing Trust</w:t>
      </w:r>
      <w:r>
        <w:rPr/>
        <w:t>. </w:t>
      </w:r>
      <w:r>
        <w:rPr>
          <w:color w:val="005DA1"/>
          <w:u w:val="single" w:color="005DA1"/>
          <w:vertAlign w:val="superscript"/>
        </w:rPr>
        <w:t>636</w:t>
      </w:r>
      <w:r>
        <w:rPr>
          <w:color w:val="005DA1"/>
          <w:vertAlign w:val="baseline"/>
        </w:rPr>
        <w:t> </w:t>
      </w:r>
      <w:r>
        <w:rPr>
          <w:vertAlign w:val="baseline"/>
        </w:rPr>
        <w:t>There, the Court of Appeal considered whether the termination of a tenancy by a registered social landlord constituted a “private act” within the meaning of</w:t>
      </w:r>
      <w:r>
        <w:rPr>
          <w:spacing w:val="-1"/>
          <w:vertAlign w:val="baseline"/>
        </w:rPr>
        <w:t> </w:t>
      </w:r>
      <w:r>
        <w:rPr>
          <w:vertAlign w:val="baseline"/>
        </w:rPr>
        <w:t>s.6(5)</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Human</w:t>
      </w:r>
      <w:r>
        <w:rPr>
          <w:spacing w:val="-1"/>
          <w:vertAlign w:val="baseline"/>
        </w:rPr>
        <w:t> </w:t>
      </w:r>
      <w:r>
        <w:rPr>
          <w:vertAlign w:val="baseline"/>
        </w:rPr>
        <w:t>Rights</w:t>
      </w:r>
      <w:r>
        <w:rPr>
          <w:spacing w:val="-1"/>
          <w:vertAlign w:val="baseline"/>
        </w:rPr>
        <w:t> </w:t>
      </w:r>
      <w:r>
        <w:rPr>
          <w:vertAlign w:val="baseline"/>
        </w:rPr>
        <w:t>Act</w:t>
      </w:r>
      <w:r>
        <w:rPr>
          <w:spacing w:val="-1"/>
          <w:vertAlign w:val="baseline"/>
        </w:rPr>
        <w:t> </w:t>
      </w:r>
      <w:r>
        <w:rPr>
          <w:vertAlign w:val="baseline"/>
        </w:rPr>
        <w:t>1998,</w:t>
      </w:r>
      <w:r>
        <w:rPr>
          <w:spacing w:val="-1"/>
          <w:vertAlign w:val="baseline"/>
        </w:rPr>
        <w:t> </w:t>
      </w:r>
      <w:r>
        <w:rPr>
          <w:vertAlign w:val="baseline"/>
        </w:rPr>
        <w:t>it</w:t>
      </w:r>
      <w:r>
        <w:rPr>
          <w:spacing w:val="-1"/>
          <w:vertAlign w:val="baseline"/>
        </w:rPr>
        <w:t> </w:t>
      </w:r>
      <w:r>
        <w:rPr>
          <w:vertAlign w:val="baseline"/>
        </w:rPr>
        <w:t>having</w:t>
      </w:r>
      <w:r>
        <w:rPr>
          <w:spacing w:val="-1"/>
          <w:vertAlign w:val="baseline"/>
        </w:rPr>
        <w:t> </w:t>
      </w:r>
      <w:r>
        <w:rPr>
          <w:vertAlign w:val="baseline"/>
        </w:rPr>
        <w:t>been</w:t>
      </w:r>
      <w:r>
        <w:rPr>
          <w:spacing w:val="-1"/>
          <w:vertAlign w:val="baseline"/>
        </w:rPr>
        <w:t> </w:t>
      </w:r>
      <w:r>
        <w:rPr>
          <w:vertAlign w:val="baseline"/>
        </w:rPr>
        <w:t>conceded</w:t>
      </w:r>
      <w:r>
        <w:rPr>
          <w:spacing w:val="-1"/>
          <w:vertAlign w:val="baseline"/>
        </w:rPr>
        <w:t> </w:t>
      </w:r>
      <w:r>
        <w:rPr>
          <w:vertAlign w:val="baseline"/>
        </w:rPr>
        <w:t>that</w:t>
      </w:r>
      <w:r>
        <w:rPr>
          <w:spacing w:val="-1"/>
          <w:vertAlign w:val="baseline"/>
        </w:rPr>
        <w:t> </w:t>
      </w:r>
      <w:r>
        <w:rPr>
          <w:vertAlign w:val="baseline"/>
        </w:rPr>
        <w:t>some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landlord’s</w:t>
      </w:r>
      <w:r>
        <w:rPr>
          <w:spacing w:val="-1"/>
          <w:vertAlign w:val="baseline"/>
        </w:rPr>
        <w:t> </w:t>
      </w:r>
      <w:r>
        <w:rPr>
          <w:vertAlign w:val="baseline"/>
        </w:rPr>
        <w:t>functions were public functions. A majority of the Court of Appeal (Lord Collins of Mapesbury, Elias L.J.; Rix</w:t>
      </w:r>
      <w:r>
        <w:rPr>
          <w:spacing w:val="80"/>
          <w:vertAlign w:val="baseline"/>
        </w:rPr>
        <w:t> </w:t>
      </w:r>
      <w:r>
        <w:rPr>
          <w:vertAlign w:val="baseline"/>
        </w:rPr>
        <w:t>L.J. dissenting) held that it was necessary to focus on the context in which the act occurs and, for this purpose, both the course and nature of the activities need to be considered when deciding whether</w:t>
      </w:r>
      <w:r>
        <w:rPr>
          <w:spacing w:val="80"/>
          <w:vertAlign w:val="baseline"/>
        </w:rPr>
        <w:t> </w:t>
      </w:r>
      <w:r>
        <w:rPr>
          <w:vertAlign w:val="baseline"/>
        </w:rPr>
        <w:t>an act is a private act or not within s.6(5), as they would in determining whether a function is public or </w:t>
      </w:r>
      <w:bookmarkStart w:name="_bookmark1178" w:id="1180"/>
      <w:bookmarkEnd w:id="1180"/>
      <w:r>
        <w:rPr>
          <w:vertAlign w:val="baseline"/>
        </w:rPr>
        <w:t>not.</w:t>
      </w:r>
      <w:r>
        <w:rPr>
          <w:vertAlign w:val="baseline"/>
        </w:rPr>
        <w:t> In the context, it was held that there were a number of features which brought the act of terminating a social tenancy within the purview of the Human Rights Act as a public act. </w:t>
      </w:r>
      <w:r>
        <w:rPr>
          <w:color w:val="005DA1"/>
          <w:u w:val="single" w:color="005DA1"/>
          <w:vertAlign w:val="superscript"/>
        </w:rPr>
        <w:t>637</w:t>
      </w:r>
      <w:r>
        <w:rPr>
          <w:color w:val="005DA1"/>
          <w:vertAlign w:val="baseline"/>
        </w:rPr>
        <w:t> </w:t>
      </w:r>
      <w:r>
        <w:rPr>
          <w:vertAlign w:val="baseline"/>
        </w:rPr>
        <w:t>According to Elias L.J (with whom Lord Collins of Mapesbury agreed)</w:t>
      </w:r>
    </w:p>
    <w:p>
      <w:pPr>
        <w:pStyle w:val="BodyText"/>
      </w:pPr>
    </w:p>
    <w:p>
      <w:pPr>
        <w:pStyle w:val="BodyText"/>
        <w:spacing w:before="122"/>
      </w:pPr>
    </w:p>
    <w:p>
      <w:pPr>
        <w:pStyle w:val="BodyText"/>
        <w:spacing w:line="235" w:lineRule="auto"/>
        <w:ind w:left="1245" w:right="167"/>
        <w:jc w:val="both"/>
      </w:pPr>
      <w:r>
        <w:rPr/>
        <w:t>“… if an act were necessarily a private act because it involved the exercise of </w:t>
      </w:r>
      <w:r>
        <w:rPr/>
        <w:t>rights </w:t>
      </w:r>
      <w:bookmarkStart w:name="_bookmark1179" w:id="1181"/>
      <w:bookmarkEnd w:id="1181"/>
      <w:r>
        <w:rPr/>
        <w:t>conferred</w:t>
      </w:r>
      <w:r>
        <w:rPr/>
        <w:t> by private law [including contract], that would significantly undermine the protection</w:t>
      </w:r>
      <w:r>
        <w:rPr>
          <w:spacing w:val="22"/>
        </w:rPr>
        <w:t> </w:t>
      </w:r>
      <w:r>
        <w:rPr/>
        <w:t>which</w:t>
      </w:r>
      <w:r>
        <w:rPr>
          <w:spacing w:val="22"/>
        </w:rPr>
        <w:t> </w:t>
      </w:r>
      <w:r>
        <w:rPr/>
        <w:t>Parliament</w:t>
      </w:r>
      <w:r>
        <w:rPr>
          <w:spacing w:val="22"/>
        </w:rPr>
        <w:t> </w:t>
      </w:r>
      <w:r>
        <w:rPr/>
        <w:t>intended</w:t>
      </w:r>
      <w:r>
        <w:rPr>
          <w:spacing w:val="22"/>
        </w:rPr>
        <w:t> </w:t>
      </w:r>
      <w:r>
        <w:rPr/>
        <w:t>to</w:t>
      </w:r>
      <w:r>
        <w:rPr>
          <w:spacing w:val="22"/>
        </w:rPr>
        <w:t> </w:t>
      </w:r>
      <w:r>
        <w:rPr/>
        <w:t>afford</w:t>
      </w:r>
      <w:r>
        <w:rPr>
          <w:spacing w:val="22"/>
        </w:rPr>
        <w:t> </w:t>
      </w:r>
      <w:r>
        <w:rPr/>
        <w:t>to</w:t>
      </w:r>
      <w:r>
        <w:rPr>
          <w:spacing w:val="22"/>
        </w:rPr>
        <w:t> </w:t>
      </w:r>
      <w:r>
        <w:rPr/>
        <w:t>potential</w:t>
      </w:r>
      <w:r>
        <w:rPr>
          <w:spacing w:val="22"/>
        </w:rPr>
        <w:t> </w:t>
      </w:r>
      <w:r>
        <w:rPr/>
        <w:t>victims</w:t>
      </w:r>
      <w:r>
        <w:rPr>
          <w:spacing w:val="22"/>
        </w:rPr>
        <w:t> </w:t>
      </w:r>
      <w:r>
        <w:rPr/>
        <w:t>of</w:t>
      </w:r>
      <w:r>
        <w:rPr>
          <w:spacing w:val="22"/>
        </w:rPr>
        <w:t> </w:t>
      </w:r>
      <w:r>
        <w:rPr/>
        <w:t>hybrid</w:t>
      </w:r>
      <w:r>
        <w:rPr>
          <w:spacing w:val="22"/>
        </w:rPr>
        <w:t> </w:t>
      </w:r>
      <w:r>
        <w:rPr>
          <w:spacing w:val="-2"/>
        </w:rPr>
        <w:t>authorities”.</w:t>
      </w:r>
    </w:p>
    <w:p>
      <w:pPr>
        <w:spacing w:line="112" w:lineRule="exact" w:before="0"/>
        <w:ind w:left="1245" w:right="0" w:firstLine="0"/>
        <w:jc w:val="left"/>
        <w:rPr>
          <w:sz w:val="12"/>
        </w:rPr>
      </w:pPr>
      <w:r>
        <w:rPr>
          <w:color w:val="005DA1"/>
          <w:spacing w:val="-5"/>
          <w:sz w:val="12"/>
          <w:u w:val="single" w:color="005DA1"/>
        </w:rPr>
        <w:t>638</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9"/>
        <w:rPr>
          <w:sz w:val="12"/>
        </w:rPr>
      </w:pPr>
    </w:p>
    <w:p>
      <w:pPr>
        <w:spacing w:before="0"/>
        <w:ind w:left="165" w:right="0" w:firstLine="0"/>
        <w:jc w:val="both"/>
        <w:rPr>
          <w:rFonts w:ascii="Arial"/>
          <w:b/>
          <w:sz w:val="18"/>
        </w:rPr>
      </w:pPr>
      <w:r>
        <w:rPr>
          <w:rFonts w:ascii="Arial"/>
          <w:b/>
          <w:sz w:val="18"/>
        </w:rPr>
        <w:t>Unlawful refusal to contract by public </w:t>
      </w:r>
      <w:r>
        <w:rPr>
          <w:rFonts w:ascii="Arial"/>
          <w:b/>
          <w:spacing w:val="-2"/>
          <w:sz w:val="18"/>
        </w:rPr>
        <w:t>authority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076</w:t>
      </w:r>
    </w:p>
    <w:p>
      <w:pPr>
        <w:pStyle w:val="BodyText"/>
        <w:spacing w:line="235" w:lineRule="auto" w:before="203"/>
        <w:ind w:left="164" w:right="167"/>
        <w:jc w:val="both"/>
      </w:pPr>
      <w:bookmarkStart w:name="_bookmark1180" w:id="1182"/>
      <w:bookmarkEnd w:id="1182"/>
      <w:r>
        <w:rPr/>
      </w:r>
      <w:r>
        <w:rPr/>
        <w:t>Section 6(6) of the 1998 Act provides that “‘[a]n act’ includes a failure to act”. In </w:t>
      </w:r>
      <w:r>
        <w:rPr>
          <w:rFonts w:ascii="Arial" w:hAnsi="Arial"/>
          <w:i/>
        </w:rPr>
        <w:t>R. (Haggerty) v St. Helen’s BC </w:t>
      </w:r>
      <w:r>
        <w:rPr>
          <w:color w:val="005DA1"/>
          <w:u w:val="single" w:color="005DA1"/>
          <w:vertAlign w:val="superscript"/>
        </w:rPr>
        <w:t>639</w:t>
      </w:r>
      <w:r>
        <w:rPr>
          <w:color w:val="005DA1"/>
          <w:vertAlign w:val="baseline"/>
        </w:rPr>
        <w:t> </w:t>
      </w:r>
      <w:r>
        <w:rPr>
          <w:vertAlign w:val="baseline"/>
        </w:rPr>
        <w:t>Silber J. was prepared to assume that a local authority’s decision not to enter a new </w:t>
      </w:r>
      <w:bookmarkStart w:name="_bookmark1181" w:id="1183"/>
      <w:bookmarkEnd w:id="1183"/>
      <w:r>
        <w:rPr>
          <w:vertAlign w:val="baseline"/>
        </w:rPr>
        <w:t>contract</w:t>
      </w:r>
      <w:r>
        <w:rPr>
          <w:vertAlign w:val="baseline"/>
        </w:rPr>
        <w:t> with a private sector provider for the provision of places in a nursing home in fulfilment of </w:t>
      </w:r>
      <w:r>
        <w:rPr>
          <w:vertAlign w:val="baseline"/>
        </w:rPr>
        <w:t>a statutory duty, </w:t>
      </w:r>
      <w:r>
        <w:rPr>
          <w:color w:val="005DA1"/>
          <w:u w:val="single" w:color="005DA1"/>
          <w:vertAlign w:val="superscript"/>
        </w:rPr>
        <w:t>640</w:t>
      </w:r>
      <w:r>
        <w:rPr>
          <w:color w:val="005DA1"/>
          <w:vertAlign w:val="baseline"/>
        </w:rPr>
        <w:t> </w:t>
      </w:r>
      <w:r>
        <w:rPr>
          <w:vertAlign w:val="baseline"/>
        </w:rPr>
        <w:t>did fall within s.6 so as to require its effects to be assessed as to their compatibility </w:t>
      </w:r>
      <w:bookmarkStart w:name="_bookmark1182" w:id="1184"/>
      <w:bookmarkEnd w:id="1184"/>
      <w:r>
        <w:rPr>
          <w:vertAlign w:val="baseline"/>
        </w:rPr>
        <w:t>with</w:t>
      </w:r>
      <w:r>
        <w:rPr>
          <w:vertAlign w:val="baseline"/>
        </w:rPr>
        <w:t> the Convention rights of the existing residents of the home (who had to move to other accommodation provided by the local authority as a result of its decision not to enter the contract). </w:t>
      </w:r>
      <w:r>
        <w:rPr>
          <w:color w:val="005DA1"/>
          <w:u w:val="single" w:color="005DA1"/>
          <w:vertAlign w:val="superscript"/>
        </w:rPr>
        <w:t>641</w:t>
      </w:r>
      <w:r>
        <w:rPr>
          <w:color w:val="005DA1"/>
          <w:vertAlign w:val="baseline"/>
        </w:rPr>
        <w:t> </w:t>
      </w:r>
      <w:r>
        <w:rPr>
          <w:vertAlign w:val="baseline"/>
        </w:rPr>
        <w:t>However, on the facts the learned judge held that this act of the local authority did not infringe any of their Convention rights.</w:t>
      </w:r>
    </w:p>
    <w:p>
      <w:pPr>
        <w:pStyle w:val="BodyText"/>
      </w:pPr>
    </w:p>
    <w:p>
      <w:pPr>
        <w:pStyle w:val="BodyText"/>
        <w:spacing w:before="35"/>
      </w:pPr>
    </w:p>
    <w:p>
      <w:pPr>
        <w:spacing w:before="1"/>
        <w:ind w:left="165" w:right="0" w:firstLine="0"/>
        <w:jc w:val="left"/>
        <w:rPr>
          <w:rFonts w:ascii="Arial"/>
          <w:b/>
          <w:sz w:val="18"/>
        </w:rPr>
      </w:pPr>
      <w:r>
        <w:rPr>
          <w:rFonts w:ascii="Arial"/>
          <w:b/>
          <w:sz w:val="18"/>
        </w:rPr>
        <w:t>Unlawful conclusion of </w:t>
      </w:r>
      <w:r>
        <w:rPr>
          <w:rFonts w:ascii="Arial"/>
          <w:b/>
          <w:spacing w:val="-2"/>
          <w:sz w:val="18"/>
        </w:rPr>
        <w:t>contract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077</w:t>
      </w:r>
    </w:p>
    <w:p>
      <w:pPr>
        <w:pStyle w:val="BodyText"/>
        <w:spacing w:line="235" w:lineRule="auto" w:before="203"/>
        <w:ind w:left="165" w:right="167"/>
        <w:jc w:val="both"/>
      </w:pPr>
      <w:bookmarkStart w:name="_bookmark1183" w:id="1185"/>
      <w:bookmarkEnd w:id="1185"/>
      <w:r>
        <w:rPr/>
      </w:r>
      <w:r>
        <w:rPr/>
        <w:t>Where a “public authority”, </w:t>
      </w:r>
      <w:r>
        <w:rPr>
          <w:color w:val="005DA1"/>
          <w:u w:val="single" w:color="005DA1"/>
          <w:vertAlign w:val="superscript"/>
        </w:rPr>
        <w:t>642</w:t>
      </w:r>
      <w:r>
        <w:rPr>
          <w:color w:val="005DA1"/>
          <w:vertAlign w:val="baseline"/>
        </w:rPr>
        <w:t> </w:t>
      </w:r>
      <w:r>
        <w:rPr>
          <w:vertAlign w:val="baseline"/>
        </w:rPr>
        <w:t>concludes a contract after the coming into force of the operative provisions of the 1998 Act, then the “act” of so doing would engage s.6 of the 1998 Act. Where this “act”</w:t>
      </w:r>
      <w:r>
        <w:rPr>
          <w:spacing w:val="2"/>
          <w:vertAlign w:val="baseline"/>
        </w:rPr>
        <w:t> </w:t>
      </w:r>
      <w:r>
        <w:rPr>
          <w:vertAlign w:val="baseline"/>
        </w:rPr>
        <w:t>is</w:t>
      </w:r>
      <w:r>
        <w:rPr>
          <w:spacing w:val="2"/>
          <w:vertAlign w:val="baseline"/>
        </w:rPr>
        <w:t> </w:t>
      </w:r>
      <w:r>
        <w:rPr>
          <w:vertAlign w:val="baseline"/>
        </w:rPr>
        <w:t>itself</w:t>
      </w:r>
      <w:r>
        <w:rPr>
          <w:spacing w:val="2"/>
          <w:vertAlign w:val="baseline"/>
        </w:rPr>
        <w:t> </w:t>
      </w:r>
      <w:r>
        <w:rPr>
          <w:vertAlign w:val="baseline"/>
        </w:rPr>
        <w:t>incompatible</w:t>
      </w:r>
      <w:r>
        <w:rPr>
          <w:spacing w:val="2"/>
          <w:vertAlign w:val="baseline"/>
        </w:rPr>
        <w:t> </w:t>
      </w:r>
      <w:r>
        <w:rPr>
          <w:vertAlign w:val="baseline"/>
        </w:rPr>
        <w:t>with</w:t>
      </w:r>
      <w:r>
        <w:rPr>
          <w:spacing w:val="2"/>
          <w:vertAlign w:val="baseline"/>
        </w:rPr>
        <w:t> </w:t>
      </w:r>
      <w:r>
        <w:rPr>
          <w:vertAlign w:val="baseline"/>
        </w:rPr>
        <w:t>a</w:t>
      </w:r>
      <w:r>
        <w:rPr>
          <w:spacing w:val="2"/>
          <w:vertAlign w:val="baseline"/>
        </w:rPr>
        <w:t> </w:t>
      </w:r>
      <w:r>
        <w:rPr>
          <w:vertAlign w:val="baseline"/>
        </w:rPr>
        <w:t>Convention</w:t>
      </w:r>
      <w:r>
        <w:rPr>
          <w:spacing w:val="2"/>
          <w:vertAlign w:val="baseline"/>
        </w:rPr>
        <w:t> </w:t>
      </w:r>
      <w:r>
        <w:rPr>
          <w:vertAlign w:val="baseline"/>
        </w:rPr>
        <w:t>right</w:t>
      </w:r>
      <w:r>
        <w:rPr>
          <w:spacing w:val="2"/>
          <w:vertAlign w:val="baseline"/>
        </w:rPr>
        <w:t> </w:t>
      </w:r>
      <w:r>
        <w:rPr>
          <w:vertAlign w:val="baseline"/>
        </w:rPr>
        <w:t>(either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party</w:t>
      </w:r>
      <w:r>
        <w:rPr>
          <w:spacing w:val="2"/>
          <w:vertAlign w:val="baseline"/>
        </w:rPr>
        <w:t> </w:t>
      </w:r>
      <w:r>
        <w:rPr>
          <w:vertAlign w:val="baseline"/>
        </w:rPr>
        <w:t>or</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third</w:t>
      </w:r>
      <w:r>
        <w:rPr>
          <w:spacing w:val="2"/>
          <w:vertAlign w:val="baseline"/>
        </w:rPr>
        <w:t> </w:t>
      </w:r>
      <w:r>
        <w:rPr>
          <w:vertAlign w:val="baseline"/>
        </w:rPr>
        <w:t>party)</w:t>
      </w:r>
      <w:r>
        <w:rPr>
          <w:spacing w:val="2"/>
          <w:vertAlign w:val="baseline"/>
        </w:rPr>
        <w:t> </w:t>
      </w:r>
      <w:r>
        <w:rPr>
          <w:vertAlign w:val="baseline"/>
        </w:rPr>
        <w:t>then</w:t>
      </w:r>
      <w:r>
        <w:rPr>
          <w:spacing w:val="2"/>
          <w:vertAlign w:val="baseline"/>
        </w:rPr>
        <w:t> </w:t>
      </w:r>
      <w:r>
        <w:rPr>
          <w:vertAlign w:val="baseline"/>
        </w:rPr>
        <w:t>it</w:t>
      </w:r>
      <w:r>
        <w:rPr>
          <w:spacing w:val="2"/>
          <w:vertAlign w:val="baseline"/>
        </w:rPr>
        <w:t> </w:t>
      </w:r>
      <w:r>
        <w:rPr>
          <w:spacing w:val="-5"/>
          <w:vertAlign w:val="baseline"/>
        </w:rPr>
        <w:t>is</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rendered “unlawful”. So, for example, it has been said that a local authority must bear in mind </w:t>
      </w:r>
      <w:r>
        <w:rPr/>
        <w:t>the </w:t>
      </w:r>
      <w:bookmarkStart w:name="_bookmark1184" w:id="1186"/>
      <w:bookmarkEnd w:id="1186"/>
      <w:r>
        <w:rPr/>
        <w:t>Convention</w:t>
      </w:r>
      <w:r>
        <w:rPr/>
        <w:t> rights of the residents of accommodation to be provided in performance of its functions under the National Assistance Act 1948 s.21 in making their contracts with private sector providers.</w:t>
      </w:r>
      <w:r>
        <w:rPr>
          <w:spacing w:val="40"/>
        </w:rPr>
        <w:t> </w:t>
      </w:r>
      <w:r>
        <w:rPr>
          <w:color w:val="005DA1"/>
          <w:u w:val="single" w:color="005DA1"/>
          <w:vertAlign w:val="superscript"/>
        </w:rPr>
        <w:t>643</w:t>
      </w:r>
      <w:r>
        <w:rPr>
          <w:color w:val="005DA1"/>
          <w:vertAlign w:val="baseline"/>
        </w:rPr>
        <w:t> </w:t>
      </w:r>
      <w:bookmarkStart w:name="_bookmark1185" w:id="1187"/>
      <w:bookmarkEnd w:id="1187"/>
      <w:r>
        <w:rPr>
          <w:color w:val="005DA1"/>
          <w:spacing w:val="7"/>
          <w:vertAlign w:val="baseline"/>
        </w:rPr>
      </w:r>
      <w:r>
        <w:rPr>
          <w:vertAlign w:val="baseline"/>
        </w:rPr>
        <w:t>Similarly, where a “public authority” concludes a contract of employment, it should bear in mind its employees’ Convention rights, notably, to freedom of expression and privacy. </w:t>
      </w:r>
      <w:r>
        <w:rPr>
          <w:color w:val="005DA1"/>
          <w:u w:val="single" w:color="005DA1"/>
          <w:vertAlign w:val="superscript"/>
        </w:rPr>
        <w:t>644</w:t>
      </w:r>
    </w:p>
    <w:p>
      <w:pPr>
        <w:pStyle w:val="BodyText"/>
      </w:pPr>
    </w:p>
    <w:p>
      <w:pPr>
        <w:pStyle w:val="BodyText"/>
        <w:spacing w:before="37"/>
      </w:pPr>
    </w:p>
    <w:p>
      <w:pPr>
        <w:spacing w:before="0"/>
        <w:ind w:left="165" w:right="0" w:firstLine="0"/>
        <w:jc w:val="both"/>
        <w:rPr>
          <w:rFonts w:ascii="Arial"/>
          <w:b/>
          <w:sz w:val="18"/>
        </w:rPr>
      </w:pPr>
      <w:r>
        <w:rPr>
          <w:rFonts w:ascii="Arial"/>
          <w:b/>
          <w:sz w:val="18"/>
        </w:rPr>
        <w:t>Unlawful manner of performance of </w:t>
      </w:r>
      <w:r>
        <w:rPr>
          <w:rFonts w:ascii="Arial"/>
          <w:b/>
          <w:spacing w:val="-2"/>
          <w:sz w:val="18"/>
        </w:rPr>
        <w:t>contract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078</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Section 6 of the 1998 Act may also affect the way in which a “public authority” ought to act </w:t>
      </w:r>
      <w:r>
        <w:rPr/>
        <w:t>in performance of, or in relation to a situation created by, a contract. An example may be found in the </w:t>
      </w:r>
      <w:bookmarkStart w:name="_bookmark1186" w:id="1188"/>
      <w:bookmarkEnd w:id="1188"/>
      <w:r>
        <w:rPr/>
        <w:t>actions</w:t>
      </w:r>
      <w:r>
        <w:rPr/>
        <w:t> of a public employer, which must not act inconsistently with the Convention rights of its </w:t>
      </w:r>
      <w:bookmarkStart w:name="_bookmark1187" w:id="1189"/>
      <w:bookmarkEnd w:id="1189"/>
      <w:r>
        <w:rPr/>
        <w:t>employees,</w:t>
      </w:r>
      <w:r>
        <w:rPr/>
        <w:t> for instance, as regards the secret monitoring of their telephone conversations. </w:t>
      </w:r>
      <w:r>
        <w:rPr>
          <w:color w:val="005DA1"/>
          <w:u w:val="single" w:color="005DA1"/>
          <w:vertAlign w:val="superscript"/>
        </w:rPr>
        <w:t>645</w:t>
      </w:r>
      <w:r>
        <w:rPr>
          <w:color w:val="005DA1"/>
          <w:vertAlign w:val="baseline"/>
        </w:rPr>
        <w:t> </w:t>
      </w:r>
      <w:r>
        <w:rPr>
          <w:vertAlign w:val="baseline"/>
        </w:rPr>
        <w:t>An </w:t>
      </w:r>
      <w:bookmarkStart w:name="_bookmark1188" w:id="1190"/>
      <w:bookmarkEnd w:id="1190"/>
      <w:r>
        <w:rPr>
          <w:vertAlign w:val="baseline"/>
        </w:rPr>
        <w:t>important</w:t>
      </w:r>
      <w:r>
        <w:rPr>
          <w:vertAlign w:val="baseline"/>
        </w:rPr>
        <w:t> series of examples can be found in the context of public sector housing. </w:t>
      </w:r>
      <w:r>
        <w:rPr>
          <w:color w:val="005DA1"/>
          <w:u w:val="single" w:color="005DA1"/>
          <w:vertAlign w:val="superscript"/>
        </w:rPr>
        <w:t>646</w:t>
      </w:r>
      <w:r>
        <w:rPr>
          <w:color w:val="005DA1"/>
          <w:vertAlign w:val="baseline"/>
        </w:rPr>
        <w:t> </w:t>
      </w:r>
      <w:r>
        <w:rPr>
          <w:vertAlign w:val="baseline"/>
        </w:rPr>
        <w:t>In </w:t>
      </w:r>
      <w:r>
        <w:rPr>
          <w:rFonts w:ascii="Arial" w:hAnsi="Arial"/>
          <w:i/>
          <w:vertAlign w:val="baseline"/>
        </w:rPr>
        <w:t>Lee v Leeds City Council</w:t>
      </w:r>
      <w:r>
        <w:rPr>
          <w:vertAlign w:val="baseline"/>
        </w:rPr>
        <w:t>, </w:t>
      </w:r>
      <w:r>
        <w:rPr>
          <w:color w:val="005DA1"/>
          <w:u w:val="single" w:color="005DA1"/>
          <w:vertAlign w:val="superscript"/>
        </w:rPr>
        <w:t>647</w:t>
      </w:r>
      <w:r>
        <w:rPr>
          <w:color w:val="005DA1"/>
          <w:vertAlign w:val="baseline"/>
        </w:rPr>
        <w:t> </w:t>
      </w:r>
      <w:r>
        <w:rPr>
          <w:vertAlign w:val="baseline"/>
        </w:rPr>
        <w:t>the Court of Appeal proceeded on the basis that a local authority acted as a “public authority” in relation to the provision of public sector housing and that this therefore imposed on it a statutory duty to take steps to ensure that the condition of the houses which they provided was such </w:t>
      </w:r>
      <w:bookmarkStart w:name="_bookmark1189" w:id="1191"/>
      <w:bookmarkEnd w:id="1191"/>
      <w:r>
        <w:rPr>
          <w:vertAlign w:val="baseline"/>
        </w:rPr>
        <w:t>that</w:t>
      </w:r>
      <w:r>
        <w:rPr>
          <w:vertAlign w:val="baseline"/>
        </w:rPr>
        <w:t> their tenants’ rights to respect of their private and family life under art.8 of the European Convention were not infringed. </w:t>
      </w:r>
      <w:r>
        <w:rPr>
          <w:color w:val="005DA1"/>
          <w:u w:val="single" w:color="005DA1"/>
          <w:vertAlign w:val="superscript"/>
        </w:rPr>
        <w:t>648</w:t>
      </w:r>
      <w:r>
        <w:rPr>
          <w:color w:val="005DA1"/>
          <w:vertAlign w:val="baseline"/>
        </w:rPr>
        <w:t> </w:t>
      </w:r>
      <w:r>
        <w:rPr>
          <w:vertAlign w:val="baseline"/>
        </w:rPr>
        <w:t>However, according to the Court of Appeal:</w:t>
      </w:r>
    </w:p>
    <w:p>
      <w:pPr>
        <w:pStyle w:val="BodyText"/>
      </w:pPr>
    </w:p>
    <w:p>
      <w:pPr>
        <w:pStyle w:val="BodyText"/>
        <w:spacing w:before="123"/>
      </w:pPr>
    </w:p>
    <w:p>
      <w:pPr>
        <w:pStyle w:val="BodyText"/>
        <w:spacing w:line="235" w:lineRule="auto"/>
        <w:ind w:left="1245" w:right="167"/>
        <w:jc w:val="both"/>
      </w:pPr>
      <w:r>
        <w:rPr/>
        <w:t>“The steps which a public authority will be required to take in order to ensure </w:t>
      </w:r>
      <w:r>
        <w:rPr/>
        <w:t>compliance with Article 8 … must be determined, in each case, by having due regard to the needs and resources of the community and of individuals, [having regard to the fact that] [t]he </w:t>
      </w:r>
      <w:bookmarkStart w:name="_bookmark1190" w:id="1192"/>
      <w:bookmarkEnd w:id="1192"/>
      <w:r>
        <w:rPr/>
        <w:t>allocation</w:t>
      </w:r>
      <w:r>
        <w:rPr/>
        <w:t> of resources to meet the needs of social housing is very much a matter for democratically determined priorities”. </w:t>
      </w:r>
      <w:r>
        <w:rPr>
          <w:color w:val="005DA1"/>
          <w:u w:val="single" w:color="005DA1"/>
          <w:vertAlign w:val="superscript"/>
        </w:rPr>
        <w:t>649</w:t>
      </w:r>
    </w:p>
    <w:p>
      <w:pPr>
        <w:pStyle w:val="BodyText"/>
        <w:spacing w:before="115"/>
      </w:pPr>
    </w:p>
    <w:p>
      <w:pPr>
        <w:pStyle w:val="BodyText"/>
        <w:spacing w:line="235" w:lineRule="auto"/>
        <w:ind w:left="164" w:right="166"/>
        <w:jc w:val="both"/>
      </w:pPr>
      <w:r>
        <w:rPr/>
        <w:t>In relation to the cases before it, the Court of Appeal held that no breach of the statutory duty which it </w:t>
      </w:r>
      <w:bookmarkStart w:name="_bookmark1191" w:id="1193"/>
      <w:bookmarkEnd w:id="1193"/>
      <w:r>
        <w:rPr/>
        <w:t>had</w:t>
      </w:r>
      <w:r>
        <w:rPr/>
        <w:t> identified had been established, in part owing to the proceedings being by way of </w:t>
      </w:r>
      <w:r>
        <w:rPr/>
        <w:t>preliminary issues without any determination of the relevant facts. </w:t>
      </w:r>
      <w:r>
        <w:rPr>
          <w:color w:val="005DA1"/>
          <w:u w:val="single" w:color="005DA1"/>
          <w:vertAlign w:val="superscript"/>
        </w:rPr>
        <w:t>650</w:t>
      </w:r>
      <w:r>
        <w:rPr>
          <w:color w:val="005DA1"/>
          <w:vertAlign w:val="baseline"/>
        </w:rPr>
        <w:t> </w:t>
      </w:r>
      <w:r>
        <w:rPr>
          <w:vertAlign w:val="baseline"/>
        </w:rPr>
        <w:t>In two important decisions, the Supreme Court</w:t>
      </w:r>
      <w:r>
        <w:rPr>
          <w:spacing w:val="-1"/>
          <w:vertAlign w:val="baseline"/>
        </w:rPr>
        <w:t> </w:t>
      </w:r>
      <w:r>
        <w:rPr>
          <w:vertAlign w:val="baseline"/>
        </w:rPr>
        <w:t>considered</w:t>
      </w:r>
      <w:r>
        <w:rPr>
          <w:spacing w:val="-1"/>
          <w:vertAlign w:val="baseline"/>
        </w:rPr>
        <w:t> </w:t>
      </w:r>
      <w:r>
        <w:rPr>
          <w:vertAlign w:val="baseline"/>
        </w:rPr>
        <w:t>the</w:t>
      </w:r>
      <w:r>
        <w:rPr>
          <w:spacing w:val="-1"/>
          <w:vertAlign w:val="baseline"/>
        </w:rPr>
        <w:t> </w:t>
      </w:r>
      <w:r>
        <w:rPr>
          <w:vertAlign w:val="baseline"/>
        </w:rPr>
        <w:t>implications</w:t>
      </w:r>
      <w:r>
        <w:rPr>
          <w:spacing w:val="-1"/>
          <w:vertAlign w:val="baseline"/>
        </w:rPr>
        <w:t> </w:t>
      </w:r>
      <w:r>
        <w:rPr>
          <w:vertAlign w:val="baseline"/>
        </w:rPr>
        <w:t>of</w:t>
      </w:r>
      <w:r>
        <w:rPr>
          <w:spacing w:val="-1"/>
          <w:vertAlign w:val="baseline"/>
        </w:rPr>
        <w:t> </w:t>
      </w:r>
      <w:r>
        <w:rPr>
          <w:vertAlign w:val="baseline"/>
        </w:rPr>
        <w:t>more</w:t>
      </w:r>
      <w:r>
        <w:rPr>
          <w:spacing w:val="-1"/>
          <w:vertAlign w:val="baseline"/>
        </w:rPr>
        <w:t> </w:t>
      </w:r>
      <w:r>
        <w:rPr>
          <w:vertAlign w:val="baseline"/>
        </w:rPr>
        <w:t>recent</w:t>
      </w:r>
      <w:r>
        <w:rPr>
          <w:spacing w:val="-1"/>
          <w:vertAlign w:val="baseline"/>
        </w:rPr>
        <w:t> </w:t>
      </w:r>
      <w:r>
        <w:rPr>
          <w:vertAlign w:val="baseline"/>
        </w:rPr>
        <w:t>case</w:t>
      </w:r>
      <w:r>
        <w:rPr>
          <w:spacing w:val="-1"/>
          <w:vertAlign w:val="baseline"/>
        </w:rPr>
        <w:t> </w:t>
      </w:r>
      <w:r>
        <w:rPr>
          <w:vertAlign w:val="baseline"/>
        </w:rPr>
        <w:t>law</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European</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Human</w:t>
      </w:r>
      <w:r>
        <w:rPr>
          <w:spacing w:val="-1"/>
          <w:vertAlign w:val="baseline"/>
        </w:rPr>
        <w:t> </w:t>
      </w:r>
      <w:r>
        <w:rPr>
          <w:vertAlign w:val="baseline"/>
        </w:rPr>
        <w:t>Rights</w:t>
      </w:r>
      <w:r>
        <w:rPr>
          <w:spacing w:val="-1"/>
          <w:vertAlign w:val="baseline"/>
        </w:rPr>
        <w:t> </w:t>
      </w:r>
      <w:r>
        <w:rPr>
          <w:vertAlign w:val="baseline"/>
        </w:rPr>
        <w:t>on </w:t>
      </w:r>
      <w:bookmarkStart w:name="_bookmark1192" w:id="1194"/>
      <w:bookmarkEnd w:id="1194"/>
      <w:r>
        <w:rPr>
          <w:vertAlign w:val="baseline"/>
        </w:rPr>
        <w:t>the</w:t>
      </w:r>
      <w:r>
        <w:rPr>
          <w:vertAlign w:val="baseline"/>
        </w:rPr>
        <w:t> protection of a person’s right to respect of his home under art.8 of the Convention in relation to claims for possession of a person’s home by a public authority landlord. </w:t>
      </w:r>
      <w:r>
        <w:rPr>
          <w:color w:val="005DA1"/>
          <w:u w:val="single" w:color="005DA1"/>
          <w:vertAlign w:val="superscript"/>
        </w:rPr>
        <w:t>651</w:t>
      </w:r>
      <w:r>
        <w:rPr>
          <w:color w:val="005DA1"/>
          <w:vertAlign w:val="baseline"/>
        </w:rPr>
        <w:t> </w:t>
      </w:r>
      <w:r>
        <w:rPr>
          <w:vertAlign w:val="baseline"/>
        </w:rPr>
        <w:t>In </w:t>
      </w:r>
      <w:r>
        <w:rPr>
          <w:rFonts w:ascii="Arial" w:hAnsi="Arial"/>
          <w:i/>
          <w:vertAlign w:val="baseline"/>
        </w:rPr>
        <w:t>Manchester City</w:t>
      </w:r>
      <w:r>
        <w:rPr>
          <w:rFonts w:ascii="Arial" w:hAnsi="Arial"/>
          <w:i/>
          <w:spacing w:val="40"/>
          <w:vertAlign w:val="baseline"/>
        </w:rPr>
        <w:t> </w:t>
      </w:r>
      <w:r>
        <w:rPr>
          <w:rFonts w:ascii="Arial" w:hAnsi="Arial"/>
          <w:i/>
          <w:vertAlign w:val="baseline"/>
        </w:rPr>
        <w:t>Council v Pinnock </w:t>
      </w:r>
      <w:r>
        <w:rPr>
          <w:vertAlign w:val="baseline"/>
        </w:rPr>
        <w:t>the Supreme Court held that this case-law made clear that “where a court is asked to make an order for possession of a person’s home at the suit of a local authority, the court must </w:t>
      </w:r>
      <w:bookmarkStart w:name="_bookmark1193" w:id="1195"/>
      <w:bookmarkEnd w:id="1195"/>
      <w:r>
        <w:rPr>
          <w:vertAlign w:val="baseline"/>
        </w:rPr>
        <w:t>have</w:t>
      </w:r>
      <w:r>
        <w:rPr>
          <w:vertAlign w:val="baseline"/>
        </w:rPr>
        <w:t> the power to assess the proportionality of making the order, and, in making that assessment, to resolve</w:t>
      </w:r>
      <w:r>
        <w:rPr>
          <w:spacing w:val="-3"/>
          <w:vertAlign w:val="baseline"/>
        </w:rPr>
        <w:t> </w:t>
      </w:r>
      <w:r>
        <w:rPr>
          <w:vertAlign w:val="baseline"/>
        </w:rPr>
        <w:t>any</w:t>
      </w:r>
      <w:r>
        <w:rPr>
          <w:spacing w:val="-3"/>
          <w:vertAlign w:val="baseline"/>
        </w:rPr>
        <w:t> </w:t>
      </w:r>
      <w:r>
        <w:rPr>
          <w:vertAlign w:val="baseline"/>
        </w:rPr>
        <w:t>relevant</w:t>
      </w:r>
      <w:r>
        <w:rPr>
          <w:spacing w:val="-3"/>
          <w:vertAlign w:val="baseline"/>
        </w:rPr>
        <w:t> </w:t>
      </w:r>
      <w:r>
        <w:rPr>
          <w:vertAlign w:val="baseline"/>
        </w:rPr>
        <w:t>dispute</w:t>
      </w:r>
      <w:r>
        <w:rPr>
          <w:spacing w:val="-3"/>
          <w:vertAlign w:val="baseline"/>
        </w:rPr>
        <w:t> </w:t>
      </w:r>
      <w:r>
        <w:rPr>
          <w:vertAlign w:val="baseline"/>
        </w:rPr>
        <w:t>of</w:t>
      </w:r>
      <w:r>
        <w:rPr>
          <w:spacing w:val="-3"/>
          <w:vertAlign w:val="baseline"/>
        </w:rPr>
        <w:t> </w:t>
      </w:r>
      <w:r>
        <w:rPr>
          <w:vertAlign w:val="baseline"/>
        </w:rPr>
        <w:t>fact”</w:t>
      </w:r>
      <w:r>
        <w:rPr>
          <w:spacing w:val="-3"/>
          <w:vertAlign w:val="baseline"/>
        </w:rPr>
        <w:t> </w:t>
      </w:r>
      <w:r>
        <w:rPr>
          <w:color w:val="005DA1"/>
          <w:u w:val="single" w:color="005DA1"/>
          <w:vertAlign w:val="superscript"/>
        </w:rPr>
        <w:t>652</w:t>
      </w:r>
      <w:r>
        <w:rPr>
          <w:color w:val="005DA1"/>
          <w:spacing w:val="-3"/>
          <w:vertAlign w:val="baseline"/>
        </w:rPr>
        <w:t> </w:t>
      </w:r>
      <w:r>
        <w:rPr>
          <w:vertAlign w:val="baseline"/>
        </w:rPr>
        <w:t>and</w:t>
      </w:r>
      <w:r>
        <w:rPr>
          <w:spacing w:val="-3"/>
          <w:vertAlign w:val="baseline"/>
        </w:rPr>
        <w:t> </w:t>
      </w:r>
      <w:r>
        <w:rPr>
          <w:vertAlign w:val="baseline"/>
        </w:rPr>
        <w:t>that</w:t>
      </w:r>
      <w:r>
        <w:rPr>
          <w:spacing w:val="-3"/>
          <w:vertAlign w:val="baseline"/>
        </w:rPr>
        <w:t> </w:t>
      </w:r>
      <w:r>
        <w:rPr>
          <w:vertAlign w:val="baseline"/>
        </w:rPr>
        <w:t>this</w:t>
      </w:r>
      <w:r>
        <w:rPr>
          <w:spacing w:val="-3"/>
          <w:vertAlign w:val="baseline"/>
        </w:rPr>
        <w:t> </w:t>
      </w:r>
      <w:r>
        <w:rPr>
          <w:vertAlign w:val="baseline"/>
        </w:rPr>
        <w:t>“unambiguous</w:t>
      </w:r>
      <w:r>
        <w:rPr>
          <w:spacing w:val="-3"/>
          <w:vertAlign w:val="baseline"/>
        </w:rPr>
        <w:t> </w:t>
      </w:r>
      <w:r>
        <w:rPr>
          <w:vertAlign w:val="baseline"/>
        </w:rPr>
        <w:t>and</w:t>
      </w:r>
      <w:r>
        <w:rPr>
          <w:spacing w:val="-3"/>
          <w:vertAlign w:val="baseline"/>
        </w:rPr>
        <w:t> </w:t>
      </w:r>
      <w:r>
        <w:rPr>
          <w:vertAlign w:val="baseline"/>
        </w:rPr>
        <w:t>consistent</w:t>
      </w:r>
      <w:r>
        <w:rPr>
          <w:spacing w:val="-3"/>
          <w:vertAlign w:val="baseline"/>
        </w:rPr>
        <w:t> </w:t>
      </w:r>
      <w:r>
        <w:rPr>
          <w:vertAlign w:val="baseline"/>
        </w:rPr>
        <w:t>approach”</w:t>
      </w:r>
      <w:r>
        <w:rPr>
          <w:spacing w:val="-3"/>
          <w:vertAlign w:val="baseline"/>
        </w:rPr>
        <w:t> </w:t>
      </w:r>
      <w:r>
        <w:rPr>
          <w:color w:val="005DA1"/>
          <w:u w:val="single" w:color="005DA1"/>
          <w:vertAlign w:val="superscript"/>
        </w:rPr>
        <w:t>653</w:t>
      </w:r>
      <w:r>
        <w:rPr>
          <w:color w:val="005DA1"/>
          <w:spacing w:val="-3"/>
          <w:vertAlign w:val="baseline"/>
        </w:rPr>
        <w:t> </w:t>
      </w:r>
      <w:r>
        <w:rPr>
          <w:vertAlign w:val="baseline"/>
        </w:rPr>
        <w:t>in</w:t>
      </w:r>
      <w:r>
        <w:rPr>
          <w:spacing w:val="-3"/>
          <w:vertAlign w:val="baseline"/>
        </w:rPr>
        <w:t> </w:t>
      </w:r>
      <w:r>
        <w:rPr>
          <w:vertAlign w:val="baseline"/>
        </w:rPr>
        <w:t>the </w:t>
      </w:r>
      <w:bookmarkStart w:name="_bookmark1194" w:id="1196"/>
      <w:bookmarkEnd w:id="1196"/>
      <w:r>
        <w:rPr>
          <w:vertAlign w:val="baseline"/>
        </w:rPr>
        <w:t>European</w:t>
      </w:r>
      <w:r>
        <w:rPr>
          <w:vertAlign w:val="baseline"/>
        </w:rPr>
        <w:t> Court of Human Rights should be followed by the Supreme Court, despite three previous decisions of the House of Lords to the contrary. </w:t>
      </w:r>
      <w:r>
        <w:rPr>
          <w:color w:val="005DA1"/>
          <w:u w:val="single" w:color="005DA1"/>
          <w:vertAlign w:val="superscript"/>
        </w:rPr>
        <w:t>654</w:t>
      </w:r>
      <w:r>
        <w:rPr>
          <w:color w:val="005DA1"/>
          <w:vertAlign w:val="baseline"/>
        </w:rPr>
        <w:t> </w:t>
      </w:r>
      <w:r>
        <w:rPr>
          <w:vertAlign w:val="baseline"/>
        </w:rPr>
        <w:t>Where, therefore, a local authority which had obtained a court order to “demote” a secured tenant on the ground that he or persons living with him were engaged in housing-related anti-social conduct or conduct which used the premises for unlawful purposes, then sought a court order for possession of the premises under s.143D(1) of the Housing </w:t>
      </w:r>
      <w:bookmarkStart w:name="_bookmark1195" w:id="1197"/>
      <w:bookmarkEnd w:id="1197"/>
      <w:r>
        <w:rPr>
          <w:vertAlign w:val="baseline"/>
        </w:rPr>
        <w:t>Act</w:t>
      </w:r>
      <w:r>
        <w:rPr>
          <w:vertAlign w:val="baseline"/>
        </w:rPr>
        <w:t> 1996, the provisions of the Act which required the court to grant the order subject to certain </w:t>
      </w:r>
      <w:bookmarkStart w:name="_bookmark1196" w:id="1198"/>
      <w:bookmarkEnd w:id="1198"/>
      <w:r>
        <w:rPr>
          <w:vertAlign w:val="baseline"/>
        </w:rPr>
        <w:t>procedural</w:t>
      </w:r>
      <w:r>
        <w:rPr>
          <w:vertAlign w:val="baseline"/>
        </w:rPr>
        <w:t> requirements </w:t>
      </w:r>
      <w:r>
        <w:rPr>
          <w:color w:val="005DA1"/>
          <w:u w:val="single" w:color="005DA1"/>
          <w:vertAlign w:val="superscript"/>
        </w:rPr>
        <w:t>655</w:t>
      </w:r>
      <w:r>
        <w:rPr>
          <w:color w:val="005DA1"/>
          <w:vertAlign w:val="baseline"/>
        </w:rPr>
        <w:t> </w:t>
      </w:r>
      <w:r>
        <w:rPr>
          <w:vertAlign w:val="baseline"/>
        </w:rPr>
        <w:t>could and should be interpreted as requiring the court to consider</w:t>
      </w:r>
      <w:r>
        <w:rPr>
          <w:spacing w:val="40"/>
          <w:vertAlign w:val="baseline"/>
        </w:rPr>
        <w:t> </w:t>
      </w:r>
      <w:r>
        <w:rPr>
          <w:vertAlign w:val="baseline"/>
        </w:rPr>
        <w:t>whether the local authority landlord had considered its tenant’s art.8 rights. </w:t>
      </w:r>
      <w:r>
        <w:rPr>
          <w:color w:val="005DA1"/>
          <w:u w:val="single" w:color="005DA1"/>
          <w:vertAlign w:val="superscript"/>
        </w:rPr>
        <w:t>656</w:t>
      </w:r>
      <w:r>
        <w:rPr>
          <w:color w:val="005DA1"/>
          <w:vertAlign w:val="baseline"/>
        </w:rPr>
        <w:t> </w:t>
      </w:r>
      <w:r>
        <w:rPr>
          <w:vertAlign w:val="baseline"/>
        </w:rPr>
        <w:t>The Supreme Court considered that its decision would have implications beyond the special context of claims for </w:t>
      </w:r>
      <w:bookmarkStart w:name="_bookmark1197" w:id="1199"/>
      <w:bookmarkEnd w:id="1199"/>
      <w:r>
        <w:rPr>
          <w:vertAlign w:val="baseline"/>
        </w:rPr>
        <w:t>possession</w:t>
      </w:r>
      <w:r>
        <w:rPr>
          <w:spacing w:val="48"/>
          <w:vertAlign w:val="baseline"/>
        </w:rPr>
        <w:t> </w:t>
      </w:r>
      <w:r>
        <w:rPr>
          <w:vertAlign w:val="baseline"/>
        </w:rPr>
        <w:t>against</w:t>
      </w:r>
      <w:r>
        <w:rPr>
          <w:spacing w:val="48"/>
          <w:vertAlign w:val="baseline"/>
        </w:rPr>
        <w:t> </w:t>
      </w:r>
      <w:r>
        <w:rPr>
          <w:vertAlign w:val="baseline"/>
        </w:rPr>
        <w:t>“demoted</w:t>
      </w:r>
      <w:r>
        <w:rPr>
          <w:spacing w:val="48"/>
          <w:vertAlign w:val="baseline"/>
        </w:rPr>
        <w:t> </w:t>
      </w:r>
      <w:r>
        <w:rPr>
          <w:vertAlign w:val="baseline"/>
        </w:rPr>
        <w:t>tenants”,</w:t>
      </w:r>
      <w:r>
        <w:rPr>
          <w:spacing w:val="48"/>
          <w:vertAlign w:val="baseline"/>
        </w:rPr>
        <w:t> </w:t>
      </w:r>
      <w:r>
        <w:rPr>
          <w:vertAlign w:val="baseline"/>
        </w:rPr>
        <w:t>although</w:t>
      </w:r>
      <w:r>
        <w:rPr>
          <w:spacing w:val="48"/>
          <w:vertAlign w:val="baseline"/>
        </w:rPr>
        <w:t> </w:t>
      </w:r>
      <w:r>
        <w:rPr>
          <w:vertAlign w:val="baseline"/>
        </w:rPr>
        <w:t>it</w:t>
      </w:r>
      <w:r>
        <w:rPr>
          <w:spacing w:val="48"/>
          <w:vertAlign w:val="baseline"/>
        </w:rPr>
        <w:t> </w:t>
      </w:r>
      <w:r>
        <w:rPr>
          <w:vertAlign w:val="baseline"/>
        </w:rPr>
        <w:t>noted</w:t>
      </w:r>
      <w:r>
        <w:rPr>
          <w:spacing w:val="48"/>
          <w:vertAlign w:val="baseline"/>
        </w:rPr>
        <w:t> </w:t>
      </w:r>
      <w:r>
        <w:rPr>
          <w:vertAlign w:val="baseline"/>
        </w:rPr>
        <w:t>that,</w:t>
      </w:r>
      <w:r>
        <w:rPr>
          <w:spacing w:val="48"/>
          <w:vertAlign w:val="baseline"/>
        </w:rPr>
        <w:t> </w:t>
      </w:r>
      <w:r>
        <w:rPr>
          <w:vertAlign w:val="baseline"/>
        </w:rPr>
        <w:t>as</w:t>
      </w:r>
      <w:r>
        <w:rPr>
          <w:spacing w:val="48"/>
          <w:vertAlign w:val="baseline"/>
        </w:rPr>
        <w:t> </w:t>
      </w:r>
      <w:r>
        <w:rPr>
          <w:vertAlign w:val="baseline"/>
        </w:rPr>
        <w:t>regards</w:t>
      </w:r>
      <w:r>
        <w:rPr>
          <w:spacing w:val="48"/>
          <w:vertAlign w:val="baseline"/>
        </w:rPr>
        <w:t> </w:t>
      </w:r>
      <w:r>
        <w:rPr>
          <w:vertAlign w:val="baseline"/>
        </w:rPr>
        <w:t>public</w:t>
      </w:r>
      <w:r>
        <w:rPr>
          <w:spacing w:val="48"/>
          <w:vertAlign w:val="baseline"/>
        </w:rPr>
        <w:t> </w:t>
      </w:r>
      <w:r>
        <w:rPr>
          <w:vertAlign w:val="baseline"/>
        </w:rPr>
        <w:t>sector</w:t>
      </w:r>
      <w:r>
        <w:rPr>
          <w:spacing w:val="48"/>
          <w:vertAlign w:val="baseline"/>
        </w:rPr>
        <w:t> </w:t>
      </w:r>
      <w:r>
        <w:rPr>
          <w:spacing w:val="-2"/>
          <w:vertAlign w:val="baseline"/>
        </w:rPr>
        <w:t>“secured</w:t>
      </w:r>
    </w:p>
    <w:p>
      <w:pPr>
        <w:pStyle w:val="BodyText"/>
        <w:spacing w:line="235" w:lineRule="auto" w:before="112"/>
        <w:ind w:left="164" w:right="167"/>
        <w:jc w:val="both"/>
      </w:pPr>
      <w:bookmarkStart w:name="_bookmark1198" w:id="1200"/>
      <w:bookmarkEnd w:id="1200"/>
      <w:r>
        <w:rPr/>
      </w:r>
      <w:r>
        <w:rPr/>
        <w:t>tenants”, </w:t>
      </w:r>
      <w:r>
        <w:rPr>
          <w:color w:val="005DA1"/>
          <w:u w:val="single" w:color="005DA1"/>
          <w:vertAlign w:val="superscript"/>
        </w:rPr>
        <w:t>657</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34"/>
          <w:vertAlign w:val="baseline"/>
        </w:rPr>
        <w:t> </w:t>
      </w:r>
      <w:r>
        <w:rPr>
          <w:vertAlign w:val="baseline"/>
        </w:rPr>
        <w:t>there would be “no difficulties of principle or practice” since “no order for </w:t>
      </w:r>
      <w:r>
        <w:rPr>
          <w:vertAlign w:val="baseline"/>
        </w:rPr>
        <w:t>possession can be made against a secure tenant unless, inter alia, it is reasonable to make the order” </w:t>
      </w:r>
      <w:r>
        <w:rPr>
          <w:color w:val="005DA1"/>
          <w:u w:val="single" w:color="005DA1"/>
          <w:vertAlign w:val="superscript"/>
        </w:rPr>
        <w:t>658</w:t>
      </w:r>
      <w:r>
        <w:rPr>
          <w:vertAlign w:val="baseline"/>
        </w:rPr>
        <w:t>: given </w:t>
      </w:r>
      <w:r>
        <w:rPr>
          <w:spacing w:val="-4"/>
          <w:vertAlign w:val="baseline"/>
        </w:rPr>
        <w:t>that</w:t>
      </w:r>
    </w:p>
    <w:p>
      <w:pPr>
        <w:pStyle w:val="BodyText"/>
      </w:pPr>
    </w:p>
    <w:p>
      <w:pPr>
        <w:pStyle w:val="BodyText"/>
        <w:spacing w:before="122"/>
      </w:pPr>
    </w:p>
    <w:p>
      <w:pPr>
        <w:pStyle w:val="BodyText"/>
        <w:spacing w:line="227" w:lineRule="exact"/>
        <w:ind w:left="1245"/>
        <w:jc w:val="both"/>
      </w:pPr>
      <w:r>
        <w:rPr/>
        <w:t>“reasonableness</w:t>
      </w:r>
      <w:r>
        <w:rPr>
          <w:spacing w:val="18"/>
        </w:rPr>
        <w:t> </w:t>
      </w:r>
      <w:r>
        <w:rPr/>
        <w:t>involves</w:t>
      </w:r>
      <w:r>
        <w:rPr>
          <w:spacing w:val="18"/>
        </w:rPr>
        <w:t> </w:t>
      </w:r>
      <w:r>
        <w:rPr/>
        <w:t>the</w:t>
      </w:r>
      <w:r>
        <w:rPr>
          <w:spacing w:val="18"/>
        </w:rPr>
        <w:t> </w:t>
      </w:r>
      <w:r>
        <w:rPr/>
        <w:t>trial</w:t>
      </w:r>
      <w:r>
        <w:rPr>
          <w:spacing w:val="18"/>
        </w:rPr>
        <w:t> </w:t>
      </w:r>
      <w:r>
        <w:rPr/>
        <w:t>judge</w:t>
      </w:r>
      <w:r>
        <w:rPr>
          <w:spacing w:val="18"/>
        </w:rPr>
        <w:t> </w:t>
      </w:r>
      <w:r>
        <w:rPr/>
        <w:t>‘tak[ing]</w:t>
      </w:r>
      <w:r>
        <w:rPr>
          <w:spacing w:val="18"/>
        </w:rPr>
        <w:t> </w:t>
      </w:r>
      <w:r>
        <w:rPr/>
        <w:t>into</w:t>
      </w:r>
      <w:r>
        <w:rPr>
          <w:spacing w:val="18"/>
        </w:rPr>
        <w:t> </w:t>
      </w:r>
      <w:r>
        <w:rPr/>
        <w:t>account</w:t>
      </w:r>
      <w:r>
        <w:rPr>
          <w:spacing w:val="18"/>
        </w:rPr>
        <w:t> </w:t>
      </w:r>
      <w:r>
        <w:rPr/>
        <w:t>all</w:t>
      </w:r>
      <w:r>
        <w:rPr>
          <w:spacing w:val="18"/>
        </w:rPr>
        <w:t> </w:t>
      </w:r>
      <w:r>
        <w:rPr/>
        <w:t>relevant</w:t>
      </w:r>
      <w:r>
        <w:rPr>
          <w:spacing w:val="18"/>
        </w:rPr>
        <w:t> </w:t>
      </w:r>
      <w:r>
        <w:rPr>
          <w:spacing w:val="-2"/>
        </w:rPr>
        <w:t>circumstances</w:t>
      </w:r>
    </w:p>
    <w:p>
      <w:pPr>
        <w:pStyle w:val="BodyText"/>
        <w:spacing w:line="235" w:lineRule="auto" w:before="1"/>
        <w:ind w:left="1245" w:right="167"/>
        <w:jc w:val="both"/>
      </w:pPr>
      <w:r>
        <w:rPr/>
        <w:t>… in a broad common-sense way’ … [i]t therefore seems highly unlikely, as a </w:t>
      </w:r>
      <w:r>
        <w:rPr/>
        <w:t>practical </w:t>
      </w:r>
      <w:bookmarkStart w:name="_bookmark1199" w:id="1201"/>
      <w:bookmarkEnd w:id="1201"/>
      <w:r>
        <w:rPr/>
        <w:t>matter,</w:t>
      </w:r>
      <w:r>
        <w:rPr/>
        <w:t> that it could be reasonable for a court to make an order for possession in circumstances in which it would be disproportionate to do so under art.8.” </w:t>
      </w:r>
      <w:r>
        <w:rPr>
          <w:color w:val="005DA1"/>
          <w:u w:val="single" w:color="005DA1"/>
          <w:vertAlign w:val="superscript"/>
        </w:rPr>
        <w:t>659</w:t>
      </w:r>
    </w:p>
    <w:p>
      <w:pPr>
        <w:pStyle w:val="BodyText"/>
        <w:spacing w:after="0" w:line="235" w:lineRule="auto"/>
        <w:jc w:val="both"/>
        <w:sectPr>
          <w:pgSz w:w="11900" w:h="16840"/>
          <w:pgMar w:header="971" w:footer="0" w:top="1300" w:bottom="280" w:left="1275" w:right="1275"/>
        </w:sectPr>
      </w:pPr>
    </w:p>
    <w:p>
      <w:pPr>
        <w:pStyle w:val="BodyText"/>
        <w:spacing w:before="40"/>
      </w:pPr>
    </w:p>
    <w:p>
      <w:pPr>
        <w:pStyle w:val="BodyText"/>
        <w:spacing w:line="235" w:lineRule="auto"/>
        <w:ind w:left="164" w:right="167"/>
        <w:jc w:val="both"/>
      </w:pPr>
      <w:r>
        <w:rPr/>
        <w:t>In </w:t>
      </w:r>
      <w:r>
        <w:rPr>
          <w:rFonts w:ascii="Arial" w:hAnsi="Arial"/>
          <w:i/>
        </w:rPr>
        <w:t>Hounslow LBC v Powell</w:t>
      </w:r>
      <w:r>
        <w:rPr/>
        <w:t>, </w:t>
      </w:r>
      <w:r>
        <w:rPr>
          <w:rFonts w:ascii="Arial" w:hAnsi="Arial"/>
          <w:i/>
        </w:rPr>
        <w:t>Leeds CC v Hall</w:t>
      </w:r>
      <w:r>
        <w:rPr/>
        <w:t>, </w:t>
      </w:r>
      <w:r>
        <w:rPr>
          <w:rFonts w:ascii="Arial" w:hAnsi="Arial"/>
          <w:i/>
        </w:rPr>
        <w:t>Birmingham CC v Frisby </w:t>
      </w:r>
      <w:r>
        <w:rPr/>
        <w:t>the Supreme Court applied its earlier approach to court orders for possession in favour of a public authority landowner and </w:t>
      </w:r>
      <w:r>
        <w:rPr/>
        <w:t>art.8 rights</w:t>
      </w:r>
      <w:r>
        <w:rPr>
          <w:spacing w:val="-1"/>
        </w:rPr>
        <w:t> </w:t>
      </w:r>
      <w:r>
        <w:rPr/>
        <w:t>in</w:t>
      </w:r>
      <w:r>
        <w:rPr>
          <w:spacing w:val="-1"/>
        </w:rPr>
        <w:t> </w:t>
      </w:r>
      <w:r>
        <w:rPr>
          <w:rFonts w:ascii="Arial" w:hAnsi="Arial"/>
          <w:i/>
        </w:rPr>
        <w:t>Manchester</w:t>
      </w:r>
      <w:r>
        <w:rPr>
          <w:rFonts w:ascii="Arial" w:hAnsi="Arial"/>
          <w:i/>
          <w:spacing w:val="-1"/>
        </w:rPr>
        <w:t> </w:t>
      </w:r>
      <w:r>
        <w:rPr>
          <w:rFonts w:ascii="Arial" w:hAnsi="Arial"/>
          <w:i/>
        </w:rPr>
        <w:t>City</w:t>
      </w:r>
      <w:r>
        <w:rPr>
          <w:rFonts w:ascii="Arial" w:hAnsi="Arial"/>
          <w:i/>
          <w:spacing w:val="-1"/>
        </w:rPr>
        <w:t> </w:t>
      </w:r>
      <w:r>
        <w:rPr>
          <w:rFonts w:ascii="Arial" w:hAnsi="Arial"/>
          <w:i/>
        </w:rPr>
        <w:t>Council</w:t>
      </w:r>
      <w:r>
        <w:rPr>
          <w:rFonts w:ascii="Arial" w:hAnsi="Arial"/>
          <w:i/>
          <w:spacing w:val="-1"/>
        </w:rPr>
        <w:t> </w:t>
      </w:r>
      <w:r>
        <w:rPr>
          <w:rFonts w:ascii="Arial" w:hAnsi="Arial"/>
          <w:i/>
        </w:rPr>
        <w:t>v</w:t>
      </w:r>
      <w:r>
        <w:rPr>
          <w:rFonts w:ascii="Arial" w:hAnsi="Arial"/>
          <w:i/>
          <w:spacing w:val="-1"/>
        </w:rPr>
        <w:t> </w:t>
      </w:r>
      <w:r>
        <w:rPr>
          <w:rFonts w:ascii="Arial" w:hAnsi="Arial"/>
          <w:i/>
        </w:rPr>
        <w:t>Pinnock</w:t>
      </w:r>
      <w:r>
        <w:rPr>
          <w:rFonts w:ascii="Arial" w:hAnsi="Arial"/>
          <w:i/>
          <w:spacing w:val="-1"/>
        </w:rPr>
        <w:t> </w:t>
      </w:r>
      <w:r>
        <w:rPr/>
        <w:t>to</w:t>
      </w:r>
      <w:r>
        <w:rPr>
          <w:spacing w:val="-1"/>
        </w:rPr>
        <w:t> </w:t>
      </w:r>
      <w:r>
        <w:rPr/>
        <w:t>the</w:t>
      </w:r>
      <w:r>
        <w:rPr>
          <w:spacing w:val="-1"/>
        </w:rPr>
        <w:t> </w:t>
      </w:r>
      <w:r>
        <w:rPr/>
        <w:t>position</w:t>
      </w:r>
      <w:r>
        <w:rPr>
          <w:spacing w:val="-1"/>
        </w:rPr>
        <w:t> </w:t>
      </w:r>
      <w:r>
        <w:rPr/>
        <w:t>of</w:t>
      </w:r>
      <w:r>
        <w:rPr>
          <w:spacing w:val="-1"/>
        </w:rPr>
        <w:t> </w:t>
      </w:r>
      <w:r>
        <w:rPr/>
        <w:t>residential</w:t>
      </w:r>
      <w:r>
        <w:rPr>
          <w:spacing w:val="-1"/>
        </w:rPr>
        <w:t> </w:t>
      </w:r>
      <w:r>
        <w:rPr/>
        <w:t>occupiers</w:t>
      </w:r>
      <w:r>
        <w:rPr>
          <w:spacing w:val="-1"/>
        </w:rPr>
        <w:t> </w:t>
      </w:r>
      <w:r>
        <w:rPr/>
        <w:t>of</w:t>
      </w:r>
      <w:r>
        <w:rPr>
          <w:spacing w:val="-1"/>
        </w:rPr>
        <w:t> </w:t>
      </w:r>
      <w:r>
        <w:rPr/>
        <w:t>property</w:t>
      </w:r>
      <w:r>
        <w:rPr>
          <w:spacing w:val="-1"/>
        </w:rPr>
        <w:t> </w:t>
      </w:r>
      <w:r>
        <w:rPr/>
        <w:t>granted a licence under the homelessness regime in Pt VII of the Housing Act 1985 and to tenants of </w:t>
      </w:r>
      <w:bookmarkStart w:name="_bookmark1200" w:id="1202"/>
      <w:bookmarkEnd w:id="1202"/>
      <w:r>
        <w:rPr/>
        <w:t>residential</w:t>
      </w:r>
      <w:r>
        <w:rPr/>
        <w:t> properties under the regime for “introductory tenancies” in Ch.1 of Pt V of the Housing Act 1986. </w:t>
      </w:r>
      <w:r>
        <w:rPr>
          <w:color w:val="005DA1"/>
          <w:u w:val="single" w:color="005DA1"/>
          <w:vertAlign w:val="superscript"/>
        </w:rPr>
        <w:t>660</w:t>
      </w:r>
      <w:r>
        <w:rPr>
          <w:color w:val="005DA1"/>
          <w:vertAlign w:val="baseline"/>
        </w:rPr>
        <w:t> </w:t>
      </w:r>
      <w:r>
        <w:rPr>
          <w:vertAlign w:val="baseline"/>
        </w:rPr>
        <w:t>In the view of the Supreme Court, in all cases where a local authority seeks possession in respect of a property that constitutes a person’s home for the purposes of art.8, the court must have </w:t>
      </w:r>
      <w:bookmarkStart w:name="_bookmark1201" w:id="1203"/>
      <w:bookmarkEnd w:id="1203"/>
      <w:r>
        <w:rPr>
          <w:vertAlign w:val="baseline"/>
        </w:rPr>
        <w:t>the</w:t>
      </w:r>
      <w:r>
        <w:rPr>
          <w:spacing w:val="-1"/>
          <w:vertAlign w:val="baseline"/>
        </w:rPr>
        <w:t> </w:t>
      </w:r>
      <w:r>
        <w:rPr>
          <w:vertAlign w:val="baseline"/>
        </w:rPr>
        <w:t>power</w:t>
      </w:r>
      <w:r>
        <w:rPr>
          <w:spacing w:val="-1"/>
          <w:vertAlign w:val="baseline"/>
        </w:rPr>
        <w:t> </w:t>
      </w:r>
      <w:r>
        <w:rPr>
          <w:vertAlign w:val="baseline"/>
        </w:rPr>
        <w:t>to</w:t>
      </w:r>
      <w:r>
        <w:rPr>
          <w:spacing w:val="-1"/>
          <w:vertAlign w:val="baseline"/>
        </w:rPr>
        <w:t> </w:t>
      </w:r>
      <w:r>
        <w:rPr>
          <w:vertAlign w:val="baseline"/>
        </w:rPr>
        <w:t>consider</w:t>
      </w:r>
      <w:r>
        <w:rPr>
          <w:spacing w:val="-1"/>
          <w:vertAlign w:val="baseline"/>
        </w:rPr>
        <w:t> </w:t>
      </w:r>
      <w:r>
        <w:rPr>
          <w:vertAlign w:val="baseline"/>
        </w:rPr>
        <w:t>whether</w:t>
      </w:r>
      <w:r>
        <w:rPr>
          <w:spacing w:val="-1"/>
          <w:vertAlign w:val="baseline"/>
        </w:rPr>
        <w:t> </w:t>
      </w:r>
      <w:r>
        <w:rPr>
          <w:vertAlign w:val="baseline"/>
        </w:rPr>
        <w:t>the</w:t>
      </w:r>
      <w:r>
        <w:rPr>
          <w:spacing w:val="-1"/>
          <w:vertAlign w:val="baseline"/>
        </w:rPr>
        <w:t> </w:t>
      </w:r>
      <w:r>
        <w:rPr>
          <w:vertAlign w:val="baseline"/>
        </w:rPr>
        <w:t>order</w:t>
      </w:r>
      <w:r>
        <w:rPr>
          <w:spacing w:val="-1"/>
          <w:vertAlign w:val="baseline"/>
        </w:rPr>
        <w:t> </w:t>
      </w:r>
      <w:r>
        <w:rPr>
          <w:vertAlign w:val="baseline"/>
        </w:rPr>
        <w:t>is</w:t>
      </w:r>
      <w:r>
        <w:rPr>
          <w:spacing w:val="-1"/>
          <w:vertAlign w:val="baseline"/>
        </w:rPr>
        <w:t> </w:t>
      </w:r>
      <w:r>
        <w:rPr>
          <w:vertAlign w:val="baseline"/>
        </w:rPr>
        <w:t>necessary</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democratic</w:t>
      </w:r>
      <w:r>
        <w:rPr>
          <w:spacing w:val="-1"/>
          <w:vertAlign w:val="baseline"/>
        </w:rPr>
        <w:t> </w:t>
      </w:r>
      <w:r>
        <w:rPr>
          <w:vertAlign w:val="baseline"/>
        </w:rPr>
        <w:t>society,</w:t>
      </w:r>
      <w:r>
        <w:rPr>
          <w:spacing w:val="-1"/>
          <w:vertAlign w:val="baseline"/>
        </w:rPr>
        <w:t> </w:t>
      </w:r>
      <w:r>
        <w:rPr>
          <w:vertAlign w:val="baseline"/>
        </w:rPr>
        <w:t>meaning</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must</w:t>
      </w:r>
      <w:r>
        <w:rPr>
          <w:spacing w:val="-1"/>
          <w:vertAlign w:val="baseline"/>
        </w:rPr>
        <w:t> </w:t>
      </w:r>
      <w:r>
        <w:rPr>
          <w:vertAlign w:val="baseline"/>
        </w:rPr>
        <w:t>be proportionate to a legitimate aim that the local authority is seeking to achieve. </w:t>
      </w:r>
      <w:r>
        <w:rPr>
          <w:color w:val="005DA1"/>
          <w:u w:val="single" w:color="005DA1"/>
          <w:vertAlign w:val="superscript"/>
        </w:rPr>
        <w:t>661</w:t>
      </w:r>
      <w:r>
        <w:rPr>
          <w:color w:val="005DA1"/>
          <w:vertAlign w:val="baseline"/>
        </w:rPr>
        <w:t> </w:t>
      </w:r>
      <w:r>
        <w:rPr>
          <w:vertAlign w:val="baseline"/>
        </w:rPr>
        <w:t>However, in those cases where domestic law does not subject the making of a possession order to a requirement of </w:t>
      </w:r>
      <w:bookmarkStart w:name="_bookmark1202" w:id="1204"/>
      <w:bookmarkEnd w:id="1204"/>
      <w:r>
        <w:rPr>
          <w:vertAlign w:val="baseline"/>
        </w:rPr>
        <w:t>reasonableness,</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general</w:t>
      </w:r>
      <w:r>
        <w:rPr>
          <w:spacing w:val="-2"/>
          <w:vertAlign w:val="baseline"/>
        </w:rPr>
        <w:t> </w:t>
      </w:r>
      <w:r>
        <w:rPr>
          <w:vertAlign w:val="baseline"/>
        </w:rPr>
        <w:t>rule</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will</w:t>
      </w:r>
      <w:r>
        <w:rPr>
          <w:spacing w:val="-2"/>
          <w:vertAlign w:val="baseline"/>
        </w:rPr>
        <w:t> </w:t>
      </w:r>
      <w:r>
        <w:rPr>
          <w:vertAlign w:val="baseline"/>
        </w:rPr>
        <w:t>have</w:t>
      </w:r>
      <w:r>
        <w:rPr>
          <w:spacing w:val="-2"/>
          <w:vertAlign w:val="baseline"/>
        </w:rPr>
        <w:t> </w:t>
      </w:r>
      <w:r>
        <w:rPr>
          <w:vertAlign w:val="baseline"/>
        </w:rPr>
        <w:t>to</w:t>
      </w:r>
      <w:r>
        <w:rPr>
          <w:spacing w:val="-2"/>
          <w:vertAlign w:val="baseline"/>
        </w:rPr>
        <w:t> </w:t>
      </w:r>
      <w:r>
        <w:rPr>
          <w:vertAlign w:val="baseline"/>
        </w:rPr>
        <w:t>consider</w:t>
      </w:r>
      <w:r>
        <w:rPr>
          <w:spacing w:val="-2"/>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making</w:t>
      </w:r>
      <w:r>
        <w:rPr>
          <w:spacing w:val="-2"/>
          <w:vertAlign w:val="baseline"/>
        </w:rPr>
        <w:t> </w:t>
      </w:r>
      <w:r>
        <w:rPr>
          <w:vertAlign w:val="baseline"/>
        </w:rPr>
        <w:t>of</w:t>
      </w:r>
      <w:r>
        <w:rPr>
          <w:spacing w:val="-2"/>
          <w:vertAlign w:val="baseline"/>
        </w:rPr>
        <w:t> </w:t>
      </w:r>
      <w:r>
        <w:rPr>
          <w:vertAlign w:val="baseline"/>
        </w:rPr>
        <w:t>such</w:t>
      </w:r>
      <w:r>
        <w:rPr>
          <w:spacing w:val="-2"/>
          <w:vertAlign w:val="baseline"/>
        </w:rPr>
        <w:t> </w:t>
      </w:r>
      <w:r>
        <w:rPr>
          <w:vertAlign w:val="baseline"/>
        </w:rPr>
        <w:t>an</w:t>
      </w:r>
      <w:r>
        <w:rPr>
          <w:spacing w:val="-2"/>
          <w:vertAlign w:val="baseline"/>
        </w:rPr>
        <w:t> </w:t>
      </w:r>
      <w:r>
        <w:rPr>
          <w:vertAlign w:val="baseline"/>
        </w:rPr>
        <w:t>order </w:t>
      </w:r>
      <w:bookmarkStart w:name="_bookmark1203" w:id="1205"/>
      <w:bookmarkEnd w:id="1205"/>
      <w:r>
        <w:rPr>
          <w:vertAlign w:val="baseline"/>
        </w:rPr>
        <w:t>is</w:t>
      </w:r>
      <w:r>
        <w:rPr>
          <w:vertAlign w:val="baseline"/>
        </w:rPr>
        <w:t> proportionate only if the issue has been raised by the occupier </w:t>
      </w:r>
      <w:r>
        <w:rPr>
          <w:color w:val="005DA1"/>
          <w:u w:val="single" w:color="005DA1"/>
          <w:vertAlign w:val="superscript"/>
        </w:rPr>
        <w:t>662</w:t>
      </w:r>
      <w:r>
        <w:rPr>
          <w:color w:val="005DA1"/>
          <w:vertAlign w:val="baseline"/>
        </w:rPr>
        <w:t> </w:t>
      </w:r>
      <w:r>
        <w:rPr>
          <w:vertAlign w:val="baseline"/>
        </w:rPr>
        <w:t>and if it has crossed the high threshold of being seriously arguable </w:t>
      </w:r>
      <w:r>
        <w:rPr>
          <w:color w:val="005DA1"/>
          <w:u w:val="single" w:color="005DA1"/>
          <w:vertAlign w:val="superscript"/>
        </w:rPr>
        <w:t>663</w:t>
      </w:r>
      <w:r>
        <w:rPr>
          <w:vertAlign w:val="baseline"/>
        </w:rPr>
        <w:t>:</w:t>
      </w:r>
    </w:p>
    <w:p>
      <w:pPr>
        <w:pStyle w:val="BodyText"/>
      </w:pPr>
    </w:p>
    <w:p>
      <w:pPr>
        <w:pStyle w:val="BodyText"/>
        <w:spacing w:before="122"/>
      </w:pPr>
    </w:p>
    <w:p>
      <w:pPr>
        <w:pStyle w:val="BodyText"/>
        <w:spacing w:line="235" w:lineRule="auto"/>
        <w:ind w:left="1245" w:right="167"/>
        <w:jc w:val="both"/>
      </w:pPr>
      <w:r>
        <w:rPr/>
        <w:t>“[i]n seeking an order for possession, the local authority is not required to advance a positive case that this will accord with the requirements of article 8(2). This will be </w:t>
      </w:r>
      <w:bookmarkStart w:name="_bookmark1204" w:id="1206"/>
      <w:bookmarkEnd w:id="1206"/>
      <w:r>
        <w:rPr/>
        <w:t>presumed</w:t>
      </w:r>
      <w:r>
        <w:rPr/>
        <w:t> by reason of the authority’s ownership of the property and duties in relation to the management of the housing stock.” </w:t>
      </w:r>
      <w:r>
        <w:rPr>
          <w:color w:val="005DA1"/>
          <w:u w:val="single" w:color="005DA1"/>
          <w:vertAlign w:val="superscript"/>
        </w:rPr>
        <w:t>664</w:t>
      </w:r>
    </w:p>
    <w:p>
      <w:pPr>
        <w:pStyle w:val="BodyText"/>
      </w:pPr>
    </w:p>
    <w:p>
      <w:pPr>
        <w:pStyle w:val="BodyText"/>
        <w:spacing w:before="197"/>
      </w:pPr>
    </w:p>
    <w:p>
      <w:pPr>
        <w:spacing w:before="0"/>
        <w:ind w:left="164" w:right="0" w:firstLine="0"/>
        <w:jc w:val="left"/>
        <w:rPr>
          <w:rFonts w:ascii="Arial"/>
          <w:b/>
          <w:sz w:val="24"/>
        </w:rPr>
      </w:pPr>
      <w:r>
        <w:rPr>
          <w:rFonts w:ascii="Arial"/>
          <w:b/>
          <w:sz w:val="24"/>
        </w:rPr>
        <w:t>1-</w:t>
      </w:r>
      <w:r>
        <w:rPr>
          <w:rFonts w:ascii="Arial"/>
          <w:b/>
          <w:spacing w:val="-5"/>
          <w:sz w:val="24"/>
        </w:rPr>
        <w:t>079</w:t>
      </w:r>
    </w:p>
    <w:p>
      <w:pPr>
        <w:pStyle w:val="BodyText"/>
        <w:spacing w:line="235" w:lineRule="auto" w:before="202"/>
        <w:ind w:left="164" w:right="167"/>
        <w:jc w:val="both"/>
      </w:pPr>
      <w:bookmarkStart w:name="_bookmark1205" w:id="1207"/>
      <w:bookmarkEnd w:id="1207"/>
      <w:r>
        <w:rPr/>
      </w:r>
      <w:r>
        <w:rPr/>
        <w:t>However, in </w:t>
      </w:r>
      <w:r>
        <w:rPr>
          <w:rFonts w:ascii="Arial"/>
          <w:i/>
        </w:rPr>
        <w:t>Sims v Dacorum BC </w:t>
      </w:r>
      <w:r>
        <w:rPr>
          <w:color w:val="005DA1"/>
          <w:u w:val="single" w:color="005DA1"/>
          <w:vertAlign w:val="superscript"/>
        </w:rPr>
        <w:t>665</w:t>
      </w:r>
      <w:r>
        <w:rPr>
          <w:color w:val="005DA1"/>
          <w:vertAlign w:val="baseline"/>
        </w:rPr>
        <w:t> </w:t>
      </w:r>
      <w:r>
        <w:rPr>
          <w:vertAlign w:val="baseline"/>
        </w:rPr>
        <w:t>the Supreme Court considered how this law affected the position of a tenant in a public sector </w:t>
      </w:r>
      <w:r>
        <w:rPr>
          <w:rFonts w:ascii="Arial"/>
          <w:i/>
          <w:vertAlign w:val="baseline"/>
        </w:rPr>
        <w:t>joint </w:t>
      </w:r>
      <w:r>
        <w:rPr>
          <w:vertAlign w:val="baseline"/>
        </w:rPr>
        <w:t>tenancy where the other tenant has served a notice to quit. At common law, in the absence of a contractual term to the contrary, such a tenancy will be </w:t>
      </w:r>
      <w:r>
        <w:rPr>
          <w:vertAlign w:val="baseline"/>
        </w:rPr>
        <w:t>validly determined by service on the landlord of a notice to quit by only one of the joint tenants, thereby </w:t>
      </w:r>
      <w:bookmarkStart w:name="_bookmark1206" w:id="1208"/>
      <w:bookmarkEnd w:id="1208"/>
      <w:r>
        <w:rPr>
          <w:vertAlign w:val="baseline"/>
        </w:rPr>
        <w:t>bringing</w:t>
      </w:r>
      <w:r>
        <w:rPr>
          <w:spacing w:val="38"/>
          <w:vertAlign w:val="baseline"/>
        </w:rPr>
        <w:t> </w:t>
      </w:r>
      <w:r>
        <w:rPr>
          <w:vertAlign w:val="baseline"/>
        </w:rPr>
        <w:t>the</w:t>
      </w:r>
      <w:r>
        <w:rPr>
          <w:spacing w:val="38"/>
          <w:vertAlign w:val="baseline"/>
        </w:rPr>
        <w:t> </w:t>
      </w:r>
      <w:r>
        <w:rPr>
          <w:vertAlign w:val="baseline"/>
        </w:rPr>
        <w:t>tenancy</w:t>
      </w:r>
      <w:r>
        <w:rPr>
          <w:spacing w:val="38"/>
          <w:vertAlign w:val="baseline"/>
        </w:rPr>
        <w:t> </w:t>
      </w:r>
      <w:r>
        <w:rPr>
          <w:vertAlign w:val="baseline"/>
        </w:rPr>
        <w:t>to</w:t>
      </w:r>
      <w:r>
        <w:rPr>
          <w:spacing w:val="38"/>
          <w:vertAlign w:val="baseline"/>
        </w:rPr>
        <w:t> </w:t>
      </w:r>
      <w:r>
        <w:rPr>
          <w:vertAlign w:val="baseline"/>
        </w:rPr>
        <w:t>the</w:t>
      </w:r>
      <w:r>
        <w:rPr>
          <w:spacing w:val="38"/>
          <w:vertAlign w:val="baseline"/>
        </w:rPr>
        <w:t> </w:t>
      </w:r>
      <w:r>
        <w:rPr>
          <w:vertAlign w:val="baseline"/>
        </w:rPr>
        <w:t>end</w:t>
      </w:r>
      <w:r>
        <w:rPr>
          <w:spacing w:val="38"/>
          <w:vertAlign w:val="baseline"/>
        </w:rPr>
        <w:t> </w:t>
      </w:r>
      <w:r>
        <w:rPr>
          <w:vertAlign w:val="baseline"/>
        </w:rPr>
        <w:t>against</w:t>
      </w:r>
      <w:r>
        <w:rPr>
          <w:spacing w:val="38"/>
          <w:vertAlign w:val="baseline"/>
        </w:rPr>
        <w:t> </w:t>
      </w:r>
      <w:r>
        <w:rPr>
          <w:vertAlign w:val="baseline"/>
        </w:rPr>
        <w:t>the</w:t>
      </w:r>
      <w:r>
        <w:rPr>
          <w:spacing w:val="38"/>
          <w:vertAlign w:val="baseline"/>
        </w:rPr>
        <w:t> </w:t>
      </w:r>
      <w:r>
        <w:rPr>
          <w:vertAlign w:val="baseline"/>
        </w:rPr>
        <w:t>wishes</w:t>
      </w:r>
      <w:r>
        <w:rPr>
          <w:spacing w:val="38"/>
          <w:vertAlign w:val="baseline"/>
        </w:rPr>
        <w:t> </w:t>
      </w:r>
      <w:r>
        <w:rPr>
          <w:vertAlign w:val="baseline"/>
        </w:rPr>
        <w:t>or</w:t>
      </w:r>
      <w:r>
        <w:rPr>
          <w:spacing w:val="38"/>
          <w:vertAlign w:val="baseline"/>
        </w:rPr>
        <w:t> </w:t>
      </w:r>
      <w:r>
        <w:rPr>
          <w:vertAlign w:val="baseline"/>
        </w:rPr>
        <w:t>even</w:t>
      </w:r>
      <w:r>
        <w:rPr>
          <w:spacing w:val="38"/>
          <w:vertAlign w:val="baseline"/>
        </w:rPr>
        <w:t> </w:t>
      </w:r>
      <w:r>
        <w:rPr>
          <w:vertAlign w:val="baseline"/>
        </w:rPr>
        <w:t>without</w:t>
      </w:r>
      <w:r>
        <w:rPr>
          <w:spacing w:val="38"/>
          <w:vertAlign w:val="baseline"/>
        </w:rPr>
        <w:t> </w:t>
      </w:r>
      <w:r>
        <w:rPr>
          <w:vertAlign w:val="baseline"/>
        </w:rPr>
        <w:t>the</w:t>
      </w:r>
      <w:r>
        <w:rPr>
          <w:spacing w:val="38"/>
          <w:vertAlign w:val="baseline"/>
        </w:rPr>
        <w:t> </w:t>
      </w:r>
      <w:r>
        <w:rPr>
          <w:vertAlign w:val="baseline"/>
        </w:rPr>
        <w:t>knowledge</w:t>
      </w:r>
      <w:r>
        <w:rPr>
          <w:spacing w:val="38"/>
          <w:vertAlign w:val="baseline"/>
        </w:rPr>
        <w:t> </w:t>
      </w:r>
      <w:r>
        <w:rPr>
          <w:vertAlign w:val="baseline"/>
        </w:rPr>
        <w:t>of</w:t>
      </w:r>
      <w:r>
        <w:rPr>
          <w:spacing w:val="38"/>
          <w:vertAlign w:val="baseline"/>
        </w:rPr>
        <w:t> </w:t>
      </w:r>
      <w:r>
        <w:rPr>
          <w:vertAlign w:val="baseline"/>
        </w:rPr>
        <w:t>his</w:t>
      </w:r>
      <w:r>
        <w:rPr>
          <w:spacing w:val="38"/>
          <w:vertAlign w:val="baseline"/>
        </w:rPr>
        <w:t> </w:t>
      </w:r>
      <w:r>
        <w:rPr>
          <w:vertAlign w:val="baseline"/>
        </w:rPr>
        <w:t>or</w:t>
      </w:r>
      <w:r>
        <w:rPr>
          <w:spacing w:val="38"/>
          <w:vertAlign w:val="baseline"/>
        </w:rPr>
        <w:t> </w:t>
      </w:r>
      <w:r>
        <w:rPr>
          <w:vertAlign w:val="baseline"/>
        </w:rPr>
        <w:t>her co-tenants. </w:t>
      </w:r>
      <w:r>
        <w:rPr>
          <w:color w:val="005DA1"/>
          <w:u w:val="single" w:color="005DA1"/>
          <w:vertAlign w:val="superscript"/>
        </w:rPr>
        <w:t>666</w:t>
      </w:r>
      <w:r>
        <w:rPr>
          <w:color w:val="005DA1"/>
          <w:vertAlign w:val="baseline"/>
        </w:rPr>
        <w:t> </w:t>
      </w:r>
      <w:r>
        <w:rPr>
          <w:vertAlign w:val="baseline"/>
        </w:rPr>
        <w:t>In </w:t>
      </w:r>
      <w:r>
        <w:rPr>
          <w:rFonts w:ascii="Arial"/>
          <w:i/>
          <w:vertAlign w:val="baseline"/>
        </w:rPr>
        <w:t>Sims </w:t>
      </w:r>
      <w:r>
        <w:rPr>
          <w:vertAlign w:val="baseline"/>
        </w:rPr>
        <w:t>this rule was reflected in an express term of the lease taken, to the effect that the tenancy would be lost if a notice to quit were served by his joint tenant, though the lease also provided that the local authority landlord would consider whether to let him remain or to find other accommodation for him. The claimant tenant argued that the loss of his tenancy by the notice to quit by his joint tenant (his then wife) breached his Convention rights under art.8 or under art.1 of the 1st Protocol, but this was firmly rejected by the Supreme Court. First, as regards his right to property, in the view of the Supreme Court:</w:t>
      </w:r>
    </w:p>
    <w:p>
      <w:pPr>
        <w:pStyle w:val="BodyText"/>
      </w:pPr>
    </w:p>
    <w:p>
      <w:pPr>
        <w:pStyle w:val="BodyText"/>
        <w:spacing w:before="122"/>
      </w:pPr>
    </w:p>
    <w:p>
      <w:pPr>
        <w:pStyle w:val="BodyText"/>
        <w:spacing w:line="235" w:lineRule="auto" w:before="1"/>
        <w:ind w:left="1245" w:right="167"/>
        <w:jc w:val="both"/>
      </w:pPr>
      <w:r>
        <w:rPr/>
        <w:t>“the property which [the claimant] owned and of which he complains to have been</w:t>
      </w:r>
      <w:r>
        <w:rPr>
          <w:spacing w:val="40"/>
        </w:rPr>
        <w:t> </w:t>
      </w:r>
      <w:r>
        <w:rPr/>
        <w:t>wrongly deprived, whether one characterises it as the tenancy or an interest in </w:t>
      </w:r>
      <w:r>
        <w:rPr/>
        <w:t>the tenancy, was acquired by him on terms that (i) it would be lost if a notice to quit was </w:t>
      </w:r>
      <w:bookmarkStart w:name="_bookmark1207" w:id="1209"/>
      <w:bookmarkEnd w:id="1209"/>
      <w:r>
        <w:rPr/>
        <w:t>served</w:t>
      </w:r>
      <w:r>
        <w:rPr/>
        <w:t> by [the other joint tenant], and (ii) if that occurred, [his landlord] could decide to permit him to stay in the house or find other accommodation for him.” </w:t>
      </w:r>
      <w:r>
        <w:rPr>
          <w:color w:val="005DA1"/>
          <w:u w:val="single" w:color="005DA1"/>
          <w:vertAlign w:val="superscript"/>
        </w:rPr>
        <w:t>667</w:t>
      </w:r>
    </w:p>
    <w:p>
      <w:pPr>
        <w:pStyle w:val="BodyText"/>
        <w:spacing w:before="114"/>
      </w:pPr>
    </w:p>
    <w:p>
      <w:pPr>
        <w:pStyle w:val="BodyText"/>
        <w:spacing w:line="235" w:lineRule="auto"/>
        <w:ind w:left="165" w:right="167"/>
        <w:jc w:val="both"/>
      </w:pPr>
      <w:r>
        <w:rPr/>
        <w:t>The claimant’s property was therefore lost as a result of his joint tenant serving a notice to quit, </w:t>
      </w:r>
      <w:r>
        <w:rPr/>
        <w:t>and</w:t>
      </w:r>
      <w:r>
        <w:rPr>
          <w:spacing w:val="40"/>
        </w:rPr>
        <w:t> </w:t>
      </w:r>
      <w:r>
        <w:rPr/>
        <w:t>by the fact that the landlord considered whether to let him remain and decided not to let him do so. Given that he therefore was deprived of his interest:</w:t>
      </w:r>
    </w:p>
    <w:p>
      <w:pPr>
        <w:pStyle w:val="BodyText"/>
      </w:pPr>
    </w:p>
    <w:p>
      <w:pPr>
        <w:pStyle w:val="BodyText"/>
        <w:spacing w:before="126"/>
      </w:pPr>
    </w:p>
    <w:p>
      <w:pPr>
        <w:pStyle w:val="BodyText"/>
        <w:spacing w:line="235" w:lineRule="auto"/>
        <w:ind w:left="1245" w:right="167"/>
        <w:jc w:val="both"/>
      </w:pPr>
      <w:bookmarkStart w:name="_bookmark1208" w:id="1210"/>
      <w:bookmarkEnd w:id="1210"/>
      <w:r>
        <w:rPr/>
      </w:r>
      <w:r>
        <w:rPr/>
        <w:t>“in a way, which was specifically provided for in the agreement which created it, his A1P1 claim is plainly very hard to sustain.” </w:t>
      </w:r>
      <w:r>
        <w:rPr>
          <w:color w:val="005DA1"/>
          <w:u w:val="single" w:color="005DA1"/>
          <w:vertAlign w:val="superscript"/>
        </w:rPr>
        <w:t>668</w:t>
      </w:r>
    </w:p>
    <w:p>
      <w:pPr>
        <w:pStyle w:val="BodyText"/>
        <w:spacing w:before="116"/>
      </w:pPr>
    </w:p>
    <w:p>
      <w:pPr>
        <w:pStyle w:val="BodyText"/>
        <w:spacing w:line="235" w:lineRule="auto"/>
        <w:ind w:left="164" w:right="167"/>
        <w:jc w:val="both"/>
      </w:pPr>
      <w:r>
        <w:rPr/>
        <w:t>Moreover, the contract term under which the tenancy was determined was not unreasonable, as it reflected the common law rule (which was not itself challenged) and someone’s interest has to suffer </w:t>
      </w:r>
      <w:bookmarkStart w:name="_bookmark1209" w:id="1211"/>
      <w:bookmarkEnd w:id="1211"/>
      <w:r>
        <w:rPr/>
        <w:t>when</w:t>
      </w:r>
      <w:r>
        <w:rPr/>
        <w:t> one of two joint tenants serves a notice to quit; nor was the landlord’s decision against him staying in the property unreasonable or disproportionate. </w:t>
      </w:r>
      <w:r>
        <w:rPr>
          <w:color w:val="005DA1"/>
          <w:u w:val="single" w:color="005DA1"/>
          <w:vertAlign w:val="superscript"/>
        </w:rPr>
        <w:t>669</w:t>
      </w:r>
      <w:r>
        <w:rPr>
          <w:color w:val="005DA1"/>
          <w:vertAlign w:val="baseline"/>
        </w:rPr>
        <w:t> </w:t>
      </w:r>
      <w:r>
        <w:rPr>
          <w:vertAlign w:val="baseline"/>
        </w:rPr>
        <w:t>Secondly, as regards his rights </w:t>
      </w:r>
      <w:r>
        <w:rPr>
          <w:vertAlign w:val="baseline"/>
        </w:rPr>
        <w:t>under art.8, while the claimant was entitled to raise the question of the proportionality of the landlord’s pursuit</w:t>
      </w:r>
      <w:r>
        <w:rPr>
          <w:spacing w:val="17"/>
          <w:vertAlign w:val="baseline"/>
        </w:rPr>
        <w:t> </w:t>
      </w:r>
      <w:r>
        <w:rPr>
          <w:vertAlign w:val="baseline"/>
        </w:rPr>
        <w:t>of</w:t>
      </w:r>
      <w:r>
        <w:rPr>
          <w:spacing w:val="17"/>
          <w:vertAlign w:val="baseline"/>
        </w:rPr>
        <w:t> </w:t>
      </w:r>
      <w:r>
        <w:rPr>
          <w:vertAlign w:val="baseline"/>
        </w:rPr>
        <w:t>its</w:t>
      </w:r>
      <w:r>
        <w:rPr>
          <w:spacing w:val="17"/>
          <w:vertAlign w:val="baseline"/>
        </w:rPr>
        <w:t> </w:t>
      </w:r>
      <w:r>
        <w:rPr>
          <w:vertAlign w:val="baseline"/>
        </w:rPr>
        <w:t>claim</w:t>
      </w:r>
      <w:r>
        <w:rPr>
          <w:spacing w:val="17"/>
          <w:vertAlign w:val="baseline"/>
        </w:rPr>
        <w:t> </w:t>
      </w:r>
      <w:r>
        <w:rPr>
          <w:vertAlign w:val="baseline"/>
        </w:rPr>
        <w:t>for</w:t>
      </w:r>
      <w:r>
        <w:rPr>
          <w:spacing w:val="17"/>
          <w:vertAlign w:val="baseline"/>
        </w:rPr>
        <w:t> </w:t>
      </w:r>
      <w:r>
        <w:rPr>
          <w:vertAlign w:val="baseline"/>
        </w:rPr>
        <w:t>possession</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light</w:t>
      </w:r>
      <w:r>
        <w:rPr>
          <w:spacing w:val="17"/>
          <w:vertAlign w:val="baseline"/>
        </w:rPr>
        <w:t> </w:t>
      </w:r>
      <w:r>
        <w:rPr>
          <w:vertAlign w:val="baseline"/>
        </w:rPr>
        <w:t>of</w:t>
      </w:r>
      <w:r>
        <w:rPr>
          <w:spacing w:val="17"/>
          <w:vertAlign w:val="baseline"/>
        </w:rPr>
        <w:t> </w:t>
      </w:r>
      <w:r>
        <w:rPr>
          <w:vertAlign w:val="baseline"/>
        </w:rPr>
        <w:t>its</w:t>
      </w:r>
      <w:r>
        <w:rPr>
          <w:spacing w:val="17"/>
          <w:vertAlign w:val="baseline"/>
        </w:rPr>
        <w:t> </w:t>
      </w:r>
      <w:r>
        <w:rPr>
          <w:vertAlign w:val="baseline"/>
        </w:rPr>
        <w:t>earlier</w:t>
      </w:r>
      <w:r>
        <w:rPr>
          <w:spacing w:val="17"/>
          <w:vertAlign w:val="baseline"/>
        </w:rPr>
        <w:t> </w:t>
      </w:r>
      <w:r>
        <w:rPr>
          <w:vertAlign w:val="baseline"/>
        </w:rPr>
        <w:t>case-law</w:t>
      </w:r>
      <w:r>
        <w:rPr>
          <w:spacing w:val="17"/>
          <w:vertAlign w:val="baseline"/>
        </w:rPr>
        <w:t> </w:t>
      </w:r>
      <w:r>
        <w:rPr>
          <w:vertAlign w:val="baseline"/>
        </w:rPr>
        <w:t>on</w:t>
      </w:r>
      <w:r>
        <w:rPr>
          <w:spacing w:val="17"/>
          <w:vertAlign w:val="baseline"/>
        </w:rPr>
        <w:t> </w:t>
      </w:r>
      <w:r>
        <w:rPr>
          <w:vertAlign w:val="baseline"/>
        </w:rPr>
        <w:t>art.8,</w:t>
      </w:r>
      <w:r>
        <w:rPr>
          <w:spacing w:val="17"/>
          <w:vertAlign w:val="baseline"/>
        </w:rPr>
        <w:t> </w:t>
      </w:r>
      <w:r>
        <w:rPr>
          <w:vertAlign w:val="baseline"/>
        </w:rPr>
        <w:t>this</w:t>
      </w:r>
      <w:r>
        <w:rPr>
          <w:spacing w:val="17"/>
          <w:vertAlign w:val="baseline"/>
        </w:rPr>
        <w:t> </w:t>
      </w:r>
      <w:r>
        <w:rPr>
          <w:vertAlign w:val="baseline"/>
        </w:rPr>
        <w:t>would</w:t>
      </w:r>
      <w:r>
        <w:rPr>
          <w:spacing w:val="17"/>
          <w:vertAlign w:val="baseline"/>
        </w:rPr>
        <w:t> </w:t>
      </w:r>
      <w:r>
        <w:rPr>
          <w:vertAlign w:val="baseline"/>
        </w:rPr>
        <w:t>not</w:t>
      </w:r>
      <w:r>
        <w:rPr>
          <w:spacing w:val="17"/>
          <w:vertAlign w:val="baseline"/>
        </w:rPr>
        <w:t> </w:t>
      </w:r>
      <w:r>
        <w:rPr>
          <w:vertAlign w:val="baseline"/>
        </w:rPr>
        <w:t>help</w:t>
      </w:r>
      <w:r>
        <w:rPr>
          <w:spacing w:val="17"/>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210" w:id="1212"/>
      <w:bookmarkEnd w:id="1212"/>
      <w:r>
        <w:rPr/>
      </w:r>
      <w:r>
        <w:rPr/>
        <w:t>claimant as the landlord had considered carefully this decision in a lawful and proportionate manner. </w:t>
      </w:r>
      <w:r>
        <w:rPr>
          <w:color w:val="005DA1"/>
          <w:u w:val="single" w:color="005DA1"/>
          <w:vertAlign w:val="superscript"/>
        </w:rPr>
        <w:t>670</w:t>
      </w:r>
      <w:r>
        <w:rPr>
          <w:color w:val="005DA1"/>
          <w:vertAlign w:val="baseline"/>
        </w:rPr>
        <w:t> </w:t>
      </w:r>
      <w:r>
        <w:rPr>
          <w:vertAlign w:val="baseline"/>
        </w:rPr>
        <w:t>Moreover, the service of the notice to quit did not in itself violate the claimant’s art.8 rights as </w:t>
      </w:r>
      <w:r>
        <w:rPr>
          <w:vertAlign w:val="baseline"/>
        </w:rPr>
        <w:t>full respect</w:t>
      </w:r>
      <w:r>
        <w:rPr>
          <w:spacing w:val="-2"/>
          <w:vertAlign w:val="baseline"/>
        </w:rPr>
        <w:t> </w:t>
      </w:r>
      <w:r>
        <w:rPr>
          <w:vertAlign w:val="baseline"/>
        </w:rPr>
        <w:t>was</w:t>
      </w:r>
      <w:r>
        <w:rPr>
          <w:spacing w:val="-2"/>
          <w:vertAlign w:val="baseline"/>
        </w:rPr>
        <w:t> </w:t>
      </w:r>
      <w:r>
        <w:rPr>
          <w:vertAlign w:val="baseline"/>
        </w:rPr>
        <w:t>given</w:t>
      </w:r>
      <w:r>
        <w:rPr>
          <w:spacing w:val="-2"/>
          <w:vertAlign w:val="baseline"/>
        </w:rPr>
        <w:t> </w:t>
      </w:r>
      <w:r>
        <w:rPr>
          <w:vertAlign w:val="baseline"/>
        </w:rPr>
        <w:t>to</w:t>
      </w:r>
      <w:r>
        <w:rPr>
          <w:spacing w:val="-2"/>
          <w:vertAlign w:val="baseline"/>
        </w:rPr>
        <w:t> </w:t>
      </w:r>
      <w:r>
        <w:rPr>
          <w:vertAlign w:val="baseline"/>
        </w:rPr>
        <w:t>those</w:t>
      </w:r>
      <w:r>
        <w:rPr>
          <w:spacing w:val="-2"/>
          <w:vertAlign w:val="baseline"/>
        </w:rPr>
        <w:t> </w:t>
      </w:r>
      <w:r>
        <w:rPr>
          <w:vertAlign w:val="baseline"/>
        </w:rPr>
        <w:t>rights</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his</w:t>
      </w:r>
      <w:r>
        <w:rPr>
          <w:spacing w:val="-2"/>
          <w:vertAlign w:val="baseline"/>
        </w:rPr>
        <w:t> </w:t>
      </w:r>
      <w:r>
        <w:rPr>
          <w:vertAlign w:val="baseline"/>
        </w:rPr>
        <w:t>tenancy</w:t>
      </w:r>
      <w:r>
        <w:rPr>
          <w:spacing w:val="-2"/>
          <w:vertAlign w:val="baseline"/>
        </w:rPr>
        <w:t> </w:t>
      </w:r>
      <w:r>
        <w:rPr>
          <w:vertAlign w:val="baseline"/>
        </w:rPr>
        <w:t>had</w:t>
      </w:r>
      <w:r>
        <w:rPr>
          <w:spacing w:val="-2"/>
          <w:vertAlign w:val="baseline"/>
        </w:rPr>
        <w:t> </w:t>
      </w:r>
      <w:r>
        <w:rPr>
          <w:vertAlign w:val="baseline"/>
        </w:rPr>
        <w:t>been</w:t>
      </w:r>
      <w:r>
        <w:rPr>
          <w:spacing w:val="-2"/>
          <w:vertAlign w:val="baseline"/>
        </w:rPr>
        <w:t> </w:t>
      </w:r>
      <w:r>
        <w:rPr>
          <w:vertAlign w:val="baseline"/>
        </w:rPr>
        <w:t>determined</w:t>
      </w:r>
      <w:r>
        <w:rPr>
          <w:spacing w:val="-2"/>
          <w:vertAlign w:val="baseline"/>
        </w:rPr>
        <w:t> </w:t>
      </w:r>
      <w:r>
        <w:rPr>
          <w:vertAlign w:val="baseline"/>
        </w:rPr>
        <w:t>in</w:t>
      </w:r>
      <w:r>
        <w:rPr>
          <w:spacing w:val="-2"/>
          <w:vertAlign w:val="baseline"/>
        </w:rPr>
        <w:t> </w:t>
      </w:r>
      <w:r>
        <w:rPr>
          <w:vertAlign w:val="baseline"/>
        </w:rPr>
        <w:t>accordance</w:t>
      </w:r>
      <w:r>
        <w:rPr>
          <w:spacing w:val="-2"/>
          <w:vertAlign w:val="baseline"/>
        </w:rPr>
        <w:t> </w:t>
      </w:r>
      <w:r>
        <w:rPr>
          <w:vertAlign w:val="baseline"/>
        </w:rPr>
        <w:t>with its contractual terms to which he had agreed, he was to be considered for rehousing, and he could be </w:t>
      </w:r>
      <w:bookmarkStart w:name="_bookmark1211" w:id="1213"/>
      <w:bookmarkEnd w:id="1213"/>
      <w:r>
        <w:rPr>
          <w:vertAlign w:val="baseline"/>
        </w:rPr>
        <w:t>evicted</w:t>
      </w:r>
      <w:r>
        <w:rPr>
          <w:vertAlign w:val="baseline"/>
        </w:rPr>
        <w:t> only by a court order in accordance with domestic law and with an opportunity to argue that the eviction was disproportionate. </w:t>
      </w:r>
      <w:r>
        <w:rPr>
          <w:color w:val="005DA1"/>
          <w:u w:val="single" w:color="005DA1"/>
          <w:vertAlign w:val="superscript"/>
        </w:rPr>
        <w:t>671</w:t>
      </w:r>
    </w:p>
    <w:p>
      <w:pPr>
        <w:pStyle w:val="BodyText"/>
      </w:pPr>
    </w:p>
    <w:p>
      <w:pPr>
        <w:pStyle w:val="BodyText"/>
        <w:spacing w:before="36"/>
      </w:pPr>
    </w:p>
    <w:p>
      <w:pPr>
        <w:spacing w:before="1"/>
        <w:ind w:left="165" w:right="0" w:firstLine="0"/>
        <w:jc w:val="both"/>
        <w:rPr>
          <w:rFonts w:ascii="Arial"/>
          <w:b/>
          <w:sz w:val="18"/>
        </w:rPr>
      </w:pPr>
      <w:r>
        <w:rPr>
          <w:rFonts w:ascii="Arial"/>
          <w:b/>
          <w:sz w:val="18"/>
        </w:rPr>
        <w:t>Effect on the </w:t>
      </w:r>
      <w:r>
        <w:rPr>
          <w:rFonts w:ascii="Arial"/>
          <w:b/>
          <w:spacing w:val="-2"/>
          <w:sz w:val="18"/>
        </w:rPr>
        <w:t>contract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080</w:t>
      </w:r>
    </w:p>
    <w:p>
      <w:pPr>
        <w:pStyle w:val="BodyText"/>
        <w:spacing w:line="235" w:lineRule="auto" w:before="203"/>
        <w:ind w:left="165" w:right="167"/>
        <w:jc w:val="both"/>
      </w:pPr>
      <w:r>
        <w:rPr/>
        <w:t>Where s.6 of the 1998 Act renders the making or performance of a contract unlawful as </w:t>
      </w:r>
      <w:r>
        <w:rPr/>
        <w:t>incompatible with Convention rights it creates a new head of contractual illegality. In the absence of special provision</w:t>
      </w:r>
      <w:r>
        <w:rPr>
          <w:spacing w:val="-2"/>
        </w:rPr>
        <w:t> </w:t>
      </w:r>
      <w:r>
        <w:rPr/>
        <w:t>on</w:t>
      </w:r>
      <w:r>
        <w:rPr>
          <w:spacing w:val="-2"/>
        </w:rPr>
        <w:t> </w:t>
      </w:r>
      <w:r>
        <w:rPr/>
        <w:t>this</w:t>
      </w:r>
      <w:r>
        <w:rPr>
          <w:spacing w:val="-2"/>
        </w:rPr>
        <w:t> </w:t>
      </w:r>
      <w:r>
        <w:rPr/>
        <w:t>issue</w:t>
      </w:r>
      <w:r>
        <w:rPr>
          <w:spacing w:val="-2"/>
        </w:rPr>
        <w:t> </w:t>
      </w:r>
      <w:r>
        <w:rPr/>
        <w:t>in</w:t>
      </w:r>
      <w:r>
        <w:rPr>
          <w:spacing w:val="-2"/>
        </w:rPr>
        <w:t> </w:t>
      </w:r>
      <w:r>
        <w:rPr/>
        <w:t>the</w:t>
      </w:r>
      <w:r>
        <w:rPr>
          <w:spacing w:val="-2"/>
        </w:rPr>
        <w:t> </w:t>
      </w:r>
      <w:r>
        <w:rPr/>
        <w:t>1998</w:t>
      </w:r>
      <w:r>
        <w:rPr>
          <w:spacing w:val="-2"/>
        </w:rPr>
        <w:t> </w:t>
      </w:r>
      <w:r>
        <w:rPr/>
        <w:t>Act,</w:t>
      </w:r>
      <w:r>
        <w:rPr>
          <w:spacing w:val="-2"/>
        </w:rPr>
        <w:t> </w:t>
      </w:r>
      <w:r>
        <w:rPr/>
        <w:t>the</w:t>
      </w:r>
      <w:r>
        <w:rPr>
          <w:spacing w:val="-2"/>
        </w:rPr>
        <w:t> </w:t>
      </w:r>
      <w:r>
        <w:rPr/>
        <w:t>contractual</w:t>
      </w:r>
      <w:r>
        <w:rPr>
          <w:spacing w:val="-2"/>
        </w:rPr>
        <w:t> </w:t>
      </w:r>
      <w:r>
        <w:rPr/>
        <w:t>and</w:t>
      </w:r>
      <w:r>
        <w:rPr>
          <w:spacing w:val="-2"/>
        </w:rPr>
        <w:t> </w:t>
      </w:r>
      <w:r>
        <w:rPr/>
        <w:t>restitutionary</w:t>
      </w:r>
      <w:r>
        <w:rPr>
          <w:spacing w:val="-2"/>
        </w:rPr>
        <w:t> </w:t>
      </w:r>
      <w:r>
        <w:rPr/>
        <w:t>consequences</w:t>
      </w:r>
      <w:r>
        <w:rPr>
          <w:spacing w:val="-2"/>
        </w:rPr>
        <w:t> </w:t>
      </w:r>
      <w:r>
        <w:rPr/>
        <w:t>for</w:t>
      </w:r>
      <w:r>
        <w:rPr>
          <w:spacing w:val="-2"/>
        </w:rPr>
        <w:t> </w:t>
      </w:r>
      <w:r>
        <w:rPr/>
        <w:t>the</w:t>
      </w:r>
      <w:r>
        <w:rPr>
          <w:spacing w:val="-2"/>
        </w:rPr>
        <w:t> </w:t>
      </w:r>
      <w:r>
        <w:rPr/>
        <w:t>parties to the contract of this “unlawfulness” fall to be governed by the common law’s approach to illegality exposed and analysed in Ch.16. In this respect, difficult questions may arise as to whether the “unlawful act” of the public authority renders the whole contract illegal (and with what effects for its </w:t>
      </w:r>
      <w:bookmarkStart w:name="_bookmark1212" w:id="1214"/>
      <w:bookmarkEnd w:id="1214"/>
      <w:r>
        <w:rPr/>
        <w:t>parties)</w:t>
      </w:r>
      <w:r>
        <w:rPr/>
        <w:t> or whether it merely renders a term or terms illegal by application of the doctrine of</w:t>
      </w:r>
      <w:r>
        <w:rPr>
          <w:spacing w:val="40"/>
        </w:rPr>
        <w:t> </w:t>
      </w:r>
      <w:r>
        <w:rPr/>
        <w:t>severance. </w:t>
      </w:r>
      <w:r>
        <w:rPr>
          <w:color w:val="005DA1"/>
          <w:u w:val="single" w:color="005DA1"/>
          <w:vertAlign w:val="superscript"/>
        </w:rPr>
        <w:t>672</w:t>
      </w:r>
    </w:p>
    <w:p>
      <w:pPr>
        <w:pStyle w:val="BodyText"/>
      </w:pPr>
    </w:p>
    <w:p>
      <w:pPr>
        <w:pStyle w:val="BodyText"/>
        <w:spacing w:before="35"/>
      </w:pPr>
    </w:p>
    <w:p>
      <w:pPr>
        <w:spacing w:before="0"/>
        <w:ind w:left="165" w:right="0" w:firstLine="0"/>
        <w:jc w:val="left"/>
        <w:rPr>
          <w:rFonts w:ascii="Arial" w:hAnsi="Arial"/>
          <w:b/>
          <w:sz w:val="18"/>
        </w:rPr>
      </w:pPr>
      <w:r>
        <w:rPr>
          <w:rFonts w:ascii="Arial" w:hAnsi="Arial"/>
          <w:b/>
          <w:sz w:val="18"/>
        </w:rPr>
        <w:t>Construction of contracts made by a “public </w:t>
      </w:r>
      <w:r>
        <w:rPr>
          <w:rFonts w:ascii="Arial" w:hAnsi="Arial"/>
          <w:b/>
          <w:spacing w:val="-2"/>
          <w:sz w:val="18"/>
        </w:rPr>
        <w:t>authority”</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081</w:t>
      </w:r>
    </w:p>
    <w:p>
      <w:pPr>
        <w:pStyle w:val="BodyText"/>
        <w:spacing w:line="235" w:lineRule="auto" w:before="202"/>
        <w:ind w:left="165" w:right="167"/>
        <w:jc w:val="both"/>
      </w:pPr>
      <w:bookmarkStart w:name="_bookmark1213" w:id="1215"/>
      <w:bookmarkEnd w:id="1215"/>
      <w:r>
        <w:rPr/>
      </w:r>
      <w:bookmarkStart w:name="_bookmark1214" w:id="1216"/>
      <w:bookmarkEnd w:id="1216"/>
      <w:r>
        <w:rPr/>
      </w:r>
      <w:r>
        <w:rPr/>
        <w:t>In </w:t>
      </w:r>
      <w:r>
        <w:rPr>
          <w:rFonts w:ascii="Arial" w:hAnsi="Arial"/>
          <w:i/>
        </w:rPr>
        <w:t>Biggin Hill Airport Ltd v Bromley LBC </w:t>
      </w:r>
      <w:r>
        <w:rPr>
          <w:color w:val="005DA1"/>
          <w:u w:val="single" w:color="005DA1"/>
          <w:vertAlign w:val="superscript"/>
        </w:rPr>
        <w:t>673</w:t>
      </w:r>
      <w:r>
        <w:rPr>
          <w:color w:val="005DA1"/>
          <w:vertAlign w:val="baseline"/>
        </w:rPr>
        <w:t> </w:t>
      </w:r>
      <w:r>
        <w:rPr>
          <w:vertAlign w:val="baseline"/>
        </w:rPr>
        <w:t>it was held that the 1998 Act did not require a court </w:t>
      </w:r>
      <w:r>
        <w:rPr>
          <w:vertAlign w:val="baseline"/>
        </w:rPr>
        <w:t>as</w:t>
      </w:r>
      <w:r>
        <w:rPr>
          <w:spacing w:val="40"/>
          <w:vertAlign w:val="baseline"/>
        </w:rPr>
        <w:t> </w:t>
      </w:r>
      <w:bookmarkStart w:name="_bookmark1215" w:id="1217"/>
      <w:bookmarkEnd w:id="1217"/>
      <w:r>
        <w:rPr>
          <w:vertAlign w:val="baseline"/>
        </w:rPr>
        <w:t>itself</w:t>
      </w:r>
      <w:r>
        <w:rPr>
          <w:spacing w:val="-1"/>
          <w:vertAlign w:val="baseline"/>
        </w:rPr>
        <w:t> </w:t>
      </w:r>
      <w:r>
        <w:rPr>
          <w:vertAlign w:val="baseline"/>
        </w:rPr>
        <w:t>a</w:t>
      </w:r>
      <w:r>
        <w:rPr>
          <w:spacing w:val="-1"/>
          <w:vertAlign w:val="baseline"/>
        </w:rPr>
        <w:t> </w:t>
      </w:r>
      <w:r>
        <w:rPr>
          <w:vertAlign w:val="baseline"/>
        </w:rPr>
        <w:t>public</w:t>
      </w:r>
      <w:r>
        <w:rPr>
          <w:spacing w:val="-1"/>
          <w:vertAlign w:val="baseline"/>
        </w:rPr>
        <w:t> </w:t>
      </w:r>
      <w:r>
        <w:rPr>
          <w:vertAlign w:val="baseline"/>
        </w:rPr>
        <w:t>authority</w:t>
      </w:r>
      <w:r>
        <w:rPr>
          <w:spacing w:val="-2"/>
          <w:vertAlign w:val="baseline"/>
        </w:rPr>
        <w:t> </w:t>
      </w:r>
      <w:r>
        <w:rPr>
          <w:color w:val="005DA1"/>
          <w:u w:val="single" w:color="005DA1"/>
          <w:vertAlign w:val="superscript"/>
        </w:rPr>
        <w:t>674</w:t>
      </w:r>
      <w:r>
        <w:rPr>
          <w:color w:val="005DA1"/>
          <w:spacing w:val="-1"/>
          <w:vertAlign w:val="baseline"/>
        </w:rPr>
        <w:t> </w:t>
      </w:r>
      <w:r>
        <w:rPr>
          <w:vertAlign w:val="baseline"/>
        </w:rPr>
        <w:t>to</w:t>
      </w:r>
      <w:r>
        <w:rPr>
          <w:spacing w:val="-1"/>
          <w:vertAlign w:val="baseline"/>
        </w:rPr>
        <w:t> </w:t>
      </w:r>
      <w:r>
        <w:rPr>
          <w:vertAlign w:val="baseline"/>
        </w:rPr>
        <w:t>interpret</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made</w:t>
      </w:r>
      <w:r>
        <w:rPr>
          <w:spacing w:val="-1"/>
          <w:vertAlign w:val="baseline"/>
        </w:rPr>
        <w:t> </w:t>
      </w:r>
      <w:r>
        <w:rPr>
          <w:rFonts w:ascii="Arial" w:hAnsi="Arial"/>
          <w:i/>
          <w:vertAlign w:val="baseline"/>
        </w:rPr>
        <w:t>before</w:t>
      </w:r>
      <w:r>
        <w:rPr>
          <w:rFonts w:ascii="Arial" w:hAnsi="Arial"/>
          <w:i/>
          <w:spacing w:val="-1"/>
          <w:vertAlign w:val="baseline"/>
        </w:rPr>
        <w:t> </w:t>
      </w:r>
      <w:r>
        <w:rPr>
          <w:vertAlign w:val="baseline"/>
        </w:rPr>
        <w:t>the</w:t>
      </w:r>
      <w:r>
        <w:rPr>
          <w:spacing w:val="-1"/>
          <w:vertAlign w:val="baseline"/>
        </w:rPr>
        <w:t> </w:t>
      </w:r>
      <w:r>
        <w:rPr>
          <w:vertAlign w:val="baseline"/>
        </w:rPr>
        <w:t>coming</w:t>
      </w:r>
      <w:r>
        <w:rPr>
          <w:spacing w:val="-1"/>
          <w:vertAlign w:val="baseline"/>
        </w:rPr>
        <w:t> </w:t>
      </w:r>
      <w:r>
        <w:rPr>
          <w:vertAlign w:val="baseline"/>
        </w:rPr>
        <w:t>into</w:t>
      </w:r>
      <w:r>
        <w:rPr>
          <w:spacing w:val="-1"/>
          <w:vertAlign w:val="baseline"/>
        </w:rPr>
        <w:t> </w:t>
      </w:r>
      <w:r>
        <w:rPr>
          <w:vertAlign w:val="baseline"/>
        </w:rPr>
        <w:t>effect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Act</w:t>
      </w:r>
      <w:r>
        <w:rPr>
          <w:spacing w:val="-1"/>
          <w:vertAlign w:val="baseline"/>
        </w:rPr>
        <w:t> </w:t>
      </w:r>
      <w:r>
        <w:rPr>
          <w:vertAlign w:val="baseline"/>
        </w:rPr>
        <w:t>in such a way as to be compatible with the Convention rights of third parties to the contract. </w:t>
      </w:r>
      <w:r>
        <w:rPr>
          <w:color w:val="005DA1"/>
          <w:u w:val="single" w:color="005DA1"/>
          <w:vertAlign w:val="superscript"/>
        </w:rPr>
        <w:t>675</w:t>
      </w:r>
      <w:r>
        <w:rPr>
          <w:color w:val="005DA1"/>
          <w:vertAlign w:val="baseline"/>
        </w:rPr>
        <w:t> </w:t>
      </w:r>
      <w:r>
        <w:rPr>
          <w:vertAlign w:val="baseline"/>
        </w:rPr>
        <w:t>On the </w:t>
      </w:r>
      <w:bookmarkStart w:name="_bookmark1216" w:id="1218"/>
      <w:bookmarkEnd w:id="1218"/>
      <w:r>
        <w:rPr>
          <w:vertAlign w:val="baseline"/>
        </w:rPr>
        <w:t>other</w:t>
      </w:r>
      <w:r>
        <w:rPr>
          <w:vertAlign w:val="baseline"/>
        </w:rPr>
        <w:t> hand, where a contract is made after the coming into force of the 1998 Act by a “public</w:t>
      </w:r>
      <w:r>
        <w:rPr>
          <w:spacing w:val="40"/>
          <w:vertAlign w:val="baseline"/>
        </w:rPr>
        <w:t> </w:t>
      </w:r>
      <w:r>
        <w:rPr>
          <w:vertAlign w:val="baseline"/>
        </w:rPr>
        <w:t>authority” </w:t>
      </w:r>
      <w:r>
        <w:rPr>
          <w:color w:val="005DA1"/>
          <w:u w:val="single" w:color="005DA1"/>
          <w:vertAlign w:val="superscript"/>
        </w:rPr>
        <w:t>676</w:t>
      </w:r>
      <w:r>
        <w:rPr>
          <w:color w:val="005DA1"/>
          <w:vertAlign w:val="baseline"/>
        </w:rPr>
        <w:t> </w:t>
      </w:r>
      <w:r>
        <w:rPr>
          <w:vertAlign w:val="baseline"/>
        </w:rPr>
        <w:t>and another person (whether or not a public authority), it may be argued that there is a presumption</w:t>
      </w:r>
      <w:r>
        <w:rPr>
          <w:spacing w:val="-2"/>
          <w:vertAlign w:val="baseline"/>
        </w:rPr>
        <w:t> </w:t>
      </w:r>
      <w:r>
        <w:rPr>
          <w:vertAlign w:val="baseline"/>
        </w:rPr>
        <w:t>that</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public</w:t>
      </w:r>
      <w:r>
        <w:rPr>
          <w:spacing w:val="-2"/>
          <w:vertAlign w:val="baseline"/>
        </w:rPr>
        <w:t> </w:t>
      </w:r>
      <w:r>
        <w:rPr>
          <w:vertAlign w:val="baseline"/>
        </w:rPr>
        <w:t>authority</w:t>
      </w:r>
      <w:r>
        <w:rPr>
          <w:spacing w:val="-2"/>
          <w:vertAlign w:val="baseline"/>
        </w:rPr>
        <w:t> </w:t>
      </w:r>
      <w:r>
        <w:rPr>
          <w:vertAlign w:val="baseline"/>
        </w:rPr>
        <w:t>intends</w:t>
      </w:r>
      <w:r>
        <w:rPr>
          <w:spacing w:val="-2"/>
          <w:vertAlign w:val="baseline"/>
        </w:rPr>
        <w:t> </w:t>
      </w:r>
      <w:r>
        <w:rPr>
          <w:vertAlign w:val="baseline"/>
        </w:rPr>
        <w:t>in</w:t>
      </w:r>
      <w:r>
        <w:rPr>
          <w:spacing w:val="-2"/>
          <w:vertAlign w:val="baseline"/>
        </w:rPr>
        <w:t> </w:t>
      </w:r>
      <w:r>
        <w:rPr>
          <w:vertAlign w:val="baseline"/>
        </w:rPr>
        <w:t>making</w:t>
      </w:r>
      <w:r>
        <w:rPr>
          <w:spacing w:val="-2"/>
          <w:vertAlign w:val="baseline"/>
        </w:rPr>
        <w:t> </w:t>
      </w:r>
      <w:r>
        <w:rPr>
          <w:vertAlign w:val="baseline"/>
        </w:rPr>
        <w:t>and</w:t>
      </w:r>
      <w:r>
        <w:rPr>
          <w:spacing w:val="-2"/>
          <w:vertAlign w:val="baseline"/>
        </w:rPr>
        <w:t> </w:t>
      </w:r>
      <w:r>
        <w:rPr>
          <w:vertAlign w:val="baseline"/>
        </w:rPr>
        <w:t>performing</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to</w:t>
      </w:r>
      <w:r>
        <w:rPr>
          <w:spacing w:val="-2"/>
          <w:vertAlign w:val="baseline"/>
        </w:rPr>
        <w:t> </w:t>
      </w:r>
      <w:r>
        <w:rPr>
          <w:vertAlign w:val="baseline"/>
        </w:rPr>
        <w:t>avoid</w:t>
      </w:r>
      <w:r>
        <w:rPr>
          <w:spacing w:val="-2"/>
          <w:vertAlign w:val="baseline"/>
        </w:rPr>
        <w:t> </w:t>
      </w:r>
      <w:r>
        <w:rPr>
          <w:vertAlign w:val="baseline"/>
        </w:rPr>
        <w:t>acting unlawfully under s.6 of the 1998 Act, without any need for reliance on the position of courts as themselves “public authorities”. For such a presumption could be supported by reference to the</w:t>
      </w:r>
      <w:r>
        <w:rPr>
          <w:spacing w:val="40"/>
          <w:vertAlign w:val="baseline"/>
        </w:rPr>
        <w:t> </w:t>
      </w:r>
      <w:bookmarkStart w:name="_bookmark1217" w:id="1219"/>
      <w:bookmarkEnd w:id="1219"/>
      <w:r>
        <w:rPr>
          <w:vertAlign w:val="baseline"/>
        </w:rPr>
        <w:t>maxim</w:t>
      </w:r>
      <w:r>
        <w:rPr>
          <w:spacing w:val="-2"/>
          <w:vertAlign w:val="baseline"/>
        </w:rPr>
        <w:t> </w:t>
      </w:r>
      <w:r>
        <w:rPr>
          <w:vertAlign w:val="baseline"/>
        </w:rPr>
        <w:t>ut</w:t>
      </w:r>
      <w:r>
        <w:rPr>
          <w:spacing w:val="-2"/>
          <w:vertAlign w:val="baseline"/>
        </w:rPr>
        <w:t> </w:t>
      </w:r>
      <w:r>
        <w:rPr>
          <w:vertAlign w:val="baseline"/>
        </w:rPr>
        <w:t>res</w:t>
      </w:r>
      <w:r>
        <w:rPr>
          <w:spacing w:val="-2"/>
          <w:vertAlign w:val="baseline"/>
        </w:rPr>
        <w:t> </w:t>
      </w:r>
      <w:r>
        <w:rPr>
          <w:vertAlign w:val="baseline"/>
        </w:rPr>
        <w:t>magis</w:t>
      </w:r>
      <w:r>
        <w:rPr>
          <w:spacing w:val="-2"/>
          <w:vertAlign w:val="baseline"/>
        </w:rPr>
        <w:t> </w:t>
      </w:r>
      <w:r>
        <w:rPr>
          <w:vertAlign w:val="baseline"/>
        </w:rPr>
        <w:t>valeat</w:t>
      </w:r>
      <w:r>
        <w:rPr>
          <w:spacing w:val="-2"/>
          <w:vertAlign w:val="baseline"/>
        </w:rPr>
        <w:t> </w:t>
      </w:r>
      <w:r>
        <w:rPr>
          <w:vertAlign w:val="baseline"/>
        </w:rPr>
        <w:t>quam</w:t>
      </w:r>
      <w:r>
        <w:rPr>
          <w:spacing w:val="-2"/>
          <w:vertAlign w:val="baseline"/>
        </w:rPr>
        <w:t> </w:t>
      </w:r>
      <w:r>
        <w:rPr>
          <w:vertAlign w:val="baseline"/>
        </w:rPr>
        <w:t>pereat,</w:t>
      </w:r>
      <w:r>
        <w:rPr>
          <w:spacing w:val="-2"/>
          <w:vertAlign w:val="baseline"/>
        </w:rPr>
        <w:t> </w:t>
      </w:r>
      <w:r>
        <w:rPr>
          <w:vertAlign w:val="baseline"/>
        </w:rPr>
        <w:t>since</w:t>
      </w:r>
      <w:r>
        <w:rPr>
          <w:spacing w:val="-2"/>
          <w:vertAlign w:val="baseline"/>
        </w:rPr>
        <w:t> </w:t>
      </w:r>
      <w:r>
        <w:rPr>
          <w:vertAlign w:val="baseline"/>
        </w:rPr>
        <w:t>a</w:t>
      </w:r>
      <w:r>
        <w:rPr>
          <w:spacing w:val="-2"/>
          <w:vertAlign w:val="baseline"/>
        </w:rPr>
        <w:t> </w:t>
      </w:r>
      <w:r>
        <w:rPr>
          <w:vertAlign w:val="baseline"/>
        </w:rPr>
        <w:t>construction</w:t>
      </w:r>
      <w:r>
        <w:rPr>
          <w:spacing w:val="-2"/>
          <w:vertAlign w:val="baseline"/>
        </w:rPr>
        <w:t> </w:t>
      </w:r>
      <w:r>
        <w:rPr>
          <w:vertAlign w:val="baseline"/>
        </w:rPr>
        <w:t>of</w:t>
      </w:r>
      <w:r>
        <w:rPr>
          <w:spacing w:val="-2"/>
          <w:vertAlign w:val="baseline"/>
        </w:rPr>
        <w:t> </w:t>
      </w:r>
      <w:r>
        <w:rPr>
          <w:vertAlign w:val="baseline"/>
        </w:rPr>
        <w:t>compatibility</w:t>
      </w:r>
      <w:r>
        <w:rPr>
          <w:spacing w:val="-2"/>
          <w:vertAlign w:val="baseline"/>
        </w:rPr>
        <w:t> </w:t>
      </w:r>
      <w:r>
        <w:rPr>
          <w:vertAlign w:val="baseline"/>
        </w:rPr>
        <w:t>with</w:t>
      </w:r>
      <w:r>
        <w:rPr>
          <w:spacing w:val="-2"/>
          <w:vertAlign w:val="baseline"/>
        </w:rPr>
        <w:t> </w:t>
      </w:r>
      <w:r>
        <w:rPr>
          <w:vertAlign w:val="baseline"/>
        </w:rPr>
        <w:t>Convention</w:t>
      </w:r>
      <w:r>
        <w:rPr>
          <w:spacing w:val="-2"/>
          <w:vertAlign w:val="baseline"/>
        </w:rPr>
        <w:t> </w:t>
      </w:r>
      <w:r>
        <w:rPr>
          <w:vertAlign w:val="baseline"/>
        </w:rPr>
        <w:t>rights</w:t>
      </w:r>
      <w:r>
        <w:rPr>
          <w:spacing w:val="-2"/>
          <w:vertAlign w:val="baseline"/>
        </w:rPr>
        <w:t> </w:t>
      </w:r>
      <w:r>
        <w:rPr>
          <w:vertAlign w:val="baseline"/>
        </w:rPr>
        <w:t>in these circumstances would avoid the threat of contractual illegality. </w:t>
      </w:r>
      <w:r>
        <w:rPr>
          <w:color w:val="005DA1"/>
          <w:u w:val="single" w:color="005DA1"/>
          <w:vertAlign w:val="superscript"/>
        </w:rPr>
        <w:t>677</w:t>
      </w:r>
      <w:r>
        <w:rPr>
          <w:color w:val="005DA1"/>
          <w:vertAlign w:val="baseline"/>
        </w:rPr>
        <w:t> </w:t>
      </w:r>
      <w:r>
        <w:rPr>
          <w:vertAlign w:val="baseline"/>
        </w:rPr>
        <w:t>Moreover, as regards “terms implied in law” it may be argued that a court should imply terms in a contract so as allow a public authority to perform its duty to act consistently with Convention rights, as “necessary” for the efficacy </w:t>
      </w:r>
      <w:bookmarkStart w:name="_bookmark1218" w:id="1220"/>
      <w:bookmarkEnd w:id="1220"/>
      <w:r>
        <w:rPr>
          <w:vertAlign w:val="baseline"/>
        </w:rPr>
        <w:t>of</w:t>
      </w:r>
      <w:r>
        <w:rPr>
          <w:vertAlign w:val="baseline"/>
        </w:rPr>
        <w:t> the particular type of contract in question (viz a contract made by a public authority whose performance would have otherwise potentially prejudicial effect on a person’s Convention rights). </w:t>
      </w:r>
      <w:r>
        <w:rPr>
          <w:color w:val="005DA1"/>
          <w:u w:val="single" w:color="005DA1"/>
          <w:vertAlign w:val="superscript"/>
        </w:rPr>
        <w:t>678</w:t>
      </w:r>
    </w:p>
    <w:p>
      <w:pPr>
        <w:pStyle w:val="BodyText"/>
      </w:pPr>
    </w:p>
    <w:p>
      <w:pPr>
        <w:pStyle w:val="BodyText"/>
        <w:spacing w:before="34"/>
      </w:pPr>
      <w:r>
        <w:rPr/>
        <mc:AlternateContent>
          <mc:Choice Requires="wps">
            <w:drawing>
              <wp:anchor distT="0" distB="0" distL="0" distR="0" allowOverlap="1" layoutInCell="1" locked="0" behindDoc="1" simplePos="0" relativeHeight="487667712">
                <wp:simplePos x="0" y="0"/>
                <wp:positionH relativeFrom="page">
                  <wp:posOffset>914400</wp:posOffset>
                </wp:positionH>
                <wp:positionV relativeFrom="paragraph">
                  <wp:posOffset>183466</wp:posOffset>
                </wp:positionV>
                <wp:extent cx="5724525" cy="1270"/>
                <wp:effectExtent l="0" t="0" r="0" b="0"/>
                <wp:wrapTopAndBottom/>
                <wp:docPr id="331" name="Graphic 331"/>
                <wp:cNvGraphicFramePr>
                  <a:graphicFrameLocks/>
                </wp:cNvGraphicFramePr>
                <a:graphic>
                  <a:graphicData uri="http://schemas.microsoft.com/office/word/2010/wordprocessingShape">
                    <wps:wsp>
                      <wps:cNvPr id="331" name="Graphic 33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46179pt;width:450.75pt;height:.1pt;mso-position-horizontal-relative:page;mso-position-vertical-relative:paragraph;z-index:-15648768;mso-wrap-distance-left:0;mso-wrap-distance-right:0" id="docshape37" coordorigin="1440,289" coordsize="9015,0" path="m1440,289l10454,289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219" w:id="1221"/>
      <w:bookmarkEnd w:id="1221"/>
      <w:r>
        <w:rPr/>
      </w:r>
      <w:hyperlink w:history="true" w:anchor="_bookmark1154">
        <w:r>
          <w:rPr>
            <w:color w:val="005DA1"/>
            <w:spacing w:val="-4"/>
            <w:position w:val="5"/>
            <w:sz w:val="14"/>
            <w:u w:val="single" w:color="005DA1"/>
          </w:rPr>
          <w:t>613</w:t>
        </w:r>
      </w:hyperlink>
      <w:r>
        <w:rPr>
          <w:spacing w:val="-4"/>
          <w:position w:val="5"/>
          <w:sz w:val="14"/>
        </w:rPr>
        <w:t>.</w:t>
      </w:r>
      <w:r>
        <w:rPr>
          <w:position w:val="5"/>
          <w:sz w:val="14"/>
        </w:rPr>
        <w:tab/>
      </w:r>
      <w:r>
        <w:rPr/>
        <w:t>See</w:t>
      </w:r>
      <w:r>
        <w:rPr>
          <w:spacing w:val="-2"/>
        </w:rPr>
        <w:t> </w:t>
      </w:r>
      <w:r>
        <w:rPr/>
        <w:t>below, para.1-</w:t>
      </w:r>
      <w:r>
        <w:rPr>
          <w:spacing w:val="-4"/>
        </w:rPr>
        <w:t>076.</w:t>
      </w:r>
    </w:p>
    <w:p>
      <w:pPr>
        <w:pStyle w:val="BodyText"/>
        <w:spacing w:before="9"/>
      </w:pPr>
    </w:p>
    <w:p>
      <w:pPr>
        <w:spacing w:line="235" w:lineRule="auto" w:before="0"/>
        <w:ind w:left="705" w:right="167" w:hanging="541"/>
        <w:jc w:val="both"/>
        <w:rPr>
          <w:sz w:val="20"/>
        </w:rPr>
      </w:pPr>
      <w:bookmarkStart w:name="_bookmark1220" w:id="1222"/>
      <w:bookmarkEnd w:id="1222"/>
      <w:r>
        <w:rPr/>
      </w:r>
      <w:hyperlink w:history="true" w:anchor="_bookmark1155">
        <w:r>
          <w:rPr>
            <w:color w:val="005DA1"/>
            <w:position w:val="5"/>
            <w:sz w:val="14"/>
            <w:u w:val="single" w:color="005DA1"/>
          </w:rPr>
          <w:t>614</w:t>
        </w:r>
      </w:hyperlink>
      <w:r>
        <w:rPr>
          <w:position w:val="5"/>
          <w:sz w:val="14"/>
        </w:rPr>
        <w:t>.</w:t>
      </w:r>
      <w:r>
        <w:rPr>
          <w:spacing w:val="80"/>
          <w:w w:val="150"/>
          <w:position w:val="5"/>
          <w:sz w:val="14"/>
        </w:rPr>
        <w:t> </w:t>
      </w:r>
      <w:r>
        <w:rPr>
          <w:sz w:val="20"/>
        </w:rPr>
        <w:t>For the HL in </w:t>
      </w:r>
      <w:r>
        <w:rPr>
          <w:rFonts w:ascii="Arial" w:hAnsi="Arial"/>
          <w:i/>
          <w:sz w:val="20"/>
        </w:rPr>
        <w:t>Aston Cantlow and Wilmcote with Billesley Parochial Church Council v Wallbank [2003] UKHL 37, [2004] 1 A.C. 546 </w:t>
      </w:r>
      <w:r>
        <w:rPr>
          <w:sz w:val="20"/>
        </w:rPr>
        <w:t>at [6]–[7], [52], [88], [171] the purpose of s.6(1) is that those bodies</w:t>
      </w:r>
      <w:r>
        <w:rPr>
          <w:spacing w:val="-3"/>
          <w:sz w:val="20"/>
        </w:rPr>
        <w:t> </w:t>
      </w:r>
      <w:r>
        <w:rPr>
          <w:sz w:val="20"/>
        </w:rPr>
        <w:t>for</w:t>
      </w:r>
      <w:r>
        <w:rPr>
          <w:spacing w:val="-3"/>
          <w:sz w:val="20"/>
        </w:rPr>
        <w:t> </w:t>
      </w:r>
      <w:r>
        <w:rPr>
          <w:sz w:val="20"/>
        </w:rPr>
        <w:t>whose</w:t>
      </w:r>
      <w:r>
        <w:rPr>
          <w:spacing w:val="-3"/>
          <w:sz w:val="20"/>
        </w:rPr>
        <w:t> </w:t>
      </w:r>
      <w:r>
        <w:rPr>
          <w:sz w:val="20"/>
        </w:rPr>
        <w:t>acts</w:t>
      </w:r>
      <w:r>
        <w:rPr>
          <w:spacing w:val="-3"/>
          <w:sz w:val="20"/>
        </w:rPr>
        <w:t> </w:t>
      </w:r>
      <w:r>
        <w:rPr>
          <w:sz w:val="20"/>
        </w:rPr>
        <w:t>the</w:t>
      </w:r>
      <w:r>
        <w:rPr>
          <w:spacing w:val="-3"/>
          <w:sz w:val="20"/>
        </w:rPr>
        <w:t> </w:t>
      </w:r>
      <w:r>
        <w:rPr>
          <w:sz w:val="20"/>
        </w:rPr>
        <w:t>state</w:t>
      </w:r>
      <w:r>
        <w:rPr>
          <w:spacing w:val="-3"/>
          <w:sz w:val="20"/>
        </w:rPr>
        <w:t> </w:t>
      </w:r>
      <w:r>
        <w:rPr>
          <w:sz w:val="20"/>
        </w:rPr>
        <w:t>is</w:t>
      </w:r>
      <w:r>
        <w:rPr>
          <w:spacing w:val="-3"/>
          <w:sz w:val="20"/>
        </w:rPr>
        <w:t> </w:t>
      </w:r>
      <w:r>
        <w:rPr>
          <w:sz w:val="20"/>
        </w:rPr>
        <w:t>answerable</w:t>
      </w:r>
      <w:r>
        <w:rPr>
          <w:spacing w:val="-3"/>
          <w:sz w:val="20"/>
        </w:rPr>
        <w:t> </w:t>
      </w:r>
      <w:r>
        <w:rPr>
          <w:sz w:val="20"/>
        </w:rPr>
        <w:t>before</w:t>
      </w:r>
      <w:r>
        <w:rPr>
          <w:spacing w:val="-3"/>
          <w:sz w:val="20"/>
        </w:rPr>
        <w:t> </w:t>
      </w:r>
      <w:r>
        <w:rPr>
          <w:sz w:val="20"/>
        </w:rPr>
        <w:t>the</w:t>
      </w:r>
      <w:r>
        <w:rPr>
          <w:spacing w:val="-3"/>
          <w:sz w:val="20"/>
        </w:rPr>
        <w:t> </w:t>
      </w:r>
      <w:r>
        <w:rPr>
          <w:sz w:val="20"/>
        </w:rPr>
        <w:t>European</w:t>
      </w:r>
      <w:r>
        <w:rPr>
          <w:spacing w:val="-3"/>
          <w:sz w:val="20"/>
        </w:rPr>
        <w:t> </w:t>
      </w:r>
      <w:r>
        <w:rPr>
          <w:sz w:val="20"/>
        </w:rPr>
        <w:t>Court</w:t>
      </w:r>
      <w:r>
        <w:rPr>
          <w:spacing w:val="-3"/>
          <w:sz w:val="20"/>
        </w:rPr>
        <w:t> </w:t>
      </w:r>
      <w:r>
        <w:rPr>
          <w:sz w:val="20"/>
        </w:rPr>
        <w:t>of</w:t>
      </w:r>
      <w:r>
        <w:rPr>
          <w:spacing w:val="-3"/>
          <w:sz w:val="20"/>
        </w:rPr>
        <w:t> </w:t>
      </w:r>
      <w:r>
        <w:rPr>
          <w:sz w:val="20"/>
        </w:rPr>
        <w:t>Human</w:t>
      </w:r>
      <w:r>
        <w:rPr>
          <w:spacing w:val="-3"/>
          <w:sz w:val="20"/>
        </w:rPr>
        <w:t> </w:t>
      </w:r>
      <w:r>
        <w:rPr>
          <w:sz w:val="20"/>
        </w:rPr>
        <w:t>Rights</w:t>
      </w:r>
      <w:r>
        <w:rPr>
          <w:spacing w:val="-3"/>
          <w:sz w:val="20"/>
        </w:rPr>
        <w:t> </w:t>
      </w:r>
      <w:r>
        <w:rPr>
          <w:sz w:val="20"/>
        </w:rPr>
        <w:t>shall be subject to a domestic law obligation not to act incompatibly with Convention rights and the phrase “a public authority” for the purpose of s.6(1) is therefore “essentially a reference to a body whose nature is governmental in the broad sense of the expression”.</w:t>
      </w:r>
    </w:p>
    <w:p>
      <w:pPr>
        <w:pStyle w:val="BodyText"/>
        <w:spacing w:before="7"/>
      </w:pPr>
    </w:p>
    <w:p>
      <w:pPr>
        <w:spacing w:line="235" w:lineRule="auto" w:before="1"/>
        <w:ind w:left="705" w:right="167" w:hanging="541"/>
        <w:jc w:val="both"/>
        <w:rPr>
          <w:sz w:val="20"/>
        </w:rPr>
      </w:pPr>
      <w:bookmarkStart w:name="_bookmark1221" w:id="1223"/>
      <w:bookmarkEnd w:id="1223"/>
      <w:r>
        <w:rPr/>
      </w:r>
      <w:hyperlink w:history="true" w:anchor="_bookmark1156">
        <w:r>
          <w:rPr>
            <w:color w:val="005DA1"/>
            <w:position w:val="5"/>
            <w:sz w:val="14"/>
            <w:u w:val="single" w:color="005DA1"/>
          </w:rPr>
          <w:t>615</w:t>
        </w:r>
      </w:hyperlink>
      <w:r>
        <w:rPr>
          <w:position w:val="5"/>
          <w:sz w:val="14"/>
        </w:rPr>
        <w:t>.</w:t>
      </w:r>
      <w:r>
        <w:rPr>
          <w:spacing w:val="80"/>
          <w:position w:val="5"/>
          <w:sz w:val="14"/>
        </w:rPr>
        <w:t>  </w:t>
      </w:r>
      <w:r>
        <w:rPr>
          <w:rFonts w:ascii="Arial" w:hAnsi="Arial"/>
          <w:i/>
          <w:sz w:val="20"/>
        </w:rPr>
        <w:t>Aston Cantlow and Wilmcote with Billesley Parochial Church Council v Wallbank [2003] </w:t>
      </w:r>
      <w:r>
        <w:rPr>
          <w:rFonts w:ascii="Arial" w:hAnsi="Arial"/>
          <w:i/>
          <w:sz w:val="20"/>
        </w:rPr>
        <w:t>UKHL 37, [2004] 1 A.C. 546 </w:t>
      </w:r>
      <w:r>
        <w:rPr>
          <w:sz w:val="20"/>
        </w:rPr>
        <w:t>at [8]–[11], [35], [85]. Craig, </w:t>
      </w:r>
      <w:r>
        <w:rPr>
          <w:rFonts w:ascii="Arial" w:hAnsi="Arial"/>
          <w:i/>
          <w:sz w:val="20"/>
        </w:rPr>
        <w:t>Administrative Law</w:t>
      </w:r>
      <w:r>
        <w:rPr>
          <w:sz w:val="20"/>
        </w:rPr>
        <w:t>, 7th edn (2012), paras 20–016 et seq. (who notes that this categorisation reflects the parliamentary debates of the Human Rights Act and accords with the approach adopted by the European Court of Human </w:t>
      </w:r>
      <w:r>
        <w:rPr>
          <w:spacing w:val="-2"/>
          <w:sz w:val="20"/>
        </w:rPr>
        <w:t>Rights).</w:t>
      </w:r>
    </w:p>
    <w:p>
      <w:pPr>
        <w:pStyle w:val="BodyText"/>
        <w:spacing w:before="4"/>
      </w:pPr>
    </w:p>
    <w:p>
      <w:pPr>
        <w:tabs>
          <w:tab w:pos="705" w:val="left" w:leader="none"/>
        </w:tabs>
        <w:spacing w:before="0"/>
        <w:ind w:left="165" w:right="0" w:firstLine="0"/>
        <w:jc w:val="left"/>
        <w:rPr>
          <w:sz w:val="20"/>
        </w:rPr>
      </w:pPr>
      <w:bookmarkStart w:name="_bookmark1222" w:id="1224"/>
      <w:bookmarkEnd w:id="1224"/>
      <w:r>
        <w:rPr/>
      </w:r>
      <w:hyperlink w:history="true" w:anchor="_bookmark1157">
        <w:r>
          <w:rPr>
            <w:color w:val="005DA1"/>
            <w:spacing w:val="-4"/>
            <w:position w:val="5"/>
            <w:sz w:val="14"/>
            <w:u w:val="single" w:color="005DA1"/>
          </w:rPr>
          <w:t>616</w:t>
        </w:r>
      </w:hyperlink>
      <w:r>
        <w:rPr>
          <w:spacing w:val="-4"/>
          <w:position w:val="5"/>
          <w:sz w:val="14"/>
        </w:rPr>
        <w:t>.</w:t>
      </w:r>
      <w:r>
        <w:rPr>
          <w:position w:val="5"/>
          <w:sz w:val="14"/>
        </w:rPr>
        <w:tab/>
      </w:r>
      <w:r>
        <w:rPr>
          <w:rFonts w:ascii="Arial"/>
          <w:i/>
          <w:sz w:val="20"/>
        </w:rPr>
        <w:t>YL v Birmingham City Council [2007] UKHL 27, [2007] 3 W.L.R. 112</w:t>
      </w:r>
      <w:r>
        <w:rPr>
          <w:rFonts w:ascii="Arial"/>
          <w:i/>
          <w:spacing w:val="-1"/>
          <w:sz w:val="20"/>
        </w:rPr>
        <w:t> </w:t>
      </w:r>
      <w:r>
        <w:rPr>
          <w:sz w:val="20"/>
        </w:rPr>
        <w:t>at [131] (Lord </w:t>
      </w:r>
      <w:r>
        <w:rPr>
          <w:spacing w:val="-2"/>
          <w:sz w:val="20"/>
        </w:rPr>
        <w:t>Neuberger).</w:t>
      </w:r>
    </w:p>
    <w:p>
      <w:pPr>
        <w:spacing w:after="0"/>
        <w:jc w:val="left"/>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1158">
        <w:r>
          <w:rPr>
            <w:color w:val="005DA1"/>
            <w:position w:val="5"/>
            <w:sz w:val="14"/>
            <w:u w:val="single" w:color="005DA1"/>
          </w:rPr>
          <w:t>617</w:t>
        </w:r>
      </w:hyperlink>
      <w:r>
        <w:rPr>
          <w:position w:val="5"/>
          <w:sz w:val="14"/>
        </w:rPr>
        <w:t>.</w:t>
      </w:r>
      <w:r>
        <w:rPr>
          <w:spacing w:val="80"/>
          <w:position w:val="5"/>
          <w:sz w:val="14"/>
        </w:rPr>
        <w:t>  </w:t>
      </w:r>
      <w:r>
        <w:rPr>
          <w:sz w:val="20"/>
        </w:rPr>
        <w:t>See</w:t>
      </w:r>
      <w:r>
        <w:rPr>
          <w:spacing w:val="-1"/>
          <w:sz w:val="20"/>
        </w:rPr>
        <w:t> </w:t>
      </w:r>
      <w:r>
        <w:rPr>
          <w:sz w:val="20"/>
        </w:rPr>
        <w:t>further</w:t>
      </w:r>
      <w:r>
        <w:rPr>
          <w:spacing w:val="-1"/>
          <w:sz w:val="20"/>
        </w:rPr>
        <w:t> </w:t>
      </w:r>
      <w:r>
        <w:rPr>
          <w:sz w:val="20"/>
        </w:rPr>
        <w:t>HL</w:t>
      </w:r>
      <w:r>
        <w:rPr>
          <w:spacing w:val="-1"/>
          <w:sz w:val="20"/>
        </w:rPr>
        <w:t> </w:t>
      </w:r>
      <w:r>
        <w:rPr>
          <w:sz w:val="20"/>
        </w:rPr>
        <w:t>&amp;</w:t>
      </w:r>
      <w:r>
        <w:rPr>
          <w:spacing w:val="-1"/>
          <w:sz w:val="20"/>
        </w:rPr>
        <w:t> </w:t>
      </w:r>
      <w:r>
        <w:rPr>
          <w:sz w:val="20"/>
        </w:rPr>
        <w:t>HC</w:t>
      </w:r>
      <w:r>
        <w:rPr>
          <w:spacing w:val="-1"/>
          <w:sz w:val="20"/>
        </w:rPr>
        <w:t> </w:t>
      </w:r>
      <w:r>
        <w:rPr>
          <w:sz w:val="20"/>
        </w:rPr>
        <w:t>Joint</w:t>
      </w:r>
      <w:r>
        <w:rPr>
          <w:spacing w:val="-1"/>
          <w:sz w:val="20"/>
        </w:rPr>
        <w:t> </w:t>
      </w:r>
      <w:r>
        <w:rPr>
          <w:sz w:val="20"/>
        </w:rPr>
        <w:t>Committee</w:t>
      </w:r>
      <w:r>
        <w:rPr>
          <w:spacing w:val="-1"/>
          <w:sz w:val="20"/>
        </w:rPr>
        <w:t> </w:t>
      </w:r>
      <w:r>
        <w:rPr>
          <w:sz w:val="20"/>
        </w:rPr>
        <w:t>on</w:t>
      </w:r>
      <w:r>
        <w:rPr>
          <w:spacing w:val="-1"/>
          <w:sz w:val="20"/>
        </w:rPr>
        <w:t> </w:t>
      </w:r>
      <w:r>
        <w:rPr>
          <w:sz w:val="20"/>
        </w:rPr>
        <w:t>Human</w:t>
      </w:r>
      <w:r>
        <w:rPr>
          <w:spacing w:val="-1"/>
          <w:sz w:val="20"/>
        </w:rPr>
        <w:t> </w:t>
      </w:r>
      <w:r>
        <w:rPr>
          <w:sz w:val="20"/>
        </w:rPr>
        <w:t>Rights,</w:t>
      </w:r>
      <w:r>
        <w:rPr>
          <w:spacing w:val="-1"/>
          <w:sz w:val="20"/>
        </w:rPr>
        <w:t> </w:t>
      </w:r>
      <w:r>
        <w:rPr>
          <w:sz w:val="20"/>
        </w:rPr>
        <w:t>The</w:t>
      </w:r>
      <w:r>
        <w:rPr>
          <w:spacing w:val="-1"/>
          <w:sz w:val="20"/>
        </w:rPr>
        <w:t> </w:t>
      </w:r>
      <w:r>
        <w:rPr>
          <w:sz w:val="20"/>
        </w:rPr>
        <w:t>Meaning</w:t>
      </w:r>
      <w:r>
        <w:rPr>
          <w:spacing w:val="-1"/>
          <w:sz w:val="20"/>
        </w:rPr>
        <w:t> </w:t>
      </w:r>
      <w:r>
        <w:rPr>
          <w:sz w:val="20"/>
        </w:rPr>
        <w:t>of</w:t>
      </w:r>
      <w:r>
        <w:rPr>
          <w:spacing w:val="-1"/>
          <w:sz w:val="20"/>
        </w:rPr>
        <w:t> </w:t>
      </w:r>
      <w:r>
        <w:rPr>
          <w:sz w:val="20"/>
        </w:rPr>
        <w:t>Public</w:t>
      </w:r>
      <w:r>
        <w:rPr>
          <w:spacing w:val="-1"/>
          <w:sz w:val="20"/>
        </w:rPr>
        <w:t> </w:t>
      </w:r>
      <w:r>
        <w:rPr>
          <w:sz w:val="20"/>
        </w:rPr>
        <w:t>Authority</w:t>
      </w:r>
      <w:r>
        <w:rPr>
          <w:spacing w:val="-1"/>
          <w:sz w:val="20"/>
        </w:rPr>
        <w:t> </w:t>
      </w:r>
      <w:r>
        <w:rPr>
          <w:sz w:val="20"/>
        </w:rPr>
        <w:t>under the Human Rights Act 2006–2007 (2007) (published before the decision in </w:t>
      </w:r>
      <w:r>
        <w:rPr>
          <w:rFonts w:ascii="Arial" w:hAnsi="Arial"/>
          <w:i/>
          <w:sz w:val="20"/>
        </w:rPr>
        <w:t>YL v </w:t>
      </w:r>
      <w:r>
        <w:rPr>
          <w:rFonts w:ascii="Arial" w:hAnsi="Arial"/>
          <w:i/>
          <w:sz w:val="20"/>
        </w:rPr>
        <w:t>Birmingham City</w:t>
      </w:r>
      <w:r>
        <w:rPr>
          <w:rFonts w:ascii="Arial" w:hAnsi="Arial"/>
          <w:i/>
          <w:spacing w:val="11"/>
          <w:sz w:val="20"/>
        </w:rPr>
        <w:t> </w:t>
      </w:r>
      <w:r>
        <w:rPr>
          <w:rFonts w:ascii="Arial" w:hAnsi="Arial"/>
          <w:i/>
          <w:sz w:val="20"/>
        </w:rPr>
        <w:t>Council</w:t>
      </w:r>
      <w:r>
        <w:rPr>
          <w:rFonts w:ascii="Arial" w:hAnsi="Arial"/>
          <w:i/>
          <w:spacing w:val="12"/>
          <w:sz w:val="20"/>
        </w:rPr>
        <w:t> </w:t>
      </w:r>
      <w:r>
        <w:rPr>
          <w:rFonts w:ascii="Arial" w:hAnsi="Arial"/>
          <w:i/>
          <w:sz w:val="20"/>
        </w:rPr>
        <w:t>[2007]</w:t>
      </w:r>
      <w:r>
        <w:rPr>
          <w:rFonts w:ascii="Arial" w:hAnsi="Arial"/>
          <w:i/>
          <w:spacing w:val="12"/>
          <w:sz w:val="20"/>
        </w:rPr>
        <w:t> </w:t>
      </w:r>
      <w:r>
        <w:rPr>
          <w:rFonts w:ascii="Arial" w:hAnsi="Arial"/>
          <w:i/>
          <w:sz w:val="20"/>
        </w:rPr>
        <w:t>UKHL</w:t>
      </w:r>
      <w:r>
        <w:rPr>
          <w:rFonts w:ascii="Arial" w:hAnsi="Arial"/>
          <w:i/>
          <w:spacing w:val="12"/>
          <w:sz w:val="20"/>
        </w:rPr>
        <w:t> </w:t>
      </w:r>
      <w:r>
        <w:rPr>
          <w:rFonts w:ascii="Arial" w:hAnsi="Arial"/>
          <w:i/>
          <w:sz w:val="20"/>
        </w:rPr>
        <w:t>27,</w:t>
      </w:r>
      <w:r>
        <w:rPr>
          <w:rFonts w:ascii="Arial" w:hAnsi="Arial"/>
          <w:i/>
          <w:spacing w:val="12"/>
          <w:sz w:val="20"/>
        </w:rPr>
        <w:t> </w:t>
      </w:r>
      <w:r>
        <w:rPr>
          <w:rFonts w:ascii="Arial" w:hAnsi="Arial"/>
          <w:i/>
          <w:sz w:val="20"/>
        </w:rPr>
        <w:t>[2007]</w:t>
      </w:r>
      <w:r>
        <w:rPr>
          <w:rFonts w:ascii="Arial" w:hAnsi="Arial"/>
          <w:i/>
          <w:spacing w:val="12"/>
          <w:sz w:val="20"/>
        </w:rPr>
        <w:t> </w:t>
      </w:r>
      <w:r>
        <w:rPr>
          <w:rFonts w:ascii="Arial" w:hAnsi="Arial"/>
          <w:i/>
          <w:sz w:val="20"/>
        </w:rPr>
        <w:t>3</w:t>
      </w:r>
      <w:r>
        <w:rPr>
          <w:rFonts w:ascii="Arial" w:hAnsi="Arial"/>
          <w:i/>
          <w:spacing w:val="12"/>
          <w:sz w:val="20"/>
        </w:rPr>
        <w:t> </w:t>
      </w:r>
      <w:r>
        <w:rPr>
          <w:rFonts w:ascii="Arial" w:hAnsi="Arial"/>
          <w:i/>
          <w:sz w:val="20"/>
        </w:rPr>
        <w:t>W.L.R.</w:t>
      </w:r>
      <w:r>
        <w:rPr>
          <w:rFonts w:ascii="Arial" w:hAnsi="Arial"/>
          <w:i/>
          <w:spacing w:val="11"/>
          <w:sz w:val="20"/>
        </w:rPr>
        <w:t> </w:t>
      </w:r>
      <w:r>
        <w:rPr>
          <w:rFonts w:ascii="Arial" w:hAnsi="Arial"/>
          <w:i/>
          <w:sz w:val="20"/>
        </w:rPr>
        <w:t>112</w:t>
      </w:r>
      <w:r>
        <w:rPr>
          <w:sz w:val="20"/>
        </w:rPr>
        <w:t>);</w:t>
      </w:r>
      <w:r>
        <w:rPr>
          <w:spacing w:val="12"/>
          <w:sz w:val="20"/>
        </w:rPr>
        <w:t> </w:t>
      </w:r>
      <w:r>
        <w:rPr>
          <w:sz w:val="20"/>
        </w:rPr>
        <w:t>Craig,</w:t>
      </w:r>
      <w:r>
        <w:rPr>
          <w:spacing w:val="12"/>
          <w:sz w:val="20"/>
        </w:rPr>
        <w:t> </w:t>
      </w:r>
      <w:r>
        <w:rPr>
          <w:rFonts w:ascii="Arial" w:hAnsi="Arial"/>
          <w:i/>
          <w:sz w:val="20"/>
        </w:rPr>
        <w:t>Administrative</w:t>
      </w:r>
      <w:r>
        <w:rPr>
          <w:rFonts w:ascii="Arial" w:hAnsi="Arial"/>
          <w:i/>
          <w:spacing w:val="12"/>
          <w:sz w:val="20"/>
        </w:rPr>
        <w:t> </w:t>
      </w:r>
      <w:r>
        <w:rPr>
          <w:rFonts w:ascii="Arial" w:hAnsi="Arial"/>
          <w:i/>
          <w:sz w:val="20"/>
        </w:rPr>
        <w:t>Law</w:t>
      </w:r>
      <w:r>
        <w:rPr>
          <w:sz w:val="20"/>
        </w:rPr>
        <w:t>,</w:t>
      </w:r>
      <w:r>
        <w:rPr>
          <w:spacing w:val="12"/>
          <w:sz w:val="20"/>
        </w:rPr>
        <w:t> </w:t>
      </w:r>
      <w:r>
        <w:rPr>
          <w:sz w:val="20"/>
        </w:rPr>
        <w:t>7th</w:t>
      </w:r>
      <w:r>
        <w:rPr>
          <w:spacing w:val="12"/>
          <w:sz w:val="20"/>
        </w:rPr>
        <w:t> </w:t>
      </w:r>
      <w:r>
        <w:rPr>
          <w:sz w:val="20"/>
        </w:rPr>
        <w:t>edn</w:t>
      </w:r>
      <w:r>
        <w:rPr>
          <w:spacing w:val="12"/>
          <w:sz w:val="20"/>
        </w:rPr>
        <w:t> </w:t>
      </w:r>
      <w:r>
        <w:rPr>
          <w:spacing w:val="-2"/>
          <w:sz w:val="20"/>
        </w:rPr>
        <w:t>(2012)</w:t>
      </w:r>
    </w:p>
    <w:p>
      <w:pPr>
        <w:pStyle w:val="BodyText"/>
        <w:spacing w:line="225" w:lineRule="exact"/>
        <w:ind w:left="705"/>
        <w:jc w:val="both"/>
      </w:pPr>
      <w:r>
        <w:rPr/>
        <w:t>paras 20-016–20-</w:t>
      </w:r>
      <w:r>
        <w:rPr>
          <w:spacing w:val="-4"/>
        </w:rPr>
        <w:t>021.</w:t>
      </w:r>
    </w:p>
    <w:p>
      <w:pPr>
        <w:pStyle w:val="BodyText"/>
        <w:spacing w:before="5"/>
      </w:pPr>
    </w:p>
    <w:p>
      <w:pPr>
        <w:tabs>
          <w:tab w:pos="705" w:val="left" w:leader="none"/>
        </w:tabs>
        <w:spacing w:before="0"/>
        <w:ind w:left="165" w:right="0" w:firstLine="0"/>
        <w:jc w:val="left"/>
        <w:rPr>
          <w:sz w:val="20"/>
        </w:rPr>
      </w:pPr>
      <w:bookmarkStart w:name="_bookmark1223" w:id="1225"/>
      <w:bookmarkEnd w:id="1225"/>
      <w:r>
        <w:rPr/>
      </w:r>
      <w:hyperlink w:history="true" w:anchor="_bookmark1159">
        <w:r>
          <w:rPr>
            <w:color w:val="005DA1"/>
            <w:spacing w:val="-4"/>
            <w:position w:val="5"/>
            <w:sz w:val="14"/>
            <w:u w:val="single" w:color="005DA1"/>
          </w:rPr>
          <w:t>618</w:t>
        </w:r>
      </w:hyperlink>
      <w:r>
        <w:rPr>
          <w:spacing w:val="-4"/>
          <w:position w:val="5"/>
          <w:sz w:val="14"/>
        </w:rPr>
        <w:t>.</w:t>
      </w:r>
      <w:r>
        <w:rPr>
          <w:position w:val="5"/>
          <w:sz w:val="14"/>
        </w:rPr>
        <w:tab/>
      </w:r>
      <w:r>
        <w:rPr>
          <w:rFonts w:ascii="Arial"/>
          <w:i/>
          <w:sz w:val="20"/>
        </w:rPr>
        <w:t>[2003] UKHL 37, [2004] 1 A.C. </w:t>
      </w:r>
      <w:r>
        <w:rPr>
          <w:rFonts w:ascii="Arial"/>
          <w:i/>
          <w:spacing w:val="-4"/>
          <w:sz w:val="20"/>
        </w:rPr>
        <w:t>546</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09024">
            <wp:simplePos x="0" y="0"/>
            <wp:positionH relativeFrom="page">
              <wp:posOffset>1257846</wp:posOffset>
            </wp:positionH>
            <wp:positionV relativeFrom="paragraph">
              <wp:posOffset>160397</wp:posOffset>
            </wp:positionV>
            <wp:extent cx="107988" cy="107988"/>
            <wp:effectExtent l="0" t="0" r="0" b="0"/>
            <wp:wrapNone/>
            <wp:docPr id="332" name="Image 332"/>
            <wp:cNvGraphicFramePr>
              <a:graphicFrameLocks/>
            </wp:cNvGraphicFramePr>
            <a:graphic>
              <a:graphicData uri="http://schemas.openxmlformats.org/drawingml/2006/picture">
                <pic:pic>
                  <pic:nvPicPr>
                    <pic:cNvPr id="332" name="Image 33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24" w:id="1226"/>
      <w:bookmarkEnd w:id="1226"/>
      <w:r>
        <w:rPr/>
      </w:r>
      <w:hyperlink w:history="true" w:anchor="_bookmark1160">
        <w:r>
          <w:rPr>
            <w:color w:val="005DA1"/>
            <w:spacing w:val="-4"/>
            <w:sz w:val="14"/>
            <w:u w:val="single" w:color="005DA1"/>
          </w:rPr>
          <w:t>619</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[2003] UKHL 37 </w:t>
      </w:r>
      <w:r>
        <w:rPr>
          <w:sz w:val="20"/>
        </w:rPr>
        <w:t>at [12]. The approach taken by the HL was applied in </w:t>
      </w:r>
      <w:r>
        <w:rPr>
          <w:rFonts w:ascii="Arial" w:hAnsi="Arial"/>
          <w:i/>
          <w:sz w:val="20"/>
        </w:rPr>
        <w:t>TH v Chapter </w:t>
      </w:r>
      <w:r>
        <w:rPr>
          <w:rFonts w:ascii="Arial" w:hAnsi="Arial"/>
          <w:i/>
          <w:sz w:val="20"/>
        </w:rPr>
        <w:t>of Worcester Cathedral [2016] EWHC 1117 (Admin) </w:t>
      </w:r>
      <w:r>
        <w:rPr>
          <w:sz w:val="20"/>
        </w:rPr>
        <w:t>(decision by the Chapter of a cathedral affecting the claimant’s ability to perform his hobby of bell-ringing was held not to be an act of a “hybrid” public authority within s.6(3) of the Human Rights Act 1998).</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1225" w:id="1227"/>
      <w:bookmarkEnd w:id="1227"/>
      <w:r>
        <w:rPr/>
      </w:r>
      <w:hyperlink w:history="true" w:anchor="_bookmark1161">
        <w:r>
          <w:rPr>
            <w:color w:val="005DA1"/>
            <w:spacing w:val="-4"/>
            <w:position w:val="5"/>
            <w:sz w:val="14"/>
            <w:u w:val="single" w:color="005DA1"/>
          </w:rPr>
          <w:t>620</w:t>
        </w:r>
      </w:hyperlink>
      <w:r>
        <w:rPr>
          <w:spacing w:val="-4"/>
          <w:position w:val="5"/>
          <w:sz w:val="14"/>
        </w:rPr>
        <w:t>.</w:t>
      </w:r>
      <w:r>
        <w:rPr>
          <w:position w:val="5"/>
          <w:sz w:val="14"/>
        </w:rPr>
        <w:tab/>
      </w:r>
      <w:r>
        <w:rPr>
          <w:rFonts w:ascii="Arial"/>
          <w:i/>
          <w:sz w:val="20"/>
        </w:rPr>
        <w:t>[2003]</w:t>
      </w:r>
      <w:r>
        <w:rPr>
          <w:rFonts w:ascii="Arial"/>
          <w:i/>
          <w:spacing w:val="-2"/>
          <w:sz w:val="20"/>
        </w:rPr>
        <w:t> </w:t>
      </w:r>
      <w:r>
        <w:rPr>
          <w:rFonts w:ascii="Arial"/>
          <w:i/>
          <w:sz w:val="20"/>
        </w:rPr>
        <w:t>UKHL 37</w:t>
      </w:r>
      <w:r>
        <w:rPr>
          <w:rFonts w:ascii="Arial"/>
          <w:i/>
          <w:spacing w:val="-1"/>
          <w:sz w:val="20"/>
        </w:rPr>
        <w:t> </w:t>
      </w:r>
      <w:r>
        <w:rPr>
          <w:sz w:val="20"/>
        </w:rPr>
        <w:t>at </w:t>
      </w:r>
      <w:r>
        <w:rPr>
          <w:spacing w:val="-2"/>
          <w:sz w:val="20"/>
        </w:rPr>
        <w:t>[52].</w:t>
      </w:r>
    </w:p>
    <w:p>
      <w:pPr>
        <w:pStyle w:val="BodyText"/>
        <w:spacing w:before="5"/>
      </w:pPr>
    </w:p>
    <w:p>
      <w:pPr>
        <w:tabs>
          <w:tab w:pos="705" w:val="left" w:leader="none"/>
        </w:tabs>
        <w:spacing w:before="0"/>
        <w:ind w:left="165" w:right="0" w:firstLine="0"/>
        <w:jc w:val="left"/>
        <w:rPr>
          <w:sz w:val="20"/>
        </w:rPr>
      </w:pPr>
      <w:bookmarkStart w:name="_bookmark1226" w:id="1228"/>
      <w:bookmarkEnd w:id="1228"/>
      <w:r>
        <w:rPr/>
      </w:r>
      <w:hyperlink w:history="true" w:anchor="_bookmark1162">
        <w:r>
          <w:rPr>
            <w:color w:val="005DA1"/>
            <w:spacing w:val="-4"/>
            <w:position w:val="5"/>
            <w:sz w:val="14"/>
            <w:u w:val="single" w:color="005DA1"/>
          </w:rPr>
          <w:t>621</w:t>
        </w:r>
      </w:hyperlink>
      <w:r>
        <w:rPr>
          <w:spacing w:val="-4"/>
          <w:position w:val="5"/>
          <w:sz w:val="14"/>
        </w:rPr>
        <w:t>.</w:t>
      </w:r>
      <w:r>
        <w:rPr>
          <w:position w:val="5"/>
          <w:sz w:val="14"/>
        </w:rPr>
        <w:tab/>
      </w:r>
      <w:r>
        <w:rPr>
          <w:rFonts w:ascii="Arial"/>
          <w:i/>
          <w:sz w:val="20"/>
        </w:rPr>
        <w:t>[2004] EWCA Civ 506, [2004] 3 All E.R. </w:t>
      </w:r>
      <w:r>
        <w:rPr>
          <w:rFonts w:ascii="Arial"/>
          <w:i/>
          <w:spacing w:val="-4"/>
          <w:sz w:val="20"/>
        </w:rPr>
        <w:t>251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27" w:id="1229"/>
      <w:bookmarkEnd w:id="1229"/>
      <w:r>
        <w:rPr/>
      </w:r>
      <w:hyperlink w:history="true" w:anchor="_bookmark1163">
        <w:r>
          <w:rPr>
            <w:color w:val="005DA1"/>
            <w:spacing w:val="-4"/>
            <w:position w:val="5"/>
            <w:sz w:val="14"/>
            <w:u w:val="single" w:color="005DA1"/>
          </w:rPr>
          <w:t>622</w:t>
        </w:r>
      </w:hyperlink>
      <w:r>
        <w:rPr>
          <w:spacing w:val="-4"/>
          <w:position w:val="5"/>
          <w:sz w:val="14"/>
        </w:rPr>
        <w:t>.</w:t>
      </w:r>
      <w:r>
        <w:rPr>
          <w:position w:val="5"/>
          <w:sz w:val="14"/>
        </w:rPr>
        <w:tab/>
      </w:r>
      <w:r>
        <w:rPr>
          <w:rFonts w:ascii="Arial" w:hAnsi="Arial"/>
          <w:i/>
          <w:sz w:val="20"/>
        </w:rPr>
        <w:t>[2004]</w:t>
      </w:r>
      <w:r>
        <w:rPr>
          <w:rFonts w:ascii="Arial" w:hAnsi="Arial"/>
          <w:i/>
          <w:spacing w:val="-2"/>
          <w:sz w:val="20"/>
        </w:rPr>
        <w:t> </w:t>
      </w:r>
      <w:r>
        <w:rPr>
          <w:rFonts w:ascii="Arial" w:hAnsi="Arial"/>
          <w:i/>
          <w:sz w:val="20"/>
        </w:rPr>
        <w:t>EWCA Civ 506</w:t>
      </w:r>
      <w:r>
        <w:rPr>
          <w:rFonts w:ascii="Arial" w:hAnsi="Arial"/>
          <w:i/>
          <w:spacing w:val="-1"/>
          <w:sz w:val="20"/>
        </w:rPr>
        <w:t> </w:t>
      </w:r>
      <w:r>
        <w:rPr>
          <w:sz w:val="20"/>
        </w:rPr>
        <w:t>at </w:t>
      </w:r>
      <w:r>
        <w:rPr>
          <w:spacing w:val="-2"/>
          <w:sz w:val="20"/>
        </w:rPr>
        <w:t>[8]–[9].</w:t>
      </w:r>
    </w:p>
    <w:p>
      <w:pPr>
        <w:pStyle w:val="BodyText"/>
        <w:spacing w:before="5"/>
      </w:pPr>
    </w:p>
    <w:p>
      <w:pPr>
        <w:tabs>
          <w:tab w:pos="705" w:val="left" w:leader="none"/>
        </w:tabs>
        <w:spacing w:before="0"/>
        <w:ind w:left="165" w:right="0" w:firstLine="0"/>
        <w:jc w:val="left"/>
        <w:rPr>
          <w:sz w:val="20"/>
        </w:rPr>
      </w:pPr>
      <w:bookmarkStart w:name="_bookmark1228" w:id="1230"/>
      <w:bookmarkEnd w:id="1230"/>
      <w:r>
        <w:rPr/>
      </w:r>
      <w:hyperlink w:history="true" w:anchor="_bookmark1164">
        <w:r>
          <w:rPr>
            <w:color w:val="005DA1"/>
            <w:spacing w:val="-4"/>
            <w:position w:val="5"/>
            <w:sz w:val="14"/>
            <w:u w:val="single" w:color="005DA1"/>
          </w:rPr>
          <w:t>623</w:t>
        </w:r>
      </w:hyperlink>
      <w:r>
        <w:rPr>
          <w:spacing w:val="-4"/>
          <w:position w:val="5"/>
          <w:sz w:val="14"/>
        </w:rPr>
        <w:t>.</w:t>
      </w:r>
      <w:r>
        <w:rPr>
          <w:position w:val="5"/>
          <w:sz w:val="14"/>
        </w:rPr>
        <w:tab/>
      </w:r>
      <w:r>
        <w:rPr>
          <w:rFonts w:ascii="Arial"/>
          <w:i/>
          <w:sz w:val="20"/>
        </w:rPr>
        <w:t>[2004]</w:t>
      </w:r>
      <w:r>
        <w:rPr>
          <w:rFonts w:ascii="Arial"/>
          <w:i/>
          <w:spacing w:val="-1"/>
          <w:sz w:val="20"/>
        </w:rPr>
        <w:t> </w:t>
      </w:r>
      <w:r>
        <w:rPr>
          <w:rFonts w:ascii="Arial"/>
          <w:i/>
          <w:sz w:val="20"/>
        </w:rPr>
        <w:t>EWCA Civ 506</w:t>
      </w:r>
      <w:r>
        <w:rPr>
          <w:sz w:val="20"/>
        </w:rPr>
        <w:t>, at [38], per Brooke </w:t>
      </w:r>
      <w:r>
        <w:rPr>
          <w:spacing w:val="-4"/>
          <w:sz w:val="20"/>
        </w:rPr>
        <w:t>L.J.</w:t>
      </w:r>
    </w:p>
    <w:p>
      <w:pPr>
        <w:pStyle w:val="BodyText"/>
        <w:spacing w:before="5"/>
      </w:pPr>
    </w:p>
    <w:p>
      <w:pPr>
        <w:tabs>
          <w:tab w:pos="705" w:val="left" w:leader="none"/>
        </w:tabs>
        <w:spacing w:before="0"/>
        <w:ind w:left="165" w:right="0" w:firstLine="0"/>
        <w:jc w:val="left"/>
        <w:rPr>
          <w:sz w:val="20"/>
        </w:rPr>
      </w:pPr>
      <w:bookmarkStart w:name="_bookmark1229" w:id="1231"/>
      <w:bookmarkEnd w:id="1231"/>
      <w:r>
        <w:rPr/>
      </w:r>
      <w:hyperlink w:history="true" w:anchor="_bookmark1165">
        <w:r>
          <w:rPr>
            <w:color w:val="005DA1"/>
            <w:spacing w:val="-4"/>
            <w:position w:val="5"/>
            <w:sz w:val="14"/>
            <w:u w:val="single" w:color="005DA1"/>
          </w:rPr>
          <w:t>624</w:t>
        </w:r>
      </w:hyperlink>
      <w:r>
        <w:rPr>
          <w:spacing w:val="-4"/>
          <w:position w:val="5"/>
          <w:sz w:val="14"/>
        </w:rPr>
        <w:t>.</w:t>
      </w:r>
      <w:r>
        <w:rPr>
          <w:position w:val="5"/>
          <w:sz w:val="14"/>
        </w:rPr>
        <w:tab/>
      </w:r>
      <w:r>
        <w:rPr>
          <w:rFonts w:ascii="Arial"/>
          <w:i/>
          <w:sz w:val="20"/>
        </w:rPr>
        <w:t>[2007] UKHL 27, [2007] 3 W.L.R. 112</w:t>
      </w:r>
      <w:r>
        <w:rPr>
          <w:rFonts w:ascii="Arial"/>
          <w:i/>
          <w:spacing w:val="-1"/>
          <w:sz w:val="20"/>
        </w:rPr>
        <w:t> </w:t>
      </w:r>
      <w:r>
        <w:rPr>
          <w:sz w:val="20"/>
        </w:rPr>
        <w:t>noted by Landu (2007) P.L. </w:t>
      </w:r>
      <w:r>
        <w:rPr>
          <w:spacing w:val="-4"/>
          <w:sz w:val="20"/>
        </w:rPr>
        <w:t>630.</w:t>
      </w:r>
    </w:p>
    <w:p>
      <w:pPr>
        <w:pStyle w:val="BodyText"/>
        <w:spacing w:before="9"/>
      </w:pPr>
    </w:p>
    <w:p>
      <w:pPr>
        <w:pStyle w:val="BodyText"/>
        <w:tabs>
          <w:tab w:pos="705" w:val="left" w:leader="none"/>
        </w:tabs>
        <w:spacing w:line="235" w:lineRule="auto"/>
        <w:ind w:left="705" w:right="168" w:hanging="541"/>
      </w:pPr>
      <w:bookmarkStart w:name="_bookmark1230" w:id="1232"/>
      <w:bookmarkEnd w:id="1232"/>
      <w:r>
        <w:rPr/>
      </w:r>
      <w:hyperlink w:history="true" w:anchor="_bookmark1166">
        <w:r>
          <w:rPr>
            <w:color w:val="005DA1"/>
            <w:spacing w:val="-4"/>
            <w:position w:val="5"/>
            <w:sz w:val="14"/>
            <w:u w:val="single" w:color="005DA1"/>
          </w:rPr>
          <w:t>625</w:t>
        </w:r>
      </w:hyperlink>
      <w:r>
        <w:rPr>
          <w:spacing w:val="-4"/>
          <w:position w:val="5"/>
          <w:sz w:val="14"/>
        </w:rPr>
        <w:t>.</w:t>
      </w:r>
      <w:r>
        <w:rPr>
          <w:position w:val="5"/>
          <w:sz w:val="14"/>
        </w:rPr>
        <w:tab/>
      </w:r>
      <w:r>
        <w:rPr>
          <w:rFonts w:ascii="Arial"/>
          <w:i/>
        </w:rPr>
        <w:t>[2007] UKHL 27</w:t>
      </w:r>
      <w:r>
        <w:rPr/>
        <w:t>, per Lord Mance at [115] with whom Lord Neuberger of Abbotsbury agreed </w:t>
      </w:r>
      <w:r>
        <w:rPr/>
        <w:t>at </w:t>
      </w:r>
      <w:r>
        <w:rPr>
          <w:spacing w:val="-2"/>
        </w:rPr>
        <w:t>[126].</w:t>
      </w:r>
    </w:p>
    <w:p>
      <w:pPr>
        <w:pStyle w:val="BodyText"/>
        <w:spacing w:before="9"/>
      </w:pPr>
    </w:p>
    <w:p>
      <w:pPr>
        <w:pStyle w:val="BodyText"/>
        <w:spacing w:line="235" w:lineRule="auto"/>
        <w:ind w:left="705" w:right="167" w:hanging="541"/>
        <w:jc w:val="both"/>
      </w:pPr>
      <w:bookmarkStart w:name="_bookmark1231" w:id="1233"/>
      <w:bookmarkEnd w:id="1233"/>
      <w:r>
        <w:rPr/>
      </w:r>
      <w:hyperlink w:history="true" w:anchor="_bookmark1167">
        <w:r>
          <w:rPr>
            <w:color w:val="005DA1"/>
            <w:position w:val="5"/>
            <w:sz w:val="14"/>
            <w:u w:val="single" w:color="005DA1"/>
          </w:rPr>
          <w:t>626</w:t>
        </w:r>
      </w:hyperlink>
      <w:r>
        <w:rPr>
          <w:position w:val="5"/>
          <w:sz w:val="14"/>
        </w:rPr>
        <w:t>.</w:t>
      </w:r>
      <w:r>
        <w:rPr>
          <w:spacing w:val="80"/>
          <w:position w:val="5"/>
          <w:sz w:val="14"/>
        </w:rPr>
        <w:t>  </w:t>
      </w:r>
      <w:r>
        <w:rPr>
          <w:rFonts w:ascii="Arial" w:hAnsi="Arial"/>
          <w:i/>
        </w:rPr>
        <w:t>[2007] UKHL 27</w:t>
      </w:r>
      <w:r>
        <w:rPr/>
        <w:t>, per Lord Scott of Foscote at [34], although cf. Lord Mance at [117]–[118] and Lord Neuberger at [151] who saw the absence of any relevant difference between a </w:t>
      </w:r>
      <w:r>
        <w:rPr/>
        <w:t>resident staying privately under a contract with the company and one staying under an arrangement between the company and a local authority as a reason for treating both as unable to rely on Convention rights against the company.</w:t>
      </w:r>
    </w:p>
    <w:p>
      <w:pPr>
        <w:pStyle w:val="BodyText"/>
        <w:spacing w:before="8"/>
      </w:pPr>
    </w:p>
    <w:p>
      <w:pPr>
        <w:pStyle w:val="BodyText"/>
        <w:tabs>
          <w:tab w:pos="705" w:val="left" w:leader="none"/>
        </w:tabs>
        <w:spacing w:line="235" w:lineRule="auto"/>
        <w:ind w:left="705" w:right="168" w:hanging="541"/>
      </w:pPr>
      <w:bookmarkStart w:name="_bookmark1232" w:id="1234"/>
      <w:bookmarkEnd w:id="1234"/>
      <w:r>
        <w:rPr/>
      </w:r>
      <w:hyperlink w:history="true" w:anchor="_bookmark1168">
        <w:r>
          <w:rPr>
            <w:color w:val="005DA1"/>
            <w:spacing w:val="-4"/>
            <w:position w:val="5"/>
            <w:sz w:val="14"/>
            <w:u w:val="single" w:color="005DA1"/>
          </w:rPr>
          <w:t>627</w:t>
        </w:r>
      </w:hyperlink>
      <w:r>
        <w:rPr>
          <w:spacing w:val="-4"/>
          <w:position w:val="5"/>
          <w:sz w:val="14"/>
        </w:rPr>
        <w:t>.</w:t>
      </w:r>
      <w:r>
        <w:rPr>
          <w:position w:val="5"/>
          <w:sz w:val="14"/>
        </w:rPr>
        <w:tab/>
      </w:r>
      <w:r>
        <w:rPr>
          <w:rFonts w:ascii="Arial"/>
          <w:i/>
        </w:rPr>
        <w:t>[2007] UKHL 27 </w:t>
      </w:r>
      <w:r>
        <w:rPr/>
        <w:t>at [30] and [82] (Lord Mance using the example of private contractors </w:t>
      </w:r>
      <w:r>
        <w:rPr/>
        <w:t>cleaning the windows of premises let to council tenants).</w:t>
      </w:r>
    </w:p>
    <w:p>
      <w:pPr>
        <w:pStyle w:val="BodyText"/>
        <w:spacing w:before="5"/>
      </w:pPr>
    </w:p>
    <w:p>
      <w:pPr>
        <w:tabs>
          <w:tab w:pos="705" w:val="left" w:leader="none"/>
        </w:tabs>
        <w:spacing w:before="1"/>
        <w:ind w:left="165" w:right="0" w:firstLine="0"/>
        <w:jc w:val="left"/>
        <w:rPr>
          <w:sz w:val="20"/>
        </w:rPr>
      </w:pPr>
      <w:bookmarkStart w:name="_bookmark1233" w:id="1235"/>
      <w:bookmarkEnd w:id="1235"/>
      <w:r>
        <w:rPr/>
      </w:r>
      <w:hyperlink w:history="true" w:anchor="_bookmark1169">
        <w:r>
          <w:rPr>
            <w:color w:val="005DA1"/>
            <w:spacing w:val="-4"/>
            <w:position w:val="5"/>
            <w:sz w:val="14"/>
            <w:u w:val="single" w:color="005DA1"/>
          </w:rPr>
          <w:t>628</w:t>
        </w:r>
      </w:hyperlink>
      <w:r>
        <w:rPr>
          <w:spacing w:val="-4"/>
          <w:position w:val="5"/>
          <w:sz w:val="14"/>
        </w:rPr>
        <w:t>.</w:t>
      </w:r>
      <w:r>
        <w:rPr>
          <w:position w:val="5"/>
          <w:sz w:val="14"/>
        </w:rPr>
        <w:tab/>
      </w:r>
      <w:r>
        <w:rPr>
          <w:rFonts w:ascii="Arial" w:hAnsi="Arial"/>
          <w:i/>
          <w:sz w:val="20"/>
        </w:rPr>
        <w:t>[2007] UKHL 27</w:t>
      </w:r>
      <w:r>
        <w:rPr>
          <w:rFonts w:ascii="Arial" w:hAnsi="Arial"/>
          <w:i/>
          <w:spacing w:val="-1"/>
          <w:sz w:val="20"/>
        </w:rPr>
        <w:t> </w:t>
      </w:r>
      <w:r>
        <w:rPr>
          <w:sz w:val="20"/>
        </w:rPr>
        <w:t>at [56]–[57], per Baroness Hale of </w:t>
      </w:r>
      <w:r>
        <w:rPr>
          <w:spacing w:val="-2"/>
          <w:sz w:val="20"/>
        </w:rPr>
        <w:t>Richmond.</w:t>
      </w:r>
    </w:p>
    <w:p>
      <w:pPr>
        <w:pStyle w:val="BodyText"/>
        <w:spacing w:before="4"/>
      </w:pPr>
    </w:p>
    <w:p>
      <w:pPr>
        <w:tabs>
          <w:tab w:pos="705" w:val="left" w:leader="none"/>
        </w:tabs>
        <w:spacing w:before="1"/>
        <w:ind w:left="165" w:right="0" w:firstLine="0"/>
        <w:jc w:val="left"/>
        <w:rPr>
          <w:sz w:val="20"/>
        </w:rPr>
      </w:pPr>
      <w:bookmarkStart w:name="_bookmark1234" w:id="1236"/>
      <w:bookmarkEnd w:id="1236"/>
      <w:r>
        <w:rPr/>
      </w:r>
      <w:hyperlink w:history="true" w:anchor="_bookmark1170">
        <w:r>
          <w:rPr>
            <w:color w:val="005DA1"/>
            <w:spacing w:val="-4"/>
            <w:position w:val="5"/>
            <w:sz w:val="14"/>
            <w:u w:val="single" w:color="005DA1"/>
          </w:rPr>
          <w:t>629</w:t>
        </w:r>
      </w:hyperlink>
      <w:r>
        <w:rPr>
          <w:spacing w:val="-4"/>
          <w:position w:val="5"/>
          <w:sz w:val="14"/>
        </w:rPr>
        <w:t>.</w:t>
      </w:r>
      <w:r>
        <w:rPr>
          <w:position w:val="5"/>
          <w:sz w:val="14"/>
        </w:rPr>
        <w:tab/>
      </w:r>
      <w:r>
        <w:rPr>
          <w:rFonts w:ascii="Arial"/>
          <w:i/>
          <w:sz w:val="20"/>
        </w:rPr>
        <w:t>[2007] UKHL 27</w:t>
      </w:r>
      <w:r>
        <w:rPr>
          <w:rFonts w:ascii="Arial"/>
          <w:i/>
          <w:spacing w:val="-1"/>
          <w:sz w:val="20"/>
        </w:rPr>
        <w:t> </w:t>
      </w:r>
      <w:r>
        <w:rPr>
          <w:sz w:val="20"/>
        </w:rPr>
        <w:t>at [62], per Baroness Hale of </w:t>
      </w:r>
      <w:r>
        <w:rPr>
          <w:spacing w:val="-2"/>
          <w:sz w:val="20"/>
        </w:rPr>
        <w:t>Richmond.</w:t>
      </w:r>
    </w:p>
    <w:p>
      <w:pPr>
        <w:pStyle w:val="BodyText"/>
        <w:spacing w:before="5"/>
      </w:pPr>
    </w:p>
    <w:p>
      <w:pPr>
        <w:tabs>
          <w:tab w:pos="705" w:val="left" w:leader="none"/>
        </w:tabs>
        <w:spacing w:before="0"/>
        <w:ind w:left="165" w:right="0" w:firstLine="0"/>
        <w:jc w:val="left"/>
        <w:rPr>
          <w:sz w:val="20"/>
        </w:rPr>
      </w:pPr>
      <w:bookmarkStart w:name="_bookmark1235" w:id="1237"/>
      <w:bookmarkEnd w:id="1237"/>
      <w:r>
        <w:rPr/>
      </w:r>
      <w:hyperlink w:history="true" w:anchor="_bookmark1171">
        <w:r>
          <w:rPr>
            <w:color w:val="005DA1"/>
            <w:spacing w:val="-4"/>
            <w:position w:val="5"/>
            <w:sz w:val="14"/>
            <w:u w:val="single" w:color="005DA1"/>
          </w:rPr>
          <w:t>630</w:t>
        </w:r>
      </w:hyperlink>
      <w:r>
        <w:rPr>
          <w:spacing w:val="-4"/>
          <w:position w:val="5"/>
          <w:sz w:val="14"/>
        </w:rPr>
        <w:t>.</w:t>
      </w:r>
      <w:r>
        <w:rPr>
          <w:position w:val="5"/>
          <w:sz w:val="14"/>
        </w:rPr>
        <w:tab/>
      </w:r>
      <w:r>
        <w:rPr>
          <w:rFonts w:ascii="Arial" w:hAnsi="Arial"/>
          <w:i/>
          <w:sz w:val="20"/>
        </w:rPr>
        <w:t>[2007] UKHL 27</w:t>
      </w:r>
      <w:r>
        <w:rPr>
          <w:rFonts w:ascii="Arial" w:hAnsi="Arial"/>
          <w:i/>
          <w:spacing w:val="-1"/>
          <w:sz w:val="20"/>
        </w:rPr>
        <w:t> </w:t>
      </w:r>
      <w:r>
        <w:rPr>
          <w:sz w:val="20"/>
        </w:rPr>
        <w:t>at [66] and see also [7]–[12] (Lord Bingham of </w:t>
      </w:r>
      <w:r>
        <w:rPr>
          <w:spacing w:val="-2"/>
          <w:sz w:val="20"/>
        </w:rPr>
        <w:t>Cornhill).</w:t>
      </w:r>
    </w:p>
    <w:p>
      <w:pPr>
        <w:pStyle w:val="BodyText"/>
        <w:spacing w:before="8"/>
      </w:pPr>
    </w:p>
    <w:p>
      <w:pPr>
        <w:pStyle w:val="BodyText"/>
        <w:spacing w:line="235" w:lineRule="auto"/>
        <w:ind w:left="705" w:right="167" w:hanging="541"/>
        <w:jc w:val="both"/>
      </w:pPr>
      <w:bookmarkStart w:name="_bookmark1236" w:id="1238"/>
      <w:bookmarkEnd w:id="1238"/>
      <w:r>
        <w:rPr/>
      </w:r>
      <w:hyperlink w:history="true" w:anchor="_bookmark1172">
        <w:r>
          <w:rPr>
            <w:color w:val="005DA1"/>
            <w:position w:val="5"/>
            <w:sz w:val="14"/>
            <w:u w:val="single" w:color="005DA1"/>
          </w:rPr>
          <w:t>631</w:t>
        </w:r>
      </w:hyperlink>
      <w:r>
        <w:rPr>
          <w:position w:val="5"/>
          <w:sz w:val="14"/>
        </w:rPr>
        <w:t>.</w:t>
      </w:r>
      <w:r>
        <w:rPr>
          <w:spacing w:val="40"/>
          <w:position w:val="5"/>
          <w:sz w:val="14"/>
        </w:rPr>
        <w:t>  </w:t>
      </w:r>
      <w:r>
        <w:rPr/>
        <w:t>A private Members’ Bill was introduced to Parliament, the Human Rights Act 1998 (Meaning </w:t>
      </w:r>
      <w:r>
        <w:rPr/>
        <w:t>of Public Authority) Bill 2007 cl.1 of which provided that: “[F]or the purposes of section 6(3)(b) of the Human Rights Act 1998 (c.42), a function of a public nature includes a function performed pursuant to a contract or other arrangement with a public authority which is under a duty to perform that function.” The Bill was not, however, passed into law.</w:t>
      </w:r>
    </w:p>
    <w:p>
      <w:pPr>
        <w:pStyle w:val="BodyText"/>
        <w:spacing w:before="5"/>
      </w:pPr>
    </w:p>
    <w:p>
      <w:pPr>
        <w:tabs>
          <w:tab w:pos="705" w:val="left" w:leader="none"/>
        </w:tabs>
        <w:spacing w:before="0"/>
        <w:ind w:left="165" w:right="0" w:firstLine="0"/>
        <w:jc w:val="left"/>
        <w:rPr>
          <w:sz w:val="20"/>
        </w:rPr>
      </w:pPr>
      <w:bookmarkStart w:name="_bookmark1237" w:id="1239"/>
      <w:bookmarkEnd w:id="1239"/>
      <w:r>
        <w:rPr/>
      </w:r>
      <w:hyperlink w:history="true" w:anchor="_bookmark1173">
        <w:r>
          <w:rPr>
            <w:color w:val="005DA1"/>
            <w:spacing w:val="-4"/>
            <w:position w:val="5"/>
            <w:sz w:val="14"/>
            <w:u w:val="single" w:color="005DA1"/>
          </w:rPr>
          <w:t>632</w:t>
        </w:r>
      </w:hyperlink>
      <w:r>
        <w:rPr>
          <w:spacing w:val="-4"/>
          <w:position w:val="5"/>
          <w:sz w:val="14"/>
        </w:rPr>
        <w:t>.</w:t>
      </w:r>
      <w:r>
        <w:rPr>
          <w:position w:val="5"/>
          <w:sz w:val="14"/>
        </w:rPr>
        <w:tab/>
      </w:r>
      <w:r>
        <w:rPr>
          <w:sz w:val="20"/>
        </w:rPr>
        <w:t>Craig,</w:t>
      </w:r>
      <w:r>
        <w:rPr>
          <w:spacing w:val="-4"/>
          <w:sz w:val="20"/>
        </w:rPr>
        <w:t> </w:t>
      </w:r>
      <w:r>
        <w:rPr>
          <w:rFonts w:ascii="Arial"/>
          <w:i/>
          <w:sz w:val="20"/>
        </w:rPr>
        <w:t>Administrative Law</w:t>
      </w:r>
      <w:r>
        <w:rPr>
          <w:sz w:val="20"/>
        </w:rPr>
        <w:t>, 7th edn (2012), para.20-</w:t>
      </w:r>
      <w:r>
        <w:rPr>
          <w:spacing w:val="-4"/>
          <w:sz w:val="20"/>
        </w:rPr>
        <w:t>021.</w:t>
      </w:r>
    </w:p>
    <w:p>
      <w:pPr>
        <w:pStyle w:val="BodyText"/>
        <w:spacing w:before="5"/>
      </w:pPr>
    </w:p>
    <w:p>
      <w:pPr>
        <w:pStyle w:val="BodyText"/>
        <w:tabs>
          <w:tab w:pos="705" w:val="left" w:leader="none"/>
        </w:tabs>
        <w:ind w:left="165"/>
      </w:pPr>
      <w:bookmarkStart w:name="_bookmark1238" w:id="1240"/>
      <w:bookmarkEnd w:id="1240"/>
      <w:r>
        <w:rPr/>
      </w:r>
      <w:hyperlink w:history="true" w:anchor="_bookmark1174">
        <w:r>
          <w:rPr>
            <w:color w:val="005DA1"/>
            <w:spacing w:val="-4"/>
            <w:position w:val="5"/>
            <w:sz w:val="14"/>
            <w:u w:val="single" w:color="005DA1"/>
          </w:rPr>
          <w:t>633</w:t>
        </w:r>
      </w:hyperlink>
      <w:r>
        <w:rPr>
          <w:spacing w:val="-4"/>
          <w:position w:val="5"/>
          <w:sz w:val="14"/>
        </w:rPr>
        <w:t>.</w:t>
      </w:r>
      <w:r>
        <w:rPr>
          <w:position w:val="5"/>
          <w:sz w:val="14"/>
        </w:rPr>
        <w:tab/>
      </w:r>
      <w:r>
        <w:rPr/>
        <w:t>Craig at para.20-</w:t>
      </w:r>
      <w:r>
        <w:rPr>
          <w:spacing w:val="-4"/>
        </w:rPr>
        <w:t>021.</w:t>
      </w:r>
    </w:p>
    <w:p>
      <w:pPr>
        <w:pStyle w:val="BodyText"/>
        <w:spacing w:before="5"/>
      </w:pPr>
    </w:p>
    <w:p>
      <w:pPr>
        <w:pStyle w:val="BodyText"/>
        <w:tabs>
          <w:tab w:pos="705" w:val="left" w:leader="none"/>
        </w:tabs>
        <w:ind w:left="165"/>
      </w:pPr>
      <w:bookmarkStart w:name="_bookmark1239" w:id="1241"/>
      <w:bookmarkEnd w:id="1241"/>
      <w:r>
        <w:rPr/>
      </w:r>
      <w:hyperlink w:history="true" w:anchor="_bookmark1175">
        <w:r>
          <w:rPr>
            <w:color w:val="005DA1"/>
            <w:spacing w:val="-4"/>
            <w:position w:val="5"/>
            <w:sz w:val="14"/>
            <w:u w:val="single" w:color="005DA1"/>
          </w:rPr>
          <w:t>634</w:t>
        </w:r>
      </w:hyperlink>
      <w:r>
        <w:rPr>
          <w:spacing w:val="-4"/>
          <w:position w:val="5"/>
          <w:sz w:val="14"/>
        </w:rPr>
        <w:t>.</w:t>
      </w:r>
      <w:r>
        <w:rPr>
          <w:position w:val="5"/>
          <w:sz w:val="14"/>
        </w:rPr>
        <w:tab/>
      </w:r>
      <w:r>
        <w:rPr/>
        <w:t>Craig at para.20-024 (with other arguments to the same </w:t>
      </w:r>
      <w:r>
        <w:rPr>
          <w:spacing w:val="-2"/>
        </w:rPr>
        <w:t>effect).</w:t>
      </w:r>
    </w:p>
    <w:p>
      <w:pPr>
        <w:pStyle w:val="BodyText"/>
        <w:spacing w:before="5"/>
      </w:pPr>
    </w:p>
    <w:p>
      <w:pPr>
        <w:pStyle w:val="BodyText"/>
        <w:tabs>
          <w:tab w:pos="705" w:val="left" w:leader="none"/>
        </w:tabs>
        <w:ind w:left="165"/>
      </w:pPr>
      <w:bookmarkStart w:name="_bookmark1240" w:id="1242"/>
      <w:bookmarkEnd w:id="1242"/>
      <w:r>
        <w:rPr/>
      </w:r>
      <w:hyperlink w:history="true" w:anchor="_bookmark1176">
        <w:r>
          <w:rPr>
            <w:color w:val="005DA1"/>
            <w:spacing w:val="-4"/>
            <w:position w:val="5"/>
            <w:sz w:val="14"/>
            <w:u w:val="single" w:color="005DA1"/>
          </w:rPr>
          <w:t>635</w:t>
        </w:r>
      </w:hyperlink>
      <w:r>
        <w:rPr>
          <w:spacing w:val="-4"/>
          <w:position w:val="5"/>
          <w:sz w:val="14"/>
        </w:rPr>
        <w:t>.</w:t>
      </w:r>
      <w:r>
        <w:rPr>
          <w:position w:val="5"/>
          <w:sz w:val="14"/>
        </w:rPr>
        <w:tab/>
      </w:r>
      <w:r>
        <w:rPr/>
        <w:t>Craig at para.20-024 noting the Human Rights Act 1998 (Meaning of Public Authority) Bill </w:t>
      </w:r>
      <w:r>
        <w:rPr>
          <w:spacing w:val="-2"/>
        </w:rPr>
        <w:t>2007.</w:t>
      </w:r>
    </w:p>
    <w:p>
      <w:pPr>
        <w:pStyle w:val="BodyText"/>
        <w:spacing w:before="9"/>
      </w:pPr>
    </w:p>
    <w:p>
      <w:pPr>
        <w:spacing w:line="235" w:lineRule="auto" w:before="0"/>
        <w:ind w:left="705" w:right="167" w:hanging="541"/>
        <w:jc w:val="both"/>
        <w:rPr>
          <w:sz w:val="20"/>
        </w:rPr>
      </w:pPr>
      <w:bookmarkStart w:name="_bookmark1241" w:id="1243"/>
      <w:bookmarkEnd w:id="1243"/>
      <w:r>
        <w:rPr/>
      </w:r>
      <w:hyperlink w:history="true" w:anchor="_bookmark1177">
        <w:r>
          <w:rPr>
            <w:color w:val="005DA1"/>
            <w:position w:val="5"/>
            <w:sz w:val="14"/>
            <w:u w:val="single" w:color="005DA1"/>
          </w:rPr>
          <w:t>636</w:t>
        </w:r>
      </w:hyperlink>
      <w:r>
        <w:rPr>
          <w:position w:val="5"/>
          <w:sz w:val="14"/>
        </w:rPr>
        <w:t>.</w:t>
      </w:r>
      <w:r>
        <w:rPr>
          <w:spacing w:val="40"/>
          <w:position w:val="5"/>
          <w:sz w:val="14"/>
        </w:rPr>
        <w:t>  </w:t>
      </w:r>
      <w:r>
        <w:rPr>
          <w:rFonts w:ascii="Arial" w:hAnsi="Arial"/>
          <w:i/>
          <w:sz w:val="20"/>
        </w:rPr>
        <w:t>[2009] EWCA Civ 587, [2010] 1 W.L.R. 363</w:t>
      </w:r>
      <w:r>
        <w:rPr>
          <w:sz w:val="20"/>
        </w:rPr>
        <w:t>. The decision was applied in </w:t>
      </w:r>
      <w:r>
        <w:rPr>
          <w:rFonts w:ascii="Arial" w:hAnsi="Arial"/>
          <w:i/>
          <w:sz w:val="20"/>
        </w:rPr>
        <w:t>R. (on the application McIntyre) v Gentoo Group Ltd [2010] EWHC 5 (Admin), [2010] 2 P. &amp; C.R. DG6 </w:t>
      </w:r>
      <w:r>
        <w:rPr>
          <w:sz w:val="20"/>
        </w:rPr>
        <w:t>(where, however, judicial review was refused partly on the basis of the existence of other remedies</w:t>
      </w:r>
      <w:r>
        <w:rPr>
          <w:spacing w:val="40"/>
          <w:sz w:val="20"/>
        </w:rPr>
        <w:t> </w:t>
      </w:r>
      <w:r>
        <w:rPr>
          <w:sz w:val="20"/>
        </w:rPr>
        <w:t>open to the claimants). The decision in </w:t>
      </w:r>
      <w:r>
        <w:rPr>
          <w:rFonts w:ascii="Arial" w:hAnsi="Arial"/>
          <w:i/>
          <w:sz w:val="20"/>
        </w:rPr>
        <w:t>Weaver </w:t>
      </w:r>
      <w:r>
        <w:rPr>
          <w:sz w:val="20"/>
        </w:rPr>
        <w:t>was distinguished by </w:t>
      </w:r>
      <w:r>
        <w:rPr>
          <w:rFonts w:ascii="Arial" w:hAnsi="Arial"/>
          <w:i/>
          <w:sz w:val="20"/>
        </w:rPr>
        <w:t>Southward Housing Cooperative</w:t>
      </w:r>
      <w:r>
        <w:rPr>
          <w:rFonts w:ascii="Arial" w:hAnsi="Arial"/>
          <w:i/>
          <w:spacing w:val="67"/>
          <w:sz w:val="20"/>
        </w:rPr>
        <w:t> </w:t>
      </w:r>
      <w:r>
        <w:rPr>
          <w:rFonts w:ascii="Arial" w:hAnsi="Arial"/>
          <w:i/>
          <w:sz w:val="20"/>
        </w:rPr>
        <w:t>Ltd</w:t>
      </w:r>
      <w:r>
        <w:rPr>
          <w:rFonts w:ascii="Arial" w:hAnsi="Arial"/>
          <w:i/>
          <w:spacing w:val="69"/>
          <w:sz w:val="20"/>
        </w:rPr>
        <w:t> </w:t>
      </w:r>
      <w:r>
        <w:rPr>
          <w:rFonts w:ascii="Arial" w:hAnsi="Arial"/>
          <w:i/>
          <w:sz w:val="20"/>
        </w:rPr>
        <w:t>v</w:t>
      </w:r>
      <w:r>
        <w:rPr>
          <w:rFonts w:ascii="Arial" w:hAnsi="Arial"/>
          <w:i/>
          <w:spacing w:val="69"/>
          <w:sz w:val="20"/>
        </w:rPr>
        <w:t> </w:t>
      </w:r>
      <w:r>
        <w:rPr>
          <w:rFonts w:ascii="Arial" w:hAnsi="Arial"/>
          <w:i/>
          <w:sz w:val="20"/>
        </w:rPr>
        <w:t>Walker</w:t>
      </w:r>
      <w:r>
        <w:rPr>
          <w:rFonts w:ascii="Arial" w:hAnsi="Arial"/>
          <w:i/>
          <w:spacing w:val="69"/>
          <w:sz w:val="20"/>
        </w:rPr>
        <w:t> </w:t>
      </w:r>
      <w:r>
        <w:rPr>
          <w:rFonts w:ascii="Arial" w:hAnsi="Arial"/>
          <w:i/>
          <w:sz w:val="20"/>
        </w:rPr>
        <w:t>[2015]</w:t>
      </w:r>
      <w:r>
        <w:rPr>
          <w:rFonts w:ascii="Arial" w:hAnsi="Arial"/>
          <w:i/>
          <w:spacing w:val="69"/>
          <w:sz w:val="20"/>
        </w:rPr>
        <w:t> </w:t>
      </w:r>
      <w:r>
        <w:rPr>
          <w:rFonts w:ascii="Arial" w:hAnsi="Arial"/>
          <w:i/>
          <w:sz w:val="20"/>
        </w:rPr>
        <w:t>EWHC</w:t>
      </w:r>
      <w:r>
        <w:rPr>
          <w:rFonts w:ascii="Arial" w:hAnsi="Arial"/>
          <w:i/>
          <w:spacing w:val="69"/>
          <w:sz w:val="20"/>
        </w:rPr>
        <w:t> </w:t>
      </w:r>
      <w:r>
        <w:rPr>
          <w:rFonts w:ascii="Arial" w:hAnsi="Arial"/>
          <w:i/>
          <w:sz w:val="20"/>
        </w:rPr>
        <w:t>1615</w:t>
      </w:r>
      <w:r>
        <w:rPr>
          <w:rFonts w:ascii="Arial" w:hAnsi="Arial"/>
          <w:i/>
          <w:spacing w:val="69"/>
          <w:sz w:val="20"/>
        </w:rPr>
        <w:t> </w:t>
      </w:r>
      <w:r>
        <w:rPr>
          <w:rFonts w:ascii="Arial" w:hAnsi="Arial"/>
          <w:i/>
          <w:sz w:val="20"/>
        </w:rPr>
        <w:t>(Ch)</w:t>
      </w:r>
      <w:r>
        <w:rPr>
          <w:rFonts w:ascii="Arial" w:hAnsi="Arial"/>
          <w:i/>
          <w:spacing w:val="68"/>
          <w:sz w:val="20"/>
        </w:rPr>
        <w:t> </w:t>
      </w:r>
      <w:r>
        <w:rPr>
          <w:sz w:val="20"/>
        </w:rPr>
        <w:t>at</w:t>
      </w:r>
      <w:r>
        <w:rPr>
          <w:spacing w:val="69"/>
          <w:sz w:val="20"/>
        </w:rPr>
        <w:t> </w:t>
      </w:r>
      <w:r>
        <w:rPr>
          <w:sz w:val="20"/>
        </w:rPr>
        <w:t>[220]–[225]</w:t>
      </w:r>
      <w:r>
        <w:rPr>
          <w:spacing w:val="69"/>
          <w:sz w:val="20"/>
        </w:rPr>
        <w:t> </w:t>
      </w:r>
      <w:r>
        <w:rPr>
          <w:sz w:val="20"/>
        </w:rPr>
        <w:t>(fully</w:t>
      </w:r>
      <w:r>
        <w:rPr>
          <w:spacing w:val="69"/>
          <w:sz w:val="20"/>
        </w:rPr>
        <w:t> </w:t>
      </w:r>
      <w:r>
        <w:rPr>
          <w:sz w:val="20"/>
        </w:rPr>
        <w:t>mutual</w:t>
      </w:r>
      <w:r>
        <w:rPr>
          <w:spacing w:val="69"/>
          <w:sz w:val="20"/>
        </w:rPr>
        <w:t> </w:t>
      </w:r>
      <w:r>
        <w:rPr>
          <w:spacing w:val="-2"/>
          <w:sz w:val="20"/>
        </w:rPr>
        <w:t>housing</w:t>
      </w:r>
    </w:p>
    <w:p>
      <w:pPr>
        <w:spacing w:after="0" w:line="235" w:lineRule="auto"/>
        <w:jc w:val="both"/>
        <w:rPr>
          <w:sz w:val="20"/>
        </w:rPr>
        <w:sectPr>
          <w:type w:val="continuous"/>
          <w:pgSz w:w="11900" w:h="16840"/>
          <w:pgMar w:header="971" w:footer="0" w:top="1300" w:bottom="280" w:left="1275" w:right="1275"/>
        </w:sectPr>
      </w:pPr>
    </w:p>
    <w:p>
      <w:pPr>
        <w:pStyle w:val="BodyText"/>
        <w:spacing w:before="106"/>
        <w:ind w:left="705"/>
      </w:pPr>
      <w:r>
        <w:rPr/>
        <w:t>co-operative not a public authority or acting as such for the purposes of s.6 of the 1998 </w:t>
      </w:r>
      <w:r>
        <w:rPr>
          <w:spacing w:val="-2"/>
        </w:rPr>
        <w:t>Act).</w:t>
      </w:r>
    </w:p>
    <w:p>
      <w:pPr>
        <w:pStyle w:val="BodyText"/>
        <w:spacing w:before="5"/>
      </w:pPr>
    </w:p>
    <w:p>
      <w:pPr>
        <w:tabs>
          <w:tab w:pos="705" w:val="left" w:leader="none"/>
        </w:tabs>
        <w:spacing w:before="1"/>
        <w:ind w:left="165" w:right="0" w:firstLine="0"/>
        <w:jc w:val="left"/>
        <w:rPr>
          <w:sz w:val="20"/>
        </w:rPr>
      </w:pPr>
      <w:bookmarkStart w:name="_bookmark1242" w:id="1244"/>
      <w:bookmarkEnd w:id="1244"/>
      <w:r>
        <w:rPr/>
      </w:r>
      <w:hyperlink w:history="true" w:anchor="_bookmark1178">
        <w:r>
          <w:rPr>
            <w:color w:val="005DA1"/>
            <w:spacing w:val="-4"/>
            <w:position w:val="5"/>
            <w:sz w:val="14"/>
            <w:u w:val="single" w:color="005DA1"/>
          </w:rPr>
          <w:t>637</w:t>
        </w:r>
      </w:hyperlink>
      <w:r>
        <w:rPr>
          <w:spacing w:val="-4"/>
          <w:position w:val="5"/>
          <w:sz w:val="14"/>
        </w:rPr>
        <w:t>.</w:t>
      </w:r>
      <w:r>
        <w:rPr>
          <w:position w:val="5"/>
          <w:sz w:val="14"/>
        </w:rPr>
        <w:tab/>
      </w:r>
      <w:r>
        <w:rPr>
          <w:rFonts w:ascii="Arial" w:hAnsi="Arial"/>
          <w:i/>
          <w:sz w:val="20"/>
        </w:rPr>
        <w:t>[2009] EWCA Civ 587</w:t>
      </w:r>
      <w:r>
        <w:rPr>
          <w:rFonts w:ascii="Arial" w:hAnsi="Arial"/>
          <w:i/>
          <w:spacing w:val="-1"/>
          <w:sz w:val="20"/>
        </w:rPr>
        <w:t> </w:t>
      </w:r>
      <w:r>
        <w:rPr>
          <w:sz w:val="20"/>
        </w:rPr>
        <w:t>at </w:t>
      </w:r>
      <w:r>
        <w:rPr>
          <w:spacing w:val="-2"/>
          <w:sz w:val="20"/>
        </w:rPr>
        <w:t>[66]–[82].</w:t>
      </w:r>
    </w:p>
    <w:p>
      <w:pPr>
        <w:pStyle w:val="BodyText"/>
        <w:spacing w:before="8"/>
      </w:pPr>
    </w:p>
    <w:p>
      <w:pPr>
        <w:tabs>
          <w:tab w:pos="705" w:val="left" w:leader="none"/>
        </w:tabs>
        <w:spacing w:line="235" w:lineRule="auto" w:before="0"/>
        <w:ind w:left="705" w:right="168" w:hanging="541"/>
        <w:jc w:val="left"/>
        <w:rPr>
          <w:sz w:val="20"/>
        </w:rPr>
      </w:pPr>
      <w:bookmarkStart w:name="_bookmark1243" w:id="1245"/>
      <w:bookmarkEnd w:id="1245"/>
      <w:r>
        <w:rPr/>
      </w:r>
      <w:hyperlink w:history="true" w:anchor="_bookmark1179">
        <w:r>
          <w:rPr>
            <w:color w:val="005DA1"/>
            <w:spacing w:val="-4"/>
            <w:position w:val="5"/>
            <w:sz w:val="14"/>
            <w:u w:val="single" w:color="005DA1"/>
          </w:rPr>
          <w:t>638</w:t>
        </w:r>
      </w:hyperlink>
      <w:r>
        <w:rPr>
          <w:spacing w:val="-4"/>
          <w:position w:val="5"/>
          <w:sz w:val="14"/>
        </w:rPr>
        <w:t>.</w:t>
      </w:r>
      <w:r>
        <w:rPr>
          <w:position w:val="5"/>
          <w:sz w:val="14"/>
        </w:rPr>
        <w:tab/>
      </w:r>
      <w:r>
        <w:rPr>
          <w:rFonts w:ascii="Arial" w:hAnsi="Arial"/>
          <w:i/>
          <w:sz w:val="20"/>
        </w:rPr>
        <w:t>[2009]</w:t>
      </w:r>
      <w:r>
        <w:rPr>
          <w:rFonts w:ascii="Arial" w:hAnsi="Arial"/>
          <w:i/>
          <w:spacing w:val="37"/>
          <w:sz w:val="20"/>
        </w:rPr>
        <w:t> </w:t>
      </w:r>
      <w:r>
        <w:rPr>
          <w:rFonts w:ascii="Arial" w:hAnsi="Arial"/>
          <w:i/>
          <w:sz w:val="20"/>
        </w:rPr>
        <w:t>EWCA</w:t>
      </w:r>
      <w:r>
        <w:rPr>
          <w:rFonts w:ascii="Arial" w:hAnsi="Arial"/>
          <w:i/>
          <w:spacing w:val="37"/>
          <w:sz w:val="20"/>
        </w:rPr>
        <w:t> </w:t>
      </w:r>
      <w:r>
        <w:rPr>
          <w:rFonts w:ascii="Arial" w:hAnsi="Arial"/>
          <w:i/>
          <w:sz w:val="20"/>
        </w:rPr>
        <w:t>Civ</w:t>
      </w:r>
      <w:r>
        <w:rPr>
          <w:rFonts w:ascii="Arial" w:hAnsi="Arial"/>
          <w:i/>
          <w:spacing w:val="37"/>
          <w:sz w:val="20"/>
        </w:rPr>
        <w:t> </w:t>
      </w:r>
      <w:r>
        <w:rPr>
          <w:rFonts w:ascii="Arial" w:hAnsi="Arial"/>
          <w:i/>
          <w:sz w:val="20"/>
        </w:rPr>
        <w:t>587</w:t>
      </w:r>
      <w:r>
        <w:rPr>
          <w:rFonts w:ascii="Arial" w:hAnsi="Arial"/>
          <w:i/>
          <w:spacing w:val="37"/>
          <w:sz w:val="20"/>
        </w:rPr>
        <w:t> </w:t>
      </w:r>
      <w:r>
        <w:rPr>
          <w:sz w:val="20"/>
        </w:rPr>
        <w:t>at</w:t>
      </w:r>
      <w:r>
        <w:rPr>
          <w:spacing w:val="37"/>
          <w:sz w:val="20"/>
        </w:rPr>
        <w:t> </w:t>
      </w:r>
      <w:r>
        <w:rPr>
          <w:sz w:val="20"/>
        </w:rPr>
        <w:t>[77],</w:t>
      </w:r>
      <w:r>
        <w:rPr>
          <w:spacing w:val="37"/>
          <w:sz w:val="20"/>
        </w:rPr>
        <w:t> </w:t>
      </w:r>
      <w:r>
        <w:rPr>
          <w:sz w:val="20"/>
        </w:rPr>
        <w:t>per</w:t>
      </w:r>
      <w:r>
        <w:rPr>
          <w:spacing w:val="37"/>
          <w:sz w:val="20"/>
        </w:rPr>
        <w:t> </w:t>
      </w:r>
      <w:r>
        <w:rPr>
          <w:sz w:val="20"/>
        </w:rPr>
        <w:t>Elias</w:t>
      </w:r>
      <w:r>
        <w:rPr>
          <w:spacing w:val="37"/>
          <w:sz w:val="20"/>
        </w:rPr>
        <w:t> </w:t>
      </w:r>
      <w:r>
        <w:rPr>
          <w:sz w:val="20"/>
        </w:rPr>
        <w:t>L.J.</w:t>
      </w:r>
      <w:r>
        <w:rPr>
          <w:spacing w:val="37"/>
          <w:sz w:val="20"/>
        </w:rPr>
        <w:t> </w:t>
      </w:r>
      <w:r>
        <w:rPr>
          <w:sz w:val="20"/>
        </w:rPr>
        <w:t>with</w:t>
      </w:r>
      <w:r>
        <w:rPr>
          <w:spacing w:val="37"/>
          <w:sz w:val="20"/>
        </w:rPr>
        <w:t> </w:t>
      </w:r>
      <w:r>
        <w:rPr>
          <w:sz w:val="20"/>
        </w:rPr>
        <w:t>whom</w:t>
      </w:r>
      <w:r>
        <w:rPr>
          <w:spacing w:val="37"/>
          <w:sz w:val="20"/>
        </w:rPr>
        <w:t> </w:t>
      </w:r>
      <w:r>
        <w:rPr>
          <w:sz w:val="20"/>
        </w:rPr>
        <w:t>Lord</w:t>
      </w:r>
      <w:r>
        <w:rPr>
          <w:spacing w:val="37"/>
          <w:sz w:val="20"/>
        </w:rPr>
        <w:t> </w:t>
      </w:r>
      <w:r>
        <w:rPr>
          <w:sz w:val="20"/>
        </w:rPr>
        <w:t>Collins</w:t>
      </w:r>
      <w:r>
        <w:rPr>
          <w:spacing w:val="37"/>
          <w:sz w:val="20"/>
        </w:rPr>
        <w:t> </w:t>
      </w:r>
      <w:r>
        <w:rPr>
          <w:sz w:val="20"/>
        </w:rPr>
        <w:t>of</w:t>
      </w:r>
      <w:r>
        <w:rPr>
          <w:spacing w:val="37"/>
          <w:sz w:val="20"/>
        </w:rPr>
        <w:t> </w:t>
      </w:r>
      <w:r>
        <w:rPr>
          <w:sz w:val="20"/>
        </w:rPr>
        <w:t>Mapesbury</w:t>
      </w:r>
      <w:r>
        <w:rPr>
          <w:spacing w:val="37"/>
          <w:sz w:val="20"/>
        </w:rPr>
        <w:t> </w:t>
      </w:r>
      <w:r>
        <w:rPr>
          <w:sz w:val="20"/>
        </w:rPr>
        <w:t>agreed (especially at [100]–[101]).</w:t>
      </w:r>
    </w:p>
    <w:p>
      <w:pPr>
        <w:pStyle w:val="BodyText"/>
        <w:spacing w:before="6"/>
      </w:pPr>
    </w:p>
    <w:p>
      <w:pPr>
        <w:tabs>
          <w:tab w:pos="705" w:val="left" w:leader="none"/>
        </w:tabs>
        <w:spacing w:before="0"/>
        <w:ind w:left="165" w:right="0" w:firstLine="0"/>
        <w:jc w:val="left"/>
        <w:rPr>
          <w:sz w:val="20"/>
        </w:rPr>
      </w:pPr>
      <w:bookmarkStart w:name="_bookmark1244" w:id="1246"/>
      <w:bookmarkEnd w:id="1246"/>
      <w:r>
        <w:rPr/>
      </w:r>
      <w:hyperlink w:history="true" w:anchor="_bookmark1180">
        <w:r>
          <w:rPr>
            <w:color w:val="005DA1"/>
            <w:spacing w:val="-4"/>
            <w:position w:val="5"/>
            <w:sz w:val="14"/>
            <w:u w:val="single" w:color="005DA1"/>
          </w:rPr>
          <w:t>639</w:t>
        </w:r>
      </w:hyperlink>
      <w:r>
        <w:rPr>
          <w:spacing w:val="-4"/>
          <w:position w:val="5"/>
          <w:sz w:val="14"/>
        </w:rPr>
        <w:t>.</w:t>
      </w:r>
      <w:r>
        <w:rPr>
          <w:position w:val="5"/>
          <w:sz w:val="14"/>
        </w:rPr>
        <w:tab/>
      </w:r>
      <w:r>
        <w:rPr>
          <w:rFonts w:ascii="Arial"/>
          <w:i/>
          <w:sz w:val="20"/>
        </w:rPr>
        <w:t>[2003]</w:t>
      </w:r>
      <w:r>
        <w:rPr>
          <w:rFonts w:ascii="Arial"/>
          <w:i/>
          <w:spacing w:val="-2"/>
          <w:sz w:val="20"/>
        </w:rPr>
        <w:t> </w:t>
      </w:r>
      <w:r>
        <w:rPr>
          <w:rFonts w:ascii="Arial"/>
          <w:i/>
          <w:sz w:val="20"/>
        </w:rPr>
        <w:t>EWHC 803 (Admin), The Times, April 30, </w:t>
      </w:r>
      <w:r>
        <w:rPr>
          <w:rFonts w:ascii="Arial"/>
          <w:i/>
          <w:spacing w:val="-2"/>
          <w:sz w:val="20"/>
        </w:rPr>
        <w:t>2003</w:t>
      </w:r>
      <w:r>
        <w:rPr>
          <w:spacing w:val="-2"/>
          <w:sz w:val="20"/>
        </w:rPr>
        <w:t>.</w:t>
      </w:r>
    </w:p>
    <w:p>
      <w:pPr>
        <w:pStyle w:val="BodyText"/>
        <w:spacing w:before="5"/>
      </w:pPr>
    </w:p>
    <w:p>
      <w:pPr>
        <w:pStyle w:val="BodyText"/>
        <w:tabs>
          <w:tab w:pos="705" w:val="left" w:leader="none"/>
        </w:tabs>
        <w:ind w:left="165"/>
      </w:pPr>
      <w:bookmarkStart w:name="_bookmark1245" w:id="1247"/>
      <w:bookmarkEnd w:id="1247"/>
      <w:r>
        <w:rPr/>
      </w:r>
      <w:hyperlink w:history="true" w:anchor="_bookmark1181">
        <w:r>
          <w:rPr>
            <w:color w:val="005DA1"/>
            <w:spacing w:val="-4"/>
            <w:position w:val="5"/>
            <w:sz w:val="14"/>
            <w:u w:val="single" w:color="005DA1"/>
          </w:rPr>
          <w:t>640</w:t>
        </w:r>
      </w:hyperlink>
      <w:r>
        <w:rPr>
          <w:spacing w:val="-4"/>
          <w:position w:val="5"/>
          <w:sz w:val="14"/>
        </w:rPr>
        <w:t>.</w:t>
      </w:r>
      <w:r>
        <w:rPr>
          <w:position w:val="5"/>
          <w:sz w:val="14"/>
        </w:rPr>
        <w:tab/>
      </w:r>
      <w:r>
        <w:rPr/>
        <w:t>National Assistance Act 1948 </w:t>
      </w:r>
      <w:r>
        <w:rPr>
          <w:spacing w:val="-2"/>
        </w:rPr>
        <w:t>s.21.</w:t>
      </w:r>
    </w:p>
    <w:p>
      <w:pPr>
        <w:pStyle w:val="BodyText"/>
        <w:spacing w:before="5"/>
      </w:pPr>
    </w:p>
    <w:p>
      <w:pPr>
        <w:tabs>
          <w:tab w:pos="705" w:val="left" w:leader="none"/>
        </w:tabs>
        <w:spacing w:before="0"/>
        <w:ind w:left="165" w:right="0" w:firstLine="0"/>
        <w:jc w:val="left"/>
        <w:rPr>
          <w:sz w:val="20"/>
        </w:rPr>
      </w:pPr>
      <w:bookmarkStart w:name="_bookmark1246" w:id="1248"/>
      <w:bookmarkEnd w:id="1248"/>
      <w:r>
        <w:rPr/>
      </w:r>
      <w:hyperlink w:history="true" w:anchor="_bookmark1182">
        <w:r>
          <w:rPr>
            <w:color w:val="005DA1"/>
            <w:spacing w:val="-4"/>
            <w:position w:val="5"/>
            <w:sz w:val="14"/>
            <w:u w:val="single" w:color="005DA1"/>
          </w:rPr>
          <w:t>641</w:t>
        </w:r>
      </w:hyperlink>
      <w:r>
        <w:rPr>
          <w:spacing w:val="-4"/>
          <w:position w:val="5"/>
          <w:sz w:val="14"/>
        </w:rPr>
        <w:t>.</w:t>
      </w:r>
      <w:r>
        <w:rPr>
          <w:position w:val="5"/>
          <w:sz w:val="14"/>
        </w:rPr>
        <w:tab/>
      </w:r>
      <w:r>
        <w:rPr>
          <w:rFonts w:ascii="Arial" w:hAnsi="Arial"/>
          <w:i/>
          <w:sz w:val="20"/>
        </w:rPr>
        <w:t>[2003] EWHC 803 (Admin)</w:t>
      </w:r>
      <w:r>
        <w:rPr>
          <w:rFonts w:ascii="Arial" w:hAnsi="Arial"/>
          <w:i/>
          <w:spacing w:val="-1"/>
          <w:sz w:val="20"/>
        </w:rPr>
        <w:t> </w:t>
      </w:r>
      <w:r>
        <w:rPr>
          <w:sz w:val="20"/>
        </w:rPr>
        <w:t>at </w:t>
      </w:r>
      <w:r>
        <w:rPr>
          <w:spacing w:val="-2"/>
          <w:sz w:val="20"/>
        </w:rPr>
        <w:t>[25]–[26].</w:t>
      </w:r>
    </w:p>
    <w:p>
      <w:pPr>
        <w:pStyle w:val="BodyText"/>
        <w:spacing w:before="5"/>
      </w:pPr>
    </w:p>
    <w:p>
      <w:pPr>
        <w:pStyle w:val="BodyText"/>
        <w:tabs>
          <w:tab w:pos="705" w:val="left" w:leader="none"/>
        </w:tabs>
        <w:ind w:left="165"/>
      </w:pPr>
      <w:bookmarkStart w:name="_bookmark1247" w:id="1249"/>
      <w:bookmarkEnd w:id="1249"/>
      <w:r>
        <w:rPr/>
      </w:r>
      <w:hyperlink w:history="true" w:anchor="_bookmark1183">
        <w:r>
          <w:rPr>
            <w:color w:val="005DA1"/>
            <w:spacing w:val="-4"/>
            <w:position w:val="5"/>
            <w:sz w:val="14"/>
            <w:u w:val="single" w:color="005DA1"/>
          </w:rPr>
          <w:t>642</w:t>
        </w:r>
      </w:hyperlink>
      <w:r>
        <w:rPr>
          <w:spacing w:val="-4"/>
          <w:position w:val="5"/>
          <w:sz w:val="14"/>
        </w:rPr>
        <w:t>.</w:t>
      </w:r>
      <w:r>
        <w:rPr>
          <w:position w:val="5"/>
          <w:sz w:val="14"/>
        </w:rPr>
        <w:tab/>
      </w:r>
      <w:r>
        <w:rPr/>
        <w:t>Above,</w:t>
      </w:r>
      <w:r>
        <w:rPr>
          <w:spacing w:val="-2"/>
        </w:rPr>
        <w:t> </w:t>
      </w:r>
      <w:r>
        <w:rPr/>
        <w:t>paras 1-073—1-</w:t>
      </w:r>
      <w:r>
        <w:rPr>
          <w:spacing w:val="-4"/>
        </w:rPr>
        <w:t>075.</w:t>
      </w:r>
    </w:p>
    <w:p>
      <w:pPr>
        <w:pStyle w:val="BodyText"/>
        <w:spacing w:before="9"/>
      </w:pPr>
    </w:p>
    <w:p>
      <w:pPr>
        <w:spacing w:line="235" w:lineRule="auto" w:before="0"/>
        <w:ind w:left="705" w:right="168" w:hanging="541"/>
        <w:jc w:val="both"/>
        <w:rPr>
          <w:sz w:val="20"/>
        </w:rPr>
      </w:pPr>
      <w:bookmarkStart w:name="_bookmark1248" w:id="1250"/>
      <w:bookmarkEnd w:id="1250"/>
      <w:r>
        <w:rPr/>
      </w:r>
      <w:hyperlink w:history="true" w:anchor="_bookmark1184">
        <w:r>
          <w:rPr>
            <w:color w:val="005DA1"/>
            <w:position w:val="5"/>
            <w:sz w:val="14"/>
            <w:u w:val="single" w:color="005DA1"/>
          </w:rPr>
          <w:t>643</w:t>
        </w:r>
      </w:hyperlink>
      <w:r>
        <w:rPr>
          <w:position w:val="5"/>
          <w:sz w:val="14"/>
        </w:rPr>
        <w:t>.</w:t>
      </w:r>
      <w:r>
        <w:rPr>
          <w:spacing w:val="80"/>
          <w:position w:val="5"/>
          <w:sz w:val="14"/>
        </w:rPr>
        <w:t>  </w:t>
      </w:r>
      <w:r>
        <w:rPr>
          <w:rFonts w:ascii="Arial"/>
          <w:i/>
          <w:sz w:val="20"/>
        </w:rPr>
        <w:t>R. (Heather) v Leonard Cheshire Foundation [2002] EWCA Civ 366, [2002] H.R.L.R. 30 </w:t>
      </w:r>
      <w:r>
        <w:rPr>
          <w:sz w:val="20"/>
        </w:rPr>
        <w:t>at [34]. cf. </w:t>
      </w:r>
      <w:r>
        <w:rPr>
          <w:rFonts w:ascii="Arial"/>
          <w:i/>
          <w:sz w:val="20"/>
        </w:rPr>
        <w:t>YL v Birmingham City Council [2007] UKHL 27, [2007] 3 W.L.R. 112 </w:t>
      </w:r>
      <w:r>
        <w:rPr>
          <w:sz w:val="20"/>
        </w:rPr>
        <w:t>in relation to </w:t>
      </w:r>
      <w:r>
        <w:rPr>
          <w:sz w:val="20"/>
        </w:rPr>
        <w:t>the</w:t>
      </w:r>
      <w:r>
        <w:rPr>
          <w:spacing w:val="40"/>
          <w:sz w:val="20"/>
        </w:rPr>
        <w:t> </w:t>
      </w:r>
      <w:r>
        <w:rPr>
          <w:sz w:val="20"/>
        </w:rPr>
        <w:t>position of the private sector providers themselves: above, para.1-075.</w:t>
      </w:r>
    </w:p>
    <w:p>
      <w:pPr>
        <w:pStyle w:val="BodyText"/>
        <w:spacing w:before="5"/>
      </w:pPr>
    </w:p>
    <w:p>
      <w:pPr>
        <w:pStyle w:val="BodyText"/>
        <w:tabs>
          <w:tab w:pos="705" w:val="left" w:leader="none"/>
        </w:tabs>
        <w:ind w:left="165"/>
      </w:pPr>
      <w:bookmarkStart w:name="_bookmark1249" w:id="1251"/>
      <w:bookmarkEnd w:id="1251"/>
      <w:r>
        <w:rPr/>
      </w:r>
      <w:hyperlink w:history="true" w:anchor="_bookmark1185">
        <w:r>
          <w:rPr>
            <w:color w:val="005DA1"/>
            <w:spacing w:val="-4"/>
            <w:position w:val="5"/>
            <w:sz w:val="14"/>
            <w:u w:val="single" w:color="005DA1"/>
          </w:rPr>
          <w:t>644</w:t>
        </w:r>
      </w:hyperlink>
      <w:r>
        <w:rPr>
          <w:spacing w:val="-4"/>
          <w:position w:val="5"/>
          <w:sz w:val="14"/>
        </w:rPr>
        <w:t>.</w:t>
      </w:r>
      <w:r>
        <w:rPr>
          <w:position w:val="5"/>
          <w:sz w:val="14"/>
        </w:rPr>
        <w:tab/>
      </w:r>
      <w:r>
        <w:rPr/>
        <w:t>See further Morris (1998) I.L.J. 293 and Palmer [2000] C.L.J. </w:t>
      </w:r>
      <w:r>
        <w:rPr>
          <w:spacing w:val="-4"/>
        </w:rPr>
        <w:t>168.</w:t>
      </w:r>
    </w:p>
    <w:p>
      <w:pPr>
        <w:pStyle w:val="BodyText"/>
        <w:spacing w:before="5"/>
      </w:pPr>
    </w:p>
    <w:p>
      <w:pPr>
        <w:tabs>
          <w:tab w:pos="705" w:val="left" w:leader="none"/>
        </w:tabs>
        <w:spacing w:before="0"/>
        <w:ind w:left="165" w:right="0" w:firstLine="0"/>
        <w:jc w:val="left"/>
        <w:rPr>
          <w:sz w:val="20"/>
        </w:rPr>
      </w:pPr>
      <w:bookmarkStart w:name="_bookmark1250" w:id="1252"/>
      <w:bookmarkEnd w:id="1252"/>
      <w:r>
        <w:rPr/>
      </w:r>
      <w:hyperlink w:history="true" w:anchor="_bookmark1186">
        <w:r>
          <w:rPr>
            <w:color w:val="005DA1"/>
            <w:spacing w:val="-4"/>
            <w:position w:val="5"/>
            <w:sz w:val="14"/>
            <w:u w:val="single" w:color="005DA1"/>
          </w:rPr>
          <w:t>645</w:t>
        </w:r>
      </w:hyperlink>
      <w:r>
        <w:rPr>
          <w:spacing w:val="-4"/>
          <w:position w:val="5"/>
          <w:sz w:val="14"/>
        </w:rPr>
        <w:t>.</w:t>
      </w:r>
      <w:r>
        <w:rPr>
          <w:position w:val="5"/>
          <w:sz w:val="14"/>
        </w:rPr>
        <w:tab/>
      </w:r>
      <w:r>
        <w:rPr>
          <w:rFonts w:ascii="Arial"/>
          <w:i/>
          <w:sz w:val="20"/>
        </w:rPr>
        <w:t>Halford</w:t>
      </w:r>
      <w:r>
        <w:rPr>
          <w:rFonts w:ascii="Arial"/>
          <w:i/>
          <w:spacing w:val="-1"/>
          <w:sz w:val="20"/>
        </w:rPr>
        <w:t> </w:t>
      </w:r>
      <w:r>
        <w:rPr>
          <w:rFonts w:ascii="Arial"/>
          <w:i/>
          <w:sz w:val="20"/>
        </w:rPr>
        <w:t>v UK (1997) 24 E.H.R.R. 523</w:t>
      </w:r>
      <w:r>
        <w:rPr>
          <w:sz w:val="20"/>
        </w:rPr>
        <w:t>; </w:t>
      </w:r>
      <w:r>
        <w:rPr>
          <w:rFonts w:ascii="Arial"/>
          <w:i/>
          <w:sz w:val="20"/>
        </w:rPr>
        <w:t>Copland v UK (2007) 45 E.H.R.R. </w:t>
      </w:r>
      <w:r>
        <w:rPr>
          <w:rFonts w:ascii="Arial"/>
          <w:i/>
          <w:spacing w:val="-5"/>
          <w:sz w:val="20"/>
        </w:rPr>
        <w:t>37</w:t>
      </w:r>
      <w:r>
        <w:rPr>
          <w:spacing w:val="-5"/>
          <w:sz w:val="20"/>
        </w:rPr>
        <w:t>.</w:t>
      </w:r>
    </w:p>
    <w:p>
      <w:pPr>
        <w:pStyle w:val="BodyText"/>
        <w:spacing w:before="5"/>
      </w:pPr>
    </w:p>
    <w:p>
      <w:pPr>
        <w:pStyle w:val="BodyText"/>
        <w:tabs>
          <w:tab w:pos="705" w:val="left" w:leader="none"/>
        </w:tabs>
        <w:ind w:left="165"/>
      </w:pPr>
      <w:bookmarkStart w:name="_bookmark1251" w:id="1253"/>
      <w:bookmarkEnd w:id="1253"/>
      <w:r>
        <w:rPr/>
      </w:r>
      <w:hyperlink w:history="true" w:anchor="_bookmark1187">
        <w:r>
          <w:rPr>
            <w:color w:val="005DA1"/>
            <w:spacing w:val="-4"/>
            <w:position w:val="5"/>
            <w:sz w:val="14"/>
            <w:u w:val="single" w:color="005DA1"/>
          </w:rPr>
          <w:t>646</w:t>
        </w:r>
      </w:hyperlink>
      <w:r>
        <w:rPr>
          <w:spacing w:val="-4"/>
          <w:position w:val="5"/>
          <w:sz w:val="14"/>
        </w:rPr>
        <w:t>.</w:t>
      </w:r>
      <w:r>
        <w:rPr>
          <w:position w:val="5"/>
          <w:sz w:val="14"/>
        </w:rPr>
        <w:tab/>
      </w:r>
      <w:r>
        <w:rPr/>
        <w:t>cf. below, para.1-091 on the position of private sector </w:t>
      </w:r>
      <w:r>
        <w:rPr>
          <w:spacing w:val="-2"/>
        </w:rPr>
        <w:t>tenancies.</w:t>
      </w:r>
    </w:p>
    <w:p>
      <w:pPr>
        <w:pStyle w:val="BodyText"/>
        <w:spacing w:before="5"/>
      </w:pPr>
    </w:p>
    <w:p>
      <w:pPr>
        <w:tabs>
          <w:tab w:pos="705" w:val="left" w:leader="none"/>
        </w:tabs>
        <w:spacing w:before="0"/>
        <w:ind w:left="165" w:right="0" w:firstLine="0"/>
        <w:jc w:val="left"/>
        <w:rPr>
          <w:sz w:val="20"/>
        </w:rPr>
      </w:pPr>
      <w:bookmarkStart w:name="_bookmark1252" w:id="1254"/>
      <w:bookmarkEnd w:id="1254"/>
      <w:r>
        <w:rPr/>
      </w:r>
      <w:hyperlink w:history="true" w:anchor="_bookmark1188">
        <w:r>
          <w:rPr>
            <w:color w:val="005DA1"/>
            <w:spacing w:val="-4"/>
            <w:position w:val="5"/>
            <w:sz w:val="14"/>
            <w:u w:val="single" w:color="005DA1"/>
          </w:rPr>
          <w:t>647</w:t>
        </w:r>
      </w:hyperlink>
      <w:r>
        <w:rPr>
          <w:spacing w:val="-4"/>
          <w:position w:val="5"/>
          <w:sz w:val="14"/>
        </w:rPr>
        <w:t>.</w:t>
      </w:r>
      <w:r>
        <w:rPr>
          <w:position w:val="5"/>
          <w:sz w:val="14"/>
        </w:rPr>
        <w:tab/>
      </w:r>
      <w:r>
        <w:rPr>
          <w:rFonts w:ascii="Arial"/>
          <w:i/>
          <w:sz w:val="20"/>
        </w:rPr>
        <w:t>[2002] EWCA Civ 6, [2002] 1 W.L.R. 1488</w:t>
      </w:r>
      <w:r>
        <w:rPr>
          <w:rFonts w:ascii="Arial"/>
          <w:i/>
          <w:spacing w:val="-1"/>
          <w:sz w:val="20"/>
        </w:rPr>
        <w:t> </w:t>
      </w:r>
      <w:r>
        <w:rPr>
          <w:sz w:val="20"/>
        </w:rPr>
        <w:t>at </w:t>
      </w:r>
      <w:r>
        <w:rPr>
          <w:spacing w:val="-4"/>
          <w:sz w:val="20"/>
        </w:rPr>
        <w:t>[26].</w:t>
      </w:r>
    </w:p>
    <w:p>
      <w:pPr>
        <w:pStyle w:val="BodyText"/>
        <w:spacing w:before="5"/>
      </w:pPr>
    </w:p>
    <w:p>
      <w:pPr>
        <w:tabs>
          <w:tab w:pos="705" w:val="left" w:leader="none"/>
        </w:tabs>
        <w:spacing w:before="0"/>
        <w:ind w:left="165" w:right="0" w:firstLine="0"/>
        <w:jc w:val="left"/>
        <w:rPr>
          <w:sz w:val="20"/>
        </w:rPr>
      </w:pPr>
      <w:bookmarkStart w:name="_bookmark1253" w:id="1255"/>
      <w:bookmarkEnd w:id="1255"/>
      <w:r>
        <w:rPr/>
      </w:r>
      <w:hyperlink w:history="true" w:anchor="_bookmark1189">
        <w:r>
          <w:rPr>
            <w:color w:val="005DA1"/>
            <w:spacing w:val="-4"/>
            <w:position w:val="5"/>
            <w:sz w:val="14"/>
            <w:u w:val="single" w:color="005DA1"/>
          </w:rPr>
          <w:t>648</w:t>
        </w:r>
      </w:hyperlink>
      <w:r>
        <w:rPr>
          <w:spacing w:val="-4"/>
          <w:position w:val="5"/>
          <w:sz w:val="14"/>
        </w:rPr>
        <w:t>.</w:t>
      </w:r>
      <w:r>
        <w:rPr>
          <w:position w:val="5"/>
          <w:sz w:val="14"/>
        </w:rPr>
        <w:tab/>
      </w:r>
      <w:r>
        <w:rPr>
          <w:rFonts w:ascii="Arial"/>
          <w:i/>
          <w:sz w:val="20"/>
        </w:rPr>
        <w:t>[2002]</w:t>
      </w:r>
      <w:r>
        <w:rPr>
          <w:rFonts w:ascii="Arial"/>
          <w:i/>
          <w:spacing w:val="-2"/>
          <w:sz w:val="20"/>
        </w:rPr>
        <w:t> </w:t>
      </w:r>
      <w:r>
        <w:rPr>
          <w:rFonts w:ascii="Arial"/>
          <w:i/>
          <w:sz w:val="20"/>
        </w:rPr>
        <w:t>1 W.L.R. 1488</w:t>
      </w:r>
      <w:r>
        <w:rPr>
          <w:rFonts w:ascii="Arial"/>
          <w:i/>
          <w:spacing w:val="-1"/>
          <w:sz w:val="20"/>
        </w:rPr>
        <w:t> </w:t>
      </w:r>
      <w:r>
        <w:rPr>
          <w:sz w:val="20"/>
        </w:rPr>
        <w:t>at </w:t>
      </w:r>
      <w:r>
        <w:rPr>
          <w:spacing w:val="-2"/>
          <w:sz w:val="20"/>
        </w:rPr>
        <w:t>[48].</w:t>
      </w:r>
    </w:p>
    <w:p>
      <w:pPr>
        <w:pStyle w:val="BodyText"/>
        <w:spacing w:before="5"/>
      </w:pPr>
    </w:p>
    <w:p>
      <w:pPr>
        <w:tabs>
          <w:tab w:pos="705" w:val="left" w:leader="none"/>
        </w:tabs>
        <w:spacing w:before="0"/>
        <w:ind w:left="165" w:right="0" w:firstLine="0"/>
        <w:jc w:val="left"/>
        <w:rPr>
          <w:sz w:val="20"/>
        </w:rPr>
      </w:pPr>
      <w:bookmarkStart w:name="_bookmark1254" w:id="1256"/>
      <w:bookmarkEnd w:id="1256"/>
      <w:r>
        <w:rPr/>
      </w:r>
      <w:hyperlink w:history="true" w:anchor="_bookmark1190">
        <w:r>
          <w:rPr>
            <w:color w:val="005DA1"/>
            <w:spacing w:val="-4"/>
            <w:position w:val="5"/>
            <w:sz w:val="14"/>
            <w:u w:val="single" w:color="005DA1"/>
          </w:rPr>
          <w:t>649</w:t>
        </w:r>
      </w:hyperlink>
      <w:r>
        <w:rPr>
          <w:spacing w:val="-4"/>
          <w:position w:val="5"/>
          <w:sz w:val="14"/>
        </w:rPr>
        <w:t>.</w:t>
      </w:r>
      <w:r>
        <w:rPr>
          <w:position w:val="5"/>
          <w:sz w:val="14"/>
        </w:rPr>
        <w:tab/>
      </w:r>
      <w:r>
        <w:rPr>
          <w:rFonts w:ascii="Arial"/>
          <w:i/>
          <w:sz w:val="20"/>
        </w:rPr>
        <w:t>[2002] 1 W.L.R. 1488</w:t>
      </w:r>
      <w:r>
        <w:rPr>
          <w:rFonts w:ascii="Arial"/>
          <w:i/>
          <w:spacing w:val="-1"/>
          <w:sz w:val="20"/>
        </w:rPr>
        <w:t> </w:t>
      </w:r>
      <w:r>
        <w:rPr>
          <w:sz w:val="20"/>
        </w:rPr>
        <w:t>at [49], per Chadwick </w:t>
      </w:r>
      <w:r>
        <w:rPr>
          <w:spacing w:val="-4"/>
          <w:sz w:val="20"/>
        </w:rPr>
        <w:t>L.J.</w:t>
      </w:r>
    </w:p>
    <w:p>
      <w:pPr>
        <w:pStyle w:val="BodyText"/>
        <w:spacing w:before="5"/>
      </w:pPr>
    </w:p>
    <w:p>
      <w:pPr>
        <w:tabs>
          <w:tab w:pos="705" w:val="left" w:leader="none"/>
        </w:tabs>
        <w:spacing w:before="0"/>
        <w:ind w:left="165" w:right="0" w:firstLine="0"/>
        <w:jc w:val="left"/>
        <w:rPr>
          <w:sz w:val="20"/>
        </w:rPr>
      </w:pPr>
      <w:bookmarkStart w:name="_bookmark1255" w:id="1257"/>
      <w:bookmarkEnd w:id="1257"/>
      <w:r>
        <w:rPr/>
      </w:r>
      <w:hyperlink w:history="true" w:anchor="_bookmark1191">
        <w:r>
          <w:rPr>
            <w:color w:val="005DA1"/>
            <w:spacing w:val="-4"/>
            <w:position w:val="5"/>
            <w:sz w:val="14"/>
            <w:u w:val="single" w:color="005DA1"/>
          </w:rPr>
          <w:t>650</w:t>
        </w:r>
      </w:hyperlink>
      <w:r>
        <w:rPr>
          <w:spacing w:val="-4"/>
          <w:position w:val="5"/>
          <w:sz w:val="14"/>
        </w:rPr>
        <w:t>.</w:t>
      </w:r>
      <w:r>
        <w:rPr>
          <w:position w:val="5"/>
          <w:sz w:val="14"/>
        </w:rPr>
        <w:tab/>
      </w:r>
      <w:r>
        <w:rPr>
          <w:rFonts w:ascii="Arial"/>
          <w:i/>
          <w:sz w:val="20"/>
        </w:rPr>
        <w:t>[2002]</w:t>
      </w:r>
      <w:r>
        <w:rPr>
          <w:rFonts w:ascii="Arial"/>
          <w:i/>
          <w:spacing w:val="-2"/>
          <w:sz w:val="20"/>
        </w:rPr>
        <w:t> </w:t>
      </w:r>
      <w:r>
        <w:rPr>
          <w:rFonts w:ascii="Arial"/>
          <w:i/>
          <w:sz w:val="20"/>
        </w:rPr>
        <w:t>1 W.L.R. 1488</w:t>
      </w:r>
      <w:r>
        <w:rPr>
          <w:rFonts w:ascii="Arial"/>
          <w:i/>
          <w:spacing w:val="-1"/>
          <w:sz w:val="20"/>
        </w:rPr>
        <w:t> </w:t>
      </w:r>
      <w:r>
        <w:rPr>
          <w:sz w:val="20"/>
        </w:rPr>
        <w:t>at </w:t>
      </w:r>
      <w:r>
        <w:rPr>
          <w:spacing w:val="-2"/>
          <w:sz w:val="20"/>
        </w:rPr>
        <w:t>[51].</w:t>
      </w:r>
    </w:p>
    <w:p>
      <w:pPr>
        <w:pStyle w:val="BodyText"/>
        <w:spacing w:before="9"/>
      </w:pPr>
    </w:p>
    <w:p>
      <w:pPr>
        <w:spacing w:line="235" w:lineRule="auto" w:before="0"/>
        <w:ind w:left="705" w:right="167" w:hanging="541"/>
        <w:jc w:val="both"/>
        <w:rPr>
          <w:sz w:val="20"/>
        </w:rPr>
      </w:pPr>
      <w:bookmarkStart w:name="_bookmark1256" w:id="1258"/>
      <w:bookmarkEnd w:id="1258"/>
      <w:r>
        <w:rPr/>
      </w:r>
      <w:hyperlink w:history="true" w:anchor="_bookmark1192">
        <w:r>
          <w:rPr>
            <w:color w:val="005DA1"/>
            <w:position w:val="5"/>
            <w:sz w:val="14"/>
            <w:u w:val="single" w:color="005DA1"/>
          </w:rPr>
          <w:t>651</w:t>
        </w:r>
      </w:hyperlink>
      <w:r>
        <w:rPr>
          <w:position w:val="5"/>
          <w:sz w:val="14"/>
        </w:rPr>
        <w:t>.</w:t>
      </w:r>
      <w:r>
        <w:rPr>
          <w:spacing w:val="40"/>
          <w:position w:val="5"/>
          <w:sz w:val="14"/>
        </w:rPr>
        <w:t>  </w:t>
      </w:r>
      <w:r>
        <w:rPr>
          <w:rFonts w:ascii="Arial" w:hAnsi="Arial"/>
          <w:i/>
          <w:sz w:val="20"/>
        </w:rPr>
        <w:t>Manchester City Council v Pinnock [2010] UKSC 45, [2010] 3 W.L.R. 1441 </w:t>
      </w:r>
      <w:r>
        <w:rPr>
          <w:sz w:val="20"/>
        </w:rPr>
        <w:t>at [30] et seq. (Lord Neuberger J.S.C., to whose judgment all seven members of the Court contributed). The</w:t>
      </w:r>
      <w:r>
        <w:rPr>
          <w:spacing w:val="40"/>
          <w:sz w:val="20"/>
        </w:rPr>
        <w:t> </w:t>
      </w:r>
      <w:r>
        <w:rPr>
          <w:sz w:val="20"/>
        </w:rPr>
        <w:t>relevant Strasbourg Court’s jurisprudence is: </w:t>
      </w:r>
      <w:r>
        <w:rPr>
          <w:rFonts w:ascii="Arial" w:hAnsi="Arial"/>
          <w:i/>
          <w:sz w:val="20"/>
        </w:rPr>
        <w:t>Connors v UK [2004] ECHR 66746/01</w:t>
      </w:r>
      <w:r>
        <w:rPr>
          <w:sz w:val="20"/>
        </w:rPr>
        <w:t>; </w:t>
      </w:r>
      <w:r>
        <w:rPr>
          <w:rFonts w:ascii="Arial" w:hAnsi="Arial"/>
          <w:i/>
          <w:sz w:val="20"/>
        </w:rPr>
        <w:t>Ble#i# Croatia [2004] ECHR 59532/00</w:t>
      </w:r>
      <w:r>
        <w:rPr>
          <w:sz w:val="20"/>
        </w:rPr>
        <w:t>; </w:t>
      </w:r>
      <w:r>
        <w:rPr>
          <w:rFonts w:ascii="Arial" w:hAnsi="Arial"/>
          <w:i/>
          <w:sz w:val="20"/>
        </w:rPr>
        <w:t>McCann v UK [2008] ECHR 19009/04</w:t>
      </w:r>
      <w:r>
        <w:rPr>
          <w:sz w:val="20"/>
        </w:rPr>
        <w:t>; </w:t>
      </w:r>
      <w:r>
        <w:rPr>
          <w:rFonts w:ascii="Arial" w:hAnsi="Arial"/>
          <w:i/>
          <w:sz w:val="20"/>
        </w:rPr>
        <w:t>#osi# v Croatia [2009] ECHR 28261/06</w:t>
      </w:r>
      <w:r>
        <w:rPr>
          <w:sz w:val="20"/>
        </w:rPr>
        <w:t>; </w:t>
      </w:r>
      <w:r>
        <w:rPr>
          <w:rFonts w:ascii="Arial" w:hAnsi="Arial"/>
          <w:i/>
          <w:sz w:val="20"/>
        </w:rPr>
        <w:t>Zehentner v Austria [2009] ECHR 20082/02</w:t>
      </w:r>
      <w:r>
        <w:rPr>
          <w:sz w:val="20"/>
        </w:rPr>
        <w:t>; </w:t>
      </w:r>
      <w:r>
        <w:rPr>
          <w:rFonts w:ascii="Arial" w:hAnsi="Arial"/>
          <w:i/>
          <w:sz w:val="20"/>
        </w:rPr>
        <w:t>Pauli# v Croatia [2009] ECHR 3572/06</w:t>
      </w:r>
      <w:r>
        <w:rPr>
          <w:sz w:val="20"/>
        </w:rPr>
        <w:t>; </w:t>
      </w:r>
      <w:r>
        <w:rPr>
          <w:rFonts w:ascii="Arial" w:hAnsi="Arial"/>
          <w:i/>
          <w:sz w:val="20"/>
        </w:rPr>
        <w:t>Kay v UK [2010] ECHR 37341/06</w:t>
      </w:r>
      <w:r>
        <w:rPr>
          <w:sz w:val="20"/>
        </w:rPr>
        <w:t>.</w:t>
      </w:r>
    </w:p>
    <w:p>
      <w:pPr>
        <w:pStyle w:val="BodyText"/>
        <w:spacing w:before="4"/>
      </w:pPr>
    </w:p>
    <w:p>
      <w:pPr>
        <w:tabs>
          <w:tab w:pos="705" w:val="left" w:leader="none"/>
        </w:tabs>
        <w:spacing w:before="0"/>
        <w:ind w:left="165" w:right="0" w:firstLine="0"/>
        <w:jc w:val="left"/>
        <w:rPr>
          <w:sz w:val="20"/>
        </w:rPr>
      </w:pPr>
      <w:bookmarkStart w:name="_bookmark1257" w:id="1259"/>
      <w:bookmarkEnd w:id="1259"/>
      <w:r>
        <w:rPr/>
      </w:r>
      <w:hyperlink w:history="true" w:anchor="_bookmark1193">
        <w:r>
          <w:rPr>
            <w:color w:val="005DA1"/>
            <w:spacing w:val="-4"/>
            <w:position w:val="5"/>
            <w:sz w:val="14"/>
            <w:u w:val="single" w:color="005DA1"/>
          </w:rPr>
          <w:t>652</w:t>
        </w:r>
      </w:hyperlink>
      <w:r>
        <w:rPr>
          <w:spacing w:val="-4"/>
          <w:position w:val="5"/>
          <w:sz w:val="14"/>
        </w:rPr>
        <w:t>.</w:t>
      </w:r>
      <w:r>
        <w:rPr>
          <w:position w:val="5"/>
          <w:sz w:val="14"/>
        </w:rPr>
        <w:tab/>
      </w:r>
      <w:r>
        <w:rPr>
          <w:rFonts w:ascii="Arial"/>
          <w:i/>
          <w:sz w:val="20"/>
        </w:rPr>
        <w:t>[2010]</w:t>
      </w:r>
      <w:r>
        <w:rPr>
          <w:rFonts w:ascii="Arial"/>
          <w:i/>
          <w:spacing w:val="-2"/>
          <w:sz w:val="20"/>
        </w:rPr>
        <w:t> </w:t>
      </w:r>
      <w:r>
        <w:rPr>
          <w:rFonts w:ascii="Arial"/>
          <w:i/>
          <w:sz w:val="20"/>
        </w:rPr>
        <w:t>UKSC 45</w:t>
      </w:r>
      <w:r>
        <w:rPr>
          <w:rFonts w:ascii="Arial"/>
          <w:i/>
          <w:spacing w:val="-1"/>
          <w:sz w:val="20"/>
        </w:rPr>
        <w:t> </w:t>
      </w:r>
      <w:r>
        <w:rPr>
          <w:sz w:val="20"/>
        </w:rPr>
        <w:t>at </w:t>
      </w:r>
      <w:r>
        <w:rPr>
          <w:spacing w:val="-2"/>
          <w:sz w:val="20"/>
        </w:rPr>
        <w:t>[49].</w:t>
      </w:r>
    </w:p>
    <w:p>
      <w:pPr>
        <w:pStyle w:val="BodyText"/>
        <w:spacing w:before="5"/>
      </w:pPr>
    </w:p>
    <w:p>
      <w:pPr>
        <w:tabs>
          <w:tab w:pos="705" w:val="left" w:leader="none"/>
        </w:tabs>
        <w:spacing w:before="0"/>
        <w:ind w:left="165" w:right="0" w:firstLine="0"/>
        <w:jc w:val="left"/>
        <w:rPr>
          <w:sz w:val="20"/>
        </w:rPr>
      </w:pPr>
      <w:bookmarkStart w:name="_bookmark1258" w:id="1260"/>
      <w:bookmarkEnd w:id="1260"/>
      <w:r>
        <w:rPr/>
      </w:r>
      <w:hyperlink w:history="true" w:anchor="_bookmark1193">
        <w:r>
          <w:rPr>
            <w:color w:val="005DA1"/>
            <w:spacing w:val="-4"/>
            <w:position w:val="5"/>
            <w:sz w:val="14"/>
            <w:u w:val="single" w:color="005DA1"/>
          </w:rPr>
          <w:t>653</w:t>
        </w:r>
      </w:hyperlink>
      <w:r>
        <w:rPr>
          <w:spacing w:val="-4"/>
          <w:position w:val="5"/>
          <w:sz w:val="14"/>
        </w:rPr>
        <w:t>.</w:t>
      </w:r>
      <w:r>
        <w:rPr>
          <w:position w:val="5"/>
          <w:sz w:val="14"/>
        </w:rPr>
        <w:tab/>
      </w:r>
      <w:r>
        <w:rPr>
          <w:rFonts w:ascii="Arial"/>
          <w:i/>
          <w:sz w:val="20"/>
        </w:rPr>
        <w:t>[2010]</w:t>
      </w:r>
      <w:r>
        <w:rPr>
          <w:rFonts w:ascii="Arial"/>
          <w:i/>
          <w:spacing w:val="-2"/>
          <w:sz w:val="20"/>
        </w:rPr>
        <w:t> </w:t>
      </w:r>
      <w:r>
        <w:rPr>
          <w:rFonts w:ascii="Arial"/>
          <w:i/>
          <w:sz w:val="20"/>
        </w:rPr>
        <w:t>UKSC 45</w:t>
      </w:r>
      <w:r>
        <w:rPr>
          <w:rFonts w:ascii="Arial"/>
          <w:i/>
          <w:spacing w:val="-1"/>
          <w:sz w:val="20"/>
        </w:rPr>
        <w:t> </w:t>
      </w:r>
      <w:r>
        <w:rPr>
          <w:sz w:val="20"/>
        </w:rPr>
        <w:t>at </w:t>
      </w:r>
      <w:r>
        <w:rPr>
          <w:spacing w:val="-2"/>
          <w:sz w:val="20"/>
        </w:rPr>
        <w:t>[46].</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259" w:id="1261"/>
      <w:bookmarkEnd w:id="1261"/>
      <w:r>
        <w:rPr/>
      </w:r>
      <w:hyperlink w:history="true" w:anchor="_bookmark1194">
        <w:r>
          <w:rPr>
            <w:color w:val="005DA1"/>
            <w:spacing w:val="-4"/>
            <w:position w:val="5"/>
            <w:sz w:val="14"/>
            <w:u w:val="single" w:color="005DA1"/>
          </w:rPr>
          <w:t>654</w:t>
        </w:r>
      </w:hyperlink>
      <w:r>
        <w:rPr>
          <w:spacing w:val="-4"/>
          <w:position w:val="5"/>
          <w:sz w:val="14"/>
        </w:rPr>
        <w:t>.</w:t>
      </w:r>
      <w:r>
        <w:rPr>
          <w:position w:val="5"/>
          <w:sz w:val="14"/>
        </w:rPr>
        <w:tab/>
      </w:r>
      <w:r>
        <w:rPr>
          <w:rFonts w:ascii="Arial"/>
          <w:i/>
          <w:sz w:val="20"/>
        </w:rPr>
        <w:t>Harrow</w:t>
      </w:r>
      <w:r>
        <w:rPr>
          <w:rFonts w:ascii="Arial"/>
          <w:i/>
          <w:spacing w:val="40"/>
          <w:sz w:val="20"/>
        </w:rPr>
        <w:t> </w:t>
      </w:r>
      <w:r>
        <w:rPr>
          <w:rFonts w:ascii="Arial"/>
          <w:i/>
          <w:sz w:val="20"/>
        </w:rPr>
        <w:t>LBC</w:t>
      </w:r>
      <w:r>
        <w:rPr>
          <w:rFonts w:ascii="Arial"/>
          <w:i/>
          <w:spacing w:val="41"/>
          <w:sz w:val="20"/>
        </w:rPr>
        <w:t> </w:t>
      </w:r>
      <w:r>
        <w:rPr>
          <w:rFonts w:ascii="Arial"/>
          <w:i/>
          <w:sz w:val="20"/>
        </w:rPr>
        <w:t>v</w:t>
      </w:r>
      <w:r>
        <w:rPr>
          <w:rFonts w:ascii="Arial"/>
          <w:i/>
          <w:spacing w:val="41"/>
          <w:sz w:val="20"/>
        </w:rPr>
        <w:t> </w:t>
      </w:r>
      <w:r>
        <w:rPr>
          <w:rFonts w:ascii="Arial"/>
          <w:i/>
          <w:sz w:val="20"/>
        </w:rPr>
        <w:t>Qazi</w:t>
      </w:r>
      <w:r>
        <w:rPr>
          <w:rFonts w:ascii="Arial"/>
          <w:i/>
          <w:spacing w:val="41"/>
          <w:sz w:val="20"/>
        </w:rPr>
        <w:t> </w:t>
      </w:r>
      <w:r>
        <w:rPr>
          <w:rFonts w:ascii="Arial"/>
          <w:i/>
          <w:sz w:val="20"/>
        </w:rPr>
        <w:t>[2003]</w:t>
      </w:r>
      <w:r>
        <w:rPr>
          <w:rFonts w:ascii="Arial"/>
          <w:i/>
          <w:spacing w:val="41"/>
          <w:sz w:val="20"/>
        </w:rPr>
        <w:t> </w:t>
      </w:r>
      <w:r>
        <w:rPr>
          <w:rFonts w:ascii="Arial"/>
          <w:i/>
          <w:sz w:val="20"/>
        </w:rPr>
        <w:t>UKHL</w:t>
      </w:r>
      <w:r>
        <w:rPr>
          <w:rFonts w:ascii="Arial"/>
          <w:i/>
          <w:spacing w:val="41"/>
          <w:sz w:val="20"/>
        </w:rPr>
        <w:t> </w:t>
      </w:r>
      <w:r>
        <w:rPr>
          <w:rFonts w:ascii="Arial"/>
          <w:i/>
          <w:sz w:val="20"/>
        </w:rPr>
        <w:t>43,</w:t>
      </w:r>
      <w:r>
        <w:rPr>
          <w:rFonts w:ascii="Arial"/>
          <w:i/>
          <w:spacing w:val="41"/>
          <w:sz w:val="20"/>
        </w:rPr>
        <w:t> </w:t>
      </w:r>
      <w:r>
        <w:rPr>
          <w:rFonts w:ascii="Arial"/>
          <w:i/>
          <w:sz w:val="20"/>
        </w:rPr>
        <w:t>[2004]</w:t>
      </w:r>
      <w:r>
        <w:rPr>
          <w:rFonts w:ascii="Arial"/>
          <w:i/>
          <w:spacing w:val="41"/>
          <w:sz w:val="20"/>
        </w:rPr>
        <w:t> </w:t>
      </w:r>
      <w:r>
        <w:rPr>
          <w:rFonts w:ascii="Arial"/>
          <w:i/>
          <w:sz w:val="20"/>
        </w:rPr>
        <w:t>1</w:t>
      </w:r>
      <w:r>
        <w:rPr>
          <w:rFonts w:ascii="Arial"/>
          <w:i/>
          <w:spacing w:val="40"/>
          <w:sz w:val="20"/>
        </w:rPr>
        <w:t> </w:t>
      </w:r>
      <w:r>
        <w:rPr>
          <w:rFonts w:ascii="Arial"/>
          <w:i/>
          <w:sz w:val="20"/>
        </w:rPr>
        <w:t>A.C.</w:t>
      </w:r>
      <w:r>
        <w:rPr>
          <w:rFonts w:ascii="Arial"/>
          <w:i/>
          <w:spacing w:val="41"/>
          <w:sz w:val="20"/>
        </w:rPr>
        <w:t> </w:t>
      </w:r>
      <w:r>
        <w:rPr>
          <w:rFonts w:ascii="Arial"/>
          <w:i/>
          <w:sz w:val="20"/>
        </w:rPr>
        <w:t>983</w:t>
      </w:r>
      <w:r>
        <w:rPr>
          <w:sz w:val="20"/>
        </w:rPr>
        <w:t>;</w:t>
      </w:r>
      <w:r>
        <w:rPr>
          <w:spacing w:val="41"/>
          <w:sz w:val="20"/>
        </w:rPr>
        <w:t> </w:t>
      </w:r>
      <w:r>
        <w:rPr>
          <w:rFonts w:ascii="Arial"/>
          <w:i/>
          <w:sz w:val="20"/>
        </w:rPr>
        <w:t>Lambeth</w:t>
      </w:r>
      <w:r>
        <w:rPr>
          <w:rFonts w:ascii="Arial"/>
          <w:i/>
          <w:spacing w:val="41"/>
          <w:sz w:val="20"/>
        </w:rPr>
        <w:t> </w:t>
      </w:r>
      <w:r>
        <w:rPr>
          <w:rFonts w:ascii="Arial"/>
          <w:i/>
          <w:sz w:val="20"/>
        </w:rPr>
        <w:t>LBC</w:t>
      </w:r>
      <w:r>
        <w:rPr>
          <w:rFonts w:ascii="Arial"/>
          <w:i/>
          <w:spacing w:val="41"/>
          <w:sz w:val="20"/>
        </w:rPr>
        <w:t> </w:t>
      </w:r>
      <w:r>
        <w:rPr>
          <w:rFonts w:ascii="Arial"/>
          <w:i/>
          <w:sz w:val="20"/>
        </w:rPr>
        <w:t>v</w:t>
      </w:r>
      <w:r>
        <w:rPr>
          <w:rFonts w:ascii="Arial"/>
          <w:i/>
          <w:spacing w:val="41"/>
          <w:sz w:val="20"/>
        </w:rPr>
        <w:t> </w:t>
      </w:r>
      <w:r>
        <w:rPr>
          <w:rFonts w:ascii="Arial"/>
          <w:i/>
          <w:sz w:val="20"/>
        </w:rPr>
        <w:t>Kay</w:t>
      </w:r>
      <w:r>
        <w:rPr>
          <w:sz w:val="20"/>
        </w:rPr>
        <w:t>,</w:t>
      </w:r>
      <w:r>
        <w:rPr>
          <w:spacing w:val="41"/>
          <w:sz w:val="20"/>
        </w:rPr>
        <w:t> </w:t>
      </w:r>
      <w:r>
        <w:rPr>
          <w:rFonts w:ascii="Arial"/>
          <w:i/>
          <w:sz w:val="20"/>
        </w:rPr>
        <w:t>Leeds</w:t>
      </w:r>
      <w:r>
        <w:rPr>
          <w:rFonts w:ascii="Arial"/>
          <w:i/>
          <w:spacing w:val="41"/>
          <w:sz w:val="20"/>
        </w:rPr>
        <w:t> </w:t>
      </w:r>
      <w:r>
        <w:rPr>
          <w:rFonts w:ascii="Arial"/>
          <w:i/>
          <w:spacing w:val="-4"/>
          <w:sz w:val="20"/>
        </w:rPr>
        <w:t>City</w:t>
      </w:r>
    </w:p>
    <w:p>
      <w:pPr>
        <w:spacing w:line="225" w:lineRule="exact" w:before="0"/>
        <w:ind w:left="0" w:right="168" w:firstLine="0"/>
        <w:jc w:val="right"/>
        <w:rPr>
          <w:rFonts w:ascii="Arial"/>
          <w:i/>
          <w:sz w:val="20"/>
        </w:rPr>
      </w:pPr>
      <w:r>
        <w:rPr>
          <w:rFonts w:ascii="Arial"/>
          <w:i/>
          <w:sz w:val="20"/>
        </w:rPr>
        <w:t>Council</w:t>
      </w:r>
      <w:r>
        <w:rPr>
          <w:rFonts w:ascii="Arial"/>
          <w:i/>
          <w:spacing w:val="10"/>
          <w:sz w:val="20"/>
        </w:rPr>
        <w:t> </w:t>
      </w:r>
      <w:r>
        <w:rPr>
          <w:rFonts w:ascii="Arial"/>
          <w:i/>
          <w:sz w:val="20"/>
        </w:rPr>
        <w:t>v</w:t>
      </w:r>
      <w:r>
        <w:rPr>
          <w:rFonts w:ascii="Arial"/>
          <w:i/>
          <w:spacing w:val="11"/>
          <w:sz w:val="20"/>
        </w:rPr>
        <w:t> </w:t>
      </w:r>
      <w:r>
        <w:rPr>
          <w:rFonts w:ascii="Arial"/>
          <w:i/>
          <w:sz w:val="20"/>
        </w:rPr>
        <w:t>Price</w:t>
      </w:r>
      <w:r>
        <w:rPr>
          <w:rFonts w:ascii="Arial"/>
          <w:i/>
          <w:spacing w:val="11"/>
          <w:sz w:val="20"/>
        </w:rPr>
        <w:t> </w:t>
      </w:r>
      <w:r>
        <w:rPr>
          <w:rFonts w:ascii="Arial"/>
          <w:i/>
          <w:sz w:val="20"/>
        </w:rPr>
        <w:t>[2006]</w:t>
      </w:r>
      <w:r>
        <w:rPr>
          <w:rFonts w:ascii="Arial"/>
          <w:i/>
          <w:spacing w:val="11"/>
          <w:sz w:val="20"/>
        </w:rPr>
        <w:t> </w:t>
      </w:r>
      <w:r>
        <w:rPr>
          <w:rFonts w:ascii="Arial"/>
          <w:i/>
          <w:sz w:val="20"/>
        </w:rPr>
        <w:t>UKHL</w:t>
      </w:r>
      <w:r>
        <w:rPr>
          <w:rFonts w:ascii="Arial"/>
          <w:i/>
          <w:spacing w:val="11"/>
          <w:sz w:val="20"/>
        </w:rPr>
        <w:t> </w:t>
      </w:r>
      <w:r>
        <w:rPr>
          <w:rFonts w:ascii="Arial"/>
          <w:i/>
          <w:sz w:val="20"/>
        </w:rPr>
        <w:t>10,</w:t>
      </w:r>
      <w:r>
        <w:rPr>
          <w:rFonts w:ascii="Arial"/>
          <w:i/>
          <w:spacing w:val="11"/>
          <w:sz w:val="20"/>
        </w:rPr>
        <w:t> </w:t>
      </w:r>
      <w:r>
        <w:rPr>
          <w:rFonts w:ascii="Arial"/>
          <w:i/>
          <w:sz w:val="20"/>
        </w:rPr>
        <w:t>[2006]</w:t>
      </w:r>
      <w:r>
        <w:rPr>
          <w:rFonts w:ascii="Arial"/>
          <w:i/>
          <w:spacing w:val="11"/>
          <w:sz w:val="20"/>
        </w:rPr>
        <w:t> </w:t>
      </w:r>
      <w:r>
        <w:rPr>
          <w:rFonts w:ascii="Arial"/>
          <w:i/>
          <w:sz w:val="20"/>
        </w:rPr>
        <w:t>2</w:t>
      </w:r>
      <w:r>
        <w:rPr>
          <w:rFonts w:ascii="Arial"/>
          <w:i/>
          <w:spacing w:val="11"/>
          <w:sz w:val="20"/>
        </w:rPr>
        <w:t> </w:t>
      </w:r>
      <w:r>
        <w:rPr>
          <w:rFonts w:ascii="Arial"/>
          <w:i/>
          <w:sz w:val="20"/>
        </w:rPr>
        <w:t>A.C.</w:t>
      </w:r>
      <w:r>
        <w:rPr>
          <w:rFonts w:ascii="Arial"/>
          <w:i/>
          <w:spacing w:val="11"/>
          <w:sz w:val="20"/>
        </w:rPr>
        <w:t> </w:t>
      </w:r>
      <w:r>
        <w:rPr>
          <w:rFonts w:ascii="Arial"/>
          <w:i/>
          <w:sz w:val="20"/>
        </w:rPr>
        <w:t>983</w:t>
      </w:r>
      <w:r>
        <w:rPr>
          <w:sz w:val="20"/>
        </w:rPr>
        <w:t>;</w:t>
      </w:r>
      <w:r>
        <w:rPr>
          <w:spacing w:val="11"/>
          <w:sz w:val="20"/>
        </w:rPr>
        <w:t> </w:t>
      </w:r>
      <w:r>
        <w:rPr>
          <w:rFonts w:ascii="Arial"/>
          <w:i/>
          <w:sz w:val="20"/>
        </w:rPr>
        <w:t>Doherty</w:t>
      </w:r>
      <w:r>
        <w:rPr>
          <w:rFonts w:ascii="Arial"/>
          <w:i/>
          <w:spacing w:val="11"/>
          <w:sz w:val="20"/>
        </w:rPr>
        <w:t> </w:t>
      </w:r>
      <w:r>
        <w:rPr>
          <w:rFonts w:ascii="Arial"/>
          <w:i/>
          <w:sz w:val="20"/>
        </w:rPr>
        <w:t>v</w:t>
      </w:r>
      <w:r>
        <w:rPr>
          <w:rFonts w:ascii="Arial"/>
          <w:i/>
          <w:spacing w:val="11"/>
          <w:sz w:val="20"/>
        </w:rPr>
        <w:t> </w:t>
      </w:r>
      <w:r>
        <w:rPr>
          <w:rFonts w:ascii="Arial"/>
          <w:i/>
          <w:sz w:val="20"/>
        </w:rPr>
        <w:t>Birmingham</w:t>
      </w:r>
      <w:r>
        <w:rPr>
          <w:rFonts w:ascii="Arial"/>
          <w:i/>
          <w:spacing w:val="11"/>
          <w:sz w:val="20"/>
        </w:rPr>
        <w:t> </w:t>
      </w:r>
      <w:r>
        <w:rPr>
          <w:rFonts w:ascii="Arial"/>
          <w:i/>
          <w:sz w:val="20"/>
        </w:rPr>
        <w:t>City</w:t>
      </w:r>
      <w:r>
        <w:rPr>
          <w:rFonts w:ascii="Arial"/>
          <w:i/>
          <w:spacing w:val="11"/>
          <w:sz w:val="20"/>
        </w:rPr>
        <w:t> </w:t>
      </w:r>
      <w:r>
        <w:rPr>
          <w:rFonts w:ascii="Arial"/>
          <w:i/>
          <w:sz w:val="20"/>
        </w:rPr>
        <w:t>Council</w:t>
      </w:r>
      <w:r>
        <w:rPr>
          <w:rFonts w:ascii="Arial"/>
          <w:i/>
          <w:spacing w:val="11"/>
          <w:sz w:val="20"/>
        </w:rPr>
        <w:t> </w:t>
      </w:r>
      <w:r>
        <w:rPr>
          <w:rFonts w:ascii="Arial"/>
          <w:i/>
          <w:spacing w:val="-2"/>
          <w:sz w:val="20"/>
        </w:rPr>
        <w:t>[2008]</w:t>
      </w:r>
    </w:p>
    <w:p>
      <w:pPr>
        <w:spacing w:line="227" w:lineRule="exact" w:before="0"/>
        <w:ind w:left="705" w:right="0" w:firstLine="0"/>
        <w:jc w:val="left"/>
        <w:rPr>
          <w:sz w:val="20"/>
        </w:rPr>
      </w:pPr>
      <w:r>
        <w:rPr>
          <w:rFonts w:ascii="Arial"/>
          <w:i/>
          <w:sz w:val="20"/>
        </w:rPr>
        <w:t>UKHL</w:t>
      </w:r>
      <w:r>
        <w:rPr>
          <w:rFonts w:ascii="Arial"/>
          <w:i/>
          <w:spacing w:val="-2"/>
          <w:sz w:val="20"/>
        </w:rPr>
        <w:t> </w:t>
      </w:r>
      <w:r>
        <w:rPr>
          <w:rFonts w:ascii="Arial"/>
          <w:i/>
          <w:sz w:val="20"/>
        </w:rPr>
        <w:t>57, [2009] A.C. </w:t>
      </w:r>
      <w:r>
        <w:rPr>
          <w:rFonts w:ascii="Arial"/>
          <w:i/>
          <w:spacing w:val="-4"/>
          <w:sz w:val="20"/>
        </w:rPr>
        <w:t>367</w:t>
      </w:r>
      <w:r>
        <w:rPr>
          <w:spacing w:val="-4"/>
          <w:sz w:val="20"/>
        </w:rPr>
        <w:t>.</w:t>
      </w:r>
    </w:p>
    <w:p>
      <w:pPr>
        <w:pStyle w:val="BodyText"/>
        <w:spacing w:before="5"/>
      </w:pPr>
    </w:p>
    <w:p>
      <w:pPr>
        <w:pStyle w:val="BodyText"/>
        <w:tabs>
          <w:tab w:pos="705" w:val="left" w:leader="none"/>
        </w:tabs>
        <w:ind w:left="165"/>
      </w:pPr>
      <w:bookmarkStart w:name="_bookmark1260" w:id="1262"/>
      <w:bookmarkEnd w:id="1262"/>
      <w:r>
        <w:rPr/>
      </w:r>
      <w:hyperlink w:history="true" w:anchor="_bookmark1195">
        <w:r>
          <w:rPr>
            <w:color w:val="005DA1"/>
            <w:spacing w:val="-4"/>
            <w:position w:val="5"/>
            <w:sz w:val="14"/>
            <w:u w:val="single" w:color="005DA1"/>
          </w:rPr>
          <w:t>655</w:t>
        </w:r>
      </w:hyperlink>
      <w:r>
        <w:rPr>
          <w:spacing w:val="-4"/>
          <w:position w:val="5"/>
          <w:sz w:val="14"/>
        </w:rPr>
        <w:t>.</w:t>
      </w:r>
      <w:r>
        <w:rPr>
          <w:position w:val="5"/>
          <w:sz w:val="14"/>
        </w:rPr>
        <w:tab/>
      </w:r>
      <w:r>
        <w:rPr/>
        <w:t>Housing Act 1996 </w:t>
      </w:r>
      <w:r>
        <w:rPr>
          <w:spacing w:val="-2"/>
        </w:rPr>
        <w:t>s.143D(2).</w:t>
      </w:r>
    </w:p>
    <w:p>
      <w:pPr>
        <w:pStyle w:val="BodyText"/>
        <w:spacing w:before="5"/>
      </w:pPr>
    </w:p>
    <w:p>
      <w:pPr>
        <w:tabs>
          <w:tab w:pos="705" w:val="left" w:leader="none"/>
        </w:tabs>
        <w:spacing w:before="0"/>
        <w:ind w:left="165" w:right="0" w:firstLine="0"/>
        <w:jc w:val="left"/>
        <w:rPr>
          <w:sz w:val="20"/>
        </w:rPr>
      </w:pPr>
      <w:bookmarkStart w:name="_bookmark1261" w:id="1263"/>
      <w:bookmarkEnd w:id="1263"/>
      <w:r>
        <w:rPr/>
      </w:r>
      <w:hyperlink w:history="true" w:anchor="_bookmark1196">
        <w:r>
          <w:rPr>
            <w:color w:val="005DA1"/>
            <w:spacing w:val="-4"/>
            <w:position w:val="5"/>
            <w:sz w:val="14"/>
            <w:u w:val="single" w:color="005DA1"/>
          </w:rPr>
          <w:t>656</w:t>
        </w:r>
      </w:hyperlink>
      <w:r>
        <w:rPr>
          <w:spacing w:val="-4"/>
          <w:position w:val="5"/>
          <w:sz w:val="14"/>
        </w:rPr>
        <w:t>.</w:t>
      </w:r>
      <w:r>
        <w:rPr>
          <w:position w:val="5"/>
          <w:sz w:val="14"/>
        </w:rPr>
        <w:tab/>
      </w:r>
      <w:r>
        <w:rPr>
          <w:rFonts w:ascii="Arial"/>
          <w:i/>
          <w:sz w:val="20"/>
        </w:rPr>
        <w:t>[2010]</w:t>
      </w:r>
      <w:r>
        <w:rPr>
          <w:rFonts w:ascii="Arial"/>
          <w:i/>
          <w:spacing w:val="-2"/>
          <w:sz w:val="20"/>
        </w:rPr>
        <w:t> </w:t>
      </w:r>
      <w:r>
        <w:rPr>
          <w:rFonts w:ascii="Arial"/>
          <w:i/>
          <w:sz w:val="20"/>
        </w:rPr>
        <w:t>UKSC 45</w:t>
      </w:r>
      <w:r>
        <w:rPr>
          <w:rFonts w:ascii="Arial"/>
          <w:i/>
          <w:spacing w:val="-1"/>
          <w:sz w:val="20"/>
        </w:rPr>
        <w:t> </w:t>
      </w:r>
      <w:r>
        <w:rPr>
          <w:sz w:val="20"/>
        </w:rPr>
        <w:t>at </w:t>
      </w:r>
      <w:r>
        <w:rPr>
          <w:spacing w:val="-2"/>
          <w:sz w:val="20"/>
        </w:rPr>
        <w:t>[79].</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09536">
            <wp:simplePos x="0" y="0"/>
            <wp:positionH relativeFrom="page">
              <wp:posOffset>1257846</wp:posOffset>
            </wp:positionH>
            <wp:positionV relativeFrom="paragraph">
              <wp:posOffset>160234</wp:posOffset>
            </wp:positionV>
            <wp:extent cx="107988" cy="107988"/>
            <wp:effectExtent l="0" t="0" r="0" b="0"/>
            <wp:wrapNone/>
            <wp:docPr id="333" name="Image 333"/>
            <wp:cNvGraphicFramePr>
              <a:graphicFrameLocks/>
            </wp:cNvGraphicFramePr>
            <a:graphic>
              <a:graphicData uri="http://schemas.openxmlformats.org/drawingml/2006/picture">
                <pic:pic>
                  <pic:nvPicPr>
                    <pic:cNvPr id="333" name="Image 33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62" w:id="1264"/>
      <w:bookmarkEnd w:id="1264"/>
      <w:r>
        <w:rPr/>
      </w:r>
      <w:hyperlink w:history="true" w:anchor="_bookmark1197">
        <w:r>
          <w:rPr>
            <w:color w:val="005DA1"/>
            <w:spacing w:val="-4"/>
            <w:sz w:val="14"/>
            <w:u w:val="single" w:color="005DA1"/>
          </w:rPr>
          <w:t>657</w:t>
        </w:r>
      </w:hyperlink>
      <w:r>
        <w:rPr>
          <w:spacing w:val="-4"/>
          <w:sz w:val="14"/>
        </w:rPr>
        <w:t>.</w:t>
      </w:r>
    </w:p>
    <w:p>
      <w:pPr>
        <w:spacing w:line="235" w:lineRule="auto" w:before="212"/>
        <w:ind w:left="165" w:right="167" w:firstLine="170"/>
        <w:jc w:val="both"/>
        <w:rPr>
          <w:sz w:val="20"/>
        </w:rPr>
      </w:pPr>
      <w:r>
        <w:rPr/>
        <w:br w:type="column"/>
      </w:r>
      <w:r>
        <w:rPr>
          <w:sz w:val="20"/>
        </w:rPr>
        <w:t>The Supreme Court explicitly stated that nothing they said was “intended to bear on cases where the person seeking the order for possession is a private landowner”: </w:t>
      </w:r>
      <w:r>
        <w:rPr>
          <w:rFonts w:ascii="Arial" w:hAnsi="Arial"/>
          <w:i/>
          <w:sz w:val="20"/>
        </w:rPr>
        <w:t>[2010] UKSC 45 </w:t>
      </w:r>
      <w:r>
        <w:rPr>
          <w:sz w:val="20"/>
        </w:rPr>
        <w:t>at [50]. On this, see below, para.1-091 and </w:t>
      </w:r>
      <w:r>
        <w:rPr>
          <w:rFonts w:ascii="Arial" w:hAnsi="Arial"/>
          <w:i/>
          <w:sz w:val="20"/>
        </w:rPr>
        <w:t>McDonald v McDonald [2016] UKSC 28, [2017] A.C. </w:t>
      </w:r>
      <w:r>
        <w:rPr>
          <w:rFonts w:ascii="Arial" w:hAnsi="Arial"/>
          <w:i/>
          <w:spacing w:val="-4"/>
          <w:sz w:val="20"/>
        </w:rPr>
        <w:t>273</w:t>
      </w:r>
      <w:r>
        <w:rPr>
          <w:spacing w:val="-4"/>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before="1"/>
        <w:ind w:left="165" w:right="0" w:firstLine="0"/>
        <w:jc w:val="left"/>
        <w:rPr>
          <w:sz w:val="20"/>
        </w:rPr>
      </w:pPr>
      <w:bookmarkStart w:name="_bookmark1263" w:id="1265"/>
      <w:bookmarkEnd w:id="1265"/>
      <w:r>
        <w:rPr/>
      </w:r>
      <w:hyperlink w:history="true" w:anchor="_bookmark1198">
        <w:r>
          <w:rPr>
            <w:color w:val="005DA1"/>
            <w:spacing w:val="-4"/>
            <w:position w:val="5"/>
            <w:sz w:val="14"/>
            <w:u w:val="single" w:color="005DA1"/>
          </w:rPr>
          <w:t>658</w:t>
        </w:r>
      </w:hyperlink>
      <w:r>
        <w:rPr>
          <w:spacing w:val="-4"/>
          <w:position w:val="5"/>
          <w:sz w:val="14"/>
        </w:rPr>
        <w:t>.</w:t>
      </w:r>
      <w:r>
        <w:rPr>
          <w:position w:val="5"/>
          <w:sz w:val="14"/>
        </w:rPr>
        <w:tab/>
      </w:r>
      <w:r>
        <w:rPr>
          <w:rFonts w:ascii="Arial"/>
          <w:i/>
          <w:sz w:val="20"/>
        </w:rPr>
        <w:t>[2010] UKSC 45</w:t>
      </w:r>
      <w:r>
        <w:rPr>
          <w:rFonts w:ascii="Arial"/>
          <w:i/>
          <w:spacing w:val="-1"/>
          <w:sz w:val="20"/>
        </w:rPr>
        <w:t> </w:t>
      </w:r>
      <w:r>
        <w:rPr>
          <w:sz w:val="20"/>
        </w:rPr>
        <w:t>at [55]; Housing Act 1985 </w:t>
      </w:r>
      <w:r>
        <w:rPr>
          <w:spacing w:val="-2"/>
          <w:sz w:val="20"/>
        </w:rPr>
        <w:t>s.84(2)(a).</w:t>
      </w:r>
    </w:p>
    <w:p>
      <w:pPr>
        <w:spacing w:after="0"/>
        <w:jc w:val="left"/>
        <w:rPr>
          <w:sz w:val="20"/>
        </w:rPr>
        <w:sectPr>
          <w:type w:val="continuous"/>
          <w:pgSz w:w="11900" w:h="16840"/>
          <w:pgMar w:header="971" w:footer="0" w:top="1300" w:bottom="280" w:left="1275" w:right="1275"/>
        </w:sectPr>
      </w:pPr>
    </w:p>
    <w:p>
      <w:pPr>
        <w:tabs>
          <w:tab w:pos="705" w:val="left" w:leader="none"/>
        </w:tabs>
        <w:spacing w:line="227" w:lineRule="exact" w:before="166"/>
        <w:ind w:left="165" w:right="0" w:firstLine="0"/>
        <w:jc w:val="left"/>
        <w:rPr>
          <w:rFonts w:ascii="Arial"/>
          <w:i/>
          <w:sz w:val="20"/>
        </w:rPr>
      </w:pPr>
      <w:hyperlink w:history="true" w:anchor="_bookmark1199">
        <w:r>
          <w:rPr>
            <w:color w:val="005DA1"/>
            <w:spacing w:val="-4"/>
            <w:position w:val="5"/>
            <w:sz w:val="14"/>
            <w:u w:val="single" w:color="005DA1"/>
          </w:rPr>
          <w:t>659</w:t>
        </w:r>
      </w:hyperlink>
      <w:r>
        <w:rPr>
          <w:spacing w:val="-4"/>
          <w:position w:val="5"/>
          <w:sz w:val="14"/>
        </w:rPr>
        <w:t>.</w:t>
      </w:r>
      <w:r>
        <w:rPr>
          <w:position w:val="5"/>
          <w:sz w:val="14"/>
        </w:rPr>
        <w:tab/>
      </w:r>
      <w:r>
        <w:rPr>
          <w:rFonts w:ascii="Arial"/>
          <w:i/>
          <w:sz w:val="20"/>
        </w:rPr>
        <w:t>[2010]</w:t>
      </w:r>
      <w:r>
        <w:rPr>
          <w:rFonts w:ascii="Arial"/>
          <w:i/>
          <w:spacing w:val="4"/>
          <w:sz w:val="20"/>
        </w:rPr>
        <w:t> </w:t>
      </w:r>
      <w:r>
        <w:rPr>
          <w:rFonts w:ascii="Arial"/>
          <w:i/>
          <w:sz w:val="20"/>
        </w:rPr>
        <w:t>UKSC</w:t>
      </w:r>
      <w:r>
        <w:rPr>
          <w:rFonts w:ascii="Arial"/>
          <w:i/>
          <w:spacing w:val="4"/>
          <w:sz w:val="20"/>
        </w:rPr>
        <w:t> </w:t>
      </w:r>
      <w:r>
        <w:rPr>
          <w:rFonts w:ascii="Arial"/>
          <w:i/>
          <w:sz w:val="20"/>
        </w:rPr>
        <w:t>45</w:t>
      </w:r>
      <w:r>
        <w:rPr>
          <w:rFonts w:ascii="Arial"/>
          <w:i/>
          <w:spacing w:val="4"/>
          <w:sz w:val="20"/>
        </w:rPr>
        <w:t> </w:t>
      </w:r>
      <w:r>
        <w:rPr>
          <w:sz w:val="20"/>
        </w:rPr>
        <w:t>at</w:t>
      </w:r>
      <w:r>
        <w:rPr>
          <w:spacing w:val="4"/>
          <w:sz w:val="20"/>
        </w:rPr>
        <w:t> </w:t>
      </w:r>
      <w:r>
        <w:rPr>
          <w:sz w:val="20"/>
        </w:rPr>
        <w:t>[56],</w:t>
      </w:r>
      <w:r>
        <w:rPr>
          <w:spacing w:val="4"/>
          <w:sz w:val="20"/>
        </w:rPr>
        <w:t> </w:t>
      </w:r>
      <w:r>
        <w:rPr>
          <w:sz w:val="20"/>
        </w:rPr>
        <w:t>quoting</w:t>
      </w:r>
      <w:r>
        <w:rPr>
          <w:spacing w:val="4"/>
          <w:sz w:val="20"/>
        </w:rPr>
        <w:t> </w:t>
      </w:r>
      <w:r>
        <w:rPr>
          <w:sz w:val="20"/>
        </w:rPr>
        <w:t>Lord</w:t>
      </w:r>
      <w:r>
        <w:rPr>
          <w:spacing w:val="4"/>
          <w:sz w:val="20"/>
        </w:rPr>
        <w:t> </w:t>
      </w:r>
      <w:r>
        <w:rPr>
          <w:sz w:val="20"/>
        </w:rPr>
        <w:t>Greene</w:t>
      </w:r>
      <w:r>
        <w:rPr>
          <w:spacing w:val="4"/>
          <w:sz w:val="20"/>
        </w:rPr>
        <w:t> </w:t>
      </w:r>
      <w:r>
        <w:rPr>
          <w:sz w:val="20"/>
        </w:rPr>
        <w:t>M.R.</w:t>
      </w:r>
      <w:r>
        <w:rPr>
          <w:spacing w:val="4"/>
          <w:sz w:val="20"/>
        </w:rPr>
        <w:t> </w:t>
      </w:r>
      <w:r>
        <w:rPr>
          <w:sz w:val="20"/>
        </w:rPr>
        <w:t>in</w:t>
      </w:r>
      <w:r>
        <w:rPr>
          <w:spacing w:val="4"/>
          <w:sz w:val="20"/>
        </w:rPr>
        <w:t> </w:t>
      </w:r>
      <w:r>
        <w:rPr>
          <w:rFonts w:ascii="Arial"/>
          <w:i/>
          <w:sz w:val="20"/>
        </w:rPr>
        <w:t>Cumming</w:t>
      </w:r>
      <w:r>
        <w:rPr>
          <w:rFonts w:ascii="Arial"/>
          <w:i/>
          <w:spacing w:val="4"/>
          <w:sz w:val="20"/>
        </w:rPr>
        <w:t> </w:t>
      </w:r>
      <w:r>
        <w:rPr>
          <w:rFonts w:ascii="Arial"/>
          <w:i/>
          <w:sz w:val="20"/>
        </w:rPr>
        <w:t>v</w:t>
      </w:r>
      <w:r>
        <w:rPr>
          <w:rFonts w:ascii="Arial"/>
          <w:i/>
          <w:spacing w:val="4"/>
          <w:sz w:val="20"/>
        </w:rPr>
        <w:t> </w:t>
      </w:r>
      <w:r>
        <w:rPr>
          <w:rFonts w:ascii="Arial"/>
          <w:i/>
          <w:sz w:val="20"/>
        </w:rPr>
        <w:t>Danson</w:t>
      </w:r>
      <w:r>
        <w:rPr>
          <w:rFonts w:ascii="Arial"/>
          <w:i/>
          <w:spacing w:val="4"/>
          <w:sz w:val="20"/>
        </w:rPr>
        <w:t> </w:t>
      </w:r>
      <w:r>
        <w:rPr>
          <w:rFonts w:ascii="Arial"/>
          <w:i/>
          <w:sz w:val="20"/>
        </w:rPr>
        <w:t>[1942]</w:t>
      </w:r>
      <w:r>
        <w:rPr>
          <w:rFonts w:ascii="Arial"/>
          <w:i/>
          <w:spacing w:val="4"/>
          <w:sz w:val="20"/>
        </w:rPr>
        <w:t> </w:t>
      </w:r>
      <w:r>
        <w:rPr>
          <w:rFonts w:ascii="Arial"/>
          <w:i/>
          <w:sz w:val="20"/>
        </w:rPr>
        <w:t>2</w:t>
      </w:r>
      <w:r>
        <w:rPr>
          <w:rFonts w:ascii="Arial"/>
          <w:i/>
          <w:spacing w:val="4"/>
          <w:sz w:val="20"/>
        </w:rPr>
        <w:t> </w:t>
      </w:r>
      <w:r>
        <w:rPr>
          <w:rFonts w:ascii="Arial"/>
          <w:i/>
          <w:sz w:val="20"/>
        </w:rPr>
        <w:t>All</w:t>
      </w:r>
      <w:r>
        <w:rPr>
          <w:rFonts w:ascii="Arial"/>
          <w:i/>
          <w:spacing w:val="4"/>
          <w:sz w:val="20"/>
        </w:rPr>
        <w:t> </w:t>
      </w:r>
      <w:r>
        <w:rPr>
          <w:rFonts w:ascii="Arial"/>
          <w:i/>
          <w:sz w:val="20"/>
        </w:rPr>
        <w:t>E.R.</w:t>
      </w:r>
      <w:r>
        <w:rPr>
          <w:rFonts w:ascii="Arial"/>
          <w:i/>
          <w:spacing w:val="4"/>
          <w:sz w:val="20"/>
        </w:rPr>
        <w:t> </w:t>
      </w:r>
      <w:r>
        <w:rPr>
          <w:rFonts w:ascii="Arial"/>
          <w:i/>
          <w:spacing w:val="-5"/>
          <w:sz w:val="20"/>
        </w:rPr>
        <w:t>653</w:t>
      </w:r>
    </w:p>
    <w:p>
      <w:pPr>
        <w:pStyle w:val="BodyText"/>
        <w:spacing w:line="227" w:lineRule="exact"/>
        <w:ind w:left="705"/>
      </w:pPr>
      <w:r>
        <w:rPr/>
        <w:t>at </w:t>
      </w:r>
      <w:r>
        <w:rPr>
          <w:spacing w:val="-4"/>
        </w:rPr>
        <w:t>655.</w:t>
      </w:r>
    </w:p>
    <w:p>
      <w:pPr>
        <w:pStyle w:val="BodyText"/>
        <w:spacing w:before="5"/>
      </w:pPr>
    </w:p>
    <w:p>
      <w:pPr>
        <w:tabs>
          <w:tab w:pos="705" w:val="left" w:leader="none"/>
        </w:tabs>
        <w:spacing w:before="1"/>
        <w:ind w:left="165" w:right="0" w:firstLine="0"/>
        <w:jc w:val="left"/>
        <w:rPr>
          <w:sz w:val="20"/>
        </w:rPr>
      </w:pPr>
      <w:bookmarkStart w:name="_bookmark1264" w:id="1266"/>
      <w:bookmarkEnd w:id="1266"/>
      <w:r>
        <w:rPr/>
      </w:r>
      <w:hyperlink w:history="true" w:anchor="_bookmark1200">
        <w:r>
          <w:rPr>
            <w:color w:val="005DA1"/>
            <w:spacing w:val="-4"/>
            <w:position w:val="5"/>
            <w:sz w:val="14"/>
            <w:u w:val="single" w:color="005DA1"/>
          </w:rPr>
          <w:t>660</w:t>
        </w:r>
      </w:hyperlink>
      <w:r>
        <w:rPr>
          <w:spacing w:val="-4"/>
          <w:position w:val="5"/>
          <w:sz w:val="14"/>
        </w:rPr>
        <w:t>.</w:t>
      </w:r>
      <w:r>
        <w:rPr>
          <w:position w:val="5"/>
          <w:sz w:val="14"/>
        </w:rPr>
        <w:tab/>
      </w:r>
      <w:r>
        <w:rPr>
          <w:rFonts w:ascii="Arial"/>
          <w:i/>
          <w:sz w:val="20"/>
        </w:rPr>
        <w:t>[2011] UKSC 8, [2011] 2 A.C. </w:t>
      </w:r>
      <w:r>
        <w:rPr>
          <w:rFonts w:ascii="Arial"/>
          <w:i/>
          <w:spacing w:val="-4"/>
          <w:sz w:val="20"/>
        </w:rPr>
        <w:t>186</w:t>
      </w:r>
      <w:r>
        <w:rPr>
          <w:spacing w:val="-4"/>
          <w:sz w:val="20"/>
        </w:rPr>
        <w:t>.</w:t>
      </w:r>
    </w:p>
    <w:p>
      <w:pPr>
        <w:pStyle w:val="BodyText"/>
        <w:spacing w:before="8"/>
      </w:pPr>
    </w:p>
    <w:p>
      <w:pPr>
        <w:pStyle w:val="BodyText"/>
        <w:tabs>
          <w:tab w:pos="705" w:val="left" w:leader="none"/>
        </w:tabs>
        <w:spacing w:line="235" w:lineRule="auto"/>
        <w:ind w:left="705" w:right="168" w:hanging="541"/>
      </w:pPr>
      <w:bookmarkStart w:name="_bookmark1265" w:id="1267"/>
      <w:bookmarkEnd w:id="1267"/>
      <w:r>
        <w:rPr/>
      </w:r>
      <w:hyperlink w:history="true" w:anchor="_bookmark1201">
        <w:r>
          <w:rPr>
            <w:color w:val="005DA1"/>
            <w:spacing w:val="-4"/>
            <w:position w:val="5"/>
            <w:sz w:val="14"/>
            <w:u w:val="single" w:color="005DA1"/>
          </w:rPr>
          <w:t>661</w:t>
        </w:r>
      </w:hyperlink>
      <w:r>
        <w:rPr>
          <w:spacing w:val="-4"/>
          <w:position w:val="5"/>
          <w:sz w:val="14"/>
        </w:rPr>
        <w:t>.</w:t>
      </w:r>
      <w:r>
        <w:rPr>
          <w:position w:val="5"/>
          <w:sz w:val="14"/>
        </w:rPr>
        <w:tab/>
      </w:r>
      <w:r>
        <w:rPr>
          <w:rFonts w:ascii="Arial" w:hAnsi="Arial"/>
          <w:i/>
        </w:rPr>
        <w:t>[2011] UKSC 8 </w:t>
      </w:r>
      <w:r>
        <w:rPr/>
        <w:t>at [2]–[3] (Lord Hope of Craighead D.P.); [73]–[75] (Lord Phillips P. with whom Lord Rodger, Lord Walker, Lady Hale, Lord Brown and Lord Collins JJ.S.C. agreed).</w:t>
      </w:r>
    </w:p>
    <w:p>
      <w:pPr>
        <w:pStyle w:val="BodyText"/>
        <w:spacing w:before="9"/>
      </w:pPr>
    </w:p>
    <w:p>
      <w:pPr>
        <w:tabs>
          <w:tab w:pos="705" w:val="left" w:leader="none"/>
        </w:tabs>
        <w:spacing w:line="235" w:lineRule="auto" w:before="1"/>
        <w:ind w:left="705" w:right="168" w:hanging="541"/>
        <w:jc w:val="left"/>
        <w:rPr>
          <w:sz w:val="20"/>
        </w:rPr>
      </w:pPr>
      <w:bookmarkStart w:name="_bookmark1266" w:id="1268"/>
      <w:bookmarkEnd w:id="1268"/>
      <w:r>
        <w:rPr/>
      </w:r>
      <w:hyperlink w:history="true" w:anchor="_bookmark1202">
        <w:r>
          <w:rPr>
            <w:color w:val="005DA1"/>
            <w:spacing w:val="-4"/>
            <w:position w:val="5"/>
            <w:sz w:val="14"/>
            <w:u w:val="single" w:color="005DA1"/>
          </w:rPr>
          <w:t>662</w:t>
        </w:r>
      </w:hyperlink>
      <w:r>
        <w:rPr>
          <w:spacing w:val="-4"/>
          <w:position w:val="5"/>
          <w:sz w:val="14"/>
        </w:rPr>
        <w:t>.</w:t>
      </w:r>
      <w:r>
        <w:rPr>
          <w:position w:val="5"/>
          <w:sz w:val="14"/>
        </w:rPr>
        <w:tab/>
      </w:r>
      <w:r>
        <w:rPr>
          <w:rFonts w:ascii="Arial"/>
          <w:i/>
          <w:sz w:val="20"/>
        </w:rPr>
        <w:t>Manchester City Council v Pinnock [2010] UKSC 45</w:t>
      </w:r>
      <w:r>
        <w:rPr>
          <w:rFonts w:ascii="Arial"/>
          <w:i/>
          <w:spacing w:val="-1"/>
          <w:sz w:val="20"/>
        </w:rPr>
        <w:t> </w:t>
      </w:r>
      <w:r>
        <w:rPr>
          <w:sz w:val="20"/>
        </w:rPr>
        <w:t>at [40] citing </w:t>
      </w:r>
      <w:r>
        <w:rPr>
          <w:rFonts w:ascii="Arial"/>
          <w:i/>
          <w:sz w:val="20"/>
        </w:rPr>
        <w:t>Pauli# v Croatia [2009] </w:t>
      </w:r>
      <w:r>
        <w:rPr>
          <w:rFonts w:ascii="Arial"/>
          <w:i/>
          <w:sz w:val="20"/>
        </w:rPr>
        <w:t>ECHR 3572/06 at [43]; [2010] UKSC 45 </w:t>
      </w:r>
      <w:r>
        <w:rPr>
          <w:sz w:val="20"/>
        </w:rPr>
        <w:t>at [63].</w:t>
      </w:r>
    </w:p>
    <w:p>
      <w:pPr>
        <w:pStyle w:val="BodyText"/>
        <w:spacing w:before="5"/>
      </w:pPr>
    </w:p>
    <w:p>
      <w:pPr>
        <w:tabs>
          <w:tab w:pos="705" w:val="left" w:leader="none"/>
        </w:tabs>
        <w:spacing w:before="0"/>
        <w:ind w:left="165" w:right="0" w:firstLine="0"/>
        <w:jc w:val="left"/>
        <w:rPr>
          <w:sz w:val="20"/>
        </w:rPr>
      </w:pPr>
      <w:bookmarkStart w:name="_bookmark1267" w:id="1269"/>
      <w:bookmarkEnd w:id="1269"/>
      <w:r>
        <w:rPr/>
      </w:r>
      <w:hyperlink w:history="true" w:anchor="_bookmark1203">
        <w:r>
          <w:rPr>
            <w:color w:val="005DA1"/>
            <w:spacing w:val="-4"/>
            <w:position w:val="5"/>
            <w:sz w:val="14"/>
            <w:u w:val="single" w:color="005DA1"/>
          </w:rPr>
          <w:t>663</w:t>
        </w:r>
      </w:hyperlink>
      <w:r>
        <w:rPr>
          <w:spacing w:val="-4"/>
          <w:position w:val="5"/>
          <w:sz w:val="14"/>
        </w:rPr>
        <w:t>.</w:t>
      </w:r>
      <w:r>
        <w:rPr>
          <w:position w:val="5"/>
          <w:sz w:val="14"/>
        </w:rPr>
        <w:tab/>
      </w:r>
      <w:r>
        <w:rPr>
          <w:rFonts w:ascii="Arial" w:hAnsi="Arial"/>
          <w:i/>
          <w:sz w:val="20"/>
        </w:rPr>
        <w:t>[2011] UKSC 8</w:t>
      </w:r>
      <w:r>
        <w:rPr>
          <w:rFonts w:ascii="Arial" w:hAnsi="Arial"/>
          <w:i/>
          <w:spacing w:val="-1"/>
          <w:sz w:val="20"/>
        </w:rPr>
        <w:t> </w:t>
      </w:r>
      <w:r>
        <w:rPr>
          <w:sz w:val="20"/>
        </w:rPr>
        <w:t>at [33], [34] and [44]–[45] (Lord Hope of Craighead </w:t>
      </w:r>
      <w:r>
        <w:rPr>
          <w:spacing w:val="-2"/>
          <w:sz w:val="20"/>
        </w:rPr>
        <w:t>D.P.).</w:t>
      </w:r>
    </w:p>
    <w:p>
      <w:pPr>
        <w:pStyle w:val="BodyText"/>
        <w:spacing w:before="9"/>
      </w:pPr>
    </w:p>
    <w:p>
      <w:pPr>
        <w:spacing w:line="235" w:lineRule="auto" w:before="0"/>
        <w:ind w:left="705" w:right="167" w:hanging="541"/>
        <w:jc w:val="both"/>
        <w:rPr>
          <w:sz w:val="20"/>
        </w:rPr>
      </w:pPr>
      <w:bookmarkStart w:name="_bookmark1268" w:id="1270"/>
      <w:bookmarkEnd w:id="1270"/>
      <w:r>
        <w:rPr/>
      </w:r>
      <w:hyperlink w:history="true" w:anchor="_bookmark1204">
        <w:r>
          <w:rPr>
            <w:color w:val="005DA1"/>
            <w:position w:val="5"/>
            <w:sz w:val="14"/>
            <w:u w:val="single" w:color="005DA1"/>
          </w:rPr>
          <w:t>664</w:t>
        </w:r>
      </w:hyperlink>
      <w:r>
        <w:rPr>
          <w:position w:val="5"/>
          <w:sz w:val="14"/>
        </w:rPr>
        <w:t>.</w:t>
      </w:r>
      <w:r>
        <w:rPr>
          <w:spacing w:val="80"/>
          <w:position w:val="5"/>
          <w:sz w:val="14"/>
        </w:rPr>
        <w:t> </w:t>
      </w:r>
      <w:r>
        <w:rPr>
          <w:rFonts w:ascii="Arial" w:hAnsi="Arial"/>
          <w:i/>
          <w:sz w:val="20"/>
        </w:rPr>
        <w:t>[2011] UKSC 8 </w:t>
      </w:r>
      <w:r>
        <w:rPr>
          <w:sz w:val="20"/>
        </w:rPr>
        <w:t>at [88], per Lord Phillips P. </w:t>
      </w:r>
      <w:r>
        <w:rPr>
          <w:rFonts w:ascii="Arial" w:hAnsi="Arial"/>
          <w:i/>
          <w:sz w:val="20"/>
        </w:rPr>
        <w:t>Manchester CC v Pinnock [2010] UKSC 45 </w:t>
      </w:r>
      <w:r>
        <w:rPr>
          <w:sz w:val="20"/>
        </w:rPr>
        <w:t>and </w:t>
      </w:r>
      <w:r>
        <w:rPr>
          <w:rFonts w:ascii="Arial" w:hAnsi="Arial"/>
          <w:i/>
          <w:sz w:val="20"/>
        </w:rPr>
        <w:t>Hounslow LBC v Powell [2011] UKSC 8 </w:t>
      </w:r>
      <w:r>
        <w:rPr>
          <w:sz w:val="20"/>
        </w:rPr>
        <w:t>were applied by the CA in </w:t>
      </w:r>
      <w:r>
        <w:rPr>
          <w:rFonts w:ascii="Arial" w:hAnsi="Arial"/>
          <w:i/>
          <w:sz w:val="20"/>
        </w:rPr>
        <w:t>Thurrock BC v West </w:t>
      </w:r>
      <w:r>
        <w:rPr>
          <w:rFonts w:ascii="Arial" w:hAnsi="Arial"/>
          <w:i/>
          <w:sz w:val="20"/>
        </w:rPr>
        <w:t>[2012] EWCA Civ 1435, [2013] H.L.R. 5 </w:t>
      </w:r>
      <w:r>
        <w:rPr>
          <w:sz w:val="20"/>
        </w:rPr>
        <w:t>to the context of persons living in a house the subject of a public sector secured tenancy but who were not entitled to become its tenants as survivors of deceased tenants under the Housing Act 1985 ss.87–90. See also </w:t>
      </w:r>
      <w:r>
        <w:rPr>
          <w:rFonts w:ascii="Arial" w:hAnsi="Arial"/>
          <w:i/>
          <w:sz w:val="20"/>
        </w:rPr>
        <w:t>Fareham BC v Millar [2013] EWCA Civ 159, [2013] H.L.R. 22</w:t>
      </w:r>
      <w:r>
        <w:rPr>
          <w:sz w:val="20"/>
        </w:rPr>
        <w:t>.</w:t>
      </w:r>
    </w:p>
    <w:p>
      <w:pPr>
        <w:pStyle w:val="BodyText"/>
        <w:spacing w:before="4"/>
      </w:pPr>
    </w:p>
    <w:p>
      <w:pPr>
        <w:tabs>
          <w:tab w:pos="705" w:val="left" w:leader="none"/>
        </w:tabs>
        <w:spacing w:before="0"/>
        <w:ind w:left="165" w:right="0" w:firstLine="0"/>
        <w:jc w:val="left"/>
        <w:rPr>
          <w:sz w:val="20"/>
        </w:rPr>
      </w:pPr>
      <w:bookmarkStart w:name="_bookmark1269" w:id="1271"/>
      <w:bookmarkEnd w:id="1271"/>
      <w:r>
        <w:rPr/>
      </w:r>
      <w:hyperlink w:history="true" w:anchor="_bookmark1205">
        <w:r>
          <w:rPr>
            <w:color w:val="005DA1"/>
            <w:spacing w:val="-4"/>
            <w:position w:val="5"/>
            <w:sz w:val="14"/>
            <w:u w:val="single" w:color="005DA1"/>
          </w:rPr>
          <w:t>665</w:t>
        </w:r>
      </w:hyperlink>
      <w:r>
        <w:rPr>
          <w:spacing w:val="-4"/>
          <w:position w:val="5"/>
          <w:sz w:val="14"/>
        </w:rPr>
        <w:t>.</w:t>
      </w:r>
      <w:r>
        <w:rPr>
          <w:position w:val="5"/>
          <w:sz w:val="14"/>
        </w:rPr>
        <w:tab/>
      </w:r>
      <w:r>
        <w:rPr>
          <w:rFonts w:ascii="Arial"/>
          <w:i/>
          <w:sz w:val="20"/>
        </w:rPr>
        <w:t>[2014] UKSC 63, [2014] 3 W.L.R. </w:t>
      </w:r>
      <w:r>
        <w:rPr>
          <w:rFonts w:ascii="Arial"/>
          <w:i/>
          <w:spacing w:val="-2"/>
          <w:sz w:val="20"/>
        </w:rPr>
        <w:t>1600</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270" w:id="1272"/>
      <w:bookmarkEnd w:id="1272"/>
      <w:r>
        <w:rPr/>
      </w:r>
      <w:hyperlink w:history="true" w:anchor="_bookmark1206">
        <w:r>
          <w:rPr>
            <w:color w:val="005DA1"/>
            <w:spacing w:val="-4"/>
            <w:position w:val="5"/>
            <w:sz w:val="14"/>
            <w:u w:val="single" w:color="005DA1"/>
          </w:rPr>
          <w:t>666</w:t>
        </w:r>
      </w:hyperlink>
      <w:r>
        <w:rPr>
          <w:spacing w:val="-4"/>
          <w:position w:val="5"/>
          <w:sz w:val="14"/>
        </w:rPr>
        <w:t>.</w:t>
      </w:r>
      <w:r>
        <w:rPr>
          <w:position w:val="5"/>
          <w:sz w:val="14"/>
        </w:rPr>
        <w:tab/>
      </w:r>
      <w:r>
        <w:rPr>
          <w:rFonts w:ascii="Arial"/>
          <w:i/>
          <w:sz w:val="20"/>
        </w:rPr>
        <w:t>Hammersmith and Fulham LBC v Monk [1992] 1 A.C. 478; [2014] UKSC 63</w:t>
      </w:r>
      <w:r>
        <w:rPr>
          <w:rFonts w:ascii="Arial"/>
          <w:i/>
          <w:spacing w:val="-1"/>
          <w:sz w:val="20"/>
        </w:rPr>
        <w:t> </w:t>
      </w:r>
      <w:r>
        <w:rPr>
          <w:sz w:val="20"/>
        </w:rPr>
        <w:t>at </w:t>
      </w:r>
      <w:r>
        <w:rPr>
          <w:spacing w:val="-4"/>
          <w:sz w:val="20"/>
        </w:rPr>
        <w:t>[2].</w:t>
      </w:r>
    </w:p>
    <w:p>
      <w:pPr>
        <w:pStyle w:val="BodyText"/>
        <w:spacing w:before="5"/>
      </w:pPr>
    </w:p>
    <w:p>
      <w:pPr>
        <w:tabs>
          <w:tab w:pos="705" w:val="left" w:leader="none"/>
        </w:tabs>
        <w:spacing w:before="0"/>
        <w:ind w:left="165" w:right="0" w:firstLine="0"/>
        <w:jc w:val="left"/>
        <w:rPr>
          <w:sz w:val="20"/>
        </w:rPr>
      </w:pPr>
      <w:bookmarkStart w:name="_bookmark1271" w:id="1273"/>
      <w:bookmarkEnd w:id="1273"/>
      <w:r>
        <w:rPr/>
      </w:r>
      <w:hyperlink w:history="true" w:anchor="_bookmark1207">
        <w:r>
          <w:rPr>
            <w:color w:val="005DA1"/>
            <w:spacing w:val="-4"/>
            <w:position w:val="5"/>
            <w:sz w:val="14"/>
            <w:u w:val="single" w:color="005DA1"/>
          </w:rPr>
          <w:t>667</w:t>
        </w:r>
      </w:hyperlink>
      <w:r>
        <w:rPr>
          <w:spacing w:val="-4"/>
          <w:position w:val="5"/>
          <w:sz w:val="14"/>
        </w:rPr>
        <w:t>.</w:t>
      </w:r>
      <w:r>
        <w:rPr>
          <w:position w:val="5"/>
          <w:sz w:val="14"/>
        </w:rPr>
        <w:tab/>
      </w:r>
      <w:r>
        <w:rPr>
          <w:rFonts w:ascii="Arial"/>
          <w:i/>
          <w:sz w:val="20"/>
        </w:rPr>
        <w:t>[2014]</w:t>
      </w:r>
      <w:r>
        <w:rPr>
          <w:rFonts w:ascii="Arial"/>
          <w:i/>
          <w:spacing w:val="-2"/>
          <w:sz w:val="20"/>
        </w:rPr>
        <w:t> </w:t>
      </w:r>
      <w:r>
        <w:rPr>
          <w:rFonts w:ascii="Arial"/>
          <w:i/>
          <w:sz w:val="20"/>
        </w:rPr>
        <w:t>UKSC 63</w:t>
      </w:r>
      <w:r>
        <w:rPr>
          <w:rFonts w:ascii="Arial"/>
          <w:i/>
          <w:spacing w:val="-1"/>
          <w:sz w:val="20"/>
        </w:rPr>
        <w:t> </w:t>
      </w:r>
      <w:r>
        <w:rPr>
          <w:sz w:val="20"/>
        </w:rPr>
        <w:t>at </w:t>
      </w:r>
      <w:r>
        <w:rPr>
          <w:spacing w:val="-2"/>
          <w:sz w:val="20"/>
        </w:rPr>
        <w:t>[15].</w:t>
      </w:r>
    </w:p>
    <w:p>
      <w:pPr>
        <w:pStyle w:val="BodyText"/>
        <w:spacing w:before="5"/>
      </w:pPr>
    </w:p>
    <w:p>
      <w:pPr>
        <w:tabs>
          <w:tab w:pos="705" w:val="left" w:leader="none"/>
        </w:tabs>
        <w:spacing w:before="0"/>
        <w:ind w:left="165" w:right="0" w:firstLine="0"/>
        <w:jc w:val="left"/>
        <w:rPr>
          <w:sz w:val="20"/>
        </w:rPr>
      </w:pPr>
      <w:bookmarkStart w:name="_bookmark1272" w:id="1274"/>
      <w:bookmarkEnd w:id="1274"/>
      <w:r>
        <w:rPr/>
      </w:r>
      <w:hyperlink w:history="true" w:anchor="_bookmark1208">
        <w:r>
          <w:rPr>
            <w:color w:val="005DA1"/>
            <w:spacing w:val="-4"/>
            <w:position w:val="5"/>
            <w:sz w:val="14"/>
            <w:u w:val="single" w:color="005DA1"/>
          </w:rPr>
          <w:t>668</w:t>
        </w:r>
      </w:hyperlink>
      <w:r>
        <w:rPr>
          <w:spacing w:val="-4"/>
          <w:position w:val="5"/>
          <w:sz w:val="14"/>
        </w:rPr>
        <w:t>.</w:t>
      </w:r>
      <w:r>
        <w:rPr>
          <w:position w:val="5"/>
          <w:sz w:val="14"/>
        </w:rPr>
        <w:tab/>
      </w:r>
      <w:r>
        <w:rPr>
          <w:rFonts w:ascii="Arial"/>
          <w:i/>
          <w:sz w:val="20"/>
        </w:rPr>
        <w:t>[2014]</w:t>
      </w:r>
      <w:r>
        <w:rPr>
          <w:rFonts w:ascii="Arial"/>
          <w:i/>
          <w:spacing w:val="-2"/>
          <w:sz w:val="20"/>
        </w:rPr>
        <w:t> </w:t>
      </w:r>
      <w:r>
        <w:rPr>
          <w:rFonts w:ascii="Arial"/>
          <w:i/>
          <w:sz w:val="20"/>
        </w:rPr>
        <w:t>UKSC 63</w:t>
      </w:r>
      <w:r>
        <w:rPr>
          <w:rFonts w:ascii="Arial"/>
          <w:i/>
          <w:spacing w:val="-1"/>
          <w:sz w:val="20"/>
        </w:rPr>
        <w:t> </w:t>
      </w:r>
      <w:r>
        <w:rPr>
          <w:sz w:val="20"/>
        </w:rPr>
        <w:t>at </w:t>
      </w:r>
      <w:r>
        <w:rPr>
          <w:spacing w:val="-2"/>
          <w:sz w:val="20"/>
        </w:rPr>
        <w:t>[15].</w:t>
      </w:r>
    </w:p>
    <w:p>
      <w:pPr>
        <w:pStyle w:val="BodyText"/>
        <w:spacing w:before="5"/>
      </w:pPr>
    </w:p>
    <w:p>
      <w:pPr>
        <w:tabs>
          <w:tab w:pos="705" w:val="left" w:leader="none"/>
        </w:tabs>
        <w:spacing w:before="0"/>
        <w:ind w:left="165" w:right="0" w:firstLine="0"/>
        <w:jc w:val="left"/>
        <w:rPr>
          <w:sz w:val="20"/>
        </w:rPr>
      </w:pPr>
      <w:bookmarkStart w:name="_bookmark1273" w:id="1275"/>
      <w:bookmarkEnd w:id="1275"/>
      <w:r>
        <w:rPr/>
      </w:r>
      <w:hyperlink w:history="true" w:anchor="_bookmark1209">
        <w:r>
          <w:rPr>
            <w:color w:val="005DA1"/>
            <w:spacing w:val="-4"/>
            <w:position w:val="5"/>
            <w:sz w:val="14"/>
            <w:u w:val="single" w:color="005DA1"/>
          </w:rPr>
          <w:t>669</w:t>
        </w:r>
      </w:hyperlink>
      <w:r>
        <w:rPr>
          <w:spacing w:val="-4"/>
          <w:position w:val="5"/>
          <w:sz w:val="14"/>
        </w:rPr>
        <w:t>.</w:t>
      </w:r>
      <w:r>
        <w:rPr>
          <w:position w:val="5"/>
          <w:sz w:val="14"/>
        </w:rPr>
        <w:tab/>
      </w:r>
      <w:r>
        <w:rPr>
          <w:rFonts w:ascii="Arial" w:hAnsi="Arial"/>
          <w:i/>
          <w:sz w:val="20"/>
        </w:rPr>
        <w:t>[2014] UKSC 63</w:t>
      </w:r>
      <w:r>
        <w:rPr>
          <w:rFonts w:ascii="Arial" w:hAnsi="Arial"/>
          <w:i/>
          <w:spacing w:val="-1"/>
          <w:sz w:val="20"/>
        </w:rPr>
        <w:t> </w:t>
      </w:r>
      <w:r>
        <w:rPr>
          <w:sz w:val="20"/>
        </w:rPr>
        <w:t>at </w:t>
      </w:r>
      <w:r>
        <w:rPr>
          <w:spacing w:val="-2"/>
          <w:sz w:val="20"/>
        </w:rPr>
        <w:t>[16]–[18].</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274" w:id="1276"/>
      <w:bookmarkEnd w:id="1276"/>
      <w:r>
        <w:rPr/>
      </w:r>
      <w:hyperlink w:history="true" w:anchor="_bookmark1210">
        <w:r>
          <w:rPr>
            <w:color w:val="005DA1"/>
            <w:spacing w:val="-4"/>
            <w:position w:val="5"/>
            <w:sz w:val="14"/>
            <w:u w:val="single" w:color="005DA1"/>
          </w:rPr>
          <w:t>670</w:t>
        </w:r>
      </w:hyperlink>
      <w:r>
        <w:rPr>
          <w:spacing w:val="-4"/>
          <w:position w:val="5"/>
          <w:sz w:val="14"/>
        </w:rPr>
        <w:t>.</w:t>
      </w:r>
      <w:r>
        <w:rPr>
          <w:position w:val="5"/>
          <w:sz w:val="14"/>
        </w:rPr>
        <w:tab/>
      </w:r>
      <w:r>
        <w:rPr>
          <w:rFonts w:ascii="Arial"/>
          <w:i/>
          <w:sz w:val="20"/>
        </w:rPr>
        <w:t>[2014]</w:t>
      </w:r>
      <w:r>
        <w:rPr>
          <w:rFonts w:ascii="Arial"/>
          <w:i/>
          <w:spacing w:val="13"/>
          <w:sz w:val="20"/>
        </w:rPr>
        <w:t> </w:t>
      </w:r>
      <w:r>
        <w:rPr>
          <w:rFonts w:ascii="Arial"/>
          <w:i/>
          <w:sz w:val="20"/>
        </w:rPr>
        <w:t>UKSC</w:t>
      </w:r>
      <w:r>
        <w:rPr>
          <w:rFonts w:ascii="Arial"/>
          <w:i/>
          <w:spacing w:val="13"/>
          <w:sz w:val="20"/>
        </w:rPr>
        <w:t> </w:t>
      </w:r>
      <w:r>
        <w:rPr>
          <w:rFonts w:ascii="Arial"/>
          <w:i/>
          <w:sz w:val="20"/>
        </w:rPr>
        <w:t>63</w:t>
      </w:r>
      <w:r>
        <w:rPr>
          <w:rFonts w:ascii="Arial"/>
          <w:i/>
          <w:spacing w:val="13"/>
          <w:sz w:val="20"/>
        </w:rPr>
        <w:t> </w:t>
      </w:r>
      <w:r>
        <w:rPr>
          <w:sz w:val="20"/>
        </w:rPr>
        <w:t>at</w:t>
      </w:r>
      <w:r>
        <w:rPr>
          <w:spacing w:val="13"/>
          <w:sz w:val="20"/>
        </w:rPr>
        <w:t> </w:t>
      </w:r>
      <w:r>
        <w:rPr>
          <w:sz w:val="20"/>
        </w:rPr>
        <w:t>[21]</w:t>
      </w:r>
      <w:r>
        <w:rPr>
          <w:spacing w:val="13"/>
          <w:sz w:val="20"/>
        </w:rPr>
        <w:t> </w:t>
      </w:r>
      <w:r>
        <w:rPr>
          <w:sz w:val="20"/>
        </w:rPr>
        <w:t>referring</w:t>
      </w:r>
      <w:r>
        <w:rPr>
          <w:spacing w:val="13"/>
          <w:sz w:val="20"/>
        </w:rPr>
        <w:t> </w:t>
      </w:r>
      <w:r>
        <w:rPr>
          <w:sz w:val="20"/>
        </w:rPr>
        <w:t>to</w:t>
      </w:r>
      <w:r>
        <w:rPr>
          <w:spacing w:val="13"/>
          <w:sz w:val="20"/>
        </w:rPr>
        <w:t> </w:t>
      </w:r>
      <w:r>
        <w:rPr>
          <w:rFonts w:ascii="Arial"/>
          <w:i/>
          <w:sz w:val="20"/>
        </w:rPr>
        <w:t>Manchester</w:t>
      </w:r>
      <w:r>
        <w:rPr>
          <w:rFonts w:ascii="Arial"/>
          <w:i/>
          <w:spacing w:val="13"/>
          <w:sz w:val="20"/>
        </w:rPr>
        <w:t> </w:t>
      </w:r>
      <w:r>
        <w:rPr>
          <w:rFonts w:ascii="Arial"/>
          <w:i/>
          <w:sz w:val="20"/>
        </w:rPr>
        <w:t>CC</w:t>
      </w:r>
      <w:r>
        <w:rPr>
          <w:rFonts w:ascii="Arial"/>
          <w:i/>
          <w:spacing w:val="13"/>
          <w:sz w:val="20"/>
        </w:rPr>
        <w:t> </w:t>
      </w:r>
      <w:r>
        <w:rPr>
          <w:rFonts w:ascii="Arial"/>
          <w:i/>
          <w:sz w:val="20"/>
        </w:rPr>
        <w:t>v</w:t>
      </w:r>
      <w:r>
        <w:rPr>
          <w:rFonts w:ascii="Arial"/>
          <w:i/>
          <w:spacing w:val="13"/>
          <w:sz w:val="20"/>
        </w:rPr>
        <w:t> </w:t>
      </w:r>
      <w:r>
        <w:rPr>
          <w:rFonts w:ascii="Arial"/>
          <w:i/>
          <w:sz w:val="20"/>
        </w:rPr>
        <w:t>Pinnock</w:t>
      </w:r>
      <w:r>
        <w:rPr>
          <w:rFonts w:ascii="Arial"/>
          <w:i/>
          <w:spacing w:val="13"/>
          <w:sz w:val="20"/>
        </w:rPr>
        <w:t> </w:t>
      </w:r>
      <w:r>
        <w:rPr>
          <w:rFonts w:ascii="Arial"/>
          <w:i/>
          <w:sz w:val="20"/>
        </w:rPr>
        <w:t>[2010]</w:t>
      </w:r>
      <w:r>
        <w:rPr>
          <w:rFonts w:ascii="Arial"/>
          <w:i/>
          <w:spacing w:val="13"/>
          <w:sz w:val="20"/>
        </w:rPr>
        <w:t> </w:t>
      </w:r>
      <w:r>
        <w:rPr>
          <w:rFonts w:ascii="Arial"/>
          <w:i/>
          <w:sz w:val="20"/>
        </w:rPr>
        <w:t>UKSC</w:t>
      </w:r>
      <w:r>
        <w:rPr>
          <w:rFonts w:ascii="Arial"/>
          <w:i/>
          <w:spacing w:val="13"/>
          <w:sz w:val="20"/>
        </w:rPr>
        <w:t> </w:t>
      </w:r>
      <w:r>
        <w:rPr>
          <w:rFonts w:ascii="Arial"/>
          <w:i/>
          <w:sz w:val="20"/>
        </w:rPr>
        <w:t>45</w:t>
      </w:r>
      <w:r>
        <w:rPr>
          <w:rFonts w:ascii="Arial"/>
          <w:i/>
          <w:spacing w:val="13"/>
          <w:sz w:val="20"/>
        </w:rPr>
        <w:t> </w:t>
      </w:r>
      <w:r>
        <w:rPr>
          <w:sz w:val="20"/>
        </w:rPr>
        <w:t>and</w:t>
      </w:r>
      <w:r>
        <w:rPr>
          <w:spacing w:val="13"/>
          <w:sz w:val="20"/>
        </w:rPr>
        <w:t> </w:t>
      </w:r>
      <w:r>
        <w:rPr>
          <w:rFonts w:ascii="Arial"/>
          <w:i/>
          <w:spacing w:val="-2"/>
          <w:sz w:val="20"/>
        </w:rPr>
        <w:t>Hounslow</w:t>
      </w:r>
    </w:p>
    <w:p>
      <w:pPr>
        <w:spacing w:line="227" w:lineRule="exact" w:before="0"/>
        <w:ind w:left="705" w:right="0" w:firstLine="0"/>
        <w:jc w:val="left"/>
        <w:rPr>
          <w:sz w:val="20"/>
        </w:rPr>
      </w:pPr>
      <w:r>
        <w:rPr>
          <w:rFonts w:ascii="Arial"/>
          <w:i/>
          <w:sz w:val="20"/>
        </w:rPr>
        <w:t>LBC v Powell [2011] UKSC </w:t>
      </w:r>
      <w:r>
        <w:rPr>
          <w:rFonts w:ascii="Arial"/>
          <w:i/>
          <w:spacing w:val="-5"/>
          <w:sz w:val="20"/>
        </w:rPr>
        <w:t>8</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275" w:id="1277"/>
      <w:bookmarkEnd w:id="1277"/>
      <w:r>
        <w:rPr/>
      </w:r>
      <w:hyperlink w:history="true" w:anchor="_bookmark1211">
        <w:r>
          <w:rPr>
            <w:color w:val="005DA1"/>
            <w:spacing w:val="-4"/>
            <w:position w:val="5"/>
            <w:sz w:val="14"/>
            <w:u w:val="single" w:color="005DA1"/>
          </w:rPr>
          <w:t>671</w:t>
        </w:r>
      </w:hyperlink>
      <w:r>
        <w:rPr>
          <w:spacing w:val="-4"/>
          <w:position w:val="5"/>
          <w:sz w:val="14"/>
        </w:rPr>
        <w:t>.</w:t>
      </w:r>
      <w:r>
        <w:rPr>
          <w:position w:val="5"/>
          <w:sz w:val="14"/>
        </w:rPr>
        <w:tab/>
      </w:r>
      <w:r>
        <w:rPr>
          <w:rFonts w:ascii="Arial"/>
          <w:i/>
          <w:sz w:val="20"/>
        </w:rPr>
        <w:t>[2014]</w:t>
      </w:r>
      <w:r>
        <w:rPr>
          <w:rFonts w:ascii="Arial"/>
          <w:i/>
          <w:spacing w:val="-2"/>
          <w:sz w:val="20"/>
        </w:rPr>
        <w:t> </w:t>
      </w:r>
      <w:r>
        <w:rPr>
          <w:rFonts w:ascii="Arial"/>
          <w:i/>
          <w:sz w:val="20"/>
        </w:rPr>
        <w:t>UKSC 63</w:t>
      </w:r>
      <w:r>
        <w:rPr>
          <w:rFonts w:ascii="Arial"/>
          <w:i/>
          <w:spacing w:val="-1"/>
          <w:sz w:val="20"/>
        </w:rPr>
        <w:t> </w:t>
      </w:r>
      <w:r>
        <w:rPr>
          <w:sz w:val="20"/>
        </w:rPr>
        <w:t>at </w:t>
      </w:r>
      <w:r>
        <w:rPr>
          <w:spacing w:val="-2"/>
          <w:sz w:val="20"/>
        </w:rPr>
        <w:t>[23].</w:t>
      </w:r>
    </w:p>
    <w:p>
      <w:pPr>
        <w:pStyle w:val="BodyText"/>
        <w:spacing w:before="5"/>
      </w:pPr>
    </w:p>
    <w:p>
      <w:pPr>
        <w:pStyle w:val="BodyText"/>
        <w:tabs>
          <w:tab w:pos="705" w:val="left" w:leader="none"/>
        </w:tabs>
        <w:ind w:left="165"/>
      </w:pPr>
      <w:bookmarkStart w:name="_bookmark1276" w:id="1278"/>
      <w:bookmarkEnd w:id="1278"/>
      <w:r>
        <w:rPr/>
      </w:r>
      <w:hyperlink w:history="true" w:anchor="_bookmark1212">
        <w:r>
          <w:rPr>
            <w:color w:val="005DA1"/>
            <w:spacing w:val="-4"/>
            <w:position w:val="5"/>
            <w:sz w:val="14"/>
            <w:u w:val="single" w:color="005DA1"/>
          </w:rPr>
          <w:t>672</w:t>
        </w:r>
      </w:hyperlink>
      <w:r>
        <w:rPr>
          <w:spacing w:val="-4"/>
          <w:position w:val="5"/>
          <w:sz w:val="14"/>
        </w:rPr>
        <w:t>.</w:t>
      </w:r>
      <w:r>
        <w:rPr>
          <w:position w:val="5"/>
          <w:sz w:val="14"/>
        </w:rPr>
        <w:tab/>
      </w:r>
      <w:r>
        <w:rPr/>
        <w:t>See below, Ch.16 and especially paras 16-211 et </w:t>
      </w:r>
      <w:r>
        <w:rPr>
          <w:spacing w:val="-4"/>
        </w:rPr>
        <w:t>seq.</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277" w:id="1279"/>
      <w:bookmarkEnd w:id="1279"/>
      <w:r>
        <w:rPr/>
      </w:r>
      <w:hyperlink w:history="true" w:anchor="_bookmark1213">
        <w:r>
          <w:rPr>
            <w:color w:val="005DA1"/>
            <w:spacing w:val="-4"/>
            <w:position w:val="5"/>
            <w:sz w:val="14"/>
            <w:u w:val="single" w:color="005DA1"/>
          </w:rPr>
          <w:t>673</w:t>
        </w:r>
      </w:hyperlink>
      <w:r>
        <w:rPr>
          <w:spacing w:val="-4"/>
          <w:position w:val="5"/>
          <w:sz w:val="14"/>
        </w:rPr>
        <w:t>.</w:t>
      </w:r>
      <w:r>
        <w:rPr>
          <w:position w:val="5"/>
          <w:sz w:val="14"/>
        </w:rPr>
        <w:tab/>
      </w:r>
      <w:r>
        <w:rPr>
          <w:rFonts w:ascii="Arial"/>
          <w:i/>
          <w:sz w:val="20"/>
        </w:rPr>
        <w:t>The</w:t>
      </w:r>
      <w:r>
        <w:rPr>
          <w:rFonts w:ascii="Arial"/>
          <w:i/>
          <w:spacing w:val="5"/>
          <w:sz w:val="20"/>
        </w:rPr>
        <w:t> </w:t>
      </w:r>
      <w:r>
        <w:rPr>
          <w:rFonts w:ascii="Arial"/>
          <w:i/>
          <w:sz w:val="20"/>
        </w:rPr>
        <w:t>Times,</w:t>
      </w:r>
      <w:r>
        <w:rPr>
          <w:rFonts w:ascii="Arial"/>
          <w:i/>
          <w:spacing w:val="5"/>
          <w:sz w:val="20"/>
        </w:rPr>
        <w:t> </w:t>
      </w:r>
      <w:r>
        <w:rPr>
          <w:rFonts w:ascii="Arial"/>
          <w:i/>
          <w:sz w:val="20"/>
        </w:rPr>
        <w:t>January</w:t>
      </w:r>
      <w:r>
        <w:rPr>
          <w:rFonts w:ascii="Arial"/>
          <w:i/>
          <w:spacing w:val="5"/>
          <w:sz w:val="20"/>
        </w:rPr>
        <w:t> </w:t>
      </w:r>
      <w:r>
        <w:rPr>
          <w:rFonts w:ascii="Arial"/>
          <w:i/>
          <w:sz w:val="20"/>
        </w:rPr>
        <w:t>9,</w:t>
      </w:r>
      <w:r>
        <w:rPr>
          <w:rFonts w:ascii="Arial"/>
          <w:i/>
          <w:spacing w:val="5"/>
          <w:sz w:val="20"/>
        </w:rPr>
        <w:t> </w:t>
      </w:r>
      <w:r>
        <w:rPr>
          <w:rFonts w:ascii="Arial"/>
          <w:i/>
          <w:sz w:val="20"/>
        </w:rPr>
        <w:t>2001,</w:t>
      </w:r>
      <w:r>
        <w:rPr>
          <w:rFonts w:ascii="Arial"/>
          <w:i/>
          <w:spacing w:val="5"/>
          <w:sz w:val="20"/>
        </w:rPr>
        <w:t> </w:t>
      </w:r>
      <w:r>
        <w:rPr>
          <w:rFonts w:ascii="Arial"/>
          <w:i/>
          <w:sz w:val="20"/>
        </w:rPr>
        <w:t>(2001)</w:t>
      </w:r>
      <w:r>
        <w:rPr>
          <w:rFonts w:ascii="Arial"/>
          <w:i/>
          <w:spacing w:val="5"/>
          <w:sz w:val="20"/>
        </w:rPr>
        <w:t> </w:t>
      </w:r>
      <w:r>
        <w:rPr>
          <w:rFonts w:ascii="Arial"/>
          <w:i/>
          <w:sz w:val="20"/>
        </w:rPr>
        <w:t>98(3)</w:t>
      </w:r>
      <w:r>
        <w:rPr>
          <w:rFonts w:ascii="Arial"/>
          <w:i/>
          <w:spacing w:val="5"/>
          <w:sz w:val="20"/>
        </w:rPr>
        <w:t> </w:t>
      </w:r>
      <w:r>
        <w:rPr>
          <w:rFonts w:ascii="Arial"/>
          <w:i/>
          <w:sz w:val="20"/>
        </w:rPr>
        <w:t>L.S.G.</w:t>
      </w:r>
      <w:r>
        <w:rPr>
          <w:rFonts w:ascii="Arial"/>
          <w:i/>
          <w:spacing w:val="5"/>
          <w:sz w:val="20"/>
        </w:rPr>
        <w:t> </w:t>
      </w:r>
      <w:r>
        <w:rPr>
          <w:rFonts w:ascii="Arial"/>
          <w:i/>
          <w:sz w:val="20"/>
        </w:rPr>
        <w:t>42</w:t>
      </w:r>
      <w:r>
        <w:rPr>
          <w:rFonts w:ascii="Arial"/>
          <w:i/>
          <w:spacing w:val="4"/>
          <w:sz w:val="20"/>
        </w:rPr>
        <w:t> </w:t>
      </w:r>
      <w:r>
        <w:rPr>
          <w:sz w:val="20"/>
        </w:rPr>
        <w:t>at</w:t>
      </w:r>
      <w:r>
        <w:rPr>
          <w:spacing w:val="5"/>
          <w:sz w:val="20"/>
        </w:rPr>
        <w:t> </w:t>
      </w:r>
      <w:r>
        <w:rPr>
          <w:sz w:val="20"/>
        </w:rPr>
        <w:t>[171];</w:t>
      </w:r>
      <w:r>
        <w:rPr>
          <w:spacing w:val="5"/>
          <w:sz w:val="20"/>
        </w:rPr>
        <w:t> </w:t>
      </w:r>
      <w:r>
        <w:rPr>
          <w:sz w:val="20"/>
        </w:rPr>
        <w:t>reversed</w:t>
      </w:r>
      <w:r>
        <w:rPr>
          <w:spacing w:val="5"/>
          <w:sz w:val="20"/>
        </w:rPr>
        <w:t> </w:t>
      </w:r>
      <w:r>
        <w:rPr>
          <w:sz w:val="20"/>
        </w:rPr>
        <w:t>on</w:t>
      </w:r>
      <w:r>
        <w:rPr>
          <w:spacing w:val="5"/>
          <w:sz w:val="20"/>
        </w:rPr>
        <w:t> </w:t>
      </w:r>
      <w:r>
        <w:rPr>
          <w:sz w:val="20"/>
        </w:rPr>
        <w:t>other</w:t>
      </w:r>
      <w:r>
        <w:rPr>
          <w:spacing w:val="5"/>
          <w:sz w:val="20"/>
        </w:rPr>
        <w:t> </w:t>
      </w:r>
      <w:r>
        <w:rPr>
          <w:sz w:val="20"/>
        </w:rPr>
        <w:t>grounds</w:t>
      </w:r>
      <w:r>
        <w:rPr>
          <w:spacing w:val="4"/>
          <w:sz w:val="20"/>
        </w:rPr>
        <w:t> </w:t>
      </w:r>
      <w:r>
        <w:rPr>
          <w:rFonts w:ascii="Arial"/>
          <w:i/>
          <w:spacing w:val="-2"/>
          <w:sz w:val="20"/>
        </w:rPr>
        <w:t>[2001]</w:t>
      </w:r>
    </w:p>
    <w:p>
      <w:pPr>
        <w:spacing w:line="227" w:lineRule="exact" w:before="0"/>
        <w:ind w:left="705" w:right="0" w:firstLine="0"/>
        <w:jc w:val="left"/>
        <w:rPr>
          <w:sz w:val="20"/>
        </w:rPr>
      </w:pPr>
      <w:r>
        <w:rPr>
          <w:rFonts w:ascii="Arial"/>
          <w:i/>
          <w:sz w:val="20"/>
        </w:rPr>
        <w:t>EWCA Civ 1089, The Times, August 13, 2001, (2001) 98(33) L.S.G. </w:t>
      </w:r>
      <w:r>
        <w:rPr>
          <w:rFonts w:ascii="Arial"/>
          <w:i/>
          <w:spacing w:val="-5"/>
          <w:sz w:val="20"/>
        </w:rPr>
        <w:t>30</w:t>
      </w:r>
      <w:r>
        <w:rPr>
          <w:spacing w:val="-5"/>
          <w:sz w:val="20"/>
        </w:rPr>
        <w:t>.</w:t>
      </w:r>
    </w:p>
    <w:p>
      <w:pPr>
        <w:pStyle w:val="BodyText"/>
        <w:spacing w:before="5"/>
      </w:pPr>
    </w:p>
    <w:p>
      <w:pPr>
        <w:pStyle w:val="BodyText"/>
        <w:tabs>
          <w:tab w:pos="705" w:val="left" w:leader="none"/>
        </w:tabs>
        <w:ind w:left="165"/>
      </w:pPr>
      <w:bookmarkStart w:name="_bookmark1278" w:id="1280"/>
      <w:bookmarkEnd w:id="1280"/>
      <w:r>
        <w:rPr/>
      </w:r>
      <w:hyperlink w:history="true" w:anchor="_bookmark1214">
        <w:r>
          <w:rPr>
            <w:color w:val="005DA1"/>
            <w:spacing w:val="-4"/>
            <w:position w:val="5"/>
            <w:sz w:val="14"/>
            <w:u w:val="single" w:color="005DA1"/>
          </w:rPr>
          <w:t>674</w:t>
        </w:r>
      </w:hyperlink>
      <w:r>
        <w:rPr>
          <w:spacing w:val="-4"/>
          <w:position w:val="5"/>
          <w:sz w:val="14"/>
        </w:rPr>
        <w:t>.</w:t>
      </w:r>
      <w:r>
        <w:rPr>
          <w:position w:val="5"/>
          <w:sz w:val="14"/>
        </w:rPr>
        <w:tab/>
      </w:r>
      <w:r>
        <w:rPr/>
        <w:t>Human Rights Act 1998 s.6(3)(a) and see below, para.1-</w:t>
      </w:r>
      <w:r>
        <w:rPr>
          <w:spacing w:val="-4"/>
        </w:rPr>
        <w:t>082.</w:t>
      </w:r>
    </w:p>
    <w:p>
      <w:pPr>
        <w:pStyle w:val="BodyText"/>
        <w:spacing w:before="5"/>
      </w:pPr>
    </w:p>
    <w:p>
      <w:pPr>
        <w:pStyle w:val="BodyText"/>
        <w:tabs>
          <w:tab w:pos="705" w:val="left" w:leader="none"/>
        </w:tabs>
        <w:ind w:left="165"/>
      </w:pPr>
      <w:bookmarkStart w:name="_bookmark1279" w:id="1281"/>
      <w:bookmarkEnd w:id="1281"/>
      <w:r>
        <w:rPr/>
      </w:r>
      <w:hyperlink w:history="true" w:anchor="_bookmark1215">
        <w:r>
          <w:rPr>
            <w:color w:val="005DA1"/>
            <w:spacing w:val="-4"/>
            <w:position w:val="5"/>
            <w:sz w:val="14"/>
            <w:u w:val="single" w:color="005DA1"/>
          </w:rPr>
          <w:t>675</w:t>
        </w:r>
      </w:hyperlink>
      <w:r>
        <w:rPr>
          <w:spacing w:val="-4"/>
          <w:position w:val="5"/>
          <w:sz w:val="14"/>
        </w:rPr>
        <w:t>.</w:t>
      </w:r>
      <w:r>
        <w:rPr>
          <w:position w:val="5"/>
          <w:sz w:val="14"/>
        </w:rPr>
        <w:tab/>
      </w:r>
      <w:r>
        <w:rPr/>
        <w:t>See</w:t>
      </w:r>
      <w:r>
        <w:rPr>
          <w:spacing w:val="-2"/>
        </w:rPr>
        <w:t> </w:t>
      </w:r>
      <w:r>
        <w:rPr/>
        <w:t>above, para.1-</w:t>
      </w:r>
      <w:r>
        <w:rPr>
          <w:spacing w:val="-4"/>
        </w:rPr>
        <w:t>065.</w:t>
      </w:r>
    </w:p>
    <w:p>
      <w:pPr>
        <w:pStyle w:val="BodyText"/>
        <w:spacing w:before="5"/>
      </w:pPr>
    </w:p>
    <w:p>
      <w:pPr>
        <w:pStyle w:val="BodyText"/>
        <w:tabs>
          <w:tab w:pos="705" w:val="left" w:leader="none"/>
        </w:tabs>
        <w:ind w:left="165"/>
      </w:pPr>
      <w:bookmarkStart w:name="_bookmark1280" w:id="1282"/>
      <w:bookmarkEnd w:id="1282"/>
      <w:r>
        <w:rPr/>
      </w:r>
      <w:hyperlink w:history="true" w:anchor="_bookmark1216">
        <w:r>
          <w:rPr>
            <w:color w:val="005DA1"/>
            <w:spacing w:val="-4"/>
            <w:position w:val="5"/>
            <w:sz w:val="14"/>
            <w:u w:val="single" w:color="005DA1"/>
          </w:rPr>
          <w:t>676</w:t>
        </w:r>
      </w:hyperlink>
      <w:r>
        <w:rPr>
          <w:spacing w:val="-4"/>
          <w:position w:val="5"/>
          <w:sz w:val="14"/>
        </w:rPr>
        <w:t>.</w:t>
      </w:r>
      <w:r>
        <w:rPr>
          <w:position w:val="5"/>
          <w:sz w:val="14"/>
        </w:rPr>
        <w:tab/>
      </w:r>
      <w:r>
        <w:rPr/>
        <w:t>See above, paras 1-073—1-</w:t>
      </w:r>
      <w:r>
        <w:rPr>
          <w:spacing w:val="-4"/>
        </w:rPr>
        <w:t>075.</w:t>
      </w:r>
    </w:p>
    <w:p>
      <w:pPr>
        <w:pStyle w:val="BodyText"/>
        <w:spacing w:before="5"/>
      </w:pPr>
    </w:p>
    <w:p>
      <w:pPr>
        <w:pStyle w:val="BodyText"/>
        <w:tabs>
          <w:tab w:pos="705" w:val="left" w:leader="none"/>
        </w:tabs>
        <w:ind w:left="165"/>
      </w:pPr>
      <w:bookmarkStart w:name="_bookmark1281" w:id="1283"/>
      <w:bookmarkEnd w:id="1283"/>
      <w:r>
        <w:rPr/>
      </w:r>
      <w:hyperlink w:history="true" w:anchor="_bookmark1217">
        <w:r>
          <w:rPr>
            <w:color w:val="005DA1"/>
            <w:spacing w:val="-4"/>
            <w:position w:val="5"/>
            <w:sz w:val="14"/>
            <w:u w:val="single" w:color="005DA1"/>
          </w:rPr>
          <w:t>677</w:t>
        </w:r>
      </w:hyperlink>
      <w:r>
        <w:rPr>
          <w:spacing w:val="-4"/>
          <w:position w:val="5"/>
          <w:sz w:val="14"/>
        </w:rPr>
        <w:t>.</w:t>
      </w:r>
      <w:r>
        <w:rPr>
          <w:position w:val="5"/>
          <w:sz w:val="14"/>
        </w:rPr>
        <w:tab/>
      </w:r>
      <w:r>
        <w:rPr/>
        <w:t>On the maxim see below para.13-</w:t>
      </w:r>
      <w:r>
        <w:rPr>
          <w:spacing w:val="-4"/>
        </w:rPr>
        <w:t>084.</w:t>
      </w:r>
    </w:p>
    <w:p>
      <w:pPr>
        <w:pStyle w:val="BodyText"/>
        <w:spacing w:before="9"/>
      </w:pPr>
    </w:p>
    <w:p>
      <w:pPr>
        <w:spacing w:line="235" w:lineRule="auto" w:before="0"/>
        <w:ind w:left="705" w:right="167" w:hanging="541"/>
        <w:jc w:val="both"/>
        <w:rPr>
          <w:sz w:val="20"/>
        </w:rPr>
      </w:pPr>
      <w:bookmarkStart w:name="_bookmark1282" w:id="1284"/>
      <w:bookmarkEnd w:id="1284"/>
      <w:r>
        <w:rPr/>
      </w:r>
      <w:hyperlink w:history="true" w:anchor="_bookmark1218">
        <w:r>
          <w:rPr>
            <w:color w:val="005DA1"/>
            <w:position w:val="5"/>
            <w:sz w:val="14"/>
            <w:u w:val="single" w:color="005DA1"/>
          </w:rPr>
          <w:t>678</w:t>
        </w:r>
      </w:hyperlink>
      <w:r>
        <w:rPr>
          <w:position w:val="5"/>
          <w:sz w:val="14"/>
        </w:rPr>
        <w:t>.</w:t>
      </w:r>
      <w:r>
        <w:rPr>
          <w:spacing w:val="80"/>
          <w:position w:val="5"/>
          <w:sz w:val="14"/>
        </w:rPr>
        <w:t>  </w:t>
      </w:r>
      <w:r>
        <w:rPr>
          <w:sz w:val="20"/>
        </w:rPr>
        <w:t>cf. </w:t>
      </w:r>
      <w:r>
        <w:rPr>
          <w:rFonts w:ascii="Arial" w:hAnsi="Arial"/>
          <w:i/>
          <w:sz w:val="20"/>
        </w:rPr>
        <w:t>Lee v Leeds City Council [2002] EWCA Civ 6, [2002] 1 W.L.R. 1488 </w:t>
      </w:r>
      <w:r>
        <w:rPr>
          <w:sz w:val="20"/>
        </w:rPr>
        <w:t>at [62]–[63] (no implied term in public sector residential tenancy inconsistent with limited express terms). On </w:t>
      </w:r>
      <w:r>
        <w:rPr>
          <w:sz w:val="20"/>
        </w:rPr>
        <w:t>the</w:t>
      </w:r>
      <w:r>
        <w:rPr>
          <w:spacing w:val="40"/>
          <w:sz w:val="20"/>
        </w:rPr>
        <w:t> </w:t>
      </w:r>
      <w:r>
        <w:rPr>
          <w:sz w:val="20"/>
        </w:rPr>
        <w:t>general law as to the implication of terms, see below, Ch.14.</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4. - The Human Rights Act 1998 and </w:t>
      </w:r>
      <w:r>
        <w:rPr>
          <w:rFonts w:ascii="Arial"/>
          <w:b/>
          <w:spacing w:val="-2"/>
          <w:sz w:val="24"/>
        </w:rPr>
        <w:t>Contracts</w:t>
      </w:r>
    </w:p>
    <w:p>
      <w:pPr>
        <w:spacing w:before="194"/>
        <w:ind w:left="1951" w:right="0" w:firstLine="0"/>
        <w:jc w:val="left"/>
        <w:rPr>
          <w:rFonts w:ascii="Arial"/>
          <w:b/>
          <w:sz w:val="24"/>
        </w:rPr>
      </w:pPr>
      <w:r>
        <w:rPr>
          <w:rFonts w:ascii="Arial"/>
          <w:b/>
          <w:sz w:val="24"/>
        </w:rPr>
        <w:t>(b) - Contracts made on or after October 2, </w:t>
      </w:r>
      <w:r>
        <w:rPr>
          <w:rFonts w:ascii="Arial"/>
          <w:b/>
          <w:spacing w:val="-4"/>
          <w:sz w:val="24"/>
        </w:rPr>
        <w:t>2000</w:t>
      </w:r>
    </w:p>
    <w:p>
      <w:pPr>
        <w:pStyle w:val="ListParagraph"/>
        <w:numPr>
          <w:ilvl w:val="0"/>
          <w:numId w:val="8"/>
        </w:numPr>
        <w:tabs>
          <w:tab w:pos="997" w:val="left" w:leader="none"/>
        </w:tabs>
        <w:spacing w:line="240" w:lineRule="auto" w:before="194" w:after="0"/>
        <w:ind w:left="997" w:right="0" w:hanging="426"/>
        <w:jc w:val="left"/>
        <w:rPr>
          <w:b/>
          <w:sz w:val="24"/>
        </w:rPr>
      </w:pPr>
      <w:r>
        <w:rPr>
          <w:b/>
          <w:sz w:val="24"/>
        </w:rPr>
        <w:t>- The Duty of Courts as “Public Authorities” in Relation to </w:t>
      </w:r>
      <w:r>
        <w:rPr>
          <w:b/>
          <w:spacing w:val="-2"/>
          <w:sz w:val="24"/>
        </w:rPr>
        <w:t>Contracts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Introduction</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082</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way in which the terms of s.6 of the 1998 Act are drafted demonstrate that actions by </w:t>
      </w:r>
      <w:r>
        <w:rPr/>
        <w:t>public </w:t>
      </w:r>
      <w:bookmarkStart w:name="_bookmark1283" w:id="1285"/>
      <w:bookmarkEnd w:id="1285"/>
      <w:r>
        <w:rPr/>
        <w:t>authorities</w:t>
      </w:r>
      <w:r>
        <w:rPr>
          <w:spacing w:val="-2"/>
        </w:rPr>
        <w:t> </w:t>
      </w:r>
      <w:r>
        <w:rPr/>
        <w:t>are</w:t>
      </w:r>
      <w:r>
        <w:rPr>
          <w:spacing w:val="-2"/>
        </w:rPr>
        <w:t> </w:t>
      </w:r>
      <w:r>
        <w:rPr/>
        <w:t>the</w:t>
      </w:r>
      <w:r>
        <w:rPr>
          <w:spacing w:val="-2"/>
        </w:rPr>
        <w:t> </w:t>
      </w:r>
      <w:r>
        <w:rPr/>
        <w:t>primary</w:t>
      </w:r>
      <w:r>
        <w:rPr>
          <w:spacing w:val="-2"/>
        </w:rPr>
        <w:t> </w:t>
      </w:r>
      <w:r>
        <w:rPr/>
        <w:t>focus</w:t>
      </w:r>
      <w:r>
        <w:rPr>
          <w:spacing w:val="-2"/>
        </w:rPr>
        <w:t> </w:t>
      </w:r>
      <w:r>
        <w:rPr/>
        <w:t>of</w:t>
      </w:r>
      <w:r>
        <w:rPr>
          <w:spacing w:val="-2"/>
        </w:rPr>
        <w:t> </w:t>
      </w:r>
      <w:r>
        <w:rPr/>
        <w:t>its</w:t>
      </w:r>
      <w:r>
        <w:rPr>
          <w:spacing w:val="-2"/>
        </w:rPr>
        <w:t> </w:t>
      </w:r>
      <w:r>
        <w:rPr/>
        <w:t>protection</w:t>
      </w:r>
      <w:r>
        <w:rPr>
          <w:spacing w:val="-2"/>
        </w:rPr>
        <w:t> </w:t>
      </w:r>
      <w:r>
        <w:rPr/>
        <w:t>of</w:t>
      </w:r>
      <w:r>
        <w:rPr>
          <w:spacing w:val="-2"/>
        </w:rPr>
        <w:t> </w:t>
      </w:r>
      <w:r>
        <w:rPr/>
        <w:t>Convention</w:t>
      </w:r>
      <w:r>
        <w:rPr>
          <w:spacing w:val="-2"/>
        </w:rPr>
        <w:t> </w:t>
      </w:r>
      <w:r>
        <w:rPr/>
        <w:t>rights.</w:t>
      </w:r>
      <w:r>
        <w:rPr>
          <w:spacing w:val="-2"/>
        </w:rPr>
        <w:t> </w:t>
      </w:r>
      <w:r>
        <w:rPr/>
        <w:t>However,</w:t>
      </w:r>
      <w:r>
        <w:rPr>
          <w:spacing w:val="-2"/>
        </w:rPr>
        <w:t> </w:t>
      </w:r>
      <w:r>
        <w:rPr/>
        <w:t>“courts</w:t>
      </w:r>
      <w:r>
        <w:rPr>
          <w:spacing w:val="-2"/>
        </w:rPr>
        <w:t> </w:t>
      </w:r>
      <w:r>
        <w:rPr/>
        <w:t>and</w:t>
      </w:r>
      <w:r>
        <w:rPr>
          <w:spacing w:val="-2"/>
        </w:rPr>
        <w:t> </w:t>
      </w:r>
      <w:r>
        <w:rPr/>
        <w:t>tribunals” are specifically included as “public authorities” for these purposes </w:t>
      </w:r>
      <w:r>
        <w:rPr>
          <w:color w:val="005DA1"/>
          <w:u w:val="single" w:color="005DA1"/>
          <w:vertAlign w:val="superscript"/>
        </w:rPr>
        <w:t>679</w:t>
      </w:r>
      <w:r>
        <w:rPr>
          <w:color w:val="005DA1"/>
          <w:vertAlign w:val="baseline"/>
        </w:rPr>
        <w:t> </w:t>
      </w:r>
      <w:r>
        <w:rPr>
          <w:vertAlign w:val="baseline"/>
        </w:rPr>
        <w:t>and as a result a number of </w:t>
      </w:r>
      <w:bookmarkStart w:name="_bookmark1284" w:id="1286"/>
      <w:bookmarkEnd w:id="1286"/>
      <w:r>
        <w:rPr>
          <w:vertAlign w:val="baseline"/>
        </w:rPr>
        <w:t>questions</w:t>
      </w:r>
      <w:r>
        <w:rPr>
          <w:spacing w:val="30"/>
          <w:vertAlign w:val="baseline"/>
        </w:rPr>
        <w:t> </w:t>
      </w:r>
      <w:r>
        <w:rPr>
          <w:vertAlign w:val="baseline"/>
        </w:rPr>
        <w:t>arise</w:t>
      </w:r>
      <w:r>
        <w:rPr>
          <w:spacing w:val="30"/>
          <w:vertAlign w:val="baseline"/>
        </w:rPr>
        <w:t> </w:t>
      </w:r>
      <w:r>
        <w:rPr>
          <w:vertAlign w:val="baseline"/>
        </w:rPr>
        <w:t>as</w:t>
      </w:r>
      <w:r>
        <w:rPr>
          <w:spacing w:val="30"/>
          <w:vertAlign w:val="baseline"/>
        </w:rPr>
        <w:t> </w:t>
      </w:r>
      <w:r>
        <w:rPr>
          <w:vertAlign w:val="baseline"/>
        </w:rPr>
        <w:t>to</w:t>
      </w:r>
      <w:r>
        <w:rPr>
          <w:spacing w:val="30"/>
          <w:vertAlign w:val="baseline"/>
        </w:rPr>
        <w:t> </w:t>
      </w:r>
      <w:r>
        <w:rPr>
          <w:vertAlign w:val="baseline"/>
        </w:rPr>
        <w:t>how</w:t>
      </w:r>
      <w:r>
        <w:rPr>
          <w:spacing w:val="30"/>
          <w:vertAlign w:val="baseline"/>
        </w:rPr>
        <w:t> </w:t>
      </w:r>
      <w:r>
        <w:rPr>
          <w:vertAlign w:val="baseline"/>
        </w:rPr>
        <w:t>their</w:t>
      </w:r>
      <w:r>
        <w:rPr>
          <w:spacing w:val="30"/>
          <w:vertAlign w:val="baseline"/>
        </w:rPr>
        <w:t> </w:t>
      </w:r>
      <w:r>
        <w:rPr>
          <w:vertAlign w:val="baseline"/>
        </w:rPr>
        <w:t>duty</w:t>
      </w:r>
      <w:r>
        <w:rPr>
          <w:spacing w:val="30"/>
          <w:vertAlign w:val="baseline"/>
        </w:rPr>
        <w:t> </w:t>
      </w:r>
      <w:r>
        <w:rPr>
          <w:vertAlign w:val="baseline"/>
        </w:rPr>
        <w:t>as</w:t>
      </w:r>
      <w:r>
        <w:rPr>
          <w:spacing w:val="30"/>
          <w:vertAlign w:val="baseline"/>
        </w:rPr>
        <w:t> </w:t>
      </w:r>
      <w:r>
        <w:rPr>
          <w:vertAlign w:val="baseline"/>
        </w:rPr>
        <w:t>“public</w:t>
      </w:r>
      <w:r>
        <w:rPr>
          <w:spacing w:val="30"/>
          <w:vertAlign w:val="baseline"/>
        </w:rPr>
        <w:t> </w:t>
      </w:r>
      <w:r>
        <w:rPr>
          <w:vertAlign w:val="baseline"/>
        </w:rPr>
        <w:t>authorities”</w:t>
      </w:r>
      <w:r>
        <w:rPr>
          <w:spacing w:val="30"/>
          <w:vertAlign w:val="baseline"/>
        </w:rPr>
        <w:t> </w:t>
      </w:r>
      <w:r>
        <w:rPr>
          <w:vertAlign w:val="baseline"/>
        </w:rPr>
        <w:t>may</w:t>
      </w:r>
      <w:r>
        <w:rPr>
          <w:spacing w:val="30"/>
          <w:vertAlign w:val="baseline"/>
        </w:rPr>
        <w:t> </w:t>
      </w:r>
      <w:r>
        <w:rPr>
          <w:vertAlign w:val="baseline"/>
        </w:rPr>
        <w:t>affect</w:t>
      </w:r>
      <w:r>
        <w:rPr>
          <w:spacing w:val="30"/>
          <w:vertAlign w:val="baseline"/>
        </w:rPr>
        <w:t> </w:t>
      </w:r>
      <w:r>
        <w:rPr>
          <w:vertAlign w:val="baseline"/>
        </w:rPr>
        <w:t>their</w:t>
      </w:r>
      <w:r>
        <w:rPr>
          <w:spacing w:val="30"/>
          <w:vertAlign w:val="baseline"/>
        </w:rPr>
        <w:t> </w:t>
      </w:r>
      <w:r>
        <w:rPr>
          <w:vertAlign w:val="baseline"/>
        </w:rPr>
        <w:t>functions</w:t>
      </w:r>
      <w:r>
        <w:rPr>
          <w:spacing w:val="30"/>
          <w:vertAlign w:val="baseline"/>
        </w:rPr>
        <w:t> </w:t>
      </w:r>
      <w:r>
        <w:rPr>
          <w:vertAlign w:val="baseline"/>
        </w:rPr>
        <w:t>in</w:t>
      </w:r>
      <w:r>
        <w:rPr>
          <w:spacing w:val="30"/>
          <w:vertAlign w:val="baseline"/>
        </w:rPr>
        <w:t> </w:t>
      </w:r>
      <w:r>
        <w:rPr>
          <w:vertAlign w:val="baseline"/>
        </w:rPr>
        <w:t>relation</w:t>
      </w:r>
      <w:r>
        <w:rPr>
          <w:spacing w:val="30"/>
          <w:vertAlign w:val="baseline"/>
        </w:rPr>
        <w:t> </w:t>
      </w:r>
      <w:r>
        <w:rPr>
          <w:spacing w:val="-5"/>
          <w:vertAlign w:val="baseline"/>
        </w:rPr>
        <w:t>to</w:t>
      </w:r>
    </w:p>
    <w:p>
      <w:pPr>
        <w:pStyle w:val="BodyText"/>
        <w:spacing w:line="235" w:lineRule="auto" w:before="119"/>
        <w:ind w:left="165" w:right="167"/>
        <w:jc w:val="both"/>
      </w:pPr>
      <w:r>
        <w:rPr/>
        <w:t>disputes concerning contracts where neither party is itself a “public authority” </w:t>
      </w:r>
      <w:r>
        <w:rPr>
          <w:color w:val="005DA1"/>
          <w:u w:val="single" w:color="005DA1"/>
          <w:vertAlign w:val="superscript"/>
        </w:rPr>
        <w:t>680</w:t>
      </w:r>
      <w:r>
        <w:rPr>
          <w:color w:val="005DA1"/>
          <w:spacing w:val="80"/>
          <w:vertAlign w:val="baseline"/>
        </w:rPr>
        <w:t> </w:t>
      </w:r>
      <w:r>
        <w:rPr>
          <w:color w:val="005DA1"/>
          <w:spacing w:val="-28"/>
          <w:position w:val="-2"/>
          <w:vertAlign w:val="baseline"/>
        </w:rPr>
        <w:drawing>
          <wp:inline distT="0" distB="0" distL="0" distR="0">
            <wp:extent cx="107988" cy="107988"/>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8"/>
          <w:position w:val="-2"/>
          <w:vertAlign w:val="baseline"/>
        </w:rPr>
      </w:r>
      <w:r>
        <w:rPr>
          <w:vertAlign w:val="baseline"/>
        </w:rPr>
        <w:t>. A very </w:t>
      </w:r>
      <w:r>
        <w:rPr>
          <w:vertAlign w:val="baseline"/>
        </w:rPr>
        <w:t>clear application of this duty is found in relation to issues arising from the courts’ supervision and management of the civil process, applicable to proceedings arising from contracts as to other civil proceedings. However, other questions arising from the application of s.6 in this way are less </w:t>
      </w:r>
      <w:r>
        <w:rPr>
          <w:spacing w:val="-2"/>
          <w:vertAlign w:val="baseline"/>
        </w:rPr>
        <w:t>straightforward.</w:t>
      </w:r>
    </w:p>
    <w:p>
      <w:pPr>
        <w:pStyle w:val="BodyText"/>
      </w:pPr>
    </w:p>
    <w:p>
      <w:pPr>
        <w:pStyle w:val="BodyText"/>
        <w:spacing w:before="36"/>
      </w:pPr>
    </w:p>
    <w:p>
      <w:pPr>
        <w:spacing w:before="1"/>
        <w:ind w:left="165" w:right="0" w:firstLine="0"/>
        <w:jc w:val="both"/>
        <w:rPr>
          <w:rFonts w:ascii="Arial"/>
          <w:b/>
          <w:sz w:val="18"/>
        </w:rPr>
      </w:pPr>
      <w:r>
        <w:rPr>
          <w:rFonts w:ascii="Arial"/>
          <w:b/>
          <w:sz w:val="18"/>
        </w:rPr>
        <w:t>The exercise of judicial </w:t>
      </w:r>
      <w:r>
        <w:rPr>
          <w:rFonts w:ascii="Arial"/>
          <w:b/>
          <w:spacing w:val="-2"/>
          <w:sz w:val="18"/>
        </w:rPr>
        <w:t>discretions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083</w:t>
      </w:r>
    </w:p>
    <w:p>
      <w:pPr>
        <w:pStyle w:val="BodyText"/>
        <w:spacing w:line="235" w:lineRule="auto" w:before="202"/>
        <w:ind w:left="164" w:right="167"/>
        <w:jc w:val="both"/>
      </w:pPr>
      <w:r>
        <w:rPr/>
        <w:t>Where the law in certain circumstances grants a true discretion to a court then its exercise of </w:t>
      </w:r>
      <w:r>
        <w:rPr/>
        <w:t>that discretion can be seen as an “act” so as to engage s.6 of the 1998 Act, with the result that the court must exercise the discretion in a way which is compatible with Convention rights. Both statute and common law confer discretions on courts in a number of situations affecting the relationship between </w:t>
      </w:r>
      <w:bookmarkStart w:name="_bookmark1285" w:id="1287"/>
      <w:bookmarkEnd w:id="1287"/>
      <w:r>
        <w:rPr/>
        <w:t>parties</w:t>
      </w:r>
      <w:r>
        <w:rPr/>
        <w:t> to a contract. Examples of such statutory discretions may be found in the power to award </w:t>
      </w:r>
      <w:bookmarkStart w:name="_bookmark1286" w:id="1288"/>
      <w:bookmarkEnd w:id="1288"/>
      <w:r>
        <w:rPr/>
        <w:t>damages</w:t>
      </w:r>
      <w:r>
        <w:rPr/>
        <w:t> in lieu of rescission for misrepresentation </w:t>
      </w:r>
      <w:r>
        <w:rPr>
          <w:color w:val="005DA1"/>
          <w:u w:val="single" w:color="005DA1"/>
          <w:vertAlign w:val="superscript"/>
        </w:rPr>
        <w:t>681</w:t>
      </w:r>
      <w:r>
        <w:rPr>
          <w:color w:val="005DA1"/>
          <w:vertAlign w:val="baseline"/>
        </w:rPr>
        <w:t> </w:t>
      </w:r>
      <w:r>
        <w:rPr>
          <w:vertAlign w:val="baseline"/>
        </w:rPr>
        <w:t>or the determination of the “just sum” for the purposes of relief on frustration. </w:t>
      </w:r>
      <w:r>
        <w:rPr>
          <w:color w:val="005DA1"/>
          <w:u w:val="single" w:color="005DA1"/>
          <w:vertAlign w:val="superscript"/>
        </w:rPr>
        <w:t>682</w:t>
      </w:r>
      <w:r>
        <w:rPr>
          <w:color w:val="005DA1"/>
          <w:vertAlign w:val="baseline"/>
        </w:rPr>
        <w:t> </w:t>
      </w:r>
      <w:r>
        <w:rPr>
          <w:vertAlign w:val="baseline"/>
        </w:rPr>
        <w:t>Rather more likely to involve the consideration of Convention </w:t>
      </w:r>
      <w:bookmarkStart w:name="_bookmark1287" w:id="1289"/>
      <w:bookmarkEnd w:id="1289"/>
      <w:r>
        <w:rPr>
          <w:vertAlign w:val="baseline"/>
        </w:rPr>
        <w:t>rights,</w:t>
      </w:r>
      <w:r>
        <w:rPr>
          <w:vertAlign w:val="baseline"/>
        </w:rPr>
        <w:t> though, are the discretions enjoyed by courts in relation to the equitable remedies of specific performance and injunction. </w:t>
      </w:r>
      <w:r>
        <w:rPr>
          <w:color w:val="005DA1"/>
          <w:u w:val="single" w:color="005DA1"/>
          <w:vertAlign w:val="superscript"/>
        </w:rPr>
        <w:t>683</w:t>
      </w:r>
    </w:p>
    <w:p>
      <w:pPr>
        <w:pStyle w:val="BodyText"/>
      </w:pPr>
    </w:p>
    <w:p>
      <w:pPr>
        <w:pStyle w:val="BodyText"/>
        <w:spacing w:before="36"/>
      </w:pPr>
    </w:p>
    <w:p>
      <w:pPr>
        <w:spacing w:before="0"/>
        <w:ind w:left="164" w:right="0" w:firstLine="0"/>
        <w:jc w:val="left"/>
        <w:rPr>
          <w:rFonts w:ascii="Arial"/>
          <w:b/>
          <w:sz w:val="18"/>
        </w:rPr>
      </w:pPr>
      <w:r>
        <w:rPr>
          <w:rFonts w:ascii="Arial"/>
          <w:b/>
          <w:sz w:val="18"/>
        </w:rPr>
        <w:t>The development of the common </w:t>
      </w:r>
      <w:r>
        <w:rPr>
          <w:rFonts w:ascii="Arial"/>
          <w:b/>
          <w:spacing w:val="-5"/>
          <w:sz w:val="18"/>
        </w:rPr>
        <w:t>law</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084</w:t>
      </w:r>
    </w:p>
    <w:p>
      <w:pPr>
        <w:pStyle w:val="BodyText"/>
        <w:spacing w:line="235" w:lineRule="auto" w:before="203"/>
        <w:ind w:left="164" w:right="167"/>
        <w:jc w:val="both"/>
      </w:pPr>
      <w:r>
        <w:rPr/>
        <w:t>The question has arisen whether the courts as “public authorities” have a duty to protect Convention </w:t>
      </w:r>
      <w:bookmarkStart w:name="_bookmark1288" w:id="1290"/>
      <w:bookmarkEnd w:id="1290"/>
      <w:r>
        <w:rPr/>
        <w:t>rights</w:t>
      </w:r>
      <w:r>
        <w:rPr/>
        <w:t> in their work in the development of the substantive common law as between two persons</w:t>
      </w:r>
      <w:r>
        <w:rPr>
          <w:spacing w:val="40"/>
        </w:rPr>
        <w:t> </w:t>
      </w:r>
      <w:r>
        <w:rPr/>
        <w:t>neither of whom are themselves “public authorities” within the meaning of the 1998 Act. </w:t>
      </w:r>
      <w:r>
        <w:rPr>
          <w:color w:val="005DA1"/>
          <w:u w:val="single" w:color="005DA1"/>
          <w:vertAlign w:val="superscript"/>
        </w:rPr>
        <w:t>684</w:t>
      </w:r>
      <w:r>
        <w:rPr>
          <w:color w:val="005DA1"/>
          <w:vertAlign w:val="baseline"/>
        </w:rPr>
        <w:t> </w:t>
      </w:r>
      <w:r>
        <w:rPr>
          <w:vertAlign w:val="baseline"/>
        </w:rPr>
        <w:t>This</w:t>
      </w:r>
      <w:r>
        <w:rPr>
          <w:spacing w:val="40"/>
          <w:vertAlign w:val="baseline"/>
        </w:rPr>
        <w:t> </w:t>
      </w:r>
      <w:bookmarkStart w:name="_bookmark1289" w:id="1291"/>
      <w:bookmarkEnd w:id="1291"/>
      <w:r>
        <w:rPr>
          <w:vertAlign w:val="baseline"/>
        </w:rPr>
        <w:t>“highly</w:t>
      </w:r>
      <w:r>
        <w:rPr>
          <w:vertAlign w:val="baseline"/>
        </w:rPr>
        <w:t> controversial topic” is often referred to as the possible “indirect horizontal effect” of s.6 of the 1998 Act. </w:t>
      </w:r>
      <w:r>
        <w:rPr>
          <w:color w:val="005DA1"/>
          <w:u w:val="single" w:color="005DA1"/>
          <w:vertAlign w:val="superscript"/>
        </w:rPr>
        <w:t>685</w:t>
      </w:r>
      <w:r>
        <w:rPr>
          <w:color w:val="005DA1"/>
          <w:vertAlign w:val="baseline"/>
        </w:rPr>
        <w:t> </w:t>
      </w:r>
      <w:r>
        <w:rPr>
          <w:vertAlign w:val="baseline"/>
        </w:rPr>
        <w:t>An important context in which this question has arisen has been the development of </w:t>
      </w:r>
      <w:r>
        <w:rPr>
          <w:vertAlign w:val="baseline"/>
        </w:rPr>
        <w:t>the law</w:t>
      </w:r>
      <w:r>
        <w:rPr>
          <w:spacing w:val="15"/>
          <w:vertAlign w:val="baseline"/>
        </w:rPr>
        <w:t> </w:t>
      </w:r>
      <w:r>
        <w:rPr>
          <w:vertAlign w:val="baseline"/>
        </w:rPr>
        <w:t>of</w:t>
      </w:r>
      <w:r>
        <w:rPr>
          <w:spacing w:val="15"/>
          <w:vertAlign w:val="baseline"/>
        </w:rPr>
        <w:t> </w:t>
      </w:r>
      <w:r>
        <w:rPr>
          <w:vertAlign w:val="baseline"/>
        </w:rPr>
        <w:t>breach</w:t>
      </w:r>
      <w:r>
        <w:rPr>
          <w:spacing w:val="15"/>
          <w:vertAlign w:val="baseline"/>
        </w:rPr>
        <w:t> </w:t>
      </w:r>
      <w:r>
        <w:rPr>
          <w:vertAlign w:val="baseline"/>
        </w:rPr>
        <w:t>of</w:t>
      </w:r>
      <w:r>
        <w:rPr>
          <w:spacing w:val="15"/>
          <w:vertAlign w:val="baseline"/>
        </w:rPr>
        <w:t> </w:t>
      </w:r>
      <w:r>
        <w:rPr>
          <w:vertAlign w:val="baseline"/>
        </w:rPr>
        <w:t>confidence</w:t>
      </w:r>
      <w:r>
        <w:rPr>
          <w:spacing w:val="15"/>
          <w:vertAlign w:val="baseline"/>
        </w:rPr>
        <w:t> </w:t>
      </w:r>
      <w:r>
        <w:rPr>
          <w:vertAlign w:val="baseline"/>
        </w:rPr>
        <w:t>so</w:t>
      </w:r>
      <w:r>
        <w:rPr>
          <w:spacing w:val="15"/>
          <w:vertAlign w:val="baseline"/>
        </w:rPr>
        <w:t> </w:t>
      </w:r>
      <w:r>
        <w:rPr>
          <w:vertAlign w:val="baseline"/>
        </w:rPr>
        <w:t>as</w:t>
      </w:r>
      <w:r>
        <w:rPr>
          <w:spacing w:val="15"/>
          <w:vertAlign w:val="baseline"/>
        </w:rPr>
        <w:t> </w:t>
      </w:r>
      <w:r>
        <w:rPr>
          <w:vertAlign w:val="baseline"/>
        </w:rPr>
        <w:t>to</w:t>
      </w:r>
      <w:r>
        <w:rPr>
          <w:spacing w:val="15"/>
          <w:vertAlign w:val="baseline"/>
        </w:rPr>
        <w:t> </w:t>
      </w:r>
      <w:r>
        <w:rPr>
          <w:vertAlign w:val="baseline"/>
        </w:rPr>
        <w:t>reflect</w:t>
      </w:r>
      <w:r>
        <w:rPr>
          <w:spacing w:val="15"/>
          <w:vertAlign w:val="baseline"/>
        </w:rPr>
        <w:t> </w:t>
      </w:r>
      <w:r>
        <w:rPr>
          <w:vertAlign w:val="baseline"/>
        </w:rPr>
        <w:t>the</w:t>
      </w:r>
      <w:r>
        <w:rPr>
          <w:spacing w:val="15"/>
          <w:vertAlign w:val="baseline"/>
        </w:rPr>
        <w:t> </w:t>
      </w:r>
      <w:r>
        <w:rPr>
          <w:vertAlign w:val="baseline"/>
        </w:rPr>
        <w:t>Convention</w:t>
      </w:r>
      <w:r>
        <w:rPr>
          <w:spacing w:val="15"/>
          <w:vertAlign w:val="baseline"/>
        </w:rPr>
        <w:t> </w:t>
      </w:r>
      <w:r>
        <w:rPr>
          <w:vertAlign w:val="baseline"/>
        </w:rPr>
        <w:t>rights</w:t>
      </w:r>
      <w:r>
        <w:rPr>
          <w:spacing w:val="15"/>
          <w:vertAlign w:val="baseline"/>
        </w:rPr>
        <w:t> </w:t>
      </w:r>
      <w:r>
        <w:rPr>
          <w:vertAlign w:val="baseline"/>
        </w:rPr>
        <w:t>to</w:t>
      </w:r>
      <w:r>
        <w:rPr>
          <w:spacing w:val="15"/>
          <w:vertAlign w:val="baseline"/>
        </w:rPr>
        <w:t> </w:t>
      </w:r>
      <w:r>
        <w:rPr>
          <w:vertAlign w:val="baseline"/>
        </w:rPr>
        <w:t>a</w:t>
      </w:r>
      <w:r>
        <w:rPr>
          <w:spacing w:val="15"/>
          <w:vertAlign w:val="baseline"/>
        </w:rPr>
        <w:t> </w:t>
      </w:r>
      <w:r>
        <w:rPr>
          <w:vertAlign w:val="baseline"/>
        </w:rPr>
        <w:t>private</w:t>
      </w:r>
      <w:r>
        <w:rPr>
          <w:spacing w:val="15"/>
          <w:vertAlign w:val="baseline"/>
        </w:rPr>
        <w:t> </w:t>
      </w:r>
      <w:r>
        <w:rPr>
          <w:vertAlign w:val="baseline"/>
        </w:rPr>
        <w:t>life</w:t>
      </w:r>
      <w:r>
        <w:rPr>
          <w:spacing w:val="15"/>
          <w:vertAlign w:val="baseline"/>
        </w:rPr>
        <w:t> </w:t>
      </w:r>
      <w:r>
        <w:rPr>
          <w:vertAlign w:val="baseline"/>
        </w:rPr>
        <w:t>and</w:t>
      </w:r>
      <w:r>
        <w:rPr>
          <w:spacing w:val="15"/>
          <w:vertAlign w:val="baseline"/>
        </w:rPr>
        <w:t> </w:t>
      </w:r>
      <w:r>
        <w:rPr>
          <w:vertAlign w:val="baseline"/>
        </w:rPr>
        <w:t>to</w:t>
      </w:r>
      <w:r>
        <w:rPr>
          <w:spacing w:val="15"/>
          <w:vertAlign w:val="baseline"/>
        </w:rPr>
        <w:t> </w:t>
      </w:r>
      <w:r>
        <w:rPr>
          <w:vertAlign w:val="baseline"/>
        </w:rPr>
        <w:t>freedom</w:t>
      </w:r>
      <w:r>
        <w:rPr>
          <w:spacing w:val="15"/>
          <w:vertAlign w:val="baseline"/>
        </w:rPr>
        <w:t> </w:t>
      </w:r>
      <w:r>
        <w:rPr>
          <w:spacing w:val="-5"/>
          <w:vertAlign w:val="baseline"/>
        </w:rPr>
        <w:t>of</w:t>
      </w:r>
    </w:p>
    <w:p>
      <w:pPr>
        <w:pStyle w:val="BodyText"/>
        <w:spacing w:after="0" w:line="235" w:lineRule="auto"/>
        <w:jc w:val="both"/>
        <w:sectPr>
          <w:headerReference w:type="default" r:id="rId28"/>
          <w:pgSz w:w="11900" w:h="16840"/>
          <w:pgMar w:header="971" w:footer="0" w:top="1300" w:bottom="280" w:left="1275" w:right="1275"/>
          <w:pgNumType w:start="1"/>
        </w:sectPr>
      </w:pPr>
    </w:p>
    <w:p>
      <w:pPr>
        <w:pStyle w:val="BodyText"/>
        <w:spacing w:line="235" w:lineRule="auto" w:before="110"/>
        <w:ind w:left="165" w:right="167"/>
        <w:jc w:val="both"/>
      </w:pPr>
      <w:bookmarkStart w:name="_bookmark1290" w:id="1292"/>
      <w:bookmarkEnd w:id="1292"/>
      <w:r>
        <w:rPr/>
      </w:r>
      <w:r>
        <w:rPr/>
        <w:t>expression,</w:t>
      </w:r>
      <w:r>
        <w:rPr>
          <w:spacing w:val="-2"/>
        </w:rPr>
        <w:t> </w:t>
      </w:r>
      <w:r>
        <w:rPr/>
        <w:t>this</w:t>
      </w:r>
      <w:r>
        <w:rPr>
          <w:spacing w:val="-2"/>
        </w:rPr>
        <w:t> </w:t>
      </w:r>
      <w:r>
        <w:rPr/>
        <w:t>having</w:t>
      </w:r>
      <w:r>
        <w:rPr>
          <w:spacing w:val="-2"/>
        </w:rPr>
        <w:t> </w:t>
      </w:r>
      <w:r>
        <w:rPr/>
        <w:t>proved</w:t>
      </w:r>
      <w:r>
        <w:rPr>
          <w:spacing w:val="-2"/>
        </w:rPr>
        <w:t> </w:t>
      </w:r>
      <w:r>
        <w:rPr/>
        <w:t>possible</w:t>
      </w:r>
      <w:r>
        <w:rPr>
          <w:spacing w:val="-2"/>
        </w:rPr>
        <w:t> </w:t>
      </w:r>
      <w:r>
        <w:rPr/>
        <w:t>owing</w:t>
      </w:r>
      <w:r>
        <w:rPr>
          <w:spacing w:val="-2"/>
        </w:rPr>
        <w:t> </w:t>
      </w:r>
      <w:r>
        <w:rPr/>
        <w:t>to</w:t>
      </w:r>
      <w:r>
        <w:rPr>
          <w:spacing w:val="-2"/>
        </w:rPr>
        <w:t> </w:t>
      </w:r>
      <w:r>
        <w:rPr/>
        <w:t>the</w:t>
      </w:r>
      <w:r>
        <w:rPr>
          <w:spacing w:val="-2"/>
        </w:rPr>
        <w:t> </w:t>
      </w:r>
      <w:r>
        <w:rPr/>
        <w:t>relative</w:t>
      </w:r>
      <w:r>
        <w:rPr>
          <w:spacing w:val="-2"/>
        </w:rPr>
        <w:t> </w:t>
      </w:r>
      <w:r>
        <w:rPr/>
        <w:t>flexibility</w:t>
      </w:r>
      <w:r>
        <w:rPr>
          <w:spacing w:val="-2"/>
        </w:rPr>
        <w:t> </w:t>
      </w:r>
      <w:r>
        <w:rPr/>
        <w:t>of</w:t>
      </w:r>
      <w:r>
        <w:rPr>
          <w:spacing w:val="-2"/>
        </w:rPr>
        <w:t> </w:t>
      </w:r>
      <w:r>
        <w:rPr/>
        <w:t>the</w:t>
      </w:r>
      <w:r>
        <w:rPr>
          <w:spacing w:val="-2"/>
        </w:rPr>
        <w:t> </w:t>
      </w:r>
      <w:r>
        <w:rPr/>
        <w:t>established</w:t>
      </w:r>
      <w:r>
        <w:rPr>
          <w:spacing w:val="-2"/>
        </w:rPr>
        <w:t> </w:t>
      </w:r>
      <w:r>
        <w:rPr/>
        <w:t>law</w:t>
      </w:r>
      <w:r>
        <w:rPr>
          <w:spacing w:val="-2"/>
        </w:rPr>
        <w:t> </w:t>
      </w:r>
      <w:r>
        <w:rPr/>
        <w:t>of</w:t>
      </w:r>
      <w:r>
        <w:rPr>
          <w:spacing w:val="-2"/>
        </w:rPr>
        <w:t> </w:t>
      </w:r>
      <w:r>
        <w:rPr/>
        <w:t>breach of confidence. </w:t>
      </w:r>
      <w:r>
        <w:rPr>
          <w:color w:val="005DA1"/>
          <w:u w:val="single" w:color="005DA1"/>
          <w:vertAlign w:val="superscript"/>
        </w:rPr>
        <w:t>686</w:t>
      </w:r>
      <w:r>
        <w:rPr>
          <w:color w:val="005DA1"/>
          <w:vertAlign w:val="baseline"/>
        </w:rPr>
        <w:t> </w:t>
      </w:r>
      <w:r>
        <w:rPr>
          <w:vertAlign w:val="baseline"/>
        </w:rPr>
        <w:t>It remains to be seen how far the courts will be willing to mould existing common</w:t>
      </w:r>
      <w:r>
        <w:rPr>
          <w:spacing w:val="40"/>
          <w:vertAlign w:val="baseline"/>
        </w:rPr>
        <w:t> </w:t>
      </w:r>
      <w:bookmarkStart w:name="_bookmark1291" w:id="1293"/>
      <w:bookmarkEnd w:id="1293"/>
      <w:r>
        <w:rPr>
          <w:vertAlign w:val="baseline"/>
        </w:rPr>
        <w:t>law</w:t>
      </w:r>
      <w:r>
        <w:rPr>
          <w:vertAlign w:val="baseline"/>
        </w:rPr>
        <w:t> rules or principles or, more radically, to create entirely new legal remedies so as to give effect to </w:t>
      </w:r>
      <w:bookmarkStart w:name="_bookmark1292" w:id="1294"/>
      <w:bookmarkEnd w:id="1294"/>
      <w:r>
        <w:rPr>
          <w:vertAlign w:val="baseline"/>
        </w:rPr>
        <w:t>Convention</w:t>
      </w:r>
      <w:r>
        <w:rPr>
          <w:vertAlign w:val="baseline"/>
        </w:rPr>
        <w:t> rights. </w:t>
      </w:r>
      <w:r>
        <w:rPr>
          <w:color w:val="005DA1"/>
          <w:u w:val="single" w:color="005DA1"/>
          <w:vertAlign w:val="superscript"/>
        </w:rPr>
        <w:t>687</w:t>
      </w:r>
      <w:r>
        <w:rPr>
          <w:color w:val="005DA1"/>
          <w:vertAlign w:val="baseline"/>
        </w:rPr>
        <w:t> </w:t>
      </w:r>
      <w:r>
        <w:rPr>
          <w:vertAlign w:val="baseline"/>
        </w:rPr>
        <w:t>In the context of the law of contract, the general question is particularly likely </w:t>
      </w:r>
      <w:r>
        <w:rPr>
          <w:vertAlign w:val="baseline"/>
        </w:rPr>
        <w:t>to arise in the following contexts. </w:t>
      </w:r>
      <w:r>
        <w:rPr>
          <w:color w:val="005DA1"/>
          <w:u w:val="single" w:color="005DA1"/>
          <w:vertAlign w:val="superscript"/>
        </w:rPr>
        <w:t>688</w:t>
      </w:r>
    </w:p>
    <w:p>
      <w:pPr>
        <w:pStyle w:val="BodyText"/>
      </w:pPr>
    </w:p>
    <w:p>
      <w:pPr>
        <w:pStyle w:val="BodyText"/>
        <w:spacing w:before="37"/>
      </w:pPr>
    </w:p>
    <w:p>
      <w:pPr>
        <w:spacing w:before="0"/>
        <w:ind w:left="165" w:right="0" w:firstLine="0"/>
        <w:jc w:val="both"/>
        <w:rPr>
          <w:rFonts w:ascii="Arial"/>
          <w:b/>
          <w:sz w:val="18"/>
        </w:rPr>
      </w:pPr>
      <w:r>
        <w:rPr>
          <w:rFonts w:ascii="Arial"/>
          <w:b/>
          <w:sz w:val="18"/>
        </w:rPr>
        <w:t>The existence of an intention to create legal </w:t>
      </w:r>
      <w:r>
        <w:rPr>
          <w:rFonts w:ascii="Arial"/>
          <w:b/>
          <w:spacing w:val="-2"/>
          <w:sz w:val="18"/>
        </w:rPr>
        <w:t>relations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085</w:t>
      </w:r>
    </w:p>
    <w:p>
      <w:pPr>
        <w:pStyle w:val="BodyText"/>
        <w:spacing w:line="235" w:lineRule="auto" w:before="203"/>
        <w:ind w:left="165" w:right="167"/>
        <w:jc w:val="both"/>
      </w:pPr>
      <w:r>
        <w:rPr/>
        <w:t>In </w:t>
      </w:r>
      <w:r>
        <w:rPr>
          <w:rFonts w:ascii="Arial" w:hAnsi="Arial"/>
          <w:i/>
        </w:rPr>
        <w:t>President of the Methodist Conference v Preston (formerly Moore)</w:t>
      </w:r>
      <w:r>
        <w:rPr/>
        <w:t>, the Court of Appeal considered that, at common law, ministers of religion are appointed on a basis which does not give rise to a rebuttable presumption that there is no intention to create legal relations and it therefore held </w:t>
      </w:r>
      <w:r>
        <w:rPr/>
        <w:t>that, under the general law, a Methodist minister acted under a contract of employment with the President </w:t>
      </w:r>
      <w:bookmarkStart w:name="_bookmark1293" w:id="1295"/>
      <w:bookmarkEnd w:id="1295"/>
      <w:r>
        <w:rPr/>
        <w:t>of</w:t>
      </w:r>
      <w:r>
        <w:rPr/>
        <w:t> the Methodist Conference so as to gain the benefit of the law of unfair dismissal, a decision reversed on appeal to the Supreme Court. </w:t>
      </w:r>
      <w:r>
        <w:rPr>
          <w:color w:val="005DA1"/>
          <w:u w:val="single" w:color="005DA1"/>
          <w:vertAlign w:val="superscript"/>
        </w:rPr>
        <w:t>689</w:t>
      </w:r>
      <w:r>
        <w:rPr>
          <w:color w:val="005DA1"/>
          <w:vertAlign w:val="baseline"/>
        </w:rPr>
        <w:t> </w:t>
      </w:r>
      <w:r>
        <w:rPr>
          <w:vertAlign w:val="baseline"/>
        </w:rPr>
        <w:t>However, the Court of Appeal then considered how </w:t>
      </w:r>
      <w:bookmarkStart w:name="_bookmark1294" w:id="1296"/>
      <w:bookmarkEnd w:id="1296"/>
      <w:r>
        <w:rPr>
          <w:vertAlign w:val="baseline"/>
        </w:rPr>
        <w:t>ECHR’s</w:t>
      </w:r>
      <w:r>
        <w:rPr>
          <w:vertAlign w:val="baseline"/>
        </w:rPr>
        <w:t> art.9 provision on “freedom of thought, conscience and religion” could affect its view on the existence</w:t>
      </w:r>
      <w:r>
        <w:rPr>
          <w:spacing w:val="-2"/>
          <w:vertAlign w:val="baseline"/>
        </w:rPr>
        <w:t> </w:t>
      </w:r>
      <w:r>
        <w:rPr>
          <w:vertAlign w:val="baseline"/>
        </w:rPr>
        <w:t>of</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color w:val="005DA1"/>
          <w:u w:val="single" w:color="005DA1"/>
          <w:vertAlign w:val="superscript"/>
        </w:rPr>
        <w:t>690</w:t>
      </w:r>
      <w:r>
        <w:rPr>
          <w:color w:val="005DA1"/>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concluded</w:t>
      </w:r>
      <w:r>
        <w:rPr>
          <w:spacing w:val="-2"/>
          <w:vertAlign w:val="baseline"/>
        </w:rPr>
        <w:t> </w:t>
      </w:r>
      <w:r>
        <w:rPr>
          <w:vertAlign w:val="baseline"/>
        </w:rPr>
        <w:t>that</w:t>
      </w:r>
      <w:r>
        <w:rPr>
          <w:spacing w:val="-2"/>
          <w:vertAlign w:val="baseline"/>
        </w:rPr>
        <w:t> </w:t>
      </w:r>
      <w:r>
        <w:rPr>
          <w:vertAlign w:val="baseline"/>
        </w:rPr>
        <w:t>art.9’s</w:t>
      </w:r>
      <w:r>
        <w:rPr>
          <w:spacing w:val="-2"/>
          <w:vertAlign w:val="baseline"/>
        </w:rPr>
        <w:t> </w:t>
      </w:r>
      <w:r>
        <w:rPr>
          <w:vertAlign w:val="baseline"/>
        </w:rPr>
        <w:t>role</w:t>
      </w:r>
      <w:r>
        <w:rPr>
          <w:spacing w:val="-2"/>
          <w:vertAlign w:val="baseline"/>
        </w:rPr>
        <w:t> </w:t>
      </w:r>
      <w:r>
        <w:rPr>
          <w:vertAlign w:val="baseline"/>
        </w:rPr>
        <w:t>here</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modest</w:t>
      </w:r>
      <w:r>
        <w:rPr>
          <w:spacing w:val="-2"/>
          <w:vertAlign w:val="baseline"/>
        </w:rPr>
        <w:t> </w:t>
      </w:r>
      <w:r>
        <w:rPr>
          <w:vertAlign w:val="baseline"/>
        </w:rPr>
        <w:t>one,</w:t>
      </w:r>
      <w:r>
        <w:rPr>
          <w:spacing w:val="-2"/>
          <w:vertAlign w:val="baseline"/>
        </w:rPr>
        <w:t> </w:t>
      </w:r>
      <w:r>
        <w:rPr>
          <w:vertAlign w:val="baseline"/>
        </w:rPr>
        <w:t>approving a dictum of Arden L.J. in </w:t>
      </w:r>
      <w:r>
        <w:rPr>
          <w:rFonts w:ascii="Arial" w:hAnsi="Arial"/>
          <w:i/>
          <w:vertAlign w:val="baseline"/>
        </w:rPr>
        <w:t>New Testament Church of God v Stewart </w:t>
      </w:r>
      <w:r>
        <w:rPr>
          <w:vertAlign w:val="baseline"/>
        </w:rPr>
        <w:t>according to whom:</w:t>
      </w:r>
    </w:p>
    <w:p>
      <w:pPr>
        <w:pStyle w:val="BodyText"/>
      </w:pPr>
    </w:p>
    <w:p>
      <w:pPr>
        <w:pStyle w:val="BodyText"/>
        <w:spacing w:before="123"/>
      </w:pPr>
    </w:p>
    <w:p>
      <w:pPr>
        <w:pStyle w:val="BodyText"/>
        <w:spacing w:line="235" w:lineRule="auto"/>
        <w:ind w:left="1245" w:right="167"/>
        <w:jc w:val="both"/>
      </w:pPr>
      <w:r>
        <w:rPr/>
        <w:t>“the fact that in an employment dispute one party to the litigation is a religious body or</w:t>
      </w:r>
      <w:r>
        <w:rPr>
          <w:spacing w:val="40"/>
        </w:rPr>
        <w:t> </w:t>
      </w:r>
      <w:r>
        <w:rPr/>
        <w:t>that the other party is a minister of religion does not itself engage article 9. There must be religious beliefs that are contrary to or inconsistent with the implications of the contract </w:t>
      </w:r>
      <w:r>
        <w:rPr/>
        <w:t>or </w:t>
      </w:r>
      <w:bookmarkStart w:name="_bookmark1295" w:id="1297"/>
      <w:bookmarkEnd w:id="1297"/>
      <w:r>
        <w:rPr/>
        <w:t>a</w:t>
      </w:r>
      <w:r>
        <w:rPr>
          <w:spacing w:val="-2"/>
        </w:rPr>
        <w:t> </w:t>
      </w:r>
      <w:r>
        <w:rPr/>
        <w:t>contract</w:t>
      </w:r>
      <w:r>
        <w:rPr>
          <w:spacing w:val="-2"/>
        </w:rPr>
        <w:t> </w:t>
      </w:r>
      <w:r>
        <w:rPr/>
        <w:t>of</w:t>
      </w:r>
      <w:r>
        <w:rPr>
          <w:spacing w:val="-2"/>
        </w:rPr>
        <w:t> </w:t>
      </w:r>
      <w:r>
        <w:rPr/>
        <w:t>employment.</w:t>
      </w:r>
      <w:r>
        <w:rPr>
          <w:spacing w:val="-2"/>
        </w:rPr>
        <w:t> </w:t>
      </w:r>
      <w:r>
        <w:rPr/>
        <w:t>It</w:t>
      </w:r>
      <w:r>
        <w:rPr>
          <w:spacing w:val="-2"/>
        </w:rPr>
        <w:t> </w:t>
      </w:r>
      <w:r>
        <w:rPr/>
        <w:t>follows</w:t>
      </w:r>
      <w:r>
        <w:rPr>
          <w:spacing w:val="-2"/>
        </w:rPr>
        <w:t> </w:t>
      </w:r>
      <w:r>
        <w:rPr/>
        <w:t>that</w:t>
      </w:r>
      <w:r>
        <w:rPr>
          <w:spacing w:val="-2"/>
        </w:rPr>
        <w:t> </w:t>
      </w:r>
      <w:r>
        <w:rPr/>
        <w:t>the</w:t>
      </w:r>
      <w:r>
        <w:rPr>
          <w:spacing w:val="-2"/>
        </w:rPr>
        <w:t> </w:t>
      </w:r>
      <w:r>
        <w:rPr/>
        <w:t>implication</w:t>
      </w:r>
      <w:r>
        <w:rPr>
          <w:spacing w:val="-2"/>
        </w:rPr>
        <w:t> </w:t>
      </w:r>
      <w:r>
        <w:rPr/>
        <w:t>of</w:t>
      </w:r>
      <w:r>
        <w:rPr>
          <w:spacing w:val="-2"/>
        </w:rPr>
        <w:t> </w:t>
      </w:r>
      <w:r>
        <w:rPr/>
        <w:t>a</w:t>
      </w:r>
      <w:r>
        <w:rPr>
          <w:spacing w:val="-2"/>
        </w:rPr>
        <w:t> </w:t>
      </w:r>
      <w:r>
        <w:rPr/>
        <w:t>contract</w:t>
      </w:r>
      <w:r>
        <w:rPr>
          <w:spacing w:val="-2"/>
        </w:rPr>
        <w:t> </w:t>
      </w:r>
      <w:r>
        <w:rPr/>
        <w:t>of</w:t>
      </w:r>
      <w:r>
        <w:rPr>
          <w:spacing w:val="-2"/>
        </w:rPr>
        <w:t> </w:t>
      </w:r>
      <w:r>
        <w:rPr/>
        <w:t>employment</w:t>
      </w:r>
      <w:r>
        <w:rPr>
          <w:spacing w:val="-2"/>
        </w:rPr>
        <w:t> </w:t>
      </w:r>
      <w:r>
        <w:rPr/>
        <w:t>is</w:t>
      </w:r>
      <w:r>
        <w:rPr>
          <w:spacing w:val="-2"/>
        </w:rPr>
        <w:t> </w:t>
      </w:r>
      <w:r>
        <w:rPr/>
        <w:t>not automatically an interference with religious beliefs.” </w:t>
      </w:r>
      <w:r>
        <w:rPr>
          <w:color w:val="005DA1"/>
          <w:u w:val="single" w:color="005DA1"/>
          <w:vertAlign w:val="superscript"/>
        </w:rPr>
        <w:t>691</w:t>
      </w:r>
    </w:p>
    <w:p>
      <w:pPr>
        <w:pStyle w:val="BodyText"/>
        <w:spacing w:before="115"/>
      </w:pPr>
    </w:p>
    <w:p>
      <w:pPr>
        <w:pStyle w:val="BodyText"/>
        <w:spacing w:line="235" w:lineRule="auto"/>
        <w:ind w:left="165" w:right="167"/>
        <w:jc w:val="both"/>
      </w:pPr>
      <w:r>
        <w:rPr/>
        <w:t>In the view of the Court of Appeal in </w:t>
      </w:r>
      <w:r>
        <w:rPr>
          <w:rFonts w:ascii="Arial" w:hAnsi="Arial"/>
          <w:i/>
        </w:rPr>
        <w:t>Preston</w:t>
      </w:r>
      <w:r>
        <w:rPr/>
        <w:t>, the dispute between the parties as to whether </w:t>
      </w:r>
      <w:r>
        <w:rPr/>
        <w:t>a Methodist minister worked for the President of the Methodist Conference under a contract of employment did not include a religious doctrinal element so as to engage art.9, nor would the court’s </w:t>
      </w:r>
      <w:bookmarkStart w:name="_bookmark1296" w:id="1298"/>
      <w:bookmarkEnd w:id="1298"/>
      <w:r>
        <w:rPr/>
        <w:t>finding</w:t>
      </w:r>
      <w:r>
        <w:rPr/>
        <w:t> that such a contract existed interfere with the right of Methodists to manifest their religious belief. </w:t>
      </w:r>
      <w:r>
        <w:rPr>
          <w:color w:val="005DA1"/>
          <w:u w:val="single" w:color="005DA1"/>
          <w:vertAlign w:val="superscript"/>
        </w:rPr>
        <w:t>692</w:t>
      </w:r>
    </w:p>
    <w:p>
      <w:pPr>
        <w:pStyle w:val="BodyText"/>
      </w:pPr>
    </w:p>
    <w:p>
      <w:pPr>
        <w:pStyle w:val="BodyText"/>
        <w:spacing w:before="37"/>
      </w:pPr>
    </w:p>
    <w:p>
      <w:pPr>
        <w:spacing w:before="0"/>
        <w:ind w:left="165" w:right="0" w:firstLine="0"/>
        <w:jc w:val="left"/>
        <w:rPr>
          <w:rFonts w:ascii="Arial"/>
          <w:b/>
          <w:sz w:val="18"/>
        </w:rPr>
      </w:pPr>
      <w:r>
        <w:rPr>
          <w:rFonts w:ascii="Arial"/>
          <w:b/>
          <w:sz w:val="18"/>
        </w:rPr>
        <w:t>Implied </w:t>
      </w:r>
      <w:r>
        <w:rPr>
          <w:rFonts w:ascii="Arial"/>
          <w:b/>
          <w:spacing w:val="-2"/>
          <w:sz w:val="18"/>
        </w:rPr>
        <w:t>contracts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086</w:t>
      </w:r>
    </w:p>
    <w:p>
      <w:pPr>
        <w:pStyle w:val="BodyText"/>
        <w:spacing w:line="235" w:lineRule="auto" w:before="203"/>
        <w:ind w:left="165" w:right="167"/>
        <w:jc w:val="both"/>
      </w:pPr>
      <w:bookmarkStart w:name="_bookmark1297" w:id="1299"/>
      <w:bookmarkEnd w:id="1299"/>
      <w:r>
        <w:rPr/>
      </w:r>
      <w:r>
        <w:rPr/>
        <w:t>In </w:t>
      </w:r>
      <w:r>
        <w:rPr>
          <w:rFonts w:ascii="Arial" w:hAnsi="Arial"/>
          <w:i/>
        </w:rPr>
        <w:t>Smith v Carillion </w:t>
      </w:r>
      <w:r>
        <w:rPr>
          <w:color w:val="005DA1"/>
          <w:u w:val="single" w:color="005DA1"/>
          <w:vertAlign w:val="superscript"/>
        </w:rPr>
        <w:t>693</w:t>
      </w:r>
      <w:r>
        <w:rPr>
          <w:color w:val="005DA1"/>
          <w:vertAlign w:val="baseline"/>
        </w:rPr>
        <w:t> </w:t>
      </w:r>
      <w:r>
        <w:rPr>
          <w:vertAlign w:val="baseline"/>
        </w:rPr>
        <w:t>the Employment Appeal Tribunal considered the question whether a court should imply a contract so as to give effect to Convention rights. There the question arose as </w:t>
      </w:r>
      <w:r>
        <w:rPr>
          <w:vertAlign w:val="baseline"/>
        </w:rPr>
        <w:t>to whether the relationship between an agency worker and the end-user of his services was based on</w:t>
      </w:r>
      <w:r>
        <w:rPr>
          <w:spacing w:val="40"/>
          <w:vertAlign w:val="baseline"/>
        </w:rPr>
        <w:t> </w:t>
      </w:r>
      <w:r>
        <w:rPr>
          <w:vertAlign w:val="baseline"/>
        </w:rPr>
        <w:t>an implied contract and, in particular, a contract under which he worked as a “worker”. The Employment Appeal Tribunal held that, according to “generally applicable contractual principles”, the </w:t>
      </w:r>
      <w:bookmarkStart w:name="_bookmark1298" w:id="1300"/>
      <w:bookmarkEnd w:id="1300"/>
      <w:r>
        <w:rPr>
          <w:vertAlign w:val="baseline"/>
        </w:rPr>
        <w:t>reality</w:t>
      </w:r>
      <w:r>
        <w:rPr>
          <w:vertAlign w:val="baseline"/>
        </w:rPr>
        <w:t> of the arrangements before it did not attract the implication of a contract between the agency worker and the enduser. </w:t>
      </w:r>
      <w:r>
        <w:rPr>
          <w:color w:val="005DA1"/>
          <w:u w:val="single" w:color="005DA1"/>
          <w:vertAlign w:val="superscript"/>
        </w:rPr>
        <w:t>694</w:t>
      </w:r>
      <w:r>
        <w:rPr>
          <w:color w:val="005DA1"/>
          <w:vertAlign w:val="baseline"/>
        </w:rPr>
        <w:t> </w:t>
      </w:r>
      <w:r>
        <w:rPr>
          <w:vertAlign w:val="baseline"/>
        </w:rPr>
        <w:t>It rejected the argument that the Human Rights Act 1998 required it to apply the common law as to the existence of a contract compatibly with Convention rights. In its view:</w:t>
      </w:r>
    </w:p>
    <w:p>
      <w:pPr>
        <w:pStyle w:val="BodyText"/>
      </w:pPr>
    </w:p>
    <w:p>
      <w:pPr>
        <w:pStyle w:val="BodyText"/>
        <w:spacing w:before="123"/>
      </w:pPr>
    </w:p>
    <w:p>
      <w:pPr>
        <w:pStyle w:val="BodyText"/>
        <w:spacing w:line="235" w:lineRule="auto" w:before="1"/>
        <w:ind w:left="1245" w:right="167"/>
        <w:jc w:val="both"/>
      </w:pPr>
      <w:r>
        <w:rPr/>
        <w:t>“HRA and Convention rights do not require or permit the implication of a contract </w:t>
      </w:r>
      <w:r>
        <w:rPr/>
        <w:t>of employment between the agency worker and the end-user in circumstances in which domestic law would not…. [T]he doctrine of necessity in implying contracts applies to all contracts not just to agency contracts. Applying the common law rule that a contract will only be implied between two parties where the relevant facts are capable of interpretation both for and against such a conclusion if such a result is necessary is not demonstrably </w:t>
      </w:r>
      <w:bookmarkStart w:name="_bookmark1299" w:id="1301"/>
      <w:bookmarkEnd w:id="1301"/>
      <w:r>
        <w:rPr/>
        <w:t>incompatible</w:t>
      </w:r>
      <w:r>
        <w:rPr/>
        <w:t> with a Convention right. Further to disapply a rule would be likely to lead to uncertainty and inconsistency.” </w:t>
      </w:r>
      <w:r>
        <w:rPr>
          <w:color w:val="005DA1"/>
          <w:u w:val="single" w:color="005DA1"/>
          <w:vertAlign w:val="superscript"/>
        </w:rPr>
        <w:t>695</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The Court of Appeal upheld the Employment Appeal Tribunal’s decision on the implication of a </w:t>
      </w:r>
      <w:bookmarkStart w:name="_bookmark1300" w:id="1302"/>
      <w:bookmarkEnd w:id="1302"/>
      <w:r>
        <w:rPr/>
        <w:t>contract</w:t>
      </w:r>
      <w:r>
        <w:rPr/>
        <w:t> in the circumstances, though it did not do so without consideration of the relevance of the agency worker’s Convention rights for this purpose as this had not been argued before it. </w:t>
      </w:r>
      <w:r>
        <w:rPr>
          <w:color w:val="005DA1"/>
          <w:u w:val="single" w:color="005DA1"/>
          <w:vertAlign w:val="superscript"/>
        </w:rPr>
        <w:t>696</w:t>
      </w:r>
    </w:p>
    <w:p>
      <w:pPr>
        <w:pStyle w:val="BodyText"/>
      </w:pPr>
    </w:p>
    <w:p>
      <w:pPr>
        <w:pStyle w:val="BodyText"/>
        <w:spacing w:before="38"/>
      </w:pPr>
    </w:p>
    <w:p>
      <w:pPr>
        <w:spacing w:before="0"/>
        <w:ind w:left="165" w:right="0" w:firstLine="0"/>
        <w:jc w:val="both"/>
        <w:rPr>
          <w:rFonts w:ascii="Arial"/>
          <w:b/>
          <w:sz w:val="18"/>
        </w:rPr>
      </w:pPr>
      <w:r>
        <w:rPr>
          <w:rFonts w:ascii="Arial"/>
          <w:b/>
          <w:sz w:val="18"/>
        </w:rPr>
        <w:t>The construction of </w:t>
      </w:r>
      <w:r>
        <w:rPr>
          <w:rFonts w:ascii="Arial"/>
          <w:b/>
          <w:spacing w:val="-2"/>
          <w:sz w:val="18"/>
        </w:rPr>
        <w:t>contracts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087</w:t>
      </w:r>
    </w:p>
    <w:p>
      <w:pPr>
        <w:pStyle w:val="BodyText"/>
        <w:spacing w:line="235" w:lineRule="auto" w:before="203"/>
        <w:ind w:left="164" w:right="167"/>
        <w:jc w:val="both"/>
      </w:pPr>
      <w:bookmarkStart w:name="_bookmark1301" w:id="1303"/>
      <w:bookmarkEnd w:id="1303"/>
      <w:r>
        <w:rPr/>
      </w:r>
      <w:r>
        <w:rPr/>
        <w:t>As regards contracts made after the coming into force of the Human Rights Act, ought courts </w:t>
      </w:r>
      <w:r>
        <w:rPr/>
        <w:t>as “public authorities” to interpret contracts (where neither party is a “public authority”), </w:t>
      </w:r>
      <w:r>
        <w:rPr>
          <w:color w:val="005DA1"/>
          <w:u w:val="single" w:color="005DA1"/>
          <w:vertAlign w:val="superscript"/>
        </w:rPr>
        <w:t>697</w:t>
      </w:r>
      <w:r>
        <w:rPr>
          <w:color w:val="005DA1"/>
          <w:vertAlign w:val="baseline"/>
        </w:rPr>
        <w:t> </w:t>
      </w:r>
      <w:r>
        <w:rPr>
          <w:vertAlign w:val="baseline"/>
        </w:rPr>
        <w:t>so as to be compatible with Convention rights, either of the parties or of third parties? While there is no provision </w:t>
      </w:r>
      <w:bookmarkStart w:name="_bookmark1302" w:id="1304"/>
      <w:bookmarkEnd w:id="1304"/>
      <w:r>
        <w:rPr>
          <w:vertAlign w:val="baseline"/>
        </w:rPr>
        <w:t>in</w:t>
      </w:r>
      <w:r>
        <w:rPr>
          <w:vertAlign w:val="baseline"/>
        </w:rPr>
        <w:t> the 1998 Act requiring courts to construe </w:t>
      </w:r>
      <w:r>
        <w:rPr>
          <w:rFonts w:ascii="Arial" w:hAnsi="Arial"/>
          <w:i/>
          <w:vertAlign w:val="baseline"/>
        </w:rPr>
        <w:t>contracts </w:t>
      </w:r>
      <w:r>
        <w:rPr>
          <w:vertAlign w:val="baseline"/>
        </w:rPr>
        <w:t>so as not to be incompatible with Conventions </w:t>
      </w:r>
      <w:bookmarkStart w:name="_bookmark1303" w:id="1305"/>
      <w:bookmarkEnd w:id="1305"/>
      <w:r>
        <w:rPr>
          <w:vertAlign w:val="baseline"/>
        </w:rPr>
        <w:t>rights,</w:t>
      </w:r>
      <w:r>
        <w:rPr>
          <w:vertAlign w:val="baseline"/>
        </w:rPr>
        <w:t> </w:t>
      </w:r>
      <w:r>
        <w:rPr>
          <w:color w:val="005DA1"/>
          <w:u w:val="single" w:color="005DA1"/>
          <w:vertAlign w:val="superscript"/>
        </w:rPr>
        <w:t>698</w:t>
      </w:r>
      <w:r>
        <w:rPr>
          <w:color w:val="005DA1"/>
          <w:vertAlign w:val="baseline"/>
        </w:rPr>
        <w:t> </w:t>
      </w:r>
      <w:r>
        <w:rPr>
          <w:vertAlign w:val="baseline"/>
        </w:rPr>
        <w:t>in contrast to the position as regards legislation which must be so read “in so far as it is possible”, </w:t>
      </w:r>
      <w:r>
        <w:rPr>
          <w:color w:val="005DA1"/>
          <w:u w:val="single" w:color="005DA1"/>
          <w:vertAlign w:val="superscript"/>
        </w:rPr>
        <w:t>699</w:t>
      </w:r>
      <w:r>
        <w:rPr>
          <w:color w:val="005DA1"/>
          <w:vertAlign w:val="baseline"/>
        </w:rPr>
        <w:t> </w:t>
      </w:r>
      <w:r>
        <w:rPr>
          <w:vertAlign w:val="baseline"/>
        </w:rPr>
        <w:t>this silence may not rule out such a duty arising from s.6 and stemming from the courts’ functions either in finding of facts or in the development of the common law. As to the former, it is established at common law that the purpose of construction of the contract is to give effect to the parties’ intentions as objectively determined, this involving issues both of fact and law, and that, at </w:t>
      </w:r>
      <w:bookmarkStart w:name="_bookmark1304" w:id="1306"/>
      <w:bookmarkEnd w:id="1306"/>
      <w:r>
        <w:rPr>
          <w:vertAlign w:val="baseline"/>
        </w:rPr>
        <w:t>least</w:t>
      </w:r>
      <w:r>
        <w:rPr>
          <w:vertAlign w:val="baseline"/>
        </w:rPr>
        <w:t> where the express terms of the contract are ambiguous, the court should look to the factual matrix of the contract for guidance. </w:t>
      </w:r>
      <w:r>
        <w:rPr>
          <w:color w:val="005DA1"/>
          <w:u w:val="single" w:color="005DA1"/>
          <w:vertAlign w:val="superscript"/>
        </w:rPr>
        <w:t>700</w:t>
      </w:r>
      <w:r>
        <w:rPr>
          <w:color w:val="005DA1"/>
          <w:vertAlign w:val="baseline"/>
        </w:rPr>
        <w:t> </w:t>
      </w:r>
      <w:r>
        <w:rPr>
          <w:vertAlign w:val="baseline"/>
        </w:rPr>
        <w:t>It may be argued that a court should “interpret” the contract so as to ensure that performance of its obligations is compatible with Convention rights, at least,</w:t>
      </w:r>
      <w:r>
        <w:rPr>
          <w:spacing w:val="40"/>
          <w:vertAlign w:val="baseline"/>
        </w:rPr>
        <w:t> </w:t>
      </w:r>
      <w:r>
        <w:rPr>
          <w:vertAlign w:val="baseline"/>
        </w:rPr>
        <w:t>perhaps, where such an interpretation is possible on the natural meaning of the words used. On the other hand, it may be countered that if it appears either from the terms of the contract on their natural meaning or from the factual matrix of the contract that the parties intended to agree to something which </w:t>
      </w:r>
      <w:r>
        <w:rPr>
          <w:rFonts w:ascii="Arial" w:hAnsi="Arial"/>
          <w:i/>
          <w:vertAlign w:val="baseline"/>
        </w:rPr>
        <w:t>would </w:t>
      </w:r>
      <w:r>
        <w:rPr>
          <w:vertAlign w:val="baseline"/>
        </w:rPr>
        <w:t>be incompatible with a person’s Convention rights, then the courts should hold to this interpretation, rather than impose on the parties something to which they did not agree. Indeed, for</w:t>
      </w:r>
      <w:r>
        <w:rPr>
          <w:spacing w:val="40"/>
          <w:vertAlign w:val="baseline"/>
        </w:rPr>
        <w:t> </w:t>
      </w:r>
      <w:r>
        <w:rPr>
          <w:vertAlign w:val="baseline"/>
        </w:rPr>
        <w:t>the</w:t>
      </w:r>
      <w:r>
        <w:rPr>
          <w:spacing w:val="29"/>
          <w:vertAlign w:val="baseline"/>
        </w:rPr>
        <w:t> </w:t>
      </w:r>
      <w:r>
        <w:rPr>
          <w:vertAlign w:val="baseline"/>
        </w:rPr>
        <w:t>courts</w:t>
      </w:r>
      <w:r>
        <w:rPr>
          <w:spacing w:val="29"/>
          <w:vertAlign w:val="baseline"/>
        </w:rPr>
        <w:t> </w:t>
      </w:r>
      <w:r>
        <w:rPr>
          <w:vertAlign w:val="baseline"/>
        </w:rPr>
        <w:t>to</w:t>
      </w:r>
      <w:r>
        <w:rPr>
          <w:spacing w:val="29"/>
          <w:vertAlign w:val="baseline"/>
        </w:rPr>
        <w:t> </w:t>
      </w:r>
      <w:r>
        <w:rPr>
          <w:vertAlign w:val="baseline"/>
        </w:rPr>
        <w:t>do</w:t>
      </w:r>
      <w:r>
        <w:rPr>
          <w:spacing w:val="29"/>
          <w:vertAlign w:val="baseline"/>
        </w:rPr>
        <w:t> </w:t>
      </w:r>
      <w:r>
        <w:rPr>
          <w:vertAlign w:val="baseline"/>
        </w:rPr>
        <w:t>otherwise</w:t>
      </w:r>
      <w:r>
        <w:rPr>
          <w:spacing w:val="29"/>
          <w:vertAlign w:val="baseline"/>
        </w:rPr>
        <w:t> </w:t>
      </w:r>
      <w:r>
        <w:rPr>
          <w:vertAlign w:val="baseline"/>
        </w:rPr>
        <w:t>in</w:t>
      </w:r>
      <w:r>
        <w:rPr>
          <w:spacing w:val="29"/>
          <w:vertAlign w:val="baseline"/>
        </w:rPr>
        <w:t> </w:t>
      </w:r>
      <w:r>
        <w:rPr>
          <w:vertAlign w:val="baseline"/>
        </w:rPr>
        <w:t>such</w:t>
      </w:r>
      <w:r>
        <w:rPr>
          <w:spacing w:val="29"/>
          <w:vertAlign w:val="baseline"/>
        </w:rPr>
        <w:t> </w:t>
      </w:r>
      <w:r>
        <w:rPr>
          <w:vertAlign w:val="baseline"/>
        </w:rPr>
        <w:t>a</w:t>
      </w:r>
      <w:r>
        <w:rPr>
          <w:spacing w:val="29"/>
          <w:vertAlign w:val="baseline"/>
        </w:rPr>
        <w:t> </w:t>
      </w:r>
      <w:r>
        <w:rPr>
          <w:vertAlign w:val="baseline"/>
        </w:rPr>
        <w:t>situation</w:t>
      </w:r>
      <w:r>
        <w:rPr>
          <w:spacing w:val="29"/>
          <w:vertAlign w:val="baseline"/>
        </w:rPr>
        <w:t> </w:t>
      </w:r>
      <w:r>
        <w:rPr>
          <w:vertAlign w:val="baseline"/>
        </w:rPr>
        <w:t>could</w:t>
      </w:r>
      <w:r>
        <w:rPr>
          <w:spacing w:val="29"/>
          <w:vertAlign w:val="baseline"/>
        </w:rPr>
        <w:t> </w:t>
      </w:r>
      <w:r>
        <w:rPr>
          <w:vertAlign w:val="baseline"/>
        </w:rPr>
        <w:t>be</w:t>
      </w:r>
      <w:r>
        <w:rPr>
          <w:spacing w:val="29"/>
          <w:vertAlign w:val="baseline"/>
        </w:rPr>
        <w:t> </w:t>
      </w:r>
      <w:r>
        <w:rPr>
          <w:vertAlign w:val="baseline"/>
        </w:rPr>
        <w:t>thought</w:t>
      </w:r>
      <w:r>
        <w:rPr>
          <w:spacing w:val="29"/>
          <w:vertAlign w:val="baseline"/>
        </w:rPr>
        <w:t> </w:t>
      </w:r>
      <w:r>
        <w:rPr>
          <w:vertAlign w:val="baseline"/>
        </w:rPr>
        <w:t>to</w:t>
      </w:r>
      <w:r>
        <w:rPr>
          <w:spacing w:val="29"/>
          <w:vertAlign w:val="baseline"/>
        </w:rPr>
        <w:t> </w:t>
      </w:r>
      <w:r>
        <w:rPr>
          <w:vertAlign w:val="baseline"/>
        </w:rPr>
        <w:t>be</w:t>
      </w:r>
      <w:r>
        <w:rPr>
          <w:spacing w:val="29"/>
          <w:vertAlign w:val="baseline"/>
        </w:rPr>
        <w:t> </w:t>
      </w:r>
      <w:r>
        <w:rPr>
          <w:vertAlign w:val="baseline"/>
        </w:rPr>
        <w:t>a</w:t>
      </w:r>
      <w:r>
        <w:rPr>
          <w:spacing w:val="29"/>
          <w:vertAlign w:val="baseline"/>
        </w:rPr>
        <w:t> </w:t>
      </w:r>
      <w:r>
        <w:rPr>
          <w:vertAlign w:val="baseline"/>
        </w:rPr>
        <w:t>misuse</w:t>
      </w:r>
      <w:r>
        <w:rPr>
          <w:spacing w:val="29"/>
          <w:vertAlign w:val="baseline"/>
        </w:rPr>
        <w:t> </w:t>
      </w:r>
      <w:r>
        <w:rPr>
          <w:vertAlign w:val="baseline"/>
        </w:rPr>
        <w:t>of</w:t>
      </w:r>
      <w:r>
        <w:rPr>
          <w:spacing w:val="29"/>
          <w:vertAlign w:val="baseline"/>
        </w:rPr>
        <w:t> </w:t>
      </w:r>
      <w:r>
        <w:rPr>
          <w:vertAlign w:val="baseline"/>
        </w:rPr>
        <w:t>their</w:t>
      </w:r>
      <w:r>
        <w:rPr>
          <w:spacing w:val="29"/>
          <w:vertAlign w:val="baseline"/>
        </w:rPr>
        <w:t> </w:t>
      </w:r>
      <w:r>
        <w:rPr>
          <w:vertAlign w:val="baseline"/>
        </w:rPr>
        <w:t>powers</w:t>
      </w:r>
      <w:r>
        <w:rPr>
          <w:spacing w:val="29"/>
          <w:vertAlign w:val="baseline"/>
        </w:rPr>
        <w:t> </w:t>
      </w:r>
      <w:r>
        <w:rPr>
          <w:vertAlign w:val="baseline"/>
        </w:rPr>
        <w:t>of “fact-finding” in a way itself vulnerable under art.6(1) of the Convention, for the court would be imposing its view of what should have been agreed by the parties and deliberately “mistaking” the </w:t>
      </w:r>
      <w:bookmarkStart w:name="_bookmark1305" w:id="1307"/>
      <w:bookmarkEnd w:id="1307"/>
      <w:r>
        <w:rPr>
          <w:vertAlign w:val="baseline"/>
        </w:rPr>
        <w:t>facts</w:t>
      </w:r>
      <w:r>
        <w:rPr>
          <w:vertAlign w:val="baseline"/>
        </w:rPr>
        <w:t> of a case as generally understood and determined in order to do so. A similar set of arguments would apply to the implication of terms “in fact”. </w:t>
      </w:r>
      <w:r>
        <w:rPr>
          <w:color w:val="005DA1"/>
          <w:u w:val="single" w:color="005DA1"/>
          <w:vertAlign w:val="superscript"/>
        </w:rPr>
        <w:t>701</w:t>
      </w:r>
      <w:r>
        <w:rPr>
          <w:color w:val="005DA1"/>
          <w:vertAlign w:val="baseline"/>
        </w:rPr>
        <w:t> </w:t>
      </w:r>
      <w:r>
        <w:rPr>
          <w:vertAlign w:val="baseline"/>
        </w:rPr>
        <w:t>A more robust argument would be that the courts should develop the common law governing the construction of the express terms of contracts so that</w:t>
      </w:r>
      <w:r>
        <w:rPr>
          <w:spacing w:val="40"/>
          <w:vertAlign w:val="baseline"/>
        </w:rPr>
        <w:t> </w:t>
      </w:r>
      <w:r>
        <w:rPr>
          <w:vertAlign w:val="baseline"/>
        </w:rPr>
        <w:t>it builds within it a requirement of interpretation “whenever possible” which makes performance compatible with Convention rights, this being an example of the “horizontal effect” of s.6. However, such a development would fly in the face of existing contractual principles of construction which have been established in the interests of commercial certainty and fairness to the parties: this would not be </w:t>
      </w:r>
      <w:bookmarkStart w:name="_bookmark1306" w:id="1308"/>
      <w:bookmarkEnd w:id="1308"/>
      <w:r>
        <w:rPr>
          <w:vertAlign w:val="baseline"/>
        </w:rPr>
        <w:t>an</w:t>
      </w:r>
      <w:r>
        <w:rPr>
          <w:vertAlign w:val="baseline"/>
        </w:rPr>
        <w:t> example of Convention rights suffusing existing common law principles, but rather of their subverting</w:t>
      </w:r>
      <w:r>
        <w:rPr>
          <w:spacing w:val="-1"/>
          <w:vertAlign w:val="baseline"/>
        </w:rPr>
        <w:t> </w:t>
      </w:r>
      <w:r>
        <w:rPr>
          <w:vertAlign w:val="baseline"/>
        </w:rPr>
        <w:t>them.</w:t>
      </w:r>
      <w:r>
        <w:rPr>
          <w:spacing w:val="-1"/>
          <w:vertAlign w:val="baseline"/>
        </w:rPr>
        <w:t> </w:t>
      </w:r>
      <w:r>
        <w:rPr>
          <w:color w:val="005DA1"/>
          <w:u w:val="single" w:color="005DA1"/>
          <w:vertAlign w:val="superscript"/>
        </w:rPr>
        <w:t>702</w:t>
      </w:r>
      <w:r>
        <w:rPr>
          <w:color w:val="005DA1"/>
          <w:spacing w:val="-1"/>
          <w:vertAlign w:val="baseline"/>
        </w:rPr>
        <w:t> </w:t>
      </w:r>
      <w:r>
        <w:rPr>
          <w:vertAlign w:val="baseline"/>
        </w:rPr>
        <w:t>Moreover,</w:t>
      </w:r>
      <w:r>
        <w:rPr>
          <w:spacing w:val="-1"/>
          <w:vertAlign w:val="baseline"/>
        </w:rPr>
        <w:t> </w:t>
      </w:r>
      <w:r>
        <w:rPr>
          <w:vertAlign w:val="baseline"/>
        </w:rPr>
        <w:t>the</w:t>
      </w:r>
      <w:r>
        <w:rPr>
          <w:spacing w:val="-1"/>
          <w:vertAlign w:val="baseline"/>
        </w:rPr>
        <w:t> </w:t>
      </w:r>
      <w:r>
        <w:rPr>
          <w:vertAlign w:val="baseline"/>
        </w:rPr>
        <w:t>decision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Employment</w:t>
      </w:r>
      <w:r>
        <w:rPr>
          <w:spacing w:val="-1"/>
          <w:vertAlign w:val="baseline"/>
        </w:rPr>
        <w:t> </w:t>
      </w:r>
      <w:r>
        <w:rPr>
          <w:vertAlign w:val="baseline"/>
        </w:rPr>
        <w:t>Appeal</w:t>
      </w:r>
      <w:r>
        <w:rPr>
          <w:spacing w:val="-1"/>
          <w:vertAlign w:val="baseline"/>
        </w:rPr>
        <w:t> </w:t>
      </w:r>
      <w:r>
        <w:rPr>
          <w:vertAlign w:val="baseline"/>
        </w:rPr>
        <w:t>Tribunal</w:t>
      </w:r>
      <w:r>
        <w:rPr>
          <w:spacing w:val="-1"/>
          <w:vertAlign w:val="baseline"/>
        </w:rPr>
        <w:t> </w:t>
      </w:r>
      <w:r>
        <w:rPr>
          <w:vertAlign w:val="baseline"/>
        </w:rPr>
        <w:t>in</w:t>
      </w:r>
      <w:r>
        <w:rPr>
          <w:spacing w:val="-2"/>
          <w:vertAlign w:val="baseline"/>
        </w:rPr>
        <w:t> </w:t>
      </w:r>
      <w:r>
        <w:rPr>
          <w:rFonts w:ascii="Arial" w:hAnsi="Arial"/>
          <w:i/>
          <w:vertAlign w:val="baseline"/>
        </w:rPr>
        <w:t>Smith</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Carillion</w:t>
      </w:r>
      <w:r>
        <w:rPr>
          <w:rFonts w:ascii="Arial" w:hAnsi="Arial"/>
          <w:i/>
          <w:spacing w:val="-1"/>
          <w:vertAlign w:val="baseline"/>
        </w:rPr>
        <w:t> </w:t>
      </w:r>
      <w:r>
        <w:rPr>
          <w:color w:val="005DA1"/>
          <w:u w:val="single" w:color="005DA1"/>
          <w:vertAlign w:val="superscript"/>
        </w:rPr>
        <w:t>703</w:t>
      </w:r>
      <w:r>
        <w:rPr>
          <w:color w:val="005DA1"/>
          <w:vertAlign w:val="baseline"/>
        </w:rPr>
        <w:t> </w:t>
      </w:r>
      <w:r>
        <w:rPr>
          <w:vertAlign w:val="baseline"/>
        </w:rPr>
        <w:t>which refused to imply a contract so as give effect to Convention rights suggests that the courts are unlikely to read down the general rules on construction of contracts to do so.</w:t>
      </w:r>
    </w:p>
    <w:p>
      <w:pPr>
        <w:pStyle w:val="BodyText"/>
      </w:pPr>
    </w:p>
    <w:p>
      <w:pPr>
        <w:pStyle w:val="BodyText"/>
        <w:spacing w:before="26"/>
      </w:pPr>
    </w:p>
    <w:p>
      <w:pPr>
        <w:spacing w:before="1"/>
        <w:ind w:left="164" w:right="0" w:firstLine="0"/>
        <w:jc w:val="left"/>
        <w:rPr>
          <w:rFonts w:ascii="Arial"/>
          <w:b/>
          <w:sz w:val="18"/>
        </w:rPr>
      </w:pPr>
      <w:r>
        <w:rPr>
          <w:rFonts w:ascii="Arial"/>
          <w:b/>
          <w:sz w:val="18"/>
        </w:rPr>
        <w:t>New implied </w:t>
      </w:r>
      <w:r>
        <w:rPr>
          <w:rFonts w:ascii="Arial"/>
          <w:b/>
          <w:spacing w:val="-2"/>
          <w:sz w:val="18"/>
        </w:rPr>
        <w:t>terms</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088</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Similar lines of argument may be developed for the implication of terms “in law” as have been just </w:t>
      </w:r>
      <w:bookmarkStart w:name="_bookmark1307" w:id="1309"/>
      <w:bookmarkEnd w:id="1309"/>
      <w:r>
        <w:rPr/>
        <w:t>exposed</w:t>
      </w:r>
      <w:r>
        <w:rPr/>
        <w:t> in relation to the construction of express terms, so as to contend that a court should imply </w:t>
      </w:r>
      <w:r>
        <w:rPr/>
        <w:t>a term in a contract so as to give protection to the Convention rights of parties or of non-parties. </w:t>
      </w:r>
      <w:r>
        <w:rPr>
          <w:color w:val="005DA1"/>
          <w:u w:val="single" w:color="005DA1"/>
          <w:vertAlign w:val="superscript"/>
        </w:rPr>
        <w:t>704</w:t>
      </w:r>
      <w:r>
        <w:rPr>
          <w:color w:val="005DA1"/>
          <w:vertAlign w:val="baseline"/>
        </w:rPr>
        <w:t> </w:t>
      </w:r>
      <w:bookmarkStart w:name="_bookmark1308" w:id="1310"/>
      <w:bookmarkEnd w:id="1310"/>
      <w:r>
        <w:rPr>
          <w:color w:val="005DA1"/>
          <w:w w:val="92"/>
          <w:vertAlign w:val="baseline"/>
        </w:rPr>
      </w:r>
      <w:r>
        <w:rPr>
          <w:vertAlign w:val="baseline"/>
        </w:rPr>
        <w:t>However,</w:t>
      </w:r>
      <w:r>
        <w:rPr>
          <w:spacing w:val="9"/>
          <w:vertAlign w:val="baseline"/>
        </w:rPr>
        <w:t> </w:t>
      </w:r>
      <w:r>
        <w:rPr>
          <w:vertAlign w:val="baseline"/>
        </w:rPr>
        <w:t>under</w:t>
      </w:r>
      <w:r>
        <w:rPr>
          <w:spacing w:val="9"/>
          <w:vertAlign w:val="baseline"/>
        </w:rPr>
        <w:t> </w:t>
      </w:r>
      <w:r>
        <w:rPr>
          <w:vertAlign w:val="baseline"/>
        </w:rPr>
        <w:t>the</w:t>
      </w:r>
      <w:r>
        <w:rPr>
          <w:spacing w:val="9"/>
          <w:vertAlign w:val="baseline"/>
        </w:rPr>
        <w:t> </w:t>
      </w:r>
      <w:r>
        <w:rPr>
          <w:vertAlign w:val="baseline"/>
        </w:rPr>
        <w:t>established</w:t>
      </w:r>
      <w:r>
        <w:rPr>
          <w:spacing w:val="9"/>
          <w:vertAlign w:val="baseline"/>
        </w:rPr>
        <w:t> </w:t>
      </w:r>
      <w:r>
        <w:rPr>
          <w:vertAlign w:val="baseline"/>
        </w:rPr>
        <w:t>test</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implication</w:t>
      </w:r>
      <w:r>
        <w:rPr>
          <w:spacing w:val="9"/>
          <w:vertAlign w:val="baseline"/>
        </w:rPr>
        <w:t> </w:t>
      </w:r>
      <w:r>
        <w:rPr>
          <w:vertAlign w:val="baseline"/>
        </w:rPr>
        <w:t>of</w:t>
      </w:r>
      <w:r>
        <w:rPr>
          <w:spacing w:val="9"/>
          <w:vertAlign w:val="baseline"/>
        </w:rPr>
        <w:t> </w:t>
      </w:r>
      <w:r>
        <w:rPr>
          <w:vertAlign w:val="baseline"/>
        </w:rPr>
        <w:t>such</w:t>
      </w:r>
      <w:r>
        <w:rPr>
          <w:spacing w:val="9"/>
          <w:vertAlign w:val="baseline"/>
        </w:rPr>
        <w:t> </w:t>
      </w:r>
      <w:r>
        <w:rPr>
          <w:vertAlign w:val="baseline"/>
        </w:rPr>
        <w:t>terms</w:t>
      </w:r>
      <w:r>
        <w:rPr>
          <w:spacing w:val="9"/>
          <w:vertAlign w:val="baseline"/>
        </w:rPr>
        <w:t> </w:t>
      </w:r>
      <w:r>
        <w:rPr>
          <w:vertAlign w:val="baseline"/>
        </w:rPr>
        <w:t>that</w:t>
      </w:r>
      <w:r>
        <w:rPr>
          <w:spacing w:val="9"/>
          <w:vertAlign w:val="baseline"/>
        </w:rPr>
        <w:t> </w:t>
      </w:r>
      <w:r>
        <w:rPr>
          <w:vertAlign w:val="baseline"/>
        </w:rPr>
        <w:t>they</w:t>
      </w:r>
      <w:r>
        <w:rPr>
          <w:spacing w:val="9"/>
          <w:vertAlign w:val="baseline"/>
        </w:rPr>
        <w:t> </w:t>
      </w:r>
      <w:r>
        <w:rPr>
          <w:vertAlign w:val="baseline"/>
        </w:rPr>
        <w:t>are</w:t>
      </w:r>
      <w:r>
        <w:rPr>
          <w:spacing w:val="9"/>
          <w:vertAlign w:val="baseline"/>
        </w:rPr>
        <w:t> </w:t>
      </w:r>
      <w:r>
        <w:rPr>
          <w:vertAlign w:val="baseline"/>
        </w:rPr>
        <w:t>necessary</w:t>
      </w:r>
      <w:r>
        <w:rPr>
          <w:spacing w:val="9"/>
          <w:vertAlign w:val="baseline"/>
        </w:rPr>
        <w:t> </w:t>
      </w:r>
      <w:r>
        <w:rPr>
          <w:vertAlign w:val="baseline"/>
        </w:rPr>
        <w:t>as</w:t>
      </w:r>
      <w:r>
        <w:rPr>
          <w:spacing w:val="9"/>
          <w:vertAlign w:val="baseline"/>
        </w:rPr>
        <w:t> </w:t>
      </w:r>
      <w:r>
        <w:rPr>
          <w:spacing w:val="-4"/>
          <w:vertAlign w:val="baseline"/>
        </w:rPr>
        <w:t>well</w:t>
      </w:r>
    </w:p>
    <w:p>
      <w:pPr>
        <w:pStyle w:val="BodyText"/>
        <w:spacing w:line="235" w:lineRule="auto" w:before="119"/>
        <w:ind w:left="165" w:right="167"/>
        <w:jc w:val="both"/>
      </w:pPr>
      <w:bookmarkStart w:name="_bookmark1309" w:id="1311"/>
      <w:bookmarkEnd w:id="1311"/>
      <w:r>
        <w:rPr/>
      </w:r>
      <w:r>
        <w:rPr/>
        <w:t>as reasonable, </w:t>
      </w:r>
      <w:r>
        <w:rPr>
          <w:color w:val="005DA1"/>
          <w:u w:val="single" w:color="005DA1"/>
          <w:vertAlign w:val="superscript"/>
        </w:rPr>
        <w:t>705</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4"/>
          <w:vertAlign w:val="baseline"/>
        </w:rPr>
        <w:t> </w:t>
      </w:r>
      <w:r>
        <w:rPr>
          <w:vertAlign w:val="baseline"/>
        </w:rPr>
        <w:t>and where neither party to the contract is a public authority </w:t>
      </w:r>
      <w:r>
        <w:rPr>
          <w:color w:val="005DA1"/>
          <w:u w:val="single" w:color="005DA1"/>
          <w:vertAlign w:val="superscript"/>
        </w:rPr>
        <w:t>706</w:t>
      </w:r>
      <w:r>
        <w:rPr>
          <w:color w:val="005DA1"/>
          <w:vertAlign w:val="baseline"/>
        </w:rPr>
        <w:t> </w:t>
      </w:r>
      <w:r>
        <w:rPr>
          <w:vertAlign w:val="baseline"/>
        </w:rPr>
        <w:t>it is difficult to see the genuine necessity of the implication of such a term. And under Lord Hoffmann’s reformulation of the law governing the implication of terms which asks whether a particular implied term provision “would spell out in express words what the instrument, read against the relevant background, would </w:t>
      </w:r>
      <w:bookmarkStart w:name="_bookmark1310" w:id="1312"/>
      <w:bookmarkEnd w:id="1312"/>
      <w:r>
        <w:rPr>
          <w:vertAlign w:val="baseline"/>
        </w:rPr>
        <w:t>reasonably</w:t>
      </w:r>
      <w:r>
        <w:rPr>
          <w:spacing w:val="24"/>
          <w:vertAlign w:val="baseline"/>
        </w:rPr>
        <w:t> </w:t>
      </w:r>
      <w:r>
        <w:rPr>
          <w:vertAlign w:val="baseline"/>
        </w:rPr>
        <w:t>be</w:t>
      </w:r>
      <w:r>
        <w:rPr>
          <w:spacing w:val="24"/>
          <w:vertAlign w:val="baseline"/>
        </w:rPr>
        <w:t> </w:t>
      </w:r>
      <w:r>
        <w:rPr>
          <w:vertAlign w:val="baseline"/>
        </w:rPr>
        <w:t>understood</w:t>
      </w:r>
      <w:r>
        <w:rPr>
          <w:spacing w:val="24"/>
          <w:vertAlign w:val="baseline"/>
        </w:rPr>
        <w:t> </w:t>
      </w:r>
      <w:r>
        <w:rPr>
          <w:vertAlign w:val="baseline"/>
        </w:rPr>
        <w:t>to</w:t>
      </w:r>
      <w:r>
        <w:rPr>
          <w:spacing w:val="24"/>
          <w:vertAlign w:val="baseline"/>
        </w:rPr>
        <w:t> </w:t>
      </w:r>
      <w:r>
        <w:rPr>
          <w:vertAlign w:val="baseline"/>
        </w:rPr>
        <w:t>mean”,</w:t>
      </w:r>
      <w:r>
        <w:rPr>
          <w:spacing w:val="24"/>
          <w:vertAlign w:val="baseline"/>
        </w:rPr>
        <w:t> </w:t>
      </w:r>
      <w:r>
        <w:rPr>
          <w:vertAlign w:val="baseline"/>
        </w:rPr>
        <w:t>such</w:t>
      </w:r>
      <w:r>
        <w:rPr>
          <w:spacing w:val="24"/>
          <w:vertAlign w:val="baseline"/>
        </w:rPr>
        <w:t> </w:t>
      </w:r>
      <w:r>
        <w:rPr>
          <w:vertAlign w:val="baseline"/>
        </w:rPr>
        <w:t>an</w:t>
      </w:r>
      <w:r>
        <w:rPr>
          <w:spacing w:val="24"/>
          <w:vertAlign w:val="baseline"/>
        </w:rPr>
        <w:t> </w:t>
      </w:r>
      <w:r>
        <w:rPr>
          <w:vertAlign w:val="baseline"/>
        </w:rPr>
        <w:t>approach</w:t>
      </w:r>
      <w:r>
        <w:rPr>
          <w:spacing w:val="24"/>
          <w:vertAlign w:val="baseline"/>
        </w:rPr>
        <w:t> </w:t>
      </w:r>
      <w:r>
        <w:rPr>
          <w:vertAlign w:val="baseline"/>
        </w:rPr>
        <w:t>to</w:t>
      </w:r>
      <w:r>
        <w:rPr>
          <w:spacing w:val="24"/>
          <w:vertAlign w:val="baseline"/>
        </w:rPr>
        <w:t> </w:t>
      </w:r>
      <w:r>
        <w:rPr>
          <w:vertAlign w:val="baseline"/>
        </w:rPr>
        <w:t>the</w:t>
      </w:r>
      <w:r>
        <w:rPr>
          <w:spacing w:val="24"/>
          <w:vertAlign w:val="baseline"/>
        </w:rPr>
        <w:t> </w:t>
      </w:r>
      <w:r>
        <w:rPr>
          <w:vertAlign w:val="baseline"/>
        </w:rPr>
        <w:t>implication</w:t>
      </w:r>
      <w:r>
        <w:rPr>
          <w:spacing w:val="24"/>
          <w:vertAlign w:val="baseline"/>
        </w:rPr>
        <w:t> </w:t>
      </w:r>
      <w:r>
        <w:rPr>
          <w:vertAlign w:val="baseline"/>
        </w:rPr>
        <w:t>of</w:t>
      </w:r>
      <w:r>
        <w:rPr>
          <w:spacing w:val="24"/>
          <w:vertAlign w:val="baseline"/>
        </w:rPr>
        <w:t> </w:t>
      </w:r>
      <w:r>
        <w:rPr>
          <w:vertAlign w:val="baseline"/>
        </w:rPr>
        <w:t>terms</w:t>
      </w:r>
      <w:r>
        <w:rPr>
          <w:spacing w:val="24"/>
          <w:vertAlign w:val="baseline"/>
        </w:rPr>
        <w:t> </w:t>
      </w:r>
      <w:r>
        <w:rPr>
          <w:vertAlign w:val="baseline"/>
        </w:rPr>
        <w:t>so</w:t>
      </w:r>
      <w:r>
        <w:rPr>
          <w:spacing w:val="24"/>
          <w:vertAlign w:val="baseline"/>
        </w:rPr>
        <w:t> </w:t>
      </w:r>
      <w:r>
        <w:rPr>
          <w:vertAlign w:val="baseline"/>
        </w:rPr>
        <w:t>as</w:t>
      </w:r>
      <w:r>
        <w:rPr>
          <w:spacing w:val="24"/>
          <w:vertAlign w:val="baseline"/>
        </w:rPr>
        <w:t> </w:t>
      </w:r>
      <w:r>
        <w:rPr>
          <w:vertAlign w:val="baseline"/>
        </w:rPr>
        <w:t>to</w:t>
      </w:r>
      <w:r>
        <w:rPr>
          <w:spacing w:val="24"/>
          <w:vertAlign w:val="baseline"/>
        </w:rPr>
        <w:t> </w:t>
      </w:r>
      <w:r>
        <w:rPr>
          <w:spacing w:val="-2"/>
          <w:vertAlign w:val="baseline"/>
        </w:rPr>
        <w:t>protect</w:t>
      </w:r>
    </w:p>
    <w:p>
      <w:pPr>
        <w:pStyle w:val="BodyText"/>
        <w:spacing w:line="235" w:lineRule="auto" w:before="118"/>
        <w:ind w:left="165" w:right="167"/>
        <w:jc w:val="both"/>
      </w:pPr>
      <w:r>
        <w:rPr/>
        <w:t>Convention rights looks even less likely. </w:t>
      </w:r>
      <w:r>
        <w:rPr>
          <w:color w:val="005DA1"/>
          <w:u w:val="single" w:color="005DA1"/>
          <w:vertAlign w:val="superscript"/>
        </w:rPr>
        <w:t>707</w:t>
      </w:r>
      <w:r>
        <w:rPr>
          <w:color w:val="005DA1"/>
          <w:spacing w:val="80"/>
          <w:vertAlign w:val="baseline"/>
        </w:rPr>
        <w:t> </w:t>
      </w:r>
      <w:r>
        <w:rPr>
          <w:color w:val="005DA1"/>
          <w:spacing w:val="-28"/>
          <w:position w:val="-2"/>
          <w:vertAlign w:val="baseline"/>
        </w:rPr>
        <w:drawing>
          <wp:inline distT="0" distB="0" distL="0" distR="0">
            <wp:extent cx="107988" cy="107988"/>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8"/>
          <w:position w:val="-2"/>
          <w:vertAlign w:val="baseline"/>
        </w:rPr>
      </w:r>
      <w:r>
        <w:rPr>
          <w:rFonts w:ascii="Times New Roman" w:hAnsi="Times New Roman"/>
          <w:color w:val="005DA1"/>
          <w:spacing w:val="40"/>
          <w:vertAlign w:val="baseline"/>
        </w:rPr>
        <w:t> </w:t>
      </w:r>
      <w:r>
        <w:rPr>
          <w:vertAlign w:val="baseline"/>
        </w:rPr>
        <w:t>Again, though, if the courts as themselves </w:t>
      </w:r>
      <w:r>
        <w:rPr>
          <w:vertAlign w:val="baseline"/>
        </w:rPr>
        <w:t>“public authorities” have a duty under the 1998 Act to adapt and develop the common law so as to protect </w:t>
      </w:r>
      <w:bookmarkStart w:name="_bookmark1311" w:id="1313"/>
      <w:bookmarkEnd w:id="1313"/>
      <w:r>
        <w:rPr>
          <w:vertAlign w:val="baseline"/>
        </w:rPr>
        <w:t>Convention</w:t>
      </w:r>
      <w:r>
        <w:rPr>
          <w:vertAlign w:val="baseline"/>
        </w:rPr>
        <w:t> rights, then the proper approach to the implication of terms could itself fall to be interpreted</w:t>
      </w:r>
      <w:r>
        <w:rPr>
          <w:spacing w:val="18"/>
          <w:vertAlign w:val="baseline"/>
        </w:rPr>
        <w:t> </w:t>
      </w:r>
      <w:r>
        <w:rPr>
          <w:vertAlign w:val="baseline"/>
        </w:rPr>
        <w:t>or</w:t>
      </w:r>
      <w:r>
        <w:rPr>
          <w:spacing w:val="19"/>
          <w:vertAlign w:val="baseline"/>
        </w:rPr>
        <w:t> </w:t>
      </w:r>
      <w:r>
        <w:rPr>
          <w:vertAlign w:val="baseline"/>
        </w:rPr>
        <w:t>adapted</w:t>
      </w:r>
      <w:r>
        <w:rPr>
          <w:spacing w:val="19"/>
          <w:vertAlign w:val="baseline"/>
        </w:rPr>
        <w:t> </w:t>
      </w:r>
      <w:r>
        <w:rPr>
          <w:vertAlign w:val="baseline"/>
        </w:rPr>
        <w:t>so</w:t>
      </w:r>
      <w:r>
        <w:rPr>
          <w:spacing w:val="19"/>
          <w:vertAlign w:val="baseline"/>
        </w:rPr>
        <w:t> </w:t>
      </w:r>
      <w:r>
        <w:rPr>
          <w:vertAlign w:val="baseline"/>
        </w:rPr>
        <w:t>as</w:t>
      </w:r>
      <w:r>
        <w:rPr>
          <w:spacing w:val="19"/>
          <w:vertAlign w:val="baseline"/>
        </w:rPr>
        <w:t> </w:t>
      </w:r>
      <w:r>
        <w:rPr>
          <w:vertAlign w:val="baseline"/>
        </w:rPr>
        <w:t>to</w:t>
      </w:r>
      <w:r>
        <w:rPr>
          <w:spacing w:val="19"/>
          <w:vertAlign w:val="baseline"/>
        </w:rPr>
        <w:t> </w:t>
      </w:r>
      <w:r>
        <w:rPr>
          <w:vertAlign w:val="baseline"/>
        </w:rPr>
        <w:t>promote</w:t>
      </w:r>
      <w:r>
        <w:rPr>
          <w:spacing w:val="19"/>
          <w:vertAlign w:val="baseline"/>
        </w:rPr>
        <w:t> </w:t>
      </w:r>
      <w:r>
        <w:rPr>
          <w:vertAlign w:val="baseline"/>
        </w:rPr>
        <w:t>the</w:t>
      </w:r>
      <w:r>
        <w:rPr>
          <w:spacing w:val="19"/>
          <w:vertAlign w:val="baseline"/>
        </w:rPr>
        <w:t> </w:t>
      </w:r>
      <w:r>
        <w:rPr>
          <w:vertAlign w:val="baseline"/>
        </w:rPr>
        <w:t>protection</w:t>
      </w:r>
      <w:r>
        <w:rPr>
          <w:spacing w:val="19"/>
          <w:vertAlign w:val="baseline"/>
        </w:rPr>
        <w:t> </w:t>
      </w:r>
      <w:r>
        <w:rPr>
          <w:vertAlign w:val="baseline"/>
        </w:rPr>
        <w:t>of</w:t>
      </w:r>
      <w:r>
        <w:rPr>
          <w:spacing w:val="19"/>
          <w:vertAlign w:val="baseline"/>
        </w:rPr>
        <w:t> </w:t>
      </w:r>
      <w:r>
        <w:rPr>
          <w:vertAlign w:val="baseline"/>
        </w:rPr>
        <w:t>Convention</w:t>
      </w:r>
      <w:r>
        <w:rPr>
          <w:spacing w:val="19"/>
          <w:vertAlign w:val="baseline"/>
        </w:rPr>
        <w:t> </w:t>
      </w:r>
      <w:r>
        <w:rPr>
          <w:vertAlign w:val="baseline"/>
        </w:rPr>
        <w:t>rights.</w:t>
      </w:r>
      <w:r>
        <w:rPr>
          <w:spacing w:val="18"/>
          <w:vertAlign w:val="baseline"/>
        </w:rPr>
        <w:t> </w:t>
      </w:r>
      <w:r>
        <w:rPr>
          <w:color w:val="005DA1"/>
          <w:u w:val="single" w:color="005DA1"/>
          <w:vertAlign w:val="superscript"/>
        </w:rPr>
        <w:t>708</w:t>
      </w:r>
      <w:r>
        <w:rPr>
          <w:color w:val="005DA1"/>
          <w:spacing w:val="19"/>
          <w:vertAlign w:val="baseline"/>
        </w:rPr>
        <w:t> </w:t>
      </w:r>
      <w:r>
        <w:rPr>
          <w:vertAlign w:val="baseline"/>
        </w:rPr>
        <w:t>In</w:t>
      </w:r>
      <w:r>
        <w:rPr>
          <w:spacing w:val="19"/>
          <w:vertAlign w:val="baseline"/>
        </w:rPr>
        <w:t> </w:t>
      </w:r>
      <w:r>
        <w:rPr>
          <w:vertAlign w:val="baseline"/>
        </w:rPr>
        <w:t>support</w:t>
      </w:r>
      <w:r>
        <w:rPr>
          <w:spacing w:val="19"/>
          <w:vertAlign w:val="baseline"/>
        </w:rPr>
        <w:t> </w:t>
      </w:r>
      <w:r>
        <w:rPr>
          <w:vertAlign w:val="baseline"/>
        </w:rPr>
        <w:t>of</w:t>
      </w:r>
      <w:r>
        <w:rPr>
          <w:spacing w:val="19"/>
          <w:vertAlign w:val="baseline"/>
        </w:rPr>
        <w:t> </w:t>
      </w:r>
      <w:r>
        <w:rPr>
          <w:vertAlign w:val="baseline"/>
        </w:rPr>
        <w:t>this,</w:t>
      </w:r>
      <w:r>
        <w:rPr>
          <w:spacing w:val="19"/>
          <w:vertAlign w:val="baseline"/>
        </w:rPr>
        <w:t> </w:t>
      </w:r>
      <w:r>
        <w:rPr>
          <w:spacing w:val="-5"/>
          <w:vertAlign w:val="baseline"/>
        </w:rPr>
        <w:t>it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6"/>
        <w:jc w:val="both"/>
      </w:pPr>
      <w:r>
        <w:rPr/>
        <w:t>may be argued that the courts have historically taken a more or a less liberal approach to </w:t>
      </w:r>
      <w:r>
        <w:rPr/>
        <w:t>the </w:t>
      </w:r>
      <w:bookmarkStart w:name="_bookmark1312" w:id="1314"/>
      <w:bookmarkEnd w:id="1314"/>
      <w:r>
        <w:rPr/>
        <w:t>implication</w:t>
      </w:r>
      <w:r>
        <w:rPr/>
        <w:t> of terms so as to give effect to their own views of the proper balance of interest between the parties and to create thereby the incidents of particular types of contract. </w:t>
      </w:r>
      <w:r>
        <w:rPr>
          <w:color w:val="005DA1"/>
          <w:u w:val="single" w:color="005DA1"/>
          <w:vertAlign w:val="superscript"/>
        </w:rPr>
        <w:t>709</w:t>
      </w:r>
      <w:r>
        <w:rPr>
          <w:color w:val="005DA1"/>
          <w:vertAlign w:val="baseline"/>
        </w:rPr>
        <w:t> </w:t>
      </w:r>
      <w:r>
        <w:rPr>
          <w:vertAlign w:val="baseline"/>
        </w:rPr>
        <w:t>At least as regards the protection of the Convention rights of the parties to the contract, use of an implied term to achieve compatibility may not be alien to the spirit of the common law technique. On the other hand, the technique of implication of terms does have its limits, given that they must be fitted around the</w:t>
      </w:r>
      <w:r>
        <w:rPr>
          <w:spacing w:val="40"/>
          <w:vertAlign w:val="baseline"/>
        </w:rPr>
        <w:t> </w:t>
      </w:r>
      <w:r>
        <w:rPr>
          <w:vertAlign w:val="baseline"/>
        </w:rPr>
        <w:t>express terms and legal regulation of the contract in question. So, for example, it has been held that no term to maintain the dwelling in good condition should be implied in a residential tenancy which contains only an express term to keep the </w:t>
      </w:r>
      <w:r>
        <w:rPr>
          <w:rFonts w:ascii="Arial" w:hAnsi="Arial"/>
          <w:i/>
          <w:vertAlign w:val="baseline"/>
        </w:rPr>
        <w:t>structure </w:t>
      </w:r>
      <w:r>
        <w:rPr>
          <w:vertAlign w:val="baseline"/>
        </w:rPr>
        <w:t>in good repair or which contains no express </w:t>
      </w:r>
      <w:bookmarkStart w:name="_bookmark1313" w:id="1315"/>
      <w:bookmarkEnd w:id="1315"/>
      <w:r>
        <w:rPr>
          <w:vertAlign w:val="baseline"/>
        </w:rPr>
        <w:t>repairing</w:t>
      </w:r>
      <w:r>
        <w:rPr>
          <w:vertAlign w:val="baseline"/>
        </w:rPr>
        <w:t> obligation on the landlord as this would “invite the criticism that the court is seeking to make for the parties a bargain which they have not themselves made”. </w:t>
      </w:r>
      <w:r>
        <w:rPr>
          <w:color w:val="005DA1"/>
          <w:u w:val="single" w:color="005DA1"/>
          <w:vertAlign w:val="superscript"/>
        </w:rPr>
        <w:t>710</w:t>
      </w:r>
    </w:p>
    <w:p>
      <w:pPr>
        <w:pStyle w:val="BodyText"/>
      </w:pPr>
    </w:p>
    <w:p>
      <w:pPr>
        <w:pStyle w:val="BodyText"/>
        <w:spacing w:before="35"/>
      </w:pPr>
    </w:p>
    <w:p>
      <w:pPr>
        <w:spacing w:before="0"/>
        <w:ind w:left="165" w:right="0" w:firstLine="0"/>
        <w:jc w:val="left"/>
        <w:rPr>
          <w:rFonts w:ascii="Arial"/>
          <w:b/>
          <w:sz w:val="18"/>
        </w:rPr>
      </w:pPr>
      <w:r>
        <w:rPr>
          <w:rFonts w:ascii="Arial"/>
          <w:b/>
          <w:sz w:val="18"/>
        </w:rPr>
        <w:t>Open-textured norms governing the </w:t>
      </w:r>
      <w:r>
        <w:rPr>
          <w:rFonts w:ascii="Arial"/>
          <w:b/>
          <w:spacing w:val="-2"/>
          <w:sz w:val="18"/>
        </w:rPr>
        <w:t>contract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089</w:t>
      </w:r>
    </w:p>
    <w:p>
      <w:pPr>
        <w:pStyle w:val="BodyText"/>
        <w:spacing w:line="235" w:lineRule="auto" w:before="203"/>
        <w:ind w:left="164" w:right="167"/>
        <w:jc w:val="both"/>
      </w:pPr>
      <w:r>
        <w:rPr/>
        <w:t>The courts may also protect or promote Convention rights in the process of the interpretation </w:t>
      </w:r>
      <w:r>
        <w:rPr/>
        <w:t>and </w:t>
      </w:r>
      <w:bookmarkStart w:name="_bookmark1314" w:id="1316"/>
      <w:bookmarkEnd w:id="1316"/>
      <w:r>
        <w:rPr/>
        <w:t>application</w:t>
      </w:r>
      <w:r>
        <w:rPr/>
        <w:t> of broad or “open-textured” norms applicable to particular types of contract, whether these </w:t>
      </w:r>
      <w:bookmarkStart w:name="_bookmark1315" w:id="1317"/>
      <w:bookmarkEnd w:id="1317"/>
      <w:r>
        <w:rPr/>
        <w:t>norms</w:t>
      </w:r>
      <w:r>
        <w:rPr/>
        <w:t> are expressed as implied terms or as common law rules, </w:t>
      </w:r>
      <w:r>
        <w:rPr>
          <w:color w:val="005DA1"/>
          <w:u w:val="single" w:color="005DA1"/>
          <w:vertAlign w:val="superscript"/>
        </w:rPr>
        <w:t>711</w:t>
      </w:r>
      <w:r>
        <w:rPr>
          <w:color w:val="005DA1"/>
          <w:vertAlign w:val="baseline"/>
        </w:rPr>
        <w:t> </w:t>
      </w:r>
      <w:r>
        <w:rPr>
          <w:vertAlign w:val="baseline"/>
        </w:rPr>
        <w:t>even where neither party is a “public authority” so as to be caught directly by s.6 of the 1998 Act. </w:t>
      </w:r>
      <w:r>
        <w:rPr>
          <w:color w:val="005DA1"/>
          <w:u w:val="single" w:color="005DA1"/>
          <w:vertAlign w:val="superscript"/>
        </w:rPr>
        <w:t>712</w:t>
      </w:r>
      <w:r>
        <w:rPr>
          <w:color w:val="005DA1"/>
          <w:vertAlign w:val="baseline"/>
        </w:rPr>
        <w:t> </w:t>
      </w:r>
      <w:r>
        <w:rPr>
          <w:vertAlign w:val="baseline"/>
        </w:rPr>
        <w:t>So, for example, at common </w:t>
      </w:r>
      <w:bookmarkStart w:name="_bookmark1316" w:id="1318"/>
      <w:bookmarkEnd w:id="1318"/>
      <w:r>
        <w:rPr>
          <w:vertAlign w:val="baseline"/>
        </w:rPr>
        <w:t>law</w:t>
      </w:r>
      <w:r>
        <w:rPr>
          <w:vertAlign w:val="baseline"/>
        </w:rPr>
        <w:t> it has been held that contracts of employment contain as their incident an implied term of mutual trust and confidence between the parties. </w:t>
      </w:r>
      <w:r>
        <w:rPr>
          <w:color w:val="005DA1"/>
          <w:u w:val="single" w:color="005DA1"/>
          <w:vertAlign w:val="superscript"/>
        </w:rPr>
        <w:t>713</w:t>
      </w:r>
      <w:r>
        <w:rPr>
          <w:color w:val="005DA1"/>
          <w:vertAlign w:val="baseline"/>
        </w:rPr>
        <w:t> </w:t>
      </w:r>
      <w:r>
        <w:rPr>
          <w:vertAlign w:val="baseline"/>
        </w:rPr>
        <w:t>Such a term could be used by a court as a vehicle for</w:t>
      </w:r>
      <w:r>
        <w:rPr>
          <w:spacing w:val="40"/>
          <w:vertAlign w:val="baseline"/>
        </w:rPr>
        <w:t> </w:t>
      </w:r>
      <w:r>
        <w:rPr>
          <w:vertAlign w:val="baseline"/>
        </w:rPr>
        <w:t>the protection of an employee’s rights under the Convention, for example, his right to privacy or </w:t>
      </w:r>
      <w:bookmarkStart w:name="_bookmark1317" w:id="1319"/>
      <w:bookmarkEnd w:id="1319"/>
      <w:r>
        <w:rPr>
          <w:vertAlign w:val="baseline"/>
        </w:rPr>
        <w:t>freedom</w:t>
      </w:r>
      <w:r>
        <w:rPr>
          <w:vertAlign w:val="baseline"/>
        </w:rPr>
        <w:t> of expression, by treating a disregard by an employer of his employee’s rights as a breach of his obligation of trust and confidence. </w:t>
      </w:r>
      <w:r>
        <w:rPr>
          <w:color w:val="005DA1"/>
          <w:u w:val="single" w:color="005DA1"/>
          <w:vertAlign w:val="superscript"/>
        </w:rPr>
        <w:t>714</w:t>
      </w:r>
      <w:r>
        <w:rPr>
          <w:color w:val="005DA1"/>
          <w:vertAlign w:val="baseline"/>
        </w:rPr>
        <w:t> </w:t>
      </w:r>
      <w:r>
        <w:rPr>
          <w:vertAlign w:val="baseline"/>
        </w:rPr>
        <w:t>Such a development could be seen as reflecting a positive, indirect impact of the Human Rights Act on contractual relations, positive in that it would increase the </w:t>
      </w:r>
      <w:bookmarkStart w:name="_bookmark1318" w:id="1320"/>
      <w:bookmarkEnd w:id="1320"/>
      <w:r>
        <w:rPr>
          <w:vertAlign w:val="baseline"/>
        </w:rPr>
        <w:t>practical</w:t>
      </w:r>
      <w:r>
        <w:rPr>
          <w:vertAlign w:val="baseline"/>
        </w:rPr>
        <w:t> duties of employer or employee, even if under the cover of an existing general implied term. Moreover, in </w:t>
      </w:r>
      <w:r>
        <w:rPr>
          <w:rFonts w:ascii="Arial" w:hAnsi="Arial"/>
          <w:i/>
          <w:vertAlign w:val="baseline"/>
        </w:rPr>
        <w:t>Telchadder v Wickland (Holdings) Ltd </w:t>
      </w:r>
      <w:r>
        <w:rPr>
          <w:color w:val="005DA1"/>
          <w:u w:val="single" w:color="005DA1"/>
          <w:vertAlign w:val="superscript"/>
        </w:rPr>
        <w:t>715</w:t>
      </w:r>
      <w:r>
        <w:rPr>
          <w:color w:val="005DA1"/>
          <w:vertAlign w:val="baseline"/>
        </w:rPr>
        <w:t> </w:t>
      </w:r>
      <w:r>
        <w:rPr>
          <w:vertAlign w:val="baseline"/>
        </w:rPr>
        <w:t>the Court of Appeal accepted that in considering</w:t>
      </w:r>
      <w:r>
        <w:rPr>
          <w:spacing w:val="-2"/>
          <w:vertAlign w:val="baseline"/>
        </w:rPr>
        <w:t> </w:t>
      </w:r>
      <w:r>
        <w:rPr>
          <w:vertAlign w:val="baseline"/>
        </w:rPr>
        <w:t>the</w:t>
      </w:r>
      <w:r>
        <w:rPr>
          <w:spacing w:val="-2"/>
          <w:vertAlign w:val="baseline"/>
        </w:rPr>
        <w:t> </w:t>
      </w:r>
      <w:r>
        <w:rPr>
          <w:vertAlign w:val="baseline"/>
        </w:rPr>
        <w:t>reasonableness</w:t>
      </w:r>
      <w:r>
        <w:rPr>
          <w:spacing w:val="-2"/>
          <w:vertAlign w:val="baseline"/>
        </w:rPr>
        <w:t> </w:t>
      </w:r>
      <w:r>
        <w:rPr>
          <w:vertAlign w:val="baseline"/>
        </w:rPr>
        <w:t>of</w:t>
      </w:r>
      <w:r>
        <w:rPr>
          <w:spacing w:val="-2"/>
          <w:vertAlign w:val="baseline"/>
        </w:rPr>
        <w:t> </w:t>
      </w:r>
      <w:r>
        <w:rPr>
          <w:vertAlign w:val="baseline"/>
        </w:rPr>
        <w:t>termination</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private</w:t>
      </w:r>
      <w:r>
        <w:rPr>
          <w:spacing w:val="-2"/>
          <w:vertAlign w:val="baseline"/>
        </w:rPr>
        <w:t> </w:t>
      </w:r>
      <w:r>
        <w:rPr>
          <w:vertAlign w:val="baseline"/>
        </w:rPr>
        <w:t>landowner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licence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mobile-home owner (as provided for by the Mobile Homes Act 1983), a court should consider, inter alia, the competing rights of the parties under art.8 and art.1 of the First Protocol of the Convention, accepting </w:t>
      </w:r>
      <w:bookmarkStart w:name="_bookmark1319" w:id="1321"/>
      <w:bookmarkEnd w:id="1321"/>
      <w:r>
        <w:rPr>
          <w:vertAlign w:val="baseline"/>
        </w:rPr>
        <w:t>an</w:t>
      </w:r>
      <w:r>
        <w:rPr>
          <w:vertAlign w:val="baseline"/>
        </w:rPr>
        <w:t> argument to this effect based on the decision of the Supreme Court in </w:t>
      </w:r>
      <w:r>
        <w:rPr>
          <w:rFonts w:ascii="Arial" w:hAnsi="Arial"/>
          <w:i/>
          <w:vertAlign w:val="baseline"/>
        </w:rPr>
        <w:t>Manchester City Council v </w:t>
      </w:r>
      <w:bookmarkStart w:name="_bookmark1320" w:id="1322"/>
      <w:bookmarkEnd w:id="1322"/>
      <w:r>
        <w:rPr>
          <w:rFonts w:ascii="Arial" w:hAnsi="Arial"/>
          <w:i/>
          <w:vertAlign w:val="baseline"/>
        </w:rPr>
        <w:t>Pinnoc</w:t>
      </w:r>
      <w:r>
        <w:rPr>
          <w:rFonts w:ascii="Arial" w:hAnsi="Arial"/>
          <w:i/>
          <w:vertAlign w:val="baseline"/>
        </w:rPr>
        <w:t>k</w:t>
      </w:r>
      <w:r>
        <w:rPr>
          <w:vertAlign w:val="baseline"/>
        </w:rPr>
        <w:t>, </w:t>
      </w:r>
      <w:r>
        <w:rPr>
          <w:color w:val="005DA1"/>
          <w:u w:val="single" w:color="005DA1"/>
          <w:vertAlign w:val="superscript"/>
        </w:rPr>
        <w:t>716</w:t>
      </w:r>
      <w:r>
        <w:rPr>
          <w:color w:val="005DA1"/>
          <w:vertAlign w:val="baseline"/>
        </w:rPr>
        <w:t> </w:t>
      </w:r>
      <w:r>
        <w:rPr>
          <w:vertAlign w:val="baseline"/>
        </w:rPr>
        <w:t>even though the latter concerned the impact of the Human Rights Act on a public sector landlord. </w:t>
      </w:r>
      <w:r>
        <w:rPr>
          <w:color w:val="005DA1"/>
          <w:u w:val="single" w:color="005DA1"/>
          <w:vertAlign w:val="superscript"/>
        </w:rPr>
        <w:t>717</w:t>
      </w:r>
    </w:p>
    <w:p>
      <w:pPr>
        <w:pStyle w:val="BodyText"/>
      </w:pPr>
    </w:p>
    <w:p>
      <w:pPr>
        <w:pStyle w:val="BodyText"/>
        <w:spacing w:before="31"/>
      </w:pPr>
    </w:p>
    <w:p>
      <w:pPr>
        <w:spacing w:before="0"/>
        <w:ind w:left="165" w:right="0" w:firstLine="0"/>
        <w:jc w:val="left"/>
        <w:rPr>
          <w:rFonts w:ascii="Arial"/>
          <w:b/>
          <w:sz w:val="18"/>
        </w:rPr>
      </w:pPr>
      <w:r>
        <w:rPr>
          <w:rFonts w:ascii="Arial"/>
          <w:b/>
          <w:sz w:val="18"/>
        </w:rPr>
        <w:t>Open-textured controls on express contract </w:t>
      </w:r>
      <w:r>
        <w:rPr>
          <w:rFonts w:ascii="Arial"/>
          <w:b/>
          <w:spacing w:val="-2"/>
          <w:sz w:val="18"/>
        </w:rPr>
        <w:t>terms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090</w:t>
      </w:r>
    </w:p>
    <w:p>
      <w:pPr>
        <w:pStyle w:val="BodyText"/>
        <w:spacing w:line="235" w:lineRule="auto" w:before="202"/>
        <w:ind w:left="164" w:right="167"/>
        <w:jc w:val="both"/>
      </w:pPr>
      <w:r>
        <w:rPr/>
        <w:t>Rather differently, and “negatively” as it could lead to the striking down of contract terms, it may be argued that the judicial control of the fairness of terms in consumer contracts under the Unfair </w:t>
      </w:r>
      <w:r>
        <w:rPr/>
        <w:t>Terms </w:t>
      </w:r>
      <w:bookmarkStart w:name="_bookmark1321" w:id="1323"/>
      <w:bookmarkEnd w:id="1323"/>
      <w:r>
        <w:rPr/>
        <w:t>in</w:t>
      </w:r>
      <w:r>
        <w:rPr/>
        <w:t> Consumer Contracts Regulations 1999 or, to those contracts to which it applies, the Consumer Rights Act 2015 Pt 2, </w:t>
      </w:r>
      <w:r>
        <w:rPr>
          <w:color w:val="005DA1"/>
          <w:u w:val="single" w:color="005DA1"/>
          <w:vertAlign w:val="superscript"/>
        </w:rPr>
        <w:t>718</w:t>
      </w:r>
      <w:r>
        <w:rPr>
          <w:color w:val="005DA1"/>
          <w:vertAlign w:val="baseline"/>
        </w:rPr>
        <w:t> </w:t>
      </w:r>
      <w:r>
        <w:rPr>
          <w:vertAlign w:val="baseline"/>
        </w:rPr>
        <w:t>may properly take into account in determining whether a term “contrary to</w:t>
      </w:r>
      <w:r>
        <w:rPr>
          <w:spacing w:val="40"/>
          <w:vertAlign w:val="baseline"/>
        </w:rPr>
        <w:t> </w:t>
      </w:r>
      <w:bookmarkStart w:name="_bookmark1322" w:id="1324"/>
      <w:bookmarkEnd w:id="1324"/>
      <w:r>
        <w:rPr>
          <w:vertAlign w:val="baseline"/>
        </w:rPr>
        <w:t>the</w:t>
      </w:r>
      <w:r>
        <w:rPr>
          <w:vertAlign w:val="baseline"/>
        </w:rPr>
        <w:t> requirement of good faith, … causes a significant imbalance in the parties rights and obligations </w:t>
      </w:r>
      <w:bookmarkStart w:name="_bookmark1323" w:id="1325"/>
      <w:bookmarkEnd w:id="1325"/>
      <w:r>
        <w:rPr>
          <w:vertAlign w:val="baseline"/>
        </w:rPr>
        <w:t>arising</w:t>
      </w:r>
      <w:r>
        <w:rPr>
          <w:vertAlign w:val="baseline"/>
        </w:rPr>
        <w:t> under the contract, to the detriment of the consumer”, </w:t>
      </w:r>
      <w:r>
        <w:rPr>
          <w:color w:val="005DA1"/>
          <w:u w:val="single" w:color="005DA1"/>
          <w:vertAlign w:val="superscript"/>
        </w:rPr>
        <w:t>719</w:t>
      </w:r>
      <w:r>
        <w:rPr>
          <w:color w:val="005DA1"/>
          <w:vertAlign w:val="baseline"/>
        </w:rPr>
        <w:t> </w:t>
      </w:r>
      <w:r>
        <w:rPr>
          <w:vertAlign w:val="baseline"/>
        </w:rPr>
        <w:t>whether or not that term is incompatible with Convention rights. </w:t>
      </w:r>
      <w:r>
        <w:rPr>
          <w:color w:val="005DA1"/>
          <w:u w:val="single" w:color="005DA1"/>
          <w:vertAlign w:val="superscript"/>
        </w:rPr>
        <w:t>720</w:t>
      </w:r>
      <w:r>
        <w:rPr>
          <w:color w:val="005DA1"/>
          <w:vertAlign w:val="baseline"/>
        </w:rPr>
        <w:t> </w:t>
      </w:r>
      <w:r>
        <w:rPr>
          <w:vertAlign w:val="baseline"/>
        </w:rPr>
        <w:t>In this respect, it should be noted that the preamble to the EC Directive which the 1999 Regulations (and the 2015 Act) implement suggests that the function of the </w:t>
      </w:r>
      <w:bookmarkStart w:name="_bookmark1324" w:id="1326"/>
      <w:bookmarkEnd w:id="1326"/>
      <w:r>
        <w:rPr>
          <w:vertAlign w:val="baseline"/>
        </w:rPr>
        <w:t>“requirement</w:t>
      </w:r>
      <w:r>
        <w:rPr>
          <w:vertAlign w:val="baseline"/>
        </w:rPr>
        <w:t> of good faith” is to ensure that a court makes “an overall evaluation of the different interests</w:t>
      </w:r>
      <w:r>
        <w:rPr>
          <w:spacing w:val="-2"/>
          <w:vertAlign w:val="baseline"/>
        </w:rPr>
        <w:t> </w:t>
      </w:r>
      <w:r>
        <w:rPr>
          <w:vertAlign w:val="baseline"/>
        </w:rPr>
        <w:t>involved”,</w:t>
      </w:r>
      <w:r>
        <w:rPr>
          <w:spacing w:val="-2"/>
          <w:vertAlign w:val="baseline"/>
        </w:rPr>
        <w:t> </w:t>
      </w:r>
      <w:r>
        <w:rPr>
          <w:vertAlign w:val="baseline"/>
        </w:rPr>
        <w:t>and</w:t>
      </w:r>
      <w:r>
        <w:rPr>
          <w:spacing w:val="-2"/>
          <w:vertAlign w:val="baseline"/>
        </w:rPr>
        <w:t> </w:t>
      </w:r>
      <w:r>
        <w:rPr>
          <w:vertAlign w:val="baseline"/>
        </w:rPr>
        <w:t>it</w:t>
      </w:r>
      <w:r>
        <w:rPr>
          <w:spacing w:val="-2"/>
          <w:vertAlign w:val="baseline"/>
        </w:rPr>
        <w:t> </w:t>
      </w:r>
      <w:r>
        <w:rPr>
          <w:vertAlign w:val="baseline"/>
        </w:rPr>
        <w:t>then</w:t>
      </w:r>
      <w:r>
        <w:rPr>
          <w:spacing w:val="-2"/>
          <w:vertAlign w:val="baseline"/>
        </w:rPr>
        <w:t> </w:t>
      </w:r>
      <w:r>
        <w:rPr>
          <w:vertAlign w:val="baseline"/>
        </w:rPr>
        <w:t>refers</w:t>
      </w:r>
      <w:r>
        <w:rPr>
          <w:spacing w:val="-2"/>
          <w:vertAlign w:val="baseline"/>
        </w:rPr>
        <w:t> </w:t>
      </w:r>
      <w:r>
        <w:rPr>
          <w:vertAlign w:val="baseline"/>
        </w:rPr>
        <w:t>to</w:t>
      </w:r>
      <w:r>
        <w:rPr>
          <w:spacing w:val="-2"/>
          <w:vertAlign w:val="baseline"/>
        </w:rPr>
        <w:t> </w:t>
      </w:r>
      <w:r>
        <w:rPr>
          <w:vertAlign w:val="baseline"/>
        </w:rPr>
        <w:t>matters</w:t>
      </w:r>
      <w:r>
        <w:rPr>
          <w:spacing w:val="-2"/>
          <w:vertAlign w:val="baseline"/>
        </w:rPr>
        <w:t> </w:t>
      </w:r>
      <w:r>
        <w:rPr>
          <w:vertAlign w:val="baseline"/>
        </w:rPr>
        <w:t>which</w:t>
      </w:r>
      <w:r>
        <w:rPr>
          <w:spacing w:val="-2"/>
          <w:vertAlign w:val="baseline"/>
        </w:rPr>
        <w:t> </w:t>
      </w:r>
      <w:r>
        <w:rPr>
          <w:vertAlign w:val="baseline"/>
        </w:rPr>
        <w:t>appear</w:t>
      </w:r>
      <w:r>
        <w:rPr>
          <w:spacing w:val="-2"/>
          <w:vertAlign w:val="baseline"/>
        </w:rPr>
        <w:t> </w:t>
      </w:r>
      <w:r>
        <w:rPr>
          <w:vertAlign w:val="baseline"/>
        </w:rPr>
        <w:t>to</w:t>
      </w:r>
      <w:r>
        <w:rPr>
          <w:spacing w:val="-2"/>
          <w:vertAlign w:val="baseline"/>
        </w:rPr>
        <w:t> </w:t>
      </w:r>
      <w:r>
        <w:rPr>
          <w:vertAlign w:val="baseline"/>
        </w:rPr>
        <w:t>relate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public</w:t>
      </w:r>
      <w:r>
        <w:rPr>
          <w:spacing w:val="-2"/>
          <w:vertAlign w:val="baseline"/>
        </w:rPr>
        <w:t> </w:t>
      </w:r>
      <w:r>
        <w:rPr>
          <w:vertAlign w:val="baseline"/>
        </w:rPr>
        <w:t>interest.</w:t>
      </w:r>
      <w:r>
        <w:rPr>
          <w:spacing w:val="-3"/>
          <w:vertAlign w:val="baseline"/>
        </w:rPr>
        <w:t> </w:t>
      </w:r>
      <w:r>
        <w:rPr>
          <w:color w:val="005DA1"/>
          <w:u w:val="single" w:color="005DA1"/>
          <w:vertAlign w:val="superscript"/>
        </w:rPr>
        <w:t>721</w:t>
      </w:r>
      <w:r>
        <w:rPr>
          <w:color w:val="005DA1"/>
          <w:spacing w:val="-2"/>
          <w:vertAlign w:val="baseline"/>
        </w:rPr>
        <w:t> </w:t>
      </w:r>
      <w:r>
        <w:rPr>
          <w:vertAlign w:val="baseline"/>
        </w:rPr>
        <w:t>So,</w:t>
      </w:r>
      <w:r>
        <w:rPr>
          <w:spacing w:val="-2"/>
          <w:vertAlign w:val="baseline"/>
        </w:rPr>
        <w:t> </w:t>
      </w:r>
      <w:r>
        <w:rPr>
          <w:vertAlign w:val="baseline"/>
        </w:rPr>
        <w:t>for example, where rules governing the legal relationship between a university and its students find their basis in terms of the contract between them, the question of the fairness of these rules within the </w:t>
      </w:r>
      <w:bookmarkStart w:name="_bookmark1325" w:id="1327"/>
      <w:bookmarkEnd w:id="1327"/>
      <w:r>
        <w:rPr>
          <w:vertAlign w:val="baseline"/>
        </w:rPr>
        <w:t>meaning</w:t>
      </w:r>
      <w:r>
        <w:rPr>
          <w:vertAlign w:val="baseline"/>
        </w:rPr>
        <w:t> of the 1999 Regulations, or 2015 Act Pt 2, could take into account their impact on the student’s Convention rights (for example, their rights to privacy or freedom of expression). </w:t>
      </w:r>
      <w:r>
        <w:rPr>
          <w:color w:val="005DA1"/>
          <w:u w:val="single" w:color="005DA1"/>
          <w:vertAlign w:val="superscript"/>
        </w:rPr>
        <w:t>722</w:t>
      </w:r>
    </w:p>
    <w:p>
      <w:pPr>
        <w:pStyle w:val="BodyText"/>
      </w:pPr>
    </w:p>
    <w:p>
      <w:pPr>
        <w:pStyle w:val="BodyText"/>
        <w:spacing w:before="34"/>
      </w:pPr>
    </w:p>
    <w:p>
      <w:pPr>
        <w:spacing w:before="0"/>
        <w:ind w:left="165" w:right="0" w:firstLine="0"/>
        <w:jc w:val="left"/>
        <w:rPr>
          <w:rFonts w:ascii="Arial"/>
          <w:b/>
          <w:sz w:val="18"/>
        </w:rPr>
      </w:pPr>
      <w:r>
        <w:rPr>
          <w:rFonts w:ascii="Arial"/>
          <w:b/>
          <w:sz w:val="18"/>
        </w:rPr>
        <w:t>Private sector possession orders and article 8 of the </w:t>
      </w:r>
      <w:r>
        <w:rPr>
          <w:rFonts w:ascii="Arial"/>
          <w:b/>
          <w:spacing w:val="-2"/>
          <w:sz w:val="18"/>
        </w:rPr>
        <w:t>Convention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091</w:t>
      </w:r>
    </w:p>
    <w:p>
      <w:pPr>
        <w:spacing w:after="0"/>
        <w:jc w:val="left"/>
        <w:rPr>
          <w:rFonts w:ascii="Arial"/>
          <w:b/>
          <w:sz w:val="24"/>
        </w:rPr>
        <w:sectPr>
          <w:pgSz w:w="11900" w:h="16840"/>
          <w:pgMar w:header="971" w:footer="0" w:top="1300" w:bottom="280" w:left="1275" w:right="1275"/>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question has been raised whether a tenant, former tenant or other possessor of land may rely on art.8’s right to respect of a person’s home against a claim for possession by a </w:t>
      </w:r>
      <w:r>
        <w:rPr>
          <w:rFonts w:ascii="Arial" w:hAnsi="Arial"/>
          <w:i/>
        </w:rPr>
        <w:t>private </w:t>
      </w:r>
      <w:r>
        <w:rPr/>
        <w:t>land-owner. The Supreme Court has held that a possessor of a dwelling may so rely in relation to claims made by a public authority, and while it explicitly took no view of the position as regards claims by private </w:t>
      </w:r>
      <w:bookmarkStart w:name="_bookmark1326" w:id="1328"/>
      <w:bookmarkEnd w:id="1328"/>
      <w:r>
        <w:rPr/>
        <w:t>persons,</w:t>
      </w:r>
      <w:r>
        <w:rPr>
          <w:spacing w:val="67"/>
        </w:rPr>
        <w:t> </w:t>
      </w:r>
      <w:r>
        <w:rPr/>
        <w:t>it</w:t>
      </w:r>
      <w:r>
        <w:rPr>
          <w:spacing w:val="67"/>
        </w:rPr>
        <w:t> </w:t>
      </w:r>
      <w:r>
        <w:rPr/>
        <w:t>recognised</w:t>
      </w:r>
      <w:r>
        <w:rPr>
          <w:spacing w:val="67"/>
        </w:rPr>
        <w:t> </w:t>
      </w:r>
      <w:r>
        <w:rPr/>
        <w:t>that</w:t>
      </w:r>
      <w:r>
        <w:rPr>
          <w:spacing w:val="67"/>
        </w:rPr>
        <w:t> </w:t>
      </w:r>
      <w:r>
        <w:rPr/>
        <w:t>“[c]onflicting</w:t>
      </w:r>
      <w:r>
        <w:rPr>
          <w:spacing w:val="67"/>
        </w:rPr>
        <w:t> </w:t>
      </w:r>
      <w:r>
        <w:rPr/>
        <w:t>views</w:t>
      </w:r>
      <w:r>
        <w:rPr>
          <w:spacing w:val="67"/>
        </w:rPr>
        <w:t> </w:t>
      </w:r>
      <w:r>
        <w:rPr/>
        <w:t>have</w:t>
      </w:r>
      <w:r>
        <w:rPr>
          <w:spacing w:val="67"/>
        </w:rPr>
        <w:t> </w:t>
      </w:r>
      <w:r>
        <w:rPr/>
        <w:t>been</w:t>
      </w:r>
      <w:r>
        <w:rPr>
          <w:spacing w:val="67"/>
        </w:rPr>
        <w:t> </w:t>
      </w:r>
      <w:r>
        <w:rPr/>
        <w:t>expressed</w:t>
      </w:r>
      <w:r>
        <w:rPr>
          <w:spacing w:val="67"/>
        </w:rPr>
        <w:t> </w:t>
      </w:r>
      <w:r>
        <w:rPr/>
        <w:t>both</w:t>
      </w:r>
      <w:r>
        <w:rPr>
          <w:spacing w:val="67"/>
        </w:rPr>
        <w:t> </w:t>
      </w:r>
      <w:r>
        <w:rPr/>
        <w:t>domestically</w:t>
      </w:r>
      <w:r>
        <w:rPr>
          <w:spacing w:val="67"/>
        </w:rPr>
        <w:t> </w:t>
      </w:r>
      <w:r>
        <w:rPr/>
        <w:t>and</w:t>
      </w:r>
      <w:r>
        <w:rPr>
          <w:spacing w:val="67"/>
        </w:rPr>
        <w:t> </w:t>
      </w:r>
      <w:r>
        <w:rPr>
          <w:spacing w:val="-5"/>
        </w:rPr>
        <w:t>in</w:t>
      </w:r>
    </w:p>
    <w:p>
      <w:pPr>
        <w:pStyle w:val="BodyText"/>
        <w:spacing w:line="235" w:lineRule="auto" w:before="118"/>
        <w:ind w:left="164" w:right="167"/>
        <w:jc w:val="both"/>
      </w:pPr>
      <w:r>
        <w:rPr/>
        <w:t>Strasbourg” on the latter situation. </w:t>
      </w:r>
      <w:r>
        <w:rPr>
          <w:color w:val="005DA1"/>
          <w:u w:val="single" w:color="005DA1"/>
          <w:vertAlign w:val="superscript"/>
        </w:rPr>
        <w:t>723</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34"/>
          <w:vertAlign w:val="baseline"/>
        </w:rPr>
        <w:t> </w:t>
      </w:r>
      <w:r>
        <w:rPr>
          <w:vertAlign w:val="baseline"/>
        </w:rPr>
        <w:t>So, although comments in the House of Lords in its </w:t>
      </w:r>
      <w:r>
        <w:rPr>
          <w:vertAlign w:val="baseline"/>
        </w:rPr>
        <w:t>earlier </w:t>
      </w:r>
      <w:bookmarkStart w:name="_bookmark1327" w:id="1329"/>
      <w:bookmarkEnd w:id="1329"/>
      <w:r>
        <w:rPr>
          <w:vertAlign w:val="baseline"/>
        </w:rPr>
        <w:t>decision</w:t>
      </w:r>
      <w:r>
        <w:rPr>
          <w:vertAlign w:val="baseline"/>
        </w:rPr>
        <w:t> in </w:t>
      </w:r>
      <w:r>
        <w:rPr>
          <w:rFonts w:ascii="Arial" w:hAnsi="Arial"/>
          <w:i/>
          <w:vertAlign w:val="baseline"/>
        </w:rPr>
        <w:t>Qazi </w:t>
      </w:r>
      <w:r>
        <w:rPr>
          <w:vertAlign w:val="baseline"/>
        </w:rPr>
        <w:t>suggest that a distinction should be drawn between claims by a private landowner and by a public landowner, </w:t>
      </w:r>
      <w:r>
        <w:rPr>
          <w:color w:val="005DA1"/>
          <w:u w:val="single" w:color="005DA1"/>
          <w:vertAlign w:val="superscript"/>
        </w:rPr>
        <w:t>724</w:t>
      </w:r>
      <w:r>
        <w:rPr>
          <w:color w:val="005DA1"/>
          <w:vertAlign w:val="baseline"/>
        </w:rPr>
        <w:t> </w:t>
      </w:r>
      <w:r>
        <w:rPr>
          <w:vertAlign w:val="baseline"/>
        </w:rPr>
        <w:t>in </w:t>
      </w:r>
      <w:r>
        <w:rPr>
          <w:rFonts w:ascii="Arial" w:hAnsi="Arial"/>
          <w:i/>
          <w:vertAlign w:val="baseline"/>
        </w:rPr>
        <w:t>Belchikova v Russia</w:t>
      </w:r>
      <w:r>
        <w:rPr>
          <w:vertAlign w:val="baseline"/>
        </w:rPr>
        <w:t>, </w:t>
      </w:r>
      <w:r>
        <w:rPr>
          <w:color w:val="005DA1"/>
          <w:u w:val="single" w:color="005DA1"/>
          <w:vertAlign w:val="superscript"/>
        </w:rPr>
        <w:t>725</w:t>
      </w:r>
      <w:r>
        <w:rPr>
          <w:color w:val="005DA1"/>
          <w:vertAlign w:val="baseline"/>
        </w:rPr>
        <w:t> </w:t>
      </w:r>
      <w:r>
        <w:rPr>
          <w:vertAlign w:val="baseline"/>
        </w:rPr>
        <w:t>the European Court of Human Rights:</w:t>
      </w:r>
    </w:p>
    <w:p>
      <w:pPr>
        <w:pStyle w:val="BodyText"/>
      </w:pPr>
    </w:p>
    <w:p>
      <w:pPr>
        <w:pStyle w:val="BodyText"/>
        <w:spacing w:before="126"/>
      </w:pPr>
    </w:p>
    <w:p>
      <w:pPr>
        <w:pStyle w:val="BodyText"/>
        <w:spacing w:line="235" w:lineRule="auto"/>
        <w:ind w:left="1245" w:right="167"/>
        <w:jc w:val="both"/>
      </w:pPr>
      <w:r>
        <w:rPr/>
        <w:t>“seems to have considered that article 8 was relevant, even when the person </w:t>
      </w:r>
      <w:r>
        <w:rPr/>
        <w:t>seeking </w:t>
      </w:r>
      <w:bookmarkStart w:name="_bookmark1328" w:id="1330"/>
      <w:bookmarkEnd w:id="1330"/>
      <w:r>
        <w:rPr/>
        <w:t>possession</w:t>
      </w:r>
      <w:r>
        <w:rPr/>
        <w:t> was a private sector landlord …[p]resumably … on the basis that the court making the order was itself a public authority.” </w:t>
      </w:r>
      <w:r>
        <w:rPr>
          <w:color w:val="005DA1"/>
          <w:u w:val="single" w:color="005DA1"/>
          <w:vertAlign w:val="superscript"/>
        </w:rPr>
        <w:t>726</w:t>
      </w:r>
    </w:p>
    <w:p>
      <w:pPr>
        <w:pStyle w:val="BodyText"/>
      </w:pPr>
    </w:p>
    <w:p>
      <w:pPr>
        <w:pStyle w:val="BodyText"/>
      </w:pPr>
    </w:p>
    <w:p>
      <w:pPr>
        <w:pStyle w:val="BodyText"/>
        <w:spacing w:before="215"/>
      </w:pPr>
    </w:p>
    <w:p>
      <w:pPr>
        <w:pStyle w:val="BodyText"/>
        <w:spacing w:line="235" w:lineRule="auto" w:before="1"/>
        <w:ind w:left="164" w:right="167"/>
        <w:jc w:val="both"/>
      </w:pPr>
      <w:r>
        <w:rPr>
          <w:position w:val="-2"/>
        </w:rPr>
        <w:drawing>
          <wp:inline distT="0" distB="0" distL="0" distR="0">
            <wp:extent cx="107988" cy="107988"/>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2"/>
        </w:rPr>
        <w:t> </w:t>
      </w:r>
      <w:bookmarkStart w:name="_bookmark1329" w:id="1331"/>
      <w:bookmarkEnd w:id="1331"/>
      <w:r>
        <w:rPr>
          <w:rFonts w:ascii="Times New Roman" w:hAnsi="Times New Roman"/>
          <w:spacing w:val="24"/>
        </w:rPr>
      </w:r>
      <w:r>
        <w:rPr/>
        <w:t>However, in </w:t>
      </w:r>
      <w:r>
        <w:rPr>
          <w:rFonts w:ascii="Arial" w:hAnsi="Arial"/>
          <w:i/>
        </w:rPr>
        <w:t>McDonald v McDonald </w:t>
      </w:r>
      <w:r>
        <w:rPr>
          <w:color w:val="005DA1"/>
          <w:u w:val="single" w:color="005DA1"/>
          <w:vertAlign w:val="superscript"/>
        </w:rPr>
        <w:t>727</w:t>
      </w:r>
      <w:r>
        <w:rPr>
          <w:color w:val="005DA1"/>
          <w:spacing w:val="80"/>
          <w:w w:val="150"/>
          <w:vertAlign w:val="baseline"/>
        </w:rPr>
        <w:t> </w:t>
      </w:r>
      <w:r>
        <w:rPr>
          <w:color w:val="005DA1"/>
          <w:spacing w:val="1"/>
          <w:position w:val="-2"/>
          <w:vertAlign w:val="baseline"/>
        </w:rPr>
        <w:drawing>
          <wp:inline distT="0" distB="0" distL="0" distR="0">
            <wp:extent cx="107988" cy="107988"/>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the Supreme Court held that, although it may well be that art.8 of the Convention is engaged when a court makes an order for possession of a tenant’s home at the suit of a private sector landlord under s.21(4) of the Housing Act 1988, art.8 cannot:</w:t>
      </w:r>
    </w:p>
    <w:p>
      <w:pPr>
        <w:pStyle w:val="BodyText"/>
      </w:pPr>
    </w:p>
    <w:p>
      <w:pPr>
        <w:pStyle w:val="BodyText"/>
        <w:spacing w:before="125"/>
      </w:pPr>
    </w:p>
    <w:p>
      <w:pPr>
        <w:pStyle w:val="BodyText"/>
        <w:spacing w:line="235" w:lineRule="auto"/>
        <w:ind w:left="1244" w:right="167"/>
        <w:jc w:val="both"/>
      </w:pPr>
      <w:r>
        <w:rPr/>
        <w:t>“justify a different order from that which is mandated by the contractual </w:t>
      </w:r>
      <w:r>
        <w:rPr/>
        <w:t>relationship between the parties, at least where, as here, there are legislative provisions which the </w:t>
      </w:r>
      <w:bookmarkStart w:name="_bookmark1330" w:id="1332"/>
      <w:bookmarkEnd w:id="1332"/>
      <w:r>
        <w:rPr/>
        <w:t>democratically</w:t>
      </w:r>
      <w:r>
        <w:rPr>
          <w:spacing w:val="7"/>
        </w:rPr>
        <w:t> </w:t>
      </w:r>
      <w:r>
        <w:rPr/>
        <w:t>elected</w:t>
      </w:r>
      <w:r>
        <w:rPr>
          <w:spacing w:val="7"/>
        </w:rPr>
        <w:t> </w:t>
      </w:r>
      <w:r>
        <w:rPr/>
        <w:t>legislature</w:t>
      </w:r>
      <w:r>
        <w:rPr>
          <w:spacing w:val="7"/>
        </w:rPr>
        <w:t> </w:t>
      </w:r>
      <w:r>
        <w:rPr/>
        <w:t>has</w:t>
      </w:r>
      <w:r>
        <w:rPr>
          <w:spacing w:val="7"/>
        </w:rPr>
        <w:t> </w:t>
      </w:r>
      <w:r>
        <w:rPr/>
        <w:t>decided</w:t>
      </w:r>
      <w:r>
        <w:rPr>
          <w:spacing w:val="7"/>
        </w:rPr>
        <w:t> </w:t>
      </w:r>
      <w:r>
        <w:rPr/>
        <w:t>properly</w:t>
      </w:r>
      <w:r>
        <w:rPr>
          <w:spacing w:val="7"/>
        </w:rPr>
        <w:t> </w:t>
      </w:r>
      <w:r>
        <w:rPr/>
        <w:t>balance</w:t>
      </w:r>
      <w:r>
        <w:rPr>
          <w:spacing w:val="7"/>
        </w:rPr>
        <w:t> </w:t>
      </w:r>
      <w:r>
        <w:rPr/>
        <w:t>the</w:t>
      </w:r>
      <w:r>
        <w:rPr>
          <w:spacing w:val="7"/>
        </w:rPr>
        <w:t> </w:t>
      </w:r>
      <w:r>
        <w:rPr/>
        <w:t>competing</w:t>
      </w:r>
      <w:r>
        <w:rPr>
          <w:spacing w:val="7"/>
        </w:rPr>
        <w:t> </w:t>
      </w:r>
      <w:r>
        <w:rPr/>
        <w:t>interest</w:t>
      </w:r>
      <w:r>
        <w:rPr>
          <w:spacing w:val="7"/>
        </w:rPr>
        <w:t> </w:t>
      </w:r>
      <w:r>
        <w:rPr>
          <w:spacing w:val="-5"/>
        </w:rPr>
        <w:t>of</w:t>
      </w:r>
    </w:p>
    <w:p>
      <w:pPr>
        <w:pStyle w:val="BodyText"/>
        <w:spacing w:before="115"/>
        <w:ind w:left="1244"/>
        <w:jc w:val="both"/>
        <w:rPr>
          <w:position w:val="-2"/>
        </w:rPr>
      </w:pPr>
      <w:r>
        <w:rPr/>
        <w:t>private sector landlords and residential tenants.” </w:t>
      </w:r>
      <w:r>
        <w:rPr>
          <w:color w:val="005DA1"/>
          <w:u w:val="single" w:color="005DA1"/>
          <w:vertAlign w:val="superscript"/>
        </w:rPr>
        <w:t>728</w:t>
      </w:r>
      <w:r>
        <w:rPr>
          <w:color w:val="005DA1"/>
          <w:spacing w:val="80"/>
          <w:w w:val="150"/>
          <w:vertAlign w:val="baseline"/>
        </w:rPr>
        <w:t> </w:t>
      </w:r>
      <w:r>
        <w:rPr>
          <w:color w:val="005DA1"/>
          <w:position w:val="-2"/>
          <w:vertAlign w:val="baseline"/>
        </w:rPr>
        <w:drawing>
          <wp:inline distT="0" distB="0" distL="0" distR="0">
            <wp:extent cx="107988" cy="107988"/>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6"/>
      </w:pPr>
    </w:p>
    <w:p>
      <w:pPr>
        <w:pStyle w:val="BodyText"/>
        <w:spacing w:line="235" w:lineRule="auto"/>
        <w:ind w:left="165" w:right="166"/>
      </w:pPr>
      <w:r>
        <w:rPr/>
        <w:t>A</w:t>
      </w:r>
      <w:r>
        <w:rPr>
          <w:spacing w:val="69"/>
        </w:rPr>
        <w:t> </w:t>
      </w:r>
      <w:r>
        <w:rPr/>
        <w:t>court</w:t>
      </w:r>
      <w:r>
        <w:rPr>
          <w:spacing w:val="69"/>
        </w:rPr>
        <w:t> </w:t>
      </w:r>
      <w:r>
        <w:rPr/>
        <w:t>considering</w:t>
      </w:r>
      <w:r>
        <w:rPr>
          <w:spacing w:val="69"/>
        </w:rPr>
        <w:t> </w:t>
      </w:r>
      <w:r>
        <w:rPr/>
        <w:t>whether</w:t>
      </w:r>
      <w:r>
        <w:rPr>
          <w:spacing w:val="69"/>
        </w:rPr>
        <w:t> </w:t>
      </w:r>
      <w:r>
        <w:rPr/>
        <w:t>to</w:t>
      </w:r>
      <w:r>
        <w:rPr>
          <w:spacing w:val="69"/>
        </w:rPr>
        <w:t> </w:t>
      </w:r>
      <w:r>
        <w:rPr/>
        <w:t>make</w:t>
      </w:r>
      <w:r>
        <w:rPr>
          <w:spacing w:val="69"/>
        </w:rPr>
        <w:t> </w:t>
      </w:r>
      <w:r>
        <w:rPr/>
        <w:t>such</w:t>
      </w:r>
      <w:r>
        <w:rPr>
          <w:spacing w:val="69"/>
        </w:rPr>
        <w:t> </w:t>
      </w:r>
      <w:r>
        <w:rPr/>
        <w:t>an</w:t>
      </w:r>
      <w:r>
        <w:rPr>
          <w:spacing w:val="69"/>
        </w:rPr>
        <w:t> </w:t>
      </w:r>
      <w:r>
        <w:rPr/>
        <w:t>order</w:t>
      </w:r>
      <w:r>
        <w:rPr>
          <w:spacing w:val="69"/>
        </w:rPr>
        <w:t> </w:t>
      </w:r>
      <w:r>
        <w:rPr/>
        <w:t>is</w:t>
      </w:r>
      <w:r>
        <w:rPr>
          <w:spacing w:val="69"/>
        </w:rPr>
        <w:t> </w:t>
      </w:r>
      <w:r>
        <w:rPr/>
        <w:t>therefore</w:t>
      </w:r>
      <w:r>
        <w:rPr>
          <w:spacing w:val="69"/>
        </w:rPr>
        <w:t> </w:t>
      </w:r>
      <w:r>
        <w:rPr/>
        <w:t>not</w:t>
      </w:r>
      <w:r>
        <w:rPr>
          <w:spacing w:val="69"/>
        </w:rPr>
        <w:t> </w:t>
      </w:r>
      <w:r>
        <w:rPr/>
        <w:t>required</w:t>
      </w:r>
      <w:r>
        <w:rPr>
          <w:spacing w:val="69"/>
        </w:rPr>
        <w:t> </w:t>
      </w:r>
      <w:r>
        <w:rPr/>
        <w:t>to</w:t>
      </w:r>
      <w:r>
        <w:rPr>
          <w:spacing w:val="69"/>
        </w:rPr>
        <w:t> </w:t>
      </w:r>
      <w:r>
        <w:rPr/>
        <w:t>assess</w:t>
      </w:r>
      <w:r>
        <w:rPr>
          <w:spacing w:val="69"/>
        </w:rPr>
        <w:t> </w:t>
      </w:r>
      <w:r>
        <w:rPr/>
        <w:t>the </w:t>
      </w:r>
      <w:bookmarkStart w:name="_bookmark1331" w:id="1333"/>
      <w:bookmarkEnd w:id="1333"/>
      <w:r>
        <w:rPr/>
        <w:t>proportionality</w:t>
      </w:r>
      <w:r>
        <w:rPr>
          <w:spacing w:val="1"/>
        </w:rPr>
        <w:t> </w:t>
      </w:r>
      <w:r>
        <w:rPr/>
        <w:t>of</w:t>
      </w:r>
      <w:r>
        <w:rPr>
          <w:spacing w:val="1"/>
        </w:rPr>
        <w:t> </w:t>
      </w:r>
      <w:r>
        <w:rPr/>
        <w:t>evicting</w:t>
      </w:r>
      <w:r>
        <w:rPr>
          <w:spacing w:val="1"/>
        </w:rPr>
        <w:t> </w:t>
      </w:r>
      <w:r>
        <w:rPr/>
        <w:t>the</w:t>
      </w:r>
      <w:r>
        <w:rPr>
          <w:spacing w:val="1"/>
        </w:rPr>
        <w:t> </w:t>
      </w:r>
      <w:r>
        <w:rPr/>
        <w:t>occupier</w:t>
      </w:r>
      <w:r>
        <w:rPr>
          <w:spacing w:val="1"/>
        </w:rPr>
        <w:t> </w:t>
      </w:r>
      <w:r>
        <w:rPr/>
        <w:t>in</w:t>
      </w:r>
      <w:r>
        <w:rPr>
          <w:spacing w:val="1"/>
        </w:rPr>
        <w:t> </w:t>
      </w:r>
      <w:r>
        <w:rPr/>
        <w:t>the</w:t>
      </w:r>
      <w:r>
        <w:rPr>
          <w:spacing w:val="1"/>
        </w:rPr>
        <w:t> </w:t>
      </w:r>
      <w:r>
        <w:rPr/>
        <w:t>light</w:t>
      </w:r>
      <w:r>
        <w:rPr>
          <w:spacing w:val="1"/>
        </w:rPr>
        <w:t> </w:t>
      </w:r>
      <w:r>
        <w:rPr/>
        <w:t>of</w:t>
      </w:r>
      <w:r>
        <w:rPr>
          <w:spacing w:val="1"/>
        </w:rPr>
        <w:t> </w:t>
      </w:r>
      <w:r>
        <w:rPr/>
        <w:t>s.6</w:t>
      </w:r>
      <w:r>
        <w:rPr>
          <w:spacing w:val="1"/>
        </w:rPr>
        <w:t> </w:t>
      </w:r>
      <w:r>
        <w:rPr/>
        <w:t>of</w:t>
      </w:r>
      <w:r>
        <w:rPr>
          <w:spacing w:val="1"/>
        </w:rPr>
        <w:t> </w:t>
      </w:r>
      <w:r>
        <w:rPr/>
        <w:t>the</w:t>
      </w:r>
      <w:r>
        <w:rPr>
          <w:spacing w:val="1"/>
        </w:rPr>
        <w:t> </w:t>
      </w:r>
      <w:r>
        <w:rPr/>
        <w:t>Human</w:t>
      </w:r>
      <w:r>
        <w:rPr>
          <w:spacing w:val="1"/>
        </w:rPr>
        <w:t> </w:t>
      </w:r>
      <w:r>
        <w:rPr/>
        <w:t>Rights</w:t>
      </w:r>
      <w:r>
        <w:rPr>
          <w:spacing w:val="1"/>
        </w:rPr>
        <w:t> </w:t>
      </w:r>
      <w:r>
        <w:rPr/>
        <w:t>Act</w:t>
      </w:r>
      <w:r>
        <w:rPr>
          <w:spacing w:val="1"/>
        </w:rPr>
        <w:t> </w:t>
      </w:r>
      <w:r>
        <w:rPr/>
        <w:t>1998</w:t>
      </w:r>
      <w:r>
        <w:rPr>
          <w:spacing w:val="1"/>
        </w:rPr>
        <w:t> </w:t>
      </w:r>
      <w:r>
        <w:rPr/>
        <w:t>and</w:t>
      </w:r>
      <w:r>
        <w:rPr>
          <w:spacing w:val="1"/>
        </w:rPr>
        <w:t> </w:t>
      </w:r>
      <w:r>
        <w:rPr/>
        <w:t>art.8</w:t>
      </w:r>
      <w:r>
        <w:rPr>
          <w:spacing w:val="1"/>
        </w:rPr>
        <w:t> </w:t>
      </w:r>
      <w:r>
        <w:rPr/>
        <w:t>of</w:t>
      </w:r>
      <w:r>
        <w:rPr>
          <w:spacing w:val="1"/>
        </w:rPr>
        <w:t> </w:t>
      </w:r>
      <w:r>
        <w:rPr>
          <w:spacing w:val="-5"/>
        </w:rPr>
        <w:t>the</w:t>
      </w:r>
    </w:p>
    <w:p>
      <w:pPr>
        <w:pStyle w:val="BodyText"/>
        <w:spacing w:before="115"/>
        <w:ind w:left="165"/>
      </w:pPr>
      <w:r>
        <w:rPr/>
        <w:t>Convention.</w:t>
      </w:r>
      <w:r>
        <w:rPr>
          <w:spacing w:val="-5"/>
        </w:rPr>
        <w:t> </w:t>
      </w:r>
      <w:r>
        <w:rPr>
          <w:color w:val="005DA1"/>
          <w:u w:val="single" w:color="005DA1"/>
          <w:vertAlign w:val="superscript"/>
        </w:rPr>
        <w:t>729</w:t>
      </w:r>
      <w:r>
        <w:rPr>
          <w:color w:val="005DA1"/>
          <w:spacing w:val="79"/>
          <w:w w:val="150"/>
          <w:vertAlign w:val="baseline"/>
        </w:rPr>
        <w:t> </w:t>
      </w:r>
      <w:r>
        <w:rPr>
          <w:color w:val="005DA1"/>
          <w:position w:val="-2"/>
          <w:vertAlign w:val="baseline"/>
        </w:rPr>
        <w:drawing>
          <wp:inline distT="0" distB="0" distL="0" distR="0">
            <wp:extent cx="107988" cy="107988"/>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3"/>
          <w:vertAlign w:val="baseline"/>
        </w:rPr>
        <w:t> </w:t>
      </w:r>
      <w:r>
        <w:rPr>
          <w:vertAlign w:val="baseline"/>
        </w:rPr>
        <w:t>In</w:t>
      </w:r>
      <w:r>
        <w:rPr>
          <w:spacing w:val="-2"/>
          <w:vertAlign w:val="baseline"/>
        </w:rPr>
        <w:t> </w:t>
      </w:r>
      <w:r>
        <w:rPr>
          <w:vertAlign w:val="baseline"/>
        </w:rPr>
        <w:t>the</w:t>
      </w:r>
      <w:r>
        <w:rPr>
          <w:spacing w:val="-1"/>
          <w:vertAlign w:val="baseline"/>
        </w:rPr>
        <w:t> </w:t>
      </w:r>
      <w:r>
        <w:rPr>
          <w:vertAlign w:val="baseline"/>
        </w:rPr>
        <w:t>view</w:t>
      </w:r>
      <w:r>
        <w:rPr>
          <w:spacing w:val="-2"/>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Supreme</w:t>
      </w:r>
      <w:r>
        <w:rPr>
          <w:spacing w:val="-1"/>
          <w:vertAlign w:val="baseline"/>
        </w:rPr>
        <w:t> </w:t>
      </w:r>
      <w:r>
        <w:rPr>
          <w:spacing w:val="-2"/>
          <w:vertAlign w:val="baseline"/>
        </w:rPr>
        <w:t>Court,</w:t>
      </w:r>
    </w:p>
    <w:p>
      <w:pPr>
        <w:pStyle w:val="BodyText"/>
      </w:pPr>
    </w:p>
    <w:p>
      <w:pPr>
        <w:pStyle w:val="BodyText"/>
        <w:spacing w:before="126"/>
      </w:pPr>
    </w:p>
    <w:p>
      <w:pPr>
        <w:pStyle w:val="BodyText"/>
        <w:spacing w:line="235" w:lineRule="auto"/>
        <w:ind w:left="1244" w:right="167"/>
        <w:jc w:val="both"/>
      </w:pPr>
      <w:r>
        <w:rPr/>
        <w:t>“[t]o hold otherwise would involve the Convention effectively being directly enforceable as between private citizens so as to alter their contractual rights and obligations, whereas</w:t>
      </w:r>
      <w:r>
        <w:rPr>
          <w:spacing w:val="40"/>
        </w:rPr>
        <w:t> </w:t>
      </w:r>
      <w:r>
        <w:rPr/>
        <w:t>the</w:t>
      </w:r>
      <w:r>
        <w:rPr>
          <w:spacing w:val="-2"/>
        </w:rPr>
        <w:t> </w:t>
      </w:r>
      <w:r>
        <w:rPr/>
        <w:t>purpose</w:t>
      </w:r>
      <w:r>
        <w:rPr>
          <w:spacing w:val="-2"/>
        </w:rPr>
        <w:t> </w:t>
      </w:r>
      <w:r>
        <w:rPr/>
        <w:t>of</w:t>
      </w:r>
      <w:r>
        <w:rPr>
          <w:spacing w:val="-2"/>
        </w:rPr>
        <w:t> </w:t>
      </w:r>
      <w:r>
        <w:rPr/>
        <w:t>the</w:t>
      </w:r>
      <w:r>
        <w:rPr>
          <w:spacing w:val="-2"/>
        </w:rPr>
        <w:t> </w:t>
      </w:r>
      <w:r>
        <w:rPr/>
        <w:t>Convention</w:t>
      </w:r>
      <w:r>
        <w:rPr>
          <w:spacing w:val="-2"/>
        </w:rPr>
        <w:t> </w:t>
      </w:r>
      <w:r>
        <w:rPr/>
        <w:t>is</w:t>
      </w:r>
      <w:r>
        <w:rPr>
          <w:spacing w:val="-2"/>
        </w:rPr>
        <w:t> </w:t>
      </w:r>
      <w:r>
        <w:rPr/>
        <w:t>…</w:t>
      </w:r>
      <w:r>
        <w:rPr>
          <w:spacing w:val="-2"/>
        </w:rPr>
        <w:t> </w:t>
      </w:r>
      <w:r>
        <w:rPr/>
        <w:t>to</w:t>
      </w:r>
      <w:r>
        <w:rPr>
          <w:spacing w:val="-2"/>
        </w:rPr>
        <w:t> </w:t>
      </w:r>
      <w:r>
        <w:rPr/>
        <w:t>protect</w:t>
      </w:r>
      <w:r>
        <w:rPr>
          <w:spacing w:val="-2"/>
        </w:rPr>
        <w:t> </w:t>
      </w:r>
      <w:r>
        <w:rPr/>
        <w:t>citizens</w:t>
      </w:r>
      <w:r>
        <w:rPr>
          <w:spacing w:val="-2"/>
        </w:rPr>
        <w:t> </w:t>
      </w:r>
      <w:r>
        <w:rPr/>
        <w:t>from</w:t>
      </w:r>
      <w:r>
        <w:rPr>
          <w:spacing w:val="-2"/>
        </w:rPr>
        <w:t> </w:t>
      </w:r>
      <w:r>
        <w:rPr/>
        <w:t>having</w:t>
      </w:r>
      <w:r>
        <w:rPr>
          <w:spacing w:val="-2"/>
        </w:rPr>
        <w:t> </w:t>
      </w:r>
      <w:r>
        <w:rPr/>
        <w:t>their</w:t>
      </w:r>
      <w:r>
        <w:rPr>
          <w:spacing w:val="-2"/>
        </w:rPr>
        <w:t> </w:t>
      </w:r>
      <w:r>
        <w:rPr/>
        <w:t>rights</w:t>
      </w:r>
      <w:r>
        <w:rPr>
          <w:spacing w:val="-2"/>
        </w:rPr>
        <w:t> </w:t>
      </w:r>
      <w:r>
        <w:rPr/>
        <w:t>infringed</w:t>
      </w:r>
      <w:r>
        <w:rPr>
          <w:spacing w:val="-2"/>
        </w:rPr>
        <w:t> </w:t>
      </w:r>
      <w:r>
        <w:rPr/>
        <w:t>by the State. To hold otherwise would also mean that the Convention could be invoked to </w:t>
      </w:r>
      <w:bookmarkStart w:name="_bookmark1332" w:id="1334"/>
      <w:bookmarkEnd w:id="1334"/>
      <w:r>
        <w:rPr/>
        <w:t>interfere</w:t>
      </w:r>
      <w:r>
        <w:rPr>
          <w:spacing w:val="6"/>
        </w:rPr>
        <w:t> </w:t>
      </w:r>
      <w:r>
        <w:rPr/>
        <w:t>with</w:t>
      </w:r>
      <w:r>
        <w:rPr>
          <w:spacing w:val="6"/>
        </w:rPr>
        <w:t> </w:t>
      </w:r>
      <w:r>
        <w:rPr/>
        <w:t>the</w:t>
      </w:r>
      <w:r>
        <w:rPr>
          <w:spacing w:val="6"/>
        </w:rPr>
        <w:t> </w:t>
      </w:r>
      <w:r>
        <w:rPr/>
        <w:t>A1P1</w:t>
      </w:r>
      <w:r>
        <w:rPr>
          <w:spacing w:val="6"/>
        </w:rPr>
        <w:t> </w:t>
      </w:r>
      <w:r>
        <w:rPr/>
        <w:t>[art.1,</w:t>
      </w:r>
      <w:r>
        <w:rPr>
          <w:spacing w:val="6"/>
        </w:rPr>
        <w:t> </w:t>
      </w:r>
      <w:r>
        <w:rPr/>
        <w:t>1st</w:t>
      </w:r>
      <w:r>
        <w:rPr>
          <w:spacing w:val="6"/>
        </w:rPr>
        <w:t> </w:t>
      </w:r>
      <w:r>
        <w:rPr/>
        <w:t>Protocol]</w:t>
      </w:r>
      <w:r>
        <w:rPr>
          <w:spacing w:val="6"/>
        </w:rPr>
        <w:t> </w:t>
      </w:r>
      <w:r>
        <w:rPr/>
        <w:t>rights</w:t>
      </w:r>
      <w:r>
        <w:rPr>
          <w:spacing w:val="6"/>
        </w:rPr>
        <w:t> </w:t>
      </w:r>
      <w:r>
        <w:rPr/>
        <w:t>of</w:t>
      </w:r>
      <w:r>
        <w:rPr>
          <w:spacing w:val="6"/>
        </w:rPr>
        <w:t> </w:t>
      </w:r>
      <w:r>
        <w:rPr/>
        <w:t>the</w:t>
      </w:r>
      <w:r>
        <w:rPr>
          <w:spacing w:val="6"/>
        </w:rPr>
        <w:t> </w:t>
      </w:r>
      <w:r>
        <w:rPr/>
        <w:t>landlord,</w:t>
      </w:r>
      <w:r>
        <w:rPr>
          <w:spacing w:val="6"/>
        </w:rPr>
        <w:t> </w:t>
      </w:r>
      <w:r>
        <w:rPr/>
        <w:t>and</w:t>
      </w:r>
      <w:r>
        <w:rPr>
          <w:spacing w:val="6"/>
        </w:rPr>
        <w:t> </w:t>
      </w:r>
      <w:r>
        <w:rPr/>
        <w:t>in</w:t>
      </w:r>
      <w:r>
        <w:rPr>
          <w:spacing w:val="6"/>
        </w:rPr>
        <w:t> </w:t>
      </w:r>
      <w:r>
        <w:rPr/>
        <w:t>a</w:t>
      </w:r>
      <w:r>
        <w:rPr>
          <w:spacing w:val="6"/>
        </w:rPr>
        <w:t> </w:t>
      </w:r>
      <w:r>
        <w:rPr/>
        <w:t>way</w:t>
      </w:r>
      <w:r>
        <w:rPr>
          <w:spacing w:val="6"/>
        </w:rPr>
        <w:t> </w:t>
      </w:r>
      <w:r>
        <w:rPr/>
        <w:t>which</w:t>
      </w:r>
      <w:r>
        <w:rPr>
          <w:spacing w:val="6"/>
        </w:rPr>
        <w:t> </w:t>
      </w:r>
      <w:r>
        <w:rPr>
          <w:spacing w:val="-5"/>
        </w:rPr>
        <w:t>was</w:t>
      </w:r>
    </w:p>
    <w:p>
      <w:pPr>
        <w:pStyle w:val="BodyText"/>
        <w:spacing w:before="114"/>
        <w:ind w:left="1244"/>
        <w:jc w:val="both"/>
        <w:rPr>
          <w:position w:val="-2"/>
        </w:rPr>
      </w:pPr>
      <w:r>
        <w:rPr/>
        <w:t>unpredictable.” </w:t>
      </w:r>
      <w:r>
        <w:rPr>
          <w:color w:val="005DA1"/>
          <w:u w:val="single" w:color="005DA1"/>
          <w:vertAlign w:val="superscript"/>
        </w:rPr>
        <w:t>730</w:t>
      </w:r>
      <w:r>
        <w:rPr>
          <w:color w:val="005DA1"/>
          <w:spacing w:val="80"/>
          <w:vertAlign w:val="baseline"/>
        </w:rPr>
        <w:t> </w:t>
      </w:r>
      <w:r>
        <w:rPr>
          <w:color w:val="005DA1"/>
          <w:position w:val="-2"/>
          <w:vertAlign w:val="baseline"/>
        </w:rPr>
        <w:drawing>
          <wp:inline distT="0" distB="0" distL="0" distR="0">
            <wp:extent cx="107988" cy="107988"/>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6"/>
      </w:pPr>
    </w:p>
    <w:p>
      <w:pPr>
        <w:pStyle w:val="BodyText"/>
        <w:spacing w:line="235" w:lineRule="auto"/>
        <w:ind w:left="165" w:right="167"/>
        <w:jc w:val="both"/>
      </w:pPr>
      <w:r>
        <w:rPr/>
        <w:t>The Supreme Court contrasted this situation where there are “legislative provisions which </w:t>
      </w:r>
      <w:r>
        <w:rPr/>
        <w:t>the </w:t>
      </w:r>
      <w:bookmarkStart w:name="_bookmark1333" w:id="1335"/>
      <w:bookmarkEnd w:id="1335"/>
      <w:r>
        <w:rPr/>
        <w:t>democratically</w:t>
      </w:r>
      <w:r>
        <w:rPr>
          <w:spacing w:val="35"/>
        </w:rPr>
        <w:t> </w:t>
      </w:r>
      <w:r>
        <w:rPr/>
        <w:t>elected</w:t>
      </w:r>
      <w:r>
        <w:rPr>
          <w:spacing w:val="35"/>
        </w:rPr>
        <w:t> </w:t>
      </w:r>
      <w:r>
        <w:rPr/>
        <w:t>legislature</w:t>
      </w:r>
      <w:r>
        <w:rPr>
          <w:spacing w:val="35"/>
        </w:rPr>
        <w:t> </w:t>
      </w:r>
      <w:r>
        <w:rPr/>
        <w:t>has</w:t>
      </w:r>
      <w:r>
        <w:rPr>
          <w:spacing w:val="35"/>
        </w:rPr>
        <w:t> </w:t>
      </w:r>
      <w:r>
        <w:rPr/>
        <w:t>decided</w:t>
      </w:r>
      <w:r>
        <w:rPr>
          <w:spacing w:val="35"/>
        </w:rPr>
        <w:t> </w:t>
      </w:r>
      <w:r>
        <w:rPr/>
        <w:t>properly</w:t>
      </w:r>
      <w:r>
        <w:rPr>
          <w:spacing w:val="35"/>
        </w:rPr>
        <w:t> </w:t>
      </w:r>
      <w:r>
        <w:rPr/>
        <w:t>balance</w:t>
      </w:r>
      <w:r>
        <w:rPr>
          <w:spacing w:val="35"/>
        </w:rPr>
        <w:t> </w:t>
      </w:r>
      <w:r>
        <w:rPr/>
        <w:t>the</w:t>
      </w:r>
      <w:r>
        <w:rPr>
          <w:spacing w:val="35"/>
        </w:rPr>
        <w:t> </w:t>
      </w:r>
      <w:r>
        <w:rPr/>
        <w:t>competing</w:t>
      </w:r>
      <w:r>
        <w:rPr>
          <w:spacing w:val="35"/>
        </w:rPr>
        <w:t> </w:t>
      </w:r>
      <w:r>
        <w:rPr/>
        <w:t>interests</w:t>
      </w:r>
      <w:r>
        <w:rPr>
          <w:spacing w:val="35"/>
        </w:rPr>
        <w:t> </w:t>
      </w:r>
      <w:r>
        <w:rPr/>
        <w:t>of</w:t>
      </w:r>
      <w:r>
        <w:rPr>
          <w:spacing w:val="35"/>
        </w:rPr>
        <w:t> </w:t>
      </w:r>
      <w:r>
        <w:rPr>
          <w:spacing w:val="-2"/>
        </w:rPr>
        <w:t>private</w:t>
      </w:r>
    </w:p>
    <w:p>
      <w:pPr>
        <w:pStyle w:val="BodyText"/>
        <w:spacing w:line="235" w:lineRule="auto" w:before="119"/>
        <w:ind w:left="165" w:right="167"/>
        <w:jc w:val="both"/>
      </w:pPr>
      <w:r>
        <w:rPr/>
        <w:t>sector landlords and residential tenants” </w:t>
      </w:r>
      <w:r>
        <w:rPr>
          <w:color w:val="005DA1"/>
          <w:u w:val="single" w:color="005DA1"/>
          <w:vertAlign w:val="superscript"/>
        </w:rPr>
        <w:t>731</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9"/>
          <w:vertAlign w:val="baseline"/>
        </w:rPr>
        <w:t> </w:t>
      </w:r>
      <w:r>
        <w:rPr>
          <w:vertAlign w:val="baseline"/>
        </w:rPr>
        <w:t>with situations where the relationship between two private parties is “tortious or quasi-tortious” rather than contractual and where the legislature has “expressly, impliedly or through inaction, left it to the courts to carry out the balancing exercise”, for </w:t>
      </w:r>
      <w:bookmarkStart w:name="_bookmark1334" w:id="1336"/>
      <w:bookmarkEnd w:id="1336"/>
      <w:r>
        <w:rPr>
          <w:vertAlign w:val="baseline"/>
        </w:rPr>
        <w:t>example,</w:t>
      </w:r>
      <w:r>
        <w:rPr>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person</w:t>
      </w:r>
      <w:r>
        <w:rPr>
          <w:spacing w:val="2"/>
          <w:vertAlign w:val="baseline"/>
        </w:rPr>
        <w:t> </w:t>
      </w:r>
      <w:r>
        <w:rPr>
          <w:vertAlign w:val="baseline"/>
        </w:rPr>
        <w:t>is</w:t>
      </w:r>
      <w:r>
        <w:rPr>
          <w:spacing w:val="2"/>
          <w:vertAlign w:val="baseline"/>
        </w:rPr>
        <w:t> </w:t>
      </w:r>
      <w:r>
        <w:rPr>
          <w:vertAlign w:val="baseline"/>
        </w:rPr>
        <w:t>seeking</w:t>
      </w:r>
      <w:r>
        <w:rPr>
          <w:spacing w:val="2"/>
          <w:vertAlign w:val="baseline"/>
        </w:rPr>
        <w:t> </w:t>
      </w:r>
      <w:r>
        <w:rPr>
          <w:vertAlign w:val="baseline"/>
        </w:rPr>
        <w:t>to</w:t>
      </w:r>
      <w:r>
        <w:rPr>
          <w:spacing w:val="2"/>
          <w:vertAlign w:val="baseline"/>
        </w:rPr>
        <w:t> </w:t>
      </w:r>
      <w:r>
        <w:rPr>
          <w:vertAlign w:val="baseline"/>
        </w:rPr>
        <w:t>rely</w:t>
      </w:r>
      <w:r>
        <w:rPr>
          <w:spacing w:val="2"/>
          <w:vertAlign w:val="baseline"/>
        </w:rPr>
        <w:t> </w:t>
      </w:r>
      <w:r>
        <w:rPr>
          <w:vertAlign w:val="baseline"/>
        </w:rPr>
        <w:t>on</w:t>
      </w:r>
      <w:r>
        <w:rPr>
          <w:spacing w:val="2"/>
          <w:vertAlign w:val="baseline"/>
        </w:rPr>
        <w:t> </w:t>
      </w:r>
      <w:r>
        <w:rPr>
          <w:vertAlign w:val="baseline"/>
        </w:rPr>
        <w:t>her</w:t>
      </w:r>
      <w:r>
        <w:rPr>
          <w:spacing w:val="2"/>
          <w:vertAlign w:val="baseline"/>
        </w:rPr>
        <w:t> </w:t>
      </w:r>
      <w:r>
        <w:rPr>
          <w:vertAlign w:val="baseline"/>
        </w:rPr>
        <w:t>art.8</w:t>
      </w:r>
      <w:r>
        <w:rPr>
          <w:spacing w:val="2"/>
          <w:vertAlign w:val="baseline"/>
        </w:rPr>
        <w:t> </w:t>
      </w:r>
      <w:r>
        <w:rPr>
          <w:vertAlign w:val="baseline"/>
        </w:rPr>
        <w:t>rights</w:t>
      </w:r>
      <w:r>
        <w:rPr>
          <w:spacing w:val="2"/>
          <w:vertAlign w:val="baseline"/>
        </w:rPr>
        <w:t> </w:t>
      </w:r>
      <w:r>
        <w:rPr>
          <w:vertAlign w:val="baseline"/>
        </w:rPr>
        <w:t>to</w:t>
      </w:r>
      <w:r>
        <w:rPr>
          <w:spacing w:val="2"/>
          <w:vertAlign w:val="baseline"/>
        </w:rPr>
        <w:t> </w:t>
      </w:r>
      <w:r>
        <w:rPr>
          <w:vertAlign w:val="baseline"/>
        </w:rPr>
        <w:t>restrain</w:t>
      </w:r>
      <w:r>
        <w:rPr>
          <w:spacing w:val="2"/>
          <w:vertAlign w:val="baseline"/>
        </w:rPr>
        <w:t> </w:t>
      </w:r>
      <w:r>
        <w:rPr>
          <w:vertAlign w:val="baseline"/>
        </w:rPr>
        <w:t>a</w:t>
      </w:r>
      <w:r>
        <w:rPr>
          <w:spacing w:val="2"/>
          <w:vertAlign w:val="baseline"/>
        </w:rPr>
        <w:t> </w:t>
      </w:r>
      <w:r>
        <w:rPr>
          <w:vertAlign w:val="baseline"/>
        </w:rPr>
        <w:t>newspaper</w:t>
      </w:r>
      <w:r>
        <w:rPr>
          <w:spacing w:val="2"/>
          <w:vertAlign w:val="baseline"/>
        </w:rPr>
        <w:t> </w:t>
      </w:r>
      <w:r>
        <w:rPr>
          <w:vertAlign w:val="baseline"/>
        </w:rPr>
        <w:t>from</w:t>
      </w:r>
      <w:r>
        <w:rPr>
          <w:spacing w:val="2"/>
          <w:vertAlign w:val="baseline"/>
        </w:rPr>
        <w:t> </w:t>
      </w:r>
      <w:r>
        <w:rPr>
          <w:spacing w:val="-2"/>
          <w:vertAlign w:val="baseline"/>
        </w:rPr>
        <w:t>publishing</w:t>
      </w:r>
    </w:p>
    <w:p>
      <w:pPr>
        <w:pStyle w:val="BodyText"/>
        <w:spacing w:before="115"/>
        <w:ind w:left="165"/>
        <w:jc w:val="both"/>
        <w:rPr>
          <w:position w:val="-2"/>
        </w:rPr>
      </w:pPr>
      <w:r>
        <w:rPr/>
        <w:t>an article in breach of her privacy and where the newspaper relies on art.10 of the Convention. </w:t>
      </w:r>
      <w:r>
        <w:rPr>
          <w:color w:val="005DA1"/>
          <w:u w:val="single" w:color="005DA1"/>
          <w:vertAlign w:val="superscript"/>
        </w:rPr>
        <w:t>732</w:t>
      </w:r>
      <w:r>
        <w:rPr>
          <w:color w:val="005DA1"/>
          <w:spacing w:val="80"/>
          <w:w w:val="150"/>
          <w:vertAlign w:val="baseline"/>
        </w:rPr>
        <w:t> </w:t>
      </w:r>
      <w:r>
        <w:rPr>
          <w:color w:val="005DA1"/>
          <w:position w:val="-2"/>
          <w:vertAlign w:val="baseline"/>
        </w:rPr>
        <w:drawing>
          <wp:inline distT="0" distB="0" distL="0" distR="0">
            <wp:extent cx="107988" cy="107988"/>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8"/>
      </w:pPr>
      <w:r>
        <w:rPr/>
        <mc:AlternateContent>
          <mc:Choice Requires="wps">
            <w:drawing>
              <wp:anchor distT="0" distB="0" distL="0" distR="0" allowOverlap="1" layoutInCell="1" locked="0" behindDoc="1" simplePos="0" relativeHeight="487669248">
                <wp:simplePos x="0" y="0"/>
                <wp:positionH relativeFrom="page">
                  <wp:posOffset>914400</wp:posOffset>
                </wp:positionH>
                <wp:positionV relativeFrom="paragraph">
                  <wp:posOffset>185952</wp:posOffset>
                </wp:positionV>
                <wp:extent cx="5724525" cy="1270"/>
                <wp:effectExtent l="0" t="0" r="0" b="0"/>
                <wp:wrapTopAndBottom/>
                <wp:docPr id="349" name="Graphic 349"/>
                <wp:cNvGraphicFramePr>
                  <a:graphicFrameLocks/>
                </wp:cNvGraphicFramePr>
                <a:graphic>
                  <a:graphicData uri="http://schemas.microsoft.com/office/word/2010/wordprocessingShape">
                    <wps:wsp>
                      <wps:cNvPr id="349" name="Graphic 34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1953pt;width:450.75pt;height:.1pt;mso-position-horizontal-relative:page;mso-position-vertical-relative:paragraph;z-index:-15647232;mso-wrap-distance-left:0;mso-wrap-distance-right:0" id="docshape39"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335" w:id="1337"/>
      <w:bookmarkEnd w:id="1337"/>
      <w:r>
        <w:rPr/>
      </w:r>
      <w:hyperlink w:history="true" w:anchor="_bookmark1283">
        <w:r>
          <w:rPr>
            <w:color w:val="005DA1"/>
            <w:spacing w:val="-4"/>
            <w:position w:val="5"/>
            <w:sz w:val="14"/>
            <w:u w:val="single" w:color="005DA1"/>
          </w:rPr>
          <w:t>679</w:t>
        </w:r>
      </w:hyperlink>
      <w:r>
        <w:rPr>
          <w:spacing w:val="-4"/>
          <w:position w:val="5"/>
          <w:sz w:val="14"/>
        </w:rPr>
        <w:t>.</w:t>
      </w:r>
      <w:r>
        <w:rPr>
          <w:position w:val="5"/>
          <w:sz w:val="14"/>
        </w:rPr>
        <w:tab/>
      </w:r>
      <w:r>
        <w:rPr/>
        <w:t>Human Rights Act 1998 </w:t>
      </w:r>
      <w:r>
        <w:rPr>
          <w:spacing w:val="-2"/>
        </w:rPr>
        <w:t>s.6(3)(a).</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10560">
            <wp:simplePos x="0" y="0"/>
            <wp:positionH relativeFrom="page">
              <wp:posOffset>1257846</wp:posOffset>
            </wp:positionH>
            <wp:positionV relativeFrom="paragraph">
              <wp:posOffset>160306</wp:posOffset>
            </wp:positionV>
            <wp:extent cx="107988" cy="107988"/>
            <wp:effectExtent l="0" t="0" r="0" b="0"/>
            <wp:wrapNone/>
            <wp:docPr id="350" name="Image 350"/>
            <wp:cNvGraphicFramePr>
              <a:graphicFrameLocks/>
            </wp:cNvGraphicFramePr>
            <a:graphic>
              <a:graphicData uri="http://schemas.openxmlformats.org/drawingml/2006/picture">
                <pic:pic>
                  <pic:nvPicPr>
                    <pic:cNvPr id="350" name="Image 35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36" w:id="1338"/>
      <w:bookmarkEnd w:id="1338"/>
      <w:r>
        <w:rPr/>
      </w:r>
      <w:hyperlink w:history="true" w:anchor="_bookmark1284">
        <w:r>
          <w:rPr>
            <w:color w:val="005DA1"/>
            <w:spacing w:val="-4"/>
            <w:sz w:val="14"/>
            <w:u w:val="single" w:color="005DA1"/>
          </w:rPr>
          <w:t>680</w:t>
        </w:r>
      </w:hyperlink>
      <w:r>
        <w:rPr>
          <w:spacing w:val="-4"/>
          <w:sz w:val="14"/>
        </w:rPr>
        <w:t>.</w:t>
      </w:r>
    </w:p>
    <w:p>
      <w:pPr>
        <w:spacing w:line="235" w:lineRule="auto" w:before="212"/>
        <w:ind w:left="165" w:right="165" w:firstLine="170"/>
        <w:jc w:val="left"/>
        <w:rPr>
          <w:sz w:val="20"/>
        </w:rPr>
      </w:pPr>
      <w:r>
        <w:rPr/>
        <w:br w:type="column"/>
      </w:r>
      <w:r>
        <w:rPr>
          <w:sz w:val="20"/>
        </w:rPr>
        <w:t>See, however, </w:t>
      </w:r>
      <w:r>
        <w:rPr>
          <w:rFonts w:ascii="Arial"/>
          <w:i/>
          <w:sz w:val="20"/>
        </w:rPr>
        <w:t>McDonald v McDonald [2016] UKSC 28, [2017] A.C. 273 </w:t>
      </w:r>
      <w:r>
        <w:rPr>
          <w:sz w:val="20"/>
        </w:rPr>
        <w:t>(below para.1-091) where</w:t>
      </w:r>
      <w:r>
        <w:rPr>
          <w:spacing w:val="2"/>
          <w:sz w:val="20"/>
        </w:rPr>
        <w:t> </w:t>
      </w:r>
      <w:r>
        <w:rPr>
          <w:sz w:val="20"/>
        </w:rPr>
        <w:t>the</w:t>
      </w:r>
      <w:r>
        <w:rPr>
          <w:spacing w:val="2"/>
          <w:sz w:val="20"/>
        </w:rPr>
        <w:t> </w:t>
      </w:r>
      <w:r>
        <w:rPr>
          <w:sz w:val="20"/>
        </w:rPr>
        <w:t>SC</w:t>
      </w:r>
      <w:r>
        <w:rPr>
          <w:spacing w:val="2"/>
          <w:sz w:val="20"/>
        </w:rPr>
        <w:t> </w:t>
      </w:r>
      <w:r>
        <w:rPr>
          <w:sz w:val="20"/>
        </w:rPr>
        <w:t>observed</w:t>
      </w:r>
      <w:r>
        <w:rPr>
          <w:spacing w:val="2"/>
          <w:sz w:val="20"/>
        </w:rPr>
        <w:t> </w:t>
      </w:r>
      <w:r>
        <w:rPr>
          <w:sz w:val="20"/>
        </w:rPr>
        <w:t>that,</w:t>
      </w:r>
      <w:r>
        <w:rPr>
          <w:spacing w:val="2"/>
          <w:sz w:val="20"/>
        </w:rPr>
        <w:t> </w:t>
      </w:r>
      <w:r>
        <w:rPr>
          <w:sz w:val="20"/>
        </w:rPr>
        <w:t>while</w:t>
      </w:r>
      <w:r>
        <w:rPr>
          <w:spacing w:val="2"/>
          <w:sz w:val="20"/>
        </w:rPr>
        <w:t> </w:t>
      </w:r>
      <w:r>
        <w:rPr>
          <w:sz w:val="20"/>
        </w:rPr>
        <w:t>a</w:t>
      </w:r>
      <w:r>
        <w:rPr>
          <w:spacing w:val="2"/>
          <w:sz w:val="20"/>
        </w:rPr>
        <w:t> </w:t>
      </w:r>
      <w:r>
        <w:rPr>
          <w:sz w:val="20"/>
        </w:rPr>
        <w:t>court</w:t>
      </w:r>
      <w:r>
        <w:rPr>
          <w:spacing w:val="2"/>
          <w:sz w:val="20"/>
        </w:rPr>
        <w:t> </w:t>
      </w:r>
      <w:r>
        <w:rPr>
          <w:sz w:val="20"/>
        </w:rPr>
        <w:t>is</w:t>
      </w:r>
      <w:r>
        <w:rPr>
          <w:spacing w:val="2"/>
          <w:sz w:val="20"/>
        </w:rPr>
        <w:t> </w:t>
      </w:r>
      <w:r>
        <w:rPr>
          <w:sz w:val="20"/>
        </w:rPr>
        <w:t>a</w:t>
      </w:r>
      <w:r>
        <w:rPr>
          <w:spacing w:val="2"/>
          <w:sz w:val="20"/>
        </w:rPr>
        <w:t> </w:t>
      </w:r>
      <w:r>
        <w:rPr>
          <w:sz w:val="20"/>
        </w:rPr>
        <w:t>public</w:t>
      </w:r>
      <w:r>
        <w:rPr>
          <w:spacing w:val="2"/>
          <w:sz w:val="20"/>
        </w:rPr>
        <w:t> </w:t>
      </w:r>
      <w:r>
        <w:rPr>
          <w:sz w:val="20"/>
        </w:rPr>
        <w:t>authority</w:t>
      </w:r>
      <w:r>
        <w:rPr>
          <w:spacing w:val="2"/>
          <w:sz w:val="20"/>
        </w:rPr>
        <w:t> </w:t>
      </w:r>
      <w:r>
        <w:rPr>
          <w:sz w:val="20"/>
        </w:rPr>
        <w:t>for</w:t>
      </w:r>
      <w:r>
        <w:rPr>
          <w:spacing w:val="2"/>
          <w:sz w:val="20"/>
        </w:rPr>
        <w:t> </w:t>
      </w:r>
      <w:r>
        <w:rPr>
          <w:sz w:val="20"/>
        </w:rPr>
        <w:t>the</w:t>
      </w:r>
      <w:r>
        <w:rPr>
          <w:spacing w:val="2"/>
          <w:sz w:val="20"/>
        </w:rPr>
        <w:t> </w:t>
      </w:r>
      <w:r>
        <w:rPr>
          <w:sz w:val="20"/>
        </w:rPr>
        <w:t>purposes</w:t>
      </w:r>
      <w:r>
        <w:rPr>
          <w:spacing w:val="2"/>
          <w:sz w:val="20"/>
        </w:rPr>
        <w:t> </w:t>
      </w:r>
      <w:r>
        <w:rPr>
          <w:sz w:val="20"/>
        </w:rPr>
        <w:t>of</w:t>
      </w:r>
      <w:r>
        <w:rPr>
          <w:spacing w:val="2"/>
          <w:sz w:val="20"/>
        </w:rPr>
        <w:t> </w:t>
      </w:r>
      <w:r>
        <w:rPr>
          <w:sz w:val="20"/>
        </w:rPr>
        <w:t>the</w:t>
      </w:r>
      <w:r>
        <w:rPr>
          <w:spacing w:val="2"/>
          <w:sz w:val="20"/>
        </w:rPr>
        <w:t> </w:t>
      </w:r>
      <w:r>
        <w:rPr>
          <w:sz w:val="20"/>
        </w:rPr>
        <w:t>1998</w:t>
      </w:r>
      <w:r>
        <w:rPr>
          <w:spacing w:val="2"/>
          <w:sz w:val="20"/>
        </w:rPr>
        <w:t> </w:t>
      </w:r>
      <w:r>
        <w:rPr>
          <w:spacing w:val="-4"/>
          <w:sz w:val="20"/>
        </w:rPr>
        <w:t>Act,</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line="235" w:lineRule="auto" w:before="110"/>
        <w:ind w:left="705" w:right="167"/>
        <w:jc w:val="both"/>
      </w:pPr>
      <w:r>
        <w:rPr/>
        <w:t>when it makes an order for possession against a private sector tenant it does so “merely as the forum for determination of the civil right in dispute between the parties” and that “once </w:t>
      </w:r>
      <w:r>
        <w:rPr/>
        <w:t>it concludes that the landlord is entitled to possession, there is nothing further to investigate”: at [44], quoting Lord Millett in </w:t>
      </w:r>
      <w:r>
        <w:rPr>
          <w:rFonts w:ascii="Arial" w:hAnsi="Arial"/>
          <w:i/>
        </w:rPr>
        <w:t>Harrow LBC v Qazi [2003] UKHL 43, [2004] 1 A.C. 983 </w:t>
      </w:r>
      <w:r>
        <w:rPr/>
        <w:t>at [108].</w:t>
      </w:r>
    </w:p>
    <w:p>
      <w:pPr>
        <w:pStyle w:val="BodyText"/>
        <w:spacing w:before="5"/>
      </w:pPr>
    </w:p>
    <w:p>
      <w:pPr>
        <w:pStyle w:val="BodyText"/>
        <w:tabs>
          <w:tab w:pos="705" w:val="left" w:leader="none"/>
        </w:tabs>
        <w:ind w:left="165"/>
      </w:pPr>
      <w:bookmarkStart w:name="_bookmark1337" w:id="1339"/>
      <w:bookmarkEnd w:id="1339"/>
      <w:r>
        <w:rPr/>
      </w:r>
      <w:hyperlink w:history="true" w:anchor="_bookmark1285">
        <w:r>
          <w:rPr>
            <w:color w:val="005DA1"/>
            <w:spacing w:val="-4"/>
            <w:position w:val="5"/>
            <w:sz w:val="14"/>
            <w:u w:val="single" w:color="005DA1"/>
          </w:rPr>
          <w:t>681</w:t>
        </w:r>
      </w:hyperlink>
      <w:r>
        <w:rPr>
          <w:spacing w:val="-4"/>
          <w:position w:val="5"/>
          <w:sz w:val="14"/>
        </w:rPr>
        <w:t>.</w:t>
      </w:r>
      <w:r>
        <w:rPr>
          <w:position w:val="5"/>
          <w:sz w:val="14"/>
        </w:rPr>
        <w:tab/>
      </w:r>
      <w:r>
        <w:rPr/>
        <w:t>Misrepresentation Act 1967 s.2(2) and see below, paras 7-104, 7-</w:t>
      </w:r>
      <w:r>
        <w:rPr>
          <w:spacing w:val="-4"/>
        </w:rPr>
        <w:t>110.</w:t>
      </w:r>
    </w:p>
    <w:p>
      <w:pPr>
        <w:pStyle w:val="BodyText"/>
        <w:spacing w:before="5"/>
      </w:pPr>
    </w:p>
    <w:p>
      <w:pPr>
        <w:pStyle w:val="BodyText"/>
        <w:tabs>
          <w:tab w:pos="705" w:val="left" w:leader="none"/>
        </w:tabs>
        <w:ind w:left="165"/>
      </w:pPr>
      <w:bookmarkStart w:name="_bookmark1338" w:id="1340"/>
      <w:bookmarkEnd w:id="1340"/>
      <w:r>
        <w:rPr/>
      </w:r>
      <w:hyperlink w:history="true" w:anchor="_bookmark1286">
        <w:r>
          <w:rPr>
            <w:color w:val="005DA1"/>
            <w:spacing w:val="-4"/>
            <w:position w:val="5"/>
            <w:sz w:val="14"/>
            <w:u w:val="single" w:color="005DA1"/>
          </w:rPr>
          <w:t>682</w:t>
        </w:r>
      </w:hyperlink>
      <w:r>
        <w:rPr>
          <w:spacing w:val="-4"/>
          <w:position w:val="5"/>
          <w:sz w:val="14"/>
        </w:rPr>
        <w:t>.</w:t>
      </w:r>
      <w:r>
        <w:rPr>
          <w:position w:val="5"/>
          <w:sz w:val="14"/>
        </w:rPr>
        <w:tab/>
      </w:r>
      <w:r>
        <w:rPr/>
        <w:t>Law Reform (Frustrated Contracts) Act 1943 s.1(3) and see below, para.23-</w:t>
      </w:r>
      <w:r>
        <w:rPr>
          <w:spacing w:val="-4"/>
        </w:rPr>
        <w:t>090.</w:t>
      </w:r>
    </w:p>
    <w:p>
      <w:pPr>
        <w:pStyle w:val="BodyText"/>
        <w:spacing w:before="5"/>
      </w:pPr>
    </w:p>
    <w:p>
      <w:pPr>
        <w:pStyle w:val="BodyText"/>
        <w:tabs>
          <w:tab w:pos="705" w:val="left" w:leader="none"/>
        </w:tabs>
        <w:ind w:left="165"/>
      </w:pPr>
      <w:bookmarkStart w:name="_bookmark1339" w:id="1341"/>
      <w:bookmarkEnd w:id="1341"/>
      <w:r>
        <w:rPr/>
      </w:r>
      <w:hyperlink w:history="true" w:anchor="_bookmark1287">
        <w:r>
          <w:rPr>
            <w:color w:val="005DA1"/>
            <w:spacing w:val="-4"/>
            <w:position w:val="5"/>
            <w:sz w:val="14"/>
            <w:u w:val="single" w:color="005DA1"/>
          </w:rPr>
          <w:t>683</w:t>
        </w:r>
      </w:hyperlink>
      <w:r>
        <w:rPr>
          <w:spacing w:val="-4"/>
          <w:position w:val="5"/>
          <w:sz w:val="14"/>
        </w:rPr>
        <w:t>.</w:t>
      </w:r>
      <w:r>
        <w:rPr>
          <w:position w:val="5"/>
          <w:sz w:val="14"/>
        </w:rPr>
        <w:tab/>
      </w:r>
      <w:r>
        <w:rPr/>
        <w:t>See below, paras 27-034 et seq. and 27-065 et </w:t>
      </w:r>
      <w:r>
        <w:rPr>
          <w:spacing w:val="-4"/>
        </w:rPr>
        <w:t>seq.</w:t>
      </w:r>
    </w:p>
    <w:p>
      <w:pPr>
        <w:pStyle w:val="BodyText"/>
        <w:spacing w:before="5"/>
      </w:pPr>
    </w:p>
    <w:p>
      <w:pPr>
        <w:pStyle w:val="BodyText"/>
        <w:tabs>
          <w:tab w:pos="705" w:val="left" w:leader="none"/>
        </w:tabs>
        <w:ind w:left="165"/>
      </w:pPr>
      <w:bookmarkStart w:name="_bookmark1340" w:id="1342"/>
      <w:bookmarkEnd w:id="1342"/>
      <w:r>
        <w:rPr/>
      </w:r>
      <w:hyperlink w:history="true" w:anchor="_bookmark1288">
        <w:r>
          <w:rPr>
            <w:color w:val="005DA1"/>
            <w:spacing w:val="-4"/>
            <w:position w:val="5"/>
            <w:sz w:val="14"/>
            <w:u w:val="single" w:color="005DA1"/>
          </w:rPr>
          <w:t>684</w:t>
        </w:r>
      </w:hyperlink>
      <w:r>
        <w:rPr>
          <w:spacing w:val="-4"/>
          <w:position w:val="5"/>
          <w:sz w:val="14"/>
        </w:rPr>
        <w:t>.</w:t>
      </w:r>
      <w:r>
        <w:rPr>
          <w:position w:val="5"/>
          <w:sz w:val="14"/>
        </w:rPr>
        <w:tab/>
      </w:r>
      <w:r>
        <w:rPr/>
        <w:t>For discussion of these other “public authorities”, see above, paras 1-073—1-</w:t>
      </w:r>
      <w:r>
        <w:rPr>
          <w:spacing w:val="-4"/>
        </w:rPr>
        <w:t>075.</w:t>
      </w:r>
    </w:p>
    <w:p>
      <w:pPr>
        <w:pStyle w:val="BodyText"/>
        <w:spacing w:before="9"/>
      </w:pPr>
    </w:p>
    <w:p>
      <w:pPr>
        <w:spacing w:line="235" w:lineRule="auto" w:before="0"/>
        <w:ind w:left="705" w:right="167" w:hanging="541"/>
        <w:jc w:val="both"/>
        <w:rPr>
          <w:sz w:val="20"/>
        </w:rPr>
      </w:pPr>
      <w:bookmarkStart w:name="_bookmark1341" w:id="1343"/>
      <w:bookmarkEnd w:id="1343"/>
      <w:r>
        <w:rPr/>
      </w:r>
      <w:hyperlink w:history="true" w:anchor="_bookmark1289">
        <w:r>
          <w:rPr>
            <w:color w:val="005DA1"/>
            <w:position w:val="5"/>
            <w:sz w:val="14"/>
            <w:u w:val="single" w:color="005DA1"/>
          </w:rPr>
          <w:t>685</w:t>
        </w:r>
      </w:hyperlink>
      <w:r>
        <w:rPr>
          <w:position w:val="5"/>
          <w:sz w:val="14"/>
        </w:rPr>
        <w:t>.</w:t>
      </w:r>
      <w:r>
        <w:rPr>
          <w:spacing w:val="80"/>
          <w:w w:val="150"/>
          <w:position w:val="5"/>
          <w:sz w:val="14"/>
        </w:rPr>
        <w:t> </w:t>
      </w:r>
      <w:r>
        <w:rPr>
          <w:rFonts w:ascii="Arial" w:hAnsi="Arial"/>
          <w:i/>
          <w:sz w:val="20"/>
        </w:rPr>
        <w:t>Wilson v First County Trust Ltd (No.2) [2003] UKHL 40, [2003] 3 W.L.R. 568 </w:t>
      </w:r>
      <w:r>
        <w:rPr>
          <w:sz w:val="20"/>
        </w:rPr>
        <w:t>at [25], per </w:t>
      </w:r>
      <w:r>
        <w:rPr>
          <w:sz w:val="20"/>
        </w:rPr>
        <w:t>Lord Nicholls and see similarly at [174] (Lord Rodger). See for an introduction to this question: Craig, </w:t>
      </w:r>
      <w:r>
        <w:rPr>
          <w:rFonts w:ascii="Arial" w:hAnsi="Arial"/>
          <w:i/>
          <w:sz w:val="20"/>
        </w:rPr>
        <w:t>Administrative Law</w:t>
      </w:r>
      <w:r>
        <w:rPr>
          <w:sz w:val="20"/>
        </w:rPr>
        <w:t>, 7th edn (2012) at paras 18-027–18-028 and see further Hunt [1998] P.L. 423;</w:t>
      </w:r>
      <w:r>
        <w:rPr>
          <w:spacing w:val="17"/>
          <w:sz w:val="20"/>
        </w:rPr>
        <w:t> </w:t>
      </w:r>
      <w:r>
        <w:rPr>
          <w:sz w:val="20"/>
        </w:rPr>
        <w:t>Markesinis</w:t>
      </w:r>
      <w:r>
        <w:rPr>
          <w:spacing w:val="19"/>
          <w:sz w:val="20"/>
        </w:rPr>
        <w:t> </w:t>
      </w:r>
      <w:r>
        <w:rPr>
          <w:sz w:val="20"/>
        </w:rPr>
        <w:t>(1998)</w:t>
      </w:r>
      <w:r>
        <w:rPr>
          <w:spacing w:val="19"/>
          <w:sz w:val="20"/>
        </w:rPr>
        <w:t> </w:t>
      </w:r>
      <w:r>
        <w:rPr>
          <w:sz w:val="20"/>
        </w:rPr>
        <w:t>114</w:t>
      </w:r>
      <w:r>
        <w:rPr>
          <w:spacing w:val="19"/>
          <w:sz w:val="20"/>
        </w:rPr>
        <w:t> </w:t>
      </w:r>
      <w:r>
        <w:rPr>
          <w:sz w:val="20"/>
        </w:rPr>
        <w:t>L.Q.R.</w:t>
      </w:r>
      <w:r>
        <w:rPr>
          <w:spacing w:val="19"/>
          <w:sz w:val="20"/>
        </w:rPr>
        <w:t> </w:t>
      </w:r>
      <w:r>
        <w:rPr>
          <w:sz w:val="20"/>
        </w:rPr>
        <w:t>47;</w:t>
      </w:r>
      <w:r>
        <w:rPr>
          <w:spacing w:val="19"/>
          <w:sz w:val="20"/>
        </w:rPr>
        <w:t> </w:t>
      </w:r>
      <w:r>
        <w:rPr>
          <w:sz w:val="20"/>
        </w:rPr>
        <w:t>Bamforth</w:t>
      </w:r>
      <w:r>
        <w:rPr>
          <w:spacing w:val="19"/>
          <w:sz w:val="20"/>
        </w:rPr>
        <w:t> </w:t>
      </w:r>
      <w:r>
        <w:rPr>
          <w:sz w:val="20"/>
        </w:rPr>
        <w:t>[1999]</w:t>
      </w:r>
      <w:r>
        <w:rPr>
          <w:spacing w:val="19"/>
          <w:sz w:val="20"/>
        </w:rPr>
        <w:t> </w:t>
      </w:r>
      <w:r>
        <w:rPr>
          <w:sz w:val="20"/>
        </w:rPr>
        <w:t>C.L.J.</w:t>
      </w:r>
      <w:r>
        <w:rPr>
          <w:spacing w:val="19"/>
          <w:sz w:val="20"/>
        </w:rPr>
        <w:t> </w:t>
      </w:r>
      <w:r>
        <w:rPr>
          <w:sz w:val="20"/>
        </w:rPr>
        <w:t>159;</w:t>
      </w:r>
      <w:r>
        <w:rPr>
          <w:spacing w:val="19"/>
          <w:sz w:val="20"/>
        </w:rPr>
        <w:t> </w:t>
      </w:r>
      <w:r>
        <w:rPr>
          <w:sz w:val="20"/>
        </w:rPr>
        <w:t>Buxton</w:t>
      </w:r>
      <w:r>
        <w:rPr>
          <w:spacing w:val="19"/>
          <w:sz w:val="20"/>
        </w:rPr>
        <w:t> </w:t>
      </w:r>
      <w:r>
        <w:rPr>
          <w:sz w:val="20"/>
        </w:rPr>
        <w:t>(2000)</w:t>
      </w:r>
      <w:r>
        <w:rPr>
          <w:spacing w:val="19"/>
          <w:sz w:val="20"/>
        </w:rPr>
        <w:t> </w:t>
      </w:r>
      <w:r>
        <w:rPr>
          <w:sz w:val="20"/>
        </w:rPr>
        <w:t>116</w:t>
      </w:r>
      <w:r>
        <w:rPr>
          <w:spacing w:val="19"/>
          <w:sz w:val="20"/>
        </w:rPr>
        <w:t> </w:t>
      </w:r>
      <w:r>
        <w:rPr>
          <w:spacing w:val="-2"/>
          <w:sz w:val="20"/>
        </w:rPr>
        <w:t>L.Q.R.</w:t>
      </w:r>
    </w:p>
    <w:p>
      <w:pPr>
        <w:pStyle w:val="BodyText"/>
        <w:spacing w:line="222" w:lineRule="exact"/>
        <w:ind w:left="705"/>
        <w:jc w:val="both"/>
      </w:pPr>
      <w:r>
        <w:rPr/>
        <w:t>48;</w:t>
      </w:r>
      <w:r>
        <w:rPr>
          <w:spacing w:val="27"/>
        </w:rPr>
        <w:t> </w:t>
      </w:r>
      <w:r>
        <w:rPr/>
        <w:t>Wade</w:t>
      </w:r>
      <w:r>
        <w:rPr>
          <w:spacing w:val="27"/>
        </w:rPr>
        <w:t> </w:t>
      </w:r>
      <w:r>
        <w:rPr/>
        <w:t>(2000)</w:t>
      </w:r>
      <w:r>
        <w:rPr>
          <w:spacing w:val="27"/>
        </w:rPr>
        <w:t> </w:t>
      </w:r>
      <w:r>
        <w:rPr/>
        <w:t>116</w:t>
      </w:r>
      <w:r>
        <w:rPr>
          <w:spacing w:val="27"/>
        </w:rPr>
        <w:t> </w:t>
      </w:r>
      <w:r>
        <w:rPr/>
        <w:t>L.Q.R.</w:t>
      </w:r>
      <w:r>
        <w:rPr>
          <w:spacing w:val="27"/>
        </w:rPr>
        <w:t> </w:t>
      </w:r>
      <w:r>
        <w:rPr/>
        <w:t>217;</w:t>
      </w:r>
      <w:r>
        <w:rPr>
          <w:spacing w:val="27"/>
        </w:rPr>
        <w:t> </w:t>
      </w:r>
      <w:r>
        <w:rPr/>
        <w:t>Morgan</w:t>
      </w:r>
      <w:r>
        <w:rPr>
          <w:spacing w:val="27"/>
        </w:rPr>
        <w:t> </w:t>
      </w:r>
      <w:r>
        <w:rPr/>
        <w:t>(2002)</w:t>
      </w:r>
      <w:r>
        <w:rPr>
          <w:spacing w:val="27"/>
        </w:rPr>
        <w:t> </w:t>
      </w:r>
      <w:r>
        <w:rPr/>
        <w:t>L.S.</w:t>
      </w:r>
      <w:r>
        <w:rPr>
          <w:spacing w:val="27"/>
        </w:rPr>
        <w:t> </w:t>
      </w:r>
      <w:r>
        <w:rPr/>
        <w:t>259;</w:t>
      </w:r>
      <w:r>
        <w:rPr>
          <w:spacing w:val="27"/>
        </w:rPr>
        <w:t> </w:t>
      </w:r>
      <w:r>
        <w:rPr/>
        <w:t>Phillipson</w:t>
      </w:r>
      <w:r>
        <w:rPr>
          <w:spacing w:val="27"/>
        </w:rPr>
        <w:t> </w:t>
      </w:r>
      <w:r>
        <w:rPr/>
        <w:t>(2003)</w:t>
      </w:r>
      <w:r>
        <w:rPr>
          <w:spacing w:val="27"/>
        </w:rPr>
        <w:t> </w:t>
      </w:r>
      <w:r>
        <w:rPr/>
        <w:t>66</w:t>
      </w:r>
      <w:r>
        <w:rPr>
          <w:spacing w:val="27"/>
        </w:rPr>
        <w:t> </w:t>
      </w:r>
      <w:r>
        <w:rPr/>
        <w:t>M.L.R.</w:t>
      </w:r>
      <w:r>
        <w:rPr>
          <w:spacing w:val="27"/>
        </w:rPr>
        <w:t> </w:t>
      </w:r>
      <w:r>
        <w:rPr>
          <w:spacing w:val="-4"/>
        </w:rPr>
        <w:t>726;</w:t>
      </w:r>
    </w:p>
    <w:p>
      <w:pPr>
        <w:pStyle w:val="BodyText"/>
        <w:spacing w:line="227" w:lineRule="exact"/>
        <w:ind w:left="705"/>
        <w:jc w:val="both"/>
      </w:pPr>
      <w:r>
        <w:rPr/>
        <w:t>Phillipson &amp; Williams (2011) 74 M.L.R. </w:t>
      </w:r>
      <w:r>
        <w:rPr>
          <w:spacing w:val="-4"/>
        </w:rPr>
        <w:t>878.</w:t>
      </w:r>
    </w:p>
    <w:p>
      <w:pPr>
        <w:pStyle w:val="BodyText"/>
        <w:spacing w:before="5"/>
      </w:pPr>
    </w:p>
    <w:p>
      <w:pPr>
        <w:tabs>
          <w:tab w:pos="705" w:val="left" w:leader="none"/>
        </w:tabs>
        <w:spacing w:line="227" w:lineRule="exact" w:before="0"/>
        <w:ind w:left="165" w:right="0" w:firstLine="0"/>
        <w:jc w:val="left"/>
        <w:rPr>
          <w:sz w:val="20"/>
        </w:rPr>
      </w:pPr>
      <w:bookmarkStart w:name="_bookmark1342" w:id="1344"/>
      <w:bookmarkEnd w:id="1344"/>
      <w:r>
        <w:rPr/>
      </w:r>
      <w:hyperlink w:history="true" w:anchor="_bookmark1290">
        <w:r>
          <w:rPr>
            <w:color w:val="005DA1"/>
            <w:spacing w:val="-4"/>
            <w:position w:val="5"/>
            <w:sz w:val="14"/>
            <w:u w:val="single" w:color="005DA1"/>
          </w:rPr>
          <w:t>686</w:t>
        </w:r>
      </w:hyperlink>
      <w:r>
        <w:rPr>
          <w:spacing w:val="-4"/>
          <w:position w:val="5"/>
          <w:sz w:val="14"/>
        </w:rPr>
        <w:t>.</w:t>
      </w:r>
      <w:r>
        <w:rPr>
          <w:position w:val="5"/>
          <w:sz w:val="14"/>
        </w:rPr>
        <w:tab/>
      </w:r>
      <w:r>
        <w:rPr>
          <w:rFonts w:ascii="Arial"/>
          <w:i/>
          <w:sz w:val="20"/>
        </w:rPr>
        <w:t>Douglas</w:t>
      </w:r>
      <w:r>
        <w:rPr>
          <w:rFonts w:ascii="Arial"/>
          <w:i/>
          <w:spacing w:val="5"/>
          <w:sz w:val="20"/>
        </w:rPr>
        <w:t> </w:t>
      </w:r>
      <w:r>
        <w:rPr>
          <w:rFonts w:ascii="Arial"/>
          <w:i/>
          <w:sz w:val="20"/>
        </w:rPr>
        <w:t>v</w:t>
      </w:r>
      <w:r>
        <w:rPr>
          <w:rFonts w:ascii="Arial"/>
          <w:i/>
          <w:spacing w:val="6"/>
          <w:sz w:val="20"/>
        </w:rPr>
        <w:t> </w:t>
      </w:r>
      <w:r>
        <w:rPr>
          <w:rFonts w:ascii="Arial"/>
          <w:i/>
          <w:sz w:val="20"/>
        </w:rPr>
        <w:t>Hello!</w:t>
      </w:r>
      <w:r>
        <w:rPr>
          <w:rFonts w:ascii="Arial"/>
          <w:i/>
          <w:spacing w:val="6"/>
          <w:sz w:val="20"/>
        </w:rPr>
        <w:t> </w:t>
      </w:r>
      <w:r>
        <w:rPr>
          <w:rFonts w:ascii="Arial"/>
          <w:i/>
          <w:sz w:val="20"/>
        </w:rPr>
        <w:t>Ltd</w:t>
      </w:r>
      <w:r>
        <w:rPr>
          <w:rFonts w:ascii="Arial"/>
          <w:i/>
          <w:spacing w:val="6"/>
          <w:sz w:val="20"/>
        </w:rPr>
        <w:t> </w:t>
      </w:r>
      <w:r>
        <w:rPr>
          <w:rFonts w:ascii="Arial"/>
          <w:i/>
          <w:sz w:val="20"/>
        </w:rPr>
        <w:t>(No.1)</w:t>
      </w:r>
      <w:r>
        <w:rPr>
          <w:rFonts w:ascii="Arial"/>
          <w:i/>
          <w:spacing w:val="6"/>
          <w:sz w:val="20"/>
        </w:rPr>
        <w:t> </w:t>
      </w:r>
      <w:r>
        <w:rPr>
          <w:rFonts w:ascii="Arial"/>
          <w:i/>
          <w:sz w:val="20"/>
        </w:rPr>
        <w:t>[2001]</w:t>
      </w:r>
      <w:r>
        <w:rPr>
          <w:rFonts w:ascii="Arial"/>
          <w:i/>
          <w:spacing w:val="6"/>
          <w:sz w:val="20"/>
        </w:rPr>
        <w:t> </w:t>
      </w:r>
      <w:r>
        <w:rPr>
          <w:rFonts w:ascii="Arial"/>
          <w:i/>
          <w:sz w:val="20"/>
        </w:rPr>
        <w:t>Q.B.</w:t>
      </w:r>
      <w:r>
        <w:rPr>
          <w:rFonts w:ascii="Arial"/>
          <w:i/>
          <w:spacing w:val="6"/>
          <w:sz w:val="20"/>
        </w:rPr>
        <w:t> </w:t>
      </w:r>
      <w:r>
        <w:rPr>
          <w:rFonts w:ascii="Arial"/>
          <w:i/>
          <w:sz w:val="20"/>
        </w:rPr>
        <w:t>967</w:t>
      </w:r>
      <w:r>
        <w:rPr>
          <w:sz w:val="20"/>
        </w:rPr>
        <w:t>;</w:t>
      </w:r>
      <w:r>
        <w:rPr>
          <w:spacing w:val="7"/>
          <w:sz w:val="20"/>
        </w:rPr>
        <w:t> </w:t>
      </w:r>
      <w:r>
        <w:rPr>
          <w:rFonts w:ascii="Arial"/>
          <w:i/>
          <w:sz w:val="20"/>
        </w:rPr>
        <w:t>A</w:t>
      </w:r>
      <w:r>
        <w:rPr>
          <w:rFonts w:ascii="Arial"/>
          <w:i/>
          <w:spacing w:val="6"/>
          <w:sz w:val="20"/>
        </w:rPr>
        <w:t> </w:t>
      </w:r>
      <w:r>
        <w:rPr>
          <w:rFonts w:ascii="Arial"/>
          <w:i/>
          <w:sz w:val="20"/>
        </w:rPr>
        <w:t>v</w:t>
      </w:r>
      <w:r>
        <w:rPr>
          <w:rFonts w:ascii="Arial"/>
          <w:i/>
          <w:spacing w:val="6"/>
          <w:sz w:val="20"/>
        </w:rPr>
        <w:t> </w:t>
      </w:r>
      <w:r>
        <w:rPr>
          <w:rFonts w:ascii="Arial"/>
          <w:i/>
          <w:sz w:val="20"/>
        </w:rPr>
        <w:t>B</w:t>
      </w:r>
      <w:r>
        <w:rPr>
          <w:rFonts w:ascii="Arial"/>
          <w:i/>
          <w:spacing w:val="6"/>
          <w:sz w:val="20"/>
        </w:rPr>
        <w:t> </w:t>
      </w:r>
      <w:r>
        <w:rPr>
          <w:rFonts w:ascii="Arial"/>
          <w:i/>
          <w:sz w:val="20"/>
        </w:rPr>
        <w:t>Plc</w:t>
      </w:r>
      <w:r>
        <w:rPr>
          <w:rFonts w:ascii="Arial"/>
          <w:i/>
          <w:spacing w:val="6"/>
          <w:sz w:val="20"/>
        </w:rPr>
        <w:t> </w:t>
      </w:r>
      <w:r>
        <w:rPr>
          <w:rFonts w:ascii="Arial"/>
          <w:i/>
          <w:sz w:val="20"/>
        </w:rPr>
        <w:t>[2002]</w:t>
      </w:r>
      <w:r>
        <w:rPr>
          <w:rFonts w:ascii="Arial"/>
          <w:i/>
          <w:spacing w:val="6"/>
          <w:sz w:val="20"/>
        </w:rPr>
        <w:t> </w:t>
      </w:r>
      <w:r>
        <w:rPr>
          <w:rFonts w:ascii="Arial"/>
          <w:i/>
          <w:sz w:val="20"/>
        </w:rPr>
        <w:t>EWCA</w:t>
      </w:r>
      <w:r>
        <w:rPr>
          <w:rFonts w:ascii="Arial"/>
          <w:i/>
          <w:spacing w:val="6"/>
          <w:sz w:val="20"/>
        </w:rPr>
        <w:t> </w:t>
      </w:r>
      <w:r>
        <w:rPr>
          <w:rFonts w:ascii="Arial"/>
          <w:i/>
          <w:sz w:val="20"/>
        </w:rPr>
        <w:t>Civ</w:t>
      </w:r>
      <w:r>
        <w:rPr>
          <w:rFonts w:ascii="Arial"/>
          <w:i/>
          <w:spacing w:val="6"/>
          <w:sz w:val="20"/>
        </w:rPr>
        <w:t> </w:t>
      </w:r>
      <w:r>
        <w:rPr>
          <w:rFonts w:ascii="Arial"/>
          <w:i/>
          <w:sz w:val="20"/>
        </w:rPr>
        <w:t>337,</w:t>
      </w:r>
      <w:r>
        <w:rPr>
          <w:rFonts w:ascii="Arial"/>
          <w:i/>
          <w:spacing w:val="6"/>
          <w:sz w:val="20"/>
        </w:rPr>
        <w:t> </w:t>
      </w:r>
      <w:r>
        <w:rPr>
          <w:rFonts w:ascii="Arial"/>
          <w:i/>
          <w:sz w:val="20"/>
        </w:rPr>
        <w:t>[2003]</w:t>
      </w:r>
      <w:r>
        <w:rPr>
          <w:rFonts w:ascii="Arial"/>
          <w:i/>
          <w:spacing w:val="6"/>
          <w:sz w:val="20"/>
        </w:rPr>
        <w:t> </w:t>
      </w:r>
      <w:r>
        <w:rPr>
          <w:rFonts w:ascii="Arial"/>
          <w:i/>
          <w:sz w:val="20"/>
        </w:rPr>
        <w:t>Q.B.</w:t>
      </w:r>
      <w:r>
        <w:rPr>
          <w:rFonts w:ascii="Arial"/>
          <w:i/>
          <w:spacing w:val="6"/>
          <w:sz w:val="20"/>
        </w:rPr>
        <w:t> </w:t>
      </w:r>
      <w:r>
        <w:rPr>
          <w:rFonts w:ascii="Arial"/>
          <w:i/>
          <w:spacing w:val="-4"/>
          <w:sz w:val="20"/>
        </w:rPr>
        <w:t>195</w:t>
      </w:r>
      <w:r>
        <w:rPr>
          <w:spacing w:val="-4"/>
          <w:sz w:val="20"/>
        </w:rPr>
        <w:t>;</w:t>
      </w:r>
    </w:p>
    <w:p>
      <w:pPr>
        <w:spacing w:line="235" w:lineRule="auto" w:before="1"/>
        <w:ind w:left="705" w:right="0" w:firstLine="0"/>
        <w:jc w:val="left"/>
        <w:rPr>
          <w:rFonts w:ascii="Arial"/>
          <w:i/>
          <w:sz w:val="20"/>
        </w:rPr>
      </w:pPr>
      <w:r>
        <w:rPr>
          <w:rFonts w:ascii="Arial"/>
          <w:i/>
          <w:sz w:val="20"/>
        </w:rPr>
        <w:t>London</w:t>
      </w:r>
      <w:r>
        <w:rPr>
          <w:rFonts w:ascii="Arial"/>
          <w:i/>
          <w:spacing w:val="35"/>
          <w:sz w:val="20"/>
        </w:rPr>
        <w:t> </w:t>
      </w:r>
      <w:r>
        <w:rPr>
          <w:rFonts w:ascii="Arial"/>
          <w:i/>
          <w:sz w:val="20"/>
        </w:rPr>
        <w:t>Regional</w:t>
      </w:r>
      <w:r>
        <w:rPr>
          <w:rFonts w:ascii="Arial"/>
          <w:i/>
          <w:spacing w:val="35"/>
          <w:sz w:val="20"/>
        </w:rPr>
        <w:t> </w:t>
      </w:r>
      <w:r>
        <w:rPr>
          <w:rFonts w:ascii="Arial"/>
          <w:i/>
          <w:sz w:val="20"/>
        </w:rPr>
        <w:t>Transport</w:t>
      </w:r>
      <w:r>
        <w:rPr>
          <w:rFonts w:ascii="Arial"/>
          <w:i/>
          <w:spacing w:val="35"/>
          <w:sz w:val="20"/>
        </w:rPr>
        <w:t> </w:t>
      </w:r>
      <w:r>
        <w:rPr>
          <w:rFonts w:ascii="Arial"/>
          <w:i/>
          <w:sz w:val="20"/>
        </w:rPr>
        <w:t>v</w:t>
      </w:r>
      <w:r>
        <w:rPr>
          <w:rFonts w:ascii="Arial"/>
          <w:i/>
          <w:spacing w:val="35"/>
          <w:sz w:val="20"/>
        </w:rPr>
        <w:t> </w:t>
      </w:r>
      <w:r>
        <w:rPr>
          <w:rFonts w:ascii="Arial"/>
          <w:i/>
          <w:sz w:val="20"/>
        </w:rPr>
        <w:t>Mayor</w:t>
      </w:r>
      <w:r>
        <w:rPr>
          <w:rFonts w:ascii="Arial"/>
          <w:i/>
          <w:spacing w:val="35"/>
          <w:sz w:val="20"/>
        </w:rPr>
        <w:t> </w:t>
      </w:r>
      <w:r>
        <w:rPr>
          <w:rFonts w:ascii="Arial"/>
          <w:i/>
          <w:sz w:val="20"/>
        </w:rPr>
        <w:t>of</w:t>
      </w:r>
      <w:r>
        <w:rPr>
          <w:rFonts w:ascii="Arial"/>
          <w:i/>
          <w:spacing w:val="35"/>
          <w:sz w:val="20"/>
        </w:rPr>
        <w:t> </w:t>
      </w:r>
      <w:r>
        <w:rPr>
          <w:rFonts w:ascii="Arial"/>
          <w:i/>
          <w:sz w:val="20"/>
        </w:rPr>
        <w:t>London</w:t>
      </w:r>
      <w:r>
        <w:rPr>
          <w:rFonts w:ascii="Arial"/>
          <w:i/>
          <w:spacing w:val="35"/>
          <w:sz w:val="20"/>
        </w:rPr>
        <w:t> </w:t>
      </w:r>
      <w:r>
        <w:rPr>
          <w:rFonts w:ascii="Arial"/>
          <w:i/>
          <w:sz w:val="20"/>
        </w:rPr>
        <w:t>[2001]</w:t>
      </w:r>
      <w:r>
        <w:rPr>
          <w:rFonts w:ascii="Arial"/>
          <w:i/>
          <w:spacing w:val="35"/>
          <w:sz w:val="20"/>
        </w:rPr>
        <w:t> </w:t>
      </w:r>
      <w:r>
        <w:rPr>
          <w:rFonts w:ascii="Arial"/>
          <w:i/>
          <w:sz w:val="20"/>
        </w:rPr>
        <w:t>EWCA</w:t>
      </w:r>
      <w:r>
        <w:rPr>
          <w:rFonts w:ascii="Arial"/>
          <w:i/>
          <w:spacing w:val="35"/>
          <w:sz w:val="20"/>
        </w:rPr>
        <w:t> </w:t>
      </w:r>
      <w:r>
        <w:rPr>
          <w:rFonts w:ascii="Arial"/>
          <w:i/>
          <w:sz w:val="20"/>
        </w:rPr>
        <w:t>Civ</w:t>
      </w:r>
      <w:r>
        <w:rPr>
          <w:rFonts w:ascii="Arial"/>
          <w:i/>
          <w:spacing w:val="35"/>
          <w:sz w:val="20"/>
        </w:rPr>
        <w:t> </w:t>
      </w:r>
      <w:r>
        <w:rPr>
          <w:rFonts w:ascii="Arial"/>
          <w:i/>
          <w:sz w:val="20"/>
        </w:rPr>
        <w:t>1491,</w:t>
      </w:r>
      <w:r>
        <w:rPr>
          <w:rFonts w:ascii="Arial"/>
          <w:i/>
          <w:spacing w:val="35"/>
          <w:sz w:val="20"/>
        </w:rPr>
        <w:t> </w:t>
      </w:r>
      <w:r>
        <w:rPr>
          <w:rFonts w:ascii="Arial"/>
          <w:i/>
          <w:sz w:val="20"/>
        </w:rPr>
        <w:t>[2003]</w:t>
      </w:r>
      <w:r>
        <w:rPr>
          <w:rFonts w:ascii="Arial"/>
          <w:i/>
          <w:spacing w:val="35"/>
          <w:sz w:val="20"/>
        </w:rPr>
        <w:t> </w:t>
      </w:r>
      <w:r>
        <w:rPr>
          <w:rFonts w:ascii="Arial"/>
          <w:i/>
          <w:sz w:val="20"/>
        </w:rPr>
        <w:t>E.M.L.R.</w:t>
      </w:r>
      <w:r>
        <w:rPr>
          <w:rFonts w:ascii="Arial"/>
          <w:i/>
          <w:spacing w:val="35"/>
          <w:sz w:val="20"/>
        </w:rPr>
        <w:t> </w:t>
      </w:r>
      <w:r>
        <w:rPr>
          <w:rFonts w:ascii="Arial"/>
          <w:i/>
          <w:sz w:val="20"/>
        </w:rPr>
        <w:t>4</w:t>
      </w:r>
      <w:r>
        <w:rPr>
          <w:sz w:val="20"/>
        </w:rPr>
        <w:t>; </w:t>
      </w:r>
      <w:r>
        <w:rPr>
          <w:rFonts w:ascii="Arial"/>
          <w:i/>
          <w:sz w:val="20"/>
        </w:rPr>
        <w:t>Douglas</w:t>
      </w:r>
      <w:r>
        <w:rPr>
          <w:rFonts w:ascii="Arial"/>
          <w:i/>
          <w:spacing w:val="13"/>
          <w:sz w:val="20"/>
        </w:rPr>
        <w:t> </w:t>
      </w:r>
      <w:r>
        <w:rPr>
          <w:rFonts w:ascii="Arial"/>
          <w:i/>
          <w:sz w:val="20"/>
        </w:rPr>
        <w:t>v</w:t>
      </w:r>
      <w:r>
        <w:rPr>
          <w:rFonts w:ascii="Arial"/>
          <w:i/>
          <w:spacing w:val="14"/>
          <w:sz w:val="20"/>
        </w:rPr>
        <w:t> </w:t>
      </w:r>
      <w:r>
        <w:rPr>
          <w:rFonts w:ascii="Arial"/>
          <w:i/>
          <w:sz w:val="20"/>
        </w:rPr>
        <w:t>Hello!</w:t>
      </w:r>
      <w:r>
        <w:rPr>
          <w:rFonts w:ascii="Arial"/>
          <w:i/>
          <w:spacing w:val="14"/>
          <w:sz w:val="20"/>
        </w:rPr>
        <w:t> </w:t>
      </w:r>
      <w:r>
        <w:rPr>
          <w:rFonts w:ascii="Arial"/>
          <w:i/>
          <w:sz w:val="20"/>
        </w:rPr>
        <w:t>Ltd</w:t>
      </w:r>
      <w:r>
        <w:rPr>
          <w:rFonts w:ascii="Arial"/>
          <w:i/>
          <w:spacing w:val="14"/>
          <w:sz w:val="20"/>
        </w:rPr>
        <w:t> </w:t>
      </w:r>
      <w:r>
        <w:rPr>
          <w:rFonts w:ascii="Arial"/>
          <w:i/>
          <w:sz w:val="20"/>
        </w:rPr>
        <w:t>(No.6)</w:t>
      </w:r>
      <w:r>
        <w:rPr>
          <w:rFonts w:ascii="Arial"/>
          <w:i/>
          <w:spacing w:val="14"/>
          <w:sz w:val="20"/>
        </w:rPr>
        <w:t> </w:t>
      </w:r>
      <w:r>
        <w:rPr>
          <w:rFonts w:ascii="Arial"/>
          <w:i/>
          <w:sz w:val="20"/>
        </w:rPr>
        <w:t>[2003]</w:t>
      </w:r>
      <w:r>
        <w:rPr>
          <w:rFonts w:ascii="Arial"/>
          <w:i/>
          <w:spacing w:val="14"/>
          <w:sz w:val="20"/>
        </w:rPr>
        <w:t> </w:t>
      </w:r>
      <w:r>
        <w:rPr>
          <w:rFonts w:ascii="Arial"/>
          <w:i/>
          <w:sz w:val="20"/>
        </w:rPr>
        <w:t>EWHC</w:t>
      </w:r>
      <w:r>
        <w:rPr>
          <w:rFonts w:ascii="Arial"/>
          <w:i/>
          <w:spacing w:val="14"/>
          <w:sz w:val="20"/>
        </w:rPr>
        <w:t> </w:t>
      </w:r>
      <w:r>
        <w:rPr>
          <w:rFonts w:ascii="Arial"/>
          <w:i/>
          <w:sz w:val="20"/>
        </w:rPr>
        <w:t>786,</w:t>
      </w:r>
      <w:r>
        <w:rPr>
          <w:rFonts w:ascii="Arial"/>
          <w:i/>
          <w:spacing w:val="14"/>
          <w:sz w:val="20"/>
        </w:rPr>
        <w:t> </w:t>
      </w:r>
      <w:r>
        <w:rPr>
          <w:rFonts w:ascii="Arial"/>
          <w:i/>
          <w:sz w:val="20"/>
        </w:rPr>
        <w:t>(2003)</w:t>
      </w:r>
      <w:r>
        <w:rPr>
          <w:rFonts w:ascii="Arial"/>
          <w:i/>
          <w:spacing w:val="14"/>
          <w:sz w:val="20"/>
        </w:rPr>
        <w:t> </w:t>
      </w:r>
      <w:r>
        <w:rPr>
          <w:rFonts w:ascii="Arial"/>
          <w:i/>
          <w:sz w:val="20"/>
        </w:rPr>
        <w:t>153</w:t>
      </w:r>
      <w:r>
        <w:rPr>
          <w:rFonts w:ascii="Arial"/>
          <w:i/>
          <w:spacing w:val="14"/>
          <w:sz w:val="20"/>
        </w:rPr>
        <w:t> </w:t>
      </w:r>
      <w:r>
        <w:rPr>
          <w:rFonts w:ascii="Arial"/>
          <w:i/>
          <w:sz w:val="20"/>
        </w:rPr>
        <w:t>N.L.J.</w:t>
      </w:r>
      <w:r>
        <w:rPr>
          <w:rFonts w:ascii="Arial"/>
          <w:i/>
          <w:spacing w:val="14"/>
          <w:sz w:val="20"/>
        </w:rPr>
        <w:t> </w:t>
      </w:r>
      <w:r>
        <w:rPr>
          <w:rFonts w:ascii="Arial"/>
          <w:i/>
          <w:sz w:val="20"/>
        </w:rPr>
        <w:t>595</w:t>
      </w:r>
      <w:r>
        <w:rPr>
          <w:sz w:val="20"/>
        </w:rPr>
        <w:t>;</w:t>
      </w:r>
      <w:r>
        <w:rPr>
          <w:spacing w:val="14"/>
          <w:sz w:val="20"/>
        </w:rPr>
        <w:t> </w:t>
      </w:r>
      <w:r>
        <w:rPr>
          <w:rFonts w:ascii="Arial"/>
          <w:i/>
          <w:sz w:val="20"/>
        </w:rPr>
        <w:t>Lady</w:t>
      </w:r>
      <w:r>
        <w:rPr>
          <w:rFonts w:ascii="Arial"/>
          <w:i/>
          <w:spacing w:val="14"/>
          <w:sz w:val="20"/>
        </w:rPr>
        <w:t> </w:t>
      </w:r>
      <w:r>
        <w:rPr>
          <w:rFonts w:ascii="Arial"/>
          <w:i/>
          <w:sz w:val="20"/>
        </w:rPr>
        <w:t>Archer</w:t>
      </w:r>
      <w:r>
        <w:rPr>
          <w:rFonts w:ascii="Arial"/>
          <w:i/>
          <w:spacing w:val="14"/>
          <w:sz w:val="20"/>
        </w:rPr>
        <w:t> </w:t>
      </w:r>
      <w:r>
        <w:rPr>
          <w:rFonts w:ascii="Arial"/>
          <w:i/>
          <w:sz w:val="20"/>
        </w:rPr>
        <w:t>v</w:t>
      </w:r>
      <w:r>
        <w:rPr>
          <w:rFonts w:ascii="Arial"/>
          <w:i/>
          <w:spacing w:val="14"/>
          <w:sz w:val="20"/>
        </w:rPr>
        <w:t> </w:t>
      </w:r>
      <w:r>
        <w:rPr>
          <w:rFonts w:ascii="Arial"/>
          <w:i/>
          <w:spacing w:val="-2"/>
          <w:sz w:val="20"/>
        </w:rPr>
        <w:t>Williams</w:t>
      </w:r>
    </w:p>
    <w:p>
      <w:pPr>
        <w:spacing w:line="223" w:lineRule="exact" w:before="0"/>
        <w:ind w:left="705" w:right="0" w:firstLine="0"/>
        <w:jc w:val="left"/>
        <w:rPr>
          <w:rFonts w:ascii="Arial"/>
          <w:i/>
          <w:sz w:val="20"/>
        </w:rPr>
      </w:pPr>
      <w:r>
        <w:rPr>
          <w:rFonts w:ascii="Arial"/>
          <w:i/>
          <w:sz w:val="20"/>
        </w:rPr>
        <w:t>[2003]</w:t>
      </w:r>
      <w:r>
        <w:rPr>
          <w:rFonts w:ascii="Arial"/>
          <w:i/>
          <w:spacing w:val="27"/>
          <w:sz w:val="20"/>
        </w:rPr>
        <w:t> </w:t>
      </w:r>
      <w:r>
        <w:rPr>
          <w:rFonts w:ascii="Arial"/>
          <w:i/>
          <w:sz w:val="20"/>
        </w:rPr>
        <w:t>EWHC</w:t>
      </w:r>
      <w:r>
        <w:rPr>
          <w:rFonts w:ascii="Arial"/>
          <w:i/>
          <w:spacing w:val="28"/>
          <w:sz w:val="20"/>
        </w:rPr>
        <w:t> </w:t>
      </w:r>
      <w:r>
        <w:rPr>
          <w:rFonts w:ascii="Arial"/>
          <w:i/>
          <w:sz w:val="20"/>
        </w:rPr>
        <w:t>1670,</w:t>
      </w:r>
      <w:r>
        <w:rPr>
          <w:rFonts w:ascii="Arial"/>
          <w:i/>
          <w:spacing w:val="28"/>
          <w:sz w:val="20"/>
        </w:rPr>
        <w:t> </w:t>
      </w:r>
      <w:r>
        <w:rPr>
          <w:rFonts w:ascii="Arial"/>
          <w:i/>
          <w:sz w:val="20"/>
        </w:rPr>
        <w:t>[2003]</w:t>
      </w:r>
      <w:r>
        <w:rPr>
          <w:rFonts w:ascii="Arial"/>
          <w:i/>
          <w:spacing w:val="28"/>
          <w:sz w:val="20"/>
        </w:rPr>
        <w:t> </w:t>
      </w:r>
      <w:r>
        <w:rPr>
          <w:rFonts w:ascii="Arial"/>
          <w:i/>
          <w:sz w:val="20"/>
        </w:rPr>
        <w:t>E.M.L.R.</w:t>
      </w:r>
      <w:r>
        <w:rPr>
          <w:rFonts w:ascii="Arial"/>
          <w:i/>
          <w:spacing w:val="28"/>
          <w:sz w:val="20"/>
        </w:rPr>
        <w:t> </w:t>
      </w:r>
      <w:r>
        <w:rPr>
          <w:rFonts w:ascii="Arial"/>
          <w:i/>
          <w:sz w:val="20"/>
        </w:rPr>
        <w:t>38</w:t>
      </w:r>
      <w:r>
        <w:rPr>
          <w:sz w:val="20"/>
        </w:rPr>
        <w:t>;</w:t>
      </w:r>
      <w:r>
        <w:rPr>
          <w:spacing w:val="28"/>
          <w:sz w:val="20"/>
        </w:rPr>
        <w:t> </w:t>
      </w:r>
      <w:r>
        <w:rPr>
          <w:rFonts w:ascii="Arial"/>
          <w:i/>
          <w:sz w:val="20"/>
        </w:rPr>
        <w:t>Douglas</w:t>
      </w:r>
      <w:r>
        <w:rPr>
          <w:rFonts w:ascii="Arial"/>
          <w:i/>
          <w:spacing w:val="28"/>
          <w:sz w:val="20"/>
        </w:rPr>
        <w:t> </w:t>
      </w:r>
      <w:r>
        <w:rPr>
          <w:rFonts w:ascii="Arial"/>
          <w:i/>
          <w:sz w:val="20"/>
        </w:rPr>
        <w:t>v</w:t>
      </w:r>
      <w:r>
        <w:rPr>
          <w:rFonts w:ascii="Arial"/>
          <w:i/>
          <w:spacing w:val="28"/>
          <w:sz w:val="20"/>
        </w:rPr>
        <w:t> </w:t>
      </w:r>
      <w:r>
        <w:rPr>
          <w:rFonts w:ascii="Arial"/>
          <w:i/>
          <w:sz w:val="20"/>
        </w:rPr>
        <w:t>Hello!</w:t>
      </w:r>
      <w:r>
        <w:rPr>
          <w:rFonts w:ascii="Arial"/>
          <w:i/>
          <w:spacing w:val="28"/>
          <w:sz w:val="20"/>
        </w:rPr>
        <w:t> </w:t>
      </w:r>
      <w:r>
        <w:rPr>
          <w:rFonts w:ascii="Arial"/>
          <w:i/>
          <w:sz w:val="20"/>
        </w:rPr>
        <w:t>Ltd</w:t>
      </w:r>
      <w:r>
        <w:rPr>
          <w:rFonts w:ascii="Arial"/>
          <w:i/>
          <w:spacing w:val="28"/>
          <w:sz w:val="20"/>
        </w:rPr>
        <w:t> </w:t>
      </w:r>
      <w:r>
        <w:rPr>
          <w:rFonts w:ascii="Arial"/>
          <w:i/>
          <w:sz w:val="20"/>
        </w:rPr>
        <w:t>(No.3)</w:t>
      </w:r>
      <w:r>
        <w:rPr>
          <w:rFonts w:ascii="Arial"/>
          <w:i/>
          <w:spacing w:val="28"/>
          <w:sz w:val="20"/>
        </w:rPr>
        <w:t> </w:t>
      </w:r>
      <w:r>
        <w:rPr>
          <w:rFonts w:ascii="Arial"/>
          <w:i/>
          <w:sz w:val="20"/>
        </w:rPr>
        <w:t>[2005]</w:t>
      </w:r>
      <w:r>
        <w:rPr>
          <w:rFonts w:ascii="Arial"/>
          <w:i/>
          <w:spacing w:val="28"/>
          <w:sz w:val="20"/>
        </w:rPr>
        <w:t> </w:t>
      </w:r>
      <w:r>
        <w:rPr>
          <w:rFonts w:ascii="Arial"/>
          <w:i/>
          <w:sz w:val="20"/>
        </w:rPr>
        <w:t>EWCA</w:t>
      </w:r>
      <w:r>
        <w:rPr>
          <w:rFonts w:ascii="Arial"/>
          <w:i/>
          <w:spacing w:val="28"/>
          <w:sz w:val="20"/>
        </w:rPr>
        <w:t> </w:t>
      </w:r>
      <w:r>
        <w:rPr>
          <w:rFonts w:ascii="Arial"/>
          <w:i/>
          <w:sz w:val="20"/>
        </w:rPr>
        <w:t>Civ</w:t>
      </w:r>
      <w:r>
        <w:rPr>
          <w:rFonts w:ascii="Arial"/>
          <w:i/>
          <w:spacing w:val="28"/>
          <w:sz w:val="20"/>
        </w:rPr>
        <w:t> </w:t>
      </w:r>
      <w:r>
        <w:rPr>
          <w:rFonts w:ascii="Arial"/>
          <w:i/>
          <w:spacing w:val="-4"/>
          <w:sz w:val="20"/>
        </w:rPr>
        <w:t>595,</w:t>
      </w:r>
    </w:p>
    <w:p>
      <w:pPr>
        <w:spacing w:line="225" w:lineRule="exact" w:before="0"/>
        <w:ind w:left="705" w:right="0" w:firstLine="0"/>
        <w:jc w:val="left"/>
        <w:rPr>
          <w:rFonts w:ascii="Arial"/>
          <w:i/>
          <w:sz w:val="20"/>
        </w:rPr>
      </w:pPr>
      <w:r>
        <w:rPr>
          <w:rFonts w:ascii="Arial"/>
          <w:i/>
          <w:sz w:val="20"/>
        </w:rPr>
        <w:t>[2006]</w:t>
      </w:r>
      <w:r>
        <w:rPr>
          <w:rFonts w:ascii="Arial"/>
          <w:i/>
          <w:spacing w:val="24"/>
          <w:sz w:val="20"/>
        </w:rPr>
        <w:t> </w:t>
      </w:r>
      <w:r>
        <w:rPr>
          <w:rFonts w:ascii="Arial"/>
          <w:i/>
          <w:sz w:val="20"/>
        </w:rPr>
        <w:t>Q.B.</w:t>
      </w:r>
      <w:r>
        <w:rPr>
          <w:rFonts w:ascii="Arial"/>
          <w:i/>
          <w:spacing w:val="25"/>
          <w:sz w:val="20"/>
        </w:rPr>
        <w:t> </w:t>
      </w:r>
      <w:r>
        <w:rPr>
          <w:rFonts w:ascii="Arial"/>
          <w:i/>
          <w:sz w:val="20"/>
        </w:rPr>
        <w:t>125</w:t>
      </w:r>
      <w:r>
        <w:rPr>
          <w:sz w:val="20"/>
        </w:rPr>
        <w:t>;</w:t>
      </w:r>
      <w:r>
        <w:rPr>
          <w:spacing w:val="25"/>
          <w:sz w:val="20"/>
        </w:rPr>
        <w:t> </w:t>
      </w:r>
      <w:r>
        <w:rPr>
          <w:rFonts w:ascii="Arial"/>
          <w:i/>
          <w:sz w:val="20"/>
        </w:rPr>
        <w:t>Campbell</w:t>
      </w:r>
      <w:r>
        <w:rPr>
          <w:rFonts w:ascii="Arial"/>
          <w:i/>
          <w:spacing w:val="25"/>
          <w:sz w:val="20"/>
        </w:rPr>
        <w:t> </w:t>
      </w:r>
      <w:r>
        <w:rPr>
          <w:rFonts w:ascii="Arial"/>
          <w:i/>
          <w:sz w:val="20"/>
        </w:rPr>
        <w:t>v</w:t>
      </w:r>
      <w:r>
        <w:rPr>
          <w:rFonts w:ascii="Arial"/>
          <w:i/>
          <w:spacing w:val="25"/>
          <w:sz w:val="20"/>
        </w:rPr>
        <w:t> </w:t>
      </w:r>
      <w:r>
        <w:rPr>
          <w:rFonts w:ascii="Arial"/>
          <w:i/>
          <w:sz w:val="20"/>
        </w:rPr>
        <w:t>MGN</w:t>
      </w:r>
      <w:r>
        <w:rPr>
          <w:rFonts w:ascii="Arial"/>
          <w:i/>
          <w:spacing w:val="25"/>
          <w:sz w:val="20"/>
        </w:rPr>
        <w:t> </w:t>
      </w:r>
      <w:r>
        <w:rPr>
          <w:rFonts w:ascii="Arial"/>
          <w:i/>
          <w:sz w:val="20"/>
        </w:rPr>
        <w:t>Ltd</w:t>
      </w:r>
      <w:r>
        <w:rPr>
          <w:rFonts w:ascii="Arial"/>
          <w:i/>
          <w:spacing w:val="25"/>
          <w:sz w:val="20"/>
        </w:rPr>
        <w:t> </w:t>
      </w:r>
      <w:r>
        <w:rPr>
          <w:rFonts w:ascii="Arial"/>
          <w:i/>
          <w:sz w:val="20"/>
        </w:rPr>
        <w:t>[2004]</w:t>
      </w:r>
      <w:r>
        <w:rPr>
          <w:rFonts w:ascii="Arial"/>
          <w:i/>
          <w:spacing w:val="25"/>
          <w:sz w:val="20"/>
        </w:rPr>
        <w:t> </w:t>
      </w:r>
      <w:r>
        <w:rPr>
          <w:rFonts w:ascii="Arial"/>
          <w:i/>
          <w:sz w:val="20"/>
        </w:rPr>
        <w:t>UKHL</w:t>
      </w:r>
      <w:r>
        <w:rPr>
          <w:rFonts w:ascii="Arial"/>
          <w:i/>
          <w:spacing w:val="24"/>
          <w:sz w:val="20"/>
        </w:rPr>
        <w:t> </w:t>
      </w:r>
      <w:r>
        <w:rPr>
          <w:rFonts w:ascii="Arial"/>
          <w:i/>
          <w:sz w:val="20"/>
        </w:rPr>
        <w:t>22,</w:t>
      </w:r>
      <w:r>
        <w:rPr>
          <w:rFonts w:ascii="Arial"/>
          <w:i/>
          <w:spacing w:val="25"/>
          <w:sz w:val="20"/>
        </w:rPr>
        <w:t> </w:t>
      </w:r>
      <w:r>
        <w:rPr>
          <w:rFonts w:ascii="Arial"/>
          <w:i/>
          <w:sz w:val="20"/>
        </w:rPr>
        <w:t>[2004]</w:t>
      </w:r>
      <w:r>
        <w:rPr>
          <w:rFonts w:ascii="Arial"/>
          <w:i/>
          <w:spacing w:val="25"/>
          <w:sz w:val="20"/>
        </w:rPr>
        <w:t> </w:t>
      </w:r>
      <w:r>
        <w:rPr>
          <w:rFonts w:ascii="Arial"/>
          <w:i/>
          <w:sz w:val="20"/>
        </w:rPr>
        <w:t>2</w:t>
      </w:r>
      <w:r>
        <w:rPr>
          <w:rFonts w:ascii="Arial"/>
          <w:i/>
          <w:spacing w:val="25"/>
          <w:sz w:val="20"/>
        </w:rPr>
        <w:t> </w:t>
      </w:r>
      <w:r>
        <w:rPr>
          <w:rFonts w:ascii="Arial"/>
          <w:i/>
          <w:sz w:val="20"/>
        </w:rPr>
        <w:t>A.C.</w:t>
      </w:r>
      <w:r>
        <w:rPr>
          <w:rFonts w:ascii="Arial"/>
          <w:i/>
          <w:spacing w:val="25"/>
          <w:sz w:val="20"/>
        </w:rPr>
        <w:t> </w:t>
      </w:r>
      <w:r>
        <w:rPr>
          <w:rFonts w:ascii="Arial"/>
          <w:i/>
          <w:sz w:val="20"/>
        </w:rPr>
        <w:t>457</w:t>
      </w:r>
      <w:r>
        <w:rPr>
          <w:sz w:val="20"/>
        </w:rPr>
        <w:t>;</w:t>
      </w:r>
      <w:r>
        <w:rPr>
          <w:spacing w:val="25"/>
          <w:sz w:val="20"/>
        </w:rPr>
        <w:t> </w:t>
      </w:r>
      <w:r>
        <w:rPr>
          <w:rFonts w:ascii="Arial"/>
          <w:i/>
          <w:sz w:val="20"/>
        </w:rPr>
        <w:t>McKennitt</w:t>
      </w:r>
      <w:r>
        <w:rPr>
          <w:rFonts w:ascii="Arial"/>
          <w:i/>
          <w:spacing w:val="25"/>
          <w:sz w:val="20"/>
        </w:rPr>
        <w:t> </w:t>
      </w:r>
      <w:r>
        <w:rPr>
          <w:rFonts w:ascii="Arial"/>
          <w:i/>
          <w:sz w:val="20"/>
        </w:rPr>
        <w:t>v</w:t>
      </w:r>
      <w:r>
        <w:rPr>
          <w:rFonts w:ascii="Arial"/>
          <w:i/>
          <w:spacing w:val="25"/>
          <w:sz w:val="20"/>
        </w:rPr>
        <w:t> </w:t>
      </w:r>
      <w:r>
        <w:rPr>
          <w:rFonts w:ascii="Arial"/>
          <w:i/>
          <w:spacing w:val="-5"/>
          <w:sz w:val="20"/>
        </w:rPr>
        <w:t>Ash</w:t>
      </w:r>
    </w:p>
    <w:p>
      <w:pPr>
        <w:spacing w:line="227" w:lineRule="exact" w:before="0"/>
        <w:ind w:left="705" w:right="0" w:firstLine="0"/>
        <w:jc w:val="left"/>
        <w:rPr>
          <w:sz w:val="20"/>
        </w:rPr>
      </w:pPr>
      <w:r>
        <w:rPr>
          <w:rFonts w:ascii="Arial"/>
          <w:i/>
          <w:sz w:val="20"/>
        </w:rPr>
        <w:t>[2006] EWCA Civ 1714, [2007] 3 W.L.R. 194</w:t>
      </w:r>
      <w:r>
        <w:rPr>
          <w:rFonts w:ascii="Arial"/>
          <w:i/>
          <w:spacing w:val="-1"/>
          <w:sz w:val="20"/>
        </w:rPr>
        <w:t> </w:t>
      </w:r>
      <w:r>
        <w:rPr>
          <w:sz w:val="20"/>
        </w:rPr>
        <w:t>and see below, para.1-</w:t>
      </w:r>
      <w:r>
        <w:rPr>
          <w:spacing w:val="-4"/>
          <w:sz w:val="20"/>
        </w:rPr>
        <w:t>094.</w:t>
      </w:r>
    </w:p>
    <w:p>
      <w:pPr>
        <w:pStyle w:val="BodyText"/>
        <w:spacing w:before="9"/>
      </w:pPr>
    </w:p>
    <w:p>
      <w:pPr>
        <w:spacing w:line="235" w:lineRule="auto" w:before="0"/>
        <w:ind w:left="705" w:right="167" w:hanging="541"/>
        <w:jc w:val="both"/>
        <w:rPr>
          <w:sz w:val="20"/>
        </w:rPr>
      </w:pPr>
      <w:bookmarkStart w:name="_bookmark1343" w:id="1345"/>
      <w:bookmarkEnd w:id="1345"/>
      <w:r>
        <w:rPr/>
      </w:r>
      <w:hyperlink w:history="true" w:anchor="_bookmark1291">
        <w:r>
          <w:rPr>
            <w:color w:val="005DA1"/>
            <w:position w:val="5"/>
            <w:sz w:val="14"/>
            <w:u w:val="single" w:color="005DA1"/>
          </w:rPr>
          <w:t>687</w:t>
        </w:r>
      </w:hyperlink>
      <w:r>
        <w:rPr>
          <w:position w:val="5"/>
          <w:sz w:val="14"/>
        </w:rPr>
        <w:t>.</w:t>
      </w:r>
      <w:r>
        <w:rPr>
          <w:spacing w:val="40"/>
          <w:position w:val="5"/>
          <w:sz w:val="14"/>
        </w:rPr>
        <w:t>  </w:t>
      </w:r>
      <w:r>
        <w:rPr>
          <w:sz w:val="20"/>
        </w:rPr>
        <w:t>cf. the observations on the creation of an independent tort of privacy in </w:t>
      </w:r>
      <w:r>
        <w:rPr>
          <w:rFonts w:ascii="Arial"/>
          <w:i/>
          <w:sz w:val="20"/>
        </w:rPr>
        <w:t>Douglas v Hello! Ltd (No.1) [2001] Q.B. 967, 997 </w:t>
      </w:r>
      <w:r>
        <w:rPr>
          <w:sz w:val="20"/>
        </w:rPr>
        <w:t>et seq. (Sedley L.J.) and the denial of any general tort of </w:t>
      </w:r>
      <w:r>
        <w:rPr>
          <w:sz w:val="20"/>
        </w:rPr>
        <w:t>invasion</w:t>
      </w:r>
      <w:r>
        <w:rPr>
          <w:spacing w:val="40"/>
          <w:sz w:val="20"/>
        </w:rPr>
        <w:t> </w:t>
      </w:r>
      <w:r>
        <w:rPr>
          <w:sz w:val="20"/>
        </w:rPr>
        <w:t>of privacy at common law by the House of Lords in </w:t>
      </w:r>
      <w:r>
        <w:rPr>
          <w:rFonts w:ascii="Arial"/>
          <w:i/>
          <w:sz w:val="20"/>
        </w:rPr>
        <w:t>Wainwright v Home Office [2003] UKHL 53, [2003] 3 W.L.R. 1137 </w:t>
      </w:r>
      <w:r>
        <w:rPr>
          <w:sz w:val="20"/>
        </w:rPr>
        <w:t>(though on facts preceding the coming into effect of the 1998 Act and involving a claim against a public authority).</w:t>
      </w:r>
    </w:p>
    <w:p>
      <w:pPr>
        <w:pStyle w:val="BodyText"/>
        <w:spacing w:before="8"/>
      </w:pPr>
    </w:p>
    <w:p>
      <w:pPr>
        <w:spacing w:line="235" w:lineRule="auto" w:before="0"/>
        <w:ind w:left="705" w:right="167" w:hanging="541"/>
        <w:jc w:val="both"/>
        <w:rPr>
          <w:sz w:val="20"/>
        </w:rPr>
      </w:pPr>
      <w:bookmarkStart w:name="_bookmark1344" w:id="1346"/>
      <w:bookmarkEnd w:id="1346"/>
      <w:r>
        <w:rPr/>
      </w:r>
      <w:hyperlink w:history="true" w:anchor="_bookmark1292">
        <w:r>
          <w:rPr>
            <w:color w:val="005DA1"/>
            <w:position w:val="5"/>
            <w:sz w:val="14"/>
            <w:u w:val="single" w:color="005DA1"/>
          </w:rPr>
          <w:t>688</w:t>
        </w:r>
      </w:hyperlink>
      <w:r>
        <w:rPr>
          <w:position w:val="5"/>
          <w:sz w:val="14"/>
        </w:rPr>
        <w:t>.</w:t>
      </w:r>
      <w:r>
        <w:rPr>
          <w:spacing w:val="80"/>
          <w:w w:val="150"/>
          <w:position w:val="5"/>
          <w:sz w:val="14"/>
        </w:rPr>
        <w:t> </w:t>
      </w:r>
      <w:r>
        <w:rPr>
          <w:sz w:val="20"/>
        </w:rPr>
        <w:t>cf. </w:t>
      </w:r>
      <w:r>
        <w:rPr>
          <w:rFonts w:ascii="Arial" w:hAnsi="Arial"/>
          <w:i/>
          <w:sz w:val="20"/>
        </w:rPr>
        <w:t>Hanchett-Stamford v Attorney General [2008] EWHC 330 (Ch), [2009] Ch. 173 </w:t>
      </w:r>
      <w:r>
        <w:rPr>
          <w:sz w:val="20"/>
        </w:rPr>
        <w:t>at </w:t>
      </w:r>
      <w:r>
        <w:rPr>
          <w:sz w:val="20"/>
        </w:rPr>
        <w:t>[47]–[48], where Lewison J. declined to follow the earlier dictum of Walton J. in </w:t>
      </w:r>
      <w:r>
        <w:rPr>
          <w:rFonts w:ascii="Arial" w:hAnsi="Arial"/>
          <w:i/>
          <w:sz w:val="20"/>
        </w:rPr>
        <w:t>Re Bucks Constabulary Widows’ and Orphans’ Fund Friendly Society (No.2) [1979] 1 W.L.R. 936, 943 </w:t>
      </w:r>
      <w:r>
        <w:rPr>
          <w:sz w:val="20"/>
        </w:rPr>
        <w:t>to the effect that a sole surviving member of an unincorporated association (whose members hold the assets of the association according to the terms of the contract between them while the association exists), cannot claim the association’s assets and that they vest in the Crown as bona vacantia: “for one of an unincorporated association to be deprived of his share of the association by reason of the death of the other of them, and without any compensation, appears to be a breach” of ECHR art.1 First Protocol.</w:t>
      </w:r>
    </w:p>
    <w:p>
      <w:pPr>
        <w:pStyle w:val="BodyText"/>
        <w:spacing w:before="3"/>
      </w:pPr>
    </w:p>
    <w:p>
      <w:pPr>
        <w:tabs>
          <w:tab w:pos="705" w:val="left" w:leader="none"/>
        </w:tabs>
        <w:spacing w:line="227" w:lineRule="exact" w:before="0"/>
        <w:ind w:left="165" w:right="0" w:firstLine="0"/>
        <w:jc w:val="left"/>
        <w:rPr>
          <w:rFonts w:ascii="Arial" w:hAnsi="Arial"/>
          <w:i/>
          <w:sz w:val="20"/>
        </w:rPr>
      </w:pPr>
      <w:bookmarkStart w:name="_bookmark1345" w:id="1347"/>
      <w:bookmarkEnd w:id="1347"/>
      <w:r>
        <w:rPr/>
      </w:r>
      <w:hyperlink w:history="true" w:anchor="_bookmark1293">
        <w:r>
          <w:rPr>
            <w:color w:val="005DA1"/>
            <w:spacing w:val="-4"/>
            <w:position w:val="5"/>
            <w:sz w:val="14"/>
            <w:u w:val="single" w:color="005DA1"/>
          </w:rPr>
          <w:t>689</w:t>
        </w:r>
      </w:hyperlink>
      <w:r>
        <w:rPr>
          <w:spacing w:val="-4"/>
          <w:position w:val="5"/>
          <w:sz w:val="14"/>
        </w:rPr>
        <w:t>.</w:t>
      </w:r>
      <w:r>
        <w:rPr>
          <w:position w:val="5"/>
          <w:sz w:val="14"/>
        </w:rPr>
        <w:tab/>
      </w:r>
      <w:r>
        <w:rPr>
          <w:rFonts w:ascii="Arial" w:hAnsi="Arial"/>
          <w:i/>
          <w:sz w:val="20"/>
        </w:rPr>
        <w:t>[2011]</w:t>
      </w:r>
      <w:r>
        <w:rPr>
          <w:rFonts w:ascii="Arial" w:hAnsi="Arial"/>
          <w:i/>
          <w:spacing w:val="8"/>
          <w:sz w:val="20"/>
        </w:rPr>
        <w:t> </w:t>
      </w:r>
      <w:r>
        <w:rPr>
          <w:rFonts w:ascii="Arial" w:hAnsi="Arial"/>
          <w:i/>
          <w:sz w:val="20"/>
        </w:rPr>
        <w:t>EWCA</w:t>
      </w:r>
      <w:r>
        <w:rPr>
          <w:rFonts w:ascii="Arial" w:hAnsi="Arial"/>
          <w:i/>
          <w:spacing w:val="8"/>
          <w:sz w:val="20"/>
        </w:rPr>
        <w:t> </w:t>
      </w:r>
      <w:r>
        <w:rPr>
          <w:rFonts w:ascii="Arial" w:hAnsi="Arial"/>
          <w:i/>
          <w:sz w:val="20"/>
        </w:rPr>
        <w:t>Civ</w:t>
      </w:r>
      <w:r>
        <w:rPr>
          <w:rFonts w:ascii="Arial" w:hAnsi="Arial"/>
          <w:i/>
          <w:spacing w:val="8"/>
          <w:sz w:val="20"/>
        </w:rPr>
        <w:t> </w:t>
      </w:r>
      <w:r>
        <w:rPr>
          <w:rFonts w:ascii="Arial" w:hAnsi="Arial"/>
          <w:i/>
          <w:sz w:val="20"/>
        </w:rPr>
        <w:t>1581,</w:t>
      </w:r>
      <w:r>
        <w:rPr>
          <w:rFonts w:ascii="Arial" w:hAnsi="Arial"/>
          <w:i/>
          <w:spacing w:val="8"/>
          <w:sz w:val="20"/>
        </w:rPr>
        <w:t> </w:t>
      </w:r>
      <w:r>
        <w:rPr>
          <w:rFonts w:ascii="Arial" w:hAnsi="Arial"/>
          <w:i/>
          <w:sz w:val="20"/>
        </w:rPr>
        <w:t>[2012]</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z w:val="20"/>
        </w:rPr>
        <w:t>W.L.R.</w:t>
      </w:r>
      <w:r>
        <w:rPr>
          <w:rFonts w:ascii="Arial" w:hAnsi="Arial"/>
          <w:i/>
          <w:spacing w:val="8"/>
          <w:sz w:val="20"/>
        </w:rPr>
        <w:t> </w:t>
      </w:r>
      <w:r>
        <w:rPr>
          <w:rFonts w:ascii="Arial" w:hAnsi="Arial"/>
          <w:i/>
          <w:sz w:val="20"/>
        </w:rPr>
        <w:t>1119</w:t>
      </w:r>
      <w:r>
        <w:rPr>
          <w:rFonts w:ascii="Arial" w:hAnsi="Arial"/>
          <w:i/>
          <w:spacing w:val="8"/>
          <w:sz w:val="20"/>
        </w:rPr>
        <w:t> </w:t>
      </w:r>
      <w:r>
        <w:rPr>
          <w:rFonts w:ascii="Arial" w:hAnsi="Arial"/>
          <w:i/>
          <w:sz w:val="20"/>
        </w:rPr>
        <w:t>at</w:t>
      </w:r>
      <w:r>
        <w:rPr>
          <w:rFonts w:ascii="Arial" w:hAnsi="Arial"/>
          <w:i/>
          <w:spacing w:val="8"/>
          <w:sz w:val="20"/>
        </w:rPr>
        <w:t> </w:t>
      </w:r>
      <w:r>
        <w:rPr>
          <w:rFonts w:ascii="Arial" w:hAnsi="Arial"/>
          <w:i/>
          <w:sz w:val="20"/>
        </w:rPr>
        <w:t>[21]–[28];</w:t>
      </w:r>
      <w:r>
        <w:rPr>
          <w:rFonts w:ascii="Arial" w:hAnsi="Arial"/>
          <w:i/>
          <w:spacing w:val="8"/>
          <w:sz w:val="20"/>
        </w:rPr>
        <w:t> </w:t>
      </w:r>
      <w:r>
        <w:rPr>
          <w:rFonts w:ascii="Arial" w:hAnsi="Arial"/>
          <w:i/>
          <w:sz w:val="20"/>
        </w:rPr>
        <w:t>[2013]</w:t>
      </w:r>
      <w:r>
        <w:rPr>
          <w:rFonts w:ascii="Arial" w:hAnsi="Arial"/>
          <w:i/>
          <w:spacing w:val="8"/>
          <w:sz w:val="20"/>
        </w:rPr>
        <w:t> </w:t>
      </w:r>
      <w:r>
        <w:rPr>
          <w:rFonts w:ascii="Arial" w:hAnsi="Arial"/>
          <w:i/>
          <w:sz w:val="20"/>
        </w:rPr>
        <w:t>UKSC</w:t>
      </w:r>
      <w:r>
        <w:rPr>
          <w:rFonts w:ascii="Arial" w:hAnsi="Arial"/>
          <w:i/>
          <w:spacing w:val="8"/>
          <w:sz w:val="20"/>
        </w:rPr>
        <w:t> </w:t>
      </w:r>
      <w:r>
        <w:rPr>
          <w:rFonts w:ascii="Arial" w:hAnsi="Arial"/>
          <w:i/>
          <w:sz w:val="20"/>
        </w:rPr>
        <w:t>29,</w:t>
      </w:r>
      <w:r>
        <w:rPr>
          <w:rFonts w:ascii="Arial" w:hAnsi="Arial"/>
          <w:i/>
          <w:spacing w:val="8"/>
          <w:sz w:val="20"/>
        </w:rPr>
        <w:t> </w:t>
      </w:r>
      <w:r>
        <w:rPr>
          <w:rFonts w:ascii="Arial" w:hAnsi="Arial"/>
          <w:i/>
          <w:sz w:val="20"/>
        </w:rPr>
        <w:t>[2013]</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z w:val="20"/>
        </w:rPr>
        <w:t>A.C.</w:t>
      </w:r>
      <w:r>
        <w:rPr>
          <w:rFonts w:ascii="Arial" w:hAnsi="Arial"/>
          <w:i/>
          <w:spacing w:val="8"/>
          <w:sz w:val="20"/>
        </w:rPr>
        <w:t> </w:t>
      </w:r>
      <w:r>
        <w:rPr>
          <w:rFonts w:ascii="Arial" w:hAnsi="Arial"/>
          <w:i/>
          <w:spacing w:val="-5"/>
          <w:sz w:val="20"/>
        </w:rPr>
        <w:t>163</w:t>
      </w:r>
    </w:p>
    <w:p>
      <w:pPr>
        <w:pStyle w:val="BodyText"/>
        <w:spacing w:line="227" w:lineRule="exact"/>
        <w:ind w:left="705"/>
      </w:pPr>
      <w:r>
        <w:rPr/>
        <w:t>on which (and on further case-law) see below, paras 2-190—2-</w:t>
      </w:r>
      <w:r>
        <w:rPr>
          <w:spacing w:val="-4"/>
        </w:rPr>
        <w:t>191.</w:t>
      </w:r>
    </w:p>
    <w:p>
      <w:pPr>
        <w:pStyle w:val="BodyText"/>
        <w:spacing w:before="9"/>
      </w:pPr>
    </w:p>
    <w:p>
      <w:pPr>
        <w:pStyle w:val="BodyText"/>
        <w:spacing w:line="235" w:lineRule="auto"/>
        <w:ind w:left="705" w:right="167" w:hanging="541"/>
        <w:jc w:val="both"/>
      </w:pPr>
      <w:bookmarkStart w:name="_bookmark1346" w:id="1348"/>
      <w:bookmarkEnd w:id="1348"/>
      <w:r>
        <w:rPr/>
      </w:r>
      <w:hyperlink w:history="true" w:anchor="_bookmark1294">
        <w:r>
          <w:rPr>
            <w:color w:val="005DA1"/>
            <w:position w:val="5"/>
            <w:sz w:val="14"/>
            <w:u w:val="single" w:color="005DA1"/>
          </w:rPr>
          <w:t>690</w:t>
        </w:r>
      </w:hyperlink>
      <w:r>
        <w:rPr>
          <w:position w:val="5"/>
          <w:sz w:val="14"/>
        </w:rPr>
        <w:t>.</w:t>
      </w:r>
      <w:r>
        <w:rPr>
          <w:spacing w:val="40"/>
          <w:position w:val="5"/>
          <w:sz w:val="14"/>
        </w:rPr>
        <w:t>  </w:t>
      </w:r>
      <w:r>
        <w:rPr>
          <w:rFonts w:ascii="Arial" w:hAnsi="Arial"/>
          <w:i/>
        </w:rPr>
        <w:t>[2011] EWCA Civ 1581, [2012] 2 W.L.R. 1119 </w:t>
      </w:r>
      <w:r>
        <w:rPr/>
        <w:t>at [29]–[34]. The Supreme Court held that, in the context</w:t>
      </w:r>
      <w:r>
        <w:rPr>
          <w:spacing w:val="-1"/>
        </w:rPr>
        <w:t> </w:t>
      </w:r>
      <w:r>
        <w:rPr/>
        <w:t>of</w:t>
      </w:r>
      <w:r>
        <w:rPr>
          <w:spacing w:val="-1"/>
        </w:rPr>
        <w:t> </w:t>
      </w:r>
      <w:r>
        <w:rPr/>
        <w:t>the</w:t>
      </w:r>
      <w:r>
        <w:rPr>
          <w:spacing w:val="-1"/>
        </w:rPr>
        <w:t> </w:t>
      </w:r>
      <w:r>
        <w:rPr/>
        <w:t>constitution</w:t>
      </w:r>
      <w:r>
        <w:rPr>
          <w:spacing w:val="-1"/>
        </w:rPr>
        <w:t> </w:t>
      </w:r>
      <w:r>
        <w:rPr/>
        <w:t>of</w:t>
      </w:r>
      <w:r>
        <w:rPr>
          <w:spacing w:val="-1"/>
        </w:rPr>
        <w:t> </w:t>
      </w:r>
      <w:r>
        <w:rPr/>
        <w:t>the</w:t>
      </w:r>
      <w:r>
        <w:rPr>
          <w:spacing w:val="-1"/>
        </w:rPr>
        <w:t> </w:t>
      </w:r>
      <w:r>
        <w:rPr/>
        <w:t>Methodist</w:t>
      </w:r>
      <w:r>
        <w:rPr>
          <w:spacing w:val="-1"/>
        </w:rPr>
        <w:t> </w:t>
      </w:r>
      <w:r>
        <w:rPr/>
        <w:t>Church,</w:t>
      </w:r>
      <w:r>
        <w:rPr>
          <w:spacing w:val="-1"/>
        </w:rPr>
        <w:t> </w:t>
      </w:r>
      <w:r>
        <w:rPr/>
        <w:t>the</w:t>
      </w:r>
      <w:r>
        <w:rPr>
          <w:spacing w:val="-1"/>
        </w:rPr>
        <w:t> </w:t>
      </w:r>
      <w:r>
        <w:rPr/>
        <w:t>requirement</w:t>
      </w:r>
      <w:r>
        <w:rPr>
          <w:spacing w:val="-1"/>
        </w:rPr>
        <w:t> </w:t>
      </w:r>
      <w:r>
        <w:rPr/>
        <w:t>of</w:t>
      </w:r>
      <w:r>
        <w:rPr>
          <w:spacing w:val="-1"/>
        </w:rPr>
        <w:t> </w:t>
      </w:r>
      <w:r>
        <w:rPr/>
        <w:t>contractual</w:t>
      </w:r>
      <w:r>
        <w:rPr>
          <w:spacing w:val="-1"/>
        </w:rPr>
        <w:t> </w:t>
      </w:r>
      <w:r>
        <w:rPr/>
        <w:t>intention</w:t>
      </w:r>
      <w:r>
        <w:rPr>
          <w:spacing w:val="-1"/>
        </w:rPr>
        <w:t> </w:t>
      </w:r>
      <w:r>
        <w:rPr/>
        <w:t>was not satisfied; no reference was made for this purpose to the possible relevance of the </w:t>
      </w:r>
      <w:r>
        <w:rPr/>
        <w:t>minister’s Convention rights.</w:t>
      </w:r>
    </w:p>
    <w:p>
      <w:pPr>
        <w:pStyle w:val="BodyText"/>
        <w:spacing w:before="4"/>
      </w:pPr>
    </w:p>
    <w:p>
      <w:pPr>
        <w:tabs>
          <w:tab w:pos="705" w:val="left" w:leader="none"/>
        </w:tabs>
        <w:spacing w:before="0"/>
        <w:ind w:left="165" w:right="0" w:firstLine="0"/>
        <w:jc w:val="left"/>
        <w:rPr>
          <w:sz w:val="20"/>
        </w:rPr>
      </w:pPr>
      <w:bookmarkStart w:name="_bookmark1347" w:id="1349"/>
      <w:bookmarkEnd w:id="1349"/>
      <w:r>
        <w:rPr/>
      </w:r>
      <w:hyperlink w:history="true" w:anchor="_bookmark1295">
        <w:r>
          <w:rPr>
            <w:color w:val="005DA1"/>
            <w:spacing w:val="-4"/>
            <w:position w:val="5"/>
            <w:sz w:val="14"/>
            <w:u w:val="single" w:color="005DA1"/>
          </w:rPr>
          <w:t>691</w:t>
        </w:r>
      </w:hyperlink>
      <w:r>
        <w:rPr>
          <w:spacing w:val="-4"/>
          <w:position w:val="5"/>
          <w:sz w:val="14"/>
        </w:rPr>
        <w:t>.</w:t>
      </w:r>
      <w:r>
        <w:rPr>
          <w:position w:val="5"/>
          <w:sz w:val="14"/>
        </w:rPr>
        <w:tab/>
      </w:r>
      <w:r>
        <w:rPr>
          <w:rFonts w:ascii="Arial"/>
          <w:i/>
          <w:sz w:val="20"/>
        </w:rPr>
        <w:t>[2008] I.C.R. 282</w:t>
      </w:r>
      <w:r>
        <w:rPr>
          <w:rFonts w:ascii="Arial"/>
          <w:i/>
          <w:spacing w:val="-1"/>
          <w:sz w:val="20"/>
        </w:rPr>
        <w:t> </w:t>
      </w:r>
      <w:r>
        <w:rPr>
          <w:sz w:val="20"/>
        </w:rPr>
        <w:t>at [62] and see also, per Lawrence Collins L.J. at </w:t>
      </w:r>
      <w:r>
        <w:rPr>
          <w:spacing w:val="-2"/>
          <w:sz w:val="20"/>
        </w:rPr>
        <w:t>[66].</w:t>
      </w:r>
    </w:p>
    <w:p>
      <w:pPr>
        <w:pStyle w:val="BodyText"/>
        <w:spacing w:before="9"/>
      </w:pPr>
    </w:p>
    <w:p>
      <w:pPr>
        <w:tabs>
          <w:tab w:pos="705" w:val="left" w:leader="none"/>
        </w:tabs>
        <w:spacing w:line="235" w:lineRule="auto" w:before="0"/>
        <w:ind w:left="705" w:right="168" w:hanging="541"/>
        <w:jc w:val="left"/>
        <w:rPr>
          <w:sz w:val="20"/>
        </w:rPr>
      </w:pPr>
      <w:bookmarkStart w:name="_bookmark1348" w:id="1350"/>
      <w:bookmarkEnd w:id="1350"/>
      <w:r>
        <w:rPr/>
      </w:r>
      <w:hyperlink w:history="true" w:anchor="_bookmark1296">
        <w:r>
          <w:rPr>
            <w:color w:val="005DA1"/>
            <w:spacing w:val="-4"/>
            <w:position w:val="5"/>
            <w:sz w:val="14"/>
            <w:u w:val="single" w:color="005DA1"/>
          </w:rPr>
          <w:t>692</w:t>
        </w:r>
      </w:hyperlink>
      <w:r>
        <w:rPr>
          <w:spacing w:val="-4"/>
          <w:position w:val="5"/>
          <w:sz w:val="14"/>
        </w:rPr>
        <w:t>.</w:t>
      </w:r>
      <w:r>
        <w:rPr>
          <w:position w:val="5"/>
          <w:sz w:val="14"/>
        </w:rPr>
        <w:tab/>
      </w:r>
      <w:r>
        <w:rPr>
          <w:rFonts w:ascii="Arial" w:hAnsi="Arial"/>
          <w:i/>
          <w:sz w:val="20"/>
        </w:rPr>
        <w:t>[2011]</w:t>
      </w:r>
      <w:r>
        <w:rPr>
          <w:rFonts w:ascii="Arial" w:hAnsi="Arial"/>
          <w:i/>
          <w:spacing w:val="23"/>
          <w:sz w:val="20"/>
        </w:rPr>
        <w:t> </w:t>
      </w:r>
      <w:r>
        <w:rPr>
          <w:rFonts w:ascii="Arial" w:hAnsi="Arial"/>
          <w:i/>
          <w:sz w:val="20"/>
        </w:rPr>
        <w:t>EWCA</w:t>
      </w:r>
      <w:r>
        <w:rPr>
          <w:rFonts w:ascii="Arial" w:hAnsi="Arial"/>
          <w:i/>
          <w:spacing w:val="23"/>
          <w:sz w:val="20"/>
        </w:rPr>
        <w:t> </w:t>
      </w:r>
      <w:r>
        <w:rPr>
          <w:rFonts w:ascii="Arial" w:hAnsi="Arial"/>
          <w:i/>
          <w:sz w:val="20"/>
        </w:rPr>
        <w:t>Civ</w:t>
      </w:r>
      <w:r>
        <w:rPr>
          <w:rFonts w:ascii="Arial" w:hAnsi="Arial"/>
          <w:i/>
          <w:spacing w:val="23"/>
          <w:sz w:val="20"/>
        </w:rPr>
        <w:t> </w:t>
      </w:r>
      <w:r>
        <w:rPr>
          <w:rFonts w:ascii="Arial" w:hAnsi="Arial"/>
          <w:i/>
          <w:sz w:val="20"/>
        </w:rPr>
        <w:t>1581</w:t>
      </w:r>
      <w:r>
        <w:rPr>
          <w:rFonts w:ascii="Arial" w:hAnsi="Arial"/>
          <w:i/>
          <w:spacing w:val="22"/>
          <w:sz w:val="20"/>
        </w:rPr>
        <w:t> </w:t>
      </w:r>
      <w:r>
        <w:rPr>
          <w:sz w:val="20"/>
        </w:rPr>
        <w:t>at</w:t>
      </w:r>
      <w:r>
        <w:rPr>
          <w:spacing w:val="23"/>
          <w:sz w:val="20"/>
        </w:rPr>
        <w:t> </w:t>
      </w:r>
      <w:r>
        <w:rPr>
          <w:sz w:val="20"/>
        </w:rPr>
        <w:t>[33]–[34],</w:t>
      </w:r>
      <w:r>
        <w:rPr>
          <w:spacing w:val="23"/>
          <w:sz w:val="20"/>
        </w:rPr>
        <w:t> </w:t>
      </w:r>
      <w:r>
        <w:rPr>
          <w:sz w:val="20"/>
        </w:rPr>
        <w:t>per</w:t>
      </w:r>
      <w:r>
        <w:rPr>
          <w:spacing w:val="23"/>
          <w:sz w:val="20"/>
        </w:rPr>
        <w:t> </w:t>
      </w:r>
      <w:r>
        <w:rPr>
          <w:sz w:val="20"/>
        </w:rPr>
        <w:t>Maurice</w:t>
      </w:r>
      <w:r>
        <w:rPr>
          <w:spacing w:val="23"/>
          <w:sz w:val="20"/>
        </w:rPr>
        <w:t> </w:t>
      </w:r>
      <w:r>
        <w:rPr>
          <w:sz w:val="20"/>
        </w:rPr>
        <w:t>Kay</w:t>
      </w:r>
      <w:r>
        <w:rPr>
          <w:spacing w:val="23"/>
          <w:sz w:val="20"/>
        </w:rPr>
        <w:t> </w:t>
      </w:r>
      <w:r>
        <w:rPr>
          <w:sz w:val="20"/>
        </w:rPr>
        <w:t>L.J.</w:t>
      </w:r>
      <w:r>
        <w:rPr>
          <w:spacing w:val="23"/>
          <w:sz w:val="20"/>
        </w:rPr>
        <w:t> </w:t>
      </w:r>
      <w:r>
        <w:rPr>
          <w:sz w:val="20"/>
        </w:rPr>
        <w:t>with</w:t>
      </w:r>
      <w:r>
        <w:rPr>
          <w:spacing w:val="23"/>
          <w:sz w:val="20"/>
        </w:rPr>
        <w:t> </w:t>
      </w:r>
      <w:r>
        <w:rPr>
          <w:sz w:val="20"/>
        </w:rPr>
        <w:t>whom</w:t>
      </w:r>
      <w:r>
        <w:rPr>
          <w:spacing w:val="23"/>
          <w:sz w:val="20"/>
        </w:rPr>
        <w:t> </w:t>
      </w:r>
      <w:r>
        <w:rPr>
          <w:sz w:val="20"/>
        </w:rPr>
        <w:t>Longmore</w:t>
      </w:r>
      <w:r>
        <w:rPr>
          <w:spacing w:val="23"/>
          <w:sz w:val="20"/>
        </w:rPr>
        <w:t> </w:t>
      </w:r>
      <w:r>
        <w:rPr>
          <w:sz w:val="20"/>
        </w:rPr>
        <w:t>L.J.</w:t>
      </w:r>
      <w:r>
        <w:rPr>
          <w:spacing w:val="23"/>
          <w:sz w:val="20"/>
        </w:rPr>
        <w:t> </w:t>
      </w:r>
      <w:r>
        <w:rPr>
          <w:sz w:val="20"/>
        </w:rPr>
        <w:t>and</w:t>
      </w:r>
      <w:r>
        <w:rPr>
          <w:spacing w:val="23"/>
          <w:sz w:val="20"/>
        </w:rPr>
        <w:t> </w:t>
      </w:r>
      <w:r>
        <w:rPr>
          <w:sz w:val="20"/>
        </w:rPr>
        <w:t>Sir David Keene agreed.</w:t>
      </w:r>
    </w:p>
    <w:p>
      <w:pPr>
        <w:pStyle w:val="BodyText"/>
        <w:spacing w:before="6"/>
      </w:pPr>
    </w:p>
    <w:p>
      <w:pPr>
        <w:tabs>
          <w:tab w:pos="705" w:val="left" w:leader="none"/>
        </w:tabs>
        <w:spacing w:before="0"/>
        <w:ind w:left="165" w:right="0" w:firstLine="0"/>
        <w:jc w:val="left"/>
        <w:rPr>
          <w:sz w:val="20"/>
        </w:rPr>
      </w:pPr>
      <w:bookmarkStart w:name="_bookmark1349" w:id="1351"/>
      <w:bookmarkEnd w:id="1351"/>
      <w:r>
        <w:rPr/>
      </w:r>
      <w:hyperlink w:history="true" w:anchor="_bookmark1297">
        <w:r>
          <w:rPr>
            <w:color w:val="005DA1"/>
            <w:spacing w:val="-4"/>
            <w:position w:val="5"/>
            <w:sz w:val="14"/>
            <w:u w:val="single" w:color="005DA1"/>
          </w:rPr>
          <w:t>693</w:t>
        </w:r>
      </w:hyperlink>
      <w:r>
        <w:rPr>
          <w:spacing w:val="-4"/>
          <w:position w:val="5"/>
          <w:sz w:val="14"/>
        </w:rPr>
        <w:t>.</w:t>
      </w:r>
      <w:r>
        <w:rPr>
          <w:position w:val="5"/>
          <w:sz w:val="14"/>
        </w:rPr>
        <w:tab/>
      </w:r>
      <w:r>
        <w:rPr>
          <w:rFonts w:ascii="Arial"/>
          <w:i/>
          <w:sz w:val="20"/>
        </w:rPr>
        <w:t>[2014]</w:t>
      </w:r>
      <w:r>
        <w:rPr>
          <w:rFonts w:ascii="Arial"/>
          <w:i/>
          <w:spacing w:val="-2"/>
          <w:sz w:val="20"/>
        </w:rPr>
        <w:t> </w:t>
      </w:r>
      <w:r>
        <w:rPr>
          <w:rFonts w:ascii="Arial"/>
          <w:i/>
          <w:sz w:val="20"/>
        </w:rPr>
        <w:t>I.R.L.R. </w:t>
      </w:r>
      <w:r>
        <w:rPr>
          <w:rFonts w:ascii="Arial"/>
          <w:i/>
          <w:spacing w:val="-4"/>
          <w:sz w:val="20"/>
        </w:rPr>
        <w:t>344</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350" w:id="1352"/>
      <w:bookmarkEnd w:id="1352"/>
      <w:r>
        <w:rPr/>
      </w:r>
      <w:hyperlink w:history="true" w:anchor="_bookmark1298">
        <w:r>
          <w:rPr>
            <w:color w:val="005DA1"/>
            <w:spacing w:val="-4"/>
            <w:position w:val="5"/>
            <w:sz w:val="14"/>
            <w:u w:val="single" w:color="005DA1"/>
          </w:rPr>
          <w:t>694</w:t>
        </w:r>
      </w:hyperlink>
      <w:r>
        <w:rPr>
          <w:spacing w:val="-4"/>
          <w:position w:val="5"/>
          <w:sz w:val="14"/>
        </w:rPr>
        <w:t>.</w:t>
      </w:r>
      <w:r>
        <w:rPr>
          <w:position w:val="5"/>
          <w:sz w:val="14"/>
        </w:rPr>
        <w:tab/>
      </w:r>
      <w:r>
        <w:rPr>
          <w:rFonts w:ascii="Arial" w:hAnsi="Arial"/>
          <w:i/>
          <w:sz w:val="20"/>
        </w:rPr>
        <w:t>[2014]</w:t>
      </w:r>
      <w:r>
        <w:rPr>
          <w:rFonts w:ascii="Arial" w:hAnsi="Arial"/>
          <w:i/>
          <w:spacing w:val="10"/>
          <w:sz w:val="20"/>
        </w:rPr>
        <w:t> </w:t>
      </w:r>
      <w:r>
        <w:rPr>
          <w:rFonts w:ascii="Arial" w:hAnsi="Arial"/>
          <w:i/>
          <w:sz w:val="20"/>
        </w:rPr>
        <w:t>I.R.L.R.</w:t>
      </w:r>
      <w:r>
        <w:rPr>
          <w:rFonts w:ascii="Arial" w:hAnsi="Arial"/>
          <w:i/>
          <w:spacing w:val="10"/>
          <w:sz w:val="20"/>
        </w:rPr>
        <w:t> </w:t>
      </w:r>
      <w:r>
        <w:rPr>
          <w:rFonts w:ascii="Arial" w:hAnsi="Arial"/>
          <w:i/>
          <w:sz w:val="20"/>
        </w:rPr>
        <w:t>344</w:t>
      </w:r>
      <w:r>
        <w:rPr>
          <w:rFonts w:ascii="Arial" w:hAnsi="Arial"/>
          <w:i/>
          <w:spacing w:val="10"/>
          <w:sz w:val="20"/>
        </w:rPr>
        <w:t> </w:t>
      </w:r>
      <w:r>
        <w:rPr>
          <w:sz w:val="20"/>
        </w:rPr>
        <w:t>at</w:t>
      </w:r>
      <w:r>
        <w:rPr>
          <w:spacing w:val="10"/>
          <w:sz w:val="20"/>
        </w:rPr>
        <w:t> </w:t>
      </w:r>
      <w:r>
        <w:rPr>
          <w:sz w:val="20"/>
        </w:rPr>
        <w:t>[57]–[63],</w:t>
      </w:r>
      <w:r>
        <w:rPr>
          <w:spacing w:val="10"/>
          <w:sz w:val="20"/>
        </w:rPr>
        <w:t> </w:t>
      </w:r>
      <w:r>
        <w:rPr>
          <w:sz w:val="20"/>
        </w:rPr>
        <w:t>applying</w:t>
      </w:r>
      <w:r>
        <w:rPr>
          <w:spacing w:val="10"/>
          <w:sz w:val="20"/>
        </w:rPr>
        <w:t> </w:t>
      </w:r>
      <w:r>
        <w:rPr>
          <w:rFonts w:ascii="Arial" w:hAnsi="Arial"/>
          <w:i/>
          <w:sz w:val="20"/>
        </w:rPr>
        <w:t>James</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London</w:t>
      </w:r>
      <w:r>
        <w:rPr>
          <w:rFonts w:ascii="Arial" w:hAnsi="Arial"/>
          <w:i/>
          <w:spacing w:val="10"/>
          <w:sz w:val="20"/>
        </w:rPr>
        <w:t> </w:t>
      </w:r>
      <w:r>
        <w:rPr>
          <w:rFonts w:ascii="Arial" w:hAnsi="Arial"/>
          <w:i/>
          <w:sz w:val="20"/>
        </w:rPr>
        <w:t>Borough</w:t>
      </w:r>
      <w:r>
        <w:rPr>
          <w:rFonts w:ascii="Arial" w:hAnsi="Arial"/>
          <w:i/>
          <w:spacing w:val="10"/>
          <w:sz w:val="20"/>
        </w:rPr>
        <w:t> </w:t>
      </w:r>
      <w:r>
        <w:rPr>
          <w:rFonts w:ascii="Arial" w:hAnsi="Arial"/>
          <w:i/>
          <w:sz w:val="20"/>
        </w:rPr>
        <w:t>of</w:t>
      </w:r>
      <w:r>
        <w:rPr>
          <w:rFonts w:ascii="Arial" w:hAnsi="Arial"/>
          <w:i/>
          <w:spacing w:val="10"/>
          <w:sz w:val="20"/>
        </w:rPr>
        <w:t> </w:t>
      </w:r>
      <w:r>
        <w:rPr>
          <w:rFonts w:ascii="Arial" w:hAnsi="Arial"/>
          <w:i/>
          <w:sz w:val="20"/>
        </w:rPr>
        <w:t>Greenwich</w:t>
      </w:r>
      <w:r>
        <w:rPr>
          <w:rFonts w:ascii="Arial" w:hAnsi="Arial"/>
          <w:i/>
          <w:spacing w:val="10"/>
          <w:sz w:val="20"/>
        </w:rPr>
        <w:t> </w:t>
      </w:r>
      <w:r>
        <w:rPr>
          <w:rFonts w:ascii="Arial" w:hAnsi="Arial"/>
          <w:i/>
          <w:sz w:val="20"/>
        </w:rPr>
        <w:t>[2008]</w:t>
      </w:r>
      <w:r>
        <w:rPr>
          <w:rFonts w:ascii="Arial" w:hAnsi="Arial"/>
          <w:i/>
          <w:spacing w:val="10"/>
          <w:sz w:val="20"/>
        </w:rPr>
        <w:t> </w:t>
      </w:r>
      <w:r>
        <w:rPr>
          <w:rFonts w:ascii="Arial" w:hAnsi="Arial"/>
          <w:i/>
          <w:spacing w:val="-2"/>
          <w:sz w:val="20"/>
        </w:rPr>
        <w:t>I.C.R.</w:t>
      </w:r>
    </w:p>
    <w:p>
      <w:pPr>
        <w:spacing w:line="227" w:lineRule="exact" w:before="0"/>
        <w:ind w:left="705" w:right="0" w:firstLine="0"/>
        <w:jc w:val="left"/>
        <w:rPr>
          <w:sz w:val="20"/>
        </w:rPr>
      </w:pPr>
      <w:r>
        <w:rPr>
          <w:rFonts w:ascii="Arial"/>
          <w:i/>
          <w:sz w:val="20"/>
        </w:rPr>
        <w:t>302</w:t>
      </w:r>
      <w:r>
        <w:rPr>
          <w:rFonts w:ascii="Arial"/>
          <w:i/>
          <w:spacing w:val="-1"/>
          <w:sz w:val="20"/>
        </w:rPr>
        <w:t> </w:t>
      </w:r>
      <w:r>
        <w:rPr>
          <w:sz w:val="20"/>
        </w:rPr>
        <w:t>and</w:t>
      </w:r>
      <w:r>
        <w:rPr>
          <w:spacing w:val="-1"/>
          <w:sz w:val="20"/>
        </w:rPr>
        <w:t> </w:t>
      </w:r>
      <w:r>
        <w:rPr>
          <w:rFonts w:ascii="Arial"/>
          <w:i/>
          <w:sz w:val="20"/>
        </w:rPr>
        <w:t>Tilson v Alstrom Transport [2011] I.R.L.R. 169</w:t>
      </w:r>
      <w:r>
        <w:rPr>
          <w:rFonts w:ascii="Arial"/>
          <w:i/>
          <w:spacing w:val="-1"/>
          <w:sz w:val="20"/>
        </w:rPr>
        <w:t> </w:t>
      </w:r>
      <w:r>
        <w:rPr>
          <w:sz w:val="20"/>
        </w:rPr>
        <w:t>at </w:t>
      </w:r>
      <w:r>
        <w:rPr>
          <w:spacing w:val="-4"/>
          <w:sz w:val="20"/>
        </w:rPr>
        <w:t>[8].</w:t>
      </w:r>
    </w:p>
    <w:p>
      <w:pPr>
        <w:spacing w:after="0" w:line="227" w:lineRule="exact"/>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299">
        <w:r>
          <w:rPr>
            <w:color w:val="005DA1"/>
            <w:spacing w:val="-4"/>
            <w:position w:val="5"/>
            <w:sz w:val="14"/>
            <w:u w:val="single" w:color="005DA1"/>
          </w:rPr>
          <w:t>695</w:t>
        </w:r>
      </w:hyperlink>
      <w:r>
        <w:rPr>
          <w:spacing w:val="-4"/>
          <w:position w:val="5"/>
          <w:sz w:val="14"/>
        </w:rPr>
        <w:t>.</w:t>
      </w:r>
      <w:r>
        <w:rPr>
          <w:position w:val="5"/>
          <w:sz w:val="14"/>
        </w:rPr>
        <w:tab/>
      </w:r>
      <w:r>
        <w:rPr>
          <w:rFonts w:ascii="Arial" w:hAnsi="Arial"/>
          <w:i/>
          <w:sz w:val="20"/>
        </w:rPr>
        <w:t>[2014] I.R.L.R. 344</w:t>
      </w:r>
      <w:r>
        <w:rPr>
          <w:rFonts w:ascii="Arial" w:hAnsi="Arial"/>
          <w:i/>
          <w:spacing w:val="-1"/>
          <w:sz w:val="20"/>
        </w:rPr>
        <w:t> </w:t>
      </w:r>
      <w:r>
        <w:rPr>
          <w:sz w:val="20"/>
        </w:rPr>
        <w:t>at [64] per Slade J. relying on</w:t>
      </w:r>
      <w:r>
        <w:rPr>
          <w:spacing w:val="-1"/>
          <w:sz w:val="20"/>
        </w:rPr>
        <w:t> </w:t>
      </w:r>
      <w:r>
        <w:rPr>
          <w:rFonts w:ascii="Arial" w:hAnsi="Arial"/>
          <w:i/>
          <w:sz w:val="20"/>
        </w:rPr>
        <w:t>The Aramis [1989] 1 Lloyd’s Rep. </w:t>
      </w:r>
      <w:r>
        <w:rPr>
          <w:rFonts w:ascii="Arial" w:hAnsi="Arial"/>
          <w:i/>
          <w:spacing w:val="-4"/>
          <w:sz w:val="20"/>
        </w:rPr>
        <w:t>213</w:t>
      </w:r>
      <w:r>
        <w:rPr>
          <w:spacing w:val="-4"/>
          <w:sz w:val="20"/>
        </w:rPr>
        <w:t>.</w:t>
      </w:r>
    </w:p>
    <w:p>
      <w:pPr>
        <w:pStyle w:val="BodyText"/>
        <w:spacing w:before="9"/>
      </w:pPr>
    </w:p>
    <w:p>
      <w:pPr>
        <w:spacing w:line="235" w:lineRule="auto" w:before="0"/>
        <w:ind w:left="705" w:right="167" w:hanging="541"/>
        <w:jc w:val="both"/>
        <w:rPr>
          <w:sz w:val="20"/>
        </w:rPr>
      </w:pPr>
      <w:bookmarkStart w:name="_bookmark1351" w:id="1353"/>
      <w:bookmarkEnd w:id="1353"/>
      <w:r>
        <w:rPr/>
      </w:r>
      <w:hyperlink w:history="true" w:anchor="_bookmark1300">
        <w:r>
          <w:rPr>
            <w:color w:val="005DA1"/>
            <w:position w:val="5"/>
            <w:sz w:val="14"/>
            <w:u w:val="single" w:color="005DA1"/>
          </w:rPr>
          <w:t>696</w:t>
        </w:r>
      </w:hyperlink>
      <w:r>
        <w:rPr>
          <w:position w:val="5"/>
          <w:sz w:val="14"/>
        </w:rPr>
        <w:t>.</w:t>
      </w:r>
      <w:r>
        <w:rPr>
          <w:spacing w:val="40"/>
          <w:position w:val="5"/>
          <w:sz w:val="14"/>
        </w:rPr>
        <w:t>  </w:t>
      </w:r>
      <w:r>
        <w:rPr>
          <w:rFonts w:ascii="Arial" w:hAnsi="Arial"/>
          <w:i/>
          <w:sz w:val="20"/>
        </w:rPr>
        <w:t>[2015] EWCA Civ 209, [2015] I.R.L.R. 467</w:t>
      </w:r>
      <w:r>
        <w:rPr>
          <w:sz w:val="20"/>
        </w:rPr>
        <w:t>. The CA rejected the relevance of s.3 of the Human Rights Act 1998 to the interpretation of the legislation conferring the rights claimed by </w:t>
      </w:r>
      <w:r>
        <w:rPr>
          <w:sz w:val="20"/>
        </w:rPr>
        <w:t>the agency-worker on the basis that the end-user’s actions took place before the coming into force of that Act: </w:t>
      </w:r>
      <w:r>
        <w:rPr>
          <w:rFonts w:ascii="Arial" w:hAnsi="Arial"/>
          <w:i/>
          <w:sz w:val="20"/>
        </w:rPr>
        <w:t>[2015] EWCA Civ 209 </w:t>
      </w:r>
      <w:r>
        <w:rPr>
          <w:sz w:val="20"/>
        </w:rPr>
        <w:t>at [49].</w:t>
      </w:r>
    </w:p>
    <w:p>
      <w:pPr>
        <w:pStyle w:val="BodyText"/>
        <w:spacing w:before="9"/>
      </w:pPr>
    </w:p>
    <w:p>
      <w:pPr>
        <w:pStyle w:val="BodyText"/>
        <w:tabs>
          <w:tab w:pos="705" w:val="left" w:leader="none"/>
        </w:tabs>
        <w:spacing w:line="235" w:lineRule="auto"/>
        <w:ind w:left="705" w:right="169" w:hanging="541"/>
      </w:pPr>
      <w:bookmarkStart w:name="_bookmark1352" w:id="1354"/>
      <w:bookmarkEnd w:id="1354"/>
      <w:r>
        <w:rPr/>
      </w:r>
      <w:hyperlink w:history="true" w:anchor="_bookmark1301">
        <w:r>
          <w:rPr>
            <w:color w:val="005DA1"/>
            <w:spacing w:val="-4"/>
            <w:position w:val="5"/>
            <w:sz w:val="14"/>
            <w:u w:val="single" w:color="005DA1"/>
          </w:rPr>
          <w:t>697</w:t>
        </w:r>
      </w:hyperlink>
      <w:r>
        <w:rPr>
          <w:spacing w:val="-4"/>
          <w:position w:val="5"/>
          <w:sz w:val="14"/>
        </w:rPr>
        <w:t>.</w:t>
      </w:r>
      <w:r>
        <w:rPr>
          <w:position w:val="5"/>
          <w:sz w:val="14"/>
        </w:rPr>
        <w:tab/>
      </w:r>
      <w:r>
        <w:rPr/>
        <w:t>For</w:t>
      </w:r>
      <w:r>
        <w:rPr>
          <w:spacing w:val="32"/>
        </w:rPr>
        <w:t> </w:t>
      </w:r>
      <w:r>
        <w:rPr/>
        <w:t>discussion</w:t>
      </w:r>
      <w:r>
        <w:rPr>
          <w:spacing w:val="32"/>
        </w:rPr>
        <w:t> </w:t>
      </w:r>
      <w:r>
        <w:rPr/>
        <w:t>of</w:t>
      </w:r>
      <w:r>
        <w:rPr>
          <w:spacing w:val="32"/>
        </w:rPr>
        <w:t> </w:t>
      </w:r>
      <w:r>
        <w:rPr/>
        <w:t>how</w:t>
      </w:r>
      <w:r>
        <w:rPr>
          <w:spacing w:val="32"/>
        </w:rPr>
        <w:t> </w:t>
      </w:r>
      <w:r>
        <w:rPr/>
        <w:t>the</w:t>
      </w:r>
      <w:r>
        <w:rPr>
          <w:spacing w:val="32"/>
        </w:rPr>
        <w:t> </w:t>
      </w:r>
      <w:r>
        <w:rPr/>
        <w:t>1998</w:t>
      </w:r>
      <w:r>
        <w:rPr>
          <w:spacing w:val="32"/>
        </w:rPr>
        <w:t> </w:t>
      </w:r>
      <w:r>
        <w:rPr/>
        <w:t>Act</w:t>
      </w:r>
      <w:r>
        <w:rPr>
          <w:spacing w:val="32"/>
        </w:rPr>
        <w:t> </w:t>
      </w:r>
      <w:r>
        <w:rPr/>
        <w:t>may</w:t>
      </w:r>
      <w:r>
        <w:rPr>
          <w:spacing w:val="32"/>
        </w:rPr>
        <w:t> </w:t>
      </w:r>
      <w:r>
        <w:rPr/>
        <w:t>affect</w:t>
      </w:r>
      <w:r>
        <w:rPr>
          <w:spacing w:val="32"/>
        </w:rPr>
        <w:t> </w:t>
      </w:r>
      <w:r>
        <w:rPr/>
        <w:t>construction</w:t>
      </w:r>
      <w:r>
        <w:rPr>
          <w:spacing w:val="32"/>
        </w:rPr>
        <w:t> </w:t>
      </w:r>
      <w:r>
        <w:rPr/>
        <w:t>of</w:t>
      </w:r>
      <w:r>
        <w:rPr>
          <w:spacing w:val="32"/>
        </w:rPr>
        <w:t> </w:t>
      </w:r>
      <w:r>
        <w:rPr/>
        <w:t>contracts</w:t>
      </w:r>
      <w:r>
        <w:rPr>
          <w:spacing w:val="32"/>
        </w:rPr>
        <w:t> </w:t>
      </w:r>
      <w:r>
        <w:rPr/>
        <w:t>made</w:t>
      </w:r>
      <w:r>
        <w:rPr>
          <w:spacing w:val="32"/>
        </w:rPr>
        <w:t> </w:t>
      </w:r>
      <w:r>
        <w:rPr/>
        <w:t>by</w:t>
      </w:r>
      <w:r>
        <w:rPr>
          <w:spacing w:val="32"/>
        </w:rPr>
        <w:t> </w:t>
      </w:r>
      <w:r>
        <w:rPr/>
        <w:t>a</w:t>
      </w:r>
      <w:r>
        <w:rPr>
          <w:spacing w:val="32"/>
        </w:rPr>
        <w:t> </w:t>
      </w:r>
      <w:r>
        <w:rPr/>
        <w:t>“public authority”, see above, para.1-081.</w:t>
      </w:r>
    </w:p>
    <w:p>
      <w:pPr>
        <w:pStyle w:val="BodyText"/>
        <w:spacing w:before="5"/>
      </w:pPr>
    </w:p>
    <w:p>
      <w:pPr>
        <w:tabs>
          <w:tab w:pos="540" w:val="left" w:leader="none"/>
        </w:tabs>
        <w:spacing w:line="227" w:lineRule="exact" w:before="0"/>
        <w:ind w:left="0" w:right="168" w:firstLine="0"/>
        <w:jc w:val="right"/>
        <w:rPr>
          <w:sz w:val="20"/>
        </w:rPr>
      </w:pPr>
      <w:bookmarkStart w:name="_bookmark1353" w:id="1355"/>
      <w:bookmarkEnd w:id="1355"/>
      <w:r>
        <w:rPr/>
      </w:r>
      <w:hyperlink w:history="true" w:anchor="_bookmark1302">
        <w:r>
          <w:rPr>
            <w:color w:val="005DA1"/>
            <w:spacing w:val="-4"/>
            <w:position w:val="5"/>
            <w:sz w:val="14"/>
            <w:u w:val="single" w:color="005DA1"/>
          </w:rPr>
          <w:t>698</w:t>
        </w:r>
      </w:hyperlink>
      <w:r>
        <w:rPr>
          <w:spacing w:val="-4"/>
          <w:position w:val="5"/>
          <w:sz w:val="14"/>
        </w:rPr>
        <w:t>.</w:t>
      </w:r>
      <w:r>
        <w:rPr>
          <w:position w:val="5"/>
          <w:sz w:val="14"/>
        </w:rPr>
        <w:tab/>
      </w:r>
      <w:r>
        <w:rPr>
          <w:rFonts w:ascii="Arial"/>
          <w:i/>
          <w:sz w:val="20"/>
        </w:rPr>
        <w:t>Biggin Hill Airport Ltd v Bromley LBC (2001) 98(3) L.S.G. 42, The Times, January 9, 2001</w:t>
      </w:r>
      <w:r>
        <w:rPr>
          <w:rFonts w:ascii="Arial"/>
          <w:i/>
          <w:spacing w:val="-1"/>
          <w:sz w:val="20"/>
        </w:rPr>
        <w:t> </w:t>
      </w:r>
      <w:r>
        <w:rPr>
          <w:spacing w:val="-2"/>
          <w:sz w:val="20"/>
        </w:rPr>
        <w:t>[171],</w:t>
      </w:r>
    </w:p>
    <w:p>
      <w:pPr>
        <w:spacing w:line="225" w:lineRule="exact" w:before="0"/>
        <w:ind w:left="0" w:right="168" w:firstLine="0"/>
        <w:jc w:val="right"/>
        <w:rPr>
          <w:rFonts w:ascii="Arial"/>
          <w:i/>
          <w:sz w:val="20"/>
        </w:rPr>
      </w:pPr>
      <w:r>
        <w:rPr>
          <w:sz w:val="20"/>
        </w:rPr>
        <w:t>reversed</w:t>
      </w:r>
      <w:r>
        <w:rPr>
          <w:spacing w:val="5"/>
          <w:sz w:val="20"/>
        </w:rPr>
        <w:t> </w:t>
      </w:r>
      <w:r>
        <w:rPr>
          <w:sz w:val="20"/>
        </w:rPr>
        <w:t>on</w:t>
      </w:r>
      <w:r>
        <w:rPr>
          <w:spacing w:val="5"/>
          <w:sz w:val="20"/>
        </w:rPr>
        <w:t> </w:t>
      </w:r>
      <w:r>
        <w:rPr>
          <w:sz w:val="20"/>
        </w:rPr>
        <w:t>other</w:t>
      </w:r>
      <w:r>
        <w:rPr>
          <w:spacing w:val="5"/>
          <w:sz w:val="20"/>
        </w:rPr>
        <w:t> </w:t>
      </w:r>
      <w:r>
        <w:rPr>
          <w:sz w:val="20"/>
        </w:rPr>
        <w:t>grounds</w:t>
      </w:r>
      <w:r>
        <w:rPr>
          <w:spacing w:val="4"/>
          <w:sz w:val="20"/>
        </w:rPr>
        <w:t> </w:t>
      </w:r>
      <w:r>
        <w:rPr>
          <w:rFonts w:ascii="Arial"/>
          <w:i/>
          <w:sz w:val="20"/>
        </w:rPr>
        <w:t>[2001]</w:t>
      </w:r>
      <w:r>
        <w:rPr>
          <w:rFonts w:ascii="Arial"/>
          <w:i/>
          <w:spacing w:val="5"/>
          <w:sz w:val="20"/>
        </w:rPr>
        <w:t> </w:t>
      </w:r>
      <w:r>
        <w:rPr>
          <w:rFonts w:ascii="Arial"/>
          <w:i/>
          <w:sz w:val="20"/>
        </w:rPr>
        <w:t>EWCA</w:t>
      </w:r>
      <w:r>
        <w:rPr>
          <w:rFonts w:ascii="Arial"/>
          <w:i/>
          <w:spacing w:val="5"/>
          <w:sz w:val="20"/>
        </w:rPr>
        <w:t> </w:t>
      </w:r>
      <w:r>
        <w:rPr>
          <w:rFonts w:ascii="Arial"/>
          <w:i/>
          <w:sz w:val="20"/>
        </w:rPr>
        <w:t>Civ</w:t>
      </w:r>
      <w:r>
        <w:rPr>
          <w:rFonts w:ascii="Arial"/>
          <w:i/>
          <w:spacing w:val="5"/>
          <w:sz w:val="20"/>
        </w:rPr>
        <w:t> </w:t>
      </w:r>
      <w:r>
        <w:rPr>
          <w:rFonts w:ascii="Arial"/>
          <w:i/>
          <w:sz w:val="20"/>
        </w:rPr>
        <w:t>1089,</w:t>
      </w:r>
      <w:r>
        <w:rPr>
          <w:rFonts w:ascii="Arial"/>
          <w:i/>
          <w:spacing w:val="5"/>
          <w:sz w:val="20"/>
        </w:rPr>
        <w:t> </w:t>
      </w:r>
      <w:r>
        <w:rPr>
          <w:rFonts w:ascii="Arial"/>
          <w:i/>
          <w:sz w:val="20"/>
        </w:rPr>
        <w:t>The</w:t>
      </w:r>
      <w:r>
        <w:rPr>
          <w:rFonts w:ascii="Arial"/>
          <w:i/>
          <w:spacing w:val="5"/>
          <w:sz w:val="20"/>
        </w:rPr>
        <w:t> </w:t>
      </w:r>
      <w:r>
        <w:rPr>
          <w:rFonts w:ascii="Arial"/>
          <w:i/>
          <w:sz w:val="20"/>
        </w:rPr>
        <w:t>Times,</w:t>
      </w:r>
      <w:r>
        <w:rPr>
          <w:rFonts w:ascii="Arial"/>
          <w:i/>
          <w:spacing w:val="5"/>
          <w:sz w:val="20"/>
        </w:rPr>
        <w:t> </w:t>
      </w:r>
      <w:r>
        <w:rPr>
          <w:rFonts w:ascii="Arial"/>
          <w:i/>
          <w:sz w:val="20"/>
        </w:rPr>
        <w:t>August</w:t>
      </w:r>
      <w:r>
        <w:rPr>
          <w:rFonts w:ascii="Arial"/>
          <w:i/>
          <w:spacing w:val="5"/>
          <w:sz w:val="20"/>
        </w:rPr>
        <w:t> </w:t>
      </w:r>
      <w:r>
        <w:rPr>
          <w:rFonts w:ascii="Arial"/>
          <w:i/>
          <w:sz w:val="20"/>
        </w:rPr>
        <w:t>13,</w:t>
      </w:r>
      <w:r>
        <w:rPr>
          <w:rFonts w:ascii="Arial"/>
          <w:i/>
          <w:spacing w:val="5"/>
          <w:sz w:val="20"/>
        </w:rPr>
        <w:t> </w:t>
      </w:r>
      <w:r>
        <w:rPr>
          <w:rFonts w:ascii="Arial"/>
          <w:i/>
          <w:sz w:val="20"/>
        </w:rPr>
        <w:t>2001,</w:t>
      </w:r>
      <w:r>
        <w:rPr>
          <w:rFonts w:ascii="Arial"/>
          <w:i/>
          <w:spacing w:val="5"/>
          <w:sz w:val="20"/>
        </w:rPr>
        <w:t> </w:t>
      </w:r>
      <w:r>
        <w:rPr>
          <w:rFonts w:ascii="Arial"/>
          <w:i/>
          <w:sz w:val="20"/>
        </w:rPr>
        <w:t>(2001)</w:t>
      </w:r>
      <w:r>
        <w:rPr>
          <w:rFonts w:ascii="Arial"/>
          <w:i/>
          <w:spacing w:val="5"/>
          <w:sz w:val="20"/>
        </w:rPr>
        <w:t> </w:t>
      </w:r>
      <w:r>
        <w:rPr>
          <w:rFonts w:ascii="Arial"/>
          <w:i/>
          <w:spacing w:val="-2"/>
          <w:sz w:val="20"/>
        </w:rPr>
        <w:t>98(33)</w:t>
      </w:r>
    </w:p>
    <w:p>
      <w:pPr>
        <w:spacing w:line="227" w:lineRule="exact" w:before="0"/>
        <w:ind w:left="705" w:right="0" w:firstLine="0"/>
        <w:jc w:val="left"/>
        <w:rPr>
          <w:sz w:val="20"/>
        </w:rPr>
      </w:pPr>
      <w:r>
        <w:rPr>
          <w:rFonts w:ascii="Arial"/>
          <w:i/>
          <w:sz w:val="20"/>
        </w:rPr>
        <w:t>L.S.G. </w:t>
      </w:r>
      <w:r>
        <w:rPr>
          <w:rFonts w:ascii="Arial"/>
          <w:i/>
          <w:spacing w:val="-5"/>
          <w:sz w:val="20"/>
        </w:rPr>
        <w:t>30</w:t>
      </w:r>
      <w:r>
        <w:rPr>
          <w:spacing w:val="-5"/>
          <w:sz w:val="20"/>
        </w:rPr>
        <w:t>.</w:t>
      </w:r>
    </w:p>
    <w:p>
      <w:pPr>
        <w:pStyle w:val="BodyText"/>
        <w:spacing w:before="5"/>
      </w:pPr>
    </w:p>
    <w:p>
      <w:pPr>
        <w:pStyle w:val="BodyText"/>
        <w:tabs>
          <w:tab w:pos="705" w:val="left" w:leader="none"/>
        </w:tabs>
        <w:ind w:left="165"/>
      </w:pPr>
      <w:bookmarkStart w:name="_bookmark1354" w:id="1356"/>
      <w:bookmarkEnd w:id="1356"/>
      <w:r>
        <w:rPr/>
      </w:r>
      <w:hyperlink w:history="true" w:anchor="_bookmark1303">
        <w:r>
          <w:rPr>
            <w:color w:val="005DA1"/>
            <w:spacing w:val="-4"/>
            <w:position w:val="5"/>
            <w:sz w:val="14"/>
            <w:u w:val="single" w:color="005DA1"/>
          </w:rPr>
          <w:t>699</w:t>
        </w:r>
      </w:hyperlink>
      <w:r>
        <w:rPr>
          <w:spacing w:val="-4"/>
          <w:position w:val="5"/>
          <w:sz w:val="14"/>
        </w:rPr>
        <w:t>.</w:t>
      </w:r>
      <w:r>
        <w:rPr>
          <w:position w:val="5"/>
          <w:sz w:val="14"/>
        </w:rPr>
        <w:tab/>
      </w:r>
      <w:r>
        <w:rPr/>
        <w:t>Human Rights Act 1998 </w:t>
      </w:r>
      <w:r>
        <w:rPr>
          <w:spacing w:val="-2"/>
        </w:rPr>
        <w:t>s.3(1).</w:t>
      </w:r>
    </w:p>
    <w:p>
      <w:pPr>
        <w:pStyle w:val="BodyText"/>
        <w:spacing w:before="5"/>
      </w:pPr>
    </w:p>
    <w:p>
      <w:pPr>
        <w:pStyle w:val="BodyText"/>
        <w:tabs>
          <w:tab w:pos="705" w:val="left" w:leader="none"/>
        </w:tabs>
        <w:ind w:left="165"/>
      </w:pPr>
      <w:bookmarkStart w:name="_bookmark1355" w:id="1357"/>
      <w:bookmarkEnd w:id="1357"/>
      <w:r>
        <w:rPr/>
      </w:r>
      <w:hyperlink w:history="true" w:anchor="_bookmark1304">
        <w:r>
          <w:rPr>
            <w:color w:val="005DA1"/>
            <w:spacing w:val="-4"/>
            <w:position w:val="5"/>
            <w:sz w:val="14"/>
            <w:u w:val="single" w:color="005DA1"/>
          </w:rPr>
          <w:t>700</w:t>
        </w:r>
      </w:hyperlink>
      <w:r>
        <w:rPr>
          <w:spacing w:val="-4"/>
          <w:position w:val="5"/>
          <w:sz w:val="14"/>
        </w:rPr>
        <w:t>.</w:t>
      </w:r>
      <w:r>
        <w:rPr>
          <w:position w:val="5"/>
          <w:sz w:val="14"/>
        </w:rPr>
        <w:tab/>
      </w:r>
      <w:r>
        <w:rPr/>
        <w:t>See below, paras 13-051, 13-120 et </w:t>
      </w:r>
      <w:r>
        <w:rPr>
          <w:spacing w:val="-4"/>
        </w:rPr>
        <w:t>seq.</w:t>
      </w:r>
    </w:p>
    <w:p>
      <w:pPr>
        <w:pStyle w:val="BodyText"/>
        <w:spacing w:before="5"/>
      </w:pPr>
    </w:p>
    <w:p>
      <w:pPr>
        <w:pStyle w:val="BodyText"/>
        <w:tabs>
          <w:tab w:pos="705" w:val="left" w:leader="none"/>
        </w:tabs>
        <w:ind w:left="165"/>
      </w:pPr>
      <w:bookmarkStart w:name="_bookmark1356" w:id="1358"/>
      <w:bookmarkEnd w:id="1358"/>
      <w:r>
        <w:rPr/>
      </w:r>
      <w:hyperlink w:history="true" w:anchor="_bookmark1305">
        <w:r>
          <w:rPr>
            <w:color w:val="005DA1"/>
            <w:spacing w:val="-4"/>
            <w:position w:val="5"/>
            <w:sz w:val="14"/>
            <w:u w:val="single" w:color="005DA1"/>
          </w:rPr>
          <w:t>701</w:t>
        </w:r>
      </w:hyperlink>
      <w:r>
        <w:rPr>
          <w:spacing w:val="-4"/>
          <w:position w:val="5"/>
          <w:sz w:val="14"/>
        </w:rPr>
        <w:t>.</w:t>
      </w:r>
      <w:r>
        <w:rPr>
          <w:position w:val="5"/>
          <w:sz w:val="14"/>
        </w:rPr>
        <w:tab/>
      </w:r>
      <w:r>
        <w:rPr/>
        <w:t>See below, paras 14-004—14-007 and 14-010 (“obvious inference from </w:t>
      </w:r>
      <w:r>
        <w:rPr>
          <w:spacing w:val="-2"/>
        </w:rPr>
        <w:t>agreement”).</w:t>
      </w:r>
    </w:p>
    <w:p>
      <w:pPr>
        <w:pStyle w:val="BodyText"/>
        <w:spacing w:before="5"/>
      </w:pPr>
    </w:p>
    <w:p>
      <w:pPr>
        <w:pStyle w:val="BodyText"/>
        <w:tabs>
          <w:tab w:pos="705" w:val="left" w:leader="none"/>
        </w:tabs>
        <w:ind w:left="165"/>
      </w:pPr>
      <w:bookmarkStart w:name="_bookmark1357" w:id="1359"/>
      <w:bookmarkEnd w:id="1359"/>
      <w:r>
        <w:rPr/>
      </w:r>
      <w:hyperlink w:history="true" w:anchor="_bookmark1306">
        <w:r>
          <w:rPr>
            <w:color w:val="005DA1"/>
            <w:spacing w:val="-4"/>
            <w:position w:val="5"/>
            <w:sz w:val="14"/>
            <w:u w:val="single" w:color="005DA1"/>
          </w:rPr>
          <w:t>702</w:t>
        </w:r>
      </w:hyperlink>
      <w:r>
        <w:rPr>
          <w:spacing w:val="-4"/>
          <w:position w:val="5"/>
          <w:sz w:val="14"/>
        </w:rPr>
        <w:t>.</w:t>
      </w:r>
      <w:r>
        <w:rPr>
          <w:position w:val="5"/>
          <w:sz w:val="14"/>
        </w:rPr>
        <w:tab/>
      </w:r>
      <w:r>
        <w:rPr/>
        <w:t>cf. below, para.1-094 concerning the law of </w:t>
      </w:r>
      <w:r>
        <w:rPr>
          <w:spacing w:val="-2"/>
        </w:rPr>
        <w:t>confidentiality.</w:t>
      </w:r>
    </w:p>
    <w:p>
      <w:pPr>
        <w:pStyle w:val="BodyText"/>
        <w:spacing w:before="5"/>
      </w:pPr>
    </w:p>
    <w:p>
      <w:pPr>
        <w:tabs>
          <w:tab w:pos="705" w:val="left" w:leader="none"/>
        </w:tabs>
        <w:spacing w:before="0"/>
        <w:ind w:left="165" w:right="0" w:firstLine="0"/>
        <w:jc w:val="left"/>
        <w:rPr>
          <w:sz w:val="20"/>
        </w:rPr>
      </w:pPr>
      <w:bookmarkStart w:name="_bookmark1358" w:id="1360"/>
      <w:bookmarkEnd w:id="1360"/>
      <w:r>
        <w:rPr/>
      </w:r>
      <w:hyperlink w:history="true" w:anchor="_bookmark1306">
        <w:r>
          <w:rPr>
            <w:color w:val="005DA1"/>
            <w:spacing w:val="-4"/>
            <w:position w:val="5"/>
            <w:sz w:val="14"/>
            <w:u w:val="single" w:color="005DA1"/>
          </w:rPr>
          <w:t>703</w:t>
        </w:r>
      </w:hyperlink>
      <w:r>
        <w:rPr>
          <w:spacing w:val="-4"/>
          <w:position w:val="5"/>
          <w:sz w:val="14"/>
        </w:rPr>
        <w:t>.</w:t>
      </w:r>
      <w:r>
        <w:rPr>
          <w:position w:val="5"/>
          <w:sz w:val="14"/>
        </w:rPr>
        <w:tab/>
      </w:r>
      <w:r>
        <w:rPr>
          <w:rFonts w:ascii="Arial"/>
          <w:i/>
          <w:sz w:val="20"/>
        </w:rPr>
        <w:t>[2014]</w:t>
      </w:r>
      <w:r>
        <w:rPr>
          <w:rFonts w:ascii="Arial"/>
          <w:i/>
          <w:spacing w:val="-1"/>
          <w:sz w:val="20"/>
        </w:rPr>
        <w:t> </w:t>
      </w:r>
      <w:r>
        <w:rPr>
          <w:rFonts w:ascii="Arial"/>
          <w:i/>
          <w:sz w:val="20"/>
        </w:rPr>
        <w:t>I.R.L.R. 344</w:t>
      </w:r>
      <w:r>
        <w:rPr>
          <w:sz w:val="20"/>
        </w:rPr>
        <w:t>, above, para.1-</w:t>
      </w:r>
      <w:r>
        <w:rPr>
          <w:spacing w:val="-4"/>
          <w:sz w:val="20"/>
        </w:rPr>
        <w:t>086.</w:t>
      </w:r>
    </w:p>
    <w:p>
      <w:pPr>
        <w:pStyle w:val="BodyText"/>
        <w:spacing w:before="5"/>
      </w:pPr>
    </w:p>
    <w:p>
      <w:pPr>
        <w:pStyle w:val="BodyText"/>
        <w:tabs>
          <w:tab w:pos="705" w:val="left" w:leader="none"/>
        </w:tabs>
        <w:spacing w:before="1"/>
        <w:ind w:left="165"/>
      </w:pPr>
      <w:bookmarkStart w:name="_bookmark1359" w:id="1361"/>
      <w:bookmarkEnd w:id="1361"/>
      <w:r>
        <w:rPr/>
      </w:r>
      <w:hyperlink w:history="true" w:anchor="_bookmark1307">
        <w:r>
          <w:rPr>
            <w:color w:val="005DA1"/>
            <w:spacing w:val="-4"/>
            <w:position w:val="5"/>
            <w:sz w:val="14"/>
            <w:u w:val="single" w:color="005DA1"/>
          </w:rPr>
          <w:t>704</w:t>
        </w:r>
      </w:hyperlink>
      <w:r>
        <w:rPr>
          <w:spacing w:val="-4"/>
          <w:position w:val="5"/>
          <w:sz w:val="14"/>
        </w:rPr>
        <w:t>.</w:t>
      </w:r>
      <w:r>
        <w:rPr>
          <w:position w:val="5"/>
          <w:sz w:val="14"/>
        </w:rPr>
        <w:tab/>
      </w:r>
      <w:r>
        <w:rPr/>
        <w:t>On implied terms generally, see below, </w:t>
      </w:r>
      <w:r>
        <w:rPr>
          <w:spacing w:val="-2"/>
        </w:rPr>
        <w:t>Ch.14.</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1072">
            <wp:simplePos x="0" y="0"/>
            <wp:positionH relativeFrom="page">
              <wp:posOffset>1257846</wp:posOffset>
            </wp:positionH>
            <wp:positionV relativeFrom="paragraph">
              <wp:posOffset>160547</wp:posOffset>
            </wp:positionV>
            <wp:extent cx="107988" cy="107988"/>
            <wp:effectExtent l="0" t="0" r="0" b="0"/>
            <wp:wrapNone/>
            <wp:docPr id="351" name="Image 351"/>
            <wp:cNvGraphicFramePr>
              <a:graphicFrameLocks/>
            </wp:cNvGraphicFramePr>
            <a:graphic>
              <a:graphicData uri="http://schemas.openxmlformats.org/drawingml/2006/picture">
                <pic:pic>
                  <pic:nvPicPr>
                    <pic:cNvPr id="351" name="Image 35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60" w:id="1362"/>
      <w:bookmarkEnd w:id="1362"/>
      <w:r>
        <w:rPr/>
      </w:r>
      <w:hyperlink w:history="true" w:anchor="_bookmark1308">
        <w:r>
          <w:rPr>
            <w:color w:val="005DA1"/>
            <w:spacing w:val="-4"/>
            <w:sz w:val="14"/>
            <w:u w:val="single" w:color="005DA1"/>
          </w:rPr>
          <w:t>705</w:t>
        </w:r>
      </w:hyperlink>
      <w:r>
        <w:rPr>
          <w:spacing w:val="-4"/>
          <w:sz w:val="14"/>
        </w:rPr>
        <w:t>.</w:t>
      </w:r>
    </w:p>
    <w:p>
      <w:pPr>
        <w:spacing w:line="235" w:lineRule="auto" w:before="212"/>
        <w:ind w:left="165" w:right="0" w:firstLine="170"/>
        <w:jc w:val="left"/>
        <w:rPr>
          <w:sz w:val="20"/>
        </w:rPr>
      </w:pPr>
      <w:r>
        <w:rPr/>
        <w:br w:type="column"/>
      </w:r>
      <w:r>
        <w:rPr>
          <w:rFonts w:ascii="Arial" w:hAnsi="Arial"/>
          <w:i/>
          <w:sz w:val="20"/>
        </w:rPr>
        <w:t>Liverpool</w:t>
      </w:r>
      <w:r>
        <w:rPr>
          <w:rFonts w:ascii="Arial" w:hAnsi="Arial"/>
          <w:i/>
          <w:spacing w:val="-2"/>
          <w:sz w:val="20"/>
        </w:rPr>
        <w:t> </w:t>
      </w:r>
      <w:r>
        <w:rPr>
          <w:rFonts w:ascii="Arial" w:hAnsi="Arial"/>
          <w:i/>
          <w:sz w:val="20"/>
        </w:rPr>
        <w:t>City</w:t>
      </w:r>
      <w:r>
        <w:rPr>
          <w:rFonts w:ascii="Arial" w:hAnsi="Arial"/>
          <w:i/>
          <w:spacing w:val="-2"/>
          <w:sz w:val="20"/>
        </w:rPr>
        <w:t> </w:t>
      </w:r>
      <w:r>
        <w:rPr>
          <w:rFonts w:ascii="Arial" w:hAnsi="Arial"/>
          <w:i/>
          <w:sz w:val="20"/>
        </w:rPr>
        <w:t>Council</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Irwin</w:t>
      </w:r>
      <w:r>
        <w:rPr>
          <w:rFonts w:ascii="Arial" w:hAnsi="Arial"/>
          <w:i/>
          <w:spacing w:val="-2"/>
          <w:sz w:val="20"/>
        </w:rPr>
        <w:t> </w:t>
      </w:r>
      <w:r>
        <w:rPr>
          <w:rFonts w:ascii="Arial" w:hAnsi="Arial"/>
          <w:i/>
          <w:sz w:val="20"/>
        </w:rPr>
        <w:t>[1977]</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239</w:t>
      </w:r>
      <w:r>
        <w:rPr>
          <w:sz w:val="20"/>
        </w:rPr>
        <w:t>;</w:t>
      </w:r>
      <w:r>
        <w:rPr>
          <w:spacing w:val="-2"/>
          <w:sz w:val="20"/>
        </w:rPr>
        <w:t> </w:t>
      </w:r>
      <w:r>
        <w:rPr>
          <w:rFonts w:ascii="Arial" w:hAnsi="Arial"/>
          <w:i/>
          <w:sz w:val="20"/>
        </w:rPr>
        <w:t>Marks</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Spencer</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BNP</w:t>
      </w:r>
      <w:r>
        <w:rPr>
          <w:rFonts w:ascii="Arial" w:hAnsi="Arial"/>
          <w:i/>
          <w:spacing w:val="-2"/>
          <w:sz w:val="20"/>
        </w:rPr>
        <w:t> </w:t>
      </w:r>
      <w:r>
        <w:rPr>
          <w:rFonts w:ascii="Arial" w:hAnsi="Arial"/>
          <w:i/>
          <w:sz w:val="20"/>
        </w:rPr>
        <w:t>Paribas</w:t>
      </w:r>
      <w:r>
        <w:rPr>
          <w:rFonts w:ascii="Arial" w:hAnsi="Arial"/>
          <w:i/>
          <w:spacing w:val="-2"/>
          <w:sz w:val="20"/>
        </w:rPr>
        <w:t> </w:t>
      </w:r>
      <w:r>
        <w:rPr>
          <w:rFonts w:ascii="Arial" w:hAnsi="Arial"/>
          <w:i/>
          <w:sz w:val="20"/>
        </w:rPr>
        <w:t>Securities Services Trust Co (Jersey) Ltd [2015] UKSC 72, [2015] 3 W.L.R. 1843 </w:t>
      </w:r>
      <w:r>
        <w:rPr>
          <w:sz w:val="20"/>
        </w:rPr>
        <w:t>at [14]–[21] and [77].</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6"/>
      </w:pPr>
    </w:p>
    <w:p>
      <w:pPr>
        <w:pStyle w:val="BodyText"/>
        <w:tabs>
          <w:tab w:pos="705" w:val="left" w:leader="none"/>
        </w:tabs>
        <w:ind w:left="165"/>
      </w:pPr>
      <w:bookmarkStart w:name="_bookmark1361" w:id="1363"/>
      <w:bookmarkEnd w:id="1363"/>
      <w:r>
        <w:rPr/>
      </w:r>
      <w:hyperlink w:history="true" w:anchor="_bookmark1309">
        <w:r>
          <w:rPr>
            <w:color w:val="005DA1"/>
            <w:spacing w:val="-4"/>
            <w:position w:val="5"/>
            <w:sz w:val="14"/>
            <w:u w:val="single" w:color="005DA1"/>
          </w:rPr>
          <w:t>706</w:t>
        </w:r>
      </w:hyperlink>
      <w:r>
        <w:rPr>
          <w:spacing w:val="-4"/>
          <w:position w:val="5"/>
          <w:sz w:val="14"/>
        </w:rPr>
        <w:t>.</w:t>
      </w:r>
      <w:r>
        <w:rPr>
          <w:position w:val="5"/>
          <w:sz w:val="14"/>
        </w:rPr>
        <w:tab/>
      </w:r>
      <w:r>
        <w:rPr/>
        <w:t>For the position where one of the parties is a public authority, see above, para.1-</w:t>
      </w:r>
      <w:r>
        <w:rPr>
          <w:spacing w:val="-4"/>
        </w:rPr>
        <w:t>081.</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1584">
            <wp:simplePos x="0" y="0"/>
            <wp:positionH relativeFrom="page">
              <wp:posOffset>1257846</wp:posOffset>
            </wp:positionH>
            <wp:positionV relativeFrom="paragraph">
              <wp:posOffset>160731</wp:posOffset>
            </wp:positionV>
            <wp:extent cx="107988" cy="107988"/>
            <wp:effectExtent l="0" t="0" r="0" b="0"/>
            <wp:wrapNone/>
            <wp:docPr id="352" name="Image 352"/>
            <wp:cNvGraphicFramePr>
              <a:graphicFrameLocks/>
            </wp:cNvGraphicFramePr>
            <a:graphic>
              <a:graphicData uri="http://schemas.openxmlformats.org/drawingml/2006/picture">
                <pic:pic>
                  <pic:nvPicPr>
                    <pic:cNvPr id="352" name="Image 35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62" w:id="1364"/>
      <w:bookmarkEnd w:id="1364"/>
      <w:r>
        <w:rPr/>
      </w:r>
      <w:hyperlink w:history="true" w:anchor="_bookmark1310">
        <w:r>
          <w:rPr>
            <w:color w:val="005DA1"/>
            <w:spacing w:val="-4"/>
            <w:sz w:val="14"/>
            <w:u w:val="single" w:color="005DA1"/>
          </w:rPr>
          <w:t>707</w:t>
        </w:r>
      </w:hyperlink>
      <w:r>
        <w:rPr>
          <w:spacing w:val="-4"/>
          <w:sz w:val="14"/>
        </w:rPr>
        <w:t>.</w:t>
      </w:r>
    </w:p>
    <w:p>
      <w:pPr>
        <w:spacing w:line="235" w:lineRule="auto" w:before="213"/>
        <w:ind w:left="165" w:right="167" w:firstLine="170"/>
        <w:jc w:val="both"/>
        <w:rPr>
          <w:sz w:val="20"/>
        </w:rPr>
      </w:pPr>
      <w:r>
        <w:rPr/>
        <w:br w:type="column"/>
      </w:r>
      <w:r>
        <w:rPr>
          <w:rFonts w:ascii="Arial" w:hAnsi="Arial"/>
          <w:i/>
          <w:sz w:val="20"/>
        </w:rPr>
        <w:t>Att-Gen of Belize v Belize Telecom Ltd [2009] UKPC 10, [2009] 1 W.L.R. 1988 </w:t>
      </w:r>
      <w:r>
        <w:rPr>
          <w:sz w:val="20"/>
        </w:rPr>
        <w:t>especially at [21]. In </w:t>
      </w:r>
      <w:r>
        <w:rPr>
          <w:rFonts w:ascii="Arial" w:hAnsi="Arial"/>
          <w:i/>
          <w:sz w:val="20"/>
        </w:rPr>
        <w:t>Marks &amp; Spencer Plc v BNP Paribas Securities Services Trust Co (Jersey) Ltd [2015] UKSC</w:t>
      </w:r>
      <w:r>
        <w:rPr>
          <w:rFonts w:ascii="Arial" w:hAnsi="Arial"/>
          <w:i/>
          <w:spacing w:val="-2"/>
          <w:sz w:val="20"/>
        </w:rPr>
        <w:t> </w:t>
      </w:r>
      <w:r>
        <w:rPr>
          <w:rFonts w:ascii="Arial" w:hAnsi="Arial"/>
          <w:i/>
          <w:sz w:val="20"/>
        </w:rPr>
        <w:t>72,</w:t>
      </w:r>
      <w:r>
        <w:rPr>
          <w:rFonts w:ascii="Arial" w:hAnsi="Arial"/>
          <w:i/>
          <w:spacing w:val="-2"/>
          <w:sz w:val="20"/>
        </w:rPr>
        <w:t> </w:t>
      </w:r>
      <w:r>
        <w:rPr>
          <w:rFonts w:ascii="Arial" w:hAnsi="Arial"/>
          <w:i/>
          <w:sz w:val="20"/>
        </w:rPr>
        <w:t>[2015]</w:t>
      </w:r>
      <w:r>
        <w:rPr>
          <w:rFonts w:ascii="Arial" w:hAnsi="Arial"/>
          <w:i/>
          <w:spacing w:val="-2"/>
          <w:sz w:val="20"/>
        </w:rPr>
        <w:t> </w:t>
      </w:r>
      <w:r>
        <w:rPr>
          <w:rFonts w:ascii="Arial" w:hAnsi="Arial"/>
          <w:i/>
          <w:sz w:val="20"/>
        </w:rPr>
        <w:t>3</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1843</w:t>
      </w:r>
      <w:r>
        <w:rPr>
          <w:rFonts w:ascii="Arial" w:hAnsi="Arial"/>
          <w:i/>
          <w:spacing w:val="-2"/>
          <w:sz w:val="20"/>
        </w:rPr>
        <w:t> </w:t>
      </w:r>
      <w:r>
        <w:rPr>
          <w:sz w:val="20"/>
        </w:rPr>
        <w:t>a</w:t>
      </w:r>
      <w:r>
        <w:rPr>
          <w:spacing w:val="-2"/>
          <w:sz w:val="20"/>
        </w:rPr>
        <w:t> </w:t>
      </w:r>
      <w:r>
        <w:rPr>
          <w:sz w:val="20"/>
        </w:rPr>
        <w:t>majority</w:t>
      </w:r>
      <w:r>
        <w:rPr>
          <w:spacing w:val="-2"/>
          <w:sz w:val="20"/>
        </w:rPr>
        <w:t> </w:t>
      </w:r>
      <w:r>
        <w:rPr>
          <w:sz w:val="20"/>
        </w:rPr>
        <w:t>of</w:t>
      </w:r>
      <w:r>
        <w:rPr>
          <w:spacing w:val="-2"/>
          <w:sz w:val="20"/>
        </w:rPr>
        <w:t> </w:t>
      </w:r>
      <w:r>
        <w:rPr>
          <w:sz w:val="20"/>
        </w:rPr>
        <w:t>the</w:t>
      </w:r>
      <w:r>
        <w:rPr>
          <w:spacing w:val="-2"/>
          <w:sz w:val="20"/>
        </w:rPr>
        <w:t> </w:t>
      </w:r>
      <w:r>
        <w:rPr>
          <w:sz w:val="20"/>
        </w:rPr>
        <w:t>SC</w:t>
      </w:r>
      <w:r>
        <w:rPr>
          <w:spacing w:val="-2"/>
          <w:sz w:val="20"/>
        </w:rPr>
        <w:t> </w:t>
      </w:r>
      <w:r>
        <w:rPr>
          <w:sz w:val="20"/>
        </w:rPr>
        <w:t>considered</w:t>
      </w:r>
      <w:r>
        <w:rPr>
          <w:spacing w:val="-2"/>
          <w:sz w:val="20"/>
        </w:rPr>
        <w:t> </w:t>
      </w:r>
      <w:r>
        <w:rPr>
          <w:sz w:val="20"/>
        </w:rPr>
        <w:t>that</w:t>
      </w:r>
      <w:r>
        <w:rPr>
          <w:spacing w:val="-2"/>
          <w:sz w:val="20"/>
        </w:rPr>
        <w:t> </w:t>
      </w:r>
      <w:r>
        <w:rPr>
          <w:sz w:val="20"/>
        </w:rPr>
        <w:t>Lord</w:t>
      </w:r>
      <w:r>
        <w:rPr>
          <w:spacing w:val="-2"/>
          <w:sz w:val="20"/>
        </w:rPr>
        <w:t> </w:t>
      </w:r>
      <w:r>
        <w:rPr>
          <w:sz w:val="20"/>
        </w:rPr>
        <w:t>Hoffmann’s</w:t>
      </w:r>
      <w:r>
        <w:rPr>
          <w:spacing w:val="-2"/>
          <w:sz w:val="20"/>
        </w:rPr>
        <w:t> </w:t>
      </w:r>
      <w:r>
        <w:rPr>
          <w:sz w:val="20"/>
        </w:rPr>
        <w:t>guidance on implied terms in the </w:t>
      </w:r>
      <w:r>
        <w:rPr>
          <w:rFonts w:ascii="Arial" w:hAnsi="Arial"/>
          <w:i/>
          <w:sz w:val="20"/>
        </w:rPr>
        <w:t>Belize </w:t>
      </w:r>
      <w:r>
        <w:rPr>
          <w:sz w:val="20"/>
        </w:rPr>
        <w:t>case should not be seen as “authoritative guidance on the law </w:t>
      </w:r>
      <w:r>
        <w:rPr>
          <w:sz w:val="20"/>
        </w:rPr>
        <w:t>of implied terms”: </w:t>
      </w:r>
      <w:r>
        <w:rPr>
          <w:rFonts w:ascii="Arial" w:hAnsi="Arial"/>
          <w:i/>
          <w:sz w:val="20"/>
        </w:rPr>
        <w:t>[2015] 3 W.L.R. 1843 </w:t>
      </w:r>
      <w:r>
        <w:rPr>
          <w:sz w:val="20"/>
        </w:rPr>
        <w:t>at [31]; and see below, para.14-006.</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pStyle w:val="BodyText"/>
        <w:tabs>
          <w:tab w:pos="705" w:val="left" w:leader="none"/>
        </w:tabs>
        <w:ind w:left="165"/>
      </w:pPr>
      <w:bookmarkStart w:name="_bookmark1363" w:id="1365"/>
      <w:bookmarkEnd w:id="1365"/>
      <w:r>
        <w:rPr/>
      </w:r>
      <w:hyperlink w:history="true" w:anchor="_bookmark1311">
        <w:r>
          <w:rPr>
            <w:color w:val="005DA1"/>
            <w:spacing w:val="-4"/>
            <w:position w:val="5"/>
            <w:sz w:val="14"/>
            <w:u w:val="single" w:color="005DA1"/>
          </w:rPr>
          <w:t>708</w:t>
        </w:r>
      </w:hyperlink>
      <w:r>
        <w:rPr>
          <w:spacing w:val="-4"/>
          <w:position w:val="5"/>
          <w:sz w:val="14"/>
        </w:rPr>
        <w:t>.</w:t>
      </w:r>
      <w:r>
        <w:rPr>
          <w:position w:val="5"/>
          <w:sz w:val="14"/>
        </w:rPr>
        <w:tab/>
      </w:r>
      <w:r>
        <w:rPr/>
        <w:t>On this wider question, see above, para.1-</w:t>
      </w:r>
      <w:r>
        <w:rPr>
          <w:spacing w:val="-4"/>
        </w:rPr>
        <w:t>084.</w:t>
      </w:r>
    </w:p>
    <w:p>
      <w:pPr>
        <w:pStyle w:val="BodyText"/>
        <w:spacing w:before="5"/>
      </w:pPr>
    </w:p>
    <w:p>
      <w:pPr>
        <w:pStyle w:val="BodyText"/>
        <w:tabs>
          <w:tab w:pos="705" w:val="left" w:leader="none"/>
        </w:tabs>
        <w:ind w:left="165"/>
      </w:pPr>
      <w:bookmarkStart w:name="_bookmark1364" w:id="1366"/>
      <w:bookmarkEnd w:id="1366"/>
      <w:r>
        <w:rPr/>
      </w:r>
      <w:hyperlink w:history="true" w:anchor="_bookmark1312">
        <w:r>
          <w:rPr>
            <w:color w:val="005DA1"/>
            <w:spacing w:val="-4"/>
            <w:position w:val="5"/>
            <w:sz w:val="14"/>
            <w:u w:val="single" w:color="005DA1"/>
          </w:rPr>
          <w:t>709</w:t>
        </w:r>
      </w:hyperlink>
      <w:r>
        <w:rPr>
          <w:spacing w:val="-4"/>
          <w:position w:val="5"/>
          <w:sz w:val="14"/>
        </w:rPr>
        <w:t>.</w:t>
      </w:r>
      <w:r>
        <w:rPr>
          <w:position w:val="5"/>
          <w:sz w:val="14"/>
        </w:rPr>
        <w:tab/>
      </w:r>
      <w:r>
        <w:rPr/>
        <w:t>See above, para.1-034 and below, para.14-</w:t>
      </w:r>
      <w:r>
        <w:rPr>
          <w:spacing w:val="-4"/>
        </w:rPr>
        <w:t>003.</w:t>
      </w:r>
    </w:p>
    <w:p>
      <w:pPr>
        <w:pStyle w:val="BodyText"/>
        <w:spacing w:before="9"/>
      </w:pPr>
    </w:p>
    <w:p>
      <w:pPr>
        <w:spacing w:line="235" w:lineRule="auto" w:before="0"/>
        <w:ind w:left="705" w:right="167" w:hanging="541"/>
        <w:jc w:val="both"/>
        <w:rPr>
          <w:sz w:val="20"/>
        </w:rPr>
      </w:pPr>
      <w:bookmarkStart w:name="_bookmark1365" w:id="1367"/>
      <w:bookmarkEnd w:id="1367"/>
      <w:r>
        <w:rPr/>
      </w:r>
      <w:hyperlink w:history="true" w:anchor="_bookmark1313">
        <w:r>
          <w:rPr>
            <w:color w:val="005DA1"/>
            <w:position w:val="5"/>
            <w:sz w:val="14"/>
            <w:u w:val="single" w:color="005DA1"/>
          </w:rPr>
          <w:t>710</w:t>
        </w:r>
      </w:hyperlink>
      <w:r>
        <w:rPr>
          <w:position w:val="5"/>
          <w:sz w:val="14"/>
        </w:rPr>
        <w:t>.</w:t>
      </w:r>
      <w:r>
        <w:rPr>
          <w:spacing w:val="80"/>
          <w:position w:val="5"/>
          <w:sz w:val="14"/>
        </w:rPr>
        <w:t>  </w:t>
      </w:r>
      <w:r>
        <w:rPr>
          <w:rFonts w:ascii="Arial" w:hAnsi="Arial"/>
          <w:i/>
          <w:sz w:val="20"/>
        </w:rPr>
        <w:t>Lee v Leeds City Council [2002] EWCA Civ 6, [2002] 1 W.L.R. 1488 </w:t>
      </w:r>
      <w:r>
        <w:rPr>
          <w:sz w:val="20"/>
        </w:rPr>
        <w:t>at [62], per Chadwick </w:t>
      </w:r>
      <w:r>
        <w:rPr>
          <w:sz w:val="20"/>
        </w:rPr>
        <w:t>L.J. The context of this decision was a claim that the existing interpretation of a “public authority” landlord’s</w:t>
      </w:r>
      <w:r>
        <w:rPr>
          <w:spacing w:val="-3"/>
          <w:sz w:val="20"/>
        </w:rPr>
        <w:t> </w:t>
      </w:r>
      <w:r>
        <w:rPr>
          <w:sz w:val="20"/>
        </w:rPr>
        <w:t>obligations</w:t>
      </w:r>
      <w:r>
        <w:rPr>
          <w:spacing w:val="-3"/>
          <w:sz w:val="20"/>
        </w:rPr>
        <w:t> </w:t>
      </w:r>
      <w:r>
        <w:rPr>
          <w:sz w:val="20"/>
        </w:rPr>
        <w:t>to</w:t>
      </w:r>
      <w:r>
        <w:rPr>
          <w:spacing w:val="-3"/>
          <w:sz w:val="20"/>
        </w:rPr>
        <w:t> </w:t>
      </w:r>
      <w:r>
        <w:rPr>
          <w:sz w:val="20"/>
        </w:rPr>
        <w:t>his</w:t>
      </w:r>
      <w:r>
        <w:rPr>
          <w:spacing w:val="-3"/>
          <w:sz w:val="20"/>
        </w:rPr>
        <w:t> </w:t>
      </w:r>
      <w:r>
        <w:rPr>
          <w:sz w:val="20"/>
        </w:rPr>
        <w:t>residential</w:t>
      </w:r>
      <w:r>
        <w:rPr>
          <w:spacing w:val="-3"/>
          <w:sz w:val="20"/>
        </w:rPr>
        <w:t> </w:t>
      </w:r>
      <w:r>
        <w:rPr>
          <w:sz w:val="20"/>
        </w:rPr>
        <w:t>tenants</w:t>
      </w:r>
      <w:r>
        <w:rPr>
          <w:spacing w:val="-3"/>
          <w:sz w:val="20"/>
        </w:rPr>
        <w:t> </w:t>
      </w:r>
      <w:r>
        <w:rPr>
          <w:sz w:val="20"/>
        </w:rPr>
        <w:t>was</w:t>
      </w:r>
      <w:r>
        <w:rPr>
          <w:spacing w:val="-3"/>
          <w:sz w:val="20"/>
        </w:rPr>
        <w:t> </w:t>
      </w:r>
      <w:r>
        <w:rPr>
          <w:sz w:val="20"/>
        </w:rPr>
        <w:t>incompatible</w:t>
      </w:r>
      <w:r>
        <w:rPr>
          <w:spacing w:val="-3"/>
          <w:sz w:val="20"/>
        </w:rPr>
        <w:t> </w:t>
      </w:r>
      <w:r>
        <w:rPr>
          <w:sz w:val="20"/>
        </w:rPr>
        <w:t>with</w:t>
      </w:r>
      <w:r>
        <w:rPr>
          <w:spacing w:val="-3"/>
          <w:sz w:val="20"/>
        </w:rPr>
        <w:t> </w:t>
      </w:r>
      <w:r>
        <w:rPr>
          <w:sz w:val="20"/>
        </w:rPr>
        <w:t>their</w:t>
      </w:r>
      <w:r>
        <w:rPr>
          <w:spacing w:val="-3"/>
          <w:sz w:val="20"/>
        </w:rPr>
        <w:t> </w:t>
      </w:r>
      <w:r>
        <w:rPr>
          <w:sz w:val="20"/>
        </w:rPr>
        <w:t>Convention</w:t>
      </w:r>
      <w:r>
        <w:rPr>
          <w:spacing w:val="-3"/>
          <w:sz w:val="20"/>
        </w:rPr>
        <w:t> </w:t>
      </w:r>
      <w:r>
        <w:rPr>
          <w:sz w:val="20"/>
        </w:rPr>
        <w:t>rights,</w:t>
      </w:r>
      <w:r>
        <w:rPr>
          <w:spacing w:val="-3"/>
          <w:sz w:val="20"/>
        </w:rPr>
        <w:t> </w:t>
      </w:r>
      <w:r>
        <w:rPr>
          <w:sz w:val="20"/>
        </w:rPr>
        <w:t>on which see above, para.1-078.</w:t>
      </w:r>
    </w:p>
    <w:p>
      <w:pPr>
        <w:pStyle w:val="BodyText"/>
        <w:spacing w:before="8"/>
      </w:pPr>
    </w:p>
    <w:p>
      <w:pPr>
        <w:pStyle w:val="BodyText"/>
        <w:spacing w:line="235" w:lineRule="auto"/>
        <w:ind w:left="705" w:right="167" w:hanging="541"/>
        <w:jc w:val="both"/>
      </w:pPr>
      <w:bookmarkStart w:name="_bookmark1366" w:id="1368"/>
      <w:bookmarkEnd w:id="1368"/>
      <w:r>
        <w:rPr/>
      </w:r>
      <w:hyperlink w:history="true" w:anchor="_bookmark1314">
        <w:r>
          <w:rPr>
            <w:color w:val="005DA1"/>
            <w:position w:val="5"/>
            <w:sz w:val="14"/>
            <w:u w:val="single" w:color="005DA1"/>
          </w:rPr>
          <w:t>711</w:t>
        </w:r>
      </w:hyperlink>
      <w:r>
        <w:rPr>
          <w:position w:val="5"/>
          <w:sz w:val="14"/>
        </w:rPr>
        <w:t>.</w:t>
      </w:r>
      <w:r>
        <w:rPr>
          <w:spacing w:val="80"/>
          <w:position w:val="5"/>
          <w:sz w:val="14"/>
        </w:rPr>
        <w:t>  </w:t>
      </w:r>
      <w:r>
        <w:rPr/>
        <w:t>Where an open-textured rule which governs a contract is legislative, then courts are under a duty to interpret the legislation itself “so far as it is possible to do so” in a way which is compatible with Convention rights: Human Rights Act 1998 s.3(1) and see above, para.1-066.</w:t>
      </w:r>
    </w:p>
    <w:p>
      <w:pPr>
        <w:pStyle w:val="BodyText"/>
        <w:spacing w:before="5"/>
      </w:pPr>
    </w:p>
    <w:p>
      <w:pPr>
        <w:pStyle w:val="BodyText"/>
        <w:tabs>
          <w:tab w:pos="705" w:val="left" w:leader="none"/>
        </w:tabs>
        <w:ind w:left="165"/>
      </w:pPr>
      <w:bookmarkStart w:name="_bookmark1367" w:id="1369"/>
      <w:bookmarkEnd w:id="1369"/>
      <w:r>
        <w:rPr/>
      </w:r>
      <w:hyperlink w:history="true" w:anchor="_bookmark1315">
        <w:r>
          <w:rPr>
            <w:color w:val="005DA1"/>
            <w:spacing w:val="-4"/>
            <w:position w:val="5"/>
            <w:sz w:val="14"/>
            <w:u w:val="single" w:color="005DA1"/>
          </w:rPr>
          <w:t>712</w:t>
        </w:r>
      </w:hyperlink>
      <w:r>
        <w:rPr>
          <w:spacing w:val="-4"/>
          <w:position w:val="5"/>
          <w:sz w:val="14"/>
        </w:rPr>
        <w:t>.</w:t>
      </w:r>
      <w:r>
        <w:rPr>
          <w:position w:val="5"/>
          <w:sz w:val="14"/>
        </w:rPr>
        <w:tab/>
      </w:r>
      <w:r>
        <w:rPr/>
        <w:t>On which see above, paras 1-073—1-</w:t>
      </w:r>
      <w:r>
        <w:rPr>
          <w:spacing w:val="-4"/>
        </w:rPr>
        <w:t>075.</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368" w:id="1370"/>
      <w:bookmarkEnd w:id="1370"/>
      <w:r>
        <w:rPr/>
      </w:r>
      <w:hyperlink w:history="true" w:anchor="_bookmark1316">
        <w:r>
          <w:rPr>
            <w:color w:val="005DA1"/>
            <w:spacing w:val="-4"/>
            <w:position w:val="5"/>
            <w:sz w:val="14"/>
            <w:u w:val="single" w:color="005DA1"/>
          </w:rPr>
          <w:t>713</w:t>
        </w:r>
      </w:hyperlink>
      <w:r>
        <w:rPr>
          <w:spacing w:val="-4"/>
          <w:position w:val="5"/>
          <w:sz w:val="14"/>
        </w:rPr>
        <w:t>.</w:t>
      </w:r>
      <w:r>
        <w:rPr>
          <w:position w:val="5"/>
          <w:sz w:val="14"/>
        </w:rPr>
        <w:tab/>
      </w:r>
      <w:r>
        <w:rPr>
          <w:sz w:val="20"/>
        </w:rPr>
        <w:t>See</w:t>
      </w:r>
      <w:r>
        <w:rPr>
          <w:spacing w:val="12"/>
          <w:sz w:val="20"/>
        </w:rPr>
        <w:t> </w:t>
      </w:r>
      <w:r>
        <w:rPr>
          <w:sz w:val="20"/>
        </w:rPr>
        <w:t>Vol.II,</w:t>
      </w:r>
      <w:r>
        <w:rPr>
          <w:spacing w:val="12"/>
          <w:sz w:val="20"/>
        </w:rPr>
        <w:t> </w:t>
      </w:r>
      <w:r>
        <w:rPr>
          <w:sz w:val="20"/>
        </w:rPr>
        <w:t>paras</w:t>
      </w:r>
      <w:r>
        <w:rPr>
          <w:spacing w:val="12"/>
          <w:sz w:val="20"/>
        </w:rPr>
        <w:t> </w:t>
      </w:r>
      <w:r>
        <w:rPr>
          <w:sz w:val="20"/>
        </w:rPr>
        <w:t>40-062—40-066;</w:t>
      </w:r>
      <w:r>
        <w:rPr>
          <w:spacing w:val="12"/>
          <w:sz w:val="20"/>
        </w:rPr>
        <w:t> </w:t>
      </w:r>
      <w:r>
        <w:rPr>
          <w:sz w:val="20"/>
        </w:rPr>
        <w:t>40-150—40-153</w:t>
      </w:r>
      <w:r>
        <w:rPr>
          <w:spacing w:val="12"/>
          <w:sz w:val="20"/>
        </w:rPr>
        <w:t> </w:t>
      </w:r>
      <w:r>
        <w:rPr>
          <w:sz w:val="20"/>
        </w:rPr>
        <w:t>and</w:t>
      </w:r>
      <w:r>
        <w:rPr>
          <w:spacing w:val="11"/>
          <w:sz w:val="20"/>
        </w:rPr>
        <w:t> </w:t>
      </w:r>
      <w:r>
        <w:rPr>
          <w:rFonts w:ascii="Arial" w:hAnsi="Arial"/>
          <w:i/>
          <w:sz w:val="20"/>
        </w:rPr>
        <w:t>Johnson</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Unisys</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[2001]</w:t>
      </w:r>
      <w:r>
        <w:rPr>
          <w:rFonts w:ascii="Arial" w:hAnsi="Arial"/>
          <w:i/>
          <w:spacing w:val="12"/>
          <w:sz w:val="20"/>
        </w:rPr>
        <w:t> </w:t>
      </w:r>
      <w:r>
        <w:rPr>
          <w:rFonts w:ascii="Arial" w:hAnsi="Arial"/>
          <w:i/>
          <w:sz w:val="20"/>
        </w:rPr>
        <w:t>2</w:t>
      </w:r>
      <w:r>
        <w:rPr>
          <w:rFonts w:ascii="Arial" w:hAnsi="Arial"/>
          <w:i/>
          <w:spacing w:val="12"/>
          <w:sz w:val="20"/>
        </w:rPr>
        <w:t> </w:t>
      </w:r>
      <w:r>
        <w:rPr>
          <w:rFonts w:ascii="Arial" w:hAnsi="Arial"/>
          <w:i/>
          <w:spacing w:val="-2"/>
          <w:sz w:val="20"/>
        </w:rPr>
        <w:t>W.L.R.</w:t>
      </w:r>
    </w:p>
    <w:p>
      <w:pPr>
        <w:spacing w:line="227" w:lineRule="exact" w:before="0"/>
        <w:ind w:left="705" w:right="0" w:firstLine="0"/>
        <w:jc w:val="left"/>
        <w:rPr>
          <w:sz w:val="20"/>
        </w:rPr>
      </w:pPr>
      <w:r>
        <w:rPr>
          <w:rFonts w:ascii="Arial"/>
          <w:i/>
          <w:spacing w:val="-2"/>
          <w:sz w:val="20"/>
        </w:rPr>
        <w:t>1076</w:t>
      </w:r>
      <w:r>
        <w:rPr>
          <w:spacing w:val="-2"/>
          <w:sz w:val="20"/>
        </w:rPr>
        <w:t>.</w:t>
      </w:r>
    </w:p>
    <w:p>
      <w:pPr>
        <w:pStyle w:val="BodyText"/>
        <w:spacing w:before="9"/>
      </w:pPr>
    </w:p>
    <w:p>
      <w:pPr>
        <w:pStyle w:val="BodyText"/>
        <w:spacing w:line="235" w:lineRule="auto"/>
        <w:ind w:left="705" w:right="167" w:hanging="541"/>
        <w:jc w:val="both"/>
      </w:pPr>
      <w:bookmarkStart w:name="_bookmark1369" w:id="1371"/>
      <w:bookmarkEnd w:id="1371"/>
      <w:r>
        <w:rPr/>
      </w:r>
      <w:hyperlink w:history="true" w:anchor="_bookmark1317">
        <w:r>
          <w:rPr>
            <w:color w:val="005DA1"/>
            <w:position w:val="5"/>
            <w:sz w:val="14"/>
            <w:u w:val="single" w:color="005DA1"/>
          </w:rPr>
          <w:t>714</w:t>
        </w:r>
      </w:hyperlink>
      <w:r>
        <w:rPr>
          <w:position w:val="5"/>
          <w:sz w:val="14"/>
        </w:rPr>
        <w:t>.</w:t>
      </w:r>
      <w:r>
        <w:rPr>
          <w:spacing w:val="80"/>
          <w:w w:val="150"/>
          <w:position w:val="5"/>
          <w:sz w:val="14"/>
        </w:rPr>
        <w:t> </w:t>
      </w:r>
      <w:r>
        <w:rPr/>
        <w:t>Hepple, </w:t>
      </w:r>
      <w:r>
        <w:rPr>
          <w:rFonts w:ascii="Arial" w:hAnsi="Arial"/>
          <w:i/>
        </w:rPr>
        <w:t>Amicus Curiae </w:t>
      </w:r>
      <w:r>
        <w:rPr/>
        <w:t>(June 8, 1998), pp.19–23; Palmer [2000] C.L.J. 168, 181. cf. </w:t>
      </w:r>
      <w:r>
        <w:rPr/>
        <w:t>the</w:t>
      </w:r>
      <w:r>
        <w:rPr>
          <w:spacing w:val="40"/>
        </w:rPr>
        <w:t> </w:t>
      </w:r>
      <w:r>
        <w:rPr/>
        <w:t>moulding of the existing law of breach of confidence rather than the direct creation of a law of privacy so as to give effect to Convention rights of privacy noted, below, paras 1-092—1-094.</w:t>
      </w:r>
    </w:p>
    <w:p>
      <w:pPr>
        <w:pStyle w:val="BodyText"/>
        <w:spacing w:after="0" w:line="235" w:lineRule="auto"/>
        <w:jc w:val="both"/>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318">
        <w:r>
          <w:rPr>
            <w:color w:val="005DA1"/>
            <w:spacing w:val="-4"/>
            <w:position w:val="5"/>
            <w:sz w:val="14"/>
            <w:u w:val="single" w:color="005DA1"/>
          </w:rPr>
          <w:t>715</w:t>
        </w:r>
      </w:hyperlink>
      <w:r>
        <w:rPr>
          <w:spacing w:val="-4"/>
          <w:position w:val="5"/>
          <w:sz w:val="14"/>
        </w:rPr>
        <w:t>.</w:t>
      </w:r>
      <w:r>
        <w:rPr>
          <w:position w:val="5"/>
          <w:sz w:val="14"/>
        </w:rPr>
        <w:tab/>
      </w:r>
      <w:r>
        <w:rPr>
          <w:rFonts w:ascii="Arial"/>
          <w:i/>
          <w:sz w:val="20"/>
        </w:rPr>
        <w:t>[2012] EWCA Civ 635, [2012] H.L.R. </w:t>
      </w:r>
      <w:r>
        <w:rPr>
          <w:rFonts w:ascii="Arial"/>
          <w:i/>
          <w:spacing w:val="-5"/>
          <w:sz w:val="20"/>
        </w:rPr>
        <w:t>35</w:t>
      </w:r>
      <w:r>
        <w:rPr>
          <w:spacing w:val="-5"/>
          <w:sz w:val="20"/>
        </w:rPr>
        <w:t>.</w:t>
      </w:r>
    </w:p>
    <w:p>
      <w:pPr>
        <w:pStyle w:val="BodyText"/>
        <w:spacing w:before="5"/>
      </w:pPr>
    </w:p>
    <w:p>
      <w:pPr>
        <w:tabs>
          <w:tab w:pos="705" w:val="left" w:leader="none"/>
        </w:tabs>
        <w:spacing w:before="1"/>
        <w:ind w:left="165" w:right="0" w:firstLine="0"/>
        <w:jc w:val="left"/>
        <w:rPr>
          <w:sz w:val="20"/>
        </w:rPr>
      </w:pPr>
      <w:bookmarkStart w:name="_bookmark1370" w:id="1372"/>
      <w:bookmarkEnd w:id="1372"/>
      <w:r>
        <w:rPr/>
      </w:r>
      <w:hyperlink w:history="true" w:anchor="_bookmark1319">
        <w:r>
          <w:rPr>
            <w:color w:val="005DA1"/>
            <w:spacing w:val="-4"/>
            <w:position w:val="5"/>
            <w:sz w:val="14"/>
            <w:u w:val="single" w:color="005DA1"/>
          </w:rPr>
          <w:t>716</w:t>
        </w:r>
      </w:hyperlink>
      <w:r>
        <w:rPr>
          <w:spacing w:val="-4"/>
          <w:position w:val="5"/>
          <w:sz w:val="14"/>
        </w:rPr>
        <w:t>.</w:t>
      </w:r>
      <w:r>
        <w:rPr>
          <w:position w:val="5"/>
          <w:sz w:val="14"/>
        </w:rPr>
        <w:tab/>
      </w:r>
      <w:r>
        <w:rPr>
          <w:rFonts w:ascii="Arial"/>
          <w:i/>
          <w:sz w:val="20"/>
        </w:rPr>
        <w:t>[2010]</w:t>
      </w:r>
      <w:r>
        <w:rPr>
          <w:rFonts w:ascii="Arial"/>
          <w:i/>
          <w:spacing w:val="-1"/>
          <w:sz w:val="20"/>
        </w:rPr>
        <w:t> </w:t>
      </w:r>
      <w:r>
        <w:rPr>
          <w:rFonts w:ascii="Arial"/>
          <w:i/>
          <w:sz w:val="20"/>
        </w:rPr>
        <w:t>UKSC 45, [2010] 3 W.L.R. 1441</w:t>
      </w:r>
      <w:r>
        <w:rPr>
          <w:sz w:val="20"/>
        </w:rPr>
        <w:t>, on which see above, para.1-</w:t>
      </w:r>
      <w:r>
        <w:rPr>
          <w:spacing w:val="-4"/>
          <w:sz w:val="20"/>
        </w:rPr>
        <w:t>078.</w:t>
      </w:r>
    </w:p>
    <w:p>
      <w:pPr>
        <w:pStyle w:val="BodyText"/>
        <w:spacing w:before="8"/>
      </w:pPr>
    </w:p>
    <w:p>
      <w:pPr>
        <w:spacing w:line="235" w:lineRule="auto" w:before="0"/>
        <w:ind w:left="705" w:right="167" w:hanging="541"/>
        <w:jc w:val="both"/>
        <w:rPr>
          <w:sz w:val="20"/>
        </w:rPr>
      </w:pPr>
      <w:bookmarkStart w:name="_bookmark1371" w:id="1373"/>
      <w:bookmarkEnd w:id="1373"/>
      <w:r>
        <w:rPr/>
      </w:r>
      <w:hyperlink w:history="true" w:anchor="_bookmark1320">
        <w:r>
          <w:rPr>
            <w:color w:val="005DA1"/>
            <w:position w:val="5"/>
            <w:sz w:val="14"/>
            <w:u w:val="single" w:color="005DA1"/>
          </w:rPr>
          <w:t>717</w:t>
        </w:r>
      </w:hyperlink>
      <w:r>
        <w:rPr>
          <w:position w:val="5"/>
          <w:sz w:val="14"/>
        </w:rPr>
        <w:t>.</w:t>
      </w:r>
      <w:r>
        <w:rPr>
          <w:spacing w:val="80"/>
          <w:position w:val="5"/>
          <w:sz w:val="14"/>
        </w:rPr>
        <w:t> </w:t>
      </w:r>
      <w:r>
        <w:rPr>
          <w:rFonts w:ascii="Arial" w:hAnsi="Arial"/>
          <w:i/>
          <w:sz w:val="20"/>
        </w:rPr>
        <w:t>[2012] EWCA Civ 635 </w:t>
      </w:r>
      <w:r>
        <w:rPr>
          <w:sz w:val="20"/>
        </w:rPr>
        <w:t>at [42], [56], [58]–[59]. cf. below, para.1-091. The decision of the CA upholding the landlord’s termination was reversed on other grounds by the Supreme Court: </w:t>
      </w:r>
      <w:r>
        <w:rPr>
          <w:rFonts w:ascii="Arial" w:hAnsi="Arial"/>
          <w:i/>
          <w:sz w:val="20"/>
        </w:rPr>
        <w:t>[2014] UKSC 57, [2014] 1 W.L.R. 4004</w:t>
      </w:r>
      <w:r>
        <w:rPr>
          <w:sz w:val="20"/>
        </w:rPr>
        <w:t>.</w:t>
      </w:r>
    </w:p>
    <w:p>
      <w:pPr>
        <w:pStyle w:val="BodyText"/>
        <w:spacing w:before="5"/>
      </w:pPr>
    </w:p>
    <w:p>
      <w:pPr>
        <w:pStyle w:val="BodyText"/>
        <w:tabs>
          <w:tab w:pos="705" w:val="left" w:leader="none"/>
        </w:tabs>
        <w:ind w:left="165"/>
      </w:pPr>
      <w:bookmarkStart w:name="_bookmark1372" w:id="1374"/>
      <w:bookmarkEnd w:id="1374"/>
      <w:r>
        <w:rPr/>
      </w:r>
      <w:hyperlink w:history="true" w:anchor="_bookmark1321">
        <w:r>
          <w:rPr>
            <w:color w:val="005DA1"/>
            <w:spacing w:val="-4"/>
            <w:position w:val="5"/>
            <w:sz w:val="14"/>
            <w:u w:val="single" w:color="005DA1"/>
          </w:rPr>
          <w:t>718</w:t>
        </w:r>
      </w:hyperlink>
      <w:r>
        <w:rPr>
          <w:spacing w:val="-4"/>
          <w:position w:val="5"/>
          <w:sz w:val="14"/>
        </w:rPr>
        <w:t>.</w:t>
      </w:r>
      <w:r>
        <w:rPr>
          <w:position w:val="5"/>
          <w:sz w:val="14"/>
        </w:rPr>
        <w:tab/>
      </w:r>
      <w:r>
        <w:rPr/>
        <w:t>On which see Vol.II, paras 38-201 et </w:t>
      </w:r>
      <w:r>
        <w:rPr>
          <w:spacing w:val="-4"/>
        </w:rPr>
        <w:t>seq.</w:t>
      </w:r>
    </w:p>
    <w:p>
      <w:pPr>
        <w:pStyle w:val="BodyText"/>
        <w:spacing w:before="5"/>
      </w:pPr>
    </w:p>
    <w:p>
      <w:pPr>
        <w:pStyle w:val="BodyText"/>
        <w:tabs>
          <w:tab w:pos="705" w:val="left" w:leader="none"/>
        </w:tabs>
        <w:ind w:left="165"/>
      </w:pPr>
      <w:bookmarkStart w:name="_bookmark1373" w:id="1375"/>
      <w:bookmarkEnd w:id="1375"/>
      <w:r>
        <w:rPr/>
      </w:r>
      <w:hyperlink w:history="true" w:anchor="_bookmark1322">
        <w:r>
          <w:rPr>
            <w:color w:val="005DA1"/>
            <w:spacing w:val="-4"/>
            <w:position w:val="5"/>
            <w:sz w:val="14"/>
            <w:u w:val="single" w:color="005DA1"/>
          </w:rPr>
          <w:t>719</w:t>
        </w:r>
      </w:hyperlink>
      <w:r>
        <w:rPr>
          <w:spacing w:val="-4"/>
          <w:position w:val="5"/>
          <w:sz w:val="14"/>
        </w:rPr>
        <w:t>.</w:t>
      </w:r>
      <w:r>
        <w:rPr>
          <w:position w:val="5"/>
          <w:sz w:val="14"/>
        </w:rPr>
        <w:tab/>
      </w:r>
      <w:r>
        <w:rPr/>
        <w:t>Unfair Terms in Consumer Contracts Regulations 1999 (SI 1999/2083) </w:t>
      </w:r>
      <w:r>
        <w:rPr>
          <w:spacing w:val="-2"/>
        </w:rPr>
        <w:t>reg.5(1).</w:t>
      </w:r>
    </w:p>
    <w:p>
      <w:pPr>
        <w:pStyle w:val="BodyText"/>
        <w:spacing w:before="9"/>
      </w:pPr>
    </w:p>
    <w:p>
      <w:pPr>
        <w:pStyle w:val="BodyText"/>
        <w:spacing w:line="235" w:lineRule="auto"/>
        <w:ind w:left="705" w:right="167" w:hanging="541"/>
        <w:jc w:val="both"/>
      </w:pPr>
      <w:bookmarkStart w:name="_bookmark1374" w:id="1376"/>
      <w:bookmarkEnd w:id="1376"/>
      <w:r>
        <w:rPr/>
      </w:r>
      <w:hyperlink w:history="true" w:anchor="_bookmark1323">
        <w:r>
          <w:rPr>
            <w:color w:val="005DA1"/>
            <w:position w:val="5"/>
            <w:sz w:val="14"/>
            <w:u w:val="single" w:color="005DA1"/>
          </w:rPr>
          <w:t>720</w:t>
        </w:r>
      </w:hyperlink>
      <w:r>
        <w:rPr>
          <w:position w:val="5"/>
          <w:sz w:val="14"/>
        </w:rPr>
        <w:t>.</w:t>
      </w:r>
      <w:r>
        <w:rPr>
          <w:spacing w:val="80"/>
          <w:position w:val="5"/>
          <w:sz w:val="14"/>
        </w:rPr>
        <w:t>  </w:t>
      </w:r>
      <w:r>
        <w:rPr/>
        <w:t>A similar argument could be run as regards the application of the “reasonableness test” under the</w:t>
      </w:r>
      <w:r>
        <w:rPr>
          <w:spacing w:val="-2"/>
        </w:rPr>
        <w:t> </w:t>
      </w:r>
      <w:r>
        <w:rPr/>
        <w:t>Unfair</w:t>
      </w:r>
      <w:r>
        <w:rPr>
          <w:spacing w:val="-2"/>
        </w:rPr>
        <w:t> </w:t>
      </w:r>
      <w:r>
        <w:rPr/>
        <w:t>Contract</w:t>
      </w:r>
      <w:r>
        <w:rPr>
          <w:spacing w:val="-2"/>
        </w:rPr>
        <w:t> </w:t>
      </w:r>
      <w:r>
        <w:rPr/>
        <w:t>Terms</w:t>
      </w:r>
      <w:r>
        <w:rPr>
          <w:spacing w:val="-2"/>
        </w:rPr>
        <w:t> </w:t>
      </w:r>
      <w:r>
        <w:rPr/>
        <w:t>Act</w:t>
      </w:r>
      <w:r>
        <w:rPr>
          <w:spacing w:val="-2"/>
        </w:rPr>
        <w:t> </w:t>
      </w:r>
      <w:r>
        <w:rPr/>
        <w:t>1977</w:t>
      </w:r>
      <w:r>
        <w:rPr>
          <w:spacing w:val="-2"/>
        </w:rPr>
        <w:t> </w:t>
      </w:r>
      <w:r>
        <w:rPr/>
        <w:t>s.11(1),</w:t>
      </w:r>
      <w:r>
        <w:rPr>
          <w:spacing w:val="-2"/>
        </w:rPr>
        <w:t> </w:t>
      </w:r>
      <w:r>
        <w:rPr/>
        <w:t>though</w:t>
      </w:r>
      <w:r>
        <w:rPr>
          <w:spacing w:val="-2"/>
        </w:rPr>
        <w:t> </w:t>
      </w:r>
      <w:r>
        <w:rPr/>
        <w:t>this</w:t>
      </w:r>
      <w:r>
        <w:rPr>
          <w:spacing w:val="-2"/>
        </w:rPr>
        <w:t> </w:t>
      </w:r>
      <w:r>
        <w:rPr/>
        <w:t>test</w:t>
      </w:r>
      <w:r>
        <w:rPr>
          <w:spacing w:val="-2"/>
        </w:rPr>
        <w:t> </w:t>
      </w:r>
      <w:r>
        <w:rPr/>
        <w:t>does</w:t>
      </w:r>
      <w:r>
        <w:rPr>
          <w:spacing w:val="-2"/>
        </w:rPr>
        <w:t> </w:t>
      </w:r>
      <w:r>
        <w:rPr/>
        <w:t>not</w:t>
      </w:r>
      <w:r>
        <w:rPr>
          <w:spacing w:val="-2"/>
        </w:rPr>
        <w:t> </w:t>
      </w:r>
      <w:r>
        <w:rPr/>
        <w:t>explicitly</w:t>
      </w:r>
      <w:r>
        <w:rPr>
          <w:spacing w:val="-2"/>
        </w:rPr>
        <w:t> </w:t>
      </w:r>
      <w:r>
        <w:rPr/>
        <w:t>draw</w:t>
      </w:r>
      <w:r>
        <w:rPr>
          <w:spacing w:val="-2"/>
        </w:rPr>
        <w:t> </w:t>
      </w:r>
      <w:r>
        <w:rPr/>
        <w:t>attention</w:t>
      </w:r>
      <w:r>
        <w:rPr>
          <w:spacing w:val="-2"/>
        </w:rPr>
        <w:t> </w:t>
      </w:r>
      <w:r>
        <w:rPr/>
        <w:t>to the relevance of issues of public interest for its assessment.</w:t>
      </w:r>
    </w:p>
    <w:p>
      <w:pPr>
        <w:pStyle w:val="BodyText"/>
        <w:spacing w:before="9"/>
      </w:pPr>
    </w:p>
    <w:p>
      <w:pPr>
        <w:pStyle w:val="BodyText"/>
        <w:tabs>
          <w:tab w:pos="705" w:val="left" w:leader="none"/>
        </w:tabs>
        <w:spacing w:line="235" w:lineRule="auto"/>
        <w:ind w:left="705" w:right="168" w:hanging="541"/>
      </w:pPr>
      <w:bookmarkStart w:name="_bookmark1375" w:id="1377"/>
      <w:bookmarkEnd w:id="1377"/>
      <w:r>
        <w:rPr/>
      </w:r>
      <w:hyperlink w:history="true" w:anchor="_bookmark1324">
        <w:r>
          <w:rPr>
            <w:color w:val="005DA1"/>
            <w:spacing w:val="-4"/>
            <w:position w:val="5"/>
            <w:sz w:val="14"/>
            <w:u w:val="single" w:color="005DA1"/>
          </w:rPr>
          <w:t>721</w:t>
        </w:r>
      </w:hyperlink>
      <w:r>
        <w:rPr>
          <w:spacing w:val="-4"/>
          <w:position w:val="5"/>
          <w:sz w:val="14"/>
        </w:rPr>
        <w:t>.</w:t>
      </w:r>
      <w:r>
        <w:rPr>
          <w:position w:val="5"/>
          <w:sz w:val="14"/>
        </w:rPr>
        <w:tab/>
      </w:r>
      <w:r>
        <w:rPr/>
        <w:t>Directive</w:t>
      </w:r>
      <w:r>
        <w:rPr>
          <w:spacing w:val="38"/>
        </w:rPr>
        <w:t> </w:t>
      </w:r>
      <w:r>
        <w:rPr/>
        <w:t>93/13</w:t>
      </w:r>
      <w:r>
        <w:rPr>
          <w:spacing w:val="38"/>
        </w:rPr>
        <w:t> </w:t>
      </w:r>
      <w:r>
        <w:rPr/>
        <w:t>on</w:t>
      </w:r>
      <w:r>
        <w:rPr>
          <w:spacing w:val="38"/>
        </w:rPr>
        <w:t> </w:t>
      </w:r>
      <w:r>
        <w:rPr/>
        <w:t>unfair</w:t>
      </w:r>
      <w:r>
        <w:rPr>
          <w:spacing w:val="38"/>
        </w:rPr>
        <w:t> </w:t>
      </w:r>
      <w:r>
        <w:rPr/>
        <w:t>terms</w:t>
      </w:r>
      <w:r>
        <w:rPr>
          <w:spacing w:val="38"/>
        </w:rPr>
        <w:t> </w:t>
      </w:r>
      <w:r>
        <w:rPr/>
        <w:t>in</w:t>
      </w:r>
      <w:r>
        <w:rPr>
          <w:spacing w:val="38"/>
        </w:rPr>
        <w:t> </w:t>
      </w:r>
      <w:r>
        <w:rPr/>
        <w:t>consumer</w:t>
      </w:r>
      <w:r>
        <w:rPr>
          <w:spacing w:val="38"/>
        </w:rPr>
        <w:t> </w:t>
      </w:r>
      <w:r>
        <w:rPr/>
        <w:t>contracts,</w:t>
      </w:r>
      <w:r>
        <w:rPr>
          <w:spacing w:val="38"/>
        </w:rPr>
        <w:t> </w:t>
      </w:r>
      <w:r>
        <w:rPr/>
        <w:t>preamble,</w:t>
      </w:r>
      <w:r>
        <w:rPr>
          <w:spacing w:val="38"/>
        </w:rPr>
        <w:t> </w:t>
      </w:r>
      <w:r>
        <w:rPr/>
        <w:t>recital</w:t>
      </w:r>
      <w:r>
        <w:rPr>
          <w:spacing w:val="38"/>
        </w:rPr>
        <w:t> </w:t>
      </w:r>
      <w:r>
        <w:rPr/>
        <w:t>16</w:t>
      </w:r>
      <w:r>
        <w:rPr>
          <w:spacing w:val="38"/>
        </w:rPr>
        <w:t> </w:t>
      </w:r>
      <w:r>
        <w:rPr/>
        <w:t>and</w:t>
      </w:r>
      <w:r>
        <w:rPr>
          <w:spacing w:val="38"/>
        </w:rPr>
        <w:t> </w:t>
      </w:r>
      <w:r>
        <w:rPr/>
        <w:t>see</w:t>
      </w:r>
      <w:r>
        <w:rPr>
          <w:spacing w:val="38"/>
        </w:rPr>
        <w:t> </w:t>
      </w:r>
      <w:r>
        <w:rPr/>
        <w:t>Vol.II, paras 38-244—38-245 and 38-359.</w:t>
      </w:r>
    </w:p>
    <w:p>
      <w:pPr>
        <w:pStyle w:val="BodyText"/>
        <w:spacing w:before="5"/>
      </w:pPr>
    </w:p>
    <w:p>
      <w:pPr>
        <w:pStyle w:val="BodyText"/>
        <w:tabs>
          <w:tab w:pos="705" w:val="left" w:leader="none"/>
        </w:tabs>
        <w:spacing w:before="1"/>
        <w:ind w:left="165"/>
      </w:pPr>
      <w:bookmarkStart w:name="_bookmark1376" w:id="1378"/>
      <w:bookmarkEnd w:id="1378"/>
      <w:r>
        <w:rPr/>
      </w:r>
      <w:hyperlink w:history="true" w:anchor="_bookmark1325">
        <w:r>
          <w:rPr>
            <w:color w:val="005DA1"/>
            <w:spacing w:val="-4"/>
            <w:position w:val="5"/>
            <w:sz w:val="14"/>
            <w:u w:val="single" w:color="005DA1"/>
          </w:rPr>
          <w:t>722</w:t>
        </w:r>
      </w:hyperlink>
      <w:r>
        <w:rPr>
          <w:spacing w:val="-4"/>
          <w:position w:val="5"/>
          <w:sz w:val="14"/>
        </w:rPr>
        <w:t>.</w:t>
      </w:r>
      <w:r>
        <w:rPr>
          <w:position w:val="5"/>
          <w:sz w:val="14"/>
        </w:rPr>
        <w:tab/>
      </w:r>
      <w:r>
        <w:rPr/>
        <w:t>Whittaker (2001) 21 O.J.L.S. 193, </w:t>
      </w:r>
      <w:r>
        <w:rPr>
          <w:spacing w:val="-2"/>
        </w:rPr>
        <w:t>210–213.</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2096">
            <wp:simplePos x="0" y="0"/>
            <wp:positionH relativeFrom="page">
              <wp:posOffset>1257846</wp:posOffset>
            </wp:positionH>
            <wp:positionV relativeFrom="paragraph">
              <wp:posOffset>160637</wp:posOffset>
            </wp:positionV>
            <wp:extent cx="107988" cy="107988"/>
            <wp:effectExtent l="0" t="0" r="0" b="0"/>
            <wp:wrapNone/>
            <wp:docPr id="353" name="Image 353"/>
            <wp:cNvGraphicFramePr>
              <a:graphicFrameLocks/>
            </wp:cNvGraphicFramePr>
            <a:graphic>
              <a:graphicData uri="http://schemas.openxmlformats.org/drawingml/2006/picture">
                <pic:pic>
                  <pic:nvPicPr>
                    <pic:cNvPr id="353" name="Image 35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77" w:id="1379"/>
      <w:bookmarkEnd w:id="1379"/>
      <w:r>
        <w:rPr/>
      </w:r>
      <w:hyperlink w:history="true" w:anchor="_bookmark1326">
        <w:r>
          <w:rPr>
            <w:color w:val="005DA1"/>
            <w:spacing w:val="-4"/>
            <w:sz w:val="14"/>
            <w:u w:val="single" w:color="005DA1"/>
          </w:rPr>
          <w:t>723</w:t>
        </w:r>
      </w:hyperlink>
      <w:r>
        <w:rPr>
          <w:spacing w:val="-4"/>
          <w:sz w:val="14"/>
        </w:rPr>
        <w:t>.</w:t>
      </w:r>
    </w:p>
    <w:p>
      <w:pPr>
        <w:spacing w:line="235" w:lineRule="auto" w:before="212"/>
        <w:ind w:left="165" w:right="168" w:firstLine="170"/>
        <w:jc w:val="left"/>
        <w:rPr>
          <w:sz w:val="20"/>
        </w:rPr>
      </w:pPr>
      <w:r>
        <w:rPr/>
        <w:br w:type="column"/>
      </w:r>
      <w:r>
        <w:rPr>
          <w:rFonts w:ascii="Arial"/>
          <w:i/>
          <w:sz w:val="20"/>
        </w:rPr>
        <w:t>Manchester</w:t>
      </w:r>
      <w:r>
        <w:rPr>
          <w:rFonts w:ascii="Arial"/>
          <w:i/>
          <w:spacing w:val="40"/>
          <w:sz w:val="20"/>
        </w:rPr>
        <w:t> </w:t>
      </w:r>
      <w:r>
        <w:rPr>
          <w:rFonts w:ascii="Arial"/>
          <w:i/>
          <w:sz w:val="20"/>
        </w:rPr>
        <w:t>City</w:t>
      </w:r>
      <w:r>
        <w:rPr>
          <w:rFonts w:ascii="Arial"/>
          <w:i/>
          <w:spacing w:val="40"/>
          <w:sz w:val="20"/>
        </w:rPr>
        <w:t> </w:t>
      </w:r>
      <w:r>
        <w:rPr>
          <w:rFonts w:ascii="Arial"/>
          <w:i/>
          <w:sz w:val="20"/>
        </w:rPr>
        <w:t>Council</w:t>
      </w:r>
      <w:r>
        <w:rPr>
          <w:rFonts w:ascii="Arial"/>
          <w:i/>
          <w:spacing w:val="40"/>
          <w:sz w:val="20"/>
        </w:rPr>
        <w:t> </w:t>
      </w:r>
      <w:r>
        <w:rPr>
          <w:rFonts w:ascii="Arial"/>
          <w:i/>
          <w:sz w:val="20"/>
        </w:rPr>
        <w:t>v</w:t>
      </w:r>
      <w:r>
        <w:rPr>
          <w:rFonts w:ascii="Arial"/>
          <w:i/>
          <w:spacing w:val="40"/>
          <w:sz w:val="20"/>
        </w:rPr>
        <w:t> </w:t>
      </w:r>
      <w:r>
        <w:rPr>
          <w:rFonts w:ascii="Arial"/>
          <w:i/>
          <w:sz w:val="20"/>
        </w:rPr>
        <w:t>Pinnock</w:t>
      </w:r>
      <w:r>
        <w:rPr>
          <w:rFonts w:ascii="Arial"/>
          <w:i/>
          <w:spacing w:val="40"/>
          <w:sz w:val="20"/>
        </w:rPr>
        <w:t> </w:t>
      </w:r>
      <w:r>
        <w:rPr>
          <w:rFonts w:ascii="Arial"/>
          <w:i/>
          <w:sz w:val="20"/>
        </w:rPr>
        <w:t>[2010]</w:t>
      </w:r>
      <w:r>
        <w:rPr>
          <w:rFonts w:ascii="Arial"/>
          <w:i/>
          <w:spacing w:val="40"/>
          <w:sz w:val="20"/>
        </w:rPr>
        <w:t> </w:t>
      </w:r>
      <w:r>
        <w:rPr>
          <w:rFonts w:ascii="Arial"/>
          <w:i/>
          <w:sz w:val="20"/>
        </w:rPr>
        <w:t>UKSC</w:t>
      </w:r>
      <w:r>
        <w:rPr>
          <w:rFonts w:ascii="Arial"/>
          <w:i/>
          <w:spacing w:val="40"/>
          <w:sz w:val="20"/>
        </w:rPr>
        <w:t> </w:t>
      </w:r>
      <w:r>
        <w:rPr>
          <w:rFonts w:ascii="Arial"/>
          <w:i/>
          <w:sz w:val="20"/>
        </w:rPr>
        <w:t>45</w:t>
      </w:r>
      <w:r>
        <w:rPr>
          <w:rFonts w:ascii="Arial"/>
          <w:i/>
          <w:spacing w:val="40"/>
          <w:sz w:val="20"/>
        </w:rPr>
        <w:t> </w:t>
      </w:r>
      <w:r>
        <w:rPr>
          <w:sz w:val="20"/>
        </w:rPr>
        <w:t>at</w:t>
      </w:r>
      <w:r>
        <w:rPr>
          <w:spacing w:val="40"/>
          <w:sz w:val="20"/>
        </w:rPr>
        <w:t> </w:t>
      </w:r>
      <w:r>
        <w:rPr>
          <w:sz w:val="20"/>
        </w:rPr>
        <w:t>[50].</w:t>
      </w:r>
      <w:r>
        <w:rPr>
          <w:spacing w:val="40"/>
          <w:sz w:val="20"/>
        </w:rPr>
        <w:t> </w:t>
      </w:r>
      <w:r>
        <w:rPr>
          <w:sz w:val="20"/>
        </w:rPr>
        <w:t>And</w:t>
      </w:r>
      <w:r>
        <w:rPr>
          <w:spacing w:val="40"/>
          <w:sz w:val="20"/>
        </w:rPr>
        <w:t> </w:t>
      </w:r>
      <w:r>
        <w:rPr>
          <w:sz w:val="20"/>
        </w:rPr>
        <w:t>see</w:t>
      </w:r>
      <w:r>
        <w:rPr>
          <w:spacing w:val="40"/>
          <w:sz w:val="20"/>
        </w:rPr>
        <w:t> </w:t>
      </w:r>
      <w:r>
        <w:rPr>
          <w:sz w:val="20"/>
        </w:rPr>
        <w:t>Main</w:t>
      </w:r>
      <w:r>
        <w:rPr>
          <w:spacing w:val="40"/>
          <w:sz w:val="20"/>
        </w:rPr>
        <w:t> </w:t>
      </w:r>
      <w:r>
        <w:rPr>
          <w:sz w:val="20"/>
        </w:rPr>
        <w:t>Work,</w:t>
      </w:r>
      <w:r>
        <w:rPr>
          <w:spacing w:val="40"/>
          <w:sz w:val="20"/>
        </w:rPr>
        <w:t> </w:t>
      </w:r>
      <w:r>
        <w:rPr>
          <w:sz w:val="20"/>
        </w:rPr>
        <w:t>Vol.I, </w:t>
      </w:r>
      <w:r>
        <w:rPr>
          <w:spacing w:val="-2"/>
          <w:sz w:val="20"/>
        </w:rPr>
        <w:t>para.1-078.</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pStyle w:val="BodyText"/>
        <w:spacing w:line="235" w:lineRule="auto" w:before="1"/>
        <w:ind w:left="705" w:right="167" w:hanging="541"/>
        <w:jc w:val="both"/>
      </w:pPr>
      <w:bookmarkStart w:name="_bookmark1378" w:id="1380"/>
      <w:bookmarkEnd w:id="1380"/>
      <w:r>
        <w:rPr/>
      </w:r>
      <w:hyperlink w:history="true" w:anchor="_bookmark1327">
        <w:r>
          <w:rPr>
            <w:color w:val="005DA1"/>
            <w:position w:val="5"/>
            <w:sz w:val="14"/>
            <w:u w:val="single" w:color="005DA1"/>
          </w:rPr>
          <w:t>724</w:t>
        </w:r>
      </w:hyperlink>
      <w:r>
        <w:rPr>
          <w:position w:val="5"/>
          <w:sz w:val="14"/>
        </w:rPr>
        <w:t>.</w:t>
      </w:r>
      <w:r>
        <w:rPr>
          <w:spacing w:val="80"/>
          <w:position w:val="5"/>
          <w:sz w:val="14"/>
        </w:rPr>
        <w:t>  </w:t>
      </w:r>
      <w:r>
        <w:rPr>
          <w:rFonts w:ascii="Arial" w:hAnsi="Arial"/>
          <w:i/>
        </w:rPr>
        <w:t>Harrow</w:t>
      </w:r>
      <w:r>
        <w:rPr>
          <w:rFonts w:ascii="Arial" w:hAnsi="Arial"/>
          <w:i/>
          <w:spacing w:val="35"/>
        </w:rPr>
        <w:t> </w:t>
      </w:r>
      <w:r>
        <w:rPr>
          <w:rFonts w:ascii="Arial" w:hAnsi="Arial"/>
          <w:i/>
        </w:rPr>
        <w:t>LBC</w:t>
      </w:r>
      <w:r>
        <w:rPr>
          <w:rFonts w:ascii="Arial" w:hAnsi="Arial"/>
          <w:i/>
          <w:spacing w:val="35"/>
        </w:rPr>
        <w:t> </w:t>
      </w:r>
      <w:r>
        <w:rPr>
          <w:rFonts w:ascii="Arial" w:hAnsi="Arial"/>
          <w:i/>
        </w:rPr>
        <w:t>v</w:t>
      </w:r>
      <w:r>
        <w:rPr>
          <w:rFonts w:ascii="Arial" w:hAnsi="Arial"/>
          <w:i/>
          <w:spacing w:val="35"/>
        </w:rPr>
        <w:t> </w:t>
      </w:r>
      <w:r>
        <w:rPr>
          <w:rFonts w:ascii="Arial" w:hAnsi="Arial"/>
          <w:i/>
        </w:rPr>
        <w:t>Qazi</w:t>
      </w:r>
      <w:r>
        <w:rPr>
          <w:rFonts w:ascii="Arial" w:hAnsi="Arial"/>
          <w:i/>
          <w:spacing w:val="35"/>
        </w:rPr>
        <w:t> </w:t>
      </w:r>
      <w:r>
        <w:rPr>
          <w:rFonts w:ascii="Arial" w:hAnsi="Arial"/>
          <w:i/>
        </w:rPr>
        <w:t>[2003]</w:t>
      </w:r>
      <w:r>
        <w:rPr>
          <w:rFonts w:ascii="Arial" w:hAnsi="Arial"/>
          <w:i/>
          <w:spacing w:val="35"/>
        </w:rPr>
        <w:t> </w:t>
      </w:r>
      <w:r>
        <w:rPr>
          <w:rFonts w:ascii="Arial" w:hAnsi="Arial"/>
          <w:i/>
        </w:rPr>
        <w:t>UKHL</w:t>
      </w:r>
      <w:r>
        <w:rPr>
          <w:rFonts w:ascii="Arial" w:hAnsi="Arial"/>
          <w:i/>
          <w:spacing w:val="35"/>
        </w:rPr>
        <w:t> </w:t>
      </w:r>
      <w:r>
        <w:rPr>
          <w:rFonts w:ascii="Arial" w:hAnsi="Arial"/>
          <w:i/>
        </w:rPr>
        <w:t>43,</w:t>
      </w:r>
      <w:r>
        <w:rPr>
          <w:rFonts w:ascii="Arial" w:hAnsi="Arial"/>
          <w:i/>
          <w:spacing w:val="35"/>
        </w:rPr>
        <w:t> </w:t>
      </w:r>
      <w:r>
        <w:rPr>
          <w:rFonts w:ascii="Arial" w:hAnsi="Arial"/>
          <w:i/>
        </w:rPr>
        <w:t>[2004]</w:t>
      </w:r>
      <w:r>
        <w:rPr>
          <w:rFonts w:ascii="Arial" w:hAnsi="Arial"/>
          <w:i/>
          <w:spacing w:val="35"/>
        </w:rPr>
        <w:t> </w:t>
      </w:r>
      <w:r>
        <w:rPr>
          <w:rFonts w:ascii="Arial" w:hAnsi="Arial"/>
          <w:i/>
        </w:rPr>
        <w:t>1</w:t>
      </w:r>
      <w:r>
        <w:rPr>
          <w:rFonts w:ascii="Arial" w:hAnsi="Arial"/>
          <w:i/>
          <w:spacing w:val="35"/>
        </w:rPr>
        <w:t> </w:t>
      </w:r>
      <w:r>
        <w:rPr>
          <w:rFonts w:ascii="Arial" w:hAnsi="Arial"/>
          <w:i/>
        </w:rPr>
        <w:t>A.C.</w:t>
      </w:r>
      <w:r>
        <w:rPr>
          <w:rFonts w:ascii="Arial" w:hAnsi="Arial"/>
          <w:i/>
          <w:spacing w:val="35"/>
        </w:rPr>
        <w:t> </w:t>
      </w:r>
      <w:r>
        <w:rPr>
          <w:rFonts w:ascii="Arial" w:hAnsi="Arial"/>
          <w:i/>
        </w:rPr>
        <w:t>983</w:t>
      </w:r>
      <w:r>
        <w:rPr>
          <w:rFonts w:ascii="Arial" w:hAnsi="Arial"/>
          <w:i/>
          <w:spacing w:val="34"/>
        </w:rPr>
        <w:t> </w:t>
      </w:r>
      <w:r>
        <w:rPr/>
        <w:t>at</w:t>
      </w:r>
      <w:r>
        <w:rPr>
          <w:spacing w:val="35"/>
        </w:rPr>
        <w:t> </w:t>
      </w:r>
      <w:r>
        <w:rPr/>
        <w:t>[23]</w:t>
      </w:r>
      <w:r>
        <w:rPr>
          <w:spacing w:val="35"/>
        </w:rPr>
        <w:t> </w:t>
      </w:r>
      <w:r>
        <w:rPr/>
        <w:t>(Lord</w:t>
      </w:r>
      <w:r>
        <w:rPr>
          <w:spacing w:val="35"/>
        </w:rPr>
        <w:t> </w:t>
      </w:r>
      <w:r>
        <w:rPr/>
        <w:t>Bingham);</w:t>
      </w:r>
      <w:r>
        <w:rPr>
          <w:spacing w:val="35"/>
        </w:rPr>
        <w:t> </w:t>
      </w:r>
      <w:r>
        <w:rPr/>
        <w:t>[26]</w:t>
      </w:r>
      <w:r>
        <w:rPr>
          <w:spacing w:val="35"/>
        </w:rPr>
        <w:t> </w:t>
      </w:r>
      <w:r>
        <w:rPr/>
        <w:t>(Lord Steyn) (both expressing no view on the question) and [52]–[53] (Lord Hope who contrasts the position as regards art.6 and art.1 of the First Protocol and art.8, on the basis that the Strasbourg jurisprudence on the latter is to the effect that “the object of article 8 is to protect the individual</w:t>
      </w:r>
      <w:r>
        <w:rPr>
          <w:spacing w:val="-1"/>
        </w:rPr>
        <w:t> </w:t>
      </w:r>
      <w:r>
        <w:rPr/>
        <w:t>against</w:t>
      </w:r>
      <w:r>
        <w:rPr>
          <w:spacing w:val="-1"/>
        </w:rPr>
        <w:t> </w:t>
      </w:r>
      <w:r>
        <w:rPr/>
        <w:t>arbitrary</w:t>
      </w:r>
      <w:r>
        <w:rPr>
          <w:spacing w:val="-1"/>
        </w:rPr>
        <w:t> </w:t>
      </w:r>
      <w:r>
        <w:rPr/>
        <w:t>interference</w:t>
      </w:r>
      <w:r>
        <w:rPr>
          <w:spacing w:val="-1"/>
        </w:rPr>
        <w:t> </w:t>
      </w:r>
      <w:r>
        <w:rPr/>
        <w:t>by</w:t>
      </w:r>
      <w:r>
        <w:rPr>
          <w:spacing w:val="-1"/>
        </w:rPr>
        <w:t> </w:t>
      </w:r>
      <w:r>
        <w:rPr/>
        <w:t>the</w:t>
      </w:r>
      <w:r>
        <w:rPr>
          <w:spacing w:val="-1"/>
        </w:rPr>
        <w:t> </w:t>
      </w:r>
      <w:r>
        <w:rPr/>
        <w:t>public</w:t>
      </w:r>
      <w:r>
        <w:rPr>
          <w:spacing w:val="-1"/>
        </w:rPr>
        <w:t> </w:t>
      </w:r>
      <w:r>
        <w:rPr/>
        <w:t>authorities</w:t>
      </w:r>
      <w:r>
        <w:rPr>
          <w:spacing w:val="-1"/>
        </w:rPr>
        <w:t> </w:t>
      </w:r>
      <w:r>
        <w:rPr/>
        <w:t>with</w:t>
      </w:r>
      <w:r>
        <w:rPr>
          <w:spacing w:val="-1"/>
        </w:rPr>
        <w:t> </w:t>
      </w:r>
      <w:r>
        <w:rPr/>
        <w:t>his</w:t>
      </w:r>
      <w:r>
        <w:rPr>
          <w:spacing w:val="-1"/>
        </w:rPr>
        <w:t> </w:t>
      </w:r>
      <w:r>
        <w:rPr/>
        <w:t>right</w:t>
      </w:r>
      <w:r>
        <w:rPr>
          <w:spacing w:val="-1"/>
        </w:rPr>
        <w:t> </w:t>
      </w:r>
      <w:r>
        <w:rPr/>
        <w:t>to</w:t>
      </w:r>
      <w:r>
        <w:rPr>
          <w:spacing w:val="-1"/>
        </w:rPr>
        <w:t> </w:t>
      </w:r>
      <w:r>
        <w:rPr/>
        <w:t>privacy</w:t>
      </w:r>
      <w:r>
        <w:rPr>
          <w:spacing w:val="-1"/>
        </w:rPr>
        <w:t> </w:t>
      </w:r>
      <w:r>
        <w:rPr/>
        <w:t>and</w:t>
      </w:r>
      <w:r>
        <w:rPr>
          <w:spacing w:val="-1"/>
        </w:rPr>
        <w:t> </w:t>
      </w:r>
      <w:r>
        <w:rPr/>
        <w:t>that it is not concerned, as such, with the protection of his right to own or to occupy property”).</w:t>
      </w:r>
    </w:p>
    <w:p>
      <w:pPr>
        <w:pStyle w:val="BodyText"/>
        <w:spacing w:before="3"/>
      </w:pPr>
    </w:p>
    <w:p>
      <w:pPr>
        <w:tabs>
          <w:tab w:pos="705" w:val="left" w:leader="none"/>
        </w:tabs>
        <w:spacing w:before="1"/>
        <w:ind w:left="165" w:right="0" w:firstLine="0"/>
        <w:jc w:val="left"/>
        <w:rPr>
          <w:sz w:val="20"/>
        </w:rPr>
      </w:pPr>
      <w:bookmarkStart w:name="_bookmark1379" w:id="1381"/>
      <w:bookmarkEnd w:id="1381"/>
      <w:r>
        <w:rPr/>
      </w:r>
      <w:hyperlink w:history="true" w:anchor="_bookmark1327">
        <w:r>
          <w:rPr>
            <w:color w:val="005DA1"/>
            <w:spacing w:val="-4"/>
            <w:position w:val="5"/>
            <w:sz w:val="14"/>
            <w:u w:val="single" w:color="005DA1"/>
          </w:rPr>
          <w:t>725</w:t>
        </w:r>
      </w:hyperlink>
      <w:r>
        <w:rPr>
          <w:spacing w:val="-4"/>
          <w:position w:val="5"/>
          <w:sz w:val="14"/>
        </w:rPr>
        <w:t>.</w:t>
      </w:r>
      <w:r>
        <w:rPr>
          <w:position w:val="5"/>
          <w:sz w:val="14"/>
        </w:rPr>
        <w:tab/>
      </w:r>
      <w:r>
        <w:rPr>
          <w:rFonts w:ascii="Arial"/>
          <w:i/>
          <w:sz w:val="20"/>
        </w:rPr>
        <w:t>App. No.2408/06 (Unreported March 25, </w:t>
      </w:r>
      <w:r>
        <w:rPr>
          <w:rFonts w:ascii="Arial"/>
          <w:i/>
          <w:spacing w:val="-2"/>
          <w:sz w:val="20"/>
        </w:rPr>
        <w:t>2010)</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380" w:id="1382"/>
      <w:bookmarkEnd w:id="1382"/>
      <w:r>
        <w:rPr/>
      </w:r>
      <w:hyperlink w:history="true" w:anchor="_bookmark1328">
        <w:r>
          <w:rPr>
            <w:color w:val="005DA1"/>
            <w:spacing w:val="-4"/>
            <w:position w:val="5"/>
            <w:sz w:val="14"/>
            <w:u w:val="single" w:color="005DA1"/>
          </w:rPr>
          <w:t>726</w:t>
        </w:r>
      </w:hyperlink>
      <w:r>
        <w:rPr>
          <w:spacing w:val="-4"/>
          <w:position w:val="5"/>
          <w:sz w:val="14"/>
        </w:rPr>
        <w:t>.</w:t>
      </w:r>
      <w:r>
        <w:rPr>
          <w:position w:val="5"/>
          <w:sz w:val="14"/>
        </w:rPr>
        <w:tab/>
      </w:r>
      <w:r>
        <w:rPr>
          <w:rFonts w:ascii="Arial"/>
          <w:i/>
          <w:sz w:val="20"/>
        </w:rPr>
        <w:t>[2010]</w:t>
      </w:r>
      <w:r>
        <w:rPr>
          <w:rFonts w:ascii="Arial"/>
          <w:i/>
          <w:spacing w:val="-2"/>
          <w:sz w:val="20"/>
        </w:rPr>
        <w:t> </w:t>
      </w:r>
      <w:r>
        <w:rPr>
          <w:rFonts w:ascii="Arial"/>
          <w:i/>
          <w:sz w:val="20"/>
        </w:rPr>
        <w:t>UKSC 45</w:t>
      </w:r>
      <w:r>
        <w:rPr>
          <w:rFonts w:ascii="Arial"/>
          <w:i/>
          <w:spacing w:val="-1"/>
          <w:sz w:val="20"/>
        </w:rPr>
        <w:t> </w:t>
      </w:r>
      <w:r>
        <w:rPr>
          <w:sz w:val="20"/>
        </w:rPr>
        <w:t>at </w:t>
      </w:r>
      <w:r>
        <w:rPr>
          <w:spacing w:val="-2"/>
          <w:sz w:val="20"/>
        </w:rPr>
        <w:t>[50].</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381" w:id="1383"/>
      <w:bookmarkEnd w:id="1383"/>
      <w:r>
        <w:rPr/>
      </w:r>
      <w:hyperlink w:history="true" w:anchor="_bookmark1329">
        <w:r>
          <w:rPr>
            <w:color w:val="005DA1"/>
            <w:spacing w:val="-4"/>
            <w:sz w:val="14"/>
            <w:u w:val="single" w:color="005DA1"/>
          </w:rPr>
          <w:t>727</w:t>
        </w:r>
      </w:hyperlink>
      <w:r>
        <w:rPr>
          <w:spacing w:val="-4"/>
          <w:sz w:val="14"/>
        </w:rPr>
        <w:t>.</w:t>
      </w:r>
    </w:p>
    <w:p>
      <w:pPr>
        <w:spacing w:before="209"/>
        <w:ind w:left="335" w:right="0" w:firstLine="0"/>
        <w:jc w:val="left"/>
        <w:rPr>
          <w:sz w:val="20"/>
        </w:rPr>
      </w:pPr>
      <w:r>
        <w:rPr/>
        <w:br w:type="column"/>
      </w:r>
      <w:r>
        <w:rPr>
          <w:rFonts w:ascii="Arial"/>
          <w:i/>
          <w:sz w:val="20"/>
        </w:rPr>
        <w:t>[2016] UKSC 28, [2017] A.C. </w:t>
      </w:r>
      <w:r>
        <w:rPr>
          <w:rFonts w:ascii="Arial"/>
          <w:i/>
          <w:spacing w:val="-4"/>
          <w:sz w:val="20"/>
        </w:rPr>
        <w:t>273</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2608">
            <wp:simplePos x="0" y="0"/>
            <wp:positionH relativeFrom="page">
              <wp:posOffset>1257846</wp:posOffset>
            </wp:positionH>
            <wp:positionV relativeFrom="paragraph">
              <wp:posOffset>-210778</wp:posOffset>
            </wp:positionV>
            <wp:extent cx="107988" cy="107988"/>
            <wp:effectExtent l="0" t="0" r="0" b="0"/>
            <wp:wrapNone/>
            <wp:docPr id="354" name="Image 354"/>
            <wp:cNvGraphicFramePr>
              <a:graphicFrameLocks/>
            </wp:cNvGraphicFramePr>
            <a:graphic>
              <a:graphicData uri="http://schemas.openxmlformats.org/drawingml/2006/picture">
                <pic:pic>
                  <pic:nvPicPr>
                    <pic:cNvPr id="354" name="Image 354"/>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13120">
            <wp:simplePos x="0" y="0"/>
            <wp:positionH relativeFrom="page">
              <wp:posOffset>1257846</wp:posOffset>
            </wp:positionH>
            <wp:positionV relativeFrom="paragraph">
              <wp:posOffset>160696</wp:posOffset>
            </wp:positionV>
            <wp:extent cx="107988" cy="107988"/>
            <wp:effectExtent l="0" t="0" r="0" b="0"/>
            <wp:wrapNone/>
            <wp:docPr id="355" name="Image 355"/>
            <wp:cNvGraphicFramePr>
              <a:graphicFrameLocks/>
            </wp:cNvGraphicFramePr>
            <a:graphic>
              <a:graphicData uri="http://schemas.openxmlformats.org/drawingml/2006/picture">
                <pic:pic>
                  <pic:nvPicPr>
                    <pic:cNvPr id="355" name="Image 35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82" w:id="1384"/>
      <w:bookmarkEnd w:id="1384"/>
      <w:r>
        <w:rPr/>
      </w:r>
      <w:hyperlink w:history="true" w:anchor="_bookmark1330">
        <w:r>
          <w:rPr>
            <w:color w:val="005DA1"/>
            <w:spacing w:val="-4"/>
            <w:sz w:val="14"/>
            <w:u w:val="single" w:color="005DA1"/>
          </w:rPr>
          <w:t>728</w:t>
        </w:r>
      </w:hyperlink>
      <w:r>
        <w:rPr>
          <w:spacing w:val="-4"/>
          <w:sz w:val="14"/>
        </w:rPr>
        <w:t>.</w:t>
      </w:r>
    </w:p>
    <w:p>
      <w:pPr>
        <w:pStyle w:val="BodyText"/>
        <w:spacing w:line="235" w:lineRule="auto" w:before="213"/>
        <w:ind w:left="165" w:right="167" w:firstLine="170"/>
        <w:jc w:val="both"/>
      </w:pPr>
      <w:r>
        <w:rPr/>
        <w:br w:type="column"/>
      </w:r>
      <w:r>
        <w:rPr>
          <w:rFonts w:ascii="Arial" w:hAnsi="Arial"/>
          <w:i/>
        </w:rPr>
        <w:t>[2016] UKSC 28 </w:t>
      </w:r>
      <w:r>
        <w:rPr/>
        <w:t>at [40]. The SC expressed these views conditionally on there being </w:t>
      </w:r>
      <w:r>
        <w:rPr/>
        <w:t>no Strasbourg jurisprudence to the contrary, which it later held was the case: see </w:t>
      </w:r>
      <w:r>
        <w:rPr>
          <w:rFonts w:ascii="Arial" w:hAnsi="Arial"/>
          <w:i/>
        </w:rPr>
        <w:t>[2016] UKSC 28 </w:t>
      </w:r>
      <w:r>
        <w:rPr/>
        <w:t>at [48]–[59].</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3632">
            <wp:simplePos x="0" y="0"/>
            <wp:positionH relativeFrom="page">
              <wp:posOffset>1257846</wp:posOffset>
            </wp:positionH>
            <wp:positionV relativeFrom="paragraph">
              <wp:posOffset>160613</wp:posOffset>
            </wp:positionV>
            <wp:extent cx="107988" cy="107988"/>
            <wp:effectExtent l="0" t="0" r="0" b="0"/>
            <wp:wrapNone/>
            <wp:docPr id="356" name="Image 356"/>
            <wp:cNvGraphicFramePr>
              <a:graphicFrameLocks/>
            </wp:cNvGraphicFramePr>
            <a:graphic>
              <a:graphicData uri="http://schemas.openxmlformats.org/drawingml/2006/picture">
                <pic:pic>
                  <pic:nvPicPr>
                    <pic:cNvPr id="356" name="Image 35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83" w:id="1385"/>
      <w:bookmarkEnd w:id="1385"/>
      <w:r>
        <w:rPr/>
      </w:r>
      <w:hyperlink w:history="true" w:anchor="_bookmark1331">
        <w:r>
          <w:rPr>
            <w:color w:val="005DA1"/>
            <w:spacing w:val="-4"/>
            <w:sz w:val="14"/>
            <w:u w:val="single" w:color="005DA1"/>
          </w:rPr>
          <w:t>729</w:t>
        </w:r>
      </w:hyperlink>
      <w:r>
        <w:rPr>
          <w:spacing w:val="-4"/>
          <w:sz w:val="14"/>
        </w:rPr>
        <w:t>.</w:t>
      </w:r>
    </w:p>
    <w:p>
      <w:pPr>
        <w:pStyle w:val="BodyText"/>
        <w:spacing w:line="235" w:lineRule="auto" w:before="212"/>
        <w:ind w:left="165" w:right="167" w:firstLine="170"/>
        <w:jc w:val="both"/>
      </w:pPr>
      <w:r>
        <w:rPr/>
        <w:br w:type="column"/>
      </w:r>
      <w:r>
        <w:rPr>
          <w:rFonts w:ascii="Arial" w:hAnsi="Arial"/>
          <w:i/>
        </w:rPr>
        <w:t>[2016] UKSC 28 </w:t>
      </w:r>
      <w:r>
        <w:rPr/>
        <w:t>at [40]–[46], [59] and [76]. The SC also held, obiter, that if a </w:t>
      </w:r>
      <w:r>
        <w:rPr/>
        <w:t>proportionality assessment were required, it would not be possible to read this into s.21(4) of the 1988 Act by way of application of s.3(1) of the 1998 Act, the only remedy therefore being a declaration of incompatibility under s.4 of the 1998 Act: </w:t>
      </w:r>
      <w:r>
        <w:rPr>
          <w:rFonts w:ascii="Arial" w:hAnsi="Arial"/>
          <w:i/>
        </w:rPr>
        <w:t>[2016] UKSC 28 </w:t>
      </w:r>
      <w:r>
        <w:rPr/>
        <w:t>at [69]–[70]; and that, even were a proportionality assessment required, the claimant tenant’s circumstances were not such as to justify refusing an order for possession and thereby postponing indefinitely the right of the landlord’s mortgagee/lender (acting through appointed receivers): </w:t>
      </w:r>
      <w:r>
        <w:rPr>
          <w:rFonts w:ascii="Arial" w:hAnsi="Arial"/>
          <w:i/>
        </w:rPr>
        <w:t>[2016] UKSC 28 </w:t>
      </w:r>
      <w:r>
        <w:rPr/>
        <w:t>at [71], </w:t>
      </w:r>
      <w:r>
        <w:rPr>
          <w:spacing w:val="-2"/>
        </w:rPr>
        <w:t>[74]–[75].</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4144">
            <wp:simplePos x="0" y="0"/>
            <wp:positionH relativeFrom="page">
              <wp:posOffset>1257846</wp:posOffset>
            </wp:positionH>
            <wp:positionV relativeFrom="paragraph">
              <wp:posOffset>160591</wp:posOffset>
            </wp:positionV>
            <wp:extent cx="107988" cy="107988"/>
            <wp:effectExtent l="0" t="0" r="0" b="0"/>
            <wp:wrapNone/>
            <wp:docPr id="357" name="Image 357"/>
            <wp:cNvGraphicFramePr>
              <a:graphicFrameLocks/>
            </wp:cNvGraphicFramePr>
            <a:graphic>
              <a:graphicData uri="http://schemas.openxmlformats.org/drawingml/2006/picture">
                <pic:pic>
                  <pic:nvPicPr>
                    <pic:cNvPr id="357" name="Image 35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84" w:id="1386"/>
      <w:bookmarkEnd w:id="1386"/>
      <w:r>
        <w:rPr/>
      </w:r>
      <w:hyperlink w:history="true" w:anchor="_bookmark1332">
        <w:r>
          <w:rPr>
            <w:color w:val="005DA1"/>
            <w:spacing w:val="-4"/>
            <w:sz w:val="14"/>
            <w:u w:val="single" w:color="005DA1"/>
          </w:rPr>
          <w:t>730</w:t>
        </w:r>
      </w:hyperlink>
      <w:r>
        <w:rPr>
          <w:spacing w:val="-4"/>
          <w:sz w:val="14"/>
        </w:rPr>
        <w:t>.</w:t>
      </w:r>
    </w:p>
    <w:p>
      <w:pPr>
        <w:pStyle w:val="BodyText"/>
        <w:spacing w:line="235" w:lineRule="auto" w:before="212"/>
        <w:ind w:left="165" w:right="167" w:firstLine="170"/>
        <w:jc w:val="both"/>
      </w:pPr>
      <w:r>
        <w:rPr/>
        <w:br w:type="column"/>
      </w:r>
      <w:r>
        <w:rPr>
          <w:rFonts w:ascii="Arial" w:hAnsi="Arial"/>
          <w:i/>
        </w:rPr>
        <w:t>[2016] UKSC 28 </w:t>
      </w:r>
      <w:r>
        <w:rPr/>
        <w:t>at [41] per Lord Neuberger of Abbotsbury P.S.C. and Baroness Hale </w:t>
      </w:r>
      <w:r>
        <w:rPr/>
        <w:t>of Richmond D.P.S.C. (with whom Lord Kerr of Tonaghmore, Lord Reed and Lord Carnwath JJ.S.C.</w:t>
      </w:r>
      <w:r>
        <w:rPr>
          <w:spacing w:val="-2"/>
        </w:rPr>
        <w:t> </w:t>
      </w:r>
      <w:r>
        <w:rPr/>
        <w:t>agreed).</w:t>
      </w:r>
      <w:r>
        <w:rPr>
          <w:spacing w:val="-2"/>
        </w:rPr>
        <w:t> </w:t>
      </w:r>
      <w:r>
        <w:rPr/>
        <w:t>See</w:t>
      </w:r>
      <w:r>
        <w:rPr>
          <w:spacing w:val="-2"/>
        </w:rPr>
        <w:t> </w:t>
      </w:r>
      <w:r>
        <w:rPr/>
        <w:t>further</w:t>
      </w:r>
      <w:r>
        <w:rPr>
          <w:spacing w:val="-2"/>
        </w:rPr>
        <w:t> </w:t>
      </w:r>
      <w:r>
        <w:rPr/>
        <w:t>at</w:t>
      </w:r>
      <w:r>
        <w:rPr>
          <w:spacing w:val="-2"/>
        </w:rPr>
        <w:t> </w:t>
      </w:r>
      <w:r>
        <w:rPr/>
        <w:t>[42]–[47].</w:t>
      </w:r>
      <w:r>
        <w:rPr>
          <w:spacing w:val="-2"/>
        </w:rPr>
        <w:t> </w:t>
      </w:r>
      <w:r>
        <w:rPr/>
        <w:t>The</w:t>
      </w:r>
      <w:r>
        <w:rPr>
          <w:spacing w:val="-2"/>
        </w:rPr>
        <w:t> </w:t>
      </w:r>
      <w:r>
        <w:rPr/>
        <w:t>SC</w:t>
      </w:r>
      <w:r>
        <w:rPr>
          <w:spacing w:val="-2"/>
        </w:rPr>
        <w:t> </w:t>
      </w:r>
      <w:r>
        <w:rPr/>
        <w:t>held</w:t>
      </w:r>
      <w:r>
        <w:rPr>
          <w:spacing w:val="-2"/>
        </w:rPr>
        <w:t> </w:t>
      </w:r>
      <w:r>
        <w:rPr/>
        <w:t>that</w:t>
      </w:r>
      <w:r>
        <w:rPr>
          <w:spacing w:val="-2"/>
        </w:rPr>
        <w:t> </w:t>
      </w:r>
      <w:r>
        <w:rPr/>
        <w:t>there</w:t>
      </w:r>
      <w:r>
        <w:rPr>
          <w:spacing w:val="-2"/>
        </w:rPr>
        <w:t> </w:t>
      </w:r>
      <w:r>
        <w:rPr/>
        <w:t>was</w:t>
      </w:r>
      <w:r>
        <w:rPr>
          <w:spacing w:val="-2"/>
        </w:rPr>
        <w:t> </w:t>
      </w:r>
      <w:r>
        <w:rPr/>
        <w:t>no</w:t>
      </w:r>
      <w:r>
        <w:rPr>
          <w:spacing w:val="-2"/>
        </w:rPr>
        <w:t> </w:t>
      </w:r>
      <w:r>
        <w:rPr/>
        <w:t>support</w:t>
      </w:r>
      <w:r>
        <w:rPr>
          <w:spacing w:val="-2"/>
        </w:rPr>
        <w:t> </w:t>
      </w:r>
      <w:r>
        <w:rPr/>
        <w:t>in</w:t>
      </w:r>
      <w:r>
        <w:rPr>
          <w:spacing w:val="-2"/>
        </w:rPr>
        <w:t> </w:t>
      </w:r>
      <w:r>
        <w:rPr/>
        <w:t>the</w:t>
      </w:r>
      <w:r>
        <w:rPr>
          <w:spacing w:val="-2"/>
        </w:rPr>
        <w:t> </w:t>
      </w:r>
      <w:r>
        <w:rPr/>
        <w:t>case</w:t>
      </w:r>
      <w:r>
        <w:rPr>
          <w:spacing w:val="-2"/>
        </w:rPr>
        <w:t> </w:t>
      </w:r>
      <w:r>
        <w:rPr/>
        <w:t>law of the European Court of Human Rights for the proposition that a court must consider the proportionality of the order in the context of claims for possession by private sector landlords: see at [48]–[59] (where the relevant case-law was reviewed).</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1333">
        <w:r>
          <w:rPr>
            <w:color w:val="005DA1"/>
            <w:spacing w:val="-4"/>
            <w:sz w:val="14"/>
            <w:u w:val="single" w:color="005DA1"/>
          </w:rPr>
          <w:t>731</w:t>
        </w:r>
      </w:hyperlink>
      <w:r>
        <w:rPr>
          <w:spacing w:val="-4"/>
          <w:sz w:val="14"/>
        </w:rPr>
        <w:t>.</w:t>
      </w:r>
    </w:p>
    <w:p>
      <w:pPr>
        <w:spacing w:line="240" w:lineRule="auto" w:before="60"/>
        <w:rPr>
          <w:sz w:val="20"/>
        </w:rPr>
      </w:pPr>
      <w:r>
        <w:rPr/>
        <w:br w:type="column"/>
      </w:r>
      <w:r>
        <w:rPr>
          <w:sz w:val="20"/>
        </w:rPr>
      </w:r>
    </w:p>
    <w:p>
      <w:pPr>
        <w:pStyle w:val="BodyText"/>
        <w:spacing w:line="235" w:lineRule="auto"/>
        <w:ind w:left="165" w:firstLine="170"/>
      </w:pPr>
      <w:r>
        <w:rPr/>
        <w:drawing>
          <wp:anchor distT="0" distB="0" distL="0" distR="0" allowOverlap="1" layoutInCell="1" locked="0" behindDoc="0" simplePos="0" relativeHeight="15814656">
            <wp:simplePos x="0" y="0"/>
            <wp:positionH relativeFrom="page">
              <wp:posOffset>1257846</wp:posOffset>
            </wp:positionH>
            <wp:positionV relativeFrom="paragraph">
              <wp:posOffset>25903</wp:posOffset>
            </wp:positionV>
            <wp:extent cx="107988" cy="107988"/>
            <wp:effectExtent l="0" t="0" r="0" b="0"/>
            <wp:wrapNone/>
            <wp:docPr id="358" name="Image 358"/>
            <wp:cNvGraphicFramePr>
              <a:graphicFrameLocks/>
            </wp:cNvGraphicFramePr>
            <a:graphic>
              <a:graphicData uri="http://schemas.openxmlformats.org/drawingml/2006/picture">
                <pic:pic>
                  <pic:nvPicPr>
                    <pic:cNvPr id="358" name="Image 35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rPr>
        <w:t>[2016]</w:t>
      </w:r>
      <w:r>
        <w:rPr>
          <w:rFonts w:ascii="Arial"/>
          <w:i/>
          <w:spacing w:val="36"/>
        </w:rPr>
        <w:t> </w:t>
      </w:r>
      <w:r>
        <w:rPr>
          <w:rFonts w:ascii="Arial"/>
          <w:i/>
        </w:rPr>
        <w:t>UKSC</w:t>
      </w:r>
      <w:r>
        <w:rPr>
          <w:rFonts w:ascii="Arial"/>
          <w:i/>
          <w:spacing w:val="36"/>
        </w:rPr>
        <w:t> </w:t>
      </w:r>
      <w:r>
        <w:rPr>
          <w:rFonts w:ascii="Arial"/>
          <w:i/>
        </w:rPr>
        <w:t>28</w:t>
      </w:r>
      <w:r>
        <w:rPr>
          <w:rFonts w:ascii="Arial"/>
          <w:i/>
          <w:spacing w:val="36"/>
        </w:rPr>
        <w:t> </w:t>
      </w:r>
      <w:r>
        <w:rPr/>
        <w:t>at</w:t>
      </w:r>
      <w:r>
        <w:rPr>
          <w:spacing w:val="36"/>
        </w:rPr>
        <w:t> </w:t>
      </w:r>
      <w:r>
        <w:rPr/>
        <w:t>[40]</w:t>
      </w:r>
      <w:r>
        <w:rPr>
          <w:spacing w:val="36"/>
        </w:rPr>
        <w:t> </w:t>
      </w:r>
      <w:r>
        <w:rPr/>
        <w:t>per</w:t>
      </w:r>
      <w:r>
        <w:rPr>
          <w:spacing w:val="36"/>
        </w:rPr>
        <w:t> </w:t>
      </w:r>
      <w:r>
        <w:rPr/>
        <w:t>Lord</w:t>
      </w:r>
      <w:r>
        <w:rPr>
          <w:spacing w:val="36"/>
        </w:rPr>
        <w:t> </w:t>
      </w:r>
      <w:r>
        <w:rPr/>
        <w:t>Neuberger</w:t>
      </w:r>
      <w:r>
        <w:rPr>
          <w:spacing w:val="36"/>
        </w:rPr>
        <w:t> </w:t>
      </w:r>
      <w:r>
        <w:rPr/>
        <w:t>of</w:t>
      </w:r>
      <w:r>
        <w:rPr>
          <w:spacing w:val="36"/>
        </w:rPr>
        <w:t> </w:t>
      </w:r>
      <w:r>
        <w:rPr/>
        <w:t>Abbotsbury</w:t>
      </w:r>
      <w:r>
        <w:rPr>
          <w:spacing w:val="36"/>
        </w:rPr>
        <w:t> </w:t>
      </w:r>
      <w:r>
        <w:rPr/>
        <w:t>P.S.C.</w:t>
      </w:r>
      <w:r>
        <w:rPr>
          <w:spacing w:val="36"/>
        </w:rPr>
        <w:t> </w:t>
      </w:r>
      <w:r>
        <w:rPr/>
        <w:t>and</w:t>
      </w:r>
      <w:r>
        <w:rPr>
          <w:spacing w:val="36"/>
        </w:rPr>
        <w:t> </w:t>
      </w:r>
      <w:r>
        <w:rPr/>
        <w:t>Baroness</w:t>
      </w:r>
      <w:r>
        <w:rPr>
          <w:spacing w:val="36"/>
        </w:rPr>
        <w:t> </w:t>
      </w:r>
      <w:r>
        <w:rPr/>
        <w:t>Hale</w:t>
      </w:r>
      <w:r>
        <w:rPr>
          <w:spacing w:val="36"/>
        </w:rPr>
        <w:t> </w:t>
      </w:r>
      <w:r>
        <w:rPr/>
        <w:t>of Richmond D.P.S.C.</w:t>
      </w:r>
    </w:p>
    <w:p>
      <w:pPr>
        <w:pStyle w:val="BodyText"/>
        <w:spacing w:after="0" w:line="235" w:lineRule="auto"/>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385" w:id="1387"/>
      <w:bookmarkEnd w:id="1387"/>
      <w:r>
        <w:rPr/>
      </w:r>
      <w:hyperlink w:history="true" w:anchor="_bookmark1334">
        <w:r>
          <w:rPr>
            <w:color w:val="005DA1"/>
            <w:spacing w:val="-4"/>
            <w:sz w:val="14"/>
            <w:u w:val="single" w:color="005DA1"/>
          </w:rPr>
          <w:t>732</w:t>
        </w:r>
      </w:hyperlink>
      <w:r>
        <w:rPr>
          <w:spacing w:val="-4"/>
          <w:sz w:val="14"/>
        </w:rPr>
        <w:t>.</w:t>
      </w:r>
    </w:p>
    <w:p>
      <w:pPr>
        <w:pStyle w:val="BodyText"/>
        <w:spacing w:line="235" w:lineRule="auto" w:before="212"/>
        <w:ind w:left="165" w:firstLine="170"/>
      </w:pPr>
      <w:r>
        <w:rPr/>
        <w:br w:type="column"/>
      </w:r>
      <w:r>
        <w:rPr>
          <w:rFonts w:ascii="Arial"/>
          <w:i/>
        </w:rPr>
        <w:t>[2016]</w:t>
      </w:r>
      <w:r>
        <w:rPr>
          <w:rFonts w:ascii="Arial"/>
          <w:i/>
          <w:spacing w:val="36"/>
        </w:rPr>
        <w:t> </w:t>
      </w:r>
      <w:r>
        <w:rPr>
          <w:rFonts w:ascii="Arial"/>
          <w:i/>
        </w:rPr>
        <w:t>UKSC</w:t>
      </w:r>
      <w:r>
        <w:rPr>
          <w:rFonts w:ascii="Arial"/>
          <w:i/>
          <w:spacing w:val="36"/>
        </w:rPr>
        <w:t> </w:t>
      </w:r>
      <w:r>
        <w:rPr>
          <w:rFonts w:ascii="Arial"/>
          <w:i/>
        </w:rPr>
        <w:t>28</w:t>
      </w:r>
      <w:r>
        <w:rPr>
          <w:rFonts w:ascii="Arial"/>
          <w:i/>
          <w:spacing w:val="36"/>
        </w:rPr>
        <w:t> </w:t>
      </w:r>
      <w:r>
        <w:rPr/>
        <w:t>at</w:t>
      </w:r>
      <w:r>
        <w:rPr>
          <w:spacing w:val="36"/>
        </w:rPr>
        <w:t> </w:t>
      </w:r>
      <w:r>
        <w:rPr/>
        <w:t>[46]</w:t>
      </w:r>
      <w:r>
        <w:rPr>
          <w:spacing w:val="36"/>
        </w:rPr>
        <w:t> </w:t>
      </w:r>
      <w:r>
        <w:rPr/>
        <w:t>per</w:t>
      </w:r>
      <w:r>
        <w:rPr>
          <w:spacing w:val="36"/>
        </w:rPr>
        <w:t> </w:t>
      </w:r>
      <w:r>
        <w:rPr/>
        <w:t>Lord</w:t>
      </w:r>
      <w:r>
        <w:rPr>
          <w:spacing w:val="36"/>
        </w:rPr>
        <w:t> </w:t>
      </w:r>
      <w:r>
        <w:rPr/>
        <w:t>Neuberger</w:t>
      </w:r>
      <w:r>
        <w:rPr>
          <w:spacing w:val="36"/>
        </w:rPr>
        <w:t> </w:t>
      </w:r>
      <w:r>
        <w:rPr/>
        <w:t>of</w:t>
      </w:r>
      <w:r>
        <w:rPr>
          <w:spacing w:val="36"/>
        </w:rPr>
        <w:t> </w:t>
      </w:r>
      <w:r>
        <w:rPr/>
        <w:t>Abbotsbury</w:t>
      </w:r>
      <w:r>
        <w:rPr>
          <w:spacing w:val="36"/>
        </w:rPr>
        <w:t> </w:t>
      </w:r>
      <w:r>
        <w:rPr/>
        <w:t>P.S.C.</w:t>
      </w:r>
      <w:r>
        <w:rPr>
          <w:spacing w:val="36"/>
        </w:rPr>
        <w:t> </w:t>
      </w:r>
      <w:r>
        <w:rPr/>
        <w:t>and</w:t>
      </w:r>
      <w:r>
        <w:rPr>
          <w:spacing w:val="36"/>
        </w:rPr>
        <w:t> </w:t>
      </w:r>
      <w:r>
        <w:rPr/>
        <w:t>Baroness</w:t>
      </w:r>
      <w:r>
        <w:rPr>
          <w:spacing w:val="36"/>
        </w:rPr>
        <w:t> </w:t>
      </w:r>
      <w:r>
        <w:rPr/>
        <w:t>Hale</w:t>
      </w:r>
      <w:r>
        <w:rPr>
          <w:spacing w:val="36"/>
        </w:rPr>
        <w:t> </w:t>
      </w:r>
      <w:r>
        <w:rPr/>
        <w:t>of Richmond D.P.S.C. See further Main Work, Vol.I, para.1-092.</w:t>
      </w:r>
    </w:p>
    <w:p>
      <w:pPr>
        <w:pStyle w:val="BodyText"/>
        <w:spacing w:before="193"/>
      </w:pPr>
    </w:p>
    <w:p>
      <w:pPr>
        <w:spacing w:before="0"/>
        <w:ind w:left="0" w:right="544" w:firstLine="0"/>
        <w:jc w:val="center"/>
        <w:rPr>
          <w:sz w:val="14"/>
        </w:rPr>
      </w:pPr>
      <w:r>
        <w:rPr>
          <w:sz w:val="14"/>
        </w:rPr>
        <w:drawing>
          <wp:anchor distT="0" distB="0" distL="0" distR="0" allowOverlap="1" layoutInCell="1" locked="0" behindDoc="0" simplePos="0" relativeHeight="15815168">
            <wp:simplePos x="0" y="0"/>
            <wp:positionH relativeFrom="page">
              <wp:posOffset>1257846</wp:posOffset>
            </wp:positionH>
            <wp:positionV relativeFrom="paragraph">
              <wp:posOffset>-528764</wp:posOffset>
            </wp:positionV>
            <wp:extent cx="107988" cy="107988"/>
            <wp:effectExtent l="0" t="0" r="0" b="0"/>
            <wp:wrapNone/>
            <wp:docPr id="359" name="Image 359"/>
            <wp:cNvGraphicFramePr>
              <a:graphicFrameLocks/>
            </wp:cNvGraphicFramePr>
            <a:graphic>
              <a:graphicData uri="http://schemas.openxmlformats.org/drawingml/2006/picture">
                <pic:pic>
                  <pic:nvPicPr>
                    <pic:cNvPr id="359" name="Image 359"/>
                    <pic:cNvPicPr/>
                  </pic:nvPicPr>
                  <pic:blipFill>
                    <a:blip r:embed="rId6"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4. - The Human Rights Act 1998 and </w:t>
      </w:r>
      <w:r>
        <w:rPr>
          <w:rFonts w:ascii="Arial"/>
          <w:b/>
          <w:spacing w:val="-2"/>
          <w:sz w:val="24"/>
        </w:rPr>
        <w:t>Contracts</w:t>
      </w:r>
    </w:p>
    <w:p>
      <w:pPr>
        <w:spacing w:before="194"/>
        <w:ind w:left="1951" w:right="0" w:firstLine="0"/>
        <w:jc w:val="left"/>
        <w:rPr>
          <w:rFonts w:ascii="Arial"/>
          <w:b/>
          <w:sz w:val="24"/>
        </w:rPr>
      </w:pPr>
      <w:r>
        <w:rPr>
          <w:rFonts w:ascii="Arial"/>
          <w:b/>
          <w:sz w:val="24"/>
        </w:rPr>
        <w:t>(b) - Contracts made on or after October 2, </w:t>
      </w:r>
      <w:r>
        <w:rPr>
          <w:rFonts w:ascii="Arial"/>
          <w:b/>
          <w:spacing w:val="-4"/>
          <w:sz w:val="24"/>
        </w:rPr>
        <w:t>2000</w:t>
      </w:r>
    </w:p>
    <w:p>
      <w:pPr>
        <w:pStyle w:val="ListParagraph"/>
        <w:numPr>
          <w:ilvl w:val="0"/>
          <w:numId w:val="8"/>
        </w:numPr>
        <w:tabs>
          <w:tab w:pos="1877" w:val="left" w:leader="none"/>
        </w:tabs>
        <w:spacing w:line="240" w:lineRule="auto" w:before="194" w:after="0"/>
        <w:ind w:left="1877" w:right="0" w:hanging="426"/>
        <w:jc w:val="left"/>
        <w:rPr>
          <w:b/>
          <w:sz w:val="24"/>
        </w:rPr>
      </w:pPr>
      <w:r>
        <w:rPr>
          <w:b/>
          <w:sz w:val="24"/>
        </w:rPr>
        <w:t>- Contractual Confidentiality and s.12 of the 1998 </w:t>
      </w:r>
      <w:r>
        <w:rPr>
          <w:b/>
          <w:spacing w:val="-5"/>
          <w:sz w:val="24"/>
        </w:rPr>
        <w:t>Act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hAnsi="Arial"/>
          <w:b/>
          <w:sz w:val="18"/>
        </w:rPr>
      </w:pPr>
      <w:r>
        <w:rPr>
          <w:rFonts w:ascii="Arial" w:hAnsi="Arial"/>
          <w:b/>
          <w:sz w:val="18"/>
        </w:rPr>
        <w:t>Section 12 and “horizontal </w:t>
      </w:r>
      <w:r>
        <w:rPr>
          <w:rFonts w:ascii="Arial" w:hAnsi="Arial"/>
          <w:b/>
          <w:spacing w:val="-2"/>
          <w:sz w:val="18"/>
        </w:rPr>
        <w:t>effect”</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092</w:t>
      </w:r>
    </w:p>
    <w:p>
      <w:pPr>
        <w:pStyle w:val="BodyText"/>
        <w:spacing w:line="235" w:lineRule="auto" w:before="202"/>
        <w:ind w:left="164" w:right="167"/>
        <w:jc w:val="both"/>
      </w:pPr>
      <w:r>
        <w:rPr/>
        <w:t>Section 12 of the 1998 Act makes special provision for the protection of freedom of expression after the general coming into effect of the Act, on the basis that otherwise this right (which is itself found in art.10 of the Convention) may be unduly curtailed as the result of developments giving effect to the right to a private life contained in art.8 of the Convention. Section 12 therefore constrains in </w:t>
      </w:r>
      <w:r>
        <w:rPr/>
        <w:t>certain ways the granting by a court of relief which, if granted, might affect the exercise of the Convention right to freedom of expression. In this respect, s.12(4) provides that:</w:t>
      </w:r>
    </w:p>
    <w:p>
      <w:pPr>
        <w:pStyle w:val="BodyText"/>
      </w:pPr>
    </w:p>
    <w:p>
      <w:pPr>
        <w:pStyle w:val="BodyText"/>
        <w:spacing w:before="125"/>
      </w:pPr>
    </w:p>
    <w:p>
      <w:pPr>
        <w:pStyle w:val="BodyText"/>
        <w:spacing w:line="235" w:lineRule="auto"/>
        <w:ind w:left="1244" w:right="167"/>
        <w:jc w:val="both"/>
      </w:pPr>
      <w:r>
        <w:rPr/>
        <w:t>“The court must have particular regard to the importance of the Convention right to freedom of expression and, where the proceedings relate to material which the respondent claims, or which appears to the court, to be journalistic, literary or artistic material (or to conduct connected with such material), to—</w:t>
      </w:r>
    </w:p>
    <w:p>
      <w:pPr>
        <w:pStyle w:val="BodyText"/>
      </w:pPr>
    </w:p>
    <w:p>
      <w:pPr>
        <w:pStyle w:val="BodyText"/>
        <w:spacing w:before="194"/>
      </w:pPr>
    </w:p>
    <w:p>
      <w:pPr>
        <w:pStyle w:val="BodyText"/>
        <w:spacing w:before="1"/>
        <w:ind w:left="1244"/>
      </w:pPr>
      <w:r>
        <w:rPr>
          <w:spacing w:val="-5"/>
        </w:rPr>
        <w:t>(a)</w:t>
      </w:r>
    </w:p>
    <w:p>
      <w:pPr>
        <w:pStyle w:val="BodyText"/>
        <w:spacing w:before="110"/>
        <w:ind w:left="1724"/>
      </w:pPr>
      <w:r>
        <w:rPr/>
        <w:t>the extent to </w:t>
      </w:r>
      <w:r>
        <w:rPr>
          <w:spacing w:val="-2"/>
        </w:rPr>
        <w:t>which</w:t>
      </w:r>
    </w:p>
    <w:p>
      <w:pPr>
        <w:pStyle w:val="BodyText"/>
        <w:spacing w:before="204"/>
      </w:pPr>
    </w:p>
    <w:p>
      <w:pPr>
        <w:pStyle w:val="BodyText"/>
        <w:spacing w:before="1"/>
        <w:ind w:left="1724"/>
      </w:pPr>
      <w:r>
        <w:rPr>
          <w:spacing w:val="-5"/>
        </w:rPr>
        <w:t>(i)</w:t>
      </w:r>
    </w:p>
    <w:p>
      <w:pPr>
        <w:pStyle w:val="BodyText"/>
        <w:spacing w:before="110"/>
        <w:ind w:left="2204"/>
      </w:pPr>
      <w:r>
        <w:rPr/>
        <w:t>the material has, or is about to, become available to the public; </w:t>
      </w:r>
      <w:r>
        <w:rPr>
          <w:spacing w:val="-5"/>
        </w:rPr>
        <w:t>or</w:t>
      </w:r>
    </w:p>
    <w:p>
      <w:pPr>
        <w:pStyle w:val="BodyText"/>
      </w:pPr>
    </w:p>
    <w:p>
      <w:pPr>
        <w:pStyle w:val="BodyText"/>
        <w:spacing w:before="35"/>
      </w:pPr>
    </w:p>
    <w:p>
      <w:pPr>
        <w:pStyle w:val="ListParagraph"/>
        <w:numPr>
          <w:ilvl w:val="0"/>
          <w:numId w:val="7"/>
        </w:numPr>
        <w:tabs>
          <w:tab w:pos="1946" w:val="left" w:leader="none"/>
        </w:tabs>
        <w:spacing w:line="240" w:lineRule="auto" w:before="0" w:after="0"/>
        <w:ind w:left="1946" w:right="0" w:hanging="222"/>
        <w:jc w:val="left"/>
        <w:rPr>
          <w:rFonts w:ascii="Arial MT" w:hAnsi="Arial MT"/>
          <w:sz w:val="18"/>
        </w:rPr>
      </w:pPr>
      <w:r>
        <w:rPr>
          <w:rFonts w:ascii="Arial MT" w:hAnsi="Arial MT"/>
          <w:sz w:val="20"/>
        </w:rPr>
        <w:t>​</w:t>
      </w:r>
    </w:p>
    <w:p>
      <w:pPr>
        <w:pStyle w:val="BodyText"/>
        <w:spacing w:before="110"/>
        <w:ind w:left="2204"/>
      </w:pPr>
      <w:r>
        <w:rPr/>
        <w:t>it is, or would be, in the public interest for the material to be </w:t>
      </w:r>
      <w:r>
        <w:rPr>
          <w:spacing w:val="-2"/>
        </w:rPr>
        <w:t>published;</w:t>
      </w:r>
    </w:p>
    <w:p>
      <w:pPr>
        <w:pStyle w:val="BodyText"/>
      </w:pPr>
    </w:p>
    <w:p>
      <w:pPr>
        <w:pStyle w:val="BodyText"/>
      </w:pPr>
    </w:p>
    <w:p>
      <w:pPr>
        <w:pStyle w:val="BodyText"/>
        <w:spacing w:before="185"/>
      </w:pPr>
    </w:p>
    <w:p>
      <w:pPr>
        <w:pStyle w:val="BodyText"/>
        <w:ind w:left="1244"/>
      </w:pPr>
      <w:r>
        <w:rPr>
          <w:spacing w:val="-5"/>
        </w:rPr>
        <w:t>(b)</w:t>
      </w:r>
    </w:p>
    <w:p>
      <w:pPr>
        <w:pStyle w:val="BodyText"/>
        <w:spacing w:before="110"/>
        <w:ind w:left="1724"/>
      </w:pPr>
      <w:r>
        <w:rPr/>
        <w:t>any relevant privacy </w:t>
      </w:r>
      <w:r>
        <w:rPr>
          <w:spacing w:val="-2"/>
        </w:rPr>
        <w:t>code.”</w:t>
      </w:r>
    </w:p>
    <w:p>
      <w:pPr>
        <w:pStyle w:val="BodyText"/>
      </w:pPr>
    </w:p>
    <w:p>
      <w:pPr>
        <w:pStyle w:val="BodyText"/>
      </w:pPr>
    </w:p>
    <w:p>
      <w:pPr>
        <w:pStyle w:val="BodyText"/>
        <w:spacing w:before="91"/>
      </w:pPr>
    </w:p>
    <w:p>
      <w:pPr>
        <w:pStyle w:val="BodyText"/>
        <w:spacing w:before="1"/>
        <w:ind w:left="164"/>
      </w:pPr>
      <w:r>
        <w:rPr/>
        <w:t>According to Sedley L.J., this </w:t>
      </w:r>
      <w:r>
        <w:rPr>
          <w:spacing w:val="-2"/>
        </w:rPr>
        <w:t>provision:</w:t>
      </w:r>
    </w:p>
    <w:p>
      <w:pPr>
        <w:pStyle w:val="BodyText"/>
        <w:spacing w:after="0"/>
        <w:sectPr>
          <w:headerReference w:type="default" r:id="rId29"/>
          <w:pgSz w:w="11900" w:h="16840"/>
          <w:pgMar w:header="971" w:footer="0" w:top="1300" w:bottom="280" w:left="1275" w:right="1275"/>
          <w:pgNumType w:start="1"/>
        </w:sectPr>
      </w:pPr>
    </w:p>
    <w:p>
      <w:pPr>
        <w:pStyle w:val="BodyText"/>
      </w:pPr>
    </w:p>
    <w:p>
      <w:pPr>
        <w:pStyle w:val="BodyText"/>
        <w:spacing w:before="177"/>
      </w:pPr>
    </w:p>
    <w:p>
      <w:pPr>
        <w:pStyle w:val="BodyText"/>
        <w:spacing w:line="235" w:lineRule="auto"/>
        <w:ind w:left="1245" w:right="167"/>
        <w:jc w:val="both"/>
      </w:pPr>
      <w:bookmarkStart w:name="_bookmark1386" w:id="1388"/>
      <w:bookmarkEnd w:id="1388"/>
      <w:r>
        <w:rPr/>
      </w:r>
      <w:r>
        <w:rPr/>
        <w:t>“… puts beyond question the direct applicability of at least one Article of the </w:t>
      </w:r>
      <w:r>
        <w:rPr/>
        <w:t>Convention as</w:t>
      </w:r>
      <w:r>
        <w:rPr>
          <w:spacing w:val="2"/>
        </w:rPr>
        <w:t> </w:t>
      </w:r>
      <w:r>
        <w:rPr/>
        <w:t>between</w:t>
      </w:r>
      <w:r>
        <w:rPr>
          <w:spacing w:val="2"/>
        </w:rPr>
        <w:t> </w:t>
      </w:r>
      <w:r>
        <w:rPr/>
        <w:t>one</w:t>
      </w:r>
      <w:r>
        <w:rPr>
          <w:spacing w:val="2"/>
        </w:rPr>
        <w:t> </w:t>
      </w:r>
      <w:r>
        <w:rPr/>
        <w:t>private</w:t>
      </w:r>
      <w:r>
        <w:rPr>
          <w:spacing w:val="2"/>
        </w:rPr>
        <w:t> </w:t>
      </w:r>
      <w:r>
        <w:rPr/>
        <w:t>party</w:t>
      </w:r>
      <w:r>
        <w:rPr>
          <w:spacing w:val="2"/>
        </w:rPr>
        <w:t> </w:t>
      </w:r>
      <w:r>
        <w:rPr/>
        <w:t>to</w:t>
      </w:r>
      <w:r>
        <w:rPr>
          <w:spacing w:val="2"/>
        </w:rPr>
        <w:t> </w:t>
      </w:r>
      <w:r>
        <w:rPr/>
        <w:t>litigation</w:t>
      </w:r>
      <w:r>
        <w:rPr>
          <w:spacing w:val="2"/>
        </w:rPr>
        <w:t> </w:t>
      </w:r>
      <w:r>
        <w:rPr/>
        <w:t>and</w:t>
      </w:r>
      <w:r>
        <w:rPr>
          <w:spacing w:val="2"/>
        </w:rPr>
        <w:t> </w:t>
      </w:r>
      <w:r>
        <w:rPr/>
        <w:t>another—in</w:t>
      </w:r>
      <w:r>
        <w:rPr>
          <w:spacing w:val="2"/>
        </w:rPr>
        <w:t> </w:t>
      </w:r>
      <w:r>
        <w:rPr/>
        <w:t>the</w:t>
      </w:r>
      <w:r>
        <w:rPr>
          <w:spacing w:val="2"/>
        </w:rPr>
        <w:t> </w:t>
      </w:r>
      <w:r>
        <w:rPr/>
        <w:t>jargon,</w:t>
      </w:r>
      <w:r>
        <w:rPr>
          <w:spacing w:val="2"/>
        </w:rPr>
        <w:t> </w:t>
      </w:r>
      <w:r>
        <w:rPr/>
        <w:t>its</w:t>
      </w:r>
      <w:r>
        <w:rPr>
          <w:spacing w:val="2"/>
        </w:rPr>
        <w:t> </w:t>
      </w:r>
      <w:r>
        <w:rPr/>
        <w:t>horizontal</w:t>
      </w:r>
      <w:r>
        <w:rPr>
          <w:spacing w:val="2"/>
        </w:rPr>
        <w:t> </w:t>
      </w:r>
      <w:r>
        <w:rPr>
          <w:spacing w:val="-2"/>
        </w:rPr>
        <w:t>effect.”</w:t>
      </w:r>
    </w:p>
    <w:p>
      <w:pPr>
        <w:spacing w:line="113" w:lineRule="exact" w:before="0"/>
        <w:ind w:left="1245" w:right="0" w:firstLine="0"/>
        <w:jc w:val="left"/>
        <w:rPr>
          <w:sz w:val="12"/>
        </w:rPr>
      </w:pPr>
      <w:r>
        <w:rPr>
          <w:color w:val="005DA1"/>
          <w:spacing w:val="-5"/>
          <w:sz w:val="12"/>
          <w:u w:val="single" w:color="005DA1"/>
        </w:rPr>
        <w:t>733</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0"/>
        <w:rPr>
          <w:sz w:val="12"/>
        </w:rPr>
      </w:pPr>
    </w:p>
    <w:p>
      <w:pPr>
        <w:spacing w:before="0"/>
        <w:ind w:left="165" w:right="0" w:firstLine="0"/>
        <w:jc w:val="left"/>
        <w:rPr>
          <w:rFonts w:ascii="Arial"/>
          <w:b/>
          <w:sz w:val="24"/>
        </w:rPr>
      </w:pPr>
      <w:r>
        <w:rPr>
          <w:rFonts w:ascii="Arial"/>
          <w:b/>
          <w:sz w:val="24"/>
        </w:rPr>
        <w:t>1-</w:t>
      </w:r>
      <w:r>
        <w:rPr>
          <w:rFonts w:ascii="Arial"/>
          <w:b/>
          <w:spacing w:val="-5"/>
          <w:sz w:val="24"/>
        </w:rPr>
        <w:t>093</w:t>
      </w:r>
    </w:p>
    <w:p>
      <w:pPr>
        <w:pStyle w:val="BodyText"/>
        <w:spacing w:line="235" w:lineRule="auto" w:before="202"/>
        <w:ind w:left="165" w:right="167"/>
        <w:jc w:val="both"/>
      </w:pPr>
      <w:bookmarkStart w:name="_bookmark1387" w:id="1389"/>
      <w:bookmarkEnd w:id="1389"/>
      <w:r>
        <w:rPr/>
      </w:r>
      <w:r>
        <w:rPr/>
        <w:t>In </w:t>
      </w:r>
      <w:r>
        <w:rPr>
          <w:rFonts w:ascii="Arial"/>
          <w:i/>
        </w:rPr>
        <w:t>Ashworth v The Royal National Theatre</w:t>
      </w:r>
      <w:r>
        <w:rPr/>
        <w:t>, </w:t>
      </w:r>
      <w:r>
        <w:rPr>
          <w:color w:val="005DA1"/>
          <w:u w:val="single" w:color="005DA1"/>
          <w:vertAlign w:val="superscript"/>
        </w:rPr>
        <w:t>734</w:t>
      </w:r>
      <w:r>
        <w:rPr>
          <w:color w:val="005DA1"/>
          <w:vertAlign w:val="baseline"/>
        </w:rPr>
        <w:t> </w:t>
      </w:r>
      <w:r>
        <w:rPr>
          <w:vertAlign w:val="baseline"/>
        </w:rPr>
        <w:t>the claimants had been employed as musicians for </w:t>
      </w:r>
      <w:r>
        <w:rPr>
          <w:vertAlign w:val="baseline"/>
        </w:rPr>
        <w:t>a particular production by the defendant theatre, which had purported to terminate their contracts of employment on alleged grounds of redundancy as it had decided to produce the play without live music. They applied to the High Court for an interim injunction, or alternatively specific performance, to continue to engage them in the production until trial of their claim. In assessing the balance of convenience in relation to the award of specific relief, Cranston J. held that art.10 of the European Convention on Human Rights:</w:t>
      </w:r>
    </w:p>
    <w:p>
      <w:pPr>
        <w:pStyle w:val="BodyText"/>
      </w:pPr>
    </w:p>
    <w:p>
      <w:pPr>
        <w:pStyle w:val="BodyText"/>
        <w:spacing w:before="124"/>
      </w:pPr>
    </w:p>
    <w:p>
      <w:pPr>
        <w:pStyle w:val="BodyText"/>
        <w:spacing w:line="235" w:lineRule="auto"/>
        <w:ind w:left="1245" w:right="167"/>
        <w:jc w:val="both"/>
      </w:pPr>
      <w:bookmarkStart w:name="_bookmark1388" w:id="1390"/>
      <w:bookmarkEnd w:id="1390"/>
      <w:r>
        <w:rPr/>
      </w:r>
      <w:r>
        <w:rPr/>
        <w:t>“has a significant role in the application of the </w:t>
      </w:r>
      <w:r>
        <w:rPr>
          <w:rFonts w:ascii="Arial" w:hAnsi="Arial"/>
          <w:i/>
        </w:rPr>
        <w:t>American Cynamid </w:t>
      </w:r>
      <w:r>
        <w:rPr/>
        <w:t>test,[ </w:t>
      </w:r>
      <w:r>
        <w:rPr>
          <w:color w:val="005DA1"/>
          <w:u w:val="single" w:color="005DA1"/>
          <w:vertAlign w:val="superscript"/>
        </w:rPr>
        <w:t>735</w:t>
      </w:r>
      <w:r>
        <w:rPr>
          <w:vertAlign w:val="baseline"/>
        </w:rPr>
        <w:t>] not only in </w:t>
      </w:r>
      <w:bookmarkStart w:name="_bookmark1389" w:id="1391"/>
      <w:bookmarkEnd w:id="1391"/>
      <w:r>
        <w:rPr>
          <w:vertAlign w:val="baseline"/>
        </w:rPr>
        <w:t>considering</w:t>
      </w:r>
      <w:r>
        <w:rPr>
          <w:vertAlign w:val="baseline"/>
        </w:rPr>
        <w:t> the claimants’ prospect at trial but also in deciding where the balance </w:t>
      </w:r>
      <w:r>
        <w:rPr>
          <w:vertAlign w:val="baseline"/>
        </w:rPr>
        <w:t>of convenience lies.” </w:t>
      </w:r>
      <w:r>
        <w:rPr>
          <w:color w:val="005DA1"/>
          <w:u w:val="single" w:color="005DA1"/>
          <w:vertAlign w:val="superscript"/>
        </w:rPr>
        <w:t>736</w:t>
      </w:r>
    </w:p>
    <w:p>
      <w:pPr>
        <w:pStyle w:val="BodyText"/>
        <w:spacing w:before="116"/>
      </w:pPr>
    </w:p>
    <w:p>
      <w:pPr>
        <w:pStyle w:val="BodyText"/>
        <w:spacing w:line="235" w:lineRule="auto"/>
        <w:ind w:left="165" w:right="167"/>
        <w:jc w:val="both"/>
      </w:pPr>
      <w:r>
        <w:rPr/>
        <w:t>In the learned judge’s view, there was a serious issue to be tried on the question whether </w:t>
      </w:r>
      <w:r>
        <w:rPr/>
        <w:t>the </w:t>
      </w:r>
      <w:bookmarkStart w:name="_bookmark1390" w:id="1392"/>
      <w:bookmarkEnd w:id="1392"/>
      <w:r>
        <w:rPr/>
        <w:t>defendant</w:t>
      </w:r>
      <w:r>
        <w:rPr/>
        <w:t> was contractually entitled to terminate the claimants’ contracts and that the claimants’ prospects in claiming that it did so in breach of contract were strong. </w:t>
      </w:r>
      <w:r>
        <w:rPr>
          <w:color w:val="005DA1"/>
          <w:u w:val="single" w:color="005DA1"/>
          <w:vertAlign w:val="superscript"/>
        </w:rPr>
        <w:t>737</w:t>
      </w:r>
      <w:r>
        <w:rPr>
          <w:color w:val="005DA1"/>
          <w:vertAlign w:val="baseline"/>
        </w:rPr>
        <w:t> </w:t>
      </w:r>
      <w:r>
        <w:rPr>
          <w:vertAlign w:val="baseline"/>
        </w:rPr>
        <w:t>However, he noted that s.12(1) and (4) of the Human Rights Act 1998</w:t>
      </w:r>
    </w:p>
    <w:p>
      <w:pPr>
        <w:pStyle w:val="BodyText"/>
      </w:pPr>
    </w:p>
    <w:p>
      <w:pPr>
        <w:pStyle w:val="BodyText"/>
        <w:spacing w:before="125"/>
      </w:pPr>
    </w:p>
    <w:p>
      <w:pPr>
        <w:pStyle w:val="BodyText"/>
        <w:spacing w:line="235" w:lineRule="auto"/>
        <w:ind w:left="1245" w:right="167"/>
        <w:jc w:val="both"/>
      </w:pPr>
      <w:r>
        <w:rPr/>
        <w:t>“provides that, in considering whether to grant any relief which may affect the right of freedom of expression in Article 10 of the European Convention on Human Rights, the court must have particular regard to the importance of that right. Section 12(4) refers </w:t>
      </w:r>
      <w:r>
        <w:rPr/>
        <w:t>to artistic and related material and the Strasbourg jurisprudence is clear that Article 10 protects artistic expression … The decisions of producers and artistic teams in staging </w:t>
      </w:r>
      <w:bookmarkStart w:name="_bookmark1391" w:id="1393"/>
      <w:bookmarkEnd w:id="1393"/>
      <w:r>
        <w:rPr/>
        <w:t>plays</w:t>
      </w:r>
      <w:r>
        <w:rPr/>
        <w:t> are protected by Article 10. Here the effect of the order sought would be to interfere with the National Theatre’s right of artistic freedom.” </w:t>
      </w:r>
      <w:r>
        <w:rPr>
          <w:color w:val="005DA1"/>
          <w:u w:val="single" w:color="005DA1"/>
          <w:vertAlign w:val="superscript"/>
        </w:rPr>
        <w:t>738</w:t>
      </w:r>
    </w:p>
    <w:p>
      <w:pPr>
        <w:pStyle w:val="BodyText"/>
        <w:spacing w:before="114"/>
      </w:pPr>
    </w:p>
    <w:p>
      <w:pPr>
        <w:pStyle w:val="BodyText"/>
        <w:spacing w:line="235" w:lineRule="auto"/>
        <w:ind w:left="165" w:right="167"/>
        <w:jc w:val="both"/>
      </w:pPr>
      <w:r>
        <w:rPr/>
        <w:t>This would be a clear interference with the defendant’s right under art.10 and would not be </w:t>
      </w:r>
      <w:r>
        <w:rPr/>
        <w:t>necessary or proportionate to the </w:t>
      </w:r>
      <w:r>
        <w:rPr>
          <w:rFonts w:ascii="Arial" w:hAnsi="Arial"/>
          <w:i/>
        </w:rPr>
        <w:t>claimants’ </w:t>
      </w:r>
      <w:r>
        <w:rPr/>
        <w:t>rights under art.10(2), which were not interfered with by the </w:t>
      </w:r>
      <w:bookmarkStart w:name="_bookmark1392" w:id="1394"/>
      <w:bookmarkEnd w:id="1394"/>
      <w:r>
        <w:rPr/>
        <w:t>dismissal</w:t>
      </w:r>
      <w:r>
        <w:rPr/>
        <w:t> (as they can play their instruments elsewhere) and their contractual rights could be </w:t>
      </w:r>
      <w:bookmarkStart w:name="_bookmark1393" w:id="1395"/>
      <w:bookmarkEnd w:id="1395"/>
      <w:r>
        <w:rPr/>
        <w:t>adequately</w:t>
      </w:r>
      <w:r>
        <w:rPr/>
        <w:t> protected by an award of damages. </w:t>
      </w:r>
      <w:r>
        <w:rPr>
          <w:color w:val="005DA1"/>
          <w:u w:val="single" w:color="005DA1"/>
          <w:vertAlign w:val="superscript"/>
        </w:rPr>
        <w:t>739</w:t>
      </w:r>
      <w:r>
        <w:rPr>
          <w:color w:val="005DA1"/>
          <w:vertAlign w:val="baseline"/>
        </w:rPr>
        <w:t> </w:t>
      </w:r>
      <w:r>
        <w:rPr>
          <w:vertAlign w:val="baseline"/>
        </w:rPr>
        <w:t>Overall, therefore, Cranston J. refused the interim relief sought. </w:t>
      </w:r>
      <w:r>
        <w:rPr>
          <w:color w:val="005DA1"/>
          <w:u w:val="single" w:color="005DA1"/>
          <w:vertAlign w:val="superscript"/>
        </w:rPr>
        <w:t>740</w:t>
      </w:r>
    </w:p>
    <w:p>
      <w:pPr>
        <w:pStyle w:val="BodyText"/>
      </w:pPr>
    </w:p>
    <w:p>
      <w:pPr>
        <w:pStyle w:val="BodyText"/>
        <w:spacing w:before="37"/>
      </w:pPr>
    </w:p>
    <w:p>
      <w:pPr>
        <w:spacing w:before="0"/>
        <w:ind w:left="165" w:right="0" w:firstLine="0"/>
        <w:jc w:val="both"/>
        <w:rPr>
          <w:rFonts w:ascii="Arial"/>
          <w:b/>
          <w:sz w:val="18"/>
        </w:rPr>
      </w:pPr>
      <w:r>
        <w:rPr>
          <w:rFonts w:ascii="Arial"/>
          <w:b/>
          <w:sz w:val="18"/>
        </w:rPr>
        <w:t>The impact of s.12 on duties of </w:t>
      </w:r>
      <w:r>
        <w:rPr>
          <w:rFonts w:ascii="Arial"/>
          <w:b/>
          <w:spacing w:val="-2"/>
          <w:sz w:val="18"/>
        </w:rPr>
        <w:t>confidentiality</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094</w:t>
      </w:r>
    </w:p>
    <w:p>
      <w:pPr>
        <w:pStyle w:val="BodyText"/>
        <w:spacing w:line="235" w:lineRule="auto" w:before="202"/>
        <w:ind w:left="165" w:right="167"/>
        <w:jc w:val="both"/>
      </w:pPr>
      <w:r>
        <w:rPr/>
        <w:t>Before the coming into force of the Human Rights Act, English law recognised the existence of duties of</w:t>
      </w:r>
      <w:r>
        <w:rPr>
          <w:spacing w:val="40"/>
        </w:rPr>
        <w:t> </w:t>
      </w:r>
      <w:r>
        <w:rPr/>
        <w:t>confidentiality</w:t>
      </w:r>
      <w:r>
        <w:rPr>
          <w:spacing w:val="40"/>
        </w:rPr>
        <w:t> </w:t>
      </w:r>
      <w:r>
        <w:rPr/>
        <w:t>arising</w:t>
      </w:r>
      <w:r>
        <w:rPr>
          <w:spacing w:val="40"/>
        </w:rPr>
        <w:t> </w:t>
      </w:r>
      <w:r>
        <w:rPr/>
        <w:t>from</w:t>
      </w:r>
      <w:r>
        <w:rPr>
          <w:spacing w:val="40"/>
        </w:rPr>
        <w:t> </w:t>
      </w:r>
      <w:r>
        <w:rPr/>
        <w:t>express</w:t>
      </w:r>
      <w:r>
        <w:rPr>
          <w:spacing w:val="40"/>
        </w:rPr>
        <w:t> </w:t>
      </w:r>
      <w:r>
        <w:rPr/>
        <w:t>or</w:t>
      </w:r>
      <w:r>
        <w:rPr>
          <w:spacing w:val="40"/>
        </w:rPr>
        <w:t> </w:t>
      </w:r>
      <w:r>
        <w:rPr/>
        <w:t>implied</w:t>
      </w:r>
      <w:r>
        <w:rPr>
          <w:spacing w:val="40"/>
        </w:rPr>
        <w:t> </w:t>
      </w:r>
      <w:r>
        <w:rPr/>
        <w:t>contractual</w:t>
      </w:r>
      <w:r>
        <w:rPr>
          <w:spacing w:val="40"/>
        </w:rPr>
        <w:t> </w:t>
      </w:r>
      <w:r>
        <w:rPr/>
        <w:t>agreement</w:t>
      </w:r>
      <w:r>
        <w:rPr>
          <w:spacing w:val="40"/>
        </w:rPr>
        <w:t> </w:t>
      </w:r>
      <w:r>
        <w:rPr/>
        <w:t>or</w:t>
      </w:r>
      <w:r>
        <w:rPr>
          <w:spacing w:val="40"/>
        </w:rPr>
        <w:t> </w:t>
      </w:r>
      <w:r>
        <w:rPr/>
        <w:t>from</w:t>
      </w:r>
      <w:r>
        <w:rPr>
          <w:spacing w:val="40"/>
        </w:rPr>
        <w:t> </w:t>
      </w:r>
      <w:r>
        <w:rPr/>
        <w:t>the</w:t>
      </w:r>
      <w:r>
        <w:rPr>
          <w:spacing w:val="40"/>
        </w:rPr>
        <w:t> </w:t>
      </w:r>
      <w:r>
        <w:rPr/>
        <w:t>nature</w:t>
      </w:r>
      <w:r>
        <w:rPr>
          <w:spacing w:val="40"/>
        </w:rPr>
        <w:t> </w:t>
      </w:r>
      <w:r>
        <w:rPr/>
        <w:t>of</w:t>
      </w:r>
      <w:r>
        <w:rPr>
          <w:spacing w:val="40"/>
        </w:rPr>
        <w:t> </w:t>
      </w:r>
      <w:r>
        <w:rPr/>
        <w:t>a </w:t>
      </w:r>
      <w:bookmarkStart w:name="_bookmark1394" w:id="1396"/>
      <w:bookmarkEnd w:id="1396"/>
      <w:r>
        <w:rPr/>
        <w:t>non</w:t>
      </w:r>
      <w:r>
        <w:rPr/>
        <w:t>-contractual relationship between the parties and saw the basis of these duties in very broad concepts of good faith, loyalty and fair dealing. </w:t>
      </w:r>
      <w:r>
        <w:rPr>
          <w:color w:val="005DA1"/>
          <w:u w:val="single" w:color="005DA1"/>
          <w:vertAlign w:val="superscript"/>
        </w:rPr>
        <w:t>741</w:t>
      </w:r>
      <w:r>
        <w:rPr>
          <w:color w:val="005DA1"/>
          <w:vertAlign w:val="baseline"/>
        </w:rPr>
        <w:t> </w:t>
      </w:r>
      <w:r>
        <w:rPr>
          <w:vertAlign w:val="baseline"/>
        </w:rPr>
        <w:t>The application of s.12 of the 1998 Act has arisen</w:t>
      </w:r>
      <w:r>
        <w:rPr>
          <w:spacing w:val="40"/>
          <w:vertAlign w:val="baseline"/>
        </w:rPr>
        <w:t> </w:t>
      </w:r>
      <w:bookmarkStart w:name="_bookmark1395" w:id="1397"/>
      <w:bookmarkEnd w:id="1397"/>
      <w:r>
        <w:rPr>
          <w:vertAlign w:val="baseline"/>
        </w:rPr>
        <w:t>in</w:t>
      </w:r>
      <w:r>
        <w:rPr>
          <w:vertAlign w:val="baseline"/>
        </w:rPr>
        <w:t> the context of both contractual and non-contractual duties of confidentiality in a number of cases since its coming into force. </w:t>
      </w:r>
      <w:r>
        <w:rPr>
          <w:color w:val="005DA1"/>
          <w:u w:val="single" w:color="005DA1"/>
          <w:vertAlign w:val="superscript"/>
        </w:rPr>
        <w:t>742</w:t>
      </w:r>
      <w:r>
        <w:rPr>
          <w:color w:val="005DA1"/>
          <w:vertAlign w:val="baseline"/>
        </w:rPr>
        <w:t> </w:t>
      </w:r>
      <w:r>
        <w:rPr>
          <w:vertAlign w:val="baseline"/>
        </w:rPr>
        <w:t>It has been observed that:</w:t>
      </w:r>
    </w:p>
    <w:p>
      <w:pPr>
        <w:pStyle w:val="BodyText"/>
      </w:pPr>
    </w:p>
    <w:p>
      <w:pPr>
        <w:pStyle w:val="BodyText"/>
        <w:spacing w:before="125"/>
      </w:pPr>
    </w:p>
    <w:p>
      <w:pPr>
        <w:pStyle w:val="BodyText"/>
        <w:spacing w:line="235" w:lineRule="auto"/>
        <w:ind w:left="1245" w:right="167"/>
        <w:jc w:val="both"/>
      </w:pPr>
      <w:bookmarkStart w:name="_bookmark1396" w:id="1398"/>
      <w:bookmarkEnd w:id="1398"/>
      <w:r>
        <w:rPr/>
      </w:r>
      <w:r>
        <w:rPr/>
        <w:t>“these cases … represent a fusion between the pre-existing law of confidence and </w:t>
      </w:r>
      <w:r>
        <w:rPr/>
        <w:t>rights and duties arising under the Human Rights Act.” </w:t>
      </w:r>
      <w:r>
        <w:rPr>
          <w:color w:val="005DA1"/>
          <w:u w:val="single" w:color="005DA1"/>
          <w:vertAlign w:val="superscript"/>
        </w:rPr>
        <w:t>743</w:t>
      </w:r>
    </w:p>
    <w:p>
      <w:pPr>
        <w:pStyle w:val="BodyText"/>
        <w:spacing w:after="0" w:line="235" w:lineRule="auto"/>
        <w:jc w:val="both"/>
        <w:sectPr>
          <w:pgSz w:w="11900" w:h="16840"/>
          <w:pgMar w:header="971" w:footer="0" w:top="1300" w:bottom="280" w:left="1275" w:right="1275"/>
        </w:sectPr>
      </w:pPr>
    </w:p>
    <w:p>
      <w:pPr>
        <w:pStyle w:val="BodyText"/>
        <w:spacing w:before="40"/>
      </w:pPr>
    </w:p>
    <w:p>
      <w:pPr>
        <w:pStyle w:val="BodyText"/>
        <w:spacing w:line="235" w:lineRule="auto"/>
        <w:ind w:left="165" w:right="167"/>
        <w:jc w:val="both"/>
      </w:pPr>
      <w:bookmarkStart w:name="_bookmark1397" w:id="1399"/>
      <w:bookmarkEnd w:id="1399"/>
      <w:r>
        <w:rPr/>
      </w:r>
      <w:r>
        <w:rPr/>
        <w:t>In the result, “the values enshrined in articles 8 and 10 are now part of the cause of action for breach of confidence”. </w:t>
      </w:r>
      <w:r>
        <w:rPr>
          <w:color w:val="005DA1"/>
          <w:u w:val="single" w:color="005DA1"/>
          <w:vertAlign w:val="superscript"/>
        </w:rPr>
        <w:t>744</w:t>
      </w:r>
      <w:r>
        <w:rPr>
          <w:color w:val="005DA1"/>
          <w:vertAlign w:val="baseline"/>
        </w:rPr>
        <w:t> </w:t>
      </w:r>
      <w:r>
        <w:rPr>
          <w:vertAlign w:val="baseline"/>
        </w:rPr>
        <w:t>In applying s.12, the court evaluates and weighs up duties of </w:t>
      </w:r>
      <w:r>
        <w:rPr>
          <w:vertAlign w:val="baseline"/>
        </w:rPr>
        <w:t>confidentiality, </w:t>
      </w:r>
      <w:bookmarkStart w:name="_bookmark1398" w:id="1400"/>
      <w:bookmarkEnd w:id="1400"/>
      <w:r>
        <w:rPr>
          <w:vertAlign w:val="baseline"/>
        </w:rPr>
        <w:t>competing</w:t>
      </w:r>
      <w:r>
        <w:rPr>
          <w:vertAlign w:val="baseline"/>
        </w:rPr>
        <w:t> rights of privacy and of free expression and more general considerations of the public interest. </w:t>
      </w:r>
      <w:r>
        <w:rPr>
          <w:color w:val="005DA1"/>
          <w:u w:val="single" w:color="005DA1"/>
          <w:vertAlign w:val="superscript"/>
        </w:rPr>
        <w:t>745</w:t>
      </w:r>
      <w:r>
        <w:rPr>
          <w:color w:val="005DA1"/>
          <w:vertAlign w:val="baseline"/>
        </w:rPr>
        <w:t> </w:t>
      </w:r>
      <w:r>
        <w:rPr>
          <w:vertAlign w:val="baseline"/>
        </w:rPr>
        <w:t>In this respect, it has been observed that:</w:t>
      </w:r>
    </w:p>
    <w:p>
      <w:pPr>
        <w:pStyle w:val="BodyText"/>
      </w:pPr>
    </w:p>
    <w:p>
      <w:pPr>
        <w:pStyle w:val="BodyText"/>
        <w:spacing w:before="125"/>
      </w:pPr>
    </w:p>
    <w:p>
      <w:pPr>
        <w:pStyle w:val="BodyText"/>
        <w:spacing w:line="235" w:lineRule="auto" w:before="1"/>
        <w:ind w:left="1244" w:right="167"/>
        <w:jc w:val="both"/>
      </w:pPr>
      <w:r>
        <w:rPr/>
        <w:t>“… it is arguable that a duty of confidentiality that has been expressly assumed under contract carries more weight, when balanced against the restriction of the right </w:t>
      </w:r>
      <w:r>
        <w:rPr/>
        <w:t>of</w:t>
      </w:r>
      <w:r>
        <w:rPr>
          <w:spacing w:val="80"/>
        </w:rPr>
        <w:t> </w:t>
      </w:r>
      <w:bookmarkStart w:name="_bookmark1399" w:id="1401"/>
      <w:bookmarkEnd w:id="1401"/>
      <w:r>
        <w:rPr/>
        <w:t>freedom</w:t>
      </w:r>
      <w:r>
        <w:rPr/>
        <w:t> of expression, than a duty of confidentiality not buttressed by express agreement.” </w:t>
      </w:r>
      <w:r>
        <w:rPr>
          <w:color w:val="005DA1"/>
          <w:u w:val="single" w:color="005DA1"/>
          <w:vertAlign w:val="superscript"/>
        </w:rPr>
        <w:t>746</w:t>
      </w:r>
    </w:p>
    <w:p>
      <w:pPr>
        <w:pStyle w:val="BodyText"/>
      </w:pPr>
    </w:p>
    <w:p>
      <w:pPr>
        <w:pStyle w:val="BodyText"/>
      </w:pPr>
    </w:p>
    <w:p>
      <w:pPr>
        <w:pStyle w:val="BodyText"/>
        <w:spacing w:before="154"/>
      </w:pPr>
      <w:r>
        <w:rPr/>
        <mc:AlternateContent>
          <mc:Choice Requires="wps">
            <w:drawing>
              <wp:anchor distT="0" distB="0" distL="0" distR="0" allowOverlap="1" layoutInCell="1" locked="0" behindDoc="1" simplePos="0" relativeHeight="487674880">
                <wp:simplePos x="0" y="0"/>
                <wp:positionH relativeFrom="page">
                  <wp:posOffset>914400</wp:posOffset>
                </wp:positionH>
                <wp:positionV relativeFrom="paragraph">
                  <wp:posOffset>259679</wp:posOffset>
                </wp:positionV>
                <wp:extent cx="5724525" cy="1270"/>
                <wp:effectExtent l="0" t="0" r="0" b="0"/>
                <wp:wrapTopAndBottom/>
                <wp:docPr id="361" name="Graphic 361"/>
                <wp:cNvGraphicFramePr>
                  <a:graphicFrameLocks/>
                </wp:cNvGraphicFramePr>
                <a:graphic>
                  <a:graphicData uri="http://schemas.microsoft.com/office/word/2010/wordprocessingShape">
                    <wps:wsp>
                      <wps:cNvPr id="361" name="Graphic 36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44718pt;width:450.75pt;height:.1pt;mso-position-horizontal-relative:page;mso-position-vertical-relative:paragraph;z-index:-15641600;mso-wrap-distance-left:0;mso-wrap-distance-right:0" id="docshape41" coordorigin="1440,409" coordsize="9015,0" path="m1440,409l10454,409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1400" w:id="1402"/>
      <w:bookmarkEnd w:id="1402"/>
      <w:r>
        <w:rPr/>
      </w:r>
      <w:hyperlink w:history="true" w:anchor="_bookmark1386">
        <w:r>
          <w:rPr>
            <w:color w:val="005DA1"/>
            <w:spacing w:val="-4"/>
            <w:position w:val="5"/>
            <w:sz w:val="14"/>
            <w:u w:val="single" w:color="005DA1"/>
          </w:rPr>
          <w:t>733</w:t>
        </w:r>
      </w:hyperlink>
      <w:r>
        <w:rPr>
          <w:spacing w:val="-4"/>
          <w:position w:val="5"/>
          <w:sz w:val="14"/>
        </w:rPr>
        <w:t>.</w:t>
      </w:r>
      <w:r>
        <w:rPr>
          <w:position w:val="5"/>
          <w:sz w:val="14"/>
        </w:rPr>
        <w:tab/>
      </w:r>
      <w:r>
        <w:rPr>
          <w:rFonts w:ascii="Arial"/>
          <w:i/>
          <w:sz w:val="20"/>
        </w:rPr>
        <w:t>Douglas v Hello! Ltd (No.1) [2001] Q.B. 967</w:t>
      </w:r>
      <w:r>
        <w:rPr>
          <w:rFonts w:ascii="Arial"/>
          <w:i/>
          <w:spacing w:val="-1"/>
          <w:sz w:val="20"/>
        </w:rPr>
        <w:t> </w:t>
      </w:r>
      <w:r>
        <w:rPr>
          <w:sz w:val="20"/>
        </w:rPr>
        <w:t>at </w:t>
      </w:r>
      <w:r>
        <w:rPr>
          <w:spacing w:val="-2"/>
          <w:sz w:val="20"/>
        </w:rPr>
        <w:t>[133].</w:t>
      </w:r>
    </w:p>
    <w:p>
      <w:pPr>
        <w:pStyle w:val="BodyText"/>
        <w:spacing w:before="5"/>
      </w:pPr>
    </w:p>
    <w:p>
      <w:pPr>
        <w:tabs>
          <w:tab w:pos="705" w:val="left" w:leader="none"/>
        </w:tabs>
        <w:spacing w:before="0"/>
        <w:ind w:left="165" w:right="0" w:firstLine="0"/>
        <w:jc w:val="left"/>
        <w:rPr>
          <w:sz w:val="20"/>
        </w:rPr>
      </w:pPr>
      <w:bookmarkStart w:name="_bookmark1401" w:id="1403"/>
      <w:bookmarkEnd w:id="1403"/>
      <w:r>
        <w:rPr/>
      </w:r>
      <w:hyperlink w:history="true" w:anchor="_bookmark1387">
        <w:r>
          <w:rPr>
            <w:color w:val="005DA1"/>
            <w:spacing w:val="-4"/>
            <w:position w:val="5"/>
            <w:sz w:val="14"/>
            <w:u w:val="single" w:color="005DA1"/>
          </w:rPr>
          <w:t>734</w:t>
        </w:r>
      </w:hyperlink>
      <w:r>
        <w:rPr>
          <w:spacing w:val="-4"/>
          <w:position w:val="5"/>
          <w:sz w:val="14"/>
        </w:rPr>
        <w:t>.</w:t>
      </w:r>
      <w:r>
        <w:rPr>
          <w:position w:val="5"/>
          <w:sz w:val="14"/>
        </w:rPr>
        <w:tab/>
      </w:r>
      <w:r>
        <w:rPr>
          <w:rFonts w:ascii="Arial"/>
          <w:i/>
          <w:sz w:val="20"/>
        </w:rPr>
        <w:t>[2014] EWHC 1176 (QB), [2014] 4 All E.R. </w:t>
      </w:r>
      <w:r>
        <w:rPr>
          <w:rFonts w:ascii="Arial"/>
          <w:i/>
          <w:spacing w:val="-4"/>
          <w:sz w:val="20"/>
        </w:rPr>
        <w:t>238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02" w:id="1404"/>
      <w:bookmarkEnd w:id="1404"/>
      <w:r>
        <w:rPr/>
      </w:r>
      <w:hyperlink w:history="true" w:anchor="_bookmark1388">
        <w:r>
          <w:rPr>
            <w:color w:val="005DA1"/>
            <w:spacing w:val="-4"/>
            <w:position w:val="5"/>
            <w:sz w:val="14"/>
            <w:u w:val="single" w:color="005DA1"/>
          </w:rPr>
          <w:t>735</w:t>
        </w:r>
      </w:hyperlink>
      <w:r>
        <w:rPr>
          <w:spacing w:val="-4"/>
          <w:position w:val="5"/>
          <w:sz w:val="14"/>
        </w:rPr>
        <w:t>.</w:t>
      </w:r>
      <w:r>
        <w:rPr>
          <w:position w:val="5"/>
          <w:sz w:val="14"/>
        </w:rPr>
        <w:tab/>
      </w:r>
      <w:r>
        <w:rPr>
          <w:rFonts w:ascii="Arial"/>
          <w:i/>
          <w:sz w:val="20"/>
        </w:rPr>
        <w:t>American Cynamid Co v Ethicon Ltd [1975] A.C. </w:t>
      </w:r>
      <w:r>
        <w:rPr>
          <w:rFonts w:ascii="Arial"/>
          <w:i/>
          <w:spacing w:val="-4"/>
          <w:sz w:val="20"/>
        </w:rPr>
        <w:t>396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03" w:id="1405"/>
      <w:bookmarkEnd w:id="1405"/>
      <w:r>
        <w:rPr/>
      </w:r>
      <w:hyperlink w:history="true" w:anchor="_bookmark1389">
        <w:r>
          <w:rPr>
            <w:color w:val="005DA1"/>
            <w:spacing w:val="-4"/>
            <w:position w:val="5"/>
            <w:sz w:val="14"/>
            <w:u w:val="single" w:color="005DA1"/>
          </w:rPr>
          <w:t>736</w:t>
        </w:r>
      </w:hyperlink>
      <w:r>
        <w:rPr>
          <w:spacing w:val="-4"/>
          <w:position w:val="5"/>
          <w:sz w:val="14"/>
        </w:rPr>
        <w:t>.</w:t>
      </w:r>
      <w:r>
        <w:rPr>
          <w:position w:val="5"/>
          <w:sz w:val="14"/>
        </w:rPr>
        <w:tab/>
      </w:r>
      <w:r>
        <w:rPr>
          <w:rFonts w:ascii="Arial"/>
          <w:i/>
          <w:sz w:val="20"/>
        </w:rPr>
        <w:t>[2014]</w:t>
      </w:r>
      <w:r>
        <w:rPr>
          <w:rFonts w:ascii="Arial"/>
          <w:i/>
          <w:spacing w:val="-2"/>
          <w:sz w:val="20"/>
        </w:rPr>
        <w:t> </w:t>
      </w:r>
      <w:r>
        <w:rPr>
          <w:rFonts w:ascii="Arial"/>
          <w:i/>
          <w:sz w:val="20"/>
        </w:rPr>
        <w:t>EWHC 1176 (QB)</w:t>
      </w:r>
      <w:r>
        <w:rPr>
          <w:rFonts w:ascii="Arial"/>
          <w:i/>
          <w:spacing w:val="-1"/>
          <w:sz w:val="20"/>
        </w:rPr>
        <w:t> </w:t>
      </w:r>
      <w:r>
        <w:rPr>
          <w:sz w:val="20"/>
        </w:rPr>
        <w:t>at </w:t>
      </w:r>
      <w:r>
        <w:rPr>
          <w:spacing w:val="-4"/>
          <w:sz w:val="20"/>
        </w:rPr>
        <w:t>[3].</w:t>
      </w:r>
    </w:p>
    <w:p>
      <w:pPr>
        <w:pStyle w:val="BodyText"/>
        <w:spacing w:before="5"/>
      </w:pPr>
    </w:p>
    <w:p>
      <w:pPr>
        <w:tabs>
          <w:tab w:pos="705" w:val="left" w:leader="none"/>
        </w:tabs>
        <w:spacing w:before="0"/>
        <w:ind w:left="165" w:right="0" w:firstLine="0"/>
        <w:jc w:val="left"/>
        <w:rPr>
          <w:sz w:val="20"/>
        </w:rPr>
      </w:pPr>
      <w:bookmarkStart w:name="_bookmark1404" w:id="1406"/>
      <w:bookmarkEnd w:id="1406"/>
      <w:r>
        <w:rPr/>
      </w:r>
      <w:hyperlink w:history="true" w:anchor="_bookmark1390">
        <w:r>
          <w:rPr>
            <w:color w:val="005DA1"/>
            <w:spacing w:val="-4"/>
            <w:position w:val="5"/>
            <w:sz w:val="14"/>
            <w:u w:val="single" w:color="005DA1"/>
          </w:rPr>
          <w:t>737</w:t>
        </w:r>
      </w:hyperlink>
      <w:r>
        <w:rPr>
          <w:spacing w:val="-4"/>
          <w:position w:val="5"/>
          <w:sz w:val="14"/>
        </w:rPr>
        <w:t>.</w:t>
      </w:r>
      <w:r>
        <w:rPr>
          <w:position w:val="5"/>
          <w:sz w:val="14"/>
        </w:rPr>
        <w:tab/>
      </w:r>
      <w:r>
        <w:rPr>
          <w:rFonts w:ascii="Arial"/>
          <w:i/>
          <w:sz w:val="20"/>
        </w:rPr>
        <w:t>[2014] EWHC 1176 (QB)</w:t>
      </w:r>
      <w:r>
        <w:rPr>
          <w:rFonts w:ascii="Arial"/>
          <w:i/>
          <w:spacing w:val="-1"/>
          <w:sz w:val="20"/>
        </w:rPr>
        <w:t> </w:t>
      </w:r>
      <w:r>
        <w:rPr>
          <w:sz w:val="20"/>
        </w:rPr>
        <w:t>at </w:t>
      </w:r>
      <w:r>
        <w:rPr>
          <w:spacing w:val="-2"/>
          <w:sz w:val="20"/>
        </w:rPr>
        <w:t>[15].</w:t>
      </w:r>
    </w:p>
    <w:p>
      <w:pPr>
        <w:pStyle w:val="BodyText"/>
        <w:spacing w:before="5"/>
      </w:pPr>
    </w:p>
    <w:p>
      <w:pPr>
        <w:tabs>
          <w:tab w:pos="705" w:val="left" w:leader="none"/>
        </w:tabs>
        <w:spacing w:before="0"/>
        <w:ind w:left="165" w:right="0" w:firstLine="0"/>
        <w:jc w:val="left"/>
        <w:rPr>
          <w:sz w:val="20"/>
        </w:rPr>
      </w:pPr>
      <w:bookmarkStart w:name="_bookmark1405" w:id="1407"/>
      <w:bookmarkEnd w:id="1407"/>
      <w:r>
        <w:rPr/>
      </w:r>
      <w:hyperlink w:history="true" w:anchor="_bookmark1391">
        <w:r>
          <w:rPr>
            <w:color w:val="005DA1"/>
            <w:spacing w:val="-4"/>
            <w:position w:val="5"/>
            <w:sz w:val="14"/>
            <w:u w:val="single" w:color="005DA1"/>
          </w:rPr>
          <w:t>738</w:t>
        </w:r>
      </w:hyperlink>
      <w:r>
        <w:rPr>
          <w:spacing w:val="-4"/>
          <w:position w:val="5"/>
          <w:sz w:val="14"/>
        </w:rPr>
        <w:t>.</w:t>
      </w:r>
      <w:r>
        <w:rPr>
          <w:position w:val="5"/>
          <w:sz w:val="14"/>
        </w:rPr>
        <w:tab/>
      </w:r>
      <w:r>
        <w:rPr>
          <w:rFonts w:ascii="Arial"/>
          <w:i/>
          <w:sz w:val="20"/>
        </w:rPr>
        <w:t>[2014] EWHC 1176 (QB)</w:t>
      </w:r>
      <w:r>
        <w:rPr>
          <w:rFonts w:ascii="Arial"/>
          <w:i/>
          <w:spacing w:val="-1"/>
          <w:sz w:val="20"/>
        </w:rPr>
        <w:t> </w:t>
      </w:r>
      <w:r>
        <w:rPr>
          <w:sz w:val="20"/>
        </w:rPr>
        <w:t>at </w:t>
      </w:r>
      <w:r>
        <w:rPr>
          <w:spacing w:val="-2"/>
          <w:sz w:val="20"/>
        </w:rPr>
        <w:t>[27].</w:t>
      </w:r>
    </w:p>
    <w:p>
      <w:pPr>
        <w:pStyle w:val="BodyText"/>
        <w:spacing w:before="5"/>
      </w:pPr>
    </w:p>
    <w:p>
      <w:pPr>
        <w:tabs>
          <w:tab w:pos="705" w:val="left" w:leader="none"/>
        </w:tabs>
        <w:spacing w:before="0"/>
        <w:ind w:left="165" w:right="0" w:firstLine="0"/>
        <w:jc w:val="left"/>
        <w:rPr>
          <w:sz w:val="20"/>
        </w:rPr>
      </w:pPr>
      <w:bookmarkStart w:name="_bookmark1406" w:id="1408"/>
      <w:bookmarkEnd w:id="1408"/>
      <w:r>
        <w:rPr/>
      </w:r>
      <w:hyperlink w:history="true" w:anchor="_bookmark1392">
        <w:r>
          <w:rPr>
            <w:color w:val="005DA1"/>
            <w:spacing w:val="-4"/>
            <w:position w:val="5"/>
            <w:sz w:val="14"/>
            <w:u w:val="single" w:color="005DA1"/>
          </w:rPr>
          <w:t>739</w:t>
        </w:r>
      </w:hyperlink>
      <w:r>
        <w:rPr>
          <w:spacing w:val="-4"/>
          <w:position w:val="5"/>
          <w:sz w:val="14"/>
        </w:rPr>
        <w:t>.</w:t>
      </w:r>
      <w:r>
        <w:rPr>
          <w:position w:val="5"/>
          <w:sz w:val="14"/>
        </w:rPr>
        <w:tab/>
      </w:r>
      <w:r>
        <w:rPr>
          <w:rFonts w:ascii="Arial" w:hAnsi="Arial"/>
          <w:i/>
          <w:sz w:val="20"/>
        </w:rPr>
        <w:t>[2014] EWHC 1176 (QB)</w:t>
      </w:r>
      <w:r>
        <w:rPr>
          <w:rFonts w:ascii="Arial" w:hAnsi="Arial"/>
          <w:i/>
          <w:spacing w:val="-1"/>
          <w:sz w:val="20"/>
        </w:rPr>
        <w:t> </w:t>
      </w:r>
      <w:r>
        <w:rPr>
          <w:sz w:val="20"/>
        </w:rPr>
        <w:t>at [27] and </w:t>
      </w:r>
      <w:r>
        <w:rPr>
          <w:spacing w:val="-2"/>
          <w:sz w:val="20"/>
        </w:rPr>
        <w:t>[30]–[31].</w:t>
      </w:r>
    </w:p>
    <w:p>
      <w:pPr>
        <w:pStyle w:val="BodyText"/>
        <w:spacing w:before="5"/>
      </w:pPr>
    </w:p>
    <w:p>
      <w:pPr>
        <w:tabs>
          <w:tab w:pos="705" w:val="left" w:leader="none"/>
        </w:tabs>
        <w:spacing w:before="0"/>
        <w:ind w:left="165" w:right="0" w:firstLine="0"/>
        <w:jc w:val="left"/>
        <w:rPr>
          <w:sz w:val="20"/>
        </w:rPr>
      </w:pPr>
      <w:bookmarkStart w:name="_bookmark1407" w:id="1409"/>
      <w:bookmarkEnd w:id="1409"/>
      <w:r>
        <w:rPr/>
      </w:r>
      <w:hyperlink w:history="true" w:anchor="_bookmark1393">
        <w:r>
          <w:rPr>
            <w:color w:val="005DA1"/>
            <w:spacing w:val="-4"/>
            <w:position w:val="5"/>
            <w:sz w:val="14"/>
            <w:u w:val="single" w:color="005DA1"/>
          </w:rPr>
          <w:t>740</w:t>
        </w:r>
      </w:hyperlink>
      <w:r>
        <w:rPr>
          <w:spacing w:val="-4"/>
          <w:position w:val="5"/>
          <w:sz w:val="14"/>
        </w:rPr>
        <w:t>.</w:t>
      </w:r>
      <w:r>
        <w:rPr>
          <w:position w:val="5"/>
          <w:sz w:val="14"/>
        </w:rPr>
        <w:tab/>
      </w:r>
      <w:r>
        <w:rPr>
          <w:rFonts w:ascii="Arial" w:hAnsi="Arial"/>
          <w:i/>
          <w:sz w:val="20"/>
        </w:rPr>
        <w:t>[2014] EWHC 1176 (QB)</w:t>
      </w:r>
      <w:r>
        <w:rPr>
          <w:rFonts w:ascii="Arial" w:hAnsi="Arial"/>
          <w:i/>
          <w:spacing w:val="-1"/>
          <w:sz w:val="20"/>
        </w:rPr>
        <w:t> </w:t>
      </w:r>
      <w:r>
        <w:rPr>
          <w:sz w:val="20"/>
        </w:rPr>
        <w:t>at </w:t>
      </w:r>
      <w:r>
        <w:rPr>
          <w:spacing w:val="-2"/>
          <w:sz w:val="20"/>
        </w:rPr>
        <w:t>[31]–[33].</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408" w:id="1410"/>
      <w:bookmarkEnd w:id="1410"/>
      <w:r>
        <w:rPr/>
      </w:r>
      <w:hyperlink w:history="true" w:anchor="_bookmark1394">
        <w:r>
          <w:rPr>
            <w:color w:val="005DA1"/>
            <w:spacing w:val="-4"/>
            <w:position w:val="5"/>
            <w:sz w:val="14"/>
            <w:u w:val="single" w:color="005DA1"/>
          </w:rPr>
          <w:t>741</w:t>
        </w:r>
      </w:hyperlink>
      <w:r>
        <w:rPr>
          <w:spacing w:val="-4"/>
          <w:position w:val="5"/>
          <w:sz w:val="14"/>
        </w:rPr>
        <w:t>.</w:t>
      </w:r>
      <w:r>
        <w:rPr>
          <w:position w:val="5"/>
          <w:sz w:val="14"/>
        </w:rPr>
        <w:tab/>
      </w:r>
      <w:r>
        <w:rPr>
          <w:rFonts w:ascii="Arial"/>
          <w:i/>
          <w:sz w:val="20"/>
        </w:rPr>
        <w:t>Fraser</w:t>
      </w:r>
      <w:r>
        <w:rPr>
          <w:rFonts w:ascii="Arial"/>
          <w:i/>
          <w:spacing w:val="9"/>
          <w:sz w:val="20"/>
        </w:rPr>
        <w:t> </w:t>
      </w:r>
      <w:r>
        <w:rPr>
          <w:rFonts w:ascii="Arial"/>
          <w:i/>
          <w:sz w:val="20"/>
        </w:rPr>
        <w:t>v</w:t>
      </w:r>
      <w:r>
        <w:rPr>
          <w:rFonts w:ascii="Arial"/>
          <w:i/>
          <w:spacing w:val="10"/>
          <w:sz w:val="20"/>
        </w:rPr>
        <w:t> </w:t>
      </w:r>
      <w:r>
        <w:rPr>
          <w:rFonts w:ascii="Arial"/>
          <w:i/>
          <w:sz w:val="20"/>
        </w:rPr>
        <w:t>Evans</w:t>
      </w:r>
      <w:r>
        <w:rPr>
          <w:rFonts w:ascii="Arial"/>
          <w:i/>
          <w:spacing w:val="10"/>
          <w:sz w:val="20"/>
        </w:rPr>
        <w:t> </w:t>
      </w:r>
      <w:r>
        <w:rPr>
          <w:rFonts w:ascii="Arial"/>
          <w:i/>
          <w:sz w:val="20"/>
        </w:rPr>
        <w:t>[1969]</w:t>
      </w:r>
      <w:r>
        <w:rPr>
          <w:rFonts w:ascii="Arial"/>
          <w:i/>
          <w:spacing w:val="10"/>
          <w:sz w:val="20"/>
        </w:rPr>
        <w:t> </w:t>
      </w:r>
      <w:r>
        <w:rPr>
          <w:rFonts w:ascii="Arial"/>
          <w:i/>
          <w:sz w:val="20"/>
        </w:rPr>
        <w:t>1</w:t>
      </w:r>
      <w:r>
        <w:rPr>
          <w:rFonts w:ascii="Arial"/>
          <w:i/>
          <w:spacing w:val="10"/>
          <w:sz w:val="20"/>
        </w:rPr>
        <w:t> </w:t>
      </w:r>
      <w:r>
        <w:rPr>
          <w:rFonts w:ascii="Arial"/>
          <w:i/>
          <w:sz w:val="20"/>
        </w:rPr>
        <w:t>Q.B.</w:t>
      </w:r>
      <w:r>
        <w:rPr>
          <w:rFonts w:ascii="Arial"/>
          <w:i/>
          <w:spacing w:val="10"/>
          <w:sz w:val="20"/>
        </w:rPr>
        <w:t> </w:t>
      </w:r>
      <w:r>
        <w:rPr>
          <w:rFonts w:ascii="Arial"/>
          <w:i/>
          <w:sz w:val="20"/>
        </w:rPr>
        <w:t>349,</w:t>
      </w:r>
      <w:r>
        <w:rPr>
          <w:rFonts w:ascii="Arial"/>
          <w:i/>
          <w:spacing w:val="10"/>
          <w:sz w:val="20"/>
        </w:rPr>
        <w:t> </w:t>
      </w:r>
      <w:r>
        <w:rPr>
          <w:rFonts w:ascii="Arial"/>
          <w:i/>
          <w:sz w:val="20"/>
        </w:rPr>
        <w:t>361</w:t>
      </w:r>
      <w:r>
        <w:rPr>
          <w:sz w:val="20"/>
        </w:rPr>
        <w:t>;</w:t>
      </w:r>
      <w:r>
        <w:rPr>
          <w:spacing w:val="10"/>
          <w:sz w:val="20"/>
        </w:rPr>
        <w:t> </w:t>
      </w:r>
      <w:r>
        <w:rPr>
          <w:rFonts w:ascii="Arial"/>
          <w:i/>
          <w:sz w:val="20"/>
        </w:rPr>
        <w:t>A.G.</w:t>
      </w:r>
      <w:r>
        <w:rPr>
          <w:rFonts w:ascii="Arial"/>
          <w:i/>
          <w:spacing w:val="10"/>
          <w:sz w:val="20"/>
        </w:rPr>
        <w:t> </w:t>
      </w:r>
      <w:r>
        <w:rPr>
          <w:rFonts w:ascii="Arial"/>
          <w:i/>
          <w:sz w:val="20"/>
        </w:rPr>
        <w:t>v</w:t>
      </w:r>
      <w:r>
        <w:rPr>
          <w:rFonts w:ascii="Arial"/>
          <w:i/>
          <w:spacing w:val="10"/>
          <w:sz w:val="20"/>
        </w:rPr>
        <w:t> </w:t>
      </w:r>
      <w:r>
        <w:rPr>
          <w:rFonts w:ascii="Arial"/>
          <w:i/>
          <w:sz w:val="20"/>
        </w:rPr>
        <w:t>Guardian</w:t>
      </w:r>
      <w:r>
        <w:rPr>
          <w:rFonts w:ascii="Arial"/>
          <w:i/>
          <w:spacing w:val="10"/>
          <w:sz w:val="20"/>
        </w:rPr>
        <w:t> </w:t>
      </w:r>
      <w:r>
        <w:rPr>
          <w:rFonts w:ascii="Arial"/>
          <w:i/>
          <w:sz w:val="20"/>
        </w:rPr>
        <w:t>Newspaper</w:t>
      </w:r>
      <w:r>
        <w:rPr>
          <w:rFonts w:ascii="Arial"/>
          <w:i/>
          <w:spacing w:val="10"/>
          <w:sz w:val="20"/>
        </w:rPr>
        <w:t> </w:t>
      </w:r>
      <w:r>
        <w:rPr>
          <w:rFonts w:ascii="Arial"/>
          <w:i/>
          <w:sz w:val="20"/>
        </w:rPr>
        <w:t>(No.2)</w:t>
      </w:r>
      <w:r>
        <w:rPr>
          <w:rFonts w:ascii="Arial"/>
          <w:i/>
          <w:spacing w:val="10"/>
          <w:sz w:val="20"/>
        </w:rPr>
        <w:t> </w:t>
      </w:r>
      <w:r>
        <w:rPr>
          <w:rFonts w:ascii="Arial"/>
          <w:i/>
          <w:sz w:val="20"/>
        </w:rPr>
        <w:t>[1990]</w:t>
      </w:r>
      <w:r>
        <w:rPr>
          <w:rFonts w:ascii="Arial"/>
          <w:i/>
          <w:spacing w:val="10"/>
          <w:sz w:val="20"/>
        </w:rPr>
        <w:t> </w:t>
      </w:r>
      <w:r>
        <w:rPr>
          <w:rFonts w:ascii="Arial"/>
          <w:i/>
          <w:sz w:val="20"/>
        </w:rPr>
        <w:t>1</w:t>
      </w:r>
      <w:r>
        <w:rPr>
          <w:rFonts w:ascii="Arial"/>
          <w:i/>
          <w:spacing w:val="10"/>
          <w:sz w:val="20"/>
        </w:rPr>
        <w:t> </w:t>
      </w:r>
      <w:r>
        <w:rPr>
          <w:rFonts w:ascii="Arial"/>
          <w:i/>
          <w:sz w:val="20"/>
        </w:rPr>
        <w:t>A.C.</w:t>
      </w:r>
      <w:r>
        <w:rPr>
          <w:rFonts w:ascii="Arial"/>
          <w:i/>
          <w:spacing w:val="10"/>
          <w:sz w:val="20"/>
        </w:rPr>
        <w:t> </w:t>
      </w:r>
      <w:r>
        <w:rPr>
          <w:rFonts w:ascii="Arial"/>
          <w:i/>
          <w:spacing w:val="-4"/>
          <w:sz w:val="20"/>
        </w:rPr>
        <w:t>109,</w:t>
      </w:r>
    </w:p>
    <w:p>
      <w:pPr>
        <w:spacing w:line="227" w:lineRule="exact" w:before="0"/>
        <w:ind w:left="705" w:right="0" w:firstLine="0"/>
        <w:jc w:val="left"/>
        <w:rPr>
          <w:sz w:val="20"/>
        </w:rPr>
      </w:pPr>
      <w:r>
        <w:rPr>
          <w:rFonts w:ascii="Arial"/>
          <w:i/>
          <w:sz w:val="20"/>
        </w:rPr>
        <w:t>269</w:t>
      </w:r>
      <w:r>
        <w:rPr>
          <w:sz w:val="20"/>
        </w:rPr>
        <w:t>;</w:t>
      </w:r>
      <w:r>
        <w:rPr>
          <w:spacing w:val="-1"/>
          <w:sz w:val="20"/>
        </w:rPr>
        <w:t> </w:t>
      </w:r>
      <w:r>
        <w:rPr>
          <w:rFonts w:ascii="Arial"/>
          <w:i/>
          <w:sz w:val="20"/>
        </w:rPr>
        <w:t>Douglas v Hello! Ltd (No.6) [2003] EWHC 786, (2003) 153 N.L.J. 595</w:t>
      </w:r>
      <w:r>
        <w:rPr>
          <w:rFonts w:ascii="Arial"/>
          <w:i/>
          <w:spacing w:val="-1"/>
          <w:sz w:val="20"/>
        </w:rPr>
        <w:t> </w:t>
      </w:r>
      <w:r>
        <w:rPr>
          <w:sz w:val="20"/>
        </w:rPr>
        <w:t>at </w:t>
      </w:r>
      <w:r>
        <w:rPr>
          <w:spacing w:val="-2"/>
          <w:sz w:val="20"/>
        </w:rPr>
        <w:t>[181].</w:t>
      </w:r>
    </w:p>
    <w:p>
      <w:pPr>
        <w:pStyle w:val="BodyText"/>
        <w:spacing w:before="5"/>
      </w:pPr>
    </w:p>
    <w:p>
      <w:pPr>
        <w:tabs>
          <w:tab w:pos="705" w:val="left" w:leader="none"/>
        </w:tabs>
        <w:spacing w:line="227" w:lineRule="exact" w:before="0"/>
        <w:ind w:left="165" w:right="0" w:firstLine="0"/>
        <w:jc w:val="left"/>
        <w:rPr>
          <w:sz w:val="20"/>
        </w:rPr>
      </w:pPr>
      <w:bookmarkStart w:name="_bookmark1409" w:id="1411"/>
      <w:bookmarkEnd w:id="1411"/>
      <w:r>
        <w:rPr/>
      </w:r>
      <w:hyperlink w:history="true" w:anchor="_bookmark1395">
        <w:r>
          <w:rPr>
            <w:color w:val="005DA1"/>
            <w:spacing w:val="-4"/>
            <w:position w:val="5"/>
            <w:sz w:val="14"/>
            <w:u w:val="single" w:color="005DA1"/>
          </w:rPr>
          <w:t>742</w:t>
        </w:r>
      </w:hyperlink>
      <w:r>
        <w:rPr>
          <w:spacing w:val="-4"/>
          <w:position w:val="5"/>
          <w:sz w:val="14"/>
        </w:rPr>
        <w:t>.</w:t>
      </w:r>
      <w:r>
        <w:rPr>
          <w:position w:val="5"/>
          <w:sz w:val="14"/>
        </w:rPr>
        <w:tab/>
      </w:r>
      <w:r>
        <w:rPr>
          <w:rFonts w:ascii="Arial"/>
          <w:i/>
          <w:sz w:val="20"/>
        </w:rPr>
        <w:t>Douglas</w:t>
      </w:r>
      <w:r>
        <w:rPr>
          <w:rFonts w:ascii="Arial"/>
          <w:i/>
          <w:spacing w:val="5"/>
          <w:sz w:val="20"/>
        </w:rPr>
        <w:t> </w:t>
      </w:r>
      <w:r>
        <w:rPr>
          <w:rFonts w:ascii="Arial"/>
          <w:i/>
          <w:sz w:val="20"/>
        </w:rPr>
        <w:t>v</w:t>
      </w:r>
      <w:r>
        <w:rPr>
          <w:rFonts w:ascii="Arial"/>
          <w:i/>
          <w:spacing w:val="6"/>
          <w:sz w:val="20"/>
        </w:rPr>
        <w:t> </w:t>
      </w:r>
      <w:r>
        <w:rPr>
          <w:rFonts w:ascii="Arial"/>
          <w:i/>
          <w:sz w:val="20"/>
        </w:rPr>
        <w:t>Hello!</w:t>
      </w:r>
      <w:r>
        <w:rPr>
          <w:rFonts w:ascii="Arial"/>
          <w:i/>
          <w:spacing w:val="6"/>
          <w:sz w:val="20"/>
        </w:rPr>
        <w:t> </w:t>
      </w:r>
      <w:r>
        <w:rPr>
          <w:rFonts w:ascii="Arial"/>
          <w:i/>
          <w:sz w:val="20"/>
        </w:rPr>
        <w:t>Ltd</w:t>
      </w:r>
      <w:r>
        <w:rPr>
          <w:rFonts w:ascii="Arial"/>
          <w:i/>
          <w:spacing w:val="6"/>
          <w:sz w:val="20"/>
        </w:rPr>
        <w:t> </w:t>
      </w:r>
      <w:r>
        <w:rPr>
          <w:rFonts w:ascii="Arial"/>
          <w:i/>
          <w:sz w:val="20"/>
        </w:rPr>
        <w:t>(No.1)</w:t>
      </w:r>
      <w:r>
        <w:rPr>
          <w:rFonts w:ascii="Arial"/>
          <w:i/>
          <w:spacing w:val="6"/>
          <w:sz w:val="20"/>
        </w:rPr>
        <w:t> </w:t>
      </w:r>
      <w:r>
        <w:rPr>
          <w:rFonts w:ascii="Arial"/>
          <w:i/>
          <w:sz w:val="20"/>
        </w:rPr>
        <w:t>[2001]</w:t>
      </w:r>
      <w:r>
        <w:rPr>
          <w:rFonts w:ascii="Arial"/>
          <w:i/>
          <w:spacing w:val="6"/>
          <w:sz w:val="20"/>
        </w:rPr>
        <w:t> </w:t>
      </w:r>
      <w:r>
        <w:rPr>
          <w:rFonts w:ascii="Arial"/>
          <w:i/>
          <w:sz w:val="20"/>
        </w:rPr>
        <w:t>Q.B.</w:t>
      </w:r>
      <w:r>
        <w:rPr>
          <w:rFonts w:ascii="Arial"/>
          <w:i/>
          <w:spacing w:val="6"/>
          <w:sz w:val="20"/>
        </w:rPr>
        <w:t> </w:t>
      </w:r>
      <w:r>
        <w:rPr>
          <w:rFonts w:ascii="Arial"/>
          <w:i/>
          <w:sz w:val="20"/>
        </w:rPr>
        <w:t>967</w:t>
      </w:r>
      <w:r>
        <w:rPr>
          <w:sz w:val="20"/>
        </w:rPr>
        <w:t>;</w:t>
      </w:r>
      <w:r>
        <w:rPr>
          <w:spacing w:val="7"/>
          <w:sz w:val="20"/>
        </w:rPr>
        <w:t> </w:t>
      </w:r>
      <w:r>
        <w:rPr>
          <w:rFonts w:ascii="Arial"/>
          <w:i/>
          <w:sz w:val="20"/>
        </w:rPr>
        <w:t>A</w:t>
      </w:r>
      <w:r>
        <w:rPr>
          <w:rFonts w:ascii="Arial"/>
          <w:i/>
          <w:spacing w:val="6"/>
          <w:sz w:val="20"/>
        </w:rPr>
        <w:t> </w:t>
      </w:r>
      <w:r>
        <w:rPr>
          <w:rFonts w:ascii="Arial"/>
          <w:i/>
          <w:sz w:val="20"/>
        </w:rPr>
        <w:t>v</w:t>
      </w:r>
      <w:r>
        <w:rPr>
          <w:rFonts w:ascii="Arial"/>
          <w:i/>
          <w:spacing w:val="6"/>
          <w:sz w:val="20"/>
        </w:rPr>
        <w:t> </w:t>
      </w:r>
      <w:r>
        <w:rPr>
          <w:rFonts w:ascii="Arial"/>
          <w:i/>
          <w:sz w:val="20"/>
        </w:rPr>
        <w:t>B</w:t>
      </w:r>
      <w:r>
        <w:rPr>
          <w:rFonts w:ascii="Arial"/>
          <w:i/>
          <w:spacing w:val="6"/>
          <w:sz w:val="20"/>
        </w:rPr>
        <w:t> </w:t>
      </w:r>
      <w:r>
        <w:rPr>
          <w:rFonts w:ascii="Arial"/>
          <w:i/>
          <w:sz w:val="20"/>
        </w:rPr>
        <w:t>Plc</w:t>
      </w:r>
      <w:r>
        <w:rPr>
          <w:rFonts w:ascii="Arial"/>
          <w:i/>
          <w:spacing w:val="6"/>
          <w:sz w:val="20"/>
        </w:rPr>
        <w:t> </w:t>
      </w:r>
      <w:r>
        <w:rPr>
          <w:rFonts w:ascii="Arial"/>
          <w:i/>
          <w:sz w:val="20"/>
        </w:rPr>
        <w:t>[2002]</w:t>
      </w:r>
      <w:r>
        <w:rPr>
          <w:rFonts w:ascii="Arial"/>
          <w:i/>
          <w:spacing w:val="6"/>
          <w:sz w:val="20"/>
        </w:rPr>
        <w:t> </w:t>
      </w:r>
      <w:r>
        <w:rPr>
          <w:rFonts w:ascii="Arial"/>
          <w:i/>
          <w:sz w:val="20"/>
        </w:rPr>
        <w:t>EWCA</w:t>
      </w:r>
      <w:r>
        <w:rPr>
          <w:rFonts w:ascii="Arial"/>
          <w:i/>
          <w:spacing w:val="6"/>
          <w:sz w:val="20"/>
        </w:rPr>
        <w:t> </w:t>
      </w:r>
      <w:r>
        <w:rPr>
          <w:rFonts w:ascii="Arial"/>
          <w:i/>
          <w:sz w:val="20"/>
        </w:rPr>
        <w:t>Civ</w:t>
      </w:r>
      <w:r>
        <w:rPr>
          <w:rFonts w:ascii="Arial"/>
          <w:i/>
          <w:spacing w:val="6"/>
          <w:sz w:val="20"/>
        </w:rPr>
        <w:t> </w:t>
      </w:r>
      <w:r>
        <w:rPr>
          <w:rFonts w:ascii="Arial"/>
          <w:i/>
          <w:sz w:val="20"/>
        </w:rPr>
        <w:t>337,</w:t>
      </w:r>
      <w:r>
        <w:rPr>
          <w:rFonts w:ascii="Arial"/>
          <w:i/>
          <w:spacing w:val="6"/>
          <w:sz w:val="20"/>
        </w:rPr>
        <w:t> </w:t>
      </w:r>
      <w:r>
        <w:rPr>
          <w:rFonts w:ascii="Arial"/>
          <w:i/>
          <w:sz w:val="20"/>
        </w:rPr>
        <w:t>[2003]</w:t>
      </w:r>
      <w:r>
        <w:rPr>
          <w:rFonts w:ascii="Arial"/>
          <w:i/>
          <w:spacing w:val="6"/>
          <w:sz w:val="20"/>
        </w:rPr>
        <w:t> </w:t>
      </w:r>
      <w:r>
        <w:rPr>
          <w:rFonts w:ascii="Arial"/>
          <w:i/>
          <w:sz w:val="20"/>
        </w:rPr>
        <w:t>Q.B.</w:t>
      </w:r>
      <w:r>
        <w:rPr>
          <w:rFonts w:ascii="Arial"/>
          <w:i/>
          <w:spacing w:val="6"/>
          <w:sz w:val="20"/>
        </w:rPr>
        <w:t> </w:t>
      </w:r>
      <w:r>
        <w:rPr>
          <w:rFonts w:ascii="Arial"/>
          <w:i/>
          <w:spacing w:val="-4"/>
          <w:sz w:val="20"/>
        </w:rPr>
        <w:t>195</w:t>
      </w:r>
      <w:r>
        <w:rPr>
          <w:spacing w:val="-4"/>
          <w:sz w:val="20"/>
        </w:rPr>
        <w:t>;</w:t>
      </w:r>
    </w:p>
    <w:p>
      <w:pPr>
        <w:spacing w:line="235" w:lineRule="auto" w:before="2"/>
        <w:ind w:left="705" w:right="0" w:firstLine="0"/>
        <w:jc w:val="left"/>
        <w:rPr>
          <w:rFonts w:ascii="Arial"/>
          <w:i/>
          <w:sz w:val="20"/>
        </w:rPr>
      </w:pPr>
      <w:r>
        <w:rPr>
          <w:rFonts w:ascii="Arial"/>
          <w:i/>
          <w:sz w:val="20"/>
        </w:rPr>
        <w:t>London</w:t>
      </w:r>
      <w:r>
        <w:rPr>
          <w:rFonts w:ascii="Arial"/>
          <w:i/>
          <w:spacing w:val="35"/>
          <w:sz w:val="20"/>
        </w:rPr>
        <w:t> </w:t>
      </w:r>
      <w:r>
        <w:rPr>
          <w:rFonts w:ascii="Arial"/>
          <w:i/>
          <w:sz w:val="20"/>
        </w:rPr>
        <w:t>Regional</w:t>
      </w:r>
      <w:r>
        <w:rPr>
          <w:rFonts w:ascii="Arial"/>
          <w:i/>
          <w:spacing w:val="35"/>
          <w:sz w:val="20"/>
        </w:rPr>
        <w:t> </w:t>
      </w:r>
      <w:r>
        <w:rPr>
          <w:rFonts w:ascii="Arial"/>
          <w:i/>
          <w:sz w:val="20"/>
        </w:rPr>
        <w:t>Transport</w:t>
      </w:r>
      <w:r>
        <w:rPr>
          <w:rFonts w:ascii="Arial"/>
          <w:i/>
          <w:spacing w:val="35"/>
          <w:sz w:val="20"/>
        </w:rPr>
        <w:t> </w:t>
      </w:r>
      <w:r>
        <w:rPr>
          <w:rFonts w:ascii="Arial"/>
          <w:i/>
          <w:sz w:val="20"/>
        </w:rPr>
        <w:t>v</w:t>
      </w:r>
      <w:r>
        <w:rPr>
          <w:rFonts w:ascii="Arial"/>
          <w:i/>
          <w:spacing w:val="35"/>
          <w:sz w:val="20"/>
        </w:rPr>
        <w:t> </w:t>
      </w:r>
      <w:r>
        <w:rPr>
          <w:rFonts w:ascii="Arial"/>
          <w:i/>
          <w:sz w:val="20"/>
        </w:rPr>
        <w:t>Mayor</w:t>
      </w:r>
      <w:r>
        <w:rPr>
          <w:rFonts w:ascii="Arial"/>
          <w:i/>
          <w:spacing w:val="35"/>
          <w:sz w:val="20"/>
        </w:rPr>
        <w:t> </w:t>
      </w:r>
      <w:r>
        <w:rPr>
          <w:rFonts w:ascii="Arial"/>
          <w:i/>
          <w:sz w:val="20"/>
        </w:rPr>
        <w:t>of</w:t>
      </w:r>
      <w:r>
        <w:rPr>
          <w:rFonts w:ascii="Arial"/>
          <w:i/>
          <w:spacing w:val="35"/>
          <w:sz w:val="20"/>
        </w:rPr>
        <w:t> </w:t>
      </w:r>
      <w:r>
        <w:rPr>
          <w:rFonts w:ascii="Arial"/>
          <w:i/>
          <w:sz w:val="20"/>
        </w:rPr>
        <w:t>London</w:t>
      </w:r>
      <w:r>
        <w:rPr>
          <w:rFonts w:ascii="Arial"/>
          <w:i/>
          <w:spacing w:val="35"/>
          <w:sz w:val="20"/>
        </w:rPr>
        <w:t> </w:t>
      </w:r>
      <w:r>
        <w:rPr>
          <w:rFonts w:ascii="Arial"/>
          <w:i/>
          <w:sz w:val="20"/>
        </w:rPr>
        <w:t>[2001]</w:t>
      </w:r>
      <w:r>
        <w:rPr>
          <w:rFonts w:ascii="Arial"/>
          <w:i/>
          <w:spacing w:val="35"/>
          <w:sz w:val="20"/>
        </w:rPr>
        <w:t> </w:t>
      </w:r>
      <w:r>
        <w:rPr>
          <w:rFonts w:ascii="Arial"/>
          <w:i/>
          <w:sz w:val="20"/>
        </w:rPr>
        <w:t>EWCA</w:t>
      </w:r>
      <w:r>
        <w:rPr>
          <w:rFonts w:ascii="Arial"/>
          <w:i/>
          <w:spacing w:val="35"/>
          <w:sz w:val="20"/>
        </w:rPr>
        <w:t> </w:t>
      </w:r>
      <w:r>
        <w:rPr>
          <w:rFonts w:ascii="Arial"/>
          <w:i/>
          <w:sz w:val="20"/>
        </w:rPr>
        <w:t>Civ</w:t>
      </w:r>
      <w:r>
        <w:rPr>
          <w:rFonts w:ascii="Arial"/>
          <w:i/>
          <w:spacing w:val="35"/>
          <w:sz w:val="20"/>
        </w:rPr>
        <w:t> </w:t>
      </w:r>
      <w:r>
        <w:rPr>
          <w:rFonts w:ascii="Arial"/>
          <w:i/>
          <w:sz w:val="20"/>
        </w:rPr>
        <w:t>1491,</w:t>
      </w:r>
      <w:r>
        <w:rPr>
          <w:rFonts w:ascii="Arial"/>
          <w:i/>
          <w:spacing w:val="35"/>
          <w:sz w:val="20"/>
        </w:rPr>
        <w:t> </w:t>
      </w:r>
      <w:r>
        <w:rPr>
          <w:rFonts w:ascii="Arial"/>
          <w:i/>
          <w:sz w:val="20"/>
        </w:rPr>
        <w:t>[2003]</w:t>
      </w:r>
      <w:r>
        <w:rPr>
          <w:rFonts w:ascii="Arial"/>
          <w:i/>
          <w:spacing w:val="35"/>
          <w:sz w:val="20"/>
        </w:rPr>
        <w:t> </w:t>
      </w:r>
      <w:r>
        <w:rPr>
          <w:rFonts w:ascii="Arial"/>
          <w:i/>
          <w:sz w:val="20"/>
        </w:rPr>
        <w:t>E.M.L.R.</w:t>
      </w:r>
      <w:r>
        <w:rPr>
          <w:rFonts w:ascii="Arial"/>
          <w:i/>
          <w:spacing w:val="35"/>
          <w:sz w:val="20"/>
        </w:rPr>
        <w:t> </w:t>
      </w:r>
      <w:r>
        <w:rPr>
          <w:rFonts w:ascii="Arial"/>
          <w:i/>
          <w:sz w:val="20"/>
        </w:rPr>
        <w:t>4</w:t>
      </w:r>
      <w:r>
        <w:rPr>
          <w:sz w:val="20"/>
        </w:rPr>
        <w:t>; </w:t>
      </w:r>
      <w:r>
        <w:rPr>
          <w:rFonts w:ascii="Arial"/>
          <w:i/>
          <w:sz w:val="20"/>
        </w:rPr>
        <w:t>Douglas</w:t>
      </w:r>
      <w:r>
        <w:rPr>
          <w:rFonts w:ascii="Arial"/>
          <w:i/>
          <w:spacing w:val="13"/>
          <w:sz w:val="20"/>
        </w:rPr>
        <w:t> </w:t>
      </w:r>
      <w:r>
        <w:rPr>
          <w:rFonts w:ascii="Arial"/>
          <w:i/>
          <w:sz w:val="20"/>
        </w:rPr>
        <w:t>v</w:t>
      </w:r>
      <w:r>
        <w:rPr>
          <w:rFonts w:ascii="Arial"/>
          <w:i/>
          <w:spacing w:val="14"/>
          <w:sz w:val="20"/>
        </w:rPr>
        <w:t> </w:t>
      </w:r>
      <w:r>
        <w:rPr>
          <w:rFonts w:ascii="Arial"/>
          <w:i/>
          <w:sz w:val="20"/>
        </w:rPr>
        <w:t>Hello!</w:t>
      </w:r>
      <w:r>
        <w:rPr>
          <w:rFonts w:ascii="Arial"/>
          <w:i/>
          <w:spacing w:val="14"/>
          <w:sz w:val="20"/>
        </w:rPr>
        <w:t> </w:t>
      </w:r>
      <w:r>
        <w:rPr>
          <w:rFonts w:ascii="Arial"/>
          <w:i/>
          <w:sz w:val="20"/>
        </w:rPr>
        <w:t>Ltd</w:t>
      </w:r>
      <w:r>
        <w:rPr>
          <w:rFonts w:ascii="Arial"/>
          <w:i/>
          <w:spacing w:val="14"/>
          <w:sz w:val="20"/>
        </w:rPr>
        <w:t> </w:t>
      </w:r>
      <w:r>
        <w:rPr>
          <w:rFonts w:ascii="Arial"/>
          <w:i/>
          <w:sz w:val="20"/>
        </w:rPr>
        <w:t>(No.6)</w:t>
      </w:r>
      <w:r>
        <w:rPr>
          <w:rFonts w:ascii="Arial"/>
          <w:i/>
          <w:spacing w:val="14"/>
          <w:sz w:val="20"/>
        </w:rPr>
        <w:t> </w:t>
      </w:r>
      <w:r>
        <w:rPr>
          <w:rFonts w:ascii="Arial"/>
          <w:i/>
          <w:sz w:val="20"/>
        </w:rPr>
        <w:t>[2003]</w:t>
      </w:r>
      <w:r>
        <w:rPr>
          <w:rFonts w:ascii="Arial"/>
          <w:i/>
          <w:spacing w:val="14"/>
          <w:sz w:val="20"/>
        </w:rPr>
        <w:t> </w:t>
      </w:r>
      <w:r>
        <w:rPr>
          <w:rFonts w:ascii="Arial"/>
          <w:i/>
          <w:sz w:val="20"/>
        </w:rPr>
        <w:t>EWHC</w:t>
      </w:r>
      <w:r>
        <w:rPr>
          <w:rFonts w:ascii="Arial"/>
          <w:i/>
          <w:spacing w:val="14"/>
          <w:sz w:val="20"/>
        </w:rPr>
        <w:t> </w:t>
      </w:r>
      <w:r>
        <w:rPr>
          <w:rFonts w:ascii="Arial"/>
          <w:i/>
          <w:sz w:val="20"/>
        </w:rPr>
        <w:t>786,</w:t>
      </w:r>
      <w:r>
        <w:rPr>
          <w:rFonts w:ascii="Arial"/>
          <w:i/>
          <w:spacing w:val="14"/>
          <w:sz w:val="20"/>
        </w:rPr>
        <w:t> </w:t>
      </w:r>
      <w:r>
        <w:rPr>
          <w:rFonts w:ascii="Arial"/>
          <w:i/>
          <w:sz w:val="20"/>
        </w:rPr>
        <w:t>(2003)</w:t>
      </w:r>
      <w:r>
        <w:rPr>
          <w:rFonts w:ascii="Arial"/>
          <w:i/>
          <w:spacing w:val="14"/>
          <w:sz w:val="20"/>
        </w:rPr>
        <w:t> </w:t>
      </w:r>
      <w:r>
        <w:rPr>
          <w:rFonts w:ascii="Arial"/>
          <w:i/>
          <w:sz w:val="20"/>
        </w:rPr>
        <w:t>153</w:t>
      </w:r>
      <w:r>
        <w:rPr>
          <w:rFonts w:ascii="Arial"/>
          <w:i/>
          <w:spacing w:val="14"/>
          <w:sz w:val="20"/>
        </w:rPr>
        <w:t> </w:t>
      </w:r>
      <w:r>
        <w:rPr>
          <w:rFonts w:ascii="Arial"/>
          <w:i/>
          <w:sz w:val="20"/>
        </w:rPr>
        <w:t>N.L.J.</w:t>
      </w:r>
      <w:r>
        <w:rPr>
          <w:rFonts w:ascii="Arial"/>
          <w:i/>
          <w:spacing w:val="14"/>
          <w:sz w:val="20"/>
        </w:rPr>
        <w:t> </w:t>
      </w:r>
      <w:r>
        <w:rPr>
          <w:rFonts w:ascii="Arial"/>
          <w:i/>
          <w:sz w:val="20"/>
        </w:rPr>
        <w:t>595</w:t>
      </w:r>
      <w:r>
        <w:rPr>
          <w:sz w:val="20"/>
        </w:rPr>
        <w:t>;</w:t>
      </w:r>
      <w:r>
        <w:rPr>
          <w:spacing w:val="14"/>
          <w:sz w:val="20"/>
        </w:rPr>
        <w:t> </w:t>
      </w:r>
      <w:r>
        <w:rPr>
          <w:rFonts w:ascii="Arial"/>
          <w:i/>
          <w:sz w:val="20"/>
        </w:rPr>
        <w:t>Lady</w:t>
      </w:r>
      <w:r>
        <w:rPr>
          <w:rFonts w:ascii="Arial"/>
          <w:i/>
          <w:spacing w:val="14"/>
          <w:sz w:val="20"/>
        </w:rPr>
        <w:t> </w:t>
      </w:r>
      <w:r>
        <w:rPr>
          <w:rFonts w:ascii="Arial"/>
          <w:i/>
          <w:sz w:val="20"/>
        </w:rPr>
        <w:t>Archer</w:t>
      </w:r>
      <w:r>
        <w:rPr>
          <w:rFonts w:ascii="Arial"/>
          <w:i/>
          <w:spacing w:val="14"/>
          <w:sz w:val="20"/>
        </w:rPr>
        <w:t> </w:t>
      </w:r>
      <w:r>
        <w:rPr>
          <w:rFonts w:ascii="Arial"/>
          <w:i/>
          <w:sz w:val="20"/>
        </w:rPr>
        <w:t>v</w:t>
      </w:r>
      <w:r>
        <w:rPr>
          <w:rFonts w:ascii="Arial"/>
          <w:i/>
          <w:spacing w:val="14"/>
          <w:sz w:val="20"/>
        </w:rPr>
        <w:t> </w:t>
      </w:r>
      <w:r>
        <w:rPr>
          <w:rFonts w:ascii="Arial"/>
          <w:i/>
          <w:spacing w:val="-2"/>
          <w:sz w:val="20"/>
        </w:rPr>
        <w:t>Williams</w:t>
      </w:r>
    </w:p>
    <w:p>
      <w:pPr>
        <w:spacing w:line="223" w:lineRule="exact" w:before="0"/>
        <w:ind w:left="705" w:right="0" w:firstLine="0"/>
        <w:jc w:val="left"/>
        <w:rPr>
          <w:rFonts w:ascii="Arial"/>
          <w:i/>
          <w:sz w:val="20"/>
        </w:rPr>
      </w:pPr>
      <w:r>
        <w:rPr>
          <w:rFonts w:ascii="Arial"/>
          <w:i/>
          <w:sz w:val="20"/>
        </w:rPr>
        <w:t>[2003]</w:t>
      </w:r>
      <w:r>
        <w:rPr>
          <w:rFonts w:ascii="Arial"/>
          <w:i/>
          <w:spacing w:val="15"/>
          <w:sz w:val="20"/>
        </w:rPr>
        <w:t> </w:t>
      </w:r>
      <w:r>
        <w:rPr>
          <w:rFonts w:ascii="Arial"/>
          <w:i/>
          <w:sz w:val="20"/>
        </w:rPr>
        <w:t>EWHC</w:t>
      </w:r>
      <w:r>
        <w:rPr>
          <w:rFonts w:ascii="Arial"/>
          <w:i/>
          <w:spacing w:val="16"/>
          <w:sz w:val="20"/>
        </w:rPr>
        <w:t> </w:t>
      </w:r>
      <w:r>
        <w:rPr>
          <w:rFonts w:ascii="Arial"/>
          <w:i/>
          <w:sz w:val="20"/>
        </w:rPr>
        <w:t>1670,</w:t>
      </w:r>
      <w:r>
        <w:rPr>
          <w:rFonts w:ascii="Arial"/>
          <w:i/>
          <w:spacing w:val="16"/>
          <w:sz w:val="20"/>
        </w:rPr>
        <w:t> </w:t>
      </w:r>
      <w:r>
        <w:rPr>
          <w:rFonts w:ascii="Arial"/>
          <w:i/>
          <w:sz w:val="20"/>
        </w:rPr>
        <w:t>[2003]</w:t>
      </w:r>
      <w:r>
        <w:rPr>
          <w:rFonts w:ascii="Arial"/>
          <w:i/>
          <w:spacing w:val="16"/>
          <w:sz w:val="20"/>
        </w:rPr>
        <w:t> </w:t>
      </w:r>
      <w:r>
        <w:rPr>
          <w:rFonts w:ascii="Arial"/>
          <w:i/>
          <w:sz w:val="20"/>
        </w:rPr>
        <w:t>E.M.L.R.</w:t>
      </w:r>
      <w:r>
        <w:rPr>
          <w:rFonts w:ascii="Arial"/>
          <w:i/>
          <w:spacing w:val="16"/>
          <w:sz w:val="20"/>
        </w:rPr>
        <w:t> </w:t>
      </w:r>
      <w:r>
        <w:rPr>
          <w:rFonts w:ascii="Arial"/>
          <w:i/>
          <w:sz w:val="20"/>
        </w:rPr>
        <w:t>38</w:t>
      </w:r>
      <w:r>
        <w:rPr>
          <w:sz w:val="20"/>
        </w:rPr>
        <w:t>;</w:t>
      </w:r>
      <w:r>
        <w:rPr>
          <w:spacing w:val="16"/>
          <w:sz w:val="20"/>
        </w:rPr>
        <w:t> </w:t>
      </w:r>
      <w:r>
        <w:rPr>
          <w:rFonts w:ascii="Arial"/>
          <w:i/>
          <w:sz w:val="20"/>
        </w:rPr>
        <w:t>Campbell</w:t>
      </w:r>
      <w:r>
        <w:rPr>
          <w:rFonts w:ascii="Arial"/>
          <w:i/>
          <w:spacing w:val="16"/>
          <w:sz w:val="20"/>
        </w:rPr>
        <w:t> </w:t>
      </w:r>
      <w:r>
        <w:rPr>
          <w:rFonts w:ascii="Arial"/>
          <w:i/>
          <w:sz w:val="20"/>
        </w:rPr>
        <w:t>v</w:t>
      </w:r>
      <w:r>
        <w:rPr>
          <w:rFonts w:ascii="Arial"/>
          <w:i/>
          <w:spacing w:val="16"/>
          <w:sz w:val="20"/>
        </w:rPr>
        <w:t> </w:t>
      </w:r>
      <w:r>
        <w:rPr>
          <w:rFonts w:ascii="Arial"/>
          <w:i/>
          <w:sz w:val="20"/>
        </w:rPr>
        <w:t>MGN</w:t>
      </w:r>
      <w:r>
        <w:rPr>
          <w:rFonts w:ascii="Arial"/>
          <w:i/>
          <w:spacing w:val="16"/>
          <w:sz w:val="20"/>
        </w:rPr>
        <w:t> </w:t>
      </w:r>
      <w:r>
        <w:rPr>
          <w:rFonts w:ascii="Arial"/>
          <w:i/>
          <w:sz w:val="20"/>
        </w:rPr>
        <w:t>Ltd</w:t>
      </w:r>
      <w:r>
        <w:rPr>
          <w:rFonts w:ascii="Arial"/>
          <w:i/>
          <w:spacing w:val="16"/>
          <w:sz w:val="20"/>
        </w:rPr>
        <w:t> </w:t>
      </w:r>
      <w:r>
        <w:rPr>
          <w:rFonts w:ascii="Arial"/>
          <w:i/>
          <w:sz w:val="20"/>
        </w:rPr>
        <w:t>[2004]</w:t>
      </w:r>
      <w:r>
        <w:rPr>
          <w:rFonts w:ascii="Arial"/>
          <w:i/>
          <w:spacing w:val="16"/>
          <w:sz w:val="20"/>
        </w:rPr>
        <w:t> </w:t>
      </w:r>
      <w:r>
        <w:rPr>
          <w:rFonts w:ascii="Arial"/>
          <w:i/>
          <w:sz w:val="20"/>
        </w:rPr>
        <w:t>UKHL</w:t>
      </w:r>
      <w:r>
        <w:rPr>
          <w:rFonts w:ascii="Arial"/>
          <w:i/>
          <w:spacing w:val="16"/>
          <w:sz w:val="20"/>
        </w:rPr>
        <w:t> </w:t>
      </w:r>
      <w:r>
        <w:rPr>
          <w:rFonts w:ascii="Arial"/>
          <w:i/>
          <w:sz w:val="20"/>
        </w:rPr>
        <w:t>22,</w:t>
      </w:r>
      <w:r>
        <w:rPr>
          <w:rFonts w:ascii="Arial"/>
          <w:i/>
          <w:spacing w:val="16"/>
          <w:sz w:val="20"/>
        </w:rPr>
        <w:t> </w:t>
      </w:r>
      <w:r>
        <w:rPr>
          <w:rFonts w:ascii="Arial"/>
          <w:i/>
          <w:sz w:val="20"/>
        </w:rPr>
        <w:t>[2004]</w:t>
      </w:r>
      <w:r>
        <w:rPr>
          <w:rFonts w:ascii="Arial"/>
          <w:i/>
          <w:spacing w:val="16"/>
          <w:sz w:val="20"/>
        </w:rPr>
        <w:t> </w:t>
      </w:r>
      <w:r>
        <w:rPr>
          <w:rFonts w:ascii="Arial"/>
          <w:i/>
          <w:sz w:val="20"/>
        </w:rPr>
        <w:t>2</w:t>
      </w:r>
      <w:r>
        <w:rPr>
          <w:rFonts w:ascii="Arial"/>
          <w:i/>
          <w:spacing w:val="16"/>
          <w:sz w:val="20"/>
        </w:rPr>
        <w:t> </w:t>
      </w:r>
      <w:r>
        <w:rPr>
          <w:rFonts w:ascii="Arial"/>
          <w:i/>
          <w:spacing w:val="-4"/>
          <w:sz w:val="20"/>
        </w:rPr>
        <w:t>A.C.</w:t>
      </w:r>
    </w:p>
    <w:p>
      <w:pPr>
        <w:spacing w:line="225" w:lineRule="exact" w:before="0"/>
        <w:ind w:left="705" w:right="0" w:firstLine="0"/>
        <w:jc w:val="left"/>
        <w:rPr>
          <w:rFonts w:ascii="Arial"/>
          <w:i/>
          <w:sz w:val="20"/>
        </w:rPr>
      </w:pPr>
      <w:r>
        <w:rPr>
          <w:rFonts w:ascii="Arial"/>
          <w:i/>
          <w:sz w:val="20"/>
        </w:rPr>
        <w:t>457</w:t>
      </w:r>
      <w:r>
        <w:rPr>
          <w:sz w:val="20"/>
        </w:rPr>
        <w:t>;</w:t>
      </w:r>
      <w:r>
        <w:rPr>
          <w:spacing w:val="35"/>
          <w:sz w:val="20"/>
        </w:rPr>
        <w:t> </w:t>
      </w:r>
      <w:r>
        <w:rPr>
          <w:rFonts w:ascii="Arial"/>
          <w:i/>
          <w:sz w:val="20"/>
        </w:rPr>
        <w:t>Douglas</w:t>
      </w:r>
      <w:r>
        <w:rPr>
          <w:rFonts w:ascii="Arial"/>
          <w:i/>
          <w:spacing w:val="36"/>
          <w:sz w:val="20"/>
        </w:rPr>
        <w:t> </w:t>
      </w:r>
      <w:r>
        <w:rPr>
          <w:rFonts w:ascii="Arial"/>
          <w:i/>
          <w:sz w:val="20"/>
        </w:rPr>
        <w:t>v</w:t>
      </w:r>
      <w:r>
        <w:rPr>
          <w:rFonts w:ascii="Arial"/>
          <w:i/>
          <w:spacing w:val="36"/>
          <w:sz w:val="20"/>
        </w:rPr>
        <w:t> </w:t>
      </w:r>
      <w:r>
        <w:rPr>
          <w:rFonts w:ascii="Arial"/>
          <w:i/>
          <w:sz w:val="20"/>
        </w:rPr>
        <w:t>Hello!</w:t>
      </w:r>
      <w:r>
        <w:rPr>
          <w:rFonts w:ascii="Arial"/>
          <w:i/>
          <w:spacing w:val="36"/>
          <w:sz w:val="20"/>
        </w:rPr>
        <w:t> </w:t>
      </w:r>
      <w:r>
        <w:rPr>
          <w:rFonts w:ascii="Arial"/>
          <w:i/>
          <w:sz w:val="20"/>
        </w:rPr>
        <w:t>Ltd</w:t>
      </w:r>
      <w:r>
        <w:rPr>
          <w:rFonts w:ascii="Arial"/>
          <w:i/>
          <w:spacing w:val="36"/>
          <w:sz w:val="20"/>
        </w:rPr>
        <w:t> </w:t>
      </w:r>
      <w:r>
        <w:rPr>
          <w:rFonts w:ascii="Arial"/>
          <w:i/>
          <w:sz w:val="20"/>
        </w:rPr>
        <w:t>(No.3)</w:t>
      </w:r>
      <w:r>
        <w:rPr>
          <w:rFonts w:ascii="Arial"/>
          <w:i/>
          <w:spacing w:val="36"/>
          <w:sz w:val="20"/>
        </w:rPr>
        <w:t> </w:t>
      </w:r>
      <w:r>
        <w:rPr>
          <w:rFonts w:ascii="Arial"/>
          <w:i/>
          <w:sz w:val="20"/>
        </w:rPr>
        <w:t>[2005]</w:t>
      </w:r>
      <w:r>
        <w:rPr>
          <w:rFonts w:ascii="Arial"/>
          <w:i/>
          <w:spacing w:val="36"/>
          <w:sz w:val="20"/>
        </w:rPr>
        <w:t> </w:t>
      </w:r>
      <w:r>
        <w:rPr>
          <w:rFonts w:ascii="Arial"/>
          <w:i/>
          <w:sz w:val="20"/>
        </w:rPr>
        <w:t>EWCA</w:t>
      </w:r>
      <w:r>
        <w:rPr>
          <w:rFonts w:ascii="Arial"/>
          <w:i/>
          <w:spacing w:val="35"/>
          <w:sz w:val="20"/>
        </w:rPr>
        <w:t> </w:t>
      </w:r>
      <w:r>
        <w:rPr>
          <w:rFonts w:ascii="Arial"/>
          <w:i/>
          <w:sz w:val="20"/>
        </w:rPr>
        <w:t>Civ</w:t>
      </w:r>
      <w:r>
        <w:rPr>
          <w:rFonts w:ascii="Arial"/>
          <w:i/>
          <w:spacing w:val="36"/>
          <w:sz w:val="20"/>
        </w:rPr>
        <w:t> </w:t>
      </w:r>
      <w:r>
        <w:rPr>
          <w:rFonts w:ascii="Arial"/>
          <w:i/>
          <w:sz w:val="20"/>
        </w:rPr>
        <w:t>595,</w:t>
      </w:r>
      <w:r>
        <w:rPr>
          <w:rFonts w:ascii="Arial"/>
          <w:i/>
          <w:spacing w:val="36"/>
          <w:sz w:val="20"/>
        </w:rPr>
        <w:t> </w:t>
      </w:r>
      <w:r>
        <w:rPr>
          <w:rFonts w:ascii="Arial"/>
          <w:i/>
          <w:sz w:val="20"/>
        </w:rPr>
        <w:t>[2006]</w:t>
      </w:r>
      <w:r>
        <w:rPr>
          <w:rFonts w:ascii="Arial"/>
          <w:i/>
          <w:spacing w:val="36"/>
          <w:sz w:val="20"/>
        </w:rPr>
        <w:t> </w:t>
      </w:r>
      <w:r>
        <w:rPr>
          <w:rFonts w:ascii="Arial"/>
          <w:i/>
          <w:sz w:val="20"/>
        </w:rPr>
        <w:t>Q.B.</w:t>
      </w:r>
      <w:r>
        <w:rPr>
          <w:rFonts w:ascii="Arial"/>
          <w:i/>
          <w:spacing w:val="36"/>
          <w:sz w:val="20"/>
        </w:rPr>
        <w:t> </w:t>
      </w:r>
      <w:r>
        <w:rPr>
          <w:rFonts w:ascii="Arial"/>
          <w:i/>
          <w:sz w:val="20"/>
        </w:rPr>
        <w:t>125</w:t>
      </w:r>
      <w:r>
        <w:rPr>
          <w:sz w:val="20"/>
        </w:rPr>
        <w:t>;</w:t>
      </w:r>
      <w:r>
        <w:rPr>
          <w:spacing w:val="36"/>
          <w:sz w:val="20"/>
        </w:rPr>
        <w:t> </w:t>
      </w:r>
      <w:r>
        <w:rPr>
          <w:rFonts w:ascii="Arial"/>
          <w:i/>
          <w:sz w:val="20"/>
        </w:rPr>
        <w:t>McKennitt</w:t>
      </w:r>
      <w:r>
        <w:rPr>
          <w:rFonts w:ascii="Arial"/>
          <w:i/>
          <w:spacing w:val="36"/>
          <w:sz w:val="20"/>
        </w:rPr>
        <w:t> </w:t>
      </w:r>
      <w:r>
        <w:rPr>
          <w:rFonts w:ascii="Arial"/>
          <w:i/>
          <w:sz w:val="20"/>
        </w:rPr>
        <w:t>v</w:t>
      </w:r>
      <w:r>
        <w:rPr>
          <w:rFonts w:ascii="Arial"/>
          <w:i/>
          <w:spacing w:val="36"/>
          <w:sz w:val="20"/>
        </w:rPr>
        <w:t> </w:t>
      </w:r>
      <w:r>
        <w:rPr>
          <w:rFonts w:ascii="Arial"/>
          <w:i/>
          <w:spacing w:val="-5"/>
          <w:sz w:val="20"/>
        </w:rPr>
        <w:t>Ash</w:t>
      </w:r>
    </w:p>
    <w:p>
      <w:pPr>
        <w:spacing w:line="225" w:lineRule="exact" w:before="0"/>
        <w:ind w:left="705" w:right="0" w:firstLine="0"/>
        <w:jc w:val="left"/>
        <w:rPr>
          <w:rFonts w:ascii="Arial"/>
          <w:i/>
          <w:sz w:val="20"/>
        </w:rPr>
      </w:pPr>
      <w:r>
        <w:rPr>
          <w:rFonts w:ascii="Arial"/>
          <w:i/>
          <w:sz w:val="20"/>
        </w:rPr>
        <w:t>[2006]</w:t>
      </w:r>
      <w:r>
        <w:rPr>
          <w:rFonts w:ascii="Arial"/>
          <w:i/>
          <w:spacing w:val="13"/>
          <w:sz w:val="20"/>
        </w:rPr>
        <w:t> </w:t>
      </w:r>
      <w:r>
        <w:rPr>
          <w:rFonts w:ascii="Arial"/>
          <w:i/>
          <w:sz w:val="20"/>
        </w:rPr>
        <w:t>EWCA</w:t>
      </w:r>
      <w:r>
        <w:rPr>
          <w:rFonts w:ascii="Arial"/>
          <w:i/>
          <w:spacing w:val="14"/>
          <w:sz w:val="20"/>
        </w:rPr>
        <w:t> </w:t>
      </w:r>
      <w:r>
        <w:rPr>
          <w:rFonts w:ascii="Arial"/>
          <w:i/>
          <w:sz w:val="20"/>
        </w:rPr>
        <w:t>Civ</w:t>
      </w:r>
      <w:r>
        <w:rPr>
          <w:rFonts w:ascii="Arial"/>
          <w:i/>
          <w:spacing w:val="14"/>
          <w:sz w:val="20"/>
        </w:rPr>
        <w:t> </w:t>
      </w:r>
      <w:r>
        <w:rPr>
          <w:rFonts w:ascii="Arial"/>
          <w:i/>
          <w:sz w:val="20"/>
        </w:rPr>
        <w:t>1714,</w:t>
      </w:r>
      <w:r>
        <w:rPr>
          <w:rFonts w:ascii="Arial"/>
          <w:i/>
          <w:spacing w:val="14"/>
          <w:sz w:val="20"/>
        </w:rPr>
        <w:t> </w:t>
      </w:r>
      <w:r>
        <w:rPr>
          <w:rFonts w:ascii="Arial"/>
          <w:i/>
          <w:sz w:val="20"/>
        </w:rPr>
        <w:t>[2007]</w:t>
      </w:r>
      <w:r>
        <w:rPr>
          <w:rFonts w:ascii="Arial"/>
          <w:i/>
          <w:spacing w:val="14"/>
          <w:sz w:val="20"/>
        </w:rPr>
        <w:t> </w:t>
      </w:r>
      <w:r>
        <w:rPr>
          <w:rFonts w:ascii="Arial"/>
          <w:i/>
          <w:sz w:val="20"/>
        </w:rPr>
        <w:t>3</w:t>
      </w:r>
      <w:r>
        <w:rPr>
          <w:rFonts w:ascii="Arial"/>
          <w:i/>
          <w:spacing w:val="14"/>
          <w:sz w:val="20"/>
        </w:rPr>
        <w:t> </w:t>
      </w:r>
      <w:r>
        <w:rPr>
          <w:rFonts w:ascii="Arial"/>
          <w:i/>
          <w:sz w:val="20"/>
        </w:rPr>
        <w:t>W.L.R.</w:t>
      </w:r>
      <w:r>
        <w:rPr>
          <w:rFonts w:ascii="Arial"/>
          <w:i/>
          <w:spacing w:val="14"/>
          <w:sz w:val="20"/>
        </w:rPr>
        <w:t> </w:t>
      </w:r>
      <w:r>
        <w:rPr>
          <w:rFonts w:ascii="Arial"/>
          <w:i/>
          <w:sz w:val="20"/>
        </w:rPr>
        <w:t>194</w:t>
      </w:r>
      <w:r>
        <w:rPr>
          <w:sz w:val="20"/>
        </w:rPr>
        <w:t>;</w:t>
      </w:r>
      <w:r>
        <w:rPr>
          <w:spacing w:val="14"/>
          <w:sz w:val="20"/>
        </w:rPr>
        <w:t> </w:t>
      </w:r>
      <w:r>
        <w:rPr>
          <w:rFonts w:ascii="Arial"/>
          <w:i/>
          <w:sz w:val="20"/>
        </w:rPr>
        <w:t>Ntuli</w:t>
      </w:r>
      <w:r>
        <w:rPr>
          <w:rFonts w:ascii="Arial"/>
          <w:i/>
          <w:spacing w:val="14"/>
          <w:sz w:val="20"/>
        </w:rPr>
        <w:t> </w:t>
      </w:r>
      <w:r>
        <w:rPr>
          <w:rFonts w:ascii="Arial"/>
          <w:i/>
          <w:sz w:val="20"/>
        </w:rPr>
        <w:t>v</w:t>
      </w:r>
      <w:r>
        <w:rPr>
          <w:rFonts w:ascii="Arial"/>
          <w:i/>
          <w:spacing w:val="14"/>
          <w:sz w:val="20"/>
        </w:rPr>
        <w:t> </w:t>
      </w:r>
      <w:r>
        <w:rPr>
          <w:rFonts w:ascii="Arial"/>
          <w:i/>
          <w:sz w:val="20"/>
        </w:rPr>
        <w:t>Donald</w:t>
      </w:r>
      <w:r>
        <w:rPr>
          <w:rFonts w:ascii="Arial"/>
          <w:i/>
          <w:spacing w:val="14"/>
          <w:sz w:val="20"/>
        </w:rPr>
        <w:t> </w:t>
      </w:r>
      <w:r>
        <w:rPr>
          <w:rFonts w:ascii="Arial"/>
          <w:i/>
          <w:sz w:val="20"/>
        </w:rPr>
        <w:t>[2010]</w:t>
      </w:r>
      <w:r>
        <w:rPr>
          <w:rFonts w:ascii="Arial"/>
          <w:i/>
          <w:spacing w:val="14"/>
          <w:sz w:val="20"/>
        </w:rPr>
        <w:t> </w:t>
      </w:r>
      <w:r>
        <w:rPr>
          <w:rFonts w:ascii="Arial"/>
          <w:i/>
          <w:sz w:val="20"/>
        </w:rPr>
        <w:t>EWCA</w:t>
      </w:r>
      <w:r>
        <w:rPr>
          <w:rFonts w:ascii="Arial"/>
          <w:i/>
          <w:spacing w:val="14"/>
          <w:sz w:val="20"/>
        </w:rPr>
        <w:t> </w:t>
      </w:r>
      <w:r>
        <w:rPr>
          <w:rFonts w:ascii="Arial"/>
          <w:i/>
          <w:sz w:val="20"/>
        </w:rPr>
        <w:t>Civ</w:t>
      </w:r>
      <w:r>
        <w:rPr>
          <w:rFonts w:ascii="Arial"/>
          <w:i/>
          <w:spacing w:val="14"/>
          <w:sz w:val="20"/>
        </w:rPr>
        <w:t> </w:t>
      </w:r>
      <w:r>
        <w:rPr>
          <w:rFonts w:ascii="Arial"/>
          <w:i/>
          <w:sz w:val="20"/>
        </w:rPr>
        <w:t>1276,</w:t>
      </w:r>
      <w:r>
        <w:rPr>
          <w:rFonts w:ascii="Arial"/>
          <w:i/>
          <w:spacing w:val="14"/>
          <w:sz w:val="20"/>
        </w:rPr>
        <w:t> </w:t>
      </w:r>
      <w:r>
        <w:rPr>
          <w:rFonts w:ascii="Arial"/>
          <w:i/>
          <w:sz w:val="20"/>
        </w:rPr>
        <w:t>[2011]</w:t>
      </w:r>
      <w:r>
        <w:rPr>
          <w:rFonts w:ascii="Arial"/>
          <w:i/>
          <w:spacing w:val="14"/>
          <w:sz w:val="20"/>
        </w:rPr>
        <w:t> </w:t>
      </w:r>
      <w:r>
        <w:rPr>
          <w:rFonts w:ascii="Arial"/>
          <w:i/>
          <w:spacing w:val="-10"/>
          <w:sz w:val="20"/>
        </w:rPr>
        <w:t>1</w:t>
      </w:r>
    </w:p>
    <w:p>
      <w:pPr>
        <w:spacing w:line="227" w:lineRule="exact" w:before="0"/>
        <w:ind w:left="705" w:right="0" w:firstLine="0"/>
        <w:jc w:val="left"/>
        <w:rPr>
          <w:sz w:val="20"/>
        </w:rPr>
      </w:pPr>
      <w:r>
        <w:rPr>
          <w:rFonts w:ascii="Arial"/>
          <w:i/>
          <w:sz w:val="20"/>
        </w:rPr>
        <w:t>W.L.R.</w:t>
      </w:r>
      <w:r>
        <w:rPr>
          <w:rFonts w:ascii="Arial"/>
          <w:i/>
          <w:spacing w:val="-2"/>
          <w:sz w:val="20"/>
        </w:rPr>
        <w:t> </w:t>
      </w:r>
      <w:r>
        <w:rPr>
          <w:rFonts w:ascii="Arial"/>
          <w:i/>
          <w:spacing w:val="-4"/>
          <w:sz w:val="20"/>
        </w:rPr>
        <w:t>294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10" w:id="1412"/>
      <w:bookmarkEnd w:id="1412"/>
      <w:r>
        <w:rPr/>
      </w:r>
      <w:hyperlink w:history="true" w:anchor="_bookmark1396">
        <w:r>
          <w:rPr>
            <w:color w:val="005DA1"/>
            <w:spacing w:val="-4"/>
            <w:position w:val="5"/>
            <w:sz w:val="14"/>
            <w:u w:val="single" w:color="005DA1"/>
          </w:rPr>
          <w:t>743</w:t>
        </w:r>
      </w:hyperlink>
      <w:r>
        <w:rPr>
          <w:spacing w:val="-4"/>
          <w:position w:val="5"/>
          <w:sz w:val="14"/>
        </w:rPr>
        <w:t>.</w:t>
      </w:r>
      <w:r>
        <w:rPr>
          <w:position w:val="5"/>
          <w:sz w:val="14"/>
        </w:rPr>
        <w:tab/>
      </w:r>
      <w:r>
        <w:rPr>
          <w:rFonts w:ascii="Arial"/>
          <w:i/>
          <w:sz w:val="20"/>
        </w:rPr>
        <w:t>Douglas v Hello! Ltd (No.6)</w:t>
      </w:r>
      <w:r>
        <w:rPr>
          <w:rFonts w:ascii="Arial"/>
          <w:i/>
          <w:spacing w:val="-1"/>
          <w:sz w:val="20"/>
        </w:rPr>
        <w:t> </w:t>
      </w:r>
      <w:r>
        <w:rPr>
          <w:sz w:val="20"/>
        </w:rPr>
        <w:t>above at [186], per Lindsay </w:t>
      </w:r>
      <w:r>
        <w:rPr>
          <w:spacing w:val="-5"/>
          <w:sz w:val="20"/>
        </w:rPr>
        <w:t>J.</w:t>
      </w:r>
    </w:p>
    <w:p>
      <w:pPr>
        <w:pStyle w:val="BodyText"/>
        <w:spacing w:before="8"/>
      </w:pPr>
    </w:p>
    <w:p>
      <w:pPr>
        <w:tabs>
          <w:tab w:pos="705" w:val="left" w:leader="none"/>
        </w:tabs>
        <w:spacing w:line="235" w:lineRule="auto" w:before="1"/>
        <w:ind w:left="705" w:right="168" w:hanging="541"/>
        <w:jc w:val="left"/>
        <w:rPr>
          <w:sz w:val="20"/>
        </w:rPr>
      </w:pPr>
      <w:bookmarkStart w:name="_bookmark1411" w:id="1413"/>
      <w:bookmarkEnd w:id="1413"/>
      <w:r>
        <w:rPr/>
      </w:r>
      <w:hyperlink w:history="true" w:anchor="_bookmark1397">
        <w:r>
          <w:rPr>
            <w:color w:val="005DA1"/>
            <w:spacing w:val="-4"/>
            <w:position w:val="5"/>
            <w:sz w:val="14"/>
            <w:u w:val="single" w:color="005DA1"/>
          </w:rPr>
          <w:t>744</w:t>
        </w:r>
      </w:hyperlink>
      <w:r>
        <w:rPr>
          <w:spacing w:val="-4"/>
          <w:position w:val="5"/>
          <w:sz w:val="14"/>
        </w:rPr>
        <w:t>.</w:t>
      </w:r>
      <w:r>
        <w:rPr>
          <w:position w:val="5"/>
          <w:sz w:val="14"/>
        </w:rPr>
        <w:tab/>
      </w:r>
      <w:r>
        <w:rPr>
          <w:rFonts w:ascii="Arial"/>
          <w:i/>
          <w:sz w:val="20"/>
        </w:rPr>
        <w:t>Campbell</w:t>
      </w:r>
      <w:r>
        <w:rPr>
          <w:rFonts w:ascii="Arial"/>
          <w:i/>
          <w:spacing w:val="61"/>
          <w:sz w:val="20"/>
        </w:rPr>
        <w:t> </w:t>
      </w:r>
      <w:r>
        <w:rPr>
          <w:rFonts w:ascii="Arial"/>
          <w:i/>
          <w:sz w:val="20"/>
        </w:rPr>
        <w:t>v</w:t>
      </w:r>
      <w:r>
        <w:rPr>
          <w:rFonts w:ascii="Arial"/>
          <w:i/>
          <w:spacing w:val="61"/>
          <w:sz w:val="20"/>
        </w:rPr>
        <w:t> </w:t>
      </w:r>
      <w:r>
        <w:rPr>
          <w:rFonts w:ascii="Arial"/>
          <w:i/>
          <w:sz w:val="20"/>
        </w:rPr>
        <w:t>MGN</w:t>
      </w:r>
      <w:r>
        <w:rPr>
          <w:rFonts w:ascii="Arial"/>
          <w:i/>
          <w:spacing w:val="61"/>
          <w:sz w:val="20"/>
        </w:rPr>
        <w:t> </w:t>
      </w:r>
      <w:r>
        <w:rPr>
          <w:rFonts w:ascii="Arial"/>
          <w:i/>
          <w:sz w:val="20"/>
        </w:rPr>
        <w:t>Ltd</w:t>
      </w:r>
      <w:r>
        <w:rPr>
          <w:rFonts w:ascii="Arial"/>
          <w:i/>
          <w:spacing w:val="61"/>
          <w:sz w:val="20"/>
        </w:rPr>
        <w:t> </w:t>
      </w:r>
      <w:r>
        <w:rPr>
          <w:rFonts w:ascii="Arial"/>
          <w:i/>
          <w:sz w:val="20"/>
        </w:rPr>
        <w:t>[2004]</w:t>
      </w:r>
      <w:r>
        <w:rPr>
          <w:rFonts w:ascii="Arial"/>
          <w:i/>
          <w:spacing w:val="61"/>
          <w:sz w:val="20"/>
        </w:rPr>
        <w:t> </w:t>
      </w:r>
      <w:r>
        <w:rPr>
          <w:rFonts w:ascii="Arial"/>
          <w:i/>
          <w:sz w:val="20"/>
        </w:rPr>
        <w:t>UKHL</w:t>
      </w:r>
      <w:r>
        <w:rPr>
          <w:rFonts w:ascii="Arial"/>
          <w:i/>
          <w:spacing w:val="61"/>
          <w:sz w:val="20"/>
        </w:rPr>
        <w:t> </w:t>
      </w:r>
      <w:r>
        <w:rPr>
          <w:rFonts w:ascii="Arial"/>
          <w:i/>
          <w:sz w:val="20"/>
        </w:rPr>
        <w:t>22,</w:t>
      </w:r>
      <w:r>
        <w:rPr>
          <w:rFonts w:ascii="Arial"/>
          <w:i/>
          <w:spacing w:val="61"/>
          <w:sz w:val="20"/>
        </w:rPr>
        <w:t> </w:t>
      </w:r>
      <w:r>
        <w:rPr>
          <w:rFonts w:ascii="Arial"/>
          <w:i/>
          <w:sz w:val="20"/>
        </w:rPr>
        <w:t>[2004]</w:t>
      </w:r>
      <w:r>
        <w:rPr>
          <w:rFonts w:ascii="Arial"/>
          <w:i/>
          <w:spacing w:val="61"/>
          <w:sz w:val="20"/>
        </w:rPr>
        <w:t> </w:t>
      </w:r>
      <w:r>
        <w:rPr>
          <w:rFonts w:ascii="Arial"/>
          <w:i/>
          <w:sz w:val="20"/>
        </w:rPr>
        <w:t>2</w:t>
      </w:r>
      <w:r>
        <w:rPr>
          <w:rFonts w:ascii="Arial"/>
          <w:i/>
          <w:spacing w:val="61"/>
          <w:sz w:val="20"/>
        </w:rPr>
        <w:t> </w:t>
      </w:r>
      <w:r>
        <w:rPr>
          <w:rFonts w:ascii="Arial"/>
          <w:i/>
          <w:sz w:val="20"/>
        </w:rPr>
        <w:t>A.C.</w:t>
      </w:r>
      <w:r>
        <w:rPr>
          <w:rFonts w:ascii="Arial"/>
          <w:i/>
          <w:spacing w:val="61"/>
          <w:sz w:val="20"/>
        </w:rPr>
        <w:t> </w:t>
      </w:r>
      <w:r>
        <w:rPr>
          <w:rFonts w:ascii="Arial"/>
          <w:i/>
          <w:sz w:val="20"/>
        </w:rPr>
        <w:t>457</w:t>
      </w:r>
      <w:r>
        <w:rPr>
          <w:rFonts w:ascii="Arial"/>
          <w:i/>
          <w:spacing w:val="60"/>
          <w:sz w:val="20"/>
        </w:rPr>
        <w:t> </w:t>
      </w:r>
      <w:r>
        <w:rPr>
          <w:sz w:val="20"/>
        </w:rPr>
        <w:t>at</w:t>
      </w:r>
      <w:r>
        <w:rPr>
          <w:spacing w:val="61"/>
          <w:sz w:val="20"/>
        </w:rPr>
        <w:t> </w:t>
      </w:r>
      <w:r>
        <w:rPr>
          <w:sz w:val="20"/>
        </w:rPr>
        <w:t>[17],</w:t>
      </w:r>
      <w:r>
        <w:rPr>
          <w:spacing w:val="61"/>
          <w:sz w:val="20"/>
        </w:rPr>
        <w:t> </w:t>
      </w:r>
      <w:r>
        <w:rPr>
          <w:sz w:val="20"/>
        </w:rPr>
        <w:t>per</w:t>
      </w:r>
      <w:r>
        <w:rPr>
          <w:spacing w:val="61"/>
          <w:sz w:val="20"/>
        </w:rPr>
        <w:t> </w:t>
      </w:r>
      <w:r>
        <w:rPr>
          <w:sz w:val="20"/>
        </w:rPr>
        <w:t>Lord</w:t>
      </w:r>
      <w:r>
        <w:rPr>
          <w:spacing w:val="61"/>
          <w:sz w:val="20"/>
        </w:rPr>
        <w:t> </w:t>
      </w:r>
      <w:r>
        <w:rPr>
          <w:sz w:val="20"/>
        </w:rPr>
        <w:t>Nicholls</w:t>
      </w:r>
      <w:r>
        <w:rPr>
          <w:spacing w:val="61"/>
          <w:sz w:val="20"/>
        </w:rPr>
        <w:t> </w:t>
      </w:r>
      <w:r>
        <w:rPr>
          <w:sz w:val="20"/>
        </w:rPr>
        <w:t>of </w:t>
      </w:r>
      <w:r>
        <w:rPr>
          <w:spacing w:val="-2"/>
          <w:sz w:val="20"/>
        </w:rPr>
        <w:t>Birkenhead.</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412" w:id="1414"/>
      <w:bookmarkEnd w:id="1414"/>
      <w:r>
        <w:rPr/>
      </w:r>
      <w:hyperlink w:history="true" w:anchor="_bookmark1398">
        <w:r>
          <w:rPr>
            <w:color w:val="005DA1"/>
            <w:spacing w:val="-4"/>
            <w:position w:val="5"/>
            <w:sz w:val="14"/>
            <w:u w:val="single" w:color="005DA1"/>
          </w:rPr>
          <w:t>745</w:t>
        </w:r>
      </w:hyperlink>
      <w:r>
        <w:rPr>
          <w:spacing w:val="-4"/>
          <w:position w:val="5"/>
          <w:sz w:val="14"/>
        </w:rPr>
        <w:t>.</w:t>
      </w:r>
      <w:r>
        <w:rPr>
          <w:position w:val="5"/>
          <w:sz w:val="14"/>
        </w:rPr>
        <w:tab/>
      </w:r>
      <w:r>
        <w:rPr>
          <w:rFonts w:ascii="Arial"/>
          <w:i/>
          <w:sz w:val="20"/>
        </w:rPr>
        <w:t>A</w:t>
      </w:r>
      <w:r>
        <w:rPr>
          <w:rFonts w:ascii="Arial"/>
          <w:i/>
          <w:spacing w:val="1"/>
          <w:sz w:val="20"/>
        </w:rPr>
        <w:t> </w:t>
      </w:r>
      <w:r>
        <w:rPr>
          <w:rFonts w:ascii="Arial"/>
          <w:i/>
          <w:sz w:val="20"/>
        </w:rPr>
        <w:t>v</w:t>
      </w:r>
      <w:r>
        <w:rPr>
          <w:rFonts w:ascii="Arial"/>
          <w:i/>
          <w:spacing w:val="3"/>
          <w:sz w:val="20"/>
        </w:rPr>
        <w:t> </w:t>
      </w:r>
      <w:r>
        <w:rPr>
          <w:rFonts w:ascii="Arial"/>
          <w:i/>
          <w:sz w:val="20"/>
        </w:rPr>
        <w:t>B</w:t>
      </w:r>
      <w:r>
        <w:rPr>
          <w:rFonts w:ascii="Arial"/>
          <w:i/>
          <w:spacing w:val="3"/>
          <w:sz w:val="20"/>
        </w:rPr>
        <w:t> </w:t>
      </w:r>
      <w:r>
        <w:rPr>
          <w:rFonts w:ascii="Arial"/>
          <w:i/>
          <w:sz w:val="20"/>
        </w:rPr>
        <w:t>Plc</w:t>
      </w:r>
      <w:r>
        <w:rPr>
          <w:rFonts w:ascii="Arial"/>
          <w:i/>
          <w:spacing w:val="3"/>
          <w:sz w:val="20"/>
        </w:rPr>
        <w:t> </w:t>
      </w:r>
      <w:r>
        <w:rPr>
          <w:rFonts w:ascii="Arial"/>
          <w:i/>
          <w:sz w:val="20"/>
        </w:rPr>
        <w:t>[2002]</w:t>
      </w:r>
      <w:r>
        <w:rPr>
          <w:rFonts w:ascii="Arial"/>
          <w:i/>
          <w:spacing w:val="3"/>
          <w:sz w:val="20"/>
        </w:rPr>
        <w:t> </w:t>
      </w:r>
      <w:r>
        <w:rPr>
          <w:rFonts w:ascii="Arial"/>
          <w:i/>
          <w:sz w:val="20"/>
        </w:rPr>
        <w:t>EWCA</w:t>
      </w:r>
      <w:r>
        <w:rPr>
          <w:rFonts w:ascii="Arial"/>
          <w:i/>
          <w:spacing w:val="3"/>
          <w:sz w:val="20"/>
        </w:rPr>
        <w:t> </w:t>
      </w:r>
      <w:r>
        <w:rPr>
          <w:rFonts w:ascii="Arial"/>
          <w:i/>
          <w:sz w:val="20"/>
        </w:rPr>
        <w:t>Civ</w:t>
      </w:r>
      <w:r>
        <w:rPr>
          <w:rFonts w:ascii="Arial"/>
          <w:i/>
          <w:spacing w:val="3"/>
          <w:sz w:val="20"/>
        </w:rPr>
        <w:t> </w:t>
      </w:r>
      <w:r>
        <w:rPr>
          <w:rFonts w:ascii="Arial"/>
          <w:i/>
          <w:sz w:val="20"/>
        </w:rPr>
        <w:t>337,</w:t>
      </w:r>
      <w:r>
        <w:rPr>
          <w:rFonts w:ascii="Arial"/>
          <w:i/>
          <w:spacing w:val="3"/>
          <w:sz w:val="20"/>
        </w:rPr>
        <w:t> </w:t>
      </w:r>
      <w:r>
        <w:rPr>
          <w:rFonts w:ascii="Arial"/>
          <w:i/>
          <w:sz w:val="20"/>
        </w:rPr>
        <w:t>[2003]</w:t>
      </w:r>
      <w:r>
        <w:rPr>
          <w:rFonts w:ascii="Arial"/>
          <w:i/>
          <w:spacing w:val="3"/>
          <w:sz w:val="20"/>
        </w:rPr>
        <w:t> </w:t>
      </w:r>
      <w:r>
        <w:rPr>
          <w:rFonts w:ascii="Arial"/>
          <w:i/>
          <w:sz w:val="20"/>
        </w:rPr>
        <w:t>Q.B.</w:t>
      </w:r>
      <w:r>
        <w:rPr>
          <w:rFonts w:ascii="Arial"/>
          <w:i/>
          <w:spacing w:val="3"/>
          <w:sz w:val="20"/>
        </w:rPr>
        <w:t> </w:t>
      </w:r>
      <w:r>
        <w:rPr>
          <w:rFonts w:ascii="Arial"/>
          <w:i/>
          <w:sz w:val="20"/>
        </w:rPr>
        <w:t>195</w:t>
      </w:r>
      <w:r>
        <w:rPr>
          <w:rFonts w:ascii="Arial"/>
          <w:i/>
          <w:spacing w:val="3"/>
          <w:sz w:val="20"/>
        </w:rPr>
        <w:t> </w:t>
      </w:r>
      <w:r>
        <w:rPr>
          <w:sz w:val="20"/>
        </w:rPr>
        <w:t>at</w:t>
      </w:r>
      <w:r>
        <w:rPr>
          <w:spacing w:val="3"/>
          <w:sz w:val="20"/>
        </w:rPr>
        <w:t> </w:t>
      </w:r>
      <w:r>
        <w:rPr>
          <w:sz w:val="20"/>
        </w:rPr>
        <w:t>[6];</w:t>
      </w:r>
      <w:r>
        <w:rPr>
          <w:spacing w:val="3"/>
          <w:sz w:val="20"/>
        </w:rPr>
        <w:t> </w:t>
      </w:r>
      <w:r>
        <w:rPr>
          <w:rFonts w:ascii="Arial"/>
          <w:i/>
          <w:sz w:val="20"/>
        </w:rPr>
        <w:t>Douglas</w:t>
      </w:r>
      <w:r>
        <w:rPr>
          <w:rFonts w:ascii="Arial"/>
          <w:i/>
          <w:spacing w:val="3"/>
          <w:sz w:val="20"/>
        </w:rPr>
        <w:t> </w:t>
      </w:r>
      <w:r>
        <w:rPr>
          <w:rFonts w:ascii="Arial"/>
          <w:i/>
          <w:sz w:val="20"/>
        </w:rPr>
        <w:t>v</w:t>
      </w:r>
      <w:r>
        <w:rPr>
          <w:rFonts w:ascii="Arial"/>
          <w:i/>
          <w:spacing w:val="3"/>
          <w:sz w:val="20"/>
        </w:rPr>
        <w:t> </w:t>
      </w:r>
      <w:r>
        <w:rPr>
          <w:rFonts w:ascii="Arial"/>
          <w:i/>
          <w:sz w:val="20"/>
        </w:rPr>
        <w:t>Hello!</w:t>
      </w:r>
      <w:r>
        <w:rPr>
          <w:rFonts w:ascii="Arial"/>
          <w:i/>
          <w:spacing w:val="3"/>
          <w:sz w:val="20"/>
        </w:rPr>
        <w:t> </w:t>
      </w:r>
      <w:r>
        <w:rPr>
          <w:rFonts w:ascii="Arial"/>
          <w:i/>
          <w:sz w:val="20"/>
        </w:rPr>
        <w:t>Ltd</w:t>
      </w:r>
      <w:r>
        <w:rPr>
          <w:rFonts w:ascii="Arial"/>
          <w:i/>
          <w:spacing w:val="3"/>
          <w:sz w:val="20"/>
        </w:rPr>
        <w:t> </w:t>
      </w:r>
      <w:r>
        <w:rPr>
          <w:rFonts w:ascii="Arial"/>
          <w:i/>
          <w:sz w:val="20"/>
        </w:rPr>
        <w:t>(No.1)</w:t>
      </w:r>
      <w:r>
        <w:rPr>
          <w:rFonts w:ascii="Arial"/>
          <w:i/>
          <w:spacing w:val="3"/>
          <w:sz w:val="20"/>
        </w:rPr>
        <w:t> </w:t>
      </w:r>
      <w:r>
        <w:rPr>
          <w:rFonts w:ascii="Arial"/>
          <w:i/>
          <w:sz w:val="20"/>
        </w:rPr>
        <w:t>[2001]</w:t>
      </w:r>
      <w:r>
        <w:rPr>
          <w:rFonts w:ascii="Arial"/>
          <w:i/>
          <w:spacing w:val="3"/>
          <w:sz w:val="20"/>
        </w:rPr>
        <w:t> </w:t>
      </w:r>
      <w:r>
        <w:rPr>
          <w:rFonts w:ascii="Arial"/>
          <w:i/>
          <w:spacing w:val="-4"/>
          <w:sz w:val="20"/>
        </w:rPr>
        <w:t>Q.B.</w:t>
      </w:r>
    </w:p>
    <w:p>
      <w:pPr>
        <w:spacing w:line="235" w:lineRule="auto" w:before="1"/>
        <w:ind w:left="705" w:right="0" w:firstLine="0"/>
        <w:jc w:val="left"/>
        <w:rPr>
          <w:sz w:val="20"/>
        </w:rPr>
      </w:pPr>
      <w:r>
        <w:rPr>
          <w:rFonts w:ascii="Arial" w:hAnsi="Arial"/>
          <w:i/>
          <w:sz w:val="20"/>
        </w:rPr>
        <w:t>967</w:t>
      </w:r>
      <w:r>
        <w:rPr>
          <w:rFonts w:ascii="Arial" w:hAnsi="Arial"/>
          <w:i/>
          <w:spacing w:val="40"/>
          <w:sz w:val="20"/>
        </w:rPr>
        <w:t> </w:t>
      </w:r>
      <w:r>
        <w:rPr>
          <w:sz w:val="20"/>
        </w:rPr>
        <w:t>at</w:t>
      </w:r>
      <w:r>
        <w:rPr>
          <w:spacing w:val="40"/>
          <w:sz w:val="20"/>
        </w:rPr>
        <w:t> </w:t>
      </w:r>
      <w:r>
        <w:rPr>
          <w:sz w:val="20"/>
        </w:rPr>
        <w:t>[135];</w:t>
      </w:r>
      <w:r>
        <w:rPr>
          <w:spacing w:val="40"/>
          <w:sz w:val="20"/>
        </w:rPr>
        <w:t> </w:t>
      </w:r>
      <w:r>
        <w:rPr>
          <w:rFonts w:ascii="Arial" w:hAnsi="Arial"/>
          <w:i/>
          <w:sz w:val="20"/>
        </w:rPr>
        <w:t>Lady</w:t>
      </w:r>
      <w:r>
        <w:rPr>
          <w:rFonts w:ascii="Arial" w:hAnsi="Arial"/>
          <w:i/>
          <w:spacing w:val="40"/>
          <w:sz w:val="20"/>
        </w:rPr>
        <w:t> </w:t>
      </w:r>
      <w:r>
        <w:rPr>
          <w:rFonts w:ascii="Arial" w:hAnsi="Arial"/>
          <w:i/>
          <w:sz w:val="20"/>
        </w:rPr>
        <w:t>Archer</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Williams</w:t>
      </w:r>
      <w:r>
        <w:rPr>
          <w:rFonts w:ascii="Arial" w:hAnsi="Arial"/>
          <w:i/>
          <w:spacing w:val="40"/>
          <w:sz w:val="20"/>
        </w:rPr>
        <w:t> </w:t>
      </w:r>
      <w:r>
        <w:rPr>
          <w:rFonts w:ascii="Arial" w:hAnsi="Arial"/>
          <w:i/>
          <w:sz w:val="20"/>
        </w:rPr>
        <w:t>[2003]</w:t>
      </w:r>
      <w:r>
        <w:rPr>
          <w:rFonts w:ascii="Arial" w:hAnsi="Arial"/>
          <w:i/>
          <w:spacing w:val="40"/>
          <w:sz w:val="20"/>
        </w:rPr>
        <w:t> </w:t>
      </w:r>
      <w:r>
        <w:rPr>
          <w:rFonts w:ascii="Arial" w:hAnsi="Arial"/>
          <w:i/>
          <w:sz w:val="20"/>
        </w:rPr>
        <w:t>E.M.L.R.</w:t>
      </w:r>
      <w:r>
        <w:rPr>
          <w:rFonts w:ascii="Arial" w:hAnsi="Arial"/>
          <w:i/>
          <w:spacing w:val="40"/>
          <w:sz w:val="20"/>
        </w:rPr>
        <w:t> </w:t>
      </w:r>
      <w:r>
        <w:rPr>
          <w:rFonts w:ascii="Arial" w:hAnsi="Arial"/>
          <w:i/>
          <w:sz w:val="20"/>
        </w:rPr>
        <w:t>38</w:t>
      </w:r>
      <w:r>
        <w:rPr>
          <w:rFonts w:ascii="Arial" w:hAnsi="Arial"/>
          <w:i/>
          <w:spacing w:val="40"/>
          <w:sz w:val="20"/>
        </w:rPr>
        <w:t> </w:t>
      </w:r>
      <w:r>
        <w:rPr>
          <w:sz w:val="20"/>
        </w:rPr>
        <w:t>at</w:t>
      </w:r>
      <w:r>
        <w:rPr>
          <w:spacing w:val="40"/>
          <w:sz w:val="20"/>
        </w:rPr>
        <w:t> </w:t>
      </w:r>
      <w:r>
        <w:rPr>
          <w:sz w:val="20"/>
        </w:rPr>
        <w:t>[59]</w:t>
      </w:r>
      <w:r>
        <w:rPr>
          <w:spacing w:val="40"/>
          <w:sz w:val="20"/>
        </w:rPr>
        <w:t> </w:t>
      </w:r>
      <w:r>
        <w:rPr>
          <w:sz w:val="20"/>
        </w:rPr>
        <w:t>and</w:t>
      </w:r>
      <w:r>
        <w:rPr>
          <w:spacing w:val="40"/>
          <w:sz w:val="20"/>
        </w:rPr>
        <w:t> </w:t>
      </w:r>
      <w:r>
        <w:rPr>
          <w:sz w:val="20"/>
        </w:rPr>
        <w:t>note</w:t>
      </w:r>
      <w:r>
        <w:rPr>
          <w:spacing w:val="40"/>
          <w:sz w:val="20"/>
        </w:rPr>
        <w:t> </w:t>
      </w:r>
      <w:r>
        <w:rPr>
          <w:sz w:val="20"/>
        </w:rPr>
        <w:t>s.12(4)(a)(ii)’s</w:t>
      </w:r>
      <w:r>
        <w:rPr>
          <w:spacing w:val="40"/>
          <w:sz w:val="20"/>
        </w:rPr>
        <w:t> </w:t>
      </w:r>
      <w:r>
        <w:rPr>
          <w:sz w:val="20"/>
        </w:rPr>
        <w:t>reference to the significance of the public interest.</w:t>
      </w:r>
    </w:p>
    <w:p>
      <w:pPr>
        <w:pStyle w:val="BodyText"/>
        <w:spacing w:before="9"/>
      </w:pPr>
    </w:p>
    <w:p>
      <w:pPr>
        <w:spacing w:line="235" w:lineRule="auto" w:before="1"/>
        <w:ind w:left="705" w:right="168" w:hanging="541"/>
        <w:jc w:val="both"/>
        <w:rPr>
          <w:sz w:val="20"/>
        </w:rPr>
      </w:pPr>
      <w:bookmarkStart w:name="_bookmark1413" w:id="1415"/>
      <w:bookmarkEnd w:id="1415"/>
      <w:r>
        <w:rPr/>
      </w:r>
      <w:hyperlink w:history="true" w:anchor="_bookmark1399">
        <w:r>
          <w:rPr>
            <w:color w:val="005DA1"/>
            <w:position w:val="5"/>
            <w:sz w:val="14"/>
            <w:u w:val="single" w:color="005DA1"/>
          </w:rPr>
          <w:t>746</w:t>
        </w:r>
      </w:hyperlink>
      <w:r>
        <w:rPr>
          <w:position w:val="5"/>
          <w:sz w:val="14"/>
        </w:rPr>
        <w:t>.</w:t>
      </w:r>
      <w:r>
        <w:rPr>
          <w:spacing w:val="80"/>
          <w:position w:val="5"/>
          <w:sz w:val="14"/>
        </w:rPr>
        <w:t>  </w:t>
      </w:r>
      <w:r>
        <w:rPr>
          <w:rFonts w:ascii="Arial" w:hAnsi="Arial"/>
          <w:i/>
          <w:sz w:val="20"/>
        </w:rPr>
        <w:t>Campbell v Frisbee [2002] EWCA Civ 1374, [2003] I.C.R. 141 </w:t>
      </w:r>
      <w:r>
        <w:rPr>
          <w:sz w:val="20"/>
        </w:rPr>
        <w:t>at [22], per Lord Phillips M.R. (who noted, however, conflicting dicta on this point in </w:t>
      </w:r>
      <w:r>
        <w:rPr>
          <w:rFonts w:ascii="Arial" w:hAnsi="Arial"/>
          <w:i/>
          <w:sz w:val="20"/>
        </w:rPr>
        <w:t>London Regional Transport v The Mayor of</w:t>
      </w:r>
      <w:r>
        <w:rPr>
          <w:rFonts w:ascii="Arial" w:hAnsi="Arial"/>
          <w:i/>
          <w:spacing w:val="51"/>
          <w:sz w:val="20"/>
        </w:rPr>
        <w:t> </w:t>
      </w:r>
      <w:r>
        <w:rPr>
          <w:rFonts w:ascii="Arial" w:hAnsi="Arial"/>
          <w:i/>
          <w:sz w:val="20"/>
        </w:rPr>
        <w:t>London</w:t>
      </w:r>
      <w:r>
        <w:rPr>
          <w:rFonts w:ascii="Arial" w:hAnsi="Arial"/>
          <w:i/>
          <w:spacing w:val="53"/>
          <w:sz w:val="20"/>
        </w:rPr>
        <w:t> </w:t>
      </w:r>
      <w:r>
        <w:rPr>
          <w:rFonts w:ascii="Arial" w:hAnsi="Arial"/>
          <w:i/>
          <w:sz w:val="20"/>
        </w:rPr>
        <w:t>[2003]</w:t>
      </w:r>
      <w:r>
        <w:rPr>
          <w:rFonts w:ascii="Arial" w:hAnsi="Arial"/>
          <w:i/>
          <w:spacing w:val="53"/>
          <w:sz w:val="20"/>
        </w:rPr>
        <w:t> </w:t>
      </w:r>
      <w:r>
        <w:rPr>
          <w:rFonts w:ascii="Arial" w:hAnsi="Arial"/>
          <w:i/>
          <w:sz w:val="20"/>
        </w:rPr>
        <w:t>E.M.L.R.</w:t>
      </w:r>
      <w:r>
        <w:rPr>
          <w:rFonts w:ascii="Arial" w:hAnsi="Arial"/>
          <w:i/>
          <w:spacing w:val="53"/>
          <w:sz w:val="20"/>
        </w:rPr>
        <w:t> </w:t>
      </w:r>
      <w:r>
        <w:rPr>
          <w:rFonts w:ascii="Arial" w:hAnsi="Arial"/>
          <w:i/>
          <w:sz w:val="20"/>
        </w:rPr>
        <w:t>4</w:t>
      </w:r>
      <w:r>
        <w:rPr>
          <w:rFonts w:ascii="Arial" w:hAnsi="Arial"/>
          <w:i/>
          <w:spacing w:val="52"/>
          <w:sz w:val="20"/>
        </w:rPr>
        <w:t> </w:t>
      </w:r>
      <w:r>
        <w:rPr>
          <w:sz w:val="20"/>
        </w:rPr>
        <w:t>at</w:t>
      </w:r>
      <w:r>
        <w:rPr>
          <w:spacing w:val="53"/>
          <w:sz w:val="20"/>
        </w:rPr>
        <w:t> </w:t>
      </w:r>
      <w:r>
        <w:rPr>
          <w:sz w:val="20"/>
        </w:rPr>
        <w:t>[46];</w:t>
      </w:r>
      <w:r>
        <w:rPr>
          <w:spacing w:val="53"/>
          <w:sz w:val="20"/>
        </w:rPr>
        <w:t> </w:t>
      </w:r>
      <w:r>
        <w:rPr>
          <w:rFonts w:ascii="Arial" w:hAnsi="Arial"/>
          <w:i/>
          <w:sz w:val="20"/>
        </w:rPr>
        <w:t>A.G.</w:t>
      </w:r>
      <w:r>
        <w:rPr>
          <w:rFonts w:ascii="Arial" w:hAnsi="Arial"/>
          <w:i/>
          <w:spacing w:val="53"/>
          <w:sz w:val="20"/>
        </w:rPr>
        <w:t> </w:t>
      </w:r>
      <w:r>
        <w:rPr>
          <w:rFonts w:ascii="Arial" w:hAnsi="Arial"/>
          <w:i/>
          <w:sz w:val="20"/>
        </w:rPr>
        <w:t>v</w:t>
      </w:r>
      <w:r>
        <w:rPr>
          <w:rFonts w:ascii="Arial" w:hAnsi="Arial"/>
          <w:i/>
          <w:spacing w:val="53"/>
          <w:sz w:val="20"/>
        </w:rPr>
        <w:t> </w:t>
      </w:r>
      <w:r>
        <w:rPr>
          <w:rFonts w:ascii="Arial" w:hAnsi="Arial"/>
          <w:i/>
          <w:sz w:val="20"/>
        </w:rPr>
        <w:t>Barker</w:t>
      </w:r>
      <w:r>
        <w:rPr>
          <w:rFonts w:ascii="Arial" w:hAnsi="Arial"/>
          <w:i/>
          <w:spacing w:val="53"/>
          <w:sz w:val="20"/>
        </w:rPr>
        <w:t> </w:t>
      </w:r>
      <w:r>
        <w:rPr>
          <w:rFonts w:ascii="Arial" w:hAnsi="Arial"/>
          <w:i/>
          <w:sz w:val="20"/>
        </w:rPr>
        <w:t>[1990]</w:t>
      </w:r>
      <w:r>
        <w:rPr>
          <w:rFonts w:ascii="Arial" w:hAnsi="Arial"/>
          <w:i/>
          <w:spacing w:val="53"/>
          <w:sz w:val="20"/>
        </w:rPr>
        <w:t> </w:t>
      </w:r>
      <w:r>
        <w:rPr>
          <w:rFonts w:ascii="Arial" w:hAnsi="Arial"/>
          <w:i/>
          <w:sz w:val="20"/>
        </w:rPr>
        <w:t>3</w:t>
      </w:r>
      <w:r>
        <w:rPr>
          <w:rFonts w:ascii="Arial" w:hAnsi="Arial"/>
          <w:i/>
          <w:spacing w:val="53"/>
          <w:sz w:val="20"/>
        </w:rPr>
        <w:t> </w:t>
      </w:r>
      <w:r>
        <w:rPr>
          <w:rFonts w:ascii="Arial" w:hAnsi="Arial"/>
          <w:i/>
          <w:sz w:val="20"/>
        </w:rPr>
        <w:t>All</w:t>
      </w:r>
      <w:r>
        <w:rPr>
          <w:rFonts w:ascii="Arial" w:hAnsi="Arial"/>
          <w:i/>
          <w:spacing w:val="53"/>
          <w:sz w:val="20"/>
        </w:rPr>
        <w:t> </w:t>
      </w:r>
      <w:r>
        <w:rPr>
          <w:rFonts w:ascii="Arial" w:hAnsi="Arial"/>
          <w:i/>
          <w:sz w:val="20"/>
        </w:rPr>
        <w:t>E.R.</w:t>
      </w:r>
      <w:r>
        <w:rPr>
          <w:rFonts w:ascii="Arial" w:hAnsi="Arial"/>
          <w:i/>
          <w:spacing w:val="53"/>
          <w:sz w:val="20"/>
        </w:rPr>
        <w:t> </w:t>
      </w:r>
      <w:r>
        <w:rPr>
          <w:rFonts w:ascii="Arial" w:hAnsi="Arial"/>
          <w:i/>
          <w:sz w:val="20"/>
        </w:rPr>
        <w:t>257,</w:t>
      </w:r>
      <w:r>
        <w:rPr>
          <w:rFonts w:ascii="Arial" w:hAnsi="Arial"/>
          <w:i/>
          <w:spacing w:val="53"/>
          <w:sz w:val="20"/>
        </w:rPr>
        <w:t> </w:t>
      </w:r>
      <w:r>
        <w:rPr>
          <w:rFonts w:ascii="Arial" w:hAnsi="Arial"/>
          <w:i/>
          <w:sz w:val="20"/>
        </w:rPr>
        <w:t>260–261)</w:t>
      </w:r>
      <w:r>
        <w:rPr>
          <w:rFonts w:ascii="Arial" w:hAnsi="Arial"/>
          <w:i/>
          <w:spacing w:val="52"/>
          <w:sz w:val="20"/>
        </w:rPr>
        <w:t> </w:t>
      </w:r>
      <w:r>
        <w:rPr>
          <w:spacing w:val="-5"/>
          <w:sz w:val="20"/>
        </w:rPr>
        <w:t>(no</w:t>
      </w:r>
    </w:p>
    <w:p>
      <w:pPr>
        <w:spacing w:line="235" w:lineRule="auto" w:before="0"/>
        <w:ind w:left="705" w:right="168" w:firstLine="0"/>
        <w:jc w:val="both"/>
        <w:rPr>
          <w:sz w:val="20"/>
        </w:rPr>
      </w:pPr>
      <w:r>
        <w:rPr>
          <w:sz w:val="20"/>
        </w:rPr>
        <w:t>comment was made by members of the HL on appeal in </w:t>
      </w:r>
      <w:r>
        <w:rPr>
          <w:rFonts w:ascii="Arial"/>
          <w:i/>
          <w:sz w:val="20"/>
        </w:rPr>
        <w:t>Campbell v MGN Ltd [2004] UKHL </w:t>
      </w:r>
      <w:r>
        <w:rPr>
          <w:rFonts w:ascii="Arial"/>
          <w:i/>
          <w:sz w:val="20"/>
        </w:rPr>
        <w:t>22, [2004]</w:t>
      </w:r>
      <w:r>
        <w:rPr>
          <w:rFonts w:ascii="Arial"/>
          <w:i/>
          <w:spacing w:val="20"/>
          <w:sz w:val="20"/>
        </w:rPr>
        <w:t> </w:t>
      </w:r>
      <w:r>
        <w:rPr>
          <w:rFonts w:ascii="Arial"/>
          <w:i/>
          <w:sz w:val="20"/>
        </w:rPr>
        <w:t>2</w:t>
      </w:r>
      <w:r>
        <w:rPr>
          <w:rFonts w:ascii="Arial"/>
          <w:i/>
          <w:spacing w:val="21"/>
          <w:sz w:val="20"/>
        </w:rPr>
        <w:t> </w:t>
      </w:r>
      <w:r>
        <w:rPr>
          <w:rFonts w:ascii="Arial"/>
          <w:i/>
          <w:sz w:val="20"/>
        </w:rPr>
        <w:t>A.C.</w:t>
      </w:r>
      <w:r>
        <w:rPr>
          <w:rFonts w:ascii="Arial"/>
          <w:i/>
          <w:spacing w:val="21"/>
          <w:sz w:val="20"/>
        </w:rPr>
        <w:t> </w:t>
      </w:r>
      <w:r>
        <w:rPr>
          <w:rFonts w:ascii="Arial"/>
          <w:i/>
          <w:sz w:val="20"/>
        </w:rPr>
        <w:t>457)</w:t>
      </w:r>
      <w:r>
        <w:rPr>
          <w:sz w:val="20"/>
        </w:rPr>
        <w:t>.</w:t>
      </w:r>
      <w:r>
        <w:rPr>
          <w:spacing w:val="21"/>
          <w:sz w:val="20"/>
        </w:rPr>
        <w:t> </w:t>
      </w:r>
      <w:r>
        <w:rPr>
          <w:sz w:val="20"/>
        </w:rPr>
        <w:t>cf.</w:t>
      </w:r>
      <w:r>
        <w:rPr>
          <w:spacing w:val="21"/>
          <w:sz w:val="20"/>
        </w:rPr>
        <w:t> </w:t>
      </w:r>
      <w:r>
        <w:rPr>
          <w:rFonts w:ascii="Arial"/>
          <w:i/>
          <w:sz w:val="20"/>
        </w:rPr>
        <w:t>McKennitt</w:t>
      </w:r>
      <w:r>
        <w:rPr>
          <w:rFonts w:ascii="Arial"/>
          <w:i/>
          <w:spacing w:val="21"/>
          <w:sz w:val="20"/>
        </w:rPr>
        <w:t> </w:t>
      </w:r>
      <w:r>
        <w:rPr>
          <w:rFonts w:ascii="Arial"/>
          <w:i/>
          <w:sz w:val="20"/>
        </w:rPr>
        <w:t>v</w:t>
      </w:r>
      <w:r>
        <w:rPr>
          <w:rFonts w:ascii="Arial"/>
          <w:i/>
          <w:spacing w:val="21"/>
          <w:sz w:val="20"/>
        </w:rPr>
        <w:t> </w:t>
      </w:r>
      <w:r>
        <w:rPr>
          <w:rFonts w:ascii="Arial"/>
          <w:i/>
          <w:sz w:val="20"/>
        </w:rPr>
        <w:t>Ash</w:t>
      </w:r>
      <w:r>
        <w:rPr>
          <w:rFonts w:ascii="Arial"/>
          <w:i/>
          <w:spacing w:val="21"/>
          <w:sz w:val="20"/>
        </w:rPr>
        <w:t> </w:t>
      </w:r>
      <w:r>
        <w:rPr>
          <w:rFonts w:ascii="Arial"/>
          <w:i/>
          <w:sz w:val="20"/>
        </w:rPr>
        <w:t>[2006]</w:t>
      </w:r>
      <w:r>
        <w:rPr>
          <w:rFonts w:ascii="Arial"/>
          <w:i/>
          <w:spacing w:val="21"/>
          <w:sz w:val="20"/>
        </w:rPr>
        <w:t> </w:t>
      </w:r>
      <w:r>
        <w:rPr>
          <w:rFonts w:ascii="Arial"/>
          <w:i/>
          <w:sz w:val="20"/>
        </w:rPr>
        <w:t>EWCA</w:t>
      </w:r>
      <w:r>
        <w:rPr>
          <w:rFonts w:ascii="Arial"/>
          <w:i/>
          <w:spacing w:val="21"/>
          <w:sz w:val="20"/>
        </w:rPr>
        <w:t> </w:t>
      </w:r>
      <w:r>
        <w:rPr>
          <w:rFonts w:ascii="Arial"/>
          <w:i/>
          <w:sz w:val="20"/>
        </w:rPr>
        <w:t>Civ</w:t>
      </w:r>
      <w:r>
        <w:rPr>
          <w:rFonts w:ascii="Arial"/>
          <w:i/>
          <w:spacing w:val="21"/>
          <w:sz w:val="20"/>
        </w:rPr>
        <w:t> </w:t>
      </w:r>
      <w:r>
        <w:rPr>
          <w:rFonts w:ascii="Arial"/>
          <w:i/>
          <w:sz w:val="20"/>
        </w:rPr>
        <w:t>1714,</w:t>
      </w:r>
      <w:r>
        <w:rPr>
          <w:rFonts w:ascii="Arial"/>
          <w:i/>
          <w:spacing w:val="21"/>
          <w:sz w:val="20"/>
        </w:rPr>
        <w:t> </w:t>
      </w:r>
      <w:r>
        <w:rPr>
          <w:rFonts w:ascii="Arial"/>
          <w:i/>
          <w:sz w:val="20"/>
        </w:rPr>
        <w:t>[2007]</w:t>
      </w:r>
      <w:r>
        <w:rPr>
          <w:rFonts w:ascii="Arial"/>
          <w:i/>
          <w:spacing w:val="21"/>
          <w:sz w:val="20"/>
        </w:rPr>
        <w:t> </w:t>
      </w:r>
      <w:r>
        <w:rPr>
          <w:rFonts w:ascii="Arial"/>
          <w:i/>
          <w:sz w:val="20"/>
        </w:rPr>
        <w:t>3</w:t>
      </w:r>
      <w:r>
        <w:rPr>
          <w:rFonts w:ascii="Arial"/>
          <w:i/>
          <w:spacing w:val="21"/>
          <w:sz w:val="20"/>
        </w:rPr>
        <w:t> </w:t>
      </w:r>
      <w:r>
        <w:rPr>
          <w:rFonts w:ascii="Arial"/>
          <w:i/>
          <w:sz w:val="20"/>
        </w:rPr>
        <w:t>W.L.R.</w:t>
      </w:r>
      <w:r>
        <w:rPr>
          <w:rFonts w:ascii="Arial"/>
          <w:i/>
          <w:spacing w:val="21"/>
          <w:sz w:val="20"/>
        </w:rPr>
        <w:t> </w:t>
      </w:r>
      <w:r>
        <w:rPr>
          <w:rFonts w:ascii="Arial"/>
          <w:i/>
          <w:sz w:val="20"/>
        </w:rPr>
        <w:t>194</w:t>
      </w:r>
      <w:r>
        <w:rPr>
          <w:rFonts w:ascii="Arial"/>
          <w:i/>
          <w:spacing w:val="20"/>
          <w:sz w:val="20"/>
        </w:rPr>
        <w:t> </w:t>
      </w:r>
      <w:r>
        <w:rPr>
          <w:sz w:val="20"/>
        </w:rPr>
        <w:t>at</w:t>
      </w:r>
      <w:r>
        <w:rPr>
          <w:spacing w:val="21"/>
          <w:sz w:val="20"/>
        </w:rPr>
        <w:t> </w:t>
      </w:r>
      <w:r>
        <w:rPr>
          <w:spacing w:val="-2"/>
          <w:sz w:val="20"/>
        </w:rPr>
        <w:t>[43],</w:t>
      </w:r>
    </w:p>
    <w:p>
      <w:pPr>
        <w:pStyle w:val="BodyText"/>
        <w:spacing w:line="235" w:lineRule="auto"/>
        <w:ind w:left="705" w:right="167"/>
        <w:jc w:val="both"/>
      </w:pPr>
      <w:r>
        <w:rPr/>
        <w:t>where in the circumstances Buxton L.J. considered that: “the provision of the written contract</w:t>
      </w:r>
      <w:r>
        <w:rPr>
          <w:spacing w:val="40"/>
        </w:rPr>
        <w:t> </w:t>
      </w:r>
      <w:r>
        <w:rPr/>
        <w:t>did not add much to the obligations that the first defendant owed in equity by reason of the closeness of her personal relationship with the first claimant.”</w:t>
      </w:r>
    </w:p>
    <w:p>
      <w:pPr>
        <w:pStyle w:val="BodyText"/>
        <w:spacing w:after="0" w:line="235" w:lineRule="auto"/>
        <w:jc w:val="both"/>
        <w:sectPr>
          <w:pgSz w:w="11900" w:h="16840"/>
          <w:pgMar w:header="971" w:footer="0" w:top="1300" w:bottom="280" w:left="1275" w:right="1275"/>
        </w:sectPr>
      </w:pPr>
    </w:p>
    <w:p>
      <w:pPr>
        <w:pStyle w:val="BodyText"/>
        <w:spacing w:before="72"/>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5. - Classification of </w:t>
      </w:r>
      <w:r>
        <w:rPr>
          <w:rFonts w:ascii="Arial"/>
          <w:b/>
          <w:spacing w:val="-2"/>
          <w:sz w:val="24"/>
        </w:rPr>
        <w:t>Contracts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The different types of </w:t>
      </w:r>
      <w:r>
        <w:rPr>
          <w:rFonts w:ascii="Arial"/>
          <w:b/>
          <w:spacing w:val="-2"/>
          <w:sz w:val="18"/>
        </w:rPr>
        <w:t>classification</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1-</w:t>
      </w:r>
      <w:r>
        <w:rPr>
          <w:rFonts w:ascii="Arial"/>
          <w:b/>
          <w:spacing w:val="-5"/>
          <w:sz w:val="24"/>
        </w:rPr>
        <w:t>095</w:t>
      </w:r>
    </w:p>
    <w:p>
      <w:pPr>
        <w:pStyle w:val="BodyText"/>
        <w:spacing w:line="235" w:lineRule="auto" w:before="202"/>
        <w:ind w:left="164" w:right="168"/>
        <w:jc w:val="both"/>
      </w:pPr>
      <w:bookmarkStart w:name="_bookmark1414" w:id="1416"/>
      <w:bookmarkEnd w:id="1416"/>
      <w:r>
        <w:rPr/>
      </w:r>
      <w:bookmarkStart w:name="_bookmark1415" w:id="1417"/>
      <w:bookmarkEnd w:id="1417"/>
      <w:r>
        <w:rPr/>
      </w:r>
      <w:r>
        <w:rPr/>
        <w:t>Contracts may be classified in a variety of ways: according to their subject matter </w:t>
      </w:r>
      <w:r>
        <w:rPr>
          <w:color w:val="005DA1"/>
          <w:u w:val="single" w:color="005DA1"/>
          <w:vertAlign w:val="superscript"/>
        </w:rPr>
        <w:t>747</w:t>
      </w:r>
      <w:r>
        <w:rPr>
          <w:vertAlign w:val="baseline"/>
        </w:rPr>
        <w:t>; according </w:t>
      </w:r>
      <w:r>
        <w:rPr>
          <w:vertAlign w:val="baseline"/>
        </w:rPr>
        <w:t>to </w:t>
      </w:r>
      <w:bookmarkStart w:name="_bookmark1416" w:id="1418"/>
      <w:bookmarkEnd w:id="1418"/>
      <w:r>
        <w:rPr>
          <w:vertAlign w:val="baseline"/>
        </w:rPr>
        <w:t>their</w:t>
      </w:r>
      <w:r>
        <w:rPr>
          <w:vertAlign w:val="baseline"/>
        </w:rPr>
        <w:t> parties </w:t>
      </w:r>
      <w:r>
        <w:rPr>
          <w:color w:val="005DA1"/>
          <w:u w:val="single" w:color="005DA1"/>
          <w:vertAlign w:val="superscript"/>
        </w:rPr>
        <w:t>748</w:t>
      </w:r>
      <w:r>
        <w:rPr>
          <w:vertAlign w:val="baseline"/>
        </w:rPr>
        <w:t>; according to their form (whether contained in deeds </w:t>
      </w:r>
      <w:r>
        <w:rPr>
          <w:color w:val="005DA1"/>
          <w:u w:val="single" w:color="005DA1"/>
          <w:vertAlign w:val="superscript"/>
        </w:rPr>
        <w:t>749</w:t>
      </w:r>
      <w:r>
        <w:rPr>
          <w:color w:val="005DA1"/>
          <w:vertAlign w:val="baseline"/>
        </w:rPr>
        <w:t> </w:t>
      </w:r>
      <w:r>
        <w:rPr>
          <w:vertAlign w:val="baseline"/>
        </w:rPr>
        <w:t>or in writing, </w:t>
      </w:r>
      <w:r>
        <w:rPr>
          <w:color w:val="005DA1"/>
          <w:u w:val="single" w:color="005DA1"/>
          <w:vertAlign w:val="superscript"/>
        </w:rPr>
        <w:t>750</w:t>
      </w:r>
      <w:r>
        <w:rPr>
          <w:color w:val="005DA1"/>
          <w:vertAlign w:val="baseline"/>
        </w:rPr>
        <w:t> </w:t>
      </w:r>
      <w:r>
        <w:rPr>
          <w:vertAlign w:val="baseline"/>
        </w:rPr>
        <w:t>whether </w:t>
      </w:r>
      <w:bookmarkStart w:name="_bookmark1417" w:id="1419"/>
      <w:bookmarkEnd w:id="1419"/>
      <w:r>
        <w:rPr>
          <w:vertAlign w:val="baseline"/>
        </w:rPr>
        <w:t>express</w:t>
      </w:r>
      <w:r>
        <w:rPr>
          <w:vertAlign w:val="baseline"/>
        </w:rPr>
        <w:t> or implied </w:t>
      </w:r>
      <w:r>
        <w:rPr>
          <w:color w:val="005DA1"/>
          <w:u w:val="single" w:color="005DA1"/>
          <w:vertAlign w:val="superscript"/>
        </w:rPr>
        <w:t>751</w:t>
      </w:r>
      <w:r>
        <w:rPr>
          <w:vertAlign w:val="baseline"/>
        </w:rPr>
        <w:t>); or according to their effect (whether bilateral or unilateral, </w:t>
      </w:r>
      <w:r>
        <w:rPr>
          <w:color w:val="005DA1"/>
          <w:u w:val="single" w:color="005DA1"/>
          <w:vertAlign w:val="superscript"/>
        </w:rPr>
        <w:t>752</w:t>
      </w:r>
      <w:r>
        <w:rPr>
          <w:color w:val="005DA1"/>
          <w:vertAlign w:val="baseline"/>
        </w:rPr>
        <w:t> </w:t>
      </w:r>
      <w:r>
        <w:rPr>
          <w:vertAlign w:val="baseline"/>
        </w:rPr>
        <w:t>whether valid, void, voidable or unenforceable </w:t>
      </w:r>
      <w:r>
        <w:rPr>
          <w:color w:val="005DA1"/>
          <w:u w:val="single" w:color="005DA1"/>
          <w:vertAlign w:val="superscript"/>
        </w:rPr>
        <w:t>753</w:t>
      </w:r>
      <w:r>
        <w:rPr>
          <w:vertAlign w:val="baseline"/>
        </w:rPr>
        <w:t>).</w:t>
      </w:r>
    </w:p>
    <w:p>
      <w:pPr>
        <w:pStyle w:val="BodyText"/>
      </w:pPr>
    </w:p>
    <w:p>
      <w:pPr>
        <w:pStyle w:val="BodyText"/>
        <w:spacing w:before="38"/>
      </w:pPr>
      <w:r>
        <w:rPr/>
        <mc:AlternateContent>
          <mc:Choice Requires="wps">
            <w:drawing>
              <wp:anchor distT="0" distB="0" distL="0" distR="0" allowOverlap="1" layoutInCell="1" locked="0" behindDoc="1" simplePos="0" relativeHeight="487675392">
                <wp:simplePos x="0" y="0"/>
                <wp:positionH relativeFrom="page">
                  <wp:posOffset>914400</wp:posOffset>
                </wp:positionH>
                <wp:positionV relativeFrom="paragraph">
                  <wp:posOffset>185981</wp:posOffset>
                </wp:positionV>
                <wp:extent cx="5724525" cy="1270"/>
                <wp:effectExtent l="0" t="0" r="0" b="0"/>
                <wp:wrapTopAndBottom/>
                <wp:docPr id="363" name="Graphic 363"/>
                <wp:cNvGraphicFramePr>
                  <a:graphicFrameLocks/>
                </wp:cNvGraphicFramePr>
                <a:graphic>
                  <a:graphicData uri="http://schemas.microsoft.com/office/word/2010/wordprocessingShape">
                    <wps:wsp>
                      <wps:cNvPr id="363" name="Graphic 36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4227pt;width:450.75pt;height:.1pt;mso-position-horizontal-relative:page;mso-position-vertical-relative:paragraph;z-index:-15641088;mso-wrap-distance-left:0;mso-wrap-distance-right:0" id="docshape43"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418" w:id="1420"/>
      <w:bookmarkEnd w:id="1420"/>
      <w:r>
        <w:rPr/>
      </w:r>
      <w:hyperlink w:history="true" w:anchor="_bookmark1414">
        <w:r>
          <w:rPr>
            <w:color w:val="005DA1"/>
            <w:spacing w:val="-4"/>
            <w:position w:val="5"/>
            <w:sz w:val="14"/>
            <w:u w:val="single" w:color="005DA1"/>
          </w:rPr>
          <w:t>747</w:t>
        </w:r>
      </w:hyperlink>
      <w:r>
        <w:rPr>
          <w:spacing w:val="-4"/>
          <w:position w:val="5"/>
          <w:sz w:val="14"/>
        </w:rPr>
        <w:t>.</w:t>
      </w:r>
      <w:r>
        <w:rPr>
          <w:position w:val="5"/>
          <w:sz w:val="14"/>
        </w:rPr>
        <w:tab/>
      </w:r>
      <w:r>
        <w:rPr/>
        <w:t>See below, paras 1-096—1-</w:t>
      </w:r>
      <w:r>
        <w:rPr>
          <w:spacing w:val="-4"/>
        </w:rPr>
        <w:t>100.</w:t>
      </w:r>
    </w:p>
    <w:p>
      <w:pPr>
        <w:pStyle w:val="BodyText"/>
        <w:spacing w:before="5"/>
      </w:pPr>
    </w:p>
    <w:p>
      <w:pPr>
        <w:pStyle w:val="BodyText"/>
        <w:tabs>
          <w:tab w:pos="705" w:val="left" w:leader="none"/>
        </w:tabs>
        <w:ind w:left="165"/>
      </w:pPr>
      <w:bookmarkStart w:name="_bookmark1419" w:id="1421"/>
      <w:bookmarkEnd w:id="1421"/>
      <w:r>
        <w:rPr/>
      </w:r>
      <w:hyperlink w:history="true" w:anchor="_bookmark1415">
        <w:r>
          <w:rPr>
            <w:color w:val="005DA1"/>
            <w:spacing w:val="-4"/>
            <w:position w:val="5"/>
            <w:sz w:val="14"/>
            <w:u w:val="single" w:color="005DA1"/>
          </w:rPr>
          <w:t>748</w:t>
        </w:r>
      </w:hyperlink>
      <w:r>
        <w:rPr>
          <w:spacing w:val="-4"/>
          <w:position w:val="5"/>
          <w:sz w:val="14"/>
        </w:rPr>
        <w:t>.</w:t>
      </w:r>
      <w:r>
        <w:rPr>
          <w:position w:val="5"/>
          <w:sz w:val="14"/>
        </w:rPr>
        <w:tab/>
      </w:r>
      <w:r>
        <w:rPr/>
        <w:t>See</w:t>
      </w:r>
      <w:r>
        <w:rPr>
          <w:spacing w:val="-2"/>
        </w:rPr>
        <w:t> </w:t>
      </w:r>
      <w:r>
        <w:rPr/>
        <w:t>below, para.1-</w:t>
      </w:r>
      <w:r>
        <w:rPr>
          <w:spacing w:val="-4"/>
        </w:rPr>
        <w:t>101.</w:t>
      </w:r>
    </w:p>
    <w:p>
      <w:pPr>
        <w:pStyle w:val="BodyText"/>
        <w:spacing w:before="5"/>
      </w:pPr>
    </w:p>
    <w:p>
      <w:pPr>
        <w:pStyle w:val="BodyText"/>
        <w:tabs>
          <w:tab w:pos="705" w:val="left" w:leader="none"/>
        </w:tabs>
        <w:ind w:left="165"/>
      </w:pPr>
      <w:bookmarkStart w:name="_bookmark1420" w:id="1422"/>
      <w:bookmarkEnd w:id="1422"/>
      <w:r>
        <w:rPr/>
      </w:r>
      <w:hyperlink w:history="true" w:anchor="_bookmark1415">
        <w:r>
          <w:rPr>
            <w:color w:val="005DA1"/>
            <w:spacing w:val="-4"/>
            <w:position w:val="5"/>
            <w:sz w:val="14"/>
            <w:u w:val="single" w:color="005DA1"/>
          </w:rPr>
          <w:t>749</w:t>
        </w:r>
      </w:hyperlink>
      <w:r>
        <w:rPr>
          <w:spacing w:val="-4"/>
          <w:position w:val="5"/>
          <w:sz w:val="14"/>
        </w:rPr>
        <w:t>.</w:t>
      </w:r>
      <w:r>
        <w:rPr>
          <w:position w:val="5"/>
          <w:sz w:val="14"/>
        </w:rPr>
        <w:tab/>
      </w:r>
      <w:r>
        <w:rPr/>
        <w:t>See below, paras 1-103, 1-113—1-</w:t>
      </w:r>
      <w:r>
        <w:rPr>
          <w:spacing w:val="-4"/>
        </w:rPr>
        <w:t>144.</w:t>
      </w:r>
    </w:p>
    <w:p>
      <w:pPr>
        <w:pStyle w:val="BodyText"/>
        <w:spacing w:before="5"/>
      </w:pPr>
    </w:p>
    <w:p>
      <w:pPr>
        <w:tabs>
          <w:tab w:pos="705" w:val="left" w:leader="none"/>
        </w:tabs>
        <w:spacing w:before="0"/>
        <w:ind w:left="165" w:right="0" w:firstLine="0"/>
        <w:jc w:val="left"/>
        <w:rPr>
          <w:sz w:val="20"/>
        </w:rPr>
      </w:pPr>
      <w:bookmarkStart w:name="_bookmark1421" w:id="1423"/>
      <w:bookmarkEnd w:id="1423"/>
      <w:r>
        <w:rPr/>
      </w:r>
      <w:hyperlink w:history="true" w:anchor="_bookmark1415">
        <w:r>
          <w:rPr>
            <w:color w:val="005DA1"/>
            <w:spacing w:val="-4"/>
            <w:position w:val="5"/>
            <w:sz w:val="14"/>
            <w:u w:val="single" w:color="005DA1"/>
          </w:rPr>
          <w:t>750</w:t>
        </w:r>
      </w:hyperlink>
      <w:r>
        <w:rPr>
          <w:spacing w:val="-4"/>
          <w:position w:val="5"/>
          <w:sz w:val="14"/>
        </w:rPr>
        <w:t>.</w:t>
      </w:r>
      <w:r>
        <w:rPr>
          <w:position w:val="5"/>
          <w:sz w:val="14"/>
        </w:rPr>
        <w:tab/>
      </w:r>
      <w:r>
        <w:rPr>
          <w:sz w:val="20"/>
        </w:rPr>
        <w:t>See below, </w:t>
      </w:r>
      <w:r>
        <w:rPr>
          <w:spacing w:val="-2"/>
          <w:sz w:val="20"/>
        </w:rPr>
        <w:t>Ch.5.</w:t>
      </w:r>
    </w:p>
    <w:p>
      <w:pPr>
        <w:pStyle w:val="BodyText"/>
        <w:spacing w:before="5"/>
      </w:pPr>
    </w:p>
    <w:p>
      <w:pPr>
        <w:pStyle w:val="BodyText"/>
        <w:tabs>
          <w:tab w:pos="705" w:val="left" w:leader="none"/>
        </w:tabs>
        <w:ind w:left="165"/>
      </w:pPr>
      <w:bookmarkStart w:name="_bookmark1422" w:id="1424"/>
      <w:bookmarkEnd w:id="1424"/>
      <w:r>
        <w:rPr/>
      </w:r>
      <w:hyperlink w:history="true" w:anchor="_bookmark1416">
        <w:r>
          <w:rPr>
            <w:color w:val="005DA1"/>
            <w:spacing w:val="-4"/>
            <w:position w:val="5"/>
            <w:sz w:val="14"/>
            <w:u w:val="single" w:color="005DA1"/>
          </w:rPr>
          <w:t>751</w:t>
        </w:r>
      </w:hyperlink>
      <w:r>
        <w:rPr>
          <w:spacing w:val="-4"/>
          <w:position w:val="5"/>
          <w:sz w:val="14"/>
        </w:rPr>
        <w:t>.</w:t>
      </w:r>
      <w:r>
        <w:rPr>
          <w:position w:val="5"/>
          <w:sz w:val="14"/>
        </w:rPr>
        <w:tab/>
      </w:r>
      <w:r>
        <w:rPr/>
        <w:t>See</w:t>
      </w:r>
      <w:r>
        <w:rPr>
          <w:spacing w:val="-2"/>
        </w:rPr>
        <w:t> </w:t>
      </w:r>
      <w:r>
        <w:rPr/>
        <w:t>below, para.1-</w:t>
      </w:r>
      <w:r>
        <w:rPr>
          <w:spacing w:val="-4"/>
        </w:rPr>
        <w:t>104.</w:t>
      </w:r>
    </w:p>
    <w:p>
      <w:pPr>
        <w:pStyle w:val="BodyText"/>
        <w:spacing w:before="5"/>
      </w:pPr>
    </w:p>
    <w:p>
      <w:pPr>
        <w:pStyle w:val="BodyText"/>
        <w:tabs>
          <w:tab w:pos="705" w:val="left" w:leader="none"/>
        </w:tabs>
        <w:ind w:left="165"/>
      </w:pPr>
      <w:bookmarkStart w:name="_bookmark1423" w:id="1425"/>
      <w:bookmarkEnd w:id="1425"/>
      <w:r>
        <w:rPr/>
      </w:r>
      <w:hyperlink w:history="true" w:anchor="_bookmark1416">
        <w:r>
          <w:rPr>
            <w:color w:val="005DA1"/>
            <w:spacing w:val="-4"/>
            <w:position w:val="5"/>
            <w:sz w:val="14"/>
            <w:u w:val="single" w:color="005DA1"/>
          </w:rPr>
          <w:t>752</w:t>
        </w:r>
      </w:hyperlink>
      <w:r>
        <w:rPr>
          <w:spacing w:val="-4"/>
          <w:position w:val="5"/>
          <w:sz w:val="14"/>
        </w:rPr>
        <w:t>.</w:t>
      </w:r>
      <w:r>
        <w:rPr>
          <w:position w:val="5"/>
          <w:sz w:val="14"/>
        </w:rPr>
        <w:tab/>
      </w:r>
      <w:r>
        <w:rPr/>
        <w:t>See</w:t>
      </w:r>
      <w:r>
        <w:rPr>
          <w:spacing w:val="-2"/>
        </w:rPr>
        <w:t> </w:t>
      </w:r>
      <w:r>
        <w:rPr/>
        <w:t>below, para.1-</w:t>
      </w:r>
      <w:r>
        <w:rPr>
          <w:spacing w:val="-4"/>
        </w:rPr>
        <w:t>107.</w:t>
      </w:r>
    </w:p>
    <w:p>
      <w:pPr>
        <w:pStyle w:val="BodyText"/>
        <w:spacing w:before="5"/>
      </w:pPr>
    </w:p>
    <w:p>
      <w:pPr>
        <w:pStyle w:val="BodyText"/>
        <w:tabs>
          <w:tab w:pos="705" w:val="left" w:leader="none"/>
        </w:tabs>
        <w:ind w:left="165"/>
      </w:pPr>
      <w:bookmarkStart w:name="_bookmark1424" w:id="1426"/>
      <w:bookmarkEnd w:id="1426"/>
      <w:r>
        <w:rPr/>
      </w:r>
      <w:hyperlink w:history="true" w:anchor="_bookmark1417">
        <w:r>
          <w:rPr>
            <w:color w:val="005DA1"/>
            <w:spacing w:val="-4"/>
            <w:position w:val="5"/>
            <w:sz w:val="14"/>
            <w:u w:val="single" w:color="005DA1"/>
          </w:rPr>
          <w:t>753</w:t>
        </w:r>
      </w:hyperlink>
      <w:r>
        <w:rPr>
          <w:spacing w:val="-4"/>
          <w:position w:val="5"/>
          <w:sz w:val="14"/>
        </w:rPr>
        <w:t>.</w:t>
      </w:r>
      <w:r>
        <w:rPr>
          <w:position w:val="5"/>
          <w:sz w:val="14"/>
        </w:rPr>
        <w:tab/>
      </w:r>
      <w:r>
        <w:rPr/>
        <w:t>See below, paras 1-108—1-</w:t>
      </w:r>
      <w:r>
        <w:rPr>
          <w:spacing w:val="-4"/>
        </w:rPr>
        <w:t>112.</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30"/>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5. - Classification of </w:t>
      </w:r>
      <w:r>
        <w:rPr>
          <w:rFonts w:ascii="Arial"/>
          <w:b/>
          <w:spacing w:val="-2"/>
          <w:sz w:val="24"/>
        </w:rPr>
        <w:t>Contracts</w:t>
      </w:r>
    </w:p>
    <w:p>
      <w:pPr>
        <w:pStyle w:val="ListParagraph"/>
        <w:numPr>
          <w:ilvl w:val="0"/>
          <w:numId w:val="9"/>
        </w:numPr>
        <w:tabs>
          <w:tab w:pos="1331" w:val="left" w:leader="none"/>
        </w:tabs>
        <w:spacing w:line="240" w:lineRule="auto" w:before="194" w:after="0"/>
        <w:ind w:left="1331" w:right="0" w:hanging="360"/>
        <w:jc w:val="left"/>
        <w:rPr>
          <w:b/>
          <w:sz w:val="24"/>
        </w:rPr>
      </w:pPr>
      <w:r>
        <w:rPr>
          <w:b/>
          <w:sz w:val="24"/>
        </w:rPr>
        <w:t>- Classification of Contracts According to their Subject </w:t>
      </w:r>
      <w:r>
        <w:rPr>
          <w:b/>
          <w:spacing w:val="-2"/>
          <w:sz w:val="24"/>
        </w:rPr>
        <w:t>Matter</w:t>
      </w:r>
    </w:p>
    <w:p>
      <w:pPr>
        <w:pStyle w:val="BodyText"/>
        <w:rPr>
          <w:rFonts w:ascii="Arial"/>
          <w:b/>
          <w:sz w:val="18"/>
        </w:rPr>
      </w:pPr>
    </w:p>
    <w:p>
      <w:pPr>
        <w:pStyle w:val="BodyText"/>
        <w:rPr>
          <w:rFonts w:ascii="Arial"/>
          <w:b/>
          <w:sz w:val="18"/>
        </w:rPr>
      </w:pPr>
    </w:p>
    <w:p>
      <w:pPr>
        <w:pStyle w:val="BodyText"/>
        <w:spacing w:before="20"/>
        <w:rPr>
          <w:rFonts w:ascii="Arial"/>
          <w:b/>
          <w:sz w:val="18"/>
        </w:rPr>
      </w:pPr>
    </w:p>
    <w:p>
      <w:pPr>
        <w:spacing w:before="0"/>
        <w:ind w:left="164" w:right="0" w:firstLine="0"/>
        <w:jc w:val="left"/>
        <w:rPr>
          <w:rFonts w:ascii="Arial"/>
          <w:b/>
          <w:sz w:val="18"/>
        </w:rPr>
      </w:pPr>
      <w:r>
        <w:rPr>
          <w:rFonts w:ascii="Arial"/>
          <w:b/>
          <w:spacing w:val="-2"/>
          <w:sz w:val="18"/>
        </w:rPr>
        <w:t>General</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096</w:t>
      </w:r>
    </w:p>
    <w:p>
      <w:pPr>
        <w:pStyle w:val="BodyText"/>
        <w:spacing w:before="21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425" w:id="1427"/>
      <w:bookmarkEnd w:id="1427"/>
      <w:r>
        <w:rPr>
          <w:rFonts w:ascii="Times New Roman"/>
          <w:spacing w:val="10"/>
        </w:rPr>
      </w:r>
      <w:r>
        <w:rPr/>
        <w:t>Despite the generality of approach of English contract law, </w:t>
      </w:r>
      <w:r>
        <w:rPr>
          <w:color w:val="005DA1"/>
          <w:u w:val="single" w:color="005DA1"/>
          <w:vertAlign w:val="superscript"/>
        </w:rPr>
        <w:t>754</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6"/>
          <w:vertAlign w:val="baseline"/>
        </w:rPr>
        <w:t> </w:t>
      </w:r>
      <w:r>
        <w:rPr>
          <w:vertAlign w:val="baseline"/>
        </w:rPr>
        <w:t>the most prominent classification of contracts in the modern law divides them according to their subject matter: thus, there </w:t>
      </w:r>
      <w:r>
        <w:rPr>
          <w:vertAlign w:val="baseline"/>
        </w:rPr>
        <w:t>are</w:t>
      </w:r>
      <w:r>
        <w:rPr>
          <w:spacing w:val="80"/>
          <w:vertAlign w:val="baseline"/>
        </w:rPr>
        <w:t> </w:t>
      </w:r>
      <w:r>
        <w:rPr>
          <w:vertAlign w:val="baseline"/>
        </w:rPr>
        <w:t>contracts of sale of goods and of land, insurance, suretyship, employment, hire, etc., and some of the more prominent of these special contracts are discussed in the second volume of this work.</w:t>
      </w:r>
    </w:p>
    <w:p>
      <w:pPr>
        <w:pStyle w:val="BodyText"/>
      </w:pPr>
    </w:p>
    <w:p>
      <w:pPr>
        <w:pStyle w:val="BodyText"/>
        <w:spacing w:before="37"/>
      </w:pPr>
    </w:p>
    <w:p>
      <w:pPr>
        <w:spacing w:before="0"/>
        <w:ind w:left="165" w:right="0" w:firstLine="0"/>
        <w:jc w:val="both"/>
        <w:rPr>
          <w:rFonts w:ascii="Arial"/>
          <w:b/>
          <w:sz w:val="18"/>
        </w:rPr>
      </w:pPr>
      <w:r>
        <w:rPr>
          <w:rFonts w:ascii="Arial"/>
          <w:b/>
          <w:sz w:val="18"/>
        </w:rPr>
        <w:t>Classification for legislative </w:t>
      </w:r>
      <w:r>
        <w:rPr>
          <w:rFonts w:ascii="Arial"/>
          <w:b/>
          <w:spacing w:val="-2"/>
          <w:sz w:val="18"/>
        </w:rPr>
        <w:t>purposes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097</w:t>
      </w:r>
    </w:p>
    <w:p>
      <w:pPr>
        <w:pStyle w:val="BodyText"/>
        <w:spacing w:line="235" w:lineRule="auto" w:before="202"/>
        <w:ind w:left="165" w:right="167"/>
        <w:jc w:val="both"/>
      </w:pPr>
      <w:bookmarkStart w:name="_bookmark1426" w:id="1428"/>
      <w:bookmarkEnd w:id="1428"/>
      <w:r>
        <w:rPr/>
      </w:r>
      <w:bookmarkStart w:name="_bookmark1427" w:id="1429"/>
      <w:bookmarkEnd w:id="1429"/>
      <w:r>
        <w:rPr/>
      </w:r>
      <w:r>
        <w:rPr/>
        <w:t>Some types of contract are statutorily defined, for example, contracts of sale of goods,</w:t>
      </w:r>
      <w:r>
        <w:rPr>
          <w:spacing w:val="-1"/>
        </w:rPr>
        <w:t> </w:t>
      </w:r>
      <w:r>
        <w:rPr>
          <w:color w:val="005DA1"/>
          <w:u w:val="single" w:color="005DA1"/>
          <w:vertAlign w:val="superscript"/>
        </w:rPr>
        <w:t>755</w:t>
      </w:r>
      <w:r>
        <w:rPr>
          <w:color w:val="005DA1"/>
          <w:vertAlign w:val="baseline"/>
        </w:rPr>
        <w:t> </w:t>
      </w:r>
      <w:r>
        <w:rPr>
          <w:vertAlign w:val="baseline"/>
        </w:rPr>
        <w:t>contracts to </w:t>
      </w:r>
      <w:bookmarkStart w:name="_bookmark1428" w:id="1430"/>
      <w:bookmarkEnd w:id="1430"/>
      <w:r>
        <w:rPr>
          <w:vertAlign w:val="baseline"/>
        </w:rPr>
        <w:t>supply</w:t>
      </w:r>
      <w:r>
        <w:rPr>
          <w:spacing w:val="-1"/>
          <w:vertAlign w:val="baseline"/>
        </w:rPr>
        <w:t> </w:t>
      </w:r>
      <w:r>
        <w:rPr>
          <w:vertAlign w:val="baseline"/>
        </w:rPr>
        <w:t>digital</w:t>
      </w:r>
      <w:r>
        <w:rPr>
          <w:spacing w:val="-1"/>
          <w:vertAlign w:val="baseline"/>
        </w:rPr>
        <w:t> </w:t>
      </w:r>
      <w:r>
        <w:rPr>
          <w:vertAlign w:val="baseline"/>
        </w:rPr>
        <w:t>content,</w:t>
      </w:r>
      <w:r>
        <w:rPr>
          <w:spacing w:val="-2"/>
          <w:vertAlign w:val="baseline"/>
        </w:rPr>
        <w:t> </w:t>
      </w:r>
      <w:r>
        <w:rPr>
          <w:color w:val="005DA1"/>
          <w:u w:val="single" w:color="005DA1"/>
          <w:vertAlign w:val="superscript"/>
        </w:rPr>
        <w:t>756</w:t>
      </w:r>
      <w:r>
        <w:rPr>
          <w:color w:val="005DA1"/>
          <w:spacing w:val="-1"/>
          <w:vertAlign w:val="baseline"/>
        </w:rPr>
        <w:t> </w:t>
      </w:r>
      <w:r>
        <w:rPr>
          <w:vertAlign w:val="baseline"/>
        </w:rPr>
        <w:t>contracts</w:t>
      </w:r>
      <w:r>
        <w:rPr>
          <w:spacing w:val="-1"/>
          <w:vertAlign w:val="baseline"/>
        </w:rPr>
        <w:t> </w:t>
      </w:r>
      <w:r>
        <w:rPr>
          <w:vertAlign w:val="baseline"/>
        </w:rPr>
        <w:t>for</w:t>
      </w:r>
      <w:r>
        <w:rPr>
          <w:spacing w:val="-2"/>
          <w:vertAlign w:val="baseline"/>
        </w:rPr>
        <w:t> </w:t>
      </w:r>
      <w:r>
        <w:rPr>
          <w:vertAlign w:val="baseline"/>
        </w:rPr>
        <w:t>the</w:t>
      </w:r>
      <w:r>
        <w:rPr>
          <w:spacing w:val="-1"/>
          <w:vertAlign w:val="baseline"/>
        </w:rPr>
        <w:t> </w:t>
      </w:r>
      <w:r>
        <w:rPr>
          <w:vertAlign w:val="baseline"/>
        </w:rPr>
        <w:t>carriage</w:t>
      </w:r>
      <w:r>
        <w:rPr>
          <w:spacing w:val="-1"/>
          <w:vertAlign w:val="baseline"/>
        </w:rPr>
        <w:t> </w:t>
      </w:r>
      <w:r>
        <w:rPr>
          <w:vertAlign w:val="baseline"/>
        </w:rPr>
        <w:t>of</w:t>
      </w:r>
      <w:r>
        <w:rPr>
          <w:spacing w:val="-2"/>
          <w:vertAlign w:val="baseline"/>
        </w:rPr>
        <w:t> </w:t>
      </w:r>
      <w:r>
        <w:rPr>
          <w:vertAlign w:val="baseline"/>
        </w:rPr>
        <w:t>goods</w:t>
      </w:r>
      <w:r>
        <w:rPr>
          <w:spacing w:val="-1"/>
          <w:vertAlign w:val="baseline"/>
        </w:rPr>
        <w:t> </w:t>
      </w:r>
      <w:r>
        <w:rPr>
          <w:vertAlign w:val="baseline"/>
        </w:rPr>
        <w:t>by</w:t>
      </w:r>
      <w:r>
        <w:rPr>
          <w:spacing w:val="-1"/>
          <w:vertAlign w:val="baseline"/>
        </w:rPr>
        <w:t> </w:t>
      </w:r>
      <w:r>
        <w:rPr>
          <w:vertAlign w:val="baseline"/>
        </w:rPr>
        <w:t>sea,</w:t>
      </w:r>
      <w:r>
        <w:rPr>
          <w:spacing w:val="-2"/>
          <w:vertAlign w:val="baseline"/>
        </w:rPr>
        <w:t> </w:t>
      </w:r>
      <w:r>
        <w:rPr>
          <w:color w:val="005DA1"/>
          <w:u w:val="single" w:color="005DA1"/>
          <w:vertAlign w:val="superscript"/>
        </w:rPr>
        <w:t>757</w:t>
      </w:r>
      <w:r>
        <w:rPr>
          <w:color w:val="005DA1"/>
          <w:spacing w:val="-1"/>
          <w:vertAlign w:val="baseline"/>
        </w:rPr>
        <w:t> </w:t>
      </w:r>
      <w:r>
        <w:rPr>
          <w:vertAlign w:val="baseline"/>
        </w:rPr>
        <w:t>contracts</w:t>
      </w:r>
      <w:r>
        <w:rPr>
          <w:spacing w:val="-1"/>
          <w:vertAlign w:val="baseline"/>
        </w:rPr>
        <w:t> </w:t>
      </w:r>
      <w:r>
        <w:rPr>
          <w:vertAlign w:val="baseline"/>
        </w:rPr>
        <w:t>of</w:t>
      </w:r>
      <w:r>
        <w:rPr>
          <w:spacing w:val="-2"/>
          <w:vertAlign w:val="baseline"/>
        </w:rPr>
        <w:t> </w:t>
      </w:r>
      <w:r>
        <w:rPr>
          <w:vertAlign w:val="baseline"/>
        </w:rPr>
        <w:t>marine</w:t>
      </w:r>
      <w:r>
        <w:rPr>
          <w:spacing w:val="-1"/>
          <w:vertAlign w:val="baseline"/>
        </w:rPr>
        <w:t> </w:t>
      </w:r>
      <w:r>
        <w:rPr>
          <w:vertAlign w:val="baseline"/>
        </w:rPr>
        <w:t>insurance, </w:t>
      </w:r>
      <w:r>
        <w:rPr>
          <w:color w:val="005DA1"/>
          <w:u w:val="single" w:color="005DA1"/>
          <w:vertAlign w:val="superscript"/>
        </w:rPr>
        <w:t>758</w:t>
      </w:r>
      <w:r>
        <w:rPr>
          <w:color w:val="005DA1"/>
          <w:vertAlign w:val="baseline"/>
        </w:rPr>
        <w:t> </w:t>
      </w:r>
      <w:r>
        <w:rPr>
          <w:vertAlign w:val="baseline"/>
        </w:rPr>
        <w:t>and contracts of consumer credit, </w:t>
      </w:r>
      <w:r>
        <w:rPr>
          <w:color w:val="005DA1"/>
          <w:u w:val="single" w:color="005DA1"/>
          <w:vertAlign w:val="superscript"/>
        </w:rPr>
        <w:t>759</w:t>
      </w:r>
      <w:r>
        <w:rPr>
          <w:color w:val="005DA1"/>
          <w:vertAlign w:val="baseline"/>
        </w:rPr>
        <w:t> </w:t>
      </w:r>
      <w:r>
        <w:rPr>
          <w:vertAlign w:val="baseline"/>
        </w:rPr>
        <w:t>and the purpose of these definitions is made clear by the statute in which they are contained. However, in other cases, even where important statutory </w:t>
      </w:r>
      <w:bookmarkStart w:name="_bookmark1429" w:id="1431"/>
      <w:bookmarkEnd w:id="1431"/>
      <w:r>
        <w:rPr>
          <w:vertAlign w:val="baseline"/>
        </w:rPr>
        <w:t>regulation</w:t>
      </w:r>
      <w:r>
        <w:rPr>
          <w:vertAlign w:val="baseline"/>
        </w:rPr>
        <w:t> applies to a particular type of contract, its definition is left to the common law, examples of </w:t>
      </w:r>
      <w:bookmarkStart w:name="_bookmark1430" w:id="1432"/>
      <w:bookmarkEnd w:id="1432"/>
      <w:r>
        <w:rPr>
          <w:vertAlign w:val="baseline"/>
        </w:rPr>
        <w:t>this</w:t>
      </w:r>
      <w:r>
        <w:rPr>
          <w:vertAlign w:val="baseline"/>
        </w:rPr>
        <w:t> being the contracts of employment, </w:t>
      </w:r>
      <w:r>
        <w:rPr>
          <w:color w:val="005DA1"/>
          <w:u w:val="single" w:color="005DA1"/>
          <w:vertAlign w:val="superscript"/>
        </w:rPr>
        <w:t>760</w:t>
      </w:r>
      <w:r>
        <w:rPr>
          <w:color w:val="005DA1"/>
          <w:vertAlign w:val="baseline"/>
        </w:rPr>
        <w:t> </w:t>
      </w:r>
      <w:r>
        <w:rPr>
          <w:vertAlign w:val="baseline"/>
        </w:rPr>
        <w:t>contracts for services, </w:t>
      </w:r>
      <w:r>
        <w:rPr>
          <w:color w:val="005DA1"/>
          <w:u w:val="single" w:color="005DA1"/>
          <w:vertAlign w:val="superscript"/>
        </w:rPr>
        <w:t>761</w:t>
      </w:r>
      <w:r>
        <w:rPr>
          <w:color w:val="005DA1"/>
          <w:vertAlign w:val="baseline"/>
        </w:rPr>
        <w:t> </w:t>
      </w:r>
      <w:r>
        <w:rPr>
          <w:vertAlign w:val="baseline"/>
        </w:rPr>
        <w:t>contracts of tenancy </w:t>
      </w:r>
      <w:r>
        <w:rPr>
          <w:color w:val="005DA1"/>
          <w:u w:val="single" w:color="005DA1"/>
          <w:vertAlign w:val="superscript"/>
        </w:rPr>
        <w:t>762</w:t>
      </w:r>
      <w:r>
        <w:rPr>
          <w:color w:val="005DA1"/>
          <w:vertAlign w:val="baseline"/>
        </w:rPr>
        <w:t> </w:t>
      </w:r>
      <w:r>
        <w:rPr>
          <w:vertAlign w:val="baseline"/>
        </w:rPr>
        <w:t>or contracts</w:t>
      </w:r>
      <w:r>
        <w:rPr>
          <w:spacing w:val="-3"/>
          <w:vertAlign w:val="baseline"/>
        </w:rPr>
        <w:t> </w:t>
      </w:r>
      <w:r>
        <w:rPr>
          <w:vertAlign w:val="baseline"/>
        </w:rPr>
        <w:t>of</w:t>
      </w:r>
      <w:r>
        <w:rPr>
          <w:spacing w:val="-3"/>
          <w:vertAlign w:val="baseline"/>
        </w:rPr>
        <w:t> </w:t>
      </w:r>
      <w:r>
        <w:rPr>
          <w:vertAlign w:val="baseline"/>
        </w:rPr>
        <w:t>insurance.</w:t>
      </w:r>
      <w:r>
        <w:rPr>
          <w:spacing w:val="-3"/>
          <w:vertAlign w:val="baseline"/>
        </w:rPr>
        <w:t> </w:t>
      </w:r>
      <w:r>
        <w:rPr>
          <w:color w:val="005DA1"/>
          <w:u w:val="single" w:color="005DA1"/>
          <w:vertAlign w:val="superscript"/>
        </w:rPr>
        <w:t>763</w:t>
      </w:r>
      <w:r>
        <w:rPr>
          <w:color w:val="005DA1"/>
          <w:spacing w:val="-3"/>
          <w:vertAlign w:val="baseline"/>
        </w:rPr>
        <w:t> </w:t>
      </w:r>
      <w:r>
        <w:rPr>
          <w:vertAlign w:val="baseline"/>
        </w:rPr>
        <w:t>Further,</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case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classification</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purposes</w:t>
      </w:r>
      <w:r>
        <w:rPr>
          <w:spacing w:val="-3"/>
          <w:vertAlign w:val="baseline"/>
        </w:rPr>
        <w:t> </w:t>
      </w:r>
      <w:r>
        <w:rPr>
          <w:vertAlign w:val="baseline"/>
        </w:rPr>
        <w:t>of</w:t>
      </w:r>
      <w:r>
        <w:rPr>
          <w:spacing w:val="-3"/>
          <w:vertAlign w:val="baseline"/>
        </w:rPr>
        <w:t> </w:t>
      </w:r>
      <w:r>
        <w:rPr>
          <w:vertAlign w:val="baseline"/>
        </w:rPr>
        <w:t>EU legislation, the European Court of Justice has held that “it is not for [itself] to classify specifically the transactions at issue” in the main proceedings from which a reference has been made, this being:</w:t>
      </w:r>
    </w:p>
    <w:p>
      <w:pPr>
        <w:pStyle w:val="BodyText"/>
      </w:pPr>
    </w:p>
    <w:p>
      <w:pPr>
        <w:pStyle w:val="BodyText"/>
        <w:spacing w:before="124"/>
      </w:pPr>
    </w:p>
    <w:p>
      <w:pPr>
        <w:pStyle w:val="BodyText"/>
        <w:spacing w:line="235" w:lineRule="auto"/>
        <w:ind w:left="1245" w:right="167"/>
        <w:jc w:val="both"/>
      </w:pPr>
      <w:r>
        <w:rPr/>
        <w:t>“… within the jurisdiction of the national court alone. The [European] Court’s role is </w:t>
      </w:r>
      <w:bookmarkStart w:name="_bookmark1431" w:id="1433"/>
      <w:bookmarkEnd w:id="1433"/>
      <w:r>
        <w:rPr/>
        <w:t>confined</w:t>
      </w:r>
      <w:r>
        <w:rPr/>
        <w:t> to providing the national court with an interpretation of Community law which </w:t>
      </w:r>
      <w:r>
        <w:rPr/>
        <w:t>will be useful for the decision which it has to take in the dispute before it.” </w:t>
      </w:r>
      <w:r>
        <w:rPr>
          <w:color w:val="005DA1"/>
          <w:u w:val="single" w:color="005DA1"/>
          <w:vertAlign w:val="superscript"/>
        </w:rPr>
        <w:t>764</w:t>
      </w:r>
    </w:p>
    <w:p>
      <w:pPr>
        <w:pStyle w:val="BodyText"/>
        <w:spacing w:before="115"/>
      </w:pPr>
    </w:p>
    <w:p>
      <w:pPr>
        <w:pStyle w:val="BodyText"/>
        <w:spacing w:line="235" w:lineRule="auto"/>
        <w:ind w:left="165" w:right="167"/>
        <w:jc w:val="both"/>
      </w:pPr>
      <w:bookmarkStart w:name="_bookmark1432" w:id="1434"/>
      <w:bookmarkEnd w:id="1434"/>
      <w:r>
        <w:rPr/>
      </w:r>
      <w:r>
        <w:rPr/>
        <w:t>For this purpose, the European Court explained, for example, the distinction between “public service contracts” and “service concession” contracts found in the European law of public procurement. </w:t>
      </w:r>
      <w:r>
        <w:rPr>
          <w:color w:val="005DA1"/>
          <w:u w:val="single" w:color="005DA1"/>
          <w:vertAlign w:val="superscript"/>
        </w:rPr>
        <w:t>765</w:t>
      </w:r>
    </w:p>
    <w:p>
      <w:pPr>
        <w:pStyle w:val="BodyText"/>
      </w:pPr>
    </w:p>
    <w:p>
      <w:pPr>
        <w:pStyle w:val="BodyText"/>
        <w:spacing w:before="38"/>
      </w:pPr>
    </w:p>
    <w:p>
      <w:pPr>
        <w:spacing w:before="0"/>
        <w:ind w:left="165" w:right="0" w:firstLine="0"/>
        <w:jc w:val="left"/>
        <w:rPr>
          <w:rFonts w:ascii="Arial"/>
          <w:b/>
          <w:sz w:val="18"/>
        </w:rPr>
      </w:pPr>
      <w:r>
        <w:rPr>
          <w:rFonts w:ascii="Arial"/>
          <w:b/>
          <w:sz w:val="18"/>
        </w:rPr>
        <w:t>Classification for common law </w:t>
      </w:r>
      <w:r>
        <w:rPr>
          <w:rFonts w:ascii="Arial"/>
          <w:b/>
          <w:spacing w:val="-2"/>
          <w:sz w:val="18"/>
        </w:rPr>
        <w:t>purposes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098</w:t>
      </w:r>
    </w:p>
    <w:p>
      <w:pPr>
        <w:pStyle w:val="BodyText"/>
        <w:spacing w:line="235" w:lineRule="auto" w:before="202"/>
        <w:ind w:left="165" w:right="167"/>
        <w:jc w:val="both"/>
      </w:pPr>
      <w:r>
        <w:rPr/>
        <w:t>Classification of the parties’ agreement as a particular type of contract may also need to be </w:t>
      </w:r>
      <w:bookmarkStart w:name="_bookmark1433" w:id="1435"/>
      <w:bookmarkEnd w:id="1435"/>
      <w:r>
        <w:rPr/>
        <w:t>undertaken</w:t>
      </w:r>
      <w:r>
        <w:rPr/>
        <w:t> for the purposes of the common law. First, the courts have over the years found many </w:t>
      </w:r>
      <w:bookmarkStart w:name="_bookmark1434" w:id="1436"/>
      <w:bookmarkEnd w:id="1436"/>
      <w:r>
        <w:rPr/>
        <w:t>implied</w:t>
      </w:r>
      <w:r>
        <w:rPr/>
        <w:t> terms in contracts which are not special to the particular agreement of the parties, </w:t>
      </w:r>
      <w:r>
        <w:rPr>
          <w:color w:val="005DA1"/>
          <w:u w:val="single" w:color="005DA1"/>
          <w:vertAlign w:val="superscript"/>
        </w:rPr>
        <w:t>766</w:t>
      </w:r>
      <w:r>
        <w:rPr>
          <w:color w:val="005DA1"/>
          <w:vertAlign w:val="baseline"/>
        </w:rPr>
        <w:t> </w:t>
      </w:r>
      <w:r>
        <w:rPr>
          <w:vertAlign w:val="baseline"/>
        </w:rPr>
        <w:t>but are considered</w:t>
      </w:r>
      <w:r>
        <w:rPr>
          <w:spacing w:val="35"/>
          <w:vertAlign w:val="baseline"/>
        </w:rPr>
        <w:t> </w:t>
      </w:r>
      <w:r>
        <w:rPr>
          <w:vertAlign w:val="baseline"/>
        </w:rPr>
        <w:t>incidental</w:t>
      </w:r>
      <w:r>
        <w:rPr>
          <w:spacing w:val="36"/>
          <w:vertAlign w:val="baseline"/>
        </w:rPr>
        <w:t> </w:t>
      </w:r>
      <w:r>
        <w:rPr>
          <w:vertAlign w:val="baseline"/>
        </w:rPr>
        <w:t>to</w:t>
      </w:r>
      <w:r>
        <w:rPr>
          <w:spacing w:val="36"/>
          <w:vertAlign w:val="baseline"/>
        </w:rPr>
        <w:t> </w:t>
      </w:r>
      <w:r>
        <w:rPr>
          <w:vertAlign w:val="baseline"/>
        </w:rPr>
        <w:t>the</w:t>
      </w:r>
      <w:r>
        <w:rPr>
          <w:spacing w:val="36"/>
          <w:vertAlign w:val="baseline"/>
        </w:rPr>
        <w:t> </w:t>
      </w:r>
      <w:r>
        <w:rPr>
          <w:rFonts w:ascii="Arial" w:hAnsi="Arial"/>
          <w:i/>
          <w:vertAlign w:val="baseline"/>
        </w:rPr>
        <w:t>type</w:t>
      </w:r>
      <w:r>
        <w:rPr>
          <w:rFonts w:ascii="Arial" w:hAnsi="Arial"/>
          <w:i/>
          <w:spacing w:val="36"/>
          <w:vertAlign w:val="baseline"/>
        </w:rPr>
        <w:t> </w:t>
      </w:r>
      <w:r>
        <w:rPr>
          <w:vertAlign w:val="baseline"/>
        </w:rPr>
        <w:t>of</w:t>
      </w:r>
      <w:r>
        <w:rPr>
          <w:spacing w:val="36"/>
          <w:vertAlign w:val="baseline"/>
        </w:rPr>
        <w:t> </w:t>
      </w:r>
      <w:r>
        <w:rPr>
          <w:vertAlign w:val="baseline"/>
        </w:rPr>
        <w:t>agreement</w:t>
      </w:r>
      <w:r>
        <w:rPr>
          <w:spacing w:val="36"/>
          <w:vertAlign w:val="baseline"/>
        </w:rPr>
        <w:t> </w:t>
      </w:r>
      <w:r>
        <w:rPr>
          <w:vertAlign w:val="baseline"/>
        </w:rPr>
        <w:t>in</w:t>
      </w:r>
      <w:r>
        <w:rPr>
          <w:spacing w:val="36"/>
          <w:vertAlign w:val="baseline"/>
        </w:rPr>
        <w:t> </w:t>
      </w:r>
      <w:r>
        <w:rPr>
          <w:vertAlign w:val="baseline"/>
        </w:rPr>
        <w:t>question.</w:t>
      </w:r>
      <w:r>
        <w:rPr>
          <w:spacing w:val="36"/>
          <w:vertAlign w:val="baseline"/>
        </w:rPr>
        <w:t> </w:t>
      </w:r>
      <w:r>
        <w:rPr>
          <w:color w:val="005DA1"/>
          <w:u w:val="single" w:color="005DA1"/>
          <w:vertAlign w:val="superscript"/>
        </w:rPr>
        <w:t>767</w:t>
      </w:r>
      <w:r>
        <w:rPr>
          <w:color w:val="005DA1"/>
          <w:spacing w:val="36"/>
          <w:vertAlign w:val="baseline"/>
        </w:rPr>
        <w:t> </w:t>
      </w:r>
      <w:r>
        <w:rPr>
          <w:vertAlign w:val="baseline"/>
        </w:rPr>
        <w:t>By</w:t>
      </w:r>
      <w:r>
        <w:rPr>
          <w:spacing w:val="36"/>
          <w:vertAlign w:val="baseline"/>
        </w:rPr>
        <w:t> </w:t>
      </w:r>
      <w:r>
        <w:rPr>
          <w:vertAlign w:val="baseline"/>
        </w:rPr>
        <w:t>attaching</w:t>
      </w:r>
      <w:r>
        <w:rPr>
          <w:spacing w:val="35"/>
          <w:vertAlign w:val="baseline"/>
        </w:rPr>
        <w:t> </w:t>
      </w:r>
      <w:r>
        <w:rPr>
          <w:vertAlign w:val="baseline"/>
        </w:rPr>
        <w:t>an</w:t>
      </w:r>
      <w:r>
        <w:rPr>
          <w:spacing w:val="36"/>
          <w:vertAlign w:val="baseline"/>
        </w:rPr>
        <w:t> </w:t>
      </w:r>
      <w:r>
        <w:rPr>
          <w:vertAlign w:val="baseline"/>
        </w:rPr>
        <w:t>implied</w:t>
      </w:r>
      <w:r>
        <w:rPr>
          <w:spacing w:val="36"/>
          <w:vertAlign w:val="baseline"/>
        </w:rPr>
        <w:t> </w:t>
      </w:r>
      <w:r>
        <w:rPr>
          <w:vertAlign w:val="baseline"/>
        </w:rPr>
        <w:t>term</w:t>
      </w:r>
      <w:r>
        <w:rPr>
          <w:spacing w:val="36"/>
          <w:vertAlign w:val="baseline"/>
        </w:rPr>
        <w:t> </w:t>
      </w:r>
      <w:r>
        <w:rPr>
          <w:vertAlign w:val="baseline"/>
        </w:rPr>
        <w:t>to</w:t>
      </w:r>
      <w:r>
        <w:rPr>
          <w:spacing w:val="36"/>
          <w:vertAlign w:val="baseline"/>
        </w:rPr>
        <w:t> </w:t>
      </w:r>
      <w:r>
        <w:rPr>
          <w:spacing w:val="-10"/>
          <w:vertAlign w:val="baseline"/>
        </w:rPr>
        <w:t>a</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t>particular set of facts in this way, a court thereby either recognises an existing category of contract or creates a new one. In this respect, there is a certain tendency for the broader categories of contracts </w:t>
      </w:r>
      <w:bookmarkStart w:name="_bookmark1435" w:id="1437"/>
      <w:bookmarkEnd w:id="1437"/>
      <w:r>
        <w:rPr/>
        <w:t>to</w:t>
      </w:r>
      <w:r>
        <w:rPr/>
        <w:t> be subdivided into smaller ones. For example, the contract of employment attracts many </w:t>
      </w:r>
      <w:r>
        <w:rPr/>
        <w:t>implied terms which are of general application, </w:t>
      </w:r>
      <w:r>
        <w:rPr>
          <w:color w:val="005DA1"/>
          <w:u w:val="single" w:color="005DA1"/>
          <w:vertAlign w:val="superscript"/>
        </w:rPr>
        <w:t>768</w:t>
      </w:r>
      <w:r>
        <w:rPr>
          <w:color w:val="005DA1"/>
          <w:vertAlign w:val="baseline"/>
        </w:rPr>
        <w:t> </w:t>
      </w:r>
      <w:r>
        <w:rPr>
          <w:vertAlign w:val="baseline"/>
        </w:rPr>
        <w:t>but in </w:t>
      </w:r>
      <w:r>
        <w:rPr>
          <w:rFonts w:ascii="Arial" w:hAnsi="Arial"/>
          <w:i/>
          <w:vertAlign w:val="baseline"/>
        </w:rPr>
        <w:t>Sim v Rotherham MBC</w:t>
      </w:r>
      <w:r>
        <w:rPr>
          <w:vertAlign w:val="baseline"/>
        </w:rPr>
        <w:t>, </w:t>
      </w:r>
      <w:r>
        <w:rPr>
          <w:color w:val="005DA1"/>
          <w:u w:val="single" w:color="005DA1"/>
          <w:vertAlign w:val="superscript"/>
        </w:rPr>
        <w:t>769</w:t>
      </w:r>
      <w:r>
        <w:rPr>
          <w:color w:val="005DA1"/>
          <w:vertAlign w:val="baseline"/>
        </w:rPr>
        <w:t> </w:t>
      </w:r>
      <w:r>
        <w:rPr>
          <w:vertAlign w:val="baseline"/>
        </w:rPr>
        <w:t>the court implied a term into a contract of employment between a local authority and a school teacher that the latter would </w:t>
      </w:r>
      <w:bookmarkStart w:name="_bookmark1436" w:id="1438"/>
      <w:bookmarkEnd w:id="1438"/>
      <w:r>
        <w:rPr>
          <w:vertAlign w:val="baseline"/>
        </w:rPr>
        <w:t>cover</w:t>
      </w:r>
      <w:r>
        <w:rPr>
          <w:vertAlign w:val="baseline"/>
        </w:rPr>
        <w:t> for her fellow teachers in their absence if reasonably requested to do so, a term which would </w:t>
      </w:r>
      <w:bookmarkStart w:name="_bookmark1437" w:id="1439"/>
      <w:bookmarkEnd w:id="1439"/>
      <w:r>
        <w:rPr>
          <w:vertAlign w:val="baseline"/>
        </w:rPr>
        <w:t>apply</w:t>
      </w:r>
      <w:r>
        <w:rPr>
          <w:vertAlign w:val="baseline"/>
        </w:rPr>
        <w:t> to similar contracts but not necessarily to contracts of employment beyond that context. </w:t>
      </w:r>
      <w:r>
        <w:rPr>
          <w:color w:val="005DA1"/>
          <w:u w:val="single" w:color="005DA1"/>
          <w:vertAlign w:val="superscript"/>
        </w:rPr>
        <w:t>770</w:t>
      </w:r>
      <w:r>
        <w:rPr>
          <w:color w:val="005DA1"/>
          <w:vertAlign w:val="baseline"/>
        </w:rPr>
        <w:t> </w:t>
      </w:r>
      <w:r>
        <w:rPr>
          <w:vertAlign w:val="baseline"/>
        </w:rPr>
        <w:t>In </w:t>
      </w:r>
      <w:r>
        <w:rPr>
          <w:rFonts w:ascii="Arial" w:hAnsi="Arial"/>
          <w:i/>
          <w:vertAlign w:val="baseline"/>
        </w:rPr>
        <w:t>Scally v Southern Health and Social Services Board</w:t>
      </w:r>
      <w:r>
        <w:rPr>
          <w:vertAlign w:val="baseline"/>
        </w:rPr>
        <w:t>, </w:t>
      </w:r>
      <w:r>
        <w:rPr>
          <w:color w:val="005DA1"/>
          <w:u w:val="single" w:color="005DA1"/>
          <w:vertAlign w:val="superscript"/>
        </w:rPr>
        <w:t>771</w:t>
      </w:r>
      <w:r>
        <w:rPr>
          <w:color w:val="005DA1"/>
          <w:vertAlign w:val="baseline"/>
        </w:rPr>
        <w:t> </w:t>
      </w:r>
      <w:r>
        <w:rPr>
          <w:vertAlign w:val="baseline"/>
        </w:rPr>
        <w:t>Lord Bridge felt able to imply a term in the contracts of employment between a hospital board and its employees to take reasonable steps to inform the latter of their valuable right to opt to make payments into their pension schemes. His Lordship rejected the argument that the formulation of an implied term must necessarily be too wide, </w:t>
      </w:r>
      <w:bookmarkStart w:name="_bookmark1438" w:id="1440"/>
      <w:bookmarkEnd w:id="1440"/>
      <w:r>
        <w:rPr>
          <w:vertAlign w:val="baseline"/>
        </w:rPr>
        <w:t>holding</w:t>
      </w:r>
      <w:r>
        <w:rPr>
          <w:vertAlign w:val="baseline"/>
        </w:rPr>
        <w:t> that “this difficulty is surmounted if the category of contractual relationship in which the </w:t>
      </w:r>
      <w:bookmarkStart w:name="_bookmark1439" w:id="1441"/>
      <w:bookmarkEnd w:id="1441"/>
      <w:r>
        <w:rPr>
          <w:vertAlign w:val="baseline"/>
        </w:rPr>
        <w:t>implication</w:t>
      </w:r>
      <w:r>
        <w:rPr>
          <w:vertAlign w:val="baseline"/>
        </w:rPr>
        <w:t> will arise is defined with sufficient precision”. </w:t>
      </w:r>
      <w:r>
        <w:rPr>
          <w:color w:val="005DA1"/>
          <w:u w:val="single" w:color="005DA1"/>
          <w:vertAlign w:val="superscript"/>
        </w:rPr>
        <w:t>772</w:t>
      </w:r>
      <w:r>
        <w:rPr>
          <w:color w:val="005DA1"/>
          <w:vertAlign w:val="baseline"/>
        </w:rPr>
        <w:t> </w:t>
      </w:r>
      <w:r>
        <w:rPr>
          <w:vertAlign w:val="baseline"/>
        </w:rPr>
        <w:t>Similarly, while some terms are implied </w:t>
      </w:r>
      <w:bookmarkStart w:name="_bookmark1440" w:id="1442"/>
      <w:bookmarkEnd w:id="1442"/>
      <w:r>
        <w:rPr>
          <w:vertAlign w:val="baseline"/>
        </w:rPr>
        <w:t>into</w:t>
      </w:r>
      <w:r>
        <w:rPr>
          <w:spacing w:val="-1"/>
          <w:vertAlign w:val="baseline"/>
        </w:rPr>
        <w:t> </w:t>
      </w:r>
      <w:r>
        <w:rPr>
          <w:vertAlign w:val="baseline"/>
        </w:rPr>
        <w:t>leases</w:t>
      </w:r>
      <w:r>
        <w:rPr>
          <w:spacing w:val="-1"/>
          <w:vertAlign w:val="baseline"/>
        </w:rPr>
        <w:t> </w:t>
      </w:r>
      <w:r>
        <w:rPr>
          <w:vertAlign w:val="baseline"/>
        </w:rPr>
        <w:t>in</w:t>
      </w:r>
      <w:r>
        <w:rPr>
          <w:spacing w:val="-1"/>
          <w:vertAlign w:val="baseline"/>
        </w:rPr>
        <w:t> </w:t>
      </w:r>
      <w:r>
        <w:rPr>
          <w:vertAlign w:val="baseline"/>
        </w:rPr>
        <w:t>general,</w:t>
      </w:r>
      <w:r>
        <w:rPr>
          <w:spacing w:val="-1"/>
          <w:vertAlign w:val="baseline"/>
        </w:rPr>
        <w:t> </w:t>
      </w:r>
      <w:r>
        <w:rPr>
          <w:color w:val="005DA1"/>
          <w:u w:val="single" w:color="005DA1"/>
          <w:vertAlign w:val="superscript"/>
        </w:rPr>
        <w:t>773</w:t>
      </w:r>
      <w:r>
        <w:rPr>
          <w:color w:val="005DA1"/>
          <w:spacing w:val="-1"/>
          <w:vertAlign w:val="baseline"/>
        </w:rPr>
        <w:t> </w:t>
      </w:r>
      <w:r>
        <w:rPr>
          <w:vertAlign w:val="baseline"/>
        </w:rPr>
        <w:t>others</w:t>
      </w:r>
      <w:r>
        <w:rPr>
          <w:spacing w:val="-1"/>
          <w:vertAlign w:val="baseline"/>
        </w:rPr>
        <w:t> </w:t>
      </w:r>
      <w:r>
        <w:rPr>
          <w:vertAlign w:val="baseline"/>
        </w:rPr>
        <w:t>apply</w:t>
      </w:r>
      <w:r>
        <w:rPr>
          <w:spacing w:val="-1"/>
          <w:vertAlign w:val="baseline"/>
        </w:rPr>
        <w:t> </w:t>
      </w:r>
      <w:r>
        <w:rPr>
          <w:vertAlign w:val="baseline"/>
        </w:rPr>
        <w:t>only</w:t>
      </w:r>
      <w:r>
        <w:rPr>
          <w:spacing w:val="-1"/>
          <w:vertAlign w:val="baseline"/>
        </w:rPr>
        <w:t> </w:t>
      </w:r>
      <w:r>
        <w:rPr>
          <w:vertAlign w:val="baseline"/>
        </w:rPr>
        <w:t>to</w:t>
      </w:r>
      <w:r>
        <w:rPr>
          <w:spacing w:val="-1"/>
          <w:vertAlign w:val="baseline"/>
        </w:rPr>
        <w:t> </w:t>
      </w:r>
      <w:r>
        <w:rPr>
          <w:vertAlign w:val="baseline"/>
        </w:rPr>
        <w:t>particular</w:t>
      </w:r>
      <w:r>
        <w:rPr>
          <w:spacing w:val="-1"/>
          <w:vertAlign w:val="baseline"/>
        </w:rPr>
        <w:t> </w:t>
      </w:r>
      <w:r>
        <w:rPr>
          <w:vertAlign w:val="baseline"/>
        </w:rPr>
        <w:t>types</w:t>
      </w:r>
      <w:r>
        <w:rPr>
          <w:spacing w:val="-1"/>
          <w:vertAlign w:val="baseline"/>
        </w:rPr>
        <w:t> </w:t>
      </w:r>
      <w:r>
        <w:rPr>
          <w:vertAlign w:val="baseline"/>
        </w:rPr>
        <w:t>of</w:t>
      </w:r>
      <w:r>
        <w:rPr>
          <w:spacing w:val="-1"/>
          <w:vertAlign w:val="baseline"/>
        </w:rPr>
        <w:t> </w:t>
      </w:r>
      <w:r>
        <w:rPr>
          <w:vertAlign w:val="baseline"/>
        </w:rPr>
        <w:t>lease.</w:t>
      </w:r>
      <w:r>
        <w:rPr>
          <w:spacing w:val="-1"/>
          <w:vertAlign w:val="baseline"/>
        </w:rPr>
        <w:t> </w:t>
      </w:r>
      <w:r>
        <w:rPr>
          <w:vertAlign w:val="baseline"/>
        </w:rPr>
        <w:t>Thus,</w:t>
      </w:r>
      <w:r>
        <w:rPr>
          <w:spacing w:val="-1"/>
          <w:vertAlign w:val="baseline"/>
        </w:rPr>
        <w:t> </w:t>
      </w:r>
      <w:r>
        <w:rPr>
          <w:vertAlign w:val="baseline"/>
        </w:rPr>
        <w:t>in</w:t>
      </w:r>
      <w:r>
        <w:rPr>
          <w:spacing w:val="-2"/>
          <w:vertAlign w:val="baseline"/>
        </w:rPr>
        <w:t> </w:t>
      </w:r>
      <w:r>
        <w:rPr>
          <w:rFonts w:ascii="Arial" w:hAnsi="Arial"/>
          <w:i/>
          <w:vertAlign w:val="baseline"/>
        </w:rPr>
        <w:t>Liverpool</w:t>
      </w:r>
      <w:r>
        <w:rPr>
          <w:rFonts w:ascii="Arial" w:hAnsi="Arial"/>
          <w:i/>
          <w:spacing w:val="-1"/>
          <w:vertAlign w:val="baseline"/>
        </w:rPr>
        <w:t> </w:t>
      </w:r>
      <w:r>
        <w:rPr>
          <w:rFonts w:ascii="Arial" w:hAnsi="Arial"/>
          <w:i/>
          <w:vertAlign w:val="baseline"/>
        </w:rPr>
        <w:t>City</w:t>
      </w:r>
      <w:r>
        <w:rPr>
          <w:rFonts w:ascii="Arial" w:hAnsi="Arial"/>
          <w:i/>
          <w:spacing w:val="-1"/>
          <w:vertAlign w:val="baseline"/>
        </w:rPr>
        <w:t> </w:t>
      </w:r>
      <w:r>
        <w:rPr>
          <w:rFonts w:ascii="Arial" w:hAnsi="Arial"/>
          <w:i/>
          <w:vertAlign w:val="baseline"/>
        </w:rPr>
        <w:t>Council v Irwin </w:t>
      </w:r>
      <w:r>
        <w:rPr>
          <w:color w:val="005DA1"/>
          <w:u w:val="single" w:color="005DA1"/>
          <w:vertAlign w:val="superscript"/>
        </w:rPr>
        <w:t>774</w:t>
      </w:r>
      <w:r>
        <w:rPr>
          <w:color w:val="005DA1"/>
          <w:vertAlign w:val="baseline"/>
        </w:rPr>
        <w:t> </w:t>
      </w:r>
      <w:r>
        <w:rPr>
          <w:vertAlign w:val="baseline"/>
        </w:rPr>
        <w:t>the House of Lords implied a term into a contract of lease, but their Lordships’ speeches </w:t>
      </w:r>
      <w:bookmarkStart w:name="_bookmark1441" w:id="1443"/>
      <w:bookmarkEnd w:id="1443"/>
      <w:r>
        <w:rPr>
          <w:vertAlign w:val="baseline"/>
        </w:rPr>
        <w:t>suggest</w:t>
      </w:r>
      <w:r>
        <w:rPr>
          <w:vertAlign w:val="baseline"/>
        </w:rPr>
        <w:t> that this term was considered incidental to a much more specific contract, namely one made by a local authority for the lease of a flat in a high-rise block. </w:t>
      </w:r>
      <w:r>
        <w:rPr>
          <w:color w:val="005DA1"/>
          <w:u w:val="single" w:color="005DA1"/>
          <w:vertAlign w:val="superscript"/>
        </w:rPr>
        <w:t>775</w:t>
      </w:r>
    </w:p>
    <w:p>
      <w:pPr>
        <w:pStyle w:val="BodyText"/>
      </w:pPr>
    </w:p>
    <w:p>
      <w:pPr>
        <w:pStyle w:val="BodyText"/>
        <w:spacing w:before="32"/>
      </w:pPr>
    </w:p>
    <w:p>
      <w:pPr>
        <w:spacing w:before="0"/>
        <w:ind w:left="165" w:right="0" w:firstLine="0"/>
        <w:jc w:val="both"/>
        <w:rPr>
          <w:rFonts w:ascii="Arial"/>
          <w:b/>
          <w:sz w:val="18"/>
        </w:rPr>
      </w:pPr>
      <w:r>
        <w:rPr>
          <w:rFonts w:ascii="Arial"/>
          <w:b/>
          <w:sz w:val="18"/>
        </w:rPr>
        <w:t>Exceptional </w:t>
      </w:r>
      <w:r>
        <w:rPr>
          <w:rFonts w:ascii="Arial"/>
          <w:b/>
          <w:spacing w:val="-2"/>
          <w:sz w:val="18"/>
        </w:rPr>
        <w:t>rules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099</w:t>
      </w:r>
    </w:p>
    <w:p>
      <w:pPr>
        <w:pStyle w:val="BodyText"/>
        <w:spacing w:line="235" w:lineRule="auto" w:before="202"/>
        <w:ind w:left="165" w:right="167"/>
        <w:jc w:val="both"/>
      </w:pPr>
      <w:r>
        <w:rPr/>
        <w:t>Secondly, the courts sometimes make a formal exception to a rule of common law which applies only to a particular type of contract. For example, although in general a breach of contract, </w:t>
      </w:r>
      <w:r>
        <w:rPr/>
        <w:t>however </w:t>
      </w:r>
      <w:bookmarkStart w:name="_bookmark1442" w:id="1444"/>
      <w:bookmarkEnd w:id="1444"/>
      <w:r>
        <w:rPr/>
        <w:t>fundamental,</w:t>
      </w:r>
      <w:r>
        <w:rPr/>
        <w:t> does not terminate it so as to prevent the application of any exemption clause which it may contain, </w:t>
      </w:r>
      <w:r>
        <w:rPr>
          <w:color w:val="005DA1"/>
          <w:u w:val="single" w:color="005DA1"/>
          <w:vertAlign w:val="superscript"/>
        </w:rPr>
        <w:t>776</w:t>
      </w:r>
      <w:r>
        <w:rPr>
          <w:color w:val="005DA1"/>
          <w:vertAlign w:val="baseline"/>
        </w:rPr>
        <w:t> </w:t>
      </w:r>
      <w:r>
        <w:rPr>
          <w:vertAlign w:val="baseline"/>
        </w:rPr>
        <w:t>in a contract of carriage of goods by sea, any unnecessary deviation from the agreed or customary route constitutes a breach of the contract which gives rise in the owner to a right to treat </w:t>
      </w:r>
      <w:bookmarkStart w:name="_bookmark1443" w:id="1445"/>
      <w:bookmarkEnd w:id="1445"/>
      <w:r>
        <w:rPr>
          <w:vertAlign w:val="baseline"/>
        </w:rPr>
        <w:t>himself</w:t>
      </w:r>
      <w:r>
        <w:rPr>
          <w:vertAlign w:val="baseline"/>
        </w:rPr>
        <w:t> as discharged and this right, if exercised, does have the effect of disapplying any exemption clause from the deviating journey. </w:t>
      </w:r>
      <w:r>
        <w:rPr>
          <w:color w:val="005DA1"/>
          <w:u w:val="single" w:color="005DA1"/>
          <w:vertAlign w:val="superscript"/>
        </w:rPr>
        <w:t>777</w:t>
      </w:r>
      <w:r>
        <w:rPr>
          <w:color w:val="005DA1"/>
          <w:vertAlign w:val="baseline"/>
        </w:rPr>
        <w:t> </w:t>
      </w:r>
      <w:r>
        <w:rPr>
          <w:vertAlign w:val="baseline"/>
        </w:rPr>
        <w:t>Similarly, although in general a person is not bound by an exemption clause in a contract to which he is not party, if for example, A sends goods for repair to B </w:t>
      </w:r>
      <w:bookmarkStart w:name="_bookmark1444" w:id="1446"/>
      <w:bookmarkEnd w:id="1446"/>
      <w:r>
        <w:rPr>
          <w:vertAlign w:val="baseline"/>
        </w:rPr>
        <w:t>with</w:t>
      </w:r>
      <w:r>
        <w:rPr>
          <w:vertAlign w:val="baseline"/>
        </w:rPr>
        <w:t> permission to send the work out to a sub-contractor, C, A may be bound by any exemption</w:t>
      </w:r>
      <w:r>
        <w:rPr>
          <w:spacing w:val="40"/>
          <w:vertAlign w:val="baseline"/>
        </w:rPr>
        <w:t> </w:t>
      </w:r>
      <w:r>
        <w:rPr>
          <w:vertAlign w:val="baseline"/>
        </w:rPr>
        <w:t>clause in this contract of sub-bailment. </w:t>
      </w:r>
      <w:r>
        <w:rPr>
          <w:color w:val="005DA1"/>
          <w:u w:val="single" w:color="005DA1"/>
          <w:vertAlign w:val="superscript"/>
        </w:rPr>
        <w:t>778</w:t>
      </w:r>
      <w:r>
        <w:rPr>
          <w:color w:val="005DA1"/>
          <w:vertAlign w:val="baseline"/>
        </w:rPr>
        <w:t> </w:t>
      </w:r>
      <w:r>
        <w:rPr>
          <w:vertAlign w:val="baseline"/>
        </w:rPr>
        <w:t>A final example may be found in relation to restrictive </w:t>
      </w:r>
      <w:bookmarkStart w:name="_bookmark1445" w:id="1447"/>
      <w:bookmarkEnd w:id="1447"/>
      <w:r>
        <w:rPr>
          <w:vertAlign w:val="baseline"/>
        </w:rPr>
        <w:t>covenants</w:t>
      </w:r>
      <w:r>
        <w:rPr>
          <w:vertAlign w:val="baseline"/>
        </w:rPr>
        <w:t> concerning land. These started life as a particular type of contract, or rather a particular </w:t>
      </w:r>
      <w:bookmarkStart w:name="_bookmark1446" w:id="1448"/>
      <w:bookmarkEnd w:id="1448"/>
      <w:r>
        <w:rPr>
          <w:vertAlign w:val="baseline"/>
        </w:rPr>
        <w:t>type</w:t>
      </w:r>
      <w:r>
        <w:rPr>
          <w:vertAlign w:val="baseline"/>
        </w:rPr>
        <w:t> of contractual obligation, as they were stipulated as part of the sale of land, </w:t>
      </w:r>
      <w:r>
        <w:rPr>
          <w:color w:val="005DA1"/>
          <w:u w:val="single" w:color="005DA1"/>
          <w:vertAlign w:val="superscript"/>
        </w:rPr>
        <w:t>779</w:t>
      </w:r>
      <w:r>
        <w:rPr>
          <w:color w:val="005DA1"/>
          <w:vertAlign w:val="baseline"/>
        </w:rPr>
        <w:t> </w:t>
      </w:r>
      <w:r>
        <w:rPr>
          <w:vertAlign w:val="baseline"/>
        </w:rPr>
        <w:t>but after </w:t>
      </w:r>
      <w:r>
        <w:rPr>
          <w:rFonts w:ascii="Arial"/>
          <w:i/>
          <w:vertAlign w:val="baseline"/>
        </w:rPr>
        <w:t>Tulk v Moxhay</w:t>
      </w:r>
      <w:r>
        <w:rPr>
          <w:rFonts w:ascii="Arial"/>
          <w:i/>
          <w:spacing w:val="-3"/>
          <w:vertAlign w:val="baseline"/>
        </w:rPr>
        <w:t> </w:t>
      </w:r>
      <w:r>
        <w:rPr>
          <w:color w:val="005DA1"/>
          <w:u w:val="single" w:color="005DA1"/>
          <w:vertAlign w:val="superscript"/>
        </w:rPr>
        <w:t>780</w:t>
      </w:r>
      <w:r>
        <w:rPr>
          <w:color w:val="005DA1"/>
          <w:spacing w:val="-3"/>
          <w:vertAlign w:val="baseline"/>
        </w:rPr>
        <w:t> </w:t>
      </w:r>
      <w:r>
        <w:rPr>
          <w:vertAlign w:val="baseline"/>
        </w:rPr>
        <w:t>in</w:t>
      </w:r>
      <w:r>
        <w:rPr>
          <w:spacing w:val="-3"/>
          <w:vertAlign w:val="baseline"/>
        </w:rPr>
        <w:t> </w:t>
      </w:r>
      <w:r>
        <w:rPr>
          <w:vertAlign w:val="baseline"/>
        </w:rPr>
        <w:t>1848,</w:t>
      </w:r>
      <w:r>
        <w:rPr>
          <w:spacing w:val="-3"/>
          <w:vertAlign w:val="baseline"/>
        </w:rPr>
        <w:t> </w:t>
      </w:r>
      <w:r>
        <w:rPr>
          <w:vertAlign w:val="baseline"/>
        </w:rPr>
        <w:t>they</w:t>
      </w:r>
      <w:r>
        <w:rPr>
          <w:spacing w:val="-3"/>
          <w:vertAlign w:val="baseline"/>
        </w:rPr>
        <w:t> </w:t>
      </w:r>
      <w:r>
        <w:rPr>
          <w:vertAlign w:val="baseline"/>
        </w:rPr>
        <w:t>were</w:t>
      </w:r>
      <w:r>
        <w:rPr>
          <w:spacing w:val="-3"/>
          <w:vertAlign w:val="baseline"/>
        </w:rPr>
        <w:t> </w:t>
      </w:r>
      <w:r>
        <w:rPr>
          <w:vertAlign w:val="baseline"/>
        </w:rPr>
        <w:t>held</w:t>
      </w:r>
      <w:r>
        <w:rPr>
          <w:spacing w:val="-3"/>
          <w:vertAlign w:val="baseline"/>
        </w:rPr>
        <w:t> </w:t>
      </w:r>
      <w:r>
        <w:rPr>
          <w:vertAlign w:val="baseline"/>
        </w:rPr>
        <w:t>capable</w:t>
      </w:r>
      <w:r>
        <w:rPr>
          <w:spacing w:val="-3"/>
          <w:vertAlign w:val="baseline"/>
        </w:rPr>
        <w:t> </w:t>
      </w:r>
      <w:r>
        <w:rPr>
          <w:vertAlign w:val="baseline"/>
        </w:rPr>
        <w:t>of</w:t>
      </w:r>
      <w:r>
        <w:rPr>
          <w:spacing w:val="-3"/>
          <w:vertAlign w:val="baseline"/>
        </w:rPr>
        <w:t> </w:t>
      </w:r>
      <w:r>
        <w:rPr>
          <w:vertAlign w:val="baseline"/>
        </w:rPr>
        <w:t>binding</w:t>
      </w:r>
      <w:r>
        <w:rPr>
          <w:spacing w:val="-3"/>
          <w:vertAlign w:val="baseline"/>
        </w:rPr>
        <w:t> </w:t>
      </w:r>
      <w:r>
        <w:rPr>
          <w:vertAlign w:val="baseline"/>
        </w:rPr>
        <w:t>a</w:t>
      </w:r>
      <w:r>
        <w:rPr>
          <w:spacing w:val="-3"/>
          <w:vertAlign w:val="baseline"/>
        </w:rPr>
        <w:t> </w:t>
      </w:r>
      <w:r>
        <w:rPr>
          <w:vertAlign w:val="baseline"/>
        </w:rPr>
        <w:t>successor</w:t>
      </w:r>
      <w:r>
        <w:rPr>
          <w:spacing w:val="-3"/>
          <w:vertAlign w:val="baseline"/>
        </w:rPr>
        <w:t> </w:t>
      </w:r>
      <w:r>
        <w:rPr>
          <w:vertAlign w:val="baseline"/>
        </w:rPr>
        <w:t>in</w:t>
      </w:r>
      <w:r>
        <w:rPr>
          <w:spacing w:val="-3"/>
          <w:vertAlign w:val="baseline"/>
        </w:rPr>
        <w:t> </w:t>
      </w:r>
      <w:r>
        <w:rPr>
          <w:vertAlign w:val="baseline"/>
        </w:rPr>
        <w:t>title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purchaser</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land, </w:t>
      </w:r>
      <w:bookmarkStart w:name="_bookmark1447" w:id="1449"/>
      <w:bookmarkEnd w:id="1449"/>
      <w:r>
        <w:rPr>
          <w:vertAlign w:val="baseline"/>
        </w:rPr>
        <w:t>despite</w:t>
      </w:r>
      <w:r>
        <w:rPr>
          <w:vertAlign w:val="baseline"/>
        </w:rPr>
        <w:t> the principle of privity of contract. While technically this is justified by saying that the making</w:t>
      </w:r>
      <w:r>
        <w:rPr>
          <w:spacing w:val="80"/>
          <w:vertAlign w:val="baseline"/>
        </w:rPr>
        <w:t> </w:t>
      </w:r>
      <w:r>
        <w:rPr>
          <w:vertAlign w:val="baseline"/>
        </w:rPr>
        <w:t>of the covenant creates an equitable (proprietary) interest in land, </w:t>
      </w:r>
      <w:r>
        <w:rPr>
          <w:color w:val="005DA1"/>
          <w:u w:val="single" w:color="005DA1"/>
          <w:vertAlign w:val="superscript"/>
        </w:rPr>
        <w:t>781</w:t>
      </w:r>
      <w:r>
        <w:rPr>
          <w:color w:val="005DA1"/>
          <w:vertAlign w:val="baseline"/>
        </w:rPr>
        <w:t> </w:t>
      </w:r>
      <w:r>
        <w:rPr>
          <w:vertAlign w:val="baseline"/>
        </w:rPr>
        <w:t>it can equally be seen as an example of the law creating an exception to the rules of privity of contract for a particular type of term in a particular type of contract.</w:t>
      </w:r>
    </w:p>
    <w:p>
      <w:pPr>
        <w:pStyle w:val="BodyText"/>
      </w:pPr>
    </w:p>
    <w:p>
      <w:pPr>
        <w:pStyle w:val="BodyText"/>
        <w:spacing w:before="32"/>
      </w:pPr>
    </w:p>
    <w:p>
      <w:pPr>
        <w:spacing w:before="1"/>
        <w:ind w:left="165" w:right="0" w:firstLine="0"/>
        <w:jc w:val="left"/>
        <w:rPr>
          <w:rFonts w:ascii="Arial"/>
          <w:b/>
          <w:sz w:val="18"/>
        </w:rPr>
      </w:pPr>
      <w:r>
        <w:rPr>
          <w:rFonts w:ascii="Arial"/>
          <w:b/>
          <w:sz w:val="18"/>
        </w:rPr>
        <w:t>Commercial </w:t>
      </w:r>
      <w:r>
        <w:rPr>
          <w:rFonts w:ascii="Arial"/>
          <w:b/>
          <w:spacing w:val="-2"/>
          <w:sz w:val="18"/>
        </w:rPr>
        <w:t>practice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100</w:t>
      </w:r>
    </w:p>
    <w:p>
      <w:pPr>
        <w:pStyle w:val="BodyText"/>
        <w:spacing w:line="235" w:lineRule="auto" w:before="202"/>
        <w:ind w:left="164" w:right="167"/>
        <w:jc w:val="both"/>
      </w:pPr>
      <w:r>
        <w:rPr/>
        <w:t>Other</w:t>
      </w:r>
      <w:r>
        <w:rPr>
          <w:spacing w:val="-1"/>
        </w:rPr>
        <w:t> </w:t>
      </w:r>
      <w:r>
        <w:rPr/>
        <w:t>types</w:t>
      </w:r>
      <w:r>
        <w:rPr>
          <w:spacing w:val="-1"/>
        </w:rPr>
        <w:t> </w:t>
      </w:r>
      <w:r>
        <w:rPr/>
        <w:t>of</w:t>
      </w:r>
      <w:r>
        <w:rPr>
          <w:spacing w:val="-1"/>
        </w:rPr>
        <w:t> </w:t>
      </w:r>
      <w:r>
        <w:rPr/>
        <w:t>contract</w:t>
      </w:r>
      <w:r>
        <w:rPr>
          <w:spacing w:val="-1"/>
        </w:rPr>
        <w:t> </w:t>
      </w:r>
      <w:r>
        <w:rPr/>
        <w:t>arise</w:t>
      </w:r>
      <w:r>
        <w:rPr>
          <w:spacing w:val="-1"/>
        </w:rPr>
        <w:t> </w:t>
      </w:r>
      <w:r>
        <w:rPr/>
        <w:t>from</w:t>
      </w:r>
      <w:r>
        <w:rPr>
          <w:spacing w:val="-1"/>
        </w:rPr>
        <w:t> </w:t>
      </w:r>
      <w:r>
        <w:rPr/>
        <w:t>commercial</w:t>
      </w:r>
      <w:r>
        <w:rPr>
          <w:spacing w:val="-1"/>
        </w:rPr>
        <w:t> </w:t>
      </w:r>
      <w:r>
        <w:rPr/>
        <w:t>practice</w:t>
      </w:r>
      <w:r>
        <w:rPr>
          <w:spacing w:val="-1"/>
        </w:rPr>
        <w:t> </w:t>
      </w:r>
      <w:r>
        <w:rPr/>
        <w:t>rather</w:t>
      </w:r>
      <w:r>
        <w:rPr>
          <w:spacing w:val="-1"/>
        </w:rPr>
        <w:t> </w:t>
      </w:r>
      <w:r>
        <w:rPr/>
        <w:t>than</w:t>
      </w:r>
      <w:r>
        <w:rPr>
          <w:spacing w:val="-1"/>
        </w:rPr>
        <w:t> </w:t>
      </w:r>
      <w:r>
        <w:rPr/>
        <w:t>from</w:t>
      </w:r>
      <w:r>
        <w:rPr>
          <w:spacing w:val="-1"/>
        </w:rPr>
        <w:t> </w:t>
      </w:r>
      <w:r>
        <w:rPr/>
        <w:t>the</w:t>
      </w:r>
      <w:r>
        <w:rPr>
          <w:spacing w:val="-1"/>
        </w:rPr>
        <w:t> </w:t>
      </w:r>
      <w:r>
        <w:rPr/>
        <w:t>regulation</w:t>
      </w:r>
      <w:r>
        <w:rPr>
          <w:spacing w:val="-1"/>
        </w:rPr>
        <w:t> </w:t>
      </w:r>
      <w:r>
        <w:rPr/>
        <w:t>of</w:t>
      </w:r>
      <w:r>
        <w:rPr>
          <w:spacing w:val="-1"/>
        </w:rPr>
        <w:t> </w:t>
      </w:r>
      <w:r>
        <w:rPr/>
        <w:t>either</w:t>
      </w:r>
      <w:r>
        <w:rPr>
          <w:spacing w:val="-1"/>
        </w:rPr>
        <w:t> </w:t>
      </w:r>
      <w:r>
        <w:rPr/>
        <w:t>statute or common law, though the practical homogeneity on which they are based easily attracts particular treatment by the courts. Very clear examples of this can be found in an area like the building industry, </w:t>
      </w:r>
      <w:bookmarkStart w:name="_bookmark1448" w:id="1450"/>
      <w:bookmarkEnd w:id="1450"/>
      <w:r>
        <w:rPr/>
        <w:t>in</w:t>
      </w:r>
      <w:r>
        <w:rPr/>
        <w:t> which the industry offers standard forms for the conclusion of the many contracts which modern </w:t>
      </w:r>
      <w:bookmarkStart w:name="_bookmark1449" w:id="1451"/>
      <w:bookmarkEnd w:id="1451"/>
      <w:r>
        <w:rPr/>
        <w:t>construction</w:t>
      </w:r>
      <w:r>
        <w:rPr/>
        <w:t> requires. </w:t>
      </w:r>
      <w:r>
        <w:rPr>
          <w:color w:val="005DA1"/>
          <w:u w:val="single" w:color="005DA1"/>
          <w:vertAlign w:val="superscript"/>
        </w:rPr>
        <w:t>782</w:t>
      </w:r>
      <w:r>
        <w:rPr>
          <w:color w:val="005DA1"/>
          <w:vertAlign w:val="baseline"/>
        </w:rPr>
        <w:t> </w:t>
      </w:r>
      <w:r>
        <w:rPr>
          <w:vertAlign w:val="baseline"/>
        </w:rPr>
        <w:t>Moreover, new types of contracts in this sense are constantly arising, for example, for the supply and maintenance of information technology. </w:t>
      </w:r>
      <w:r>
        <w:rPr>
          <w:color w:val="005DA1"/>
          <w:u w:val="single" w:color="005DA1"/>
          <w:vertAlign w:val="superscript"/>
        </w:rPr>
        <w:t>783</w:t>
      </w:r>
    </w:p>
    <w:p>
      <w:pPr>
        <w:pStyle w:val="BodyText"/>
      </w:pPr>
    </w:p>
    <w:p>
      <w:pPr>
        <w:pStyle w:val="BodyText"/>
        <w:spacing w:before="38"/>
      </w:pPr>
      <w:r>
        <w:rPr/>
        <mc:AlternateContent>
          <mc:Choice Requires="wps">
            <w:drawing>
              <wp:anchor distT="0" distB="0" distL="0" distR="0" allowOverlap="1" layoutInCell="1" locked="0" behindDoc="1" simplePos="0" relativeHeight="487675904">
                <wp:simplePos x="0" y="0"/>
                <wp:positionH relativeFrom="page">
                  <wp:posOffset>914400</wp:posOffset>
                </wp:positionH>
                <wp:positionV relativeFrom="paragraph">
                  <wp:posOffset>185644</wp:posOffset>
                </wp:positionV>
                <wp:extent cx="5724525" cy="1270"/>
                <wp:effectExtent l="0" t="0" r="0" b="0"/>
                <wp:wrapTopAndBottom/>
                <wp:docPr id="367" name="Graphic 367"/>
                <wp:cNvGraphicFramePr>
                  <a:graphicFrameLocks/>
                </wp:cNvGraphicFramePr>
                <a:graphic>
                  <a:graphicData uri="http://schemas.microsoft.com/office/word/2010/wordprocessingShape">
                    <wps:wsp>
                      <wps:cNvPr id="367" name="Graphic 36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7664pt;width:450.75pt;height:.1pt;mso-position-horizontal-relative:page;mso-position-vertical-relative:paragraph;z-index:-15640576;mso-wrap-distance-left:0;mso-wrap-distance-right:0" id="docshape45" coordorigin="1440,292" coordsize="9015,0" path="m1440,292l10454,292e" filled="false" stroked="true" strokeweight="1pt" strokecolor="#000000">
                <v:path arrowok="t"/>
                <v:stroke dashstyle="solid"/>
                <w10:wrap type="topAndBottom"/>
              </v:shape>
            </w:pict>
          </mc:Fallback>
        </mc:AlternateContent>
      </w:r>
    </w:p>
    <w:p>
      <w:pPr>
        <w:pStyle w:val="BodyText"/>
        <w:spacing w:before="9"/>
      </w:pPr>
    </w:p>
    <w:p>
      <w:pPr>
        <w:pStyle w:val="BodyText"/>
        <w:spacing w:after="0"/>
        <w:sectPr>
          <w:headerReference w:type="default" r:id="rId31"/>
          <w:pgSz w:w="11900" w:h="16840"/>
          <w:pgMar w:header="971" w:footer="0" w:top="1300" w:bottom="280" w:left="1275" w:right="1275"/>
          <w:pgNumType w:start="2"/>
        </w:sectPr>
      </w:pPr>
    </w:p>
    <w:p>
      <w:pPr>
        <w:spacing w:before="95"/>
        <w:ind w:left="165" w:right="0" w:firstLine="0"/>
        <w:jc w:val="left"/>
        <w:rPr>
          <w:sz w:val="14"/>
        </w:rPr>
      </w:pPr>
      <w:r>
        <w:rPr>
          <w:sz w:val="14"/>
        </w:rPr>
        <w:drawing>
          <wp:anchor distT="0" distB="0" distL="0" distR="0" allowOverlap="1" layoutInCell="1" locked="0" behindDoc="0" simplePos="0" relativeHeight="15817216">
            <wp:simplePos x="0" y="0"/>
            <wp:positionH relativeFrom="page">
              <wp:posOffset>1257846</wp:posOffset>
            </wp:positionH>
            <wp:positionV relativeFrom="paragraph">
              <wp:posOffset>160286</wp:posOffset>
            </wp:positionV>
            <wp:extent cx="107988" cy="107988"/>
            <wp:effectExtent l="0" t="0" r="0" b="0"/>
            <wp:wrapNone/>
            <wp:docPr id="368" name="Image 368"/>
            <wp:cNvGraphicFramePr>
              <a:graphicFrameLocks/>
            </wp:cNvGraphicFramePr>
            <a:graphic>
              <a:graphicData uri="http://schemas.openxmlformats.org/drawingml/2006/picture">
                <pic:pic>
                  <pic:nvPicPr>
                    <pic:cNvPr id="368" name="Image 36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50" w:id="1452"/>
      <w:bookmarkEnd w:id="1452"/>
      <w:r>
        <w:rPr/>
      </w:r>
      <w:hyperlink w:history="true" w:anchor="_bookmark1425">
        <w:r>
          <w:rPr>
            <w:color w:val="005DA1"/>
            <w:spacing w:val="-4"/>
            <w:sz w:val="14"/>
            <w:u w:val="single" w:color="005DA1"/>
          </w:rPr>
          <w:t>754</w:t>
        </w:r>
      </w:hyperlink>
      <w:r>
        <w:rPr>
          <w:spacing w:val="-4"/>
          <w:sz w:val="14"/>
        </w:rPr>
        <w:t>.</w:t>
      </w:r>
    </w:p>
    <w:p>
      <w:pPr>
        <w:pStyle w:val="BodyText"/>
        <w:spacing w:line="235" w:lineRule="auto" w:before="212"/>
        <w:ind w:left="165" w:right="167" w:firstLine="170"/>
        <w:jc w:val="both"/>
      </w:pPr>
      <w:r>
        <w:rPr/>
        <w:br w:type="column"/>
      </w:r>
      <w:r>
        <w:rPr/>
        <w:t>Nicholas (1974) 48 Tulane L.R. 946, 948–949. This approach in English law is to be contrasted with, for example, French law. In that legal system, while the Civil Code </w:t>
      </w:r>
      <w:r>
        <w:rPr/>
        <w:t>contains provisions describing the conditions for and effects of contracts in general, it also contains</w:t>
      </w:r>
      <w:r>
        <w:rPr>
          <w:spacing w:val="40"/>
        </w:rPr>
        <w:t> </w:t>
      </w:r>
      <w:r>
        <w:rPr/>
        <w:t>much</w:t>
      </w:r>
      <w:r>
        <w:rPr>
          <w:spacing w:val="14"/>
        </w:rPr>
        <w:t> </w:t>
      </w:r>
      <w:r>
        <w:rPr/>
        <w:t>more</w:t>
      </w:r>
      <w:r>
        <w:rPr>
          <w:spacing w:val="14"/>
        </w:rPr>
        <w:t> </w:t>
      </w:r>
      <w:r>
        <w:rPr/>
        <w:t>extensive</w:t>
      </w:r>
      <w:r>
        <w:rPr>
          <w:spacing w:val="14"/>
        </w:rPr>
        <w:t> </w:t>
      </w:r>
      <w:r>
        <w:rPr/>
        <w:t>sections</w:t>
      </w:r>
      <w:r>
        <w:rPr>
          <w:spacing w:val="14"/>
        </w:rPr>
        <w:t> </w:t>
      </w:r>
      <w:r>
        <w:rPr/>
        <w:t>relating</w:t>
      </w:r>
      <w:r>
        <w:rPr>
          <w:spacing w:val="14"/>
        </w:rPr>
        <w:t> </w:t>
      </w:r>
      <w:r>
        <w:rPr/>
        <w:t>to</w:t>
      </w:r>
      <w:r>
        <w:rPr>
          <w:spacing w:val="14"/>
        </w:rPr>
        <w:t> </w:t>
      </w:r>
      <w:r>
        <w:rPr/>
        <w:t>particular</w:t>
      </w:r>
      <w:r>
        <w:rPr>
          <w:spacing w:val="14"/>
        </w:rPr>
        <w:t> </w:t>
      </w:r>
      <w:r>
        <w:rPr>
          <w:rFonts w:ascii="Arial" w:hAnsi="Arial"/>
          <w:i/>
        </w:rPr>
        <w:t>types</w:t>
      </w:r>
      <w:r>
        <w:rPr>
          <w:rFonts w:ascii="Arial" w:hAnsi="Arial"/>
          <w:i/>
          <w:spacing w:val="14"/>
        </w:rPr>
        <w:t> </w:t>
      </w:r>
      <w:r>
        <w:rPr/>
        <w:t>of</w:t>
      </w:r>
      <w:r>
        <w:rPr>
          <w:spacing w:val="14"/>
        </w:rPr>
        <w:t> </w:t>
      </w:r>
      <w:r>
        <w:rPr/>
        <w:t>contract,</w:t>
      </w:r>
      <w:r>
        <w:rPr>
          <w:spacing w:val="14"/>
        </w:rPr>
        <w:t> </w:t>
      </w:r>
      <w:r>
        <w:rPr/>
        <w:t>e.g.</w:t>
      </w:r>
      <w:r>
        <w:rPr>
          <w:spacing w:val="14"/>
        </w:rPr>
        <w:t> </w:t>
      </w:r>
      <w:r>
        <w:rPr/>
        <w:t>sale,</w:t>
      </w:r>
      <w:r>
        <w:rPr>
          <w:spacing w:val="14"/>
        </w:rPr>
        <w:t> </w:t>
      </w:r>
      <w:r>
        <w:rPr/>
        <w:t>hire,</w:t>
      </w:r>
      <w:r>
        <w:rPr>
          <w:spacing w:val="14"/>
        </w:rPr>
        <w:t> </w:t>
      </w:r>
      <w:r>
        <w:rPr>
          <w:spacing w:val="-2"/>
        </w:rPr>
        <w:t>mandate,</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line="235" w:lineRule="auto" w:before="170"/>
        <w:ind w:left="705" w:right="167"/>
        <w:jc w:val="both"/>
      </w:pPr>
      <w:r>
        <w:rPr/>
        <w:t>etc. Thus, some of the “nominate contracts” of Roman law survived into the, Civil Code, though as particular examples of a general principle of contract based on agreement: art.1101, C. </w:t>
      </w:r>
      <w:r>
        <w:rPr/>
        <w:t>civ. (as promulgated); art.1101 C.civ. (as inserted by Ordonnance No.2016/131 of February 10, </w:t>
      </w:r>
      <w:r>
        <w:rPr>
          <w:spacing w:val="-2"/>
        </w:rPr>
        <w:t>2016).</w:t>
      </w:r>
    </w:p>
    <w:p>
      <w:pPr>
        <w:pStyle w:val="BodyText"/>
        <w:spacing w:before="9"/>
      </w:pPr>
    </w:p>
    <w:p>
      <w:pPr>
        <w:pStyle w:val="BodyText"/>
        <w:spacing w:line="235" w:lineRule="auto"/>
        <w:ind w:left="705" w:right="167" w:hanging="541"/>
        <w:jc w:val="both"/>
      </w:pPr>
      <w:bookmarkStart w:name="_bookmark1451" w:id="1453"/>
      <w:bookmarkEnd w:id="1453"/>
      <w:r>
        <w:rPr/>
      </w:r>
      <w:hyperlink w:history="true" w:anchor="_bookmark1426">
        <w:r>
          <w:rPr>
            <w:color w:val="005DA1"/>
            <w:position w:val="5"/>
            <w:sz w:val="14"/>
            <w:u w:val="single" w:color="005DA1"/>
          </w:rPr>
          <w:t>755</w:t>
        </w:r>
      </w:hyperlink>
      <w:r>
        <w:rPr>
          <w:position w:val="5"/>
          <w:sz w:val="14"/>
        </w:rPr>
        <w:t>.</w:t>
      </w:r>
      <w:r>
        <w:rPr>
          <w:spacing w:val="80"/>
          <w:position w:val="5"/>
          <w:sz w:val="14"/>
        </w:rPr>
        <w:t> </w:t>
      </w:r>
      <w:r>
        <w:rPr/>
        <w:t>Sale of Goods Act 1979 s.2(1) and see below, Vol.II, para.44-020. In the case of </w:t>
      </w:r>
      <w:r>
        <w:rPr/>
        <w:t>consumer contracts, the Consumer Rights Act 2015 places “sales contracts” within a wider framework of “goods contracts”: 2015 Act s. 3(2)(a) and 5. “Goods contracts” also includes contracts of the hire of goods, hire-purchase agreements and contracts for transfer of goods: 2015 Act s.3(2). On this new law see Vol.II, paras 38-431—38-500.</w:t>
      </w:r>
    </w:p>
    <w:p>
      <w:pPr>
        <w:pStyle w:val="BodyText"/>
        <w:spacing w:before="8"/>
      </w:pPr>
    </w:p>
    <w:p>
      <w:pPr>
        <w:pStyle w:val="BodyText"/>
        <w:spacing w:line="235" w:lineRule="auto"/>
        <w:ind w:left="705" w:right="167" w:hanging="541"/>
        <w:jc w:val="both"/>
      </w:pPr>
      <w:bookmarkStart w:name="_bookmark1452" w:id="1454"/>
      <w:bookmarkEnd w:id="1454"/>
      <w:r>
        <w:rPr/>
      </w:r>
      <w:hyperlink w:history="true" w:anchor="_bookmark1427">
        <w:r>
          <w:rPr>
            <w:color w:val="005DA1"/>
            <w:position w:val="5"/>
            <w:sz w:val="14"/>
            <w:u w:val="single" w:color="005DA1"/>
          </w:rPr>
          <w:t>756</w:t>
        </w:r>
      </w:hyperlink>
      <w:r>
        <w:rPr>
          <w:position w:val="5"/>
          <w:sz w:val="14"/>
        </w:rPr>
        <w:t>.</w:t>
      </w:r>
      <w:r>
        <w:rPr>
          <w:spacing w:val="80"/>
          <w:position w:val="5"/>
          <w:sz w:val="14"/>
        </w:rPr>
        <w:t>  </w:t>
      </w:r>
      <w:r>
        <w:rPr/>
        <w:t>Consumer</w:t>
      </w:r>
      <w:r>
        <w:rPr>
          <w:spacing w:val="-2"/>
        </w:rPr>
        <w:t> </w:t>
      </w:r>
      <w:r>
        <w:rPr/>
        <w:t>Rights</w:t>
      </w:r>
      <w:r>
        <w:rPr>
          <w:spacing w:val="-2"/>
        </w:rPr>
        <w:t> </w:t>
      </w:r>
      <w:r>
        <w:rPr/>
        <w:t>Act</w:t>
      </w:r>
      <w:r>
        <w:rPr>
          <w:spacing w:val="-2"/>
        </w:rPr>
        <w:t> </w:t>
      </w:r>
      <w:r>
        <w:rPr/>
        <w:t>2015</w:t>
      </w:r>
      <w:r>
        <w:rPr>
          <w:spacing w:val="-2"/>
        </w:rPr>
        <w:t> </w:t>
      </w:r>
      <w:r>
        <w:rPr/>
        <w:t>s.33</w:t>
      </w:r>
      <w:r>
        <w:rPr>
          <w:spacing w:val="-2"/>
        </w:rPr>
        <w:t> </w:t>
      </w:r>
      <w:r>
        <w:rPr/>
        <w:t>(definition</w:t>
      </w:r>
      <w:r>
        <w:rPr>
          <w:spacing w:val="-2"/>
        </w:rPr>
        <w:t> </w:t>
      </w:r>
      <w:r>
        <w:rPr/>
        <w:t>for</w:t>
      </w:r>
      <w:r>
        <w:rPr>
          <w:spacing w:val="-2"/>
        </w:rPr>
        <w:t> </w:t>
      </w:r>
      <w:r>
        <w:rPr/>
        <w:t>purposes</w:t>
      </w:r>
      <w:r>
        <w:rPr>
          <w:spacing w:val="-2"/>
        </w:rPr>
        <w:t> </w:t>
      </w:r>
      <w:r>
        <w:rPr/>
        <w:t>of</w:t>
      </w:r>
      <w:r>
        <w:rPr>
          <w:spacing w:val="-2"/>
        </w:rPr>
        <w:t> </w:t>
      </w:r>
      <w:r>
        <w:rPr/>
        <w:t>Ch.3</w:t>
      </w:r>
      <w:r>
        <w:rPr>
          <w:spacing w:val="-2"/>
        </w:rPr>
        <w:t> </w:t>
      </w:r>
      <w:r>
        <w:rPr/>
        <w:t>of</w:t>
      </w:r>
      <w:r>
        <w:rPr>
          <w:spacing w:val="-2"/>
        </w:rPr>
        <w:t> </w:t>
      </w:r>
      <w:r>
        <w:rPr/>
        <w:t>Pt</w:t>
      </w:r>
      <w:r>
        <w:rPr>
          <w:spacing w:val="-2"/>
        </w:rPr>
        <w:t> </w:t>
      </w:r>
      <w:r>
        <w:rPr/>
        <w:t>1</w:t>
      </w:r>
      <w:r>
        <w:rPr>
          <w:spacing w:val="-2"/>
        </w:rPr>
        <w:t> </w:t>
      </w:r>
      <w:r>
        <w:rPr/>
        <w:t>of</w:t>
      </w:r>
      <w:r>
        <w:rPr>
          <w:spacing w:val="-2"/>
        </w:rPr>
        <w:t> </w:t>
      </w:r>
      <w:r>
        <w:rPr/>
        <w:t>the</w:t>
      </w:r>
      <w:r>
        <w:rPr>
          <w:spacing w:val="-2"/>
        </w:rPr>
        <w:t> </w:t>
      </w:r>
      <w:r>
        <w:rPr/>
        <w:t>Act)</w:t>
      </w:r>
      <w:r>
        <w:rPr>
          <w:spacing w:val="-2"/>
        </w:rPr>
        <w:t> </w:t>
      </w:r>
      <w:r>
        <w:rPr/>
        <w:t>which</w:t>
      </w:r>
      <w:r>
        <w:rPr>
          <w:spacing w:val="-2"/>
        </w:rPr>
        <w:t> </w:t>
      </w:r>
      <w:r>
        <w:rPr/>
        <w:t>applies only</w:t>
      </w:r>
      <w:r>
        <w:rPr>
          <w:spacing w:val="40"/>
        </w:rPr>
        <w:t> </w:t>
      </w:r>
      <w:r>
        <w:rPr/>
        <w:t>to</w:t>
      </w:r>
      <w:r>
        <w:rPr>
          <w:spacing w:val="40"/>
        </w:rPr>
        <w:t> </w:t>
      </w:r>
      <w:r>
        <w:rPr/>
        <w:t>contracts</w:t>
      </w:r>
      <w:r>
        <w:rPr>
          <w:spacing w:val="40"/>
        </w:rPr>
        <w:t> </w:t>
      </w:r>
      <w:r>
        <w:rPr/>
        <w:t>for</w:t>
      </w:r>
      <w:r>
        <w:rPr>
          <w:spacing w:val="40"/>
        </w:rPr>
        <w:t> </w:t>
      </w:r>
      <w:r>
        <w:rPr/>
        <w:t>a</w:t>
      </w:r>
      <w:r>
        <w:rPr>
          <w:spacing w:val="40"/>
        </w:rPr>
        <w:t> </w:t>
      </w:r>
      <w:r>
        <w:rPr/>
        <w:t>trader</w:t>
      </w:r>
      <w:r>
        <w:rPr>
          <w:spacing w:val="40"/>
        </w:rPr>
        <w:t> </w:t>
      </w:r>
      <w:r>
        <w:rPr/>
        <w:t>to</w:t>
      </w:r>
      <w:r>
        <w:rPr>
          <w:spacing w:val="40"/>
        </w:rPr>
        <w:t> </w:t>
      </w:r>
      <w:r>
        <w:rPr/>
        <w:t>supply</w:t>
      </w:r>
      <w:r>
        <w:rPr>
          <w:spacing w:val="40"/>
        </w:rPr>
        <w:t> </w:t>
      </w:r>
      <w:r>
        <w:rPr/>
        <w:t>digital</w:t>
      </w:r>
      <w:r>
        <w:rPr>
          <w:spacing w:val="40"/>
        </w:rPr>
        <w:t> </w:t>
      </w:r>
      <w:r>
        <w:rPr/>
        <w:t>content</w:t>
      </w:r>
      <w:r>
        <w:rPr>
          <w:spacing w:val="40"/>
        </w:rPr>
        <w:t> </w:t>
      </w:r>
      <w:r>
        <w:rPr/>
        <w:t>to</w:t>
      </w:r>
      <w:r>
        <w:rPr>
          <w:spacing w:val="40"/>
        </w:rPr>
        <w:t> </w:t>
      </w:r>
      <w:r>
        <w:rPr/>
        <w:t>a</w:t>
      </w:r>
      <w:r>
        <w:rPr>
          <w:spacing w:val="40"/>
        </w:rPr>
        <w:t> </w:t>
      </w:r>
      <w:r>
        <w:rPr/>
        <w:t>consumer:</w:t>
      </w:r>
      <w:r>
        <w:rPr>
          <w:spacing w:val="40"/>
        </w:rPr>
        <w:t> </w:t>
      </w:r>
      <w:r>
        <w:rPr/>
        <w:t>see</w:t>
      </w:r>
      <w:r>
        <w:rPr>
          <w:spacing w:val="40"/>
        </w:rPr>
        <w:t> </w:t>
      </w:r>
      <w:r>
        <w:rPr/>
        <w:t>Vol.II,</w:t>
      </w:r>
      <w:r>
        <w:rPr>
          <w:spacing w:val="40"/>
        </w:rPr>
        <w:t> </w:t>
      </w:r>
      <w:r>
        <w:rPr/>
        <w:t>paras</w:t>
      </w:r>
      <w:r>
        <w:rPr>
          <w:spacing w:val="80"/>
        </w:rPr>
        <w:t> </w:t>
      </w:r>
      <w:r>
        <w:rPr>
          <w:spacing w:val="-2"/>
        </w:rPr>
        <w:t>38-501—38-526.</w:t>
      </w:r>
    </w:p>
    <w:p>
      <w:pPr>
        <w:pStyle w:val="BodyText"/>
        <w:spacing w:before="5"/>
      </w:pPr>
    </w:p>
    <w:p>
      <w:pPr>
        <w:pStyle w:val="BodyText"/>
        <w:tabs>
          <w:tab w:pos="705" w:val="left" w:leader="none"/>
        </w:tabs>
        <w:ind w:left="165"/>
      </w:pPr>
      <w:bookmarkStart w:name="_bookmark1453" w:id="1455"/>
      <w:bookmarkEnd w:id="1455"/>
      <w:r>
        <w:rPr/>
      </w:r>
      <w:hyperlink w:history="true" w:anchor="_bookmark1427">
        <w:r>
          <w:rPr>
            <w:color w:val="005DA1"/>
            <w:spacing w:val="-4"/>
            <w:position w:val="5"/>
            <w:sz w:val="14"/>
            <w:u w:val="single" w:color="005DA1"/>
          </w:rPr>
          <w:t>757</w:t>
        </w:r>
      </w:hyperlink>
      <w:r>
        <w:rPr>
          <w:spacing w:val="-4"/>
          <w:position w:val="5"/>
          <w:sz w:val="14"/>
        </w:rPr>
        <w:t>.</w:t>
      </w:r>
      <w:r>
        <w:rPr>
          <w:position w:val="5"/>
          <w:sz w:val="14"/>
        </w:rPr>
        <w:tab/>
      </w:r>
      <w:r>
        <w:rPr/>
        <w:t>Carriage of Goods by Sea Act 1971 s.1 and Sch. to the Act </w:t>
      </w:r>
      <w:r>
        <w:rPr>
          <w:spacing w:val="-2"/>
        </w:rPr>
        <w:t>art.I(b).</w:t>
      </w:r>
    </w:p>
    <w:p>
      <w:pPr>
        <w:pStyle w:val="BodyText"/>
        <w:spacing w:before="5"/>
      </w:pPr>
    </w:p>
    <w:p>
      <w:pPr>
        <w:pStyle w:val="BodyText"/>
        <w:tabs>
          <w:tab w:pos="705" w:val="left" w:leader="none"/>
        </w:tabs>
        <w:ind w:left="165"/>
      </w:pPr>
      <w:bookmarkStart w:name="_bookmark1454" w:id="1456"/>
      <w:bookmarkEnd w:id="1456"/>
      <w:r>
        <w:rPr/>
      </w:r>
      <w:hyperlink w:history="true" w:anchor="_bookmark1427">
        <w:r>
          <w:rPr>
            <w:color w:val="005DA1"/>
            <w:spacing w:val="-4"/>
            <w:position w:val="5"/>
            <w:sz w:val="14"/>
            <w:u w:val="single" w:color="005DA1"/>
          </w:rPr>
          <w:t>758</w:t>
        </w:r>
      </w:hyperlink>
      <w:r>
        <w:rPr>
          <w:spacing w:val="-4"/>
          <w:position w:val="5"/>
          <w:sz w:val="14"/>
        </w:rPr>
        <w:t>.</w:t>
      </w:r>
      <w:r>
        <w:rPr>
          <w:position w:val="5"/>
          <w:sz w:val="14"/>
        </w:rPr>
        <w:tab/>
      </w:r>
      <w:r>
        <w:rPr/>
        <w:t>Marine Insurance Act 1906 </w:t>
      </w:r>
      <w:r>
        <w:rPr>
          <w:spacing w:val="-4"/>
        </w:rPr>
        <w:t>s.1.</w:t>
      </w:r>
    </w:p>
    <w:p>
      <w:pPr>
        <w:pStyle w:val="BodyText"/>
        <w:spacing w:before="5"/>
      </w:pPr>
    </w:p>
    <w:p>
      <w:pPr>
        <w:pStyle w:val="BodyText"/>
        <w:tabs>
          <w:tab w:pos="705" w:val="left" w:leader="none"/>
        </w:tabs>
        <w:ind w:left="165"/>
      </w:pPr>
      <w:bookmarkStart w:name="_bookmark1455" w:id="1457"/>
      <w:bookmarkEnd w:id="1457"/>
      <w:r>
        <w:rPr/>
      </w:r>
      <w:hyperlink w:history="true" w:anchor="_bookmark1428">
        <w:r>
          <w:rPr>
            <w:color w:val="005DA1"/>
            <w:spacing w:val="-4"/>
            <w:position w:val="5"/>
            <w:sz w:val="14"/>
            <w:u w:val="single" w:color="005DA1"/>
          </w:rPr>
          <w:t>759</w:t>
        </w:r>
      </w:hyperlink>
      <w:r>
        <w:rPr>
          <w:spacing w:val="-4"/>
          <w:position w:val="5"/>
          <w:sz w:val="14"/>
        </w:rPr>
        <w:t>.</w:t>
      </w:r>
      <w:r>
        <w:rPr>
          <w:position w:val="5"/>
          <w:sz w:val="14"/>
        </w:rPr>
        <w:tab/>
      </w:r>
      <w:r>
        <w:rPr/>
        <w:t>Consumer Credit Act 1974 s.8 and see below, Vol.II, para.39-</w:t>
      </w:r>
      <w:r>
        <w:rPr>
          <w:spacing w:val="-4"/>
        </w:rPr>
        <w:t>017.</w:t>
      </w:r>
    </w:p>
    <w:p>
      <w:pPr>
        <w:pStyle w:val="BodyText"/>
        <w:spacing w:before="9"/>
      </w:pPr>
    </w:p>
    <w:p>
      <w:pPr>
        <w:pStyle w:val="BodyText"/>
        <w:spacing w:line="235" w:lineRule="auto"/>
        <w:ind w:left="705" w:right="167" w:hanging="541"/>
        <w:jc w:val="both"/>
      </w:pPr>
      <w:bookmarkStart w:name="_bookmark1456" w:id="1458"/>
      <w:bookmarkEnd w:id="1458"/>
      <w:r>
        <w:rPr/>
      </w:r>
      <w:hyperlink w:history="true" w:anchor="_bookmark1429">
        <w:r>
          <w:rPr>
            <w:color w:val="005DA1"/>
            <w:position w:val="5"/>
            <w:sz w:val="14"/>
            <w:u w:val="single" w:color="005DA1"/>
          </w:rPr>
          <w:t>760</w:t>
        </w:r>
      </w:hyperlink>
      <w:r>
        <w:rPr>
          <w:position w:val="5"/>
          <w:sz w:val="14"/>
        </w:rPr>
        <w:t>.</w:t>
      </w:r>
      <w:r>
        <w:rPr>
          <w:spacing w:val="80"/>
          <w:position w:val="5"/>
          <w:sz w:val="14"/>
        </w:rPr>
        <w:t>  </w:t>
      </w:r>
      <w:r>
        <w:rPr/>
        <w:t>See Vol.II, paras 40-010 et seq., where it is noted that there is no comprehensive definition </w:t>
      </w:r>
      <w:r>
        <w:rPr/>
        <w:t>of the contract, the cases instead relying on a number of factors relevant to finding whether a particular contract is of service.</w:t>
      </w:r>
    </w:p>
    <w:p>
      <w:pPr>
        <w:pStyle w:val="BodyText"/>
        <w:spacing w:before="9"/>
      </w:pPr>
    </w:p>
    <w:p>
      <w:pPr>
        <w:pStyle w:val="BodyText"/>
        <w:spacing w:line="235" w:lineRule="auto"/>
        <w:ind w:left="705" w:right="167" w:hanging="541"/>
        <w:jc w:val="both"/>
      </w:pPr>
      <w:bookmarkStart w:name="_bookmark1457" w:id="1459"/>
      <w:bookmarkEnd w:id="1459"/>
      <w:r>
        <w:rPr/>
      </w:r>
      <w:hyperlink w:history="true" w:anchor="_bookmark1429">
        <w:r>
          <w:rPr>
            <w:color w:val="005DA1"/>
            <w:position w:val="5"/>
            <w:sz w:val="14"/>
            <w:u w:val="single" w:color="005DA1"/>
          </w:rPr>
          <w:t>761</w:t>
        </w:r>
      </w:hyperlink>
      <w:r>
        <w:rPr>
          <w:position w:val="5"/>
          <w:sz w:val="14"/>
        </w:rPr>
        <w:t>.</w:t>
      </w:r>
      <w:r>
        <w:rPr>
          <w:spacing w:val="80"/>
          <w:w w:val="150"/>
          <w:position w:val="5"/>
          <w:sz w:val="14"/>
        </w:rPr>
        <w:t> </w:t>
      </w:r>
      <w:r>
        <w:rPr/>
        <w:t>See, in particular, the Supply of Goods and Services Act 1982 ss.2–16 (on which see below, para.14-037)</w:t>
      </w:r>
      <w:r>
        <w:rPr>
          <w:spacing w:val="70"/>
        </w:rPr>
        <w:t> </w:t>
      </w:r>
      <w:r>
        <w:rPr/>
        <w:t>and</w:t>
      </w:r>
      <w:r>
        <w:rPr>
          <w:spacing w:val="70"/>
        </w:rPr>
        <w:t> </w:t>
      </w:r>
      <w:r>
        <w:rPr/>
        <w:t>the</w:t>
      </w:r>
      <w:r>
        <w:rPr>
          <w:spacing w:val="70"/>
        </w:rPr>
        <w:t> </w:t>
      </w:r>
      <w:r>
        <w:rPr/>
        <w:t>Consumer</w:t>
      </w:r>
      <w:r>
        <w:rPr>
          <w:spacing w:val="70"/>
        </w:rPr>
        <w:t> </w:t>
      </w:r>
      <w:r>
        <w:rPr/>
        <w:t>Rights</w:t>
      </w:r>
      <w:r>
        <w:rPr>
          <w:spacing w:val="70"/>
        </w:rPr>
        <w:t> </w:t>
      </w:r>
      <w:r>
        <w:rPr/>
        <w:t>Act</w:t>
      </w:r>
      <w:r>
        <w:rPr>
          <w:spacing w:val="70"/>
        </w:rPr>
        <w:t> </w:t>
      </w:r>
      <w:r>
        <w:rPr/>
        <w:t>2015</w:t>
      </w:r>
      <w:r>
        <w:rPr>
          <w:spacing w:val="70"/>
        </w:rPr>
        <w:t> </w:t>
      </w:r>
      <w:r>
        <w:rPr/>
        <w:t>ss.48–57</w:t>
      </w:r>
      <w:r>
        <w:rPr>
          <w:spacing w:val="70"/>
        </w:rPr>
        <w:t> </w:t>
      </w:r>
      <w:r>
        <w:rPr/>
        <w:t>(on</w:t>
      </w:r>
      <w:r>
        <w:rPr>
          <w:spacing w:val="70"/>
        </w:rPr>
        <w:t> </w:t>
      </w:r>
      <w:r>
        <w:rPr/>
        <w:t>which</w:t>
      </w:r>
      <w:r>
        <w:rPr>
          <w:spacing w:val="70"/>
        </w:rPr>
        <w:t> </w:t>
      </w:r>
      <w:r>
        <w:rPr/>
        <w:t>see</w:t>
      </w:r>
      <w:r>
        <w:rPr>
          <w:spacing w:val="70"/>
        </w:rPr>
        <w:t> </w:t>
      </w:r>
      <w:r>
        <w:rPr/>
        <w:t>Vol.II,</w:t>
      </w:r>
      <w:r>
        <w:rPr>
          <w:spacing w:val="70"/>
        </w:rPr>
        <w:t> </w:t>
      </w:r>
      <w:r>
        <w:rPr/>
        <w:t>paras </w:t>
      </w:r>
      <w:r>
        <w:rPr>
          <w:spacing w:val="-2"/>
        </w:rPr>
        <w:t>38-527—38-547).</w:t>
      </w:r>
    </w:p>
    <w:p>
      <w:pPr>
        <w:pStyle w:val="BodyText"/>
        <w:spacing w:before="8"/>
      </w:pPr>
    </w:p>
    <w:p>
      <w:pPr>
        <w:tabs>
          <w:tab w:pos="705" w:val="left" w:leader="none"/>
        </w:tabs>
        <w:spacing w:line="235" w:lineRule="auto" w:before="1"/>
        <w:ind w:left="705" w:right="168" w:hanging="541"/>
        <w:jc w:val="left"/>
        <w:rPr>
          <w:sz w:val="20"/>
        </w:rPr>
      </w:pPr>
      <w:bookmarkStart w:name="_bookmark1458" w:id="1460"/>
      <w:bookmarkEnd w:id="1460"/>
      <w:r>
        <w:rPr/>
      </w:r>
      <w:hyperlink w:history="true" w:anchor="_bookmark1429">
        <w:r>
          <w:rPr>
            <w:color w:val="005DA1"/>
            <w:spacing w:val="-4"/>
            <w:position w:val="5"/>
            <w:sz w:val="14"/>
            <w:u w:val="single" w:color="005DA1"/>
          </w:rPr>
          <w:t>762</w:t>
        </w:r>
      </w:hyperlink>
      <w:r>
        <w:rPr>
          <w:spacing w:val="-4"/>
          <w:position w:val="5"/>
          <w:sz w:val="14"/>
        </w:rPr>
        <w:t>.</w:t>
      </w:r>
      <w:r>
        <w:rPr>
          <w:position w:val="5"/>
          <w:sz w:val="14"/>
        </w:rPr>
        <w:tab/>
      </w:r>
      <w:r>
        <w:rPr>
          <w:sz w:val="20"/>
        </w:rPr>
        <w:t>There has been particular difficulty in distinguishing between leases and contractual </w:t>
      </w:r>
      <w:r>
        <w:rPr>
          <w:sz w:val="20"/>
        </w:rPr>
        <w:t>licences:</w:t>
      </w:r>
      <w:r>
        <w:rPr>
          <w:spacing w:val="40"/>
          <w:sz w:val="20"/>
        </w:rPr>
        <w:t> </w:t>
      </w:r>
      <w:r>
        <w:rPr>
          <w:sz w:val="20"/>
        </w:rPr>
        <w:t>see </w:t>
      </w:r>
      <w:r>
        <w:rPr>
          <w:rFonts w:ascii="Arial"/>
          <w:i/>
          <w:sz w:val="20"/>
        </w:rPr>
        <w:t>Street v Mountford [1985] A.C. 809</w:t>
      </w:r>
      <w:r>
        <w:rPr>
          <w:sz w:val="20"/>
        </w:rPr>
        <w:t>; </w:t>
      </w:r>
      <w:r>
        <w:rPr>
          <w:rFonts w:ascii="Arial"/>
          <w:i/>
          <w:sz w:val="20"/>
        </w:rPr>
        <w:t>A.G. Securities v Vaughan [1990] 1 A.C. 417</w:t>
      </w:r>
      <w:r>
        <w:rPr>
          <w:sz w:val="20"/>
        </w:rPr>
        <w:t>.</w:t>
      </w:r>
    </w:p>
    <w:p>
      <w:pPr>
        <w:pStyle w:val="BodyText"/>
        <w:spacing w:before="9"/>
      </w:pPr>
    </w:p>
    <w:p>
      <w:pPr>
        <w:pStyle w:val="BodyText"/>
        <w:tabs>
          <w:tab w:pos="705" w:val="left" w:leader="none"/>
        </w:tabs>
        <w:spacing w:line="235" w:lineRule="auto"/>
        <w:ind w:left="705" w:right="168" w:hanging="541"/>
      </w:pPr>
      <w:bookmarkStart w:name="_bookmark1459" w:id="1461"/>
      <w:bookmarkEnd w:id="1461"/>
      <w:r>
        <w:rPr/>
      </w:r>
      <w:hyperlink w:history="true" w:anchor="_bookmark1430">
        <w:r>
          <w:rPr>
            <w:color w:val="005DA1"/>
            <w:spacing w:val="-4"/>
            <w:position w:val="5"/>
            <w:sz w:val="14"/>
            <w:u w:val="single" w:color="005DA1"/>
          </w:rPr>
          <w:t>763</w:t>
        </w:r>
      </w:hyperlink>
      <w:r>
        <w:rPr>
          <w:spacing w:val="-4"/>
          <w:position w:val="5"/>
          <w:sz w:val="14"/>
        </w:rPr>
        <w:t>.</w:t>
      </w:r>
      <w:r>
        <w:rPr>
          <w:position w:val="5"/>
          <w:sz w:val="14"/>
        </w:rPr>
        <w:tab/>
      </w:r>
      <w:r>
        <w:rPr/>
        <w:t>See</w:t>
      </w:r>
      <w:r>
        <w:rPr>
          <w:spacing w:val="80"/>
        </w:rPr>
        <w:t> </w:t>
      </w:r>
      <w:r>
        <w:rPr/>
        <w:t>Vol.II,</w:t>
      </w:r>
      <w:r>
        <w:rPr>
          <w:spacing w:val="80"/>
        </w:rPr>
        <w:t> </w:t>
      </w:r>
      <w:r>
        <w:rPr/>
        <w:t>para.42-001.</w:t>
      </w:r>
      <w:r>
        <w:rPr>
          <w:spacing w:val="80"/>
        </w:rPr>
        <w:t> </w:t>
      </w:r>
      <w:r>
        <w:rPr/>
        <w:t>See,</w:t>
      </w:r>
      <w:r>
        <w:rPr>
          <w:spacing w:val="80"/>
        </w:rPr>
        <w:t> </w:t>
      </w:r>
      <w:r>
        <w:rPr/>
        <w:t>in</w:t>
      </w:r>
      <w:r>
        <w:rPr>
          <w:spacing w:val="80"/>
        </w:rPr>
        <w:t> </w:t>
      </w:r>
      <w:r>
        <w:rPr/>
        <w:t>particular,</w:t>
      </w:r>
      <w:r>
        <w:rPr>
          <w:spacing w:val="80"/>
        </w:rPr>
        <w:t> </w:t>
      </w:r>
      <w:r>
        <w:rPr/>
        <w:t>the</w:t>
      </w:r>
      <w:r>
        <w:rPr>
          <w:spacing w:val="80"/>
        </w:rPr>
        <w:t> </w:t>
      </w:r>
      <w:r>
        <w:rPr/>
        <w:t>Consumer</w:t>
      </w:r>
      <w:r>
        <w:rPr>
          <w:spacing w:val="80"/>
        </w:rPr>
        <w:t> </w:t>
      </w:r>
      <w:r>
        <w:rPr/>
        <w:t>Insurance</w:t>
      </w:r>
      <w:r>
        <w:rPr>
          <w:spacing w:val="80"/>
        </w:rPr>
        <w:t> </w:t>
      </w:r>
      <w:r>
        <w:rPr/>
        <w:t>(Disclosure</w:t>
      </w:r>
      <w:r>
        <w:rPr>
          <w:spacing w:val="80"/>
        </w:rPr>
        <w:t> </w:t>
      </w:r>
      <w:r>
        <w:rPr/>
        <w:t>and</w:t>
      </w:r>
      <w:r>
        <w:rPr>
          <w:spacing w:val="40"/>
        </w:rPr>
        <w:t> </w:t>
      </w:r>
      <w:r>
        <w:rPr/>
        <w:t>Representations) Act 2012 and Insurance Act 2015 and see Vol.II, paras 42-031 et seq.</w:t>
      </w:r>
    </w:p>
    <w:p>
      <w:pPr>
        <w:pStyle w:val="BodyText"/>
        <w:spacing w:before="5"/>
      </w:pPr>
    </w:p>
    <w:p>
      <w:pPr>
        <w:tabs>
          <w:tab w:pos="705" w:val="left" w:leader="none"/>
        </w:tabs>
        <w:spacing w:before="0"/>
        <w:ind w:left="165" w:right="0" w:firstLine="0"/>
        <w:jc w:val="left"/>
        <w:rPr>
          <w:sz w:val="20"/>
        </w:rPr>
      </w:pPr>
      <w:bookmarkStart w:name="_bookmark1460" w:id="1462"/>
      <w:bookmarkEnd w:id="1462"/>
      <w:r>
        <w:rPr/>
      </w:r>
      <w:hyperlink w:history="true" w:anchor="_bookmark1431">
        <w:r>
          <w:rPr>
            <w:color w:val="005DA1"/>
            <w:spacing w:val="-4"/>
            <w:position w:val="5"/>
            <w:sz w:val="14"/>
            <w:u w:val="single" w:color="005DA1"/>
          </w:rPr>
          <w:t>764</w:t>
        </w:r>
      </w:hyperlink>
      <w:r>
        <w:rPr>
          <w:spacing w:val="-4"/>
          <w:position w:val="5"/>
          <w:sz w:val="14"/>
        </w:rPr>
        <w:t>.</w:t>
      </w:r>
      <w:r>
        <w:rPr>
          <w:position w:val="5"/>
          <w:sz w:val="14"/>
        </w:rPr>
        <w:tab/>
      </w:r>
      <w:r>
        <w:rPr>
          <w:rFonts w:ascii="Arial"/>
          <w:i/>
          <w:sz w:val="20"/>
        </w:rPr>
        <w:t>Parking Brixen GmbH v Gemeinde Brixen (C-458/03) [2006] 1 C.M.L.R. 3</w:t>
      </w:r>
      <w:r>
        <w:rPr>
          <w:rFonts w:ascii="Arial"/>
          <w:i/>
          <w:spacing w:val="-1"/>
          <w:sz w:val="20"/>
        </w:rPr>
        <w:t> </w:t>
      </w:r>
      <w:r>
        <w:rPr>
          <w:sz w:val="20"/>
        </w:rPr>
        <w:t>at </w:t>
      </w:r>
      <w:r>
        <w:rPr>
          <w:spacing w:val="-2"/>
          <w:sz w:val="20"/>
        </w:rPr>
        <w:t>[32].</w:t>
      </w:r>
    </w:p>
    <w:p>
      <w:pPr>
        <w:pStyle w:val="BodyText"/>
        <w:spacing w:before="5"/>
      </w:pPr>
    </w:p>
    <w:p>
      <w:pPr>
        <w:tabs>
          <w:tab w:pos="705" w:val="left" w:leader="none"/>
        </w:tabs>
        <w:spacing w:before="0"/>
        <w:ind w:left="165" w:right="0" w:firstLine="0"/>
        <w:jc w:val="left"/>
        <w:rPr>
          <w:sz w:val="20"/>
        </w:rPr>
      </w:pPr>
      <w:bookmarkStart w:name="_bookmark1461" w:id="1463"/>
      <w:bookmarkEnd w:id="1463"/>
      <w:r>
        <w:rPr/>
      </w:r>
      <w:hyperlink w:history="true" w:anchor="_bookmark1432">
        <w:r>
          <w:rPr>
            <w:color w:val="005DA1"/>
            <w:spacing w:val="-4"/>
            <w:position w:val="5"/>
            <w:sz w:val="14"/>
            <w:u w:val="single" w:color="005DA1"/>
          </w:rPr>
          <w:t>765</w:t>
        </w:r>
      </w:hyperlink>
      <w:r>
        <w:rPr>
          <w:spacing w:val="-4"/>
          <w:position w:val="5"/>
          <w:sz w:val="14"/>
        </w:rPr>
        <w:t>.</w:t>
      </w:r>
      <w:r>
        <w:rPr>
          <w:position w:val="5"/>
          <w:sz w:val="14"/>
        </w:rPr>
        <w:tab/>
      </w:r>
      <w:r>
        <w:rPr>
          <w:rFonts w:ascii="Arial" w:hAnsi="Arial"/>
          <w:i/>
          <w:sz w:val="20"/>
        </w:rPr>
        <w:t>[2006] 1 C.M.L.R. 3</w:t>
      </w:r>
      <w:r>
        <w:rPr>
          <w:rFonts w:ascii="Arial" w:hAnsi="Arial"/>
          <w:i/>
          <w:spacing w:val="-1"/>
          <w:sz w:val="20"/>
        </w:rPr>
        <w:t> </w:t>
      </w:r>
      <w:r>
        <w:rPr>
          <w:sz w:val="20"/>
        </w:rPr>
        <w:t>at </w:t>
      </w:r>
      <w:r>
        <w:rPr>
          <w:spacing w:val="-2"/>
          <w:sz w:val="20"/>
        </w:rPr>
        <w:t>[38]–[43].</w:t>
      </w:r>
    </w:p>
    <w:p>
      <w:pPr>
        <w:pStyle w:val="BodyText"/>
        <w:spacing w:before="5"/>
      </w:pPr>
    </w:p>
    <w:p>
      <w:pPr>
        <w:tabs>
          <w:tab w:pos="705" w:val="left" w:leader="none"/>
        </w:tabs>
        <w:spacing w:before="0"/>
        <w:ind w:left="165" w:right="0" w:firstLine="0"/>
        <w:jc w:val="left"/>
        <w:rPr>
          <w:sz w:val="20"/>
        </w:rPr>
      </w:pPr>
      <w:bookmarkStart w:name="_bookmark1462" w:id="1464"/>
      <w:bookmarkEnd w:id="1464"/>
      <w:r>
        <w:rPr/>
      </w:r>
      <w:hyperlink w:history="true" w:anchor="_bookmark1433">
        <w:r>
          <w:rPr>
            <w:color w:val="005DA1"/>
            <w:spacing w:val="-4"/>
            <w:position w:val="5"/>
            <w:sz w:val="14"/>
            <w:u w:val="single" w:color="005DA1"/>
          </w:rPr>
          <w:t>766</w:t>
        </w:r>
      </w:hyperlink>
      <w:r>
        <w:rPr>
          <w:spacing w:val="-4"/>
          <w:position w:val="5"/>
          <w:sz w:val="14"/>
        </w:rPr>
        <w:t>.</w:t>
      </w:r>
      <w:r>
        <w:rPr>
          <w:position w:val="5"/>
          <w:sz w:val="14"/>
        </w:rPr>
        <w:tab/>
      </w:r>
      <w:r>
        <w:rPr>
          <w:sz w:val="20"/>
        </w:rPr>
        <w:t>cf.</w:t>
      </w:r>
      <w:r>
        <w:rPr>
          <w:spacing w:val="-2"/>
          <w:sz w:val="20"/>
        </w:rPr>
        <w:t> </w:t>
      </w:r>
      <w:r>
        <w:rPr>
          <w:rFonts w:ascii="Arial" w:hAnsi="Arial"/>
          <w:i/>
          <w:sz w:val="20"/>
        </w:rPr>
        <w:t>Ashmore v Corp of Lloyd’s [1992] 2 Lloyd’s Rep. 620, </w:t>
      </w:r>
      <w:r>
        <w:rPr>
          <w:rFonts w:ascii="Arial" w:hAnsi="Arial"/>
          <w:i/>
          <w:spacing w:val="-2"/>
          <w:sz w:val="20"/>
        </w:rPr>
        <w:t>630–631</w:t>
      </w:r>
      <w:r>
        <w:rPr>
          <w:spacing w:val="-2"/>
          <w:sz w:val="20"/>
        </w:rPr>
        <w:t>.</w:t>
      </w:r>
    </w:p>
    <w:p>
      <w:pPr>
        <w:pStyle w:val="BodyText"/>
        <w:spacing w:before="5"/>
      </w:pPr>
    </w:p>
    <w:p>
      <w:pPr>
        <w:pStyle w:val="BodyText"/>
        <w:tabs>
          <w:tab w:pos="705" w:val="left" w:leader="none"/>
        </w:tabs>
        <w:ind w:left="165"/>
      </w:pPr>
      <w:bookmarkStart w:name="_bookmark1463" w:id="1465"/>
      <w:bookmarkEnd w:id="1465"/>
      <w:r>
        <w:rPr/>
      </w:r>
      <w:hyperlink w:history="true" w:anchor="_bookmark1434">
        <w:r>
          <w:rPr>
            <w:color w:val="005DA1"/>
            <w:spacing w:val="-4"/>
            <w:position w:val="5"/>
            <w:sz w:val="14"/>
            <w:u w:val="single" w:color="005DA1"/>
          </w:rPr>
          <w:t>767</w:t>
        </w:r>
      </w:hyperlink>
      <w:r>
        <w:rPr>
          <w:spacing w:val="-4"/>
          <w:position w:val="5"/>
          <w:sz w:val="14"/>
        </w:rPr>
        <w:t>.</w:t>
      </w:r>
      <w:r>
        <w:rPr>
          <w:position w:val="5"/>
          <w:sz w:val="14"/>
        </w:rPr>
        <w:tab/>
      </w:r>
      <w:r>
        <w:rPr/>
        <w:t>See above, para.1-052 and below, para.14-</w:t>
      </w:r>
      <w:r>
        <w:rPr>
          <w:spacing w:val="-4"/>
        </w:rPr>
        <w:t>003.</w:t>
      </w:r>
    </w:p>
    <w:p>
      <w:pPr>
        <w:pStyle w:val="BodyText"/>
        <w:spacing w:before="9"/>
      </w:pPr>
    </w:p>
    <w:p>
      <w:pPr>
        <w:pStyle w:val="BodyText"/>
        <w:spacing w:line="235" w:lineRule="auto"/>
        <w:ind w:left="705" w:right="167" w:hanging="541"/>
        <w:jc w:val="both"/>
      </w:pPr>
      <w:bookmarkStart w:name="_bookmark1464" w:id="1466"/>
      <w:bookmarkEnd w:id="1466"/>
      <w:r>
        <w:rPr/>
      </w:r>
      <w:hyperlink w:history="true" w:anchor="_bookmark1435">
        <w:r>
          <w:rPr>
            <w:color w:val="005DA1"/>
            <w:position w:val="5"/>
            <w:sz w:val="14"/>
            <w:u w:val="single" w:color="005DA1"/>
          </w:rPr>
          <w:t>768</w:t>
        </w:r>
      </w:hyperlink>
      <w:r>
        <w:rPr>
          <w:position w:val="5"/>
          <w:sz w:val="14"/>
        </w:rPr>
        <w:t>.</w:t>
      </w:r>
      <w:r>
        <w:rPr>
          <w:spacing w:val="80"/>
          <w:w w:val="150"/>
          <w:position w:val="5"/>
          <w:sz w:val="14"/>
        </w:rPr>
        <w:t> </w:t>
      </w:r>
      <w:r>
        <w:rPr/>
        <w:t>For example, it is an implied term in every contract of employment that the employee will not disclose any confidential information which he learns by reason of his employment: see Vol.II, </w:t>
      </w:r>
      <w:r>
        <w:rPr>
          <w:spacing w:val="-2"/>
        </w:rPr>
        <w:t>para.40-066.</w:t>
      </w:r>
    </w:p>
    <w:p>
      <w:pPr>
        <w:pStyle w:val="BodyText"/>
        <w:spacing w:before="5"/>
      </w:pPr>
    </w:p>
    <w:p>
      <w:pPr>
        <w:tabs>
          <w:tab w:pos="705" w:val="left" w:leader="none"/>
        </w:tabs>
        <w:spacing w:before="0"/>
        <w:ind w:left="165" w:right="0" w:firstLine="0"/>
        <w:jc w:val="left"/>
        <w:rPr>
          <w:sz w:val="20"/>
        </w:rPr>
      </w:pPr>
      <w:bookmarkStart w:name="_bookmark1465" w:id="1467"/>
      <w:bookmarkEnd w:id="1467"/>
      <w:r>
        <w:rPr/>
      </w:r>
      <w:hyperlink w:history="true" w:anchor="_bookmark1435">
        <w:r>
          <w:rPr>
            <w:color w:val="005DA1"/>
            <w:spacing w:val="-4"/>
            <w:position w:val="5"/>
            <w:sz w:val="14"/>
            <w:u w:val="single" w:color="005DA1"/>
          </w:rPr>
          <w:t>769</w:t>
        </w:r>
      </w:hyperlink>
      <w:r>
        <w:rPr>
          <w:spacing w:val="-4"/>
          <w:position w:val="5"/>
          <w:sz w:val="14"/>
        </w:rPr>
        <w:t>.</w:t>
      </w:r>
      <w:r>
        <w:rPr>
          <w:position w:val="5"/>
          <w:sz w:val="14"/>
        </w:rPr>
        <w:tab/>
      </w:r>
      <w:r>
        <w:rPr>
          <w:rFonts w:ascii="Arial"/>
          <w:i/>
          <w:sz w:val="20"/>
        </w:rPr>
        <w:t>[1987]</w:t>
      </w:r>
      <w:r>
        <w:rPr>
          <w:rFonts w:ascii="Arial"/>
          <w:i/>
          <w:spacing w:val="-2"/>
          <w:sz w:val="20"/>
        </w:rPr>
        <w:t> </w:t>
      </w:r>
      <w:r>
        <w:rPr>
          <w:rFonts w:ascii="Arial"/>
          <w:i/>
          <w:sz w:val="20"/>
        </w:rPr>
        <w:t>Ch. </w:t>
      </w:r>
      <w:r>
        <w:rPr>
          <w:rFonts w:ascii="Arial"/>
          <w:i/>
          <w:spacing w:val="-4"/>
          <w:sz w:val="20"/>
        </w:rPr>
        <w:t>216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66" w:id="1468"/>
      <w:bookmarkEnd w:id="1468"/>
      <w:r>
        <w:rPr/>
      </w:r>
      <w:hyperlink w:history="true" w:anchor="_bookmark1436">
        <w:r>
          <w:rPr>
            <w:color w:val="005DA1"/>
            <w:spacing w:val="-4"/>
            <w:position w:val="5"/>
            <w:sz w:val="14"/>
            <w:u w:val="single" w:color="005DA1"/>
          </w:rPr>
          <w:t>770</w:t>
        </w:r>
      </w:hyperlink>
      <w:r>
        <w:rPr>
          <w:spacing w:val="-4"/>
          <w:position w:val="5"/>
          <w:sz w:val="14"/>
        </w:rPr>
        <w:t>.</w:t>
      </w:r>
      <w:r>
        <w:rPr>
          <w:position w:val="5"/>
          <w:sz w:val="14"/>
        </w:rPr>
        <w:tab/>
      </w:r>
      <w:r>
        <w:rPr>
          <w:sz w:val="20"/>
        </w:rPr>
        <w:t>cf. </w:t>
      </w:r>
      <w:r>
        <w:rPr>
          <w:rFonts w:ascii="Arial"/>
          <w:i/>
          <w:sz w:val="20"/>
        </w:rPr>
        <w:t>[1987] Ch. 216</w:t>
      </w:r>
      <w:r>
        <w:rPr>
          <w:rFonts w:ascii="Arial"/>
          <w:i/>
          <w:spacing w:val="-1"/>
          <w:sz w:val="20"/>
        </w:rPr>
        <w:t> </w:t>
      </w:r>
      <w:r>
        <w:rPr>
          <w:sz w:val="20"/>
        </w:rPr>
        <w:t>at </w:t>
      </w:r>
      <w:r>
        <w:rPr>
          <w:spacing w:val="-2"/>
          <w:sz w:val="20"/>
        </w:rPr>
        <w:t>[248].</w:t>
      </w:r>
    </w:p>
    <w:p>
      <w:pPr>
        <w:pStyle w:val="BodyText"/>
        <w:spacing w:before="5"/>
      </w:pPr>
    </w:p>
    <w:p>
      <w:pPr>
        <w:tabs>
          <w:tab w:pos="705" w:val="left" w:leader="none"/>
        </w:tabs>
        <w:spacing w:before="0"/>
        <w:ind w:left="165" w:right="0" w:firstLine="0"/>
        <w:jc w:val="left"/>
        <w:rPr>
          <w:sz w:val="20"/>
        </w:rPr>
      </w:pPr>
      <w:bookmarkStart w:name="_bookmark1467" w:id="1469"/>
      <w:bookmarkEnd w:id="1469"/>
      <w:r>
        <w:rPr/>
      </w:r>
      <w:hyperlink w:history="true" w:anchor="_bookmark1437">
        <w:r>
          <w:rPr>
            <w:color w:val="005DA1"/>
            <w:spacing w:val="-4"/>
            <w:position w:val="5"/>
            <w:sz w:val="14"/>
            <w:u w:val="single" w:color="005DA1"/>
          </w:rPr>
          <w:t>771</w:t>
        </w:r>
      </w:hyperlink>
      <w:r>
        <w:rPr>
          <w:spacing w:val="-4"/>
          <w:position w:val="5"/>
          <w:sz w:val="14"/>
        </w:rPr>
        <w:t>.</w:t>
      </w:r>
      <w:r>
        <w:rPr>
          <w:position w:val="5"/>
          <w:sz w:val="14"/>
        </w:rPr>
        <w:tab/>
      </w:r>
      <w:r>
        <w:rPr>
          <w:rFonts w:ascii="Arial"/>
          <w:i/>
          <w:sz w:val="20"/>
        </w:rPr>
        <w:t>[1992]</w:t>
      </w:r>
      <w:r>
        <w:rPr>
          <w:rFonts w:ascii="Arial"/>
          <w:i/>
          <w:spacing w:val="-2"/>
          <w:sz w:val="20"/>
        </w:rPr>
        <w:t> </w:t>
      </w:r>
      <w:r>
        <w:rPr>
          <w:rFonts w:ascii="Arial"/>
          <w:i/>
          <w:sz w:val="20"/>
        </w:rPr>
        <w:t>1 A.C. </w:t>
      </w:r>
      <w:r>
        <w:rPr>
          <w:rFonts w:ascii="Arial"/>
          <w:i/>
          <w:spacing w:val="-4"/>
          <w:sz w:val="20"/>
        </w:rPr>
        <w:t>294</w:t>
      </w:r>
      <w:r>
        <w:rPr>
          <w:spacing w:val="-4"/>
          <w:sz w:val="20"/>
        </w:rPr>
        <w:t>.</w:t>
      </w:r>
    </w:p>
    <w:p>
      <w:pPr>
        <w:pStyle w:val="BodyText"/>
        <w:spacing w:before="9"/>
      </w:pPr>
    </w:p>
    <w:p>
      <w:pPr>
        <w:tabs>
          <w:tab w:pos="705" w:val="left" w:leader="none"/>
        </w:tabs>
        <w:spacing w:line="235" w:lineRule="auto" w:before="0"/>
        <w:ind w:left="705" w:right="169" w:hanging="541"/>
        <w:jc w:val="left"/>
        <w:rPr>
          <w:sz w:val="20"/>
        </w:rPr>
      </w:pPr>
      <w:bookmarkStart w:name="_bookmark1468" w:id="1470"/>
      <w:bookmarkEnd w:id="1470"/>
      <w:r>
        <w:rPr/>
      </w:r>
      <w:hyperlink w:history="true" w:anchor="_bookmark1438">
        <w:r>
          <w:rPr>
            <w:color w:val="005DA1"/>
            <w:spacing w:val="-4"/>
            <w:position w:val="5"/>
            <w:sz w:val="14"/>
            <w:u w:val="single" w:color="005DA1"/>
          </w:rPr>
          <w:t>772</w:t>
        </w:r>
      </w:hyperlink>
      <w:r>
        <w:rPr>
          <w:spacing w:val="-4"/>
          <w:position w:val="5"/>
          <w:sz w:val="14"/>
        </w:rPr>
        <w:t>.</w:t>
      </w:r>
      <w:r>
        <w:rPr>
          <w:position w:val="5"/>
          <w:sz w:val="14"/>
        </w:rPr>
        <w:tab/>
      </w:r>
      <w:r>
        <w:rPr>
          <w:rFonts w:ascii="Arial"/>
          <w:i/>
          <w:sz w:val="20"/>
        </w:rPr>
        <w:t>[1992]</w:t>
      </w:r>
      <w:r>
        <w:rPr>
          <w:rFonts w:ascii="Arial"/>
          <w:i/>
          <w:spacing w:val="37"/>
          <w:sz w:val="20"/>
        </w:rPr>
        <w:t> </w:t>
      </w:r>
      <w:r>
        <w:rPr>
          <w:rFonts w:ascii="Arial"/>
          <w:i/>
          <w:sz w:val="20"/>
        </w:rPr>
        <w:t>1</w:t>
      </w:r>
      <w:r>
        <w:rPr>
          <w:rFonts w:ascii="Arial"/>
          <w:i/>
          <w:spacing w:val="37"/>
          <w:sz w:val="20"/>
        </w:rPr>
        <w:t> </w:t>
      </w:r>
      <w:r>
        <w:rPr>
          <w:rFonts w:ascii="Arial"/>
          <w:i/>
          <w:sz w:val="20"/>
        </w:rPr>
        <w:t>A.C.</w:t>
      </w:r>
      <w:r>
        <w:rPr>
          <w:rFonts w:ascii="Arial"/>
          <w:i/>
          <w:spacing w:val="37"/>
          <w:sz w:val="20"/>
        </w:rPr>
        <w:t> </w:t>
      </w:r>
      <w:r>
        <w:rPr>
          <w:rFonts w:ascii="Arial"/>
          <w:i/>
          <w:sz w:val="20"/>
        </w:rPr>
        <w:t>294</w:t>
      </w:r>
      <w:r>
        <w:rPr>
          <w:rFonts w:ascii="Arial"/>
          <w:i/>
          <w:spacing w:val="37"/>
          <w:sz w:val="20"/>
        </w:rPr>
        <w:t> </w:t>
      </w:r>
      <w:r>
        <w:rPr>
          <w:sz w:val="20"/>
        </w:rPr>
        <w:t>at</w:t>
      </w:r>
      <w:r>
        <w:rPr>
          <w:spacing w:val="37"/>
          <w:sz w:val="20"/>
        </w:rPr>
        <w:t> </w:t>
      </w:r>
      <w:r>
        <w:rPr>
          <w:sz w:val="20"/>
        </w:rPr>
        <w:t>[307].</w:t>
      </w:r>
      <w:r>
        <w:rPr>
          <w:spacing w:val="37"/>
          <w:sz w:val="20"/>
        </w:rPr>
        <w:t> </w:t>
      </w:r>
      <w:r>
        <w:rPr>
          <w:sz w:val="20"/>
        </w:rPr>
        <w:t>Lord</w:t>
      </w:r>
      <w:r>
        <w:rPr>
          <w:spacing w:val="37"/>
          <w:sz w:val="20"/>
        </w:rPr>
        <w:t> </w:t>
      </w:r>
      <w:r>
        <w:rPr>
          <w:sz w:val="20"/>
        </w:rPr>
        <w:t>Bridge</w:t>
      </w:r>
      <w:r>
        <w:rPr>
          <w:spacing w:val="37"/>
          <w:sz w:val="20"/>
        </w:rPr>
        <w:t> </w:t>
      </w:r>
      <w:r>
        <w:rPr>
          <w:sz w:val="20"/>
        </w:rPr>
        <w:t>defined</w:t>
      </w:r>
      <w:r>
        <w:rPr>
          <w:spacing w:val="37"/>
          <w:sz w:val="20"/>
        </w:rPr>
        <w:t> </w:t>
      </w:r>
      <w:r>
        <w:rPr>
          <w:sz w:val="20"/>
        </w:rPr>
        <w:t>the</w:t>
      </w:r>
      <w:r>
        <w:rPr>
          <w:spacing w:val="37"/>
          <w:sz w:val="20"/>
        </w:rPr>
        <w:t> </w:t>
      </w:r>
      <w:r>
        <w:rPr>
          <w:sz w:val="20"/>
        </w:rPr>
        <w:t>category</w:t>
      </w:r>
      <w:r>
        <w:rPr>
          <w:spacing w:val="37"/>
          <w:sz w:val="20"/>
        </w:rPr>
        <w:t> </w:t>
      </w:r>
      <w:r>
        <w:rPr>
          <w:sz w:val="20"/>
        </w:rPr>
        <w:t>by</w:t>
      </w:r>
      <w:r>
        <w:rPr>
          <w:spacing w:val="37"/>
          <w:sz w:val="20"/>
        </w:rPr>
        <w:t> </w:t>
      </w:r>
      <w:r>
        <w:rPr>
          <w:sz w:val="20"/>
        </w:rPr>
        <w:t>reference</w:t>
      </w:r>
      <w:r>
        <w:rPr>
          <w:spacing w:val="37"/>
          <w:sz w:val="20"/>
        </w:rPr>
        <w:t> </w:t>
      </w:r>
      <w:r>
        <w:rPr>
          <w:sz w:val="20"/>
        </w:rPr>
        <w:t>to</w:t>
      </w:r>
      <w:r>
        <w:rPr>
          <w:spacing w:val="37"/>
          <w:sz w:val="20"/>
        </w:rPr>
        <w:t> </w:t>
      </w:r>
      <w:r>
        <w:rPr>
          <w:sz w:val="20"/>
        </w:rPr>
        <w:t>three</w:t>
      </w:r>
      <w:r>
        <w:rPr>
          <w:spacing w:val="37"/>
          <w:sz w:val="20"/>
        </w:rPr>
        <w:t> </w:t>
      </w:r>
      <w:r>
        <w:rPr>
          <w:sz w:val="20"/>
        </w:rPr>
        <w:t>special </w:t>
      </w:r>
      <w:r>
        <w:rPr>
          <w:spacing w:val="-2"/>
          <w:sz w:val="20"/>
        </w:rPr>
        <w:t>circumstances.</w:t>
      </w:r>
    </w:p>
    <w:p>
      <w:pPr>
        <w:pStyle w:val="BodyText"/>
        <w:spacing w:before="9"/>
      </w:pPr>
    </w:p>
    <w:p>
      <w:pPr>
        <w:pStyle w:val="BodyText"/>
        <w:tabs>
          <w:tab w:pos="705" w:val="left" w:leader="none"/>
        </w:tabs>
        <w:spacing w:line="235" w:lineRule="auto" w:before="1"/>
        <w:ind w:left="705" w:right="168" w:hanging="541"/>
      </w:pPr>
      <w:bookmarkStart w:name="_bookmark1469" w:id="1471"/>
      <w:bookmarkEnd w:id="1471"/>
      <w:r>
        <w:rPr/>
      </w:r>
      <w:hyperlink w:history="true" w:anchor="_bookmark1439">
        <w:r>
          <w:rPr>
            <w:color w:val="005DA1"/>
            <w:spacing w:val="-4"/>
            <w:position w:val="5"/>
            <w:sz w:val="14"/>
            <w:u w:val="single" w:color="005DA1"/>
          </w:rPr>
          <w:t>773</w:t>
        </w:r>
      </w:hyperlink>
      <w:r>
        <w:rPr>
          <w:spacing w:val="-4"/>
          <w:position w:val="5"/>
          <w:sz w:val="14"/>
        </w:rPr>
        <w:t>.</w:t>
      </w:r>
      <w:r>
        <w:rPr>
          <w:position w:val="5"/>
          <w:sz w:val="14"/>
        </w:rPr>
        <w:tab/>
      </w:r>
      <w:r>
        <w:rPr/>
        <w:t>e.g. a landlord’s implied covenant for quiet enjoyment: see Woodfall on Landlord and </w:t>
      </w:r>
      <w:r>
        <w:rPr/>
        <w:t>Tenant</w:t>
      </w:r>
      <w:r>
        <w:rPr>
          <w:spacing w:val="80"/>
        </w:rPr>
        <w:t> </w:t>
      </w:r>
      <w:r>
        <w:rPr/>
        <w:t>(2015) paras 11.226 et seq.</w:t>
      </w:r>
    </w:p>
    <w:p>
      <w:pPr>
        <w:pStyle w:val="BodyText"/>
        <w:spacing w:before="5"/>
      </w:pPr>
    </w:p>
    <w:p>
      <w:pPr>
        <w:tabs>
          <w:tab w:pos="705" w:val="left" w:leader="none"/>
        </w:tabs>
        <w:spacing w:before="0"/>
        <w:ind w:left="165" w:right="0" w:firstLine="0"/>
        <w:jc w:val="left"/>
        <w:rPr>
          <w:sz w:val="20"/>
        </w:rPr>
      </w:pPr>
      <w:bookmarkStart w:name="_bookmark1470" w:id="1472"/>
      <w:bookmarkEnd w:id="1472"/>
      <w:r>
        <w:rPr/>
      </w:r>
      <w:hyperlink w:history="true" w:anchor="_bookmark1440">
        <w:r>
          <w:rPr>
            <w:color w:val="005DA1"/>
            <w:spacing w:val="-4"/>
            <w:position w:val="5"/>
            <w:sz w:val="14"/>
            <w:u w:val="single" w:color="005DA1"/>
          </w:rPr>
          <w:t>774</w:t>
        </w:r>
      </w:hyperlink>
      <w:r>
        <w:rPr>
          <w:spacing w:val="-4"/>
          <w:position w:val="5"/>
          <w:sz w:val="14"/>
        </w:rPr>
        <w:t>.</w:t>
      </w:r>
      <w:r>
        <w:rPr>
          <w:position w:val="5"/>
          <w:sz w:val="14"/>
        </w:rPr>
        <w:tab/>
      </w:r>
      <w:r>
        <w:rPr>
          <w:rFonts w:ascii="Arial"/>
          <w:i/>
          <w:sz w:val="20"/>
        </w:rPr>
        <w:t>[1977]</w:t>
      </w:r>
      <w:r>
        <w:rPr>
          <w:rFonts w:ascii="Arial"/>
          <w:i/>
          <w:spacing w:val="-2"/>
          <w:sz w:val="20"/>
        </w:rPr>
        <w:t> </w:t>
      </w:r>
      <w:r>
        <w:rPr>
          <w:rFonts w:ascii="Arial"/>
          <w:i/>
          <w:sz w:val="20"/>
        </w:rPr>
        <w:t>A.C. </w:t>
      </w:r>
      <w:r>
        <w:rPr>
          <w:rFonts w:ascii="Arial"/>
          <w:i/>
          <w:spacing w:val="-4"/>
          <w:sz w:val="20"/>
        </w:rPr>
        <w:t>239</w:t>
      </w:r>
      <w:r>
        <w:rPr>
          <w:spacing w:val="-4"/>
          <w:sz w:val="20"/>
        </w:rPr>
        <w:t>.</w:t>
      </w:r>
    </w:p>
    <w:p>
      <w:pPr>
        <w:spacing w:after="0"/>
        <w:jc w:val="left"/>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1441">
        <w:r>
          <w:rPr>
            <w:color w:val="005DA1"/>
            <w:position w:val="5"/>
            <w:sz w:val="14"/>
            <w:u w:val="single" w:color="005DA1"/>
          </w:rPr>
          <w:t>775</w:t>
        </w:r>
      </w:hyperlink>
      <w:r>
        <w:rPr>
          <w:position w:val="5"/>
          <w:sz w:val="14"/>
        </w:rPr>
        <w:t>.</w:t>
      </w:r>
      <w:r>
        <w:rPr>
          <w:spacing w:val="80"/>
          <w:position w:val="5"/>
          <w:sz w:val="14"/>
        </w:rPr>
        <w:t>  </w:t>
      </w:r>
      <w:r>
        <w:rPr>
          <w:sz w:val="20"/>
        </w:rPr>
        <w:t>See </w:t>
      </w:r>
      <w:r>
        <w:rPr>
          <w:rFonts w:ascii="Arial" w:hAnsi="Arial"/>
          <w:i/>
          <w:sz w:val="20"/>
        </w:rPr>
        <w:t>[1977] A.C. 239 </w:t>
      </w:r>
      <w:r>
        <w:rPr>
          <w:sz w:val="20"/>
        </w:rPr>
        <w:t>at 254, 258, 261. This subdivision of large categories for the purposes of the</w:t>
      </w:r>
      <w:r>
        <w:rPr>
          <w:spacing w:val="-2"/>
          <w:sz w:val="20"/>
        </w:rPr>
        <w:t> </w:t>
      </w:r>
      <w:r>
        <w:rPr>
          <w:sz w:val="20"/>
        </w:rPr>
        <w:t>implication</w:t>
      </w:r>
      <w:r>
        <w:rPr>
          <w:spacing w:val="-2"/>
          <w:sz w:val="20"/>
        </w:rPr>
        <w:t> </w:t>
      </w:r>
      <w:r>
        <w:rPr>
          <w:sz w:val="20"/>
        </w:rPr>
        <w:t>of</w:t>
      </w:r>
      <w:r>
        <w:rPr>
          <w:spacing w:val="-2"/>
          <w:sz w:val="20"/>
        </w:rPr>
        <w:t> </w:t>
      </w:r>
      <w:r>
        <w:rPr>
          <w:sz w:val="20"/>
        </w:rPr>
        <w:t>terms</w:t>
      </w:r>
      <w:r>
        <w:rPr>
          <w:spacing w:val="-2"/>
          <w:sz w:val="20"/>
        </w:rPr>
        <w:t> </w:t>
      </w:r>
      <w:r>
        <w:rPr>
          <w:sz w:val="20"/>
        </w:rPr>
        <w:t>can</w:t>
      </w:r>
      <w:r>
        <w:rPr>
          <w:spacing w:val="-2"/>
          <w:sz w:val="20"/>
        </w:rPr>
        <w:t> </w:t>
      </w:r>
      <w:r>
        <w:rPr>
          <w:sz w:val="20"/>
        </w:rPr>
        <w:t>be</w:t>
      </w:r>
      <w:r>
        <w:rPr>
          <w:spacing w:val="-2"/>
          <w:sz w:val="20"/>
        </w:rPr>
        <w:t> </w:t>
      </w:r>
      <w:r>
        <w:rPr>
          <w:sz w:val="20"/>
        </w:rPr>
        <w:t>seen</w:t>
      </w:r>
      <w:r>
        <w:rPr>
          <w:spacing w:val="-2"/>
          <w:sz w:val="20"/>
        </w:rPr>
        <w:t> </w:t>
      </w:r>
      <w:r>
        <w:rPr>
          <w:sz w:val="20"/>
        </w:rPr>
        <w:t>in</w:t>
      </w:r>
      <w:r>
        <w:rPr>
          <w:spacing w:val="-2"/>
          <w:sz w:val="20"/>
        </w:rPr>
        <w:t> </w:t>
      </w:r>
      <w:r>
        <w:rPr>
          <w:rFonts w:ascii="Arial" w:hAnsi="Arial"/>
          <w:i/>
          <w:sz w:val="20"/>
        </w:rPr>
        <w:t>Jones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Just</w:t>
      </w:r>
      <w:r>
        <w:rPr>
          <w:rFonts w:ascii="Arial" w:hAnsi="Arial"/>
          <w:i/>
          <w:spacing w:val="-2"/>
          <w:sz w:val="20"/>
        </w:rPr>
        <w:t> </w:t>
      </w:r>
      <w:r>
        <w:rPr>
          <w:rFonts w:ascii="Arial" w:hAnsi="Arial"/>
          <w:i/>
          <w:sz w:val="20"/>
        </w:rPr>
        <w:t>(1868)</w:t>
      </w:r>
      <w:r>
        <w:rPr>
          <w:rFonts w:ascii="Arial" w:hAnsi="Arial"/>
          <w:i/>
          <w:spacing w:val="-2"/>
          <w:sz w:val="20"/>
        </w:rPr>
        <w:t> </w:t>
      </w:r>
      <w:r>
        <w:rPr>
          <w:rFonts w:ascii="Arial" w:hAnsi="Arial"/>
          <w:i/>
          <w:sz w:val="20"/>
        </w:rPr>
        <w:t>L.R.</w:t>
      </w:r>
      <w:r>
        <w:rPr>
          <w:rFonts w:ascii="Arial" w:hAnsi="Arial"/>
          <w:i/>
          <w:spacing w:val="-2"/>
          <w:sz w:val="20"/>
        </w:rPr>
        <w:t> </w:t>
      </w:r>
      <w:r>
        <w:rPr>
          <w:rFonts w:ascii="Arial" w:hAnsi="Arial"/>
          <w:i/>
          <w:sz w:val="20"/>
        </w:rPr>
        <w:t>3</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197,</w:t>
      </w:r>
      <w:r>
        <w:rPr>
          <w:rFonts w:ascii="Arial" w:hAnsi="Arial"/>
          <w:i/>
          <w:spacing w:val="-2"/>
          <w:sz w:val="20"/>
        </w:rPr>
        <w:t> </w:t>
      </w:r>
      <w:r>
        <w:rPr>
          <w:rFonts w:ascii="Arial" w:hAnsi="Arial"/>
          <w:i/>
          <w:sz w:val="20"/>
        </w:rPr>
        <w:t>202–203</w:t>
      </w:r>
      <w:r>
        <w:rPr>
          <w:rFonts w:ascii="Arial" w:hAnsi="Arial"/>
          <w:i/>
          <w:spacing w:val="-2"/>
          <w:sz w:val="20"/>
        </w:rPr>
        <w:t> </w:t>
      </w:r>
      <w:r>
        <w:rPr>
          <w:sz w:val="20"/>
        </w:rPr>
        <w:t>in</w:t>
      </w:r>
      <w:r>
        <w:rPr>
          <w:spacing w:val="-2"/>
          <w:sz w:val="20"/>
        </w:rPr>
        <w:t> </w:t>
      </w:r>
      <w:r>
        <w:rPr>
          <w:sz w:val="20"/>
        </w:rPr>
        <w:t>relation to sale before the Sale of Goods Act 1893.</w:t>
      </w:r>
    </w:p>
    <w:p>
      <w:pPr>
        <w:pStyle w:val="BodyText"/>
        <w:spacing w:before="5"/>
      </w:pPr>
    </w:p>
    <w:p>
      <w:pPr>
        <w:tabs>
          <w:tab w:pos="705" w:val="left" w:leader="none"/>
        </w:tabs>
        <w:spacing w:before="0"/>
        <w:ind w:left="165" w:right="0" w:firstLine="0"/>
        <w:jc w:val="left"/>
        <w:rPr>
          <w:sz w:val="20"/>
        </w:rPr>
      </w:pPr>
      <w:bookmarkStart w:name="_bookmark1471" w:id="1473"/>
      <w:bookmarkEnd w:id="1473"/>
      <w:r>
        <w:rPr/>
      </w:r>
      <w:hyperlink w:history="true" w:anchor="_bookmark1442">
        <w:r>
          <w:rPr>
            <w:color w:val="005DA1"/>
            <w:spacing w:val="-4"/>
            <w:position w:val="5"/>
            <w:sz w:val="14"/>
            <w:u w:val="single" w:color="005DA1"/>
          </w:rPr>
          <w:t>776</w:t>
        </w:r>
      </w:hyperlink>
      <w:r>
        <w:rPr>
          <w:spacing w:val="-4"/>
          <w:position w:val="5"/>
          <w:sz w:val="14"/>
        </w:rPr>
        <w:t>.</w:t>
      </w:r>
      <w:r>
        <w:rPr>
          <w:position w:val="5"/>
          <w:sz w:val="14"/>
        </w:rPr>
        <w:tab/>
      </w:r>
      <w:r>
        <w:rPr>
          <w:rFonts w:ascii="Arial"/>
          <w:i/>
          <w:sz w:val="20"/>
        </w:rPr>
        <w:t>Photo Production Ltd v Securicor Transport Ltd [1980] A.C. </w:t>
      </w:r>
      <w:r>
        <w:rPr>
          <w:rFonts w:ascii="Arial"/>
          <w:i/>
          <w:spacing w:val="-4"/>
          <w:sz w:val="20"/>
        </w:rPr>
        <w:t>827</w:t>
      </w:r>
      <w:r>
        <w:rPr>
          <w:spacing w:val="-4"/>
          <w:sz w:val="20"/>
        </w:rPr>
        <w:t>.</w:t>
      </w:r>
    </w:p>
    <w:p>
      <w:pPr>
        <w:pStyle w:val="BodyText"/>
        <w:spacing w:before="5"/>
      </w:pPr>
    </w:p>
    <w:p>
      <w:pPr>
        <w:pStyle w:val="BodyText"/>
        <w:tabs>
          <w:tab w:pos="705" w:val="left" w:leader="none"/>
        </w:tabs>
        <w:ind w:left="165"/>
      </w:pPr>
      <w:bookmarkStart w:name="_bookmark1472" w:id="1474"/>
      <w:bookmarkEnd w:id="1474"/>
      <w:r>
        <w:rPr/>
      </w:r>
      <w:hyperlink w:history="true" w:anchor="_bookmark1443">
        <w:r>
          <w:rPr>
            <w:color w:val="005DA1"/>
            <w:spacing w:val="-4"/>
            <w:position w:val="5"/>
            <w:sz w:val="14"/>
            <w:u w:val="single" w:color="005DA1"/>
          </w:rPr>
          <w:t>777</w:t>
        </w:r>
      </w:hyperlink>
      <w:r>
        <w:rPr>
          <w:spacing w:val="-4"/>
          <w:position w:val="5"/>
          <w:sz w:val="14"/>
        </w:rPr>
        <w:t>.</w:t>
      </w:r>
      <w:r>
        <w:rPr>
          <w:position w:val="5"/>
          <w:sz w:val="14"/>
        </w:rPr>
        <w:tab/>
      </w:r>
      <w:r>
        <w:rPr/>
        <w:t>See</w:t>
      </w:r>
      <w:r>
        <w:rPr>
          <w:spacing w:val="-2"/>
        </w:rPr>
        <w:t> </w:t>
      </w:r>
      <w:r>
        <w:rPr/>
        <w:t>below, para.15-</w:t>
      </w:r>
      <w:r>
        <w:rPr>
          <w:spacing w:val="-4"/>
        </w:rPr>
        <w:t>032.</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473" w:id="1475"/>
      <w:bookmarkEnd w:id="1475"/>
      <w:r>
        <w:rPr/>
      </w:r>
      <w:hyperlink w:history="true" w:anchor="_bookmark1444">
        <w:r>
          <w:rPr>
            <w:color w:val="005DA1"/>
            <w:spacing w:val="-4"/>
            <w:position w:val="5"/>
            <w:sz w:val="14"/>
            <w:u w:val="single" w:color="005DA1"/>
          </w:rPr>
          <w:t>778</w:t>
        </w:r>
      </w:hyperlink>
      <w:r>
        <w:rPr>
          <w:spacing w:val="-4"/>
          <w:position w:val="5"/>
          <w:sz w:val="14"/>
        </w:rPr>
        <w:t>.</w:t>
      </w:r>
      <w:r>
        <w:rPr>
          <w:position w:val="5"/>
          <w:sz w:val="14"/>
        </w:rPr>
        <w:tab/>
      </w:r>
      <w:r>
        <w:rPr>
          <w:rFonts w:ascii="Arial"/>
          <w:i/>
          <w:sz w:val="20"/>
        </w:rPr>
        <w:t>Morris</w:t>
      </w:r>
      <w:r>
        <w:rPr>
          <w:rFonts w:ascii="Arial"/>
          <w:i/>
          <w:spacing w:val="10"/>
          <w:sz w:val="20"/>
        </w:rPr>
        <w:t> </w:t>
      </w:r>
      <w:r>
        <w:rPr>
          <w:rFonts w:ascii="Arial"/>
          <w:i/>
          <w:sz w:val="20"/>
        </w:rPr>
        <w:t>v</w:t>
      </w:r>
      <w:r>
        <w:rPr>
          <w:rFonts w:ascii="Arial"/>
          <w:i/>
          <w:spacing w:val="11"/>
          <w:sz w:val="20"/>
        </w:rPr>
        <w:t> </w:t>
      </w:r>
      <w:r>
        <w:rPr>
          <w:rFonts w:ascii="Arial"/>
          <w:i/>
          <w:sz w:val="20"/>
        </w:rPr>
        <w:t>C.</w:t>
      </w:r>
      <w:r>
        <w:rPr>
          <w:rFonts w:ascii="Arial"/>
          <w:i/>
          <w:spacing w:val="11"/>
          <w:sz w:val="20"/>
        </w:rPr>
        <w:t> </w:t>
      </w:r>
      <w:r>
        <w:rPr>
          <w:rFonts w:ascii="Arial"/>
          <w:i/>
          <w:sz w:val="20"/>
        </w:rPr>
        <w:t>W.</w:t>
      </w:r>
      <w:r>
        <w:rPr>
          <w:rFonts w:ascii="Arial"/>
          <w:i/>
          <w:spacing w:val="11"/>
          <w:sz w:val="20"/>
        </w:rPr>
        <w:t> </w:t>
      </w:r>
      <w:r>
        <w:rPr>
          <w:rFonts w:ascii="Arial"/>
          <w:i/>
          <w:sz w:val="20"/>
        </w:rPr>
        <w:t>Martin</w:t>
      </w:r>
      <w:r>
        <w:rPr>
          <w:rFonts w:ascii="Arial"/>
          <w:i/>
          <w:spacing w:val="11"/>
          <w:sz w:val="20"/>
        </w:rPr>
        <w:t> </w:t>
      </w:r>
      <w:r>
        <w:rPr>
          <w:rFonts w:ascii="Arial"/>
          <w:i/>
          <w:sz w:val="20"/>
        </w:rPr>
        <w:t>&amp;</w:t>
      </w:r>
      <w:r>
        <w:rPr>
          <w:rFonts w:ascii="Arial"/>
          <w:i/>
          <w:spacing w:val="11"/>
          <w:sz w:val="20"/>
        </w:rPr>
        <w:t> </w:t>
      </w:r>
      <w:r>
        <w:rPr>
          <w:rFonts w:ascii="Arial"/>
          <w:i/>
          <w:sz w:val="20"/>
        </w:rPr>
        <w:t>Sons</w:t>
      </w:r>
      <w:r>
        <w:rPr>
          <w:rFonts w:ascii="Arial"/>
          <w:i/>
          <w:spacing w:val="11"/>
          <w:sz w:val="20"/>
        </w:rPr>
        <w:t> </w:t>
      </w:r>
      <w:r>
        <w:rPr>
          <w:rFonts w:ascii="Arial"/>
          <w:i/>
          <w:sz w:val="20"/>
        </w:rPr>
        <w:t>Ltd</w:t>
      </w:r>
      <w:r>
        <w:rPr>
          <w:rFonts w:ascii="Arial"/>
          <w:i/>
          <w:spacing w:val="11"/>
          <w:sz w:val="20"/>
        </w:rPr>
        <w:t> </w:t>
      </w:r>
      <w:r>
        <w:rPr>
          <w:rFonts w:ascii="Arial"/>
          <w:i/>
          <w:sz w:val="20"/>
        </w:rPr>
        <w:t>[1966]</w:t>
      </w:r>
      <w:r>
        <w:rPr>
          <w:rFonts w:ascii="Arial"/>
          <w:i/>
          <w:spacing w:val="11"/>
          <w:sz w:val="20"/>
        </w:rPr>
        <w:t> </w:t>
      </w:r>
      <w:r>
        <w:rPr>
          <w:rFonts w:ascii="Arial"/>
          <w:i/>
          <w:sz w:val="20"/>
        </w:rPr>
        <w:t>1</w:t>
      </w:r>
      <w:r>
        <w:rPr>
          <w:rFonts w:ascii="Arial"/>
          <w:i/>
          <w:spacing w:val="11"/>
          <w:sz w:val="20"/>
        </w:rPr>
        <w:t> </w:t>
      </w:r>
      <w:r>
        <w:rPr>
          <w:rFonts w:ascii="Arial"/>
          <w:i/>
          <w:sz w:val="20"/>
        </w:rPr>
        <w:t>Q.B.</w:t>
      </w:r>
      <w:r>
        <w:rPr>
          <w:rFonts w:ascii="Arial"/>
          <w:i/>
          <w:spacing w:val="11"/>
          <w:sz w:val="20"/>
        </w:rPr>
        <w:t> </w:t>
      </w:r>
      <w:r>
        <w:rPr>
          <w:rFonts w:ascii="Arial"/>
          <w:i/>
          <w:sz w:val="20"/>
        </w:rPr>
        <w:t>716</w:t>
      </w:r>
      <w:r>
        <w:rPr>
          <w:sz w:val="20"/>
        </w:rPr>
        <w:t>;</w:t>
      </w:r>
      <w:r>
        <w:rPr>
          <w:spacing w:val="11"/>
          <w:sz w:val="20"/>
        </w:rPr>
        <w:t> </w:t>
      </w:r>
      <w:r>
        <w:rPr>
          <w:rFonts w:ascii="Arial"/>
          <w:i/>
          <w:sz w:val="20"/>
        </w:rPr>
        <w:t>The</w:t>
      </w:r>
      <w:r>
        <w:rPr>
          <w:rFonts w:ascii="Arial"/>
          <w:i/>
          <w:spacing w:val="11"/>
          <w:sz w:val="20"/>
        </w:rPr>
        <w:t> </w:t>
      </w:r>
      <w:r>
        <w:rPr>
          <w:rFonts w:ascii="Arial"/>
          <w:i/>
          <w:sz w:val="20"/>
        </w:rPr>
        <w:t>Pioneer</w:t>
      </w:r>
      <w:r>
        <w:rPr>
          <w:rFonts w:ascii="Arial"/>
          <w:i/>
          <w:spacing w:val="11"/>
          <w:sz w:val="20"/>
        </w:rPr>
        <w:t> </w:t>
      </w:r>
      <w:r>
        <w:rPr>
          <w:rFonts w:ascii="Arial"/>
          <w:i/>
          <w:sz w:val="20"/>
        </w:rPr>
        <w:t>Container</w:t>
      </w:r>
      <w:r>
        <w:rPr>
          <w:rFonts w:ascii="Arial"/>
          <w:i/>
          <w:spacing w:val="11"/>
          <w:sz w:val="20"/>
        </w:rPr>
        <w:t> </w:t>
      </w:r>
      <w:r>
        <w:rPr>
          <w:rFonts w:ascii="Arial"/>
          <w:i/>
          <w:sz w:val="20"/>
        </w:rPr>
        <w:t>[1994]</w:t>
      </w:r>
      <w:r>
        <w:rPr>
          <w:rFonts w:ascii="Arial"/>
          <w:i/>
          <w:spacing w:val="11"/>
          <w:sz w:val="20"/>
        </w:rPr>
        <w:t> </w:t>
      </w:r>
      <w:r>
        <w:rPr>
          <w:rFonts w:ascii="Arial"/>
          <w:i/>
          <w:sz w:val="20"/>
        </w:rPr>
        <w:t>2</w:t>
      </w:r>
      <w:r>
        <w:rPr>
          <w:rFonts w:ascii="Arial"/>
          <w:i/>
          <w:spacing w:val="11"/>
          <w:sz w:val="20"/>
        </w:rPr>
        <w:t> </w:t>
      </w:r>
      <w:r>
        <w:rPr>
          <w:rFonts w:ascii="Arial"/>
          <w:i/>
          <w:sz w:val="20"/>
        </w:rPr>
        <w:t>A.C.</w:t>
      </w:r>
      <w:r>
        <w:rPr>
          <w:rFonts w:ascii="Arial"/>
          <w:i/>
          <w:spacing w:val="11"/>
          <w:sz w:val="20"/>
        </w:rPr>
        <w:t> </w:t>
      </w:r>
      <w:r>
        <w:rPr>
          <w:rFonts w:ascii="Arial"/>
          <w:i/>
          <w:spacing w:val="-5"/>
          <w:sz w:val="20"/>
        </w:rPr>
        <w:t>324</w:t>
      </w:r>
    </w:p>
    <w:p>
      <w:pPr>
        <w:pStyle w:val="BodyText"/>
        <w:spacing w:line="227" w:lineRule="exact"/>
        <w:ind w:left="705"/>
      </w:pPr>
      <w:r>
        <w:rPr/>
        <w:t>and see below, paras 15-057, 33-</w:t>
      </w:r>
      <w:r>
        <w:rPr>
          <w:spacing w:val="-4"/>
        </w:rPr>
        <w:t>026.</w:t>
      </w:r>
    </w:p>
    <w:p>
      <w:pPr>
        <w:pStyle w:val="BodyText"/>
        <w:spacing w:before="5"/>
      </w:pPr>
    </w:p>
    <w:p>
      <w:pPr>
        <w:tabs>
          <w:tab w:pos="705" w:val="left" w:leader="none"/>
        </w:tabs>
        <w:spacing w:before="0"/>
        <w:ind w:left="165" w:right="0" w:firstLine="0"/>
        <w:jc w:val="left"/>
        <w:rPr>
          <w:sz w:val="20"/>
        </w:rPr>
      </w:pPr>
      <w:bookmarkStart w:name="_bookmark1474" w:id="1476"/>
      <w:bookmarkEnd w:id="1476"/>
      <w:r>
        <w:rPr/>
      </w:r>
      <w:hyperlink w:history="true" w:anchor="_bookmark1445">
        <w:r>
          <w:rPr>
            <w:color w:val="005DA1"/>
            <w:spacing w:val="-4"/>
            <w:position w:val="5"/>
            <w:sz w:val="14"/>
            <w:u w:val="single" w:color="005DA1"/>
          </w:rPr>
          <w:t>779</w:t>
        </w:r>
      </w:hyperlink>
      <w:r>
        <w:rPr>
          <w:spacing w:val="-4"/>
          <w:position w:val="5"/>
          <w:sz w:val="14"/>
        </w:rPr>
        <w:t>.</w:t>
      </w:r>
      <w:r>
        <w:rPr>
          <w:position w:val="5"/>
          <w:sz w:val="14"/>
        </w:rPr>
        <w:tab/>
      </w:r>
      <w:r>
        <w:rPr>
          <w:sz w:val="20"/>
        </w:rPr>
        <w:t>Lawson</w:t>
      </w:r>
      <w:r>
        <w:rPr>
          <w:spacing w:val="-1"/>
          <w:sz w:val="20"/>
        </w:rPr>
        <w:t> </w:t>
      </w:r>
      <w:r>
        <w:rPr>
          <w:sz w:val="20"/>
        </w:rPr>
        <w:t>and Rudden,</w:t>
      </w:r>
      <w:r>
        <w:rPr>
          <w:spacing w:val="-1"/>
          <w:sz w:val="20"/>
        </w:rPr>
        <w:t> </w:t>
      </w:r>
      <w:r>
        <w:rPr>
          <w:rFonts w:ascii="Arial"/>
          <w:i/>
          <w:sz w:val="20"/>
        </w:rPr>
        <w:t>The Law of Property</w:t>
      </w:r>
      <w:r>
        <w:rPr>
          <w:sz w:val="20"/>
        </w:rPr>
        <w:t>, 3rd edn (2002), </w:t>
      </w:r>
      <w:r>
        <w:rPr>
          <w:spacing w:val="-2"/>
          <w:sz w:val="20"/>
        </w:rPr>
        <w:t>p.157.</w:t>
      </w:r>
    </w:p>
    <w:p>
      <w:pPr>
        <w:pStyle w:val="BodyText"/>
        <w:spacing w:before="5"/>
      </w:pPr>
    </w:p>
    <w:p>
      <w:pPr>
        <w:tabs>
          <w:tab w:pos="705" w:val="left" w:leader="none"/>
        </w:tabs>
        <w:spacing w:before="1"/>
        <w:ind w:left="165" w:right="0" w:firstLine="0"/>
        <w:jc w:val="left"/>
        <w:rPr>
          <w:sz w:val="20"/>
        </w:rPr>
      </w:pPr>
      <w:bookmarkStart w:name="_bookmark1475" w:id="1477"/>
      <w:bookmarkEnd w:id="1477"/>
      <w:r>
        <w:rPr/>
      </w:r>
      <w:hyperlink w:history="true" w:anchor="_bookmark1446">
        <w:r>
          <w:rPr>
            <w:color w:val="005DA1"/>
            <w:spacing w:val="-4"/>
            <w:position w:val="5"/>
            <w:sz w:val="14"/>
            <w:u w:val="single" w:color="005DA1"/>
          </w:rPr>
          <w:t>780</w:t>
        </w:r>
      </w:hyperlink>
      <w:r>
        <w:rPr>
          <w:spacing w:val="-4"/>
          <w:position w:val="5"/>
          <w:sz w:val="14"/>
        </w:rPr>
        <w:t>.</w:t>
      </w:r>
      <w:r>
        <w:rPr>
          <w:position w:val="5"/>
          <w:sz w:val="14"/>
        </w:rPr>
        <w:tab/>
      </w:r>
      <w:r>
        <w:rPr>
          <w:rFonts w:ascii="Arial"/>
          <w:i/>
          <w:sz w:val="20"/>
        </w:rPr>
        <w:t>(1848)</w:t>
      </w:r>
      <w:r>
        <w:rPr>
          <w:rFonts w:ascii="Arial"/>
          <w:i/>
          <w:spacing w:val="-2"/>
          <w:sz w:val="20"/>
        </w:rPr>
        <w:t> </w:t>
      </w:r>
      <w:r>
        <w:rPr>
          <w:rFonts w:ascii="Arial"/>
          <w:i/>
          <w:sz w:val="20"/>
        </w:rPr>
        <w:t>2 Ph. </w:t>
      </w:r>
      <w:r>
        <w:rPr>
          <w:rFonts w:ascii="Arial"/>
          <w:i/>
          <w:spacing w:val="-4"/>
          <w:sz w:val="20"/>
        </w:rPr>
        <w:t>774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476" w:id="1478"/>
      <w:bookmarkEnd w:id="1478"/>
      <w:r>
        <w:rPr/>
      </w:r>
      <w:hyperlink w:history="true" w:anchor="_bookmark1447">
        <w:r>
          <w:rPr>
            <w:color w:val="005DA1"/>
            <w:spacing w:val="-4"/>
            <w:position w:val="5"/>
            <w:sz w:val="14"/>
            <w:u w:val="single" w:color="005DA1"/>
          </w:rPr>
          <w:t>781</w:t>
        </w:r>
      </w:hyperlink>
      <w:r>
        <w:rPr>
          <w:spacing w:val="-4"/>
          <w:position w:val="5"/>
          <w:sz w:val="14"/>
        </w:rPr>
        <w:t>.</w:t>
      </w:r>
      <w:r>
        <w:rPr>
          <w:position w:val="5"/>
          <w:sz w:val="14"/>
        </w:rPr>
        <w:tab/>
      </w:r>
      <w:r>
        <w:rPr>
          <w:sz w:val="20"/>
        </w:rPr>
        <w:t>Gray</w:t>
      </w:r>
      <w:r>
        <w:rPr>
          <w:spacing w:val="-1"/>
          <w:sz w:val="20"/>
        </w:rPr>
        <w:t> </w:t>
      </w:r>
      <w:r>
        <w:rPr>
          <w:sz w:val="20"/>
        </w:rPr>
        <w:t>and Gray,</w:t>
      </w:r>
      <w:r>
        <w:rPr>
          <w:spacing w:val="-1"/>
          <w:sz w:val="20"/>
        </w:rPr>
        <w:t> </w:t>
      </w:r>
      <w:r>
        <w:rPr>
          <w:rFonts w:ascii="Arial" w:hAnsi="Arial"/>
          <w:i/>
          <w:sz w:val="20"/>
        </w:rPr>
        <w:t>Elements of Land and Law</w:t>
      </w:r>
      <w:r>
        <w:rPr>
          <w:sz w:val="20"/>
        </w:rPr>
        <w:t>, 5th edn (2009), paras </w:t>
      </w:r>
      <w:r>
        <w:rPr>
          <w:spacing w:val="-2"/>
          <w:sz w:val="20"/>
        </w:rPr>
        <w:t>3.4.16–3.4.18.</w:t>
      </w:r>
    </w:p>
    <w:p>
      <w:pPr>
        <w:pStyle w:val="BodyText"/>
        <w:spacing w:before="4"/>
      </w:pPr>
    </w:p>
    <w:p>
      <w:pPr>
        <w:pStyle w:val="BodyText"/>
        <w:tabs>
          <w:tab w:pos="705" w:val="left" w:leader="none"/>
        </w:tabs>
        <w:spacing w:before="1"/>
        <w:ind w:left="165"/>
      </w:pPr>
      <w:bookmarkStart w:name="_bookmark1477" w:id="1479"/>
      <w:bookmarkEnd w:id="1479"/>
      <w:r>
        <w:rPr/>
      </w:r>
      <w:hyperlink w:history="true" w:anchor="_bookmark1448">
        <w:r>
          <w:rPr>
            <w:color w:val="005DA1"/>
            <w:spacing w:val="-4"/>
            <w:position w:val="5"/>
            <w:sz w:val="14"/>
            <w:u w:val="single" w:color="005DA1"/>
          </w:rPr>
          <w:t>782</w:t>
        </w:r>
      </w:hyperlink>
      <w:r>
        <w:rPr>
          <w:spacing w:val="-4"/>
          <w:position w:val="5"/>
          <w:sz w:val="14"/>
        </w:rPr>
        <w:t>.</w:t>
      </w:r>
      <w:r>
        <w:rPr>
          <w:position w:val="5"/>
          <w:sz w:val="14"/>
        </w:rPr>
        <w:tab/>
      </w:r>
      <w:r>
        <w:rPr/>
        <w:t>These are known as “RIBA/JCT standard forms”: see Vol.II, paras 37-021 et </w:t>
      </w:r>
      <w:r>
        <w:rPr>
          <w:spacing w:val="-4"/>
        </w:rPr>
        <w:t>seq.</w:t>
      </w:r>
    </w:p>
    <w:p>
      <w:pPr>
        <w:pStyle w:val="BodyText"/>
        <w:spacing w:before="4"/>
      </w:pPr>
    </w:p>
    <w:p>
      <w:pPr>
        <w:tabs>
          <w:tab w:pos="705" w:val="left" w:leader="none"/>
        </w:tabs>
        <w:spacing w:before="1"/>
        <w:ind w:left="165" w:right="0" w:firstLine="0"/>
        <w:jc w:val="left"/>
        <w:rPr>
          <w:sz w:val="20"/>
        </w:rPr>
      </w:pPr>
      <w:bookmarkStart w:name="_bookmark1478" w:id="1480"/>
      <w:bookmarkEnd w:id="1480"/>
      <w:r>
        <w:rPr/>
      </w:r>
      <w:hyperlink w:history="true" w:anchor="_bookmark1449">
        <w:r>
          <w:rPr>
            <w:color w:val="005DA1"/>
            <w:spacing w:val="-4"/>
            <w:position w:val="5"/>
            <w:sz w:val="14"/>
            <w:u w:val="single" w:color="005DA1"/>
          </w:rPr>
          <w:t>783</w:t>
        </w:r>
      </w:hyperlink>
      <w:r>
        <w:rPr>
          <w:spacing w:val="-4"/>
          <w:position w:val="5"/>
          <w:sz w:val="14"/>
        </w:rPr>
        <w:t>.</w:t>
      </w:r>
      <w:r>
        <w:rPr>
          <w:position w:val="5"/>
          <w:sz w:val="14"/>
        </w:rPr>
        <w:tab/>
      </w:r>
      <w:r>
        <w:rPr>
          <w:sz w:val="20"/>
        </w:rPr>
        <w:t>See</w:t>
      </w:r>
      <w:r>
        <w:rPr>
          <w:spacing w:val="-1"/>
          <w:sz w:val="20"/>
        </w:rPr>
        <w:t> </w:t>
      </w:r>
      <w:r>
        <w:rPr>
          <w:sz w:val="20"/>
        </w:rPr>
        <w:t>Morgan and Burden,</w:t>
      </w:r>
      <w:r>
        <w:rPr>
          <w:spacing w:val="-1"/>
          <w:sz w:val="20"/>
        </w:rPr>
        <w:t> </w:t>
      </w:r>
      <w:r>
        <w:rPr>
          <w:rFonts w:ascii="Arial"/>
          <w:i/>
          <w:sz w:val="20"/>
        </w:rPr>
        <w:t>Morgan and Burden on IT Contracts</w:t>
      </w:r>
      <w:r>
        <w:rPr>
          <w:sz w:val="20"/>
        </w:rPr>
        <w:t>, 9th edn </w:t>
      </w:r>
      <w:r>
        <w:rPr>
          <w:spacing w:val="-2"/>
          <w:sz w:val="20"/>
        </w:rPr>
        <w:t>(2013).</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5. - Classification of </w:t>
      </w:r>
      <w:r>
        <w:rPr>
          <w:rFonts w:ascii="Arial"/>
          <w:b/>
          <w:spacing w:val="-2"/>
          <w:sz w:val="24"/>
        </w:rPr>
        <w:t>Contracts</w:t>
      </w:r>
    </w:p>
    <w:p>
      <w:pPr>
        <w:pStyle w:val="ListParagraph"/>
        <w:numPr>
          <w:ilvl w:val="0"/>
          <w:numId w:val="9"/>
        </w:numPr>
        <w:tabs>
          <w:tab w:pos="1764" w:val="left" w:leader="none"/>
        </w:tabs>
        <w:spacing w:line="240" w:lineRule="auto" w:before="194" w:after="0"/>
        <w:ind w:left="1764" w:right="0" w:hanging="373"/>
        <w:jc w:val="left"/>
        <w:rPr>
          <w:b/>
          <w:sz w:val="24"/>
        </w:rPr>
      </w:pPr>
      <w:r>
        <w:rPr>
          <w:b/>
          <w:sz w:val="24"/>
        </w:rPr>
        <w:t>- Classification of Contracts According to their </w:t>
      </w:r>
      <w:r>
        <w:rPr>
          <w:b/>
          <w:spacing w:val="-2"/>
          <w:sz w:val="24"/>
        </w:rPr>
        <w:t>Parties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General</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101</w:t>
      </w:r>
    </w:p>
    <w:p>
      <w:pPr>
        <w:pStyle w:val="BodyText"/>
        <w:spacing w:line="235" w:lineRule="auto" w:before="202"/>
        <w:ind w:left="165" w:right="167"/>
        <w:jc w:val="both"/>
      </w:pPr>
      <w:r>
        <w:rPr/>
        <w:t>Contracts are sometimes classified according to their parties and this type of classification </w:t>
      </w:r>
      <w:r>
        <w:rPr/>
        <w:t>sometimes cuts across those other types which have already been mentioned. Perhaps the most important of</w:t>
      </w:r>
      <w:r>
        <w:rPr>
          <w:spacing w:val="80"/>
        </w:rPr>
        <w:t> </w:t>
      </w:r>
      <w:r>
        <w:rPr/>
        <w:t>this type of division is between commercial and non-commercial contracts. Commercial contracts can be described as those which are made between two or more parties who are in business for the purposes of trade. “Non-commercial contracts” is a residual category and would include transactions as disparate as contracts on the dissolution of marriage, contracts under which legal claims are settled, sales between private individuals other than in the course of business as well as “consumer contracts”. The latter is in the modern law an important category and may be defined as those </w:t>
      </w:r>
      <w:bookmarkStart w:name="_bookmark1479" w:id="1481"/>
      <w:bookmarkEnd w:id="1481"/>
      <w:r>
        <w:rPr/>
        <w:t>contracts</w:t>
      </w:r>
      <w:r>
        <w:rPr/>
        <w:t> which are made between one party who is in business and one who is contracting other</w:t>
      </w:r>
      <w:r>
        <w:rPr>
          <w:spacing w:val="40"/>
        </w:rPr>
        <w:t> </w:t>
      </w:r>
      <w:bookmarkStart w:name="_bookmark1480" w:id="1482"/>
      <w:bookmarkEnd w:id="1482"/>
      <w:r>
        <w:rPr/>
        <w:t>than</w:t>
      </w:r>
      <w:r>
        <w:rPr/>
        <w:t> for business purposes. </w:t>
      </w:r>
      <w:r>
        <w:rPr>
          <w:color w:val="005DA1"/>
          <w:u w:val="single" w:color="005DA1"/>
          <w:vertAlign w:val="superscript"/>
        </w:rPr>
        <w:t>784</w:t>
      </w:r>
      <w:r>
        <w:rPr>
          <w:color w:val="005DA1"/>
          <w:vertAlign w:val="baseline"/>
        </w:rPr>
        <w:t> </w:t>
      </w:r>
      <w:r>
        <w:rPr>
          <w:vertAlign w:val="baseline"/>
        </w:rPr>
        <w:t>However, the common law of contract does not recognise the categories of commercial </w:t>
      </w:r>
      <w:r>
        <w:rPr>
          <w:color w:val="005DA1"/>
          <w:u w:val="single" w:color="005DA1"/>
          <w:vertAlign w:val="superscript"/>
        </w:rPr>
        <w:t>785</w:t>
      </w:r>
      <w:r>
        <w:rPr>
          <w:color w:val="005DA1"/>
          <w:vertAlign w:val="baseline"/>
        </w:rPr>
        <w:t> </w:t>
      </w:r>
      <w:r>
        <w:rPr>
          <w:vertAlign w:val="baseline"/>
        </w:rPr>
        <w:t>or consumer contracts and the latter category has only become </w:t>
      </w:r>
      <w:bookmarkStart w:name="_bookmark1481" w:id="1483"/>
      <w:bookmarkEnd w:id="1483"/>
      <w:r>
        <w:rPr>
          <w:vertAlign w:val="baseline"/>
        </w:rPr>
        <w:t>prominent</w:t>
      </w:r>
      <w:r>
        <w:rPr>
          <w:vertAlign w:val="baseline"/>
        </w:rPr>
        <w:t> as a result of modern legislation passed for the protection of consumers, in particular </w:t>
      </w:r>
      <w:bookmarkStart w:name="_bookmark1482" w:id="1484"/>
      <w:bookmarkEnd w:id="1484"/>
      <w:r>
        <w:rPr>
          <w:vertAlign w:val="baseline"/>
        </w:rPr>
        <w:t>concerning</w:t>
      </w:r>
      <w:r>
        <w:rPr>
          <w:vertAlign w:val="baseline"/>
        </w:rPr>
        <w:t> credit agreements, </w:t>
      </w:r>
      <w:r>
        <w:rPr>
          <w:color w:val="005DA1"/>
          <w:u w:val="single" w:color="005DA1"/>
          <w:vertAlign w:val="superscript"/>
        </w:rPr>
        <w:t>786</w:t>
      </w:r>
      <w:r>
        <w:rPr>
          <w:color w:val="005DA1"/>
          <w:vertAlign w:val="baseline"/>
        </w:rPr>
        <w:t> </w:t>
      </w:r>
      <w:r>
        <w:rPr>
          <w:vertAlign w:val="baseline"/>
        </w:rPr>
        <w:t>the effectiveness of exemption clauses and other unfair contract terms, </w:t>
      </w:r>
      <w:r>
        <w:rPr>
          <w:color w:val="005DA1"/>
          <w:u w:val="single" w:color="005DA1"/>
          <w:vertAlign w:val="superscript"/>
        </w:rPr>
        <w:t>787</w:t>
      </w:r>
      <w:r>
        <w:rPr>
          <w:color w:val="005DA1"/>
          <w:vertAlign w:val="baseline"/>
        </w:rPr>
        <w:t> </w:t>
      </w:r>
      <w:r>
        <w:rPr>
          <w:vertAlign w:val="baseline"/>
        </w:rPr>
        <w:t>and governing some aspects of particular categories of contract. </w:t>
      </w:r>
      <w:r>
        <w:rPr>
          <w:color w:val="005DA1"/>
          <w:u w:val="single" w:color="005DA1"/>
          <w:vertAlign w:val="superscript"/>
        </w:rPr>
        <w:t>788</w:t>
      </w:r>
    </w:p>
    <w:p>
      <w:pPr>
        <w:pStyle w:val="BodyText"/>
        <w:spacing w:before="85"/>
      </w:pPr>
    </w:p>
    <w:p>
      <w:pPr>
        <w:pStyle w:val="BodyText"/>
        <w:spacing w:line="235" w:lineRule="auto"/>
        <w:ind w:left="165" w:right="167"/>
        <w:jc w:val="both"/>
      </w:pPr>
      <w:r>
        <w:rPr/>
        <w:t>Another important distinction in the modern law is between contracts made between private persons </w:t>
      </w:r>
      <w:bookmarkStart w:name="_bookmark1483" w:id="1485"/>
      <w:bookmarkEnd w:id="1485"/>
      <w:r>
        <w:rPr/>
        <w:t>and</w:t>
      </w:r>
      <w:r>
        <w:rPr/>
        <w:t> those where one or both parties are public bodies. This distinction has been discussed for the purposes of the Human Rights Act 1998 </w:t>
      </w:r>
      <w:r>
        <w:rPr>
          <w:color w:val="005DA1"/>
          <w:u w:val="single" w:color="005DA1"/>
          <w:vertAlign w:val="superscript"/>
        </w:rPr>
        <w:t>789</w:t>
      </w:r>
      <w:r>
        <w:rPr>
          <w:color w:val="005DA1"/>
          <w:vertAlign w:val="baseline"/>
        </w:rPr>
        <w:t> </w:t>
      </w:r>
      <w:r>
        <w:rPr>
          <w:vertAlign w:val="baseline"/>
        </w:rPr>
        <w:t>and will be discussed generally later. </w:t>
      </w:r>
      <w:r>
        <w:rPr>
          <w:color w:val="005DA1"/>
          <w:u w:val="single" w:color="005DA1"/>
          <w:vertAlign w:val="superscript"/>
        </w:rPr>
        <w:t>790</w:t>
      </w:r>
    </w:p>
    <w:p>
      <w:pPr>
        <w:pStyle w:val="BodyText"/>
      </w:pPr>
    </w:p>
    <w:p>
      <w:pPr>
        <w:pStyle w:val="BodyText"/>
        <w:spacing w:before="39"/>
      </w:pPr>
      <w:r>
        <w:rPr/>
        <mc:AlternateContent>
          <mc:Choice Requires="wps">
            <w:drawing>
              <wp:anchor distT="0" distB="0" distL="0" distR="0" allowOverlap="1" layoutInCell="1" locked="0" behindDoc="1" simplePos="0" relativeHeight="487676928">
                <wp:simplePos x="0" y="0"/>
                <wp:positionH relativeFrom="page">
                  <wp:posOffset>914400</wp:posOffset>
                </wp:positionH>
                <wp:positionV relativeFrom="paragraph">
                  <wp:posOffset>186039</wp:posOffset>
                </wp:positionV>
                <wp:extent cx="5724525" cy="1270"/>
                <wp:effectExtent l="0" t="0" r="0" b="0"/>
                <wp:wrapTopAndBottom/>
                <wp:docPr id="370" name="Graphic 370"/>
                <wp:cNvGraphicFramePr>
                  <a:graphicFrameLocks/>
                </wp:cNvGraphicFramePr>
                <a:graphic>
                  <a:graphicData uri="http://schemas.microsoft.com/office/word/2010/wordprocessingShape">
                    <wps:wsp>
                      <wps:cNvPr id="370" name="Graphic 37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8816pt;width:450.75pt;height:.1pt;mso-position-horizontal-relative:page;mso-position-vertical-relative:paragraph;z-index:-15639552;mso-wrap-distance-left:0;mso-wrap-distance-right:0" id="docshape47"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tabs>
          <w:tab w:pos="705" w:val="left" w:leader="none"/>
        </w:tabs>
        <w:spacing w:line="235" w:lineRule="auto"/>
        <w:ind w:left="705" w:right="167" w:hanging="541"/>
      </w:pPr>
      <w:bookmarkStart w:name="_bookmark1484" w:id="1486"/>
      <w:bookmarkEnd w:id="1486"/>
      <w:r>
        <w:rPr/>
      </w:r>
      <w:hyperlink w:history="true" w:anchor="_bookmark1479">
        <w:r>
          <w:rPr>
            <w:color w:val="005DA1"/>
            <w:spacing w:val="-4"/>
            <w:position w:val="5"/>
            <w:sz w:val="14"/>
            <w:u w:val="single" w:color="005DA1"/>
          </w:rPr>
          <w:t>784</w:t>
        </w:r>
      </w:hyperlink>
      <w:r>
        <w:rPr>
          <w:spacing w:val="-4"/>
          <w:position w:val="5"/>
          <w:sz w:val="14"/>
        </w:rPr>
        <w:t>.</w:t>
      </w:r>
      <w:r>
        <w:rPr>
          <w:position w:val="5"/>
          <w:sz w:val="14"/>
        </w:rPr>
        <w:tab/>
      </w:r>
      <w:r>
        <w:rPr/>
        <w:t>cf.</w:t>
      </w:r>
      <w:r>
        <w:rPr>
          <w:spacing w:val="74"/>
        </w:rPr>
        <w:t> </w:t>
      </w:r>
      <w:r>
        <w:rPr/>
        <w:t>Unfair</w:t>
      </w:r>
      <w:r>
        <w:rPr>
          <w:spacing w:val="74"/>
        </w:rPr>
        <w:t> </w:t>
      </w:r>
      <w:r>
        <w:rPr/>
        <w:t>Contract</w:t>
      </w:r>
      <w:r>
        <w:rPr>
          <w:spacing w:val="74"/>
        </w:rPr>
        <w:t> </w:t>
      </w:r>
      <w:r>
        <w:rPr/>
        <w:t>Terms</w:t>
      </w:r>
      <w:r>
        <w:rPr>
          <w:spacing w:val="74"/>
        </w:rPr>
        <w:t> </w:t>
      </w:r>
      <w:r>
        <w:rPr/>
        <w:t>Act</w:t>
      </w:r>
      <w:r>
        <w:rPr>
          <w:spacing w:val="74"/>
        </w:rPr>
        <w:t> </w:t>
      </w:r>
      <w:r>
        <w:rPr/>
        <w:t>1977</w:t>
      </w:r>
      <w:r>
        <w:rPr>
          <w:spacing w:val="74"/>
        </w:rPr>
        <w:t> </w:t>
      </w:r>
      <w:r>
        <w:rPr/>
        <w:t>s.12</w:t>
      </w:r>
      <w:r>
        <w:rPr>
          <w:spacing w:val="74"/>
        </w:rPr>
        <w:t> </w:t>
      </w:r>
      <w:r>
        <w:rPr/>
        <w:t>“dealing</w:t>
      </w:r>
      <w:r>
        <w:rPr>
          <w:spacing w:val="74"/>
        </w:rPr>
        <w:t> </w:t>
      </w:r>
      <w:r>
        <w:rPr/>
        <w:t>as</w:t>
      </w:r>
      <w:r>
        <w:rPr>
          <w:spacing w:val="74"/>
        </w:rPr>
        <w:t> </w:t>
      </w:r>
      <w:r>
        <w:rPr/>
        <w:t>consumer”</w:t>
      </w:r>
      <w:r>
        <w:rPr>
          <w:spacing w:val="74"/>
        </w:rPr>
        <w:t> </w:t>
      </w:r>
      <w:r>
        <w:rPr/>
        <w:t>(on</w:t>
      </w:r>
      <w:r>
        <w:rPr>
          <w:spacing w:val="74"/>
        </w:rPr>
        <w:t> </w:t>
      </w:r>
      <w:r>
        <w:rPr/>
        <w:t>which</w:t>
      </w:r>
      <w:r>
        <w:rPr>
          <w:spacing w:val="74"/>
        </w:rPr>
        <w:t> </w:t>
      </w:r>
      <w:r>
        <w:rPr/>
        <w:t>see</w:t>
      </w:r>
      <w:r>
        <w:rPr>
          <w:spacing w:val="74"/>
        </w:rPr>
        <w:t> </w:t>
      </w:r>
      <w:r>
        <w:rPr/>
        <w:t>below, para.15-073) and more generally Vol.II, Ch.38.</w:t>
      </w:r>
    </w:p>
    <w:p>
      <w:pPr>
        <w:pStyle w:val="BodyText"/>
        <w:spacing w:before="9"/>
      </w:pPr>
    </w:p>
    <w:p>
      <w:pPr>
        <w:pStyle w:val="BodyText"/>
        <w:spacing w:line="235" w:lineRule="auto"/>
        <w:ind w:left="705" w:right="167" w:hanging="541"/>
        <w:jc w:val="both"/>
      </w:pPr>
      <w:bookmarkStart w:name="_bookmark1485" w:id="1487"/>
      <w:bookmarkEnd w:id="1487"/>
      <w:r>
        <w:rPr/>
      </w:r>
      <w:hyperlink w:history="true" w:anchor="_bookmark1480">
        <w:r>
          <w:rPr>
            <w:color w:val="005DA1"/>
            <w:position w:val="5"/>
            <w:sz w:val="14"/>
            <w:u w:val="single" w:color="005DA1"/>
          </w:rPr>
          <w:t>785</w:t>
        </w:r>
      </w:hyperlink>
      <w:r>
        <w:rPr>
          <w:position w:val="5"/>
          <w:sz w:val="14"/>
        </w:rPr>
        <w:t>.</w:t>
      </w:r>
      <w:r>
        <w:rPr>
          <w:spacing w:val="80"/>
          <w:w w:val="150"/>
          <w:position w:val="5"/>
          <w:sz w:val="14"/>
        </w:rPr>
        <w:t> </w:t>
      </w:r>
      <w:r>
        <w:rPr/>
        <w:t>cf.</w:t>
      </w:r>
      <w:r>
        <w:rPr>
          <w:spacing w:val="40"/>
        </w:rPr>
        <w:t> </w:t>
      </w:r>
      <w:r>
        <w:rPr/>
        <w:t>McKendrick,</w:t>
      </w:r>
      <w:r>
        <w:rPr>
          <w:spacing w:val="40"/>
        </w:rPr>
        <w:t> </w:t>
      </w:r>
      <w:r>
        <w:rPr>
          <w:rFonts w:ascii="Arial"/>
          <w:i/>
        </w:rPr>
        <w:t>Goode</w:t>
      </w:r>
      <w:r>
        <w:rPr>
          <w:rFonts w:ascii="Arial"/>
          <w:i/>
          <w:spacing w:val="40"/>
        </w:rPr>
        <w:t> </w:t>
      </w:r>
      <w:r>
        <w:rPr>
          <w:rFonts w:ascii="Arial"/>
          <w:i/>
        </w:rPr>
        <w:t>on</w:t>
      </w:r>
      <w:r>
        <w:rPr>
          <w:rFonts w:ascii="Arial"/>
          <w:i/>
          <w:spacing w:val="40"/>
        </w:rPr>
        <w:t> </w:t>
      </w:r>
      <w:r>
        <w:rPr>
          <w:rFonts w:ascii="Arial"/>
          <w:i/>
        </w:rPr>
        <w:t>Commercial</w:t>
      </w:r>
      <w:r>
        <w:rPr>
          <w:rFonts w:ascii="Arial"/>
          <w:i/>
          <w:spacing w:val="40"/>
        </w:rPr>
        <w:t> </w:t>
      </w:r>
      <w:r>
        <w:rPr>
          <w:rFonts w:ascii="Arial"/>
          <w:i/>
        </w:rPr>
        <w:t>Law</w:t>
      </w:r>
      <w:r>
        <w:rPr/>
        <w:t>,</w:t>
      </w:r>
      <w:r>
        <w:rPr>
          <w:spacing w:val="40"/>
        </w:rPr>
        <w:t> </w:t>
      </w:r>
      <w:r>
        <w:rPr/>
        <w:t>4th</w:t>
      </w:r>
      <w:r>
        <w:rPr>
          <w:spacing w:val="40"/>
        </w:rPr>
        <w:t> </w:t>
      </w:r>
      <w:r>
        <w:rPr/>
        <w:t>edn</w:t>
      </w:r>
      <w:r>
        <w:rPr>
          <w:spacing w:val="40"/>
        </w:rPr>
        <w:t> </w:t>
      </w:r>
      <w:r>
        <w:rPr/>
        <w:t>(2009),</w:t>
      </w:r>
      <w:r>
        <w:rPr>
          <w:spacing w:val="40"/>
        </w:rPr>
        <w:t> </w:t>
      </w:r>
      <w:r>
        <w:rPr/>
        <w:t>p.155.</w:t>
      </w:r>
      <w:r>
        <w:rPr>
          <w:spacing w:val="40"/>
        </w:rPr>
        <w:t> </w:t>
      </w:r>
      <w:r>
        <w:rPr/>
        <w:t>Some</w:t>
      </w:r>
      <w:r>
        <w:rPr>
          <w:spacing w:val="40"/>
        </w:rPr>
        <w:t> </w:t>
      </w:r>
      <w:r>
        <w:rPr/>
        <w:t>legal</w:t>
      </w:r>
      <w:r>
        <w:rPr>
          <w:spacing w:val="40"/>
        </w:rPr>
        <w:t> </w:t>
      </w:r>
      <w:r>
        <w:rPr/>
        <w:t>systems possess a commercial law code to govern at least in part the relationships of traders and which is distinct from the civil code which is of more general application: see Zekoll and Reimann, </w:t>
      </w:r>
      <w:r>
        <w:rPr>
          <w:rFonts w:ascii="Arial"/>
          <w:i/>
        </w:rPr>
        <w:t>Introduction to German Law</w:t>
      </w:r>
      <w:r>
        <w:rPr/>
        <w:t>, 2nd edn (2005), Ch.4; Bell in Bell, Boyron and Whittaker, </w:t>
      </w:r>
      <w:r>
        <w:rPr>
          <w:rFonts w:ascii="Arial"/>
          <w:i/>
        </w:rPr>
        <w:t>Principles of French Law</w:t>
      </w:r>
      <w:r>
        <w:rPr/>
        <w:t>, 2nd edn (2008), Ch.11.</w:t>
      </w:r>
    </w:p>
    <w:p>
      <w:pPr>
        <w:pStyle w:val="BodyText"/>
        <w:spacing w:before="4"/>
      </w:pPr>
    </w:p>
    <w:p>
      <w:pPr>
        <w:pStyle w:val="BodyText"/>
        <w:tabs>
          <w:tab w:pos="705" w:val="left" w:leader="none"/>
        </w:tabs>
        <w:ind w:left="165"/>
      </w:pPr>
      <w:bookmarkStart w:name="_bookmark1486" w:id="1488"/>
      <w:bookmarkEnd w:id="1488"/>
      <w:r>
        <w:rPr/>
      </w:r>
      <w:hyperlink w:history="true" w:anchor="_bookmark1481">
        <w:r>
          <w:rPr>
            <w:color w:val="005DA1"/>
            <w:spacing w:val="-4"/>
            <w:position w:val="5"/>
            <w:sz w:val="14"/>
            <w:u w:val="single" w:color="005DA1"/>
          </w:rPr>
          <w:t>786</w:t>
        </w:r>
      </w:hyperlink>
      <w:r>
        <w:rPr>
          <w:spacing w:val="-4"/>
          <w:position w:val="5"/>
          <w:sz w:val="14"/>
        </w:rPr>
        <w:t>.</w:t>
      </w:r>
      <w:r>
        <w:rPr>
          <w:position w:val="5"/>
          <w:sz w:val="14"/>
        </w:rPr>
        <w:tab/>
      </w:r>
      <w:r>
        <w:rPr/>
        <w:t>Consumer Credit Act 1974 and see Vol.II, </w:t>
      </w:r>
      <w:r>
        <w:rPr>
          <w:spacing w:val="-2"/>
        </w:rPr>
        <w:t>Ch.39.</w:t>
      </w:r>
    </w:p>
    <w:p>
      <w:pPr>
        <w:pStyle w:val="BodyText"/>
        <w:spacing w:before="9"/>
      </w:pPr>
    </w:p>
    <w:p>
      <w:pPr>
        <w:pStyle w:val="BodyText"/>
        <w:spacing w:line="235" w:lineRule="auto"/>
        <w:ind w:left="705" w:right="167" w:hanging="541"/>
        <w:jc w:val="both"/>
      </w:pPr>
      <w:bookmarkStart w:name="_bookmark1487" w:id="1489"/>
      <w:bookmarkEnd w:id="1489"/>
      <w:r>
        <w:rPr/>
      </w:r>
      <w:hyperlink w:history="true" w:anchor="_bookmark1482">
        <w:r>
          <w:rPr>
            <w:color w:val="005DA1"/>
            <w:position w:val="5"/>
            <w:sz w:val="14"/>
            <w:u w:val="single" w:color="005DA1"/>
          </w:rPr>
          <w:t>787</w:t>
        </w:r>
      </w:hyperlink>
      <w:r>
        <w:rPr>
          <w:position w:val="5"/>
          <w:sz w:val="14"/>
        </w:rPr>
        <w:t>.</w:t>
      </w:r>
      <w:r>
        <w:rPr>
          <w:spacing w:val="80"/>
          <w:w w:val="150"/>
          <w:position w:val="5"/>
          <w:sz w:val="14"/>
        </w:rPr>
        <w:t> </w:t>
      </w:r>
      <w:r>
        <w:rPr/>
        <w:t>Unfair Contract Terms Act 1977 (on which see below, paras 15-062 et seq.); Unfair Terms </w:t>
      </w:r>
      <w:r>
        <w:rPr/>
        <w:t>in Consumer Contracts Regulations 1999 (SI 1999/2083) (on which see Vol.II, paras 38-201 et seq.).</w:t>
      </w:r>
      <w:r>
        <w:rPr>
          <w:spacing w:val="-3"/>
        </w:rPr>
        <w:t> </w:t>
      </w:r>
      <w:r>
        <w:rPr/>
        <w:t>For</w:t>
      </w:r>
      <w:r>
        <w:rPr>
          <w:spacing w:val="-3"/>
        </w:rPr>
        <w:t> </w:t>
      </w:r>
      <w:r>
        <w:rPr/>
        <w:t>the</w:t>
      </w:r>
      <w:r>
        <w:rPr>
          <w:spacing w:val="-3"/>
        </w:rPr>
        <w:t> </w:t>
      </w:r>
      <w:r>
        <w:rPr/>
        <w:t>contracts</w:t>
      </w:r>
      <w:r>
        <w:rPr>
          <w:spacing w:val="-3"/>
        </w:rPr>
        <w:t> </w:t>
      </w:r>
      <w:r>
        <w:rPr/>
        <w:t>to</w:t>
      </w:r>
      <w:r>
        <w:rPr>
          <w:spacing w:val="-3"/>
        </w:rPr>
        <w:t> </w:t>
      </w:r>
      <w:r>
        <w:rPr/>
        <w:t>which</w:t>
      </w:r>
      <w:r>
        <w:rPr>
          <w:spacing w:val="-3"/>
        </w:rPr>
        <w:t> </w:t>
      </w:r>
      <w:r>
        <w:rPr/>
        <w:t>it</w:t>
      </w:r>
      <w:r>
        <w:rPr>
          <w:spacing w:val="-3"/>
        </w:rPr>
        <w:t> </w:t>
      </w:r>
      <w:r>
        <w:rPr/>
        <w:t>applies,</w:t>
      </w:r>
      <w:r>
        <w:rPr>
          <w:spacing w:val="-3"/>
        </w:rPr>
        <w:t> </w:t>
      </w:r>
      <w:r>
        <w:rPr/>
        <w:t>the</w:t>
      </w:r>
      <w:r>
        <w:rPr>
          <w:spacing w:val="-3"/>
        </w:rPr>
        <w:t> </w:t>
      </w:r>
      <w:r>
        <w:rPr/>
        <w:t>Consumer</w:t>
      </w:r>
      <w:r>
        <w:rPr>
          <w:spacing w:val="-3"/>
        </w:rPr>
        <w:t> </w:t>
      </w:r>
      <w:r>
        <w:rPr/>
        <w:t>Rights</w:t>
      </w:r>
      <w:r>
        <w:rPr>
          <w:spacing w:val="-3"/>
        </w:rPr>
        <w:t> </w:t>
      </w:r>
      <w:r>
        <w:rPr/>
        <w:t>Act</w:t>
      </w:r>
      <w:r>
        <w:rPr>
          <w:spacing w:val="-3"/>
        </w:rPr>
        <w:t> </w:t>
      </w:r>
      <w:r>
        <w:rPr/>
        <w:t>2015</w:t>
      </w:r>
      <w:r>
        <w:rPr>
          <w:spacing w:val="-3"/>
        </w:rPr>
        <w:t> </w:t>
      </w:r>
      <w:r>
        <w:rPr/>
        <w:t>amends</w:t>
      </w:r>
      <w:r>
        <w:rPr>
          <w:spacing w:val="-3"/>
        </w:rPr>
        <w:t> </w:t>
      </w:r>
      <w:r>
        <w:rPr/>
        <w:t>the</w:t>
      </w:r>
      <w:r>
        <w:rPr>
          <w:spacing w:val="-3"/>
        </w:rPr>
        <w:t> </w:t>
      </w:r>
      <w:r>
        <w:rPr/>
        <w:t>1977</w:t>
      </w:r>
      <w:r>
        <w:rPr>
          <w:spacing w:val="-3"/>
        </w:rPr>
        <w:t> </w:t>
      </w:r>
      <w:r>
        <w:rPr/>
        <w:t>Act and revokes and replaces the 1999 Regulations as explained below, paras 15-064 et seq. and Vol.II, paras 38-334 et seq.</w:t>
      </w:r>
    </w:p>
    <w:p>
      <w:pPr>
        <w:pStyle w:val="BodyText"/>
        <w:spacing w:after="0" w:line="235" w:lineRule="auto"/>
        <w:jc w:val="both"/>
        <w:sectPr>
          <w:headerReference w:type="default" r:id="rId32"/>
          <w:pgSz w:w="11900" w:h="16840"/>
          <w:pgMar w:header="971" w:footer="0" w:top="1300" w:bottom="280" w:left="1275" w:right="1275"/>
          <w:pgNumType w:start="1"/>
        </w:sectPr>
      </w:pPr>
    </w:p>
    <w:p>
      <w:pPr>
        <w:pStyle w:val="BodyText"/>
        <w:spacing w:line="235" w:lineRule="auto" w:before="170"/>
        <w:ind w:left="705" w:right="167" w:hanging="541"/>
        <w:jc w:val="both"/>
      </w:pPr>
      <w:bookmarkStart w:name="_bookmark1488" w:id="1490"/>
      <w:bookmarkEnd w:id="1490"/>
      <w:r>
        <w:rPr/>
      </w:r>
      <w:hyperlink w:history="true" w:anchor="_bookmark1482">
        <w:r>
          <w:rPr>
            <w:color w:val="005DA1"/>
            <w:position w:val="5"/>
            <w:sz w:val="14"/>
            <w:u w:val="single" w:color="005DA1"/>
          </w:rPr>
          <w:t>788</w:t>
        </w:r>
      </w:hyperlink>
      <w:r>
        <w:rPr>
          <w:position w:val="5"/>
          <w:sz w:val="14"/>
        </w:rPr>
        <w:t>.</w:t>
      </w:r>
      <w:r>
        <w:rPr>
          <w:spacing w:val="40"/>
          <w:position w:val="5"/>
          <w:sz w:val="14"/>
        </w:rPr>
        <w:t>  </w:t>
      </w:r>
      <w:r>
        <w:rPr/>
        <w:t>This is particularly clear under the Consumer Rights Act Pt 1 which governs certain aspects of “goods contracts”, “digital contents contracts” and “services contracts”, on which see </w:t>
      </w:r>
      <w:r>
        <w:rPr/>
        <w:t>Vol.II, paras 38-431 et seq.</w:t>
      </w:r>
    </w:p>
    <w:p>
      <w:pPr>
        <w:pStyle w:val="BodyText"/>
        <w:spacing w:before="5"/>
      </w:pPr>
    </w:p>
    <w:p>
      <w:pPr>
        <w:pStyle w:val="BodyText"/>
        <w:tabs>
          <w:tab w:pos="705" w:val="left" w:leader="none"/>
        </w:tabs>
        <w:ind w:left="165"/>
      </w:pPr>
      <w:bookmarkStart w:name="_bookmark1489" w:id="1491"/>
      <w:bookmarkEnd w:id="1491"/>
      <w:r>
        <w:rPr/>
      </w:r>
      <w:hyperlink w:history="true" w:anchor="_bookmark1483">
        <w:r>
          <w:rPr>
            <w:color w:val="005DA1"/>
            <w:spacing w:val="-4"/>
            <w:position w:val="5"/>
            <w:sz w:val="14"/>
            <w:u w:val="single" w:color="005DA1"/>
          </w:rPr>
          <w:t>789</w:t>
        </w:r>
      </w:hyperlink>
      <w:r>
        <w:rPr>
          <w:spacing w:val="-4"/>
          <w:position w:val="5"/>
          <w:sz w:val="14"/>
        </w:rPr>
        <w:t>.</w:t>
      </w:r>
      <w:r>
        <w:rPr>
          <w:position w:val="5"/>
          <w:sz w:val="14"/>
        </w:rPr>
        <w:tab/>
      </w:r>
      <w:r>
        <w:rPr/>
        <w:t>See above, paras 1-061—1-063, 1-073—1-</w:t>
      </w:r>
      <w:r>
        <w:rPr>
          <w:spacing w:val="-4"/>
        </w:rPr>
        <w:t>081.</w:t>
      </w:r>
    </w:p>
    <w:p>
      <w:pPr>
        <w:pStyle w:val="BodyText"/>
        <w:spacing w:before="5"/>
      </w:pPr>
    </w:p>
    <w:p>
      <w:pPr>
        <w:tabs>
          <w:tab w:pos="705" w:val="left" w:leader="none"/>
        </w:tabs>
        <w:spacing w:before="0"/>
        <w:ind w:left="165" w:right="0" w:firstLine="0"/>
        <w:jc w:val="left"/>
        <w:rPr>
          <w:sz w:val="20"/>
        </w:rPr>
      </w:pPr>
      <w:bookmarkStart w:name="_bookmark1490" w:id="1492"/>
      <w:bookmarkEnd w:id="1492"/>
      <w:r>
        <w:rPr/>
      </w:r>
      <w:hyperlink w:history="true" w:anchor="_bookmark1483">
        <w:r>
          <w:rPr>
            <w:color w:val="005DA1"/>
            <w:spacing w:val="-4"/>
            <w:position w:val="5"/>
            <w:sz w:val="14"/>
            <w:u w:val="single" w:color="005DA1"/>
          </w:rPr>
          <w:t>790</w:t>
        </w:r>
      </w:hyperlink>
      <w:r>
        <w:rPr>
          <w:spacing w:val="-4"/>
          <w:position w:val="5"/>
          <w:sz w:val="14"/>
        </w:rPr>
        <w:t>.</w:t>
      </w:r>
      <w:r>
        <w:rPr>
          <w:position w:val="5"/>
          <w:sz w:val="14"/>
        </w:rPr>
        <w:tab/>
      </w:r>
      <w:r>
        <w:rPr>
          <w:sz w:val="20"/>
        </w:rPr>
        <w:t>See below, </w:t>
      </w:r>
      <w:r>
        <w:rPr>
          <w:spacing w:val="-2"/>
          <w:sz w:val="20"/>
        </w:rPr>
        <w:t>Ch.11.</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5. - Classification of </w:t>
      </w:r>
      <w:r>
        <w:rPr>
          <w:rFonts w:ascii="Arial"/>
          <w:b/>
          <w:spacing w:val="-2"/>
          <w:sz w:val="24"/>
        </w:rPr>
        <w:t>Contracts</w:t>
      </w:r>
    </w:p>
    <w:p>
      <w:pPr>
        <w:pStyle w:val="ListParagraph"/>
        <w:numPr>
          <w:ilvl w:val="0"/>
          <w:numId w:val="9"/>
        </w:numPr>
        <w:tabs>
          <w:tab w:pos="531" w:val="left" w:leader="none"/>
        </w:tabs>
        <w:spacing w:line="240" w:lineRule="auto" w:before="194" w:after="0"/>
        <w:ind w:left="531" w:right="0" w:hanging="360"/>
        <w:jc w:val="left"/>
        <w:rPr>
          <w:b/>
          <w:sz w:val="24"/>
        </w:rPr>
      </w:pPr>
      <w:r>
        <w:rPr>
          <w:b/>
          <w:sz w:val="24"/>
        </w:rPr>
        <w:t>- Classification of Contracts According to their Form or Means of </w:t>
      </w:r>
      <w:r>
        <w:rPr>
          <w:b/>
          <w:spacing w:val="-2"/>
          <w:sz w:val="24"/>
        </w:rPr>
        <w:t>Formation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Introduction</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102</w:t>
      </w:r>
    </w:p>
    <w:p>
      <w:pPr>
        <w:pStyle w:val="BodyText"/>
        <w:spacing w:line="235" w:lineRule="auto" w:before="202"/>
        <w:ind w:left="164" w:right="167"/>
        <w:jc w:val="both"/>
      </w:pPr>
      <w:r>
        <w:rPr/>
        <w:t>Contracts can also be classified according to their form or means of formation and for this </w:t>
      </w:r>
      <w:r>
        <w:rPr/>
        <w:t>purpose, distinctions can be drawn between formal and informal contracts, and express and implied contracts, contracts which are and which are not made at a distance or which are made “offpremises”.</w:t>
      </w:r>
    </w:p>
    <w:p>
      <w:pPr>
        <w:pStyle w:val="BodyText"/>
      </w:pPr>
    </w:p>
    <w:p>
      <w:pPr>
        <w:pStyle w:val="BodyText"/>
        <w:spacing w:before="38"/>
      </w:pPr>
    </w:p>
    <w:p>
      <w:pPr>
        <w:spacing w:before="0"/>
        <w:ind w:left="164" w:right="0" w:firstLine="0"/>
        <w:jc w:val="left"/>
        <w:rPr>
          <w:rFonts w:ascii="Arial"/>
          <w:b/>
          <w:sz w:val="18"/>
        </w:rPr>
      </w:pPr>
      <w:r>
        <w:rPr>
          <w:rFonts w:ascii="Arial"/>
          <w:b/>
          <w:sz w:val="18"/>
        </w:rPr>
        <w:t>Formal and informal </w:t>
      </w:r>
      <w:r>
        <w:rPr>
          <w:rFonts w:ascii="Arial"/>
          <w:b/>
          <w:spacing w:val="-2"/>
          <w:sz w:val="18"/>
        </w:rPr>
        <w:t>contracts</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103</w:t>
      </w:r>
    </w:p>
    <w:p>
      <w:pPr>
        <w:pStyle w:val="BodyText"/>
        <w:spacing w:line="235" w:lineRule="auto" w:before="203"/>
        <w:ind w:left="164" w:right="167"/>
        <w:jc w:val="both"/>
      </w:pPr>
      <w:r>
        <w:rPr/>
        <w:t>Contracts may be either formal or informal. Apart from the so-called contracts of record, </w:t>
      </w:r>
      <w:r>
        <w:rPr/>
        <w:t>comprising judgments and recognisances, which are not properly speaking contracts at all, the only formal contract</w:t>
      </w:r>
      <w:r>
        <w:rPr>
          <w:spacing w:val="-1"/>
        </w:rPr>
        <w:t> </w:t>
      </w:r>
      <w:r>
        <w:rPr/>
        <w:t>in</w:t>
      </w:r>
      <w:r>
        <w:rPr>
          <w:spacing w:val="-1"/>
        </w:rPr>
        <w:t> </w:t>
      </w:r>
      <w:r>
        <w:rPr/>
        <w:t>English</w:t>
      </w:r>
      <w:r>
        <w:rPr>
          <w:spacing w:val="-1"/>
        </w:rPr>
        <w:t> </w:t>
      </w:r>
      <w:r>
        <w:rPr/>
        <w:t>law</w:t>
      </w:r>
      <w:r>
        <w:rPr>
          <w:spacing w:val="-1"/>
        </w:rPr>
        <w:t> </w:t>
      </w:r>
      <w:r>
        <w:rPr/>
        <w:t>is</w:t>
      </w:r>
      <w:r>
        <w:rPr>
          <w:spacing w:val="-1"/>
        </w:rPr>
        <w:t> </w:t>
      </w:r>
      <w:r>
        <w:rPr/>
        <w:t>the</w:t>
      </w:r>
      <w:r>
        <w:rPr>
          <w:spacing w:val="-1"/>
        </w:rPr>
        <w:t> </w:t>
      </w:r>
      <w:r>
        <w:rPr/>
        <w:t>contract</w:t>
      </w:r>
      <w:r>
        <w:rPr>
          <w:spacing w:val="-1"/>
        </w:rPr>
        <w:t> </w:t>
      </w:r>
      <w:r>
        <w:rPr/>
        <w:t>contained</w:t>
      </w:r>
      <w:r>
        <w:rPr>
          <w:spacing w:val="-1"/>
        </w:rPr>
        <w:t> </w:t>
      </w:r>
      <w:r>
        <w:rPr/>
        <w:t>in</w:t>
      </w:r>
      <w:r>
        <w:rPr>
          <w:spacing w:val="-1"/>
        </w:rPr>
        <w:t> </w:t>
      </w:r>
      <w:r>
        <w:rPr/>
        <w:t>a</w:t>
      </w:r>
      <w:r>
        <w:rPr>
          <w:spacing w:val="-1"/>
        </w:rPr>
        <w:t> </w:t>
      </w:r>
      <w:r>
        <w:rPr/>
        <w:t>deed</w:t>
      </w:r>
      <w:r>
        <w:rPr>
          <w:spacing w:val="-1"/>
        </w:rPr>
        <w:t> </w:t>
      </w:r>
      <w:r>
        <w:rPr/>
        <w:t>or</w:t>
      </w:r>
      <w:r>
        <w:rPr>
          <w:spacing w:val="-1"/>
        </w:rPr>
        <w:t> </w:t>
      </w:r>
      <w:r>
        <w:rPr/>
        <w:t>specialty</w:t>
      </w:r>
      <w:r>
        <w:rPr>
          <w:spacing w:val="-1"/>
        </w:rPr>
        <w:t> </w:t>
      </w:r>
      <w:r>
        <w:rPr/>
        <w:t>contract.</w:t>
      </w:r>
      <w:r>
        <w:rPr>
          <w:spacing w:val="-1"/>
        </w:rPr>
        <w:t> </w:t>
      </w:r>
      <w:r>
        <w:rPr/>
        <w:t>All</w:t>
      </w:r>
      <w:r>
        <w:rPr>
          <w:spacing w:val="-1"/>
        </w:rPr>
        <w:t> </w:t>
      </w:r>
      <w:r>
        <w:rPr/>
        <w:t>others</w:t>
      </w:r>
      <w:r>
        <w:rPr>
          <w:spacing w:val="-1"/>
        </w:rPr>
        <w:t> </w:t>
      </w:r>
      <w:r>
        <w:rPr/>
        <w:t>are</w:t>
      </w:r>
      <w:r>
        <w:rPr>
          <w:spacing w:val="-1"/>
        </w:rPr>
        <w:t> </w:t>
      </w:r>
      <w:r>
        <w:rPr/>
        <w:t>informal </w:t>
      </w:r>
      <w:bookmarkStart w:name="_bookmark1491" w:id="1493"/>
      <w:bookmarkEnd w:id="1493"/>
      <w:r>
        <w:rPr/>
        <w:t>contracts,</w:t>
      </w:r>
      <w:r>
        <w:rPr/>
        <w:t> or simple contracts as they are more often termed. Such contracts may in principle be oral or in writing, </w:t>
      </w:r>
      <w:r>
        <w:rPr>
          <w:color w:val="005DA1"/>
          <w:u w:val="single" w:color="005DA1"/>
          <w:vertAlign w:val="superscript"/>
        </w:rPr>
        <w:t>791</w:t>
      </w:r>
      <w:r>
        <w:rPr>
          <w:color w:val="005DA1"/>
          <w:vertAlign w:val="baseline"/>
        </w:rPr>
        <w:t> </w:t>
      </w:r>
      <w:r>
        <w:rPr>
          <w:vertAlign w:val="baseline"/>
        </w:rPr>
        <w:t>though particular contracts possess different requirements as to writing. </w:t>
      </w:r>
      <w:r>
        <w:rPr>
          <w:color w:val="005DA1"/>
          <w:u w:val="single" w:color="005DA1"/>
          <w:vertAlign w:val="superscript"/>
        </w:rPr>
        <w:t>792</w:t>
      </w:r>
      <w:r>
        <w:rPr>
          <w:color w:val="005DA1"/>
          <w:vertAlign w:val="baseline"/>
        </w:rPr>
        <w:t> </w:t>
      </w:r>
      <w:r>
        <w:rPr>
          <w:vertAlign w:val="baseline"/>
        </w:rPr>
        <w:t>The requirements of a valid contract contained in a deed are discussed in the next section of this chapter. The chief respect in which they differ from simple contracts is that, for historical reasons, they are</w:t>
      </w:r>
      <w:r>
        <w:rPr>
          <w:spacing w:val="40"/>
          <w:vertAlign w:val="baseline"/>
        </w:rPr>
        <w:t> </w:t>
      </w:r>
      <w:r>
        <w:rPr>
          <w:vertAlign w:val="baseline"/>
        </w:rPr>
        <w:t>valid without the necessity for consideration.</w:t>
      </w:r>
    </w:p>
    <w:p>
      <w:pPr>
        <w:pStyle w:val="BodyText"/>
      </w:pPr>
    </w:p>
    <w:p>
      <w:pPr>
        <w:pStyle w:val="BodyText"/>
        <w:spacing w:before="35"/>
      </w:pPr>
    </w:p>
    <w:p>
      <w:pPr>
        <w:spacing w:before="0"/>
        <w:ind w:left="165" w:right="0" w:firstLine="0"/>
        <w:jc w:val="left"/>
        <w:rPr>
          <w:rFonts w:ascii="Arial"/>
          <w:b/>
          <w:sz w:val="18"/>
        </w:rPr>
      </w:pPr>
      <w:r>
        <w:rPr>
          <w:rFonts w:ascii="Arial"/>
          <w:b/>
          <w:sz w:val="18"/>
        </w:rPr>
        <w:t>Express and implied </w:t>
      </w:r>
      <w:r>
        <w:rPr>
          <w:rFonts w:ascii="Arial"/>
          <w:b/>
          <w:spacing w:val="-2"/>
          <w:sz w:val="18"/>
        </w:rPr>
        <w:t>contracts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104</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4"/>
        </w:rPr>
        <w:t> </w:t>
      </w:r>
      <w:bookmarkStart w:name="_bookmark1492" w:id="1494"/>
      <w:bookmarkEnd w:id="1494"/>
      <w:r>
        <w:rPr>
          <w:rFonts w:ascii="Times New Roman"/>
          <w:spacing w:val="17"/>
        </w:rPr>
      </w:r>
      <w:r>
        <w:rPr/>
        <w:t>Contracts may be either express or implied. </w:t>
      </w:r>
      <w:r>
        <w:rPr>
          <w:color w:val="005DA1"/>
          <w:u w:val="single" w:color="005DA1"/>
          <w:vertAlign w:val="superscript"/>
        </w:rPr>
        <w:t>793</w:t>
      </w:r>
      <w:r>
        <w:rPr>
          <w:color w:val="005DA1"/>
          <w:vertAlign w:val="baseline"/>
        </w:rPr>
        <w:t> </w:t>
      </w:r>
      <w:r>
        <w:rPr>
          <w:vertAlign w:val="baseline"/>
        </w:rPr>
        <w:t>The difference is not one of legal effect but </w:t>
      </w:r>
      <w:r>
        <w:rPr>
          <w:vertAlign w:val="baseline"/>
        </w:rPr>
        <w:t>simply</w:t>
      </w:r>
      <w:r>
        <w:rPr>
          <w:spacing w:val="40"/>
          <w:vertAlign w:val="baseline"/>
        </w:rPr>
        <w:t> </w:t>
      </w:r>
      <w:r>
        <w:rPr>
          <w:vertAlign w:val="baseline"/>
        </w:rPr>
        <w:t>of the way in which the consent of the parties is manifested. Contracts are express when their terms are stated in words by the parties. They are often said to be implied when their terms are not so stated,</w:t>
      </w:r>
      <w:r>
        <w:rPr>
          <w:spacing w:val="-2"/>
          <w:vertAlign w:val="baseline"/>
        </w:rPr>
        <w:t> </w:t>
      </w:r>
      <w:r>
        <w:rPr>
          <w:vertAlign w:val="baseline"/>
        </w:rPr>
        <w:t>as,</w:t>
      </w:r>
      <w:r>
        <w:rPr>
          <w:spacing w:val="-2"/>
          <w:vertAlign w:val="baseline"/>
        </w:rPr>
        <w:t> </w:t>
      </w:r>
      <w:r>
        <w:rPr>
          <w:vertAlign w:val="baseline"/>
        </w:rPr>
        <w:t>for</w:t>
      </w:r>
      <w:r>
        <w:rPr>
          <w:spacing w:val="-2"/>
          <w:vertAlign w:val="baseline"/>
        </w:rPr>
        <w:t> </w:t>
      </w:r>
      <w:r>
        <w:rPr>
          <w:vertAlign w:val="baseline"/>
        </w:rPr>
        <w:t>example,</w:t>
      </w:r>
      <w:r>
        <w:rPr>
          <w:spacing w:val="-2"/>
          <w:vertAlign w:val="baseline"/>
        </w:rPr>
        <w:t> </w:t>
      </w:r>
      <w:r>
        <w:rPr>
          <w:vertAlign w:val="baseline"/>
        </w:rPr>
        <w:t>when</w:t>
      </w:r>
      <w:r>
        <w:rPr>
          <w:spacing w:val="-2"/>
          <w:vertAlign w:val="baseline"/>
        </w:rPr>
        <w:t> </w:t>
      </w:r>
      <w:r>
        <w:rPr>
          <w:vertAlign w:val="baseline"/>
        </w:rPr>
        <w:t>a</w:t>
      </w:r>
      <w:r>
        <w:rPr>
          <w:spacing w:val="-2"/>
          <w:vertAlign w:val="baseline"/>
        </w:rPr>
        <w:t> </w:t>
      </w:r>
      <w:r>
        <w:rPr>
          <w:vertAlign w:val="baseline"/>
        </w:rPr>
        <w:t>passenger</w:t>
      </w:r>
      <w:r>
        <w:rPr>
          <w:spacing w:val="-2"/>
          <w:vertAlign w:val="baseline"/>
        </w:rPr>
        <w:t> </w:t>
      </w:r>
      <w:r>
        <w:rPr>
          <w:vertAlign w:val="baseline"/>
        </w:rPr>
        <w:t>is</w:t>
      </w:r>
      <w:r>
        <w:rPr>
          <w:spacing w:val="-2"/>
          <w:vertAlign w:val="baseline"/>
        </w:rPr>
        <w:t> </w:t>
      </w:r>
      <w:r>
        <w:rPr>
          <w:vertAlign w:val="baseline"/>
        </w:rPr>
        <w:t>permitted</w:t>
      </w:r>
      <w:r>
        <w:rPr>
          <w:spacing w:val="-2"/>
          <w:vertAlign w:val="baseline"/>
        </w:rPr>
        <w:t> </w:t>
      </w:r>
      <w:r>
        <w:rPr>
          <w:vertAlign w:val="baseline"/>
        </w:rPr>
        <w:t>to</w:t>
      </w:r>
      <w:r>
        <w:rPr>
          <w:spacing w:val="-2"/>
          <w:vertAlign w:val="baseline"/>
        </w:rPr>
        <w:t> </w:t>
      </w:r>
      <w:r>
        <w:rPr>
          <w:vertAlign w:val="baseline"/>
        </w:rPr>
        <w:t>board</w:t>
      </w:r>
      <w:r>
        <w:rPr>
          <w:spacing w:val="-2"/>
          <w:vertAlign w:val="baseline"/>
        </w:rPr>
        <w:t> </w:t>
      </w:r>
      <w:r>
        <w:rPr>
          <w:vertAlign w:val="baseline"/>
        </w:rPr>
        <w:t>a</w:t>
      </w:r>
      <w:r>
        <w:rPr>
          <w:spacing w:val="-2"/>
          <w:vertAlign w:val="baseline"/>
        </w:rPr>
        <w:t> </w:t>
      </w:r>
      <w:r>
        <w:rPr>
          <w:vertAlign w:val="baseline"/>
        </w:rPr>
        <w:t>bus:</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conduct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parties </w:t>
      </w:r>
      <w:bookmarkStart w:name="_bookmark1493" w:id="1495"/>
      <w:bookmarkEnd w:id="1495"/>
      <w:r>
        <w:rPr>
          <w:vertAlign w:val="baseline"/>
        </w:rPr>
        <w:t>the</w:t>
      </w:r>
      <w:r>
        <w:rPr>
          <w:vertAlign w:val="baseline"/>
        </w:rPr>
        <w:t> law implies a promise by the passenger to pay the fare, and a promise by the operator of the bus to</w:t>
      </w:r>
      <w:r>
        <w:rPr>
          <w:spacing w:val="-3"/>
          <w:vertAlign w:val="baseline"/>
        </w:rPr>
        <w:t> </w:t>
      </w:r>
      <w:r>
        <w:rPr>
          <w:vertAlign w:val="baseline"/>
        </w:rPr>
        <w:t>carry</w:t>
      </w:r>
      <w:r>
        <w:rPr>
          <w:spacing w:val="-3"/>
          <w:vertAlign w:val="baseline"/>
        </w:rPr>
        <w:t> </w:t>
      </w:r>
      <w:r>
        <w:rPr>
          <w:vertAlign w:val="baseline"/>
        </w:rPr>
        <w:t>him</w:t>
      </w:r>
      <w:r>
        <w:rPr>
          <w:spacing w:val="-3"/>
          <w:vertAlign w:val="baseline"/>
        </w:rPr>
        <w:t> </w:t>
      </w:r>
      <w:r>
        <w:rPr>
          <w:vertAlign w:val="baseline"/>
        </w:rPr>
        <w:t>safely</w:t>
      </w:r>
      <w:r>
        <w:rPr>
          <w:spacing w:val="-3"/>
          <w:vertAlign w:val="baseline"/>
        </w:rPr>
        <w:t> </w:t>
      </w:r>
      <w:r>
        <w:rPr>
          <w:vertAlign w:val="baseline"/>
        </w:rPr>
        <w:t>to</w:t>
      </w:r>
      <w:r>
        <w:rPr>
          <w:spacing w:val="-3"/>
          <w:vertAlign w:val="baseline"/>
        </w:rPr>
        <w:t> </w:t>
      </w:r>
      <w:r>
        <w:rPr>
          <w:vertAlign w:val="baseline"/>
        </w:rPr>
        <w:t>his</w:t>
      </w:r>
      <w:r>
        <w:rPr>
          <w:spacing w:val="-3"/>
          <w:vertAlign w:val="baseline"/>
        </w:rPr>
        <w:t> </w:t>
      </w:r>
      <w:r>
        <w:rPr>
          <w:vertAlign w:val="baseline"/>
        </w:rPr>
        <w:t>destination.</w:t>
      </w:r>
      <w:r>
        <w:rPr>
          <w:spacing w:val="-3"/>
          <w:vertAlign w:val="baseline"/>
        </w:rPr>
        <w:t> </w:t>
      </w:r>
      <w:r>
        <w:rPr>
          <w:color w:val="005DA1"/>
          <w:u w:val="single" w:color="005DA1"/>
          <w:vertAlign w:val="superscript"/>
        </w:rPr>
        <w:t>794</w:t>
      </w:r>
      <w:r>
        <w:rPr>
          <w:color w:val="005DA1"/>
          <w:spacing w:val="-3"/>
          <w:vertAlign w:val="baseline"/>
        </w:rPr>
        <w:t> </w:t>
      </w:r>
      <w:r>
        <w:rPr>
          <w:vertAlign w:val="baseline"/>
        </w:rPr>
        <w:t>There</w:t>
      </w:r>
      <w:r>
        <w:rPr>
          <w:spacing w:val="-3"/>
          <w:vertAlign w:val="baseline"/>
        </w:rPr>
        <w:t> </w:t>
      </w:r>
      <w:r>
        <w:rPr>
          <w:vertAlign w:val="baseline"/>
        </w:rPr>
        <w:t>may</w:t>
      </w:r>
      <w:r>
        <w:rPr>
          <w:spacing w:val="-3"/>
          <w:vertAlign w:val="baseline"/>
        </w:rPr>
        <w:t> </w:t>
      </w:r>
      <w:r>
        <w:rPr>
          <w:vertAlign w:val="baseline"/>
        </w:rPr>
        <w:t>also</w:t>
      </w:r>
      <w:r>
        <w:rPr>
          <w:spacing w:val="-3"/>
          <w:vertAlign w:val="baseline"/>
        </w:rPr>
        <w:t> </w:t>
      </w:r>
      <w:r>
        <w:rPr>
          <w:vertAlign w:val="baseline"/>
        </w:rPr>
        <w:t>be</w:t>
      </w:r>
      <w:r>
        <w:rPr>
          <w:spacing w:val="-3"/>
          <w:vertAlign w:val="baseline"/>
        </w:rPr>
        <w:t> </w:t>
      </w:r>
      <w:r>
        <w:rPr>
          <w:vertAlign w:val="baseline"/>
        </w:rPr>
        <w:t>an</w:t>
      </w:r>
      <w:r>
        <w:rPr>
          <w:spacing w:val="-3"/>
          <w:vertAlign w:val="baseline"/>
        </w:rPr>
        <w:t> </w:t>
      </w:r>
      <w:r>
        <w:rPr>
          <w:vertAlign w:val="baseline"/>
        </w:rPr>
        <w:t>implied</w:t>
      </w:r>
      <w:r>
        <w:rPr>
          <w:spacing w:val="-3"/>
          <w:vertAlign w:val="baseline"/>
        </w:rPr>
        <w:t> </w:t>
      </w:r>
      <w:r>
        <w:rPr>
          <w:vertAlign w:val="baseline"/>
        </w:rPr>
        <w:t>contract</w:t>
      </w:r>
      <w:r>
        <w:rPr>
          <w:spacing w:val="-3"/>
          <w:vertAlign w:val="baseline"/>
        </w:rPr>
        <w:t> </w:t>
      </w:r>
      <w:r>
        <w:rPr>
          <w:vertAlign w:val="baseline"/>
        </w:rPr>
        <w:t>when</w:t>
      </w:r>
      <w:r>
        <w:rPr>
          <w:spacing w:val="-3"/>
          <w:vertAlign w:val="baseline"/>
        </w:rPr>
        <w:t> </w:t>
      </w:r>
      <w:r>
        <w:rPr>
          <w:vertAlign w:val="baseline"/>
        </w:rPr>
        <w:t>the</w:t>
      </w:r>
      <w:r>
        <w:rPr>
          <w:spacing w:val="-3"/>
          <w:vertAlign w:val="baseline"/>
        </w:rPr>
        <w:t> </w:t>
      </w:r>
      <w:r>
        <w:rPr>
          <w:vertAlign w:val="baseline"/>
        </w:rPr>
        <w:t>parties</w:t>
      </w:r>
      <w:r>
        <w:rPr>
          <w:spacing w:val="-3"/>
          <w:vertAlign w:val="baseline"/>
        </w:rPr>
        <w:t> </w:t>
      </w:r>
      <w:r>
        <w:rPr>
          <w:vertAlign w:val="baseline"/>
        </w:rPr>
        <w:t>make an express contract to last for a fixed term, and continue to act as though the contract still bound</w:t>
      </w:r>
      <w:r>
        <w:rPr>
          <w:spacing w:val="80"/>
          <w:vertAlign w:val="baseline"/>
        </w:rPr>
        <w:t> </w:t>
      </w:r>
      <w:r>
        <w:rPr>
          <w:vertAlign w:val="baseline"/>
        </w:rPr>
        <w:t>them after the term has expired. In such a case the court may infer that the parties have agreed to </w:t>
      </w:r>
      <w:bookmarkStart w:name="_bookmark1494" w:id="1496"/>
      <w:bookmarkEnd w:id="1496"/>
      <w:r>
        <w:rPr>
          <w:vertAlign w:val="baseline"/>
        </w:rPr>
        <w:t>renew</w:t>
      </w:r>
      <w:r>
        <w:rPr>
          <w:vertAlign w:val="baseline"/>
        </w:rPr>
        <w:t> the express contract for another term or the court may infer an implied contract drawing on some of the terms of the earlier contract, but omitting others. </w:t>
      </w:r>
      <w:r>
        <w:rPr>
          <w:color w:val="005DA1"/>
          <w:u w:val="single" w:color="005DA1"/>
          <w:vertAlign w:val="superscript"/>
        </w:rPr>
        <w:t>795</w:t>
      </w:r>
      <w:r>
        <w:rPr>
          <w:color w:val="005DA1"/>
          <w:vertAlign w:val="baseline"/>
        </w:rPr>
        <w:t> </w:t>
      </w:r>
      <w:r>
        <w:rPr>
          <w:vertAlign w:val="baseline"/>
        </w:rPr>
        <w:t>Express and implied contracts are both contracts in the true sense of the term, for they both arise from the agreement of the parties, </w:t>
      </w:r>
      <w:bookmarkStart w:name="_bookmark1495" w:id="1497"/>
      <w:bookmarkEnd w:id="1497"/>
      <w:r>
        <w:rPr>
          <w:vertAlign w:val="baseline"/>
        </w:rPr>
        <w:t>though</w:t>
      </w:r>
      <w:r>
        <w:rPr>
          <w:vertAlign w:val="baseline"/>
        </w:rPr>
        <w:t> in one case the agreement is manifested in words and in the other case by conduct. Since, as we have seen, </w:t>
      </w:r>
      <w:r>
        <w:rPr>
          <w:color w:val="005DA1"/>
          <w:u w:val="single" w:color="005DA1"/>
          <w:vertAlign w:val="superscript"/>
        </w:rPr>
        <w:t>796</w:t>
      </w:r>
      <w:r>
        <w:rPr>
          <w:color w:val="005DA1"/>
          <w:vertAlign w:val="baseline"/>
        </w:rPr>
        <w:t> </w:t>
      </w:r>
      <w:r>
        <w:rPr>
          <w:vertAlign w:val="baseline"/>
        </w:rPr>
        <w:t>agreement is not a mental state but an act, an inference from conduct, and since many of the terms of an express contract are often implied, it follows that the distinction between express and implied contracts has little importance. However:</w:t>
      </w:r>
    </w:p>
    <w:p>
      <w:pPr>
        <w:pStyle w:val="BodyText"/>
        <w:spacing w:after="0" w:line="235" w:lineRule="auto"/>
        <w:jc w:val="both"/>
        <w:sectPr>
          <w:headerReference w:type="default" r:id="rId33"/>
          <w:pgSz w:w="11900" w:h="16840"/>
          <w:pgMar w:header="971" w:footer="0" w:top="1300" w:bottom="280" w:left="1275" w:right="1275"/>
          <w:pgNumType w:start="1"/>
        </w:sectPr>
      </w:pPr>
    </w:p>
    <w:p>
      <w:pPr>
        <w:pStyle w:val="BodyText"/>
      </w:pPr>
    </w:p>
    <w:p>
      <w:pPr>
        <w:pStyle w:val="BodyText"/>
        <w:spacing w:before="177"/>
      </w:pPr>
    </w:p>
    <w:p>
      <w:pPr>
        <w:pStyle w:val="BodyText"/>
        <w:spacing w:line="235" w:lineRule="auto"/>
        <w:ind w:left="1245" w:right="167"/>
        <w:jc w:val="both"/>
      </w:pPr>
      <w:r>
        <w:rPr/>
        <w:t>“One distinction exists … in relation to the ease with which an express or implied contract may be established. Where there is an express agreement on essentials of </w:t>
      </w:r>
      <w:r>
        <w:rPr/>
        <w:t>sufficient certainty to be enforceable, an intention to create legal relations may commonly be assumed. It is otherwise when the case is that a contract should be implied from the </w:t>
      </w:r>
      <w:bookmarkStart w:name="_bookmark1496" w:id="1498"/>
      <w:bookmarkEnd w:id="1498"/>
      <w:r>
        <w:rPr/>
        <w:t>parties’</w:t>
      </w:r>
      <w:r>
        <w:rPr>
          <w:spacing w:val="31"/>
        </w:rPr>
        <w:t> </w:t>
      </w:r>
      <w:r>
        <w:rPr/>
        <w:t>conduct.</w:t>
      </w:r>
      <w:r>
        <w:rPr>
          <w:spacing w:val="31"/>
        </w:rPr>
        <w:t> </w:t>
      </w:r>
      <w:r>
        <w:rPr/>
        <w:t>It</w:t>
      </w:r>
      <w:r>
        <w:rPr>
          <w:spacing w:val="31"/>
        </w:rPr>
        <w:t> </w:t>
      </w:r>
      <w:r>
        <w:rPr/>
        <w:t>is</w:t>
      </w:r>
      <w:r>
        <w:rPr>
          <w:spacing w:val="31"/>
        </w:rPr>
        <w:t> </w:t>
      </w:r>
      <w:r>
        <w:rPr/>
        <w:t>then</w:t>
      </w:r>
      <w:r>
        <w:rPr>
          <w:spacing w:val="31"/>
        </w:rPr>
        <w:t> </w:t>
      </w:r>
      <w:r>
        <w:rPr/>
        <w:t>for</w:t>
      </w:r>
      <w:r>
        <w:rPr>
          <w:spacing w:val="31"/>
        </w:rPr>
        <w:t> </w:t>
      </w:r>
      <w:r>
        <w:rPr/>
        <w:t>the</w:t>
      </w:r>
      <w:r>
        <w:rPr>
          <w:spacing w:val="31"/>
        </w:rPr>
        <w:t> </w:t>
      </w:r>
      <w:r>
        <w:rPr/>
        <w:t>party</w:t>
      </w:r>
      <w:r>
        <w:rPr>
          <w:spacing w:val="31"/>
        </w:rPr>
        <w:t> </w:t>
      </w:r>
      <w:r>
        <w:rPr/>
        <w:t>asserting</w:t>
      </w:r>
      <w:r>
        <w:rPr>
          <w:spacing w:val="31"/>
        </w:rPr>
        <w:t> </w:t>
      </w:r>
      <w:r>
        <w:rPr/>
        <w:t>a</w:t>
      </w:r>
      <w:r>
        <w:rPr>
          <w:spacing w:val="31"/>
        </w:rPr>
        <w:t> </w:t>
      </w:r>
      <w:r>
        <w:rPr/>
        <w:t>contract</w:t>
      </w:r>
      <w:r>
        <w:rPr>
          <w:spacing w:val="31"/>
        </w:rPr>
        <w:t> </w:t>
      </w:r>
      <w:r>
        <w:rPr/>
        <w:t>to</w:t>
      </w:r>
      <w:r>
        <w:rPr>
          <w:spacing w:val="31"/>
        </w:rPr>
        <w:t> </w:t>
      </w:r>
      <w:r>
        <w:rPr/>
        <w:t>show</w:t>
      </w:r>
      <w:r>
        <w:rPr>
          <w:spacing w:val="31"/>
        </w:rPr>
        <w:t> </w:t>
      </w:r>
      <w:r>
        <w:rPr/>
        <w:t>the</w:t>
      </w:r>
      <w:r>
        <w:rPr>
          <w:spacing w:val="31"/>
        </w:rPr>
        <w:t> </w:t>
      </w:r>
      <w:r>
        <w:rPr/>
        <w:t>necessity</w:t>
      </w:r>
      <w:r>
        <w:rPr>
          <w:spacing w:val="31"/>
        </w:rPr>
        <w:t> </w:t>
      </w:r>
      <w:r>
        <w:rPr>
          <w:spacing w:val="-5"/>
        </w:rPr>
        <w:t>for</w:t>
      </w:r>
    </w:p>
    <w:p>
      <w:pPr>
        <w:pStyle w:val="BodyText"/>
        <w:spacing w:before="114"/>
        <w:ind w:left="1245"/>
        <w:jc w:val="both"/>
        <w:rPr>
          <w:position w:val="-2"/>
        </w:rPr>
      </w:pPr>
      <w:r>
        <w:rPr/>
        <w:t>implying it.” </w:t>
      </w:r>
      <w:r>
        <w:rPr>
          <w:color w:val="005DA1"/>
          <w:u w:val="single" w:color="005DA1"/>
          <w:vertAlign w:val="superscript"/>
        </w:rPr>
        <w:t>797</w:t>
      </w:r>
      <w:r>
        <w:rPr>
          <w:color w:val="005DA1"/>
          <w:spacing w:val="80"/>
          <w:vertAlign w:val="baseline"/>
        </w:rPr>
        <w:t> </w:t>
      </w:r>
      <w:r>
        <w:rPr>
          <w:color w:val="005DA1"/>
          <w:position w:val="-2"/>
          <w:vertAlign w:val="baseline"/>
        </w:rPr>
        <w:drawing>
          <wp:inline distT="0" distB="0" distL="0" distR="0">
            <wp:extent cx="107988" cy="107988"/>
            <wp:effectExtent l="0" t="0" r="0" b="0"/>
            <wp:docPr id="373" name="Image 373"/>
            <wp:cNvGraphicFramePr>
              <a:graphicFrameLocks/>
            </wp:cNvGraphicFramePr>
            <a:graphic>
              <a:graphicData uri="http://schemas.openxmlformats.org/drawingml/2006/picture">
                <pic:pic>
                  <pic:nvPicPr>
                    <pic:cNvPr id="373" name="Image 37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6"/>
      </w:pPr>
    </w:p>
    <w:p>
      <w:pPr>
        <w:pStyle w:val="BodyText"/>
        <w:spacing w:line="235" w:lineRule="auto"/>
        <w:ind w:left="165" w:right="167"/>
        <w:jc w:val="both"/>
      </w:pPr>
      <w:r>
        <w:rPr/>
        <w:t>The recognition of implied contracts in the sense explained in the present paragraph does not </w:t>
      </w:r>
      <w:r>
        <w:rPr/>
        <w:t>mean that a court should imply terms in an oral agreement so as to enable it to be sufficiently complete to amount to a binding contract. As Lewison L.J. has recently observed,</w:t>
      </w:r>
    </w:p>
    <w:p>
      <w:pPr>
        <w:pStyle w:val="BodyText"/>
      </w:pPr>
    </w:p>
    <w:p>
      <w:pPr>
        <w:pStyle w:val="BodyText"/>
        <w:spacing w:before="125"/>
      </w:pPr>
    </w:p>
    <w:p>
      <w:pPr>
        <w:pStyle w:val="BodyText"/>
        <w:spacing w:line="235" w:lineRule="auto" w:before="1"/>
        <w:ind w:left="1245"/>
      </w:pPr>
      <w:r>
        <w:rPr/>
        <w:t>“[i]t</w:t>
      </w:r>
      <w:r>
        <w:rPr>
          <w:spacing w:val="19"/>
        </w:rPr>
        <w:t> </w:t>
      </w:r>
      <w:r>
        <w:rPr/>
        <w:t>is</w:t>
      </w:r>
      <w:r>
        <w:rPr>
          <w:spacing w:val="19"/>
        </w:rPr>
        <w:t> </w:t>
      </w:r>
      <w:r>
        <w:rPr/>
        <w:t>of</w:t>
      </w:r>
      <w:r>
        <w:rPr>
          <w:spacing w:val="19"/>
        </w:rPr>
        <w:t> </w:t>
      </w:r>
      <w:r>
        <w:rPr/>
        <w:t>course</w:t>
      </w:r>
      <w:r>
        <w:rPr>
          <w:spacing w:val="19"/>
        </w:rPr>
        <w:t> </w:t>
      </w:r>
      <w:r>
        <w:rPr/>
        <w:t>the</w:t>
      </w:r>
      <w:r>
        <w:rPr>
          <w:spacing w:val="19"/>
        </w:rPr>
        <w:t> </w:t>
      </w:r>
      <w:r>
        <w:rPr/>
        <w:t>case</w:t>
      </w:r>
      <w:r>
        <w:rPr>
          <w:spacing w:val="19"/>
        </w:rPr>
        <w:t> </w:t>
      </w:r>
      <w:r>
        <w:rPr/>
        <w:t>that</w:t>
      </w:r>
      <w:r>
        <w:rPr>
          <w:spacing w:val="19"/>
        </w:rPr>
        <w:t> </w:t>
      </w:r>
      <w:r>
        <w:rPr/>
        <w:t>the</w:t>
      </w:r>
      <w:r>
        <w:rPr>
          <w:spacing w:val="19"/>
        </w:rPr>
        <w:t> </w:t>
      </w:r>
      <w:r>
        <w:rPr/>
        <w:t>court</w:t>
      </w:r>
      <w:r>
        <w:rPr>
          <w:spacing w:val="19"/>
        </w:rPr>
        <w:t> </w:t>
      </w:r>
      <w:r>
        <w:rPr/>
        <w:t>may</w:t>
      </w:r>
      <w:r>
        <w:rPr>
          <w:spacing w:val="19"/>
        </w:rPr>
        <w:t> </w:t>
      </w:r>
      <w:r>
        <w:rPr/>
        <w:t>imply</w:t>
      </w:r>
      <w:r>
        <w:rPr>
          <w:spacing w:val="19"/>
        </w:rPr>
        <w:t> </w:t>
      </w:r>
      <w:r>
        <w:rPr/>
        <w:t>terms</w:t>
      </w:r>
      <w:r>
        <w:rPr>
          <w:spacing w:val="19"/>
        </w:rPr>
        <w:t> </w:t>
      </w:r>
      <w:r>
        <w:rPr/>
        <w:t>into</w:t>
      </w:r>
      <w:r>
        <w:rPr>
          <w:spacing w:val="19"/>
        </w:rPr>
        <w:t> </w:t>
      </w:r>
      <w:r>
        <w:rPr/>
        <w:t>a</w:t>
      </w:r>
      <w:r>
        <w:rPr>
          <w:spacing w:val="19"/>
        </w:rPr>
        <w:t> </w:t>
      </w:r>
      <w:r>
        <w:rPr/>
        <w:t>concluded</w:t>
      </w:r>
      <w:r>
        <w:rPr>
          <w:spacing w:val="19"/>
        </w:rPr>
        <w:t> </w:t>
      </w:r>
      <w:r>
        <w:rPr/>
        <w:t>contract.</w:t>
      </w:r>
      <w:r>
        <w:rPr>
          <w:spacing w:val="19"/>
        </w:rPr>
        <w:t> </w:t>
      </w:r>
      <w:r>
        <w:rPr/>
        <w:t>But </w:t>
      </w:r>
      <w:bookmarkStart w:name="_bookmark1497" w:id="1499"/>
      <w:bookmarkEnd w:id="1499"/>
      <w:r>
        <w:rPr/>
        <w:t>that</w:t>
      </w:r>
      <w:r>
        <w:rPr>
          <w:spacing w:val="8"/>
        </w:rPr>
        <w:t> </w:t>
      </w:r>
      <w:r>
        <w:rPr/>
        <w:t>assumes</w:t>
      </w:r>
      <w:r>
        <w:rPr>
          <w:spacing w:val="8"/>
        </w:rPr>
        <w:t> </w:t>
      </w:r>
      <w:r>
        <w:rPr/>
        <w:t>that</w:t>
      </w:r>
      <w:r>
        <w:rPr>
          <w:spacing w:val="8"/>
        </w:rPr>
        <w:t> </w:t>
      </w:r>
      <w:r>
        <w:rPr/>
        <w:t>there</w:t>
      </w:r>
      <w:r>
        <w:rPr>
          <w:spacing w:val="8"/>
        </w:rPr>
        <w:t> </w:t>
      </w:r>
      <w:r>
        <w:rPr/>
        <w:t>is</w:t>
      </w:r>
      <w:r>
        <w:rPr>
          <w:spacing w:val="8"/>
        </w:rPr>
        <w:t> </w:t>
      </w:r>
      <w:r>
        <w:rPr/>
        <w:t>a</w:t>
      </w:r>
      <w:r>
        <w:rPr>
          <w:spacing w:val="8"/>
        </w:rPr>
        <w:t> </w:t>
      </w:r>
      <w:r>
        <w:rPr/>
        <w:t>concluded</w:t>
      </w:r>
      <w:r>
        <w:rPr>
          <w:spacing w:val="8"/>
        </w:rPr>
        <w:t> </w:t>
      </w:r>
      <w:r>
        <w:rPr/>
        <w:t>contract</w:t>
      </w:r>
      <w:r>
        <w:rPr>
          <w:spacing w:val="8"/>
        </w:rPr>
        <w:t> </w:t>
      </w:r>
      <w:r>
        <w:rPr/>
        <w:t>into</w:t>
      </w:r>
      <w:r>
        <w:rPr>
          <w:spacing w:val="8"/>
        </w:rPr>
        <w:t> </w:t>
      </w:r>
      <w:r>
        <w:rPr/>
        <w:t>which</w:t>
      </w:r>
      <w:r>
        <w:rPr>
          <w:spacing w:val="8"/>
        </w:rPr>
        <w:t> </w:t>
      </w:r>
      <w:r>
        <w:rPr/>
        <w:t>terms</w:t>
      </w:r>
      <w:r>
        <w:rPr>
          <w:spacing w:val="8"/>
        </w:rPr>
        <w:t> </w:t>
      </w:r>
      <w:r>
        <w:rPr/>
        <w:t>can</w:t>
      </w:r>
      <w:r>
        <w:rPr>
          <w:spacing w:val="8"/>
        </w:rPr>
        <w:t> </w:t>
      </w:r>
      <w:r>
        <w:rPr/>
        <w:t>be</w:t>
      </w:r>
      <w:r>
        <w:rPr>
          <w:spacing w:val="8"/>
        </w:rPr>
        <w:t> </w:t>
      </w:r>
      <w:r>
        <w:rPr/>
        <w:t>implied.</w:t>
      </w:r>
      <w:r>
        <w:rPr>
          <w:spacing w:val="8"/>
        </w:rPr>
        <w:t> </w:t>
      </w:r>
      <w:r>
        <w:rPr/>
        <w:t>It</w:t>
      </w:r>
      <w:r>
        <w:rPr>
          <w:spacing w:val="8"/>
        </w:rPr>
        <w:t> </w:t>
      </w:r>
      <w:r>
        <w:rPr/>
        <w:t>is</w:t>
      </w:r>
      <w:r>
        <w:rPr>
          <w:spacing w:val="8"/>
        </w:rPr>
        <w:t> </w:t>
      </w:r>
      <w:r>
        <w:rPr>
          <w:spacing w:val="-5"/>
        </w:rPr>
        <w:t>not</w:t>
      </w:r>
    </w:p>
    <w:p>
      <w:pPr>
        <w:pStyle w:val="BodyText"/>
        <w:spacing w:before="115"/>
        <w:ind w:left="1245"/>
        <w:rPr>
          <w:position w:val="-2"/>
        </w:rPr>
      </w:pPr>
      <w:r>
        <w:rPr/>
        <w:t>legitimate, under the guise of implying terms, to make a contract for the parties”. </w:t>
      </w:r>
      <w:r>
        <w:rPr>
          <w:color w:val="005DA1"/>
          <w:u w:val="single" w:color="005DA1"/>
          <w:vertAlign w:val="superscript"/>
        </w:rPr>
        <w:t>798</w:t>
      </w:r>
      <w:r>
        <w:rPr>
          <w:color w:val="005DA1"/>
          <w:spacing w:val="80"/>
          <w:w w:val="150"/>
          <w:vertAlign w:val="baseline"/>
        </w:rPr>
        <w:t> </w:t>
      </w:r>
      <w:r>
        <w:rPr>
          <w:color w:val="005DA1"/>
          <w:position w:val="-2"/>
          <w:vertAlign w:val="baseline"/>
        </w:rPr>
        <w:drawing>
          <wp:inline distT="0" distB="0" distL="0" distR="0">
            <wp:extent cx="107988" cy="107988"/>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rPr>
          <w:sz w:val="18"/>
        </w:rPr>
      </w:pPr>
    </w:p>
    <w:p>
      <w:pPr>
        <w:pStyle w:val="BodyText"/>
        <w:rPr>
          <w:sz w:val="18"/>
        </w:rPr>
      </w:pPr>
    </w:p>
    <w:p>
      <w:pPr>
        <w:pStyle w:val="BodyText"/>
        <w:spacing w:before="16"/>
        <w:rPr>
          <w:sz w:val="18"/>
        </w:rPr>
      </w:pPr>
    </w:p>
    <w:p>
      <w:pPr>
        <w:spacing w:before="0"/>
        <w:ind w:left="165" w:right="0" w:firstLine="0"/>
        <w:jc w:val="left"/>
        <w:rPr>
          <w:rFonts w:ascii="Arial" w:hAnsi="Arial"/>
          <w:b/>
          <w:sz w:val="18"/>
        </w:rPr>
      </w:pPr>
      <w:r>
        <w:rPr>
          <w:rFonts w:ascii="Arial" w:hAnsi="Arial"/>
          <w:b/>
          <w:sz w:val="18"/>
        </w:rPr>
        <w:t>“Distance contracts”, “off-premises contracts” and other </w:t>
      </w:r>
      <w:r>
        <w:rPr>
          <w:rFonts w:ascii="Arial" w:hAnsi="Arial"/>
          <w:b/>
          <w:spacing w:val="-2"/>
          <w:sz w:val="18"/>
        </w:rPr>
        <w:t>contracts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105</w:t>
      </w:r>
    </w:p>
    <w:p>
      <w:pPr>
        <w:pStyle w:val="BodyText"/>
        <w:spacing w:line="235" w:lineRule="auto" w:before="202"/>
        <w:ind w:left="165" w:right="167"/>
        <w:jc w:val="both"/>
      </w:pPr>
      <w:r>
        <w:rPr/>
        <w:t>Under legislation implementing EU directives, distinctions are drawn within the broad category </w:t>
      </w:r>
      <w:r>
        <w:rPr/>
        <w:t>of consumer contracts between “distance contracts”, “off-premises contracts” and consumer contracts concluded in other circumstances (termed “on-premises contracts”). This law is now principally </w:t>
      </w:r>
      <w:bookmarkStart w:name="_bookmark1498" w:id="1500"/>
      <w:bookmarkEnd w:id="1500"/>
      <w:r>
        <w:rPr/>
        <w:t>contained</w:t>
      </w:r>
      <w:r>
        <w:rPr/>
        <w:t> in the Consumer Contracts (Information, Cancellation and Additional Charges) Regulations 2013, </w:t>
      </w:r>
      <w:r>
        <w:rPr>
          <w:color w:val="005DA1"/>
          <w:u w:val="single" w:color="005DA1"/>
          <w:vertAlign w:val="superscript"/>
        </w:rPr>
        <w:t>799</w:t>
      </w:r>
      <w:r>
        <w:rPr>
          <w:color w:val="005DA1"/>
          <w:vertAlign w:val="baseline"/>
        </w:rPr>
        <w:t> </w:t>
      </w:r>
      <w:r>
        <w:rPr>
          <w:vertAlign w:val="baseline"/>
        </w:rPr>
        <w:t>which define a “distance contract” as:</w:t>
      </w:r>
    </w:p>
    <w:p>
      <w:pPr>
        <w:pStyle w:val="BodyText"/>
      </w:pPr>
    </w:p>
    <w:p>
      <w:pPr>
        <w:pStyle w:val="BodyText"/>
        <w:spacing w:before="125"/>
      </w:pPr>
    </w:p>
    <w:p>
      <w:pPr>
        <w:pStyle w:val="BodyText"/>
        <w:spacing w:line="235" w:lineRule="auto"/>
        <w:ind w:left="1245" w:right="167"/>
        <w:jc w:val="both"/>
      </w:pPr>
      <w:r>
        <w:rPr/>
        <w:t>“a contract concluded between a trader and a consumer under an organised </w:t>
      </w:r>
      <w:r>
        <w:rPr/>
        <w:t>distance sales or service-provision scheme without the simultaneous physical presence of the </w:t>
      </w:r>
      <w:bookmarkStart w:name="_bookmark1499" w:id="1501"/>
      <w:bookmarkEnd w:id="1501"/>
      <w:r>
        <w:rPr/>
        <w:t>trader</w:t>
      </w:r>
      <w:r>
        <w:rPr/>
        <w:t> and the consumer, with the exclusive use of one or more means of distance communication up to and including the time at which the contract is concluded”. </w:t>
      </w:r>
      <w:r>
        <w:rPr>
          <w:color w:val="005DA1"/>
          <w:u w:val="single" w:color="005DA1"/>
          <w:vertAlign w:val="superscript"/>
        </w:rPr>
        <w:t>800</w:t>
      </w:r>
    </w:p>
    <w:p>
      <w:pPr>
        <w:pStyle w:val="BodyText"/>
        <w:spacing w:before="111"/>
      </w:pPr>
    </w:p>
    <w:p>
      <w:pPr>
        <w:pStyle w:val="BodyText"/>
        <w:spacing w:before="1"/>
        <w:ind w:left="165"/>
        <w:jc w:val="both"/>
      </w:pPr>
      <w:r>
        <w:rPr/>
        <w:t>The definition of “off-premises contract” is more elaborate, but it </w:t>
      </w:r>
      <w:r>
        <w:rPr>
          <w:spacing w:val="-2"/>
        </w:rPr>
        <w:t>includes</w:t>
      </w:r>
    </w:p>
    <w:p>
      <w:pPr>
        <w:pStyle w:val="BodyText"/>
      </w:pPr>
    </w:p>
    <w:p>
      <w:pPr>
        <w:pStyle w:val="BodyText"/>
        <w:spacing w:before="125"/>
      </w:pPr>
    </w:p>
    <w:p>
      <w:pPr>
        <w:pStyle w:val="BodyText"/>
        <w:spacing w:line="235" w:lineRule="auto"/>
        <w:ind w:left="1245" w:right="167"/>
        <w:jc w:val="both"/>
      </w:pPr>
      <w:bookmarkStart w:name="_bookmark1500" w:id="1502"/>
      <w:bookmarkEnd w:id="1502"/>
      <w:r>
        <w:rPr/>
      </w:r>
      <w:r>
        <w:rPr/>
        <w:t>“a contract concluded in the simultaneous physical presence of the trader and </w:t>
      </w:r>
      <w:r>
        <w:rPr/>
        <w:t>the consumer, in a place which is not the business premises of the trader.” </w:t>
      </w:r>
      <w:r>
        <w:rPr>
          <w:color w:val="005DA1"/>
          <w:u w:val="single" w:color="005DA1"/>
          <w:vertAlign w:val="superscript"/>
        </w:rPr>
        <w:t>801</w:t>
      </w:r>
    </w:p>
    <w:p>
      <w:pPr>
        <w:pStyle w:val="BodyText"/>
        <w:spacing w:before="116"/>
      </w:pPr>
    </w:p>
    <w:p>
      <w:pPr>
        <w:pStyle w:val="BodyText"/>
        <w:spacing w:line="235" w:lineRule="auto"/>
        <w:ind w:left="165" w:right="167"/>
        <w:jc w:val="both"/>
      </w:pPr>
      <w:r>
        <w:rPr/>
        <w:t>The 2013 Regulations impose differing information requirements in the trader according to this </w:t>
      </w:r>
      <w:r>
        <w:rPr/>
        <w:t>triple </w:t>
      </w:r>
      <w:bookmarkStart w:name="_bookmark1501" w:id="1503"/>
      <w:bookmarkEnd w:id="1503"/>
      <w:r>
        <w:rPr/>
        <w:t>distinction</w:t>
      </w:r>
      <w:r>
        <w:rPr/>
        <w:t> as to the circumstances in which the contracts are concluded, and, as regards distance contracts and off-premises contracts for the purposes of rights of cancellation in the consumer. </w:t>
      </w:r>
      <w:r>
        <w:rPr>
          <w:color w:val="005DA1"/>
          <w:u w:val="single" w:color="005DA1"/>
          <w:vertAlign w:val="superscript"/>
        </w:rPr>
        <w:t>802</w:t>
      </w:r>
    </w:p>
    <w:p>
      <w:pPr>
        <w:pStyle w:val="BodyText"/>
      </w:pPr>
    </w:p>
    <w:p>
      <w:pPr>
        <w:pStyle w:val="BodyText"/>
        <w:spacing w:before="39"/>
      </w:pPr>
      <w:r>
        <w:rPr/>
        <mc:AlternateContent>
          <mc:Choice Requires="wps">
            <w:drawing>
              <wp:anchor distT="0" distB="0" distL="0" distR="0" allowOverlap="1" layoutInCell="1" locked="0" behindDoc="1" simplePos="0" relativeHeight="487677440">
                <wp:simplePos x="0" y="0"/>
                <wp:positionH relativeFrom="page">
                  <wp:posOffset>914400</wp:posOffset>
                </wp:positionH>
                <wp:positionV relativeFrom="paragraph">
                  <wp:posOffset>186203</wp:posOffset>
                </wp:positionV>
                <wp:extent cx="5724525" cy="1270"/>
                <wp:effectExtent l="0" t="0" r="0" b="0"/>
                <wp:wrapTopAndBottom/>
                <wp:docPr id="375" name="Graphic 375"/>
                <wp:cNvGraphicFramePr>
                  <a:graphicFrameLocks/>
                </wp:cNvGraphicFramePr>
                <a:graphic>
                  <a:graphicData uri="http://schemas.microsoft.com/office/word/2010/wordprocessingShape">
                    <wps:wsp>
                      <wps:cNvPr id="375" name="Graphic 37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1703pt;width:450.75pt;height:.1pt;mso-position-horizontal-relative:page;mso-position-vertical-relative:paragraph;z-index:-15639040;mso-wrap-distance-left:0;mso-wrap-distance-right:0" id="docshape49"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1502" w:id="1504"/>
      <w:bookmarkEnd w:id="1504"/>
      <w:r>
        <w:rPr/>
      </w:r>
      <w:hyperlink w:history="true" w:anchor="_bookmark1491">
        <w:r>
          <w:rPr>
            <w:color w:val="005DA1"/>
            <w:spacing w:val="-4"/>
            <w:position w:val="5"/>
            <w:sz w:val="14"/>
            <w:u w:val="single" w:color="005DA1"/>
          </w:rPr>
          <w:t>791</w:t>
        </w:r>
      </w:hyperlink>
      <w:r>
        <w:rPr>
          <w:spacing w:val="-4"/>
          <w:position w:val="5"/>
          <w:sz w:val="14"/>
        </w:rPr>
        <w:t>.</w:t>
      </w:r>
      <w:r>
        <w:rPr>
          <w:position w:val="5"/>
          <w:sz w:val="14"/>
        </w:rPr>
        <w:tab/>
      </w:r>
      <w:r>
        <w:rPr>
          <w:rFonts w:ascii="Arial"/>
          <w:i/>
          <w:sz w:val="20"/>
        </w:rPr>
        <w:t>Rann v Hughes (1778) 7 T.R. </w:t>
      </w:r>
      <w:r>
        <w:rPr>
          <w:rFonts w:ascii="Arial"/>
          <w:i/>
          <w:spacing w:val="-2"/>
          <w:sz w:val="20"/>
        </w:rPr>
        <w:t>350n</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503" w:id="1505"/>
      <w:bookmarkEnd w:id="1505"/>
      <w:r>
        <w:rPr/>
      </w:r>
      <w:hyperlink w:history="true" w:anchor="_bookmark1491">
        <w:r>
          <w:rPr>
            <w:color w:val="005DA1"/>
            <w:spacing w:val="-4"/>
            <w:position w:val="5"/>
            <w:sz w:val="14"/>
            <w:u w:val="single" w:color="005DA1"/>
          </w:rPr>
          <w:t>792</w:t>
        </w:r>
      </w:hyperlink>
      <w:r>
        <w:rPr>
          <w:spacing w:val="-4"/>
          <w:position w:val="5"/>
          <w:sz w:val="14"/>
        </w:rPr>
        <w:t>.</w:t>
      </w:r>
      <w:r>
        <w:rPr>
          <w:position w:val="5"/>
          <w:sz w:val="14"/>
        </w:rPr>
        <w:tab/>
      </w:r>
      <w:r>
        <w:rPr>
          <w:sz w:val="20"/>
        </w:rPr>
        <w:t>See below, </w:t>
      </w:r>
      <w:r>
        <w:rPr>
          <w:spacing w:val="-2"/>
          <w:sz w:val="20"/>
        </w:rPr>
        <w:t>Ch.5.</w:t>
      </w:r>
    </w:p>
    <w:p>
      <w:pPr>
        <w:pStyle w:val="BodyText"/>
        <w:spacing w:before="9"/>
      </w:pPr>
    </w:p>
    <w:p>
      <w:pPr>
        <w:pStyle w:val="BodyText"/>
        <w:tabs>
          <w:tab w:pos="705" w:val="left" w:leader="none"/>
        </w:tabs>
        <w:spacing w:line="235" w:lineRule="auto"/>
        <w:ind w:left="705" w:right="168" w:hanging="541"/>
      </w:pPr>
      <w:bookmarkStart w:name="_bookmark1504" w:id="1506"/>
      <w:bookmarkEnd w:id="1506"/>
      <w:r>
        <w:rPr/>
      </w:r>
      <w:hyperlink w:history="true" w:anchor="_bookmark1492">
        <w:r>
          <w:rPr>
            <w:color w:val="005DA1"/>
            <w:spacing w:val="-4"/>
            <w:position w:val="5"/>
            <w:sz w:val="14"/>
            <w:u w:val="single" w:color="005DA1"/>
          </w:rPr>
          <w:t>793</w:t>
        </w:r>
      </w:hyperlink>
      <w:r>
        <w:rPr>
          <w:spacing w:val="-4"/>
          <w:position w:val="5"/>
          <w:sz w:val="14"/>
        </w:rPr>
        <w:t>.</w:t>
      </w:r>
      <w:r>
        <w:rPr>
          <w:position w:val="5"/>
          <w:sz w:val="14"/>
        </w:rPr>
        <w:tab/>
      </w:r>
      <w:r>
        <w:rPr/>
        <w:t>cf. above, para.1-086 (no contract of employment implied so as to give effect to person’s rights under the ECHR).</w:t>
      </w:r>
    </w:p>
    <w:p>
      <w:pPr>
        <w:pStyle w:val="BodyText"/>
        <w:spacing w:after="0" w:line="235" w:lineRule="auto"/>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493">
        <w:r>
          <w:rPr>
            <w:color w:val="005DA1"/>
            <w:spacing w:val="-4"/>
            <w:position w:val="5"/>
            <w:sz w:val="14"/>
            <w:u w:val="single" w:color="005DA1"/>
          </w:rPr>
          <w:t>794</w:t>
        </w:r>
      </w:hyperlink>
      <w:r>
        <w:rPr>
          <w:spacing w:val="-4"/>
          <w:position w:val="5"/>
          <w:sz w:val="14"/>
        </w:rPr>
        <w:t>.</w:t>
      </w:r>
      <w:r>
        <w:rPr>
          <w:position w:val="5"/>
          <w:sz w:val="14"/>
        </w:rPr>
        <w:tab/>
      </w:r>
      <w:r>
        <w:rPr>
          <w:rFonts w:ascii="Arial"/>
          <w:i/>
          <w:sz w:val="20"/>
        </w:rPr>
        <w:t>Modahl v British Athletic Federation [2001] EWCA Civ 1447, [2002] 1 W.L.R. 1192</w:t>
      </w:r>
      <w:r>
        <w:rPr>
          <w:rFonts w:ascii="Arial"/>
          <w:i/>
          <w:spacing w:val="-1"/>
          <w:sz w:val="20"/>
        </w:rPr>
        <w:t> </w:t>
      </w:r>
      <w:r>
        <w:rPr>
          <w:sz w:val="20"/>
        </w:rPr>
        <w:t>at </w:t>
      </w:r>
      <w:r>
        <w:rPr>
          <w:spacing w:val="-2"/>
          <w:sz w:val="20"/>
        </w:rPr>
        <w:t>[100].</w:t>
      </w:r>
    </w:p>
    <w:p>
      <w:pPr>
        <w:pStyle w:val="BodyText"/>
        <w:spacing w:before="9"/>
      </w:pPr>
    </w:p>
    <w:p>
      <w:pPr>
        <w:pStyle w:val="BodyText"/>
        <w:spacing w:line="235" w:lineRule="auto"/>
        <w:ind w:left="705" w:right="167" w:hanging="541"/>
        <w:jc w:val="both"/>
      </w:pPr>
      <w:bookmarkStart w:name="_bookmark1505" w:id="1507"/>
      <w:bookmarkEnd w:id="1507"/>
      <w:r>
        <w:rPr/>
      </w:r>
      <w:hyperlink w:history="true" w:anchor="_bookmark1494">
        <w:r>
          <w:rPr>
            <w:color w:val="005DA1"/>
            <w:position w:val="5"/>
            <w:sz w:val="14"/>
            <w:u w:val="single" w:color="005DA1"/>
          </w:rPr>
          <w:t>795</w:t>
        </w:r>
      </w:hyperlink>
      <w:r>
        <w:rPr>
          <w:position w:val="5"/>
          <w:sz w:val="14"/>
        </w:rPr>
        <w:t>.</w:t>
      </w:r>
      <w:r>
        <w:rPr>
          <w:spacing w:val="40"/>
          <w:position w:val="5"/>
          <w:sz w:val="14"/>
        </w:rPr>
        <w:t>  </w:t>
      </w:r>
      <w:r>
        <w:rPr>
          <w:rFonts w:ascii="Arial" w:hAnsi="Arial"/>
          <w:i/>
        </w:rPr>
        <w:t>Hamsard 3147 Ltd (trading as “Mini Mode Childrenswear”) v Boots UK Ltd [2013] EWHC 3251 (Pat) </w:t>
      </w:r>
      <w:r>
        <w:rPr/>
        <w:t>at [71], [84]–[88] (where a contract of joint venture between a supplier and a </w:t>
      </w:r>
      <w:r>
        <w:rPr/>
        <w:t>retailer expired in circumstances where the retailer was concerned with the reliability of its future</w:t>
      </w:r>
      <w:r>
        <w:rPr>
          <w:spacing w:val="40"/>
        </w:rPr>
        <w:t> </w:t>
      </w:r>
      <w:r>
        <w:rPr/>
        <w:t>supply, the contract to be implied by reason of the necessity of circumstances dealt only with</w:t>
      </w:r>
      <w:r>
        <w:rPr>
          <w:spacing w:val="40"/>
        </w:rPr>
        <w:t> </w:t>
      </w:r>
      <w:r>
        <w:rPr/>
        <w:t>the parties’ current operational arrangements, and did not include an implied term requiring good</w:t>
      </w:r>
      <w:r>
        <w:rPr>
          <w:spacing w:val="-1"/>
        </w:rPr>
        <w:t> </w:t>
      </w:r>
      <w:r>
        <w:rPr/>
        <w:t>faith</w:t>
      </w:r>
      <w:r>
        <w:rPr>
          <w:spacing w:val="-1"/>
        </w:rPr>
        <w:t> </w:t>
      </w:r>
      <w:r>
        <w:rPr/>
        <w:t>in</w:t>
      </w:r>
      <w:r>
        <w:rPr>
          <w:spacing w:val="-1"/>
        </w:rPr>
        <w:t> </w:t>
      </w:r>
      <w:r>
        <w:rPr/>
        <w:t>the</w:t>
      </w:r>
      <w:r>
        <w:rPr>
          <w:spacing w:val="-1"/>
        </w:rPr>
        <w:t> </w:t>
      </w:r>
      <w:r>
        <w:rPr/>
        <w:t>parties</w:t>
      </w:r>
      <w:r>
        <w:rPr>
          <w:spacing w:val="-1"/>
        </w:rPr>
        <w:t> </w:t>
      </w:r>
      <w:r>
        <w:rPr/>
        <w:t>in</w:t>
      </w:r>
      <w:r>
        <w:rPr>
          <w:spacing w:val="-1"/>
        </w:rPr>
        <w:t> </w:t>
      </w:r>
      <w:r>
        <w:rPr/>
        <w:t>relation</w:t>
      </w:r>
      <w:r>
        <w:rPr>
          <w:spacing w:val="-1"/>
        </w:rPr>
        <w:t> </w:t>
      </w:r>
      <w:r>
        <w:rPr/>
        <w:t>to</w:t>
      </w:r>
      <w:r>
        <w:rPr>
          <w:spacing w:val="-1"/>
        </w:rPr>
        <w:t> </w:t>
      </w:r>
      <w:r>
        <w:rPr/>
        <w:t>the</w:t>
      </w:r>
      <w:r>
        <w:rPr>
          <w:spacing w:val="-1"/>
        </w:rPr>
        <w:t> </w:t>
      </w:r>
      <w:r>
        <w:rPr/>
        <w:t>operation</w:t>
      </w:r>
      <w:r>
        <w:rPr>
          <w:spacing w:val="-1"/>
        </w:rPr>
        <w:t> </w:t>
      </w:r>
      <w:r>
        <w:rPr/>
        <w:t>of</w:t>
      </w:r>
      <w:r>
        <w:rPr>
          <w:spacing w:val="-1"/>
        </w:rPr>
        <w:t> </w:t>
      </w:r>
      <w:r>
        <w:rPr/>
        <w:t>the</w:t>
      </w:r>
      <w:r>
        <w:rPr>
          <w:spacing w:val="-1"/>
        </w:rPr>
        <w:t> </w:t>
      </w:r>
      <w:r>
        <w:rPr/>
        <w:t>contract</w:t>
      </w:r>
      <w:r>
        <w:rPr>
          <w:spacing w:val="-1"/>
        </w:rPr>
        <w:t> </w:t>
      </w:r>
      <w:r>
        <w:rPr/>
        <w:t>as</w:t>
      </w:r>
      <w:r>
        <w:rPr>
          <w:spacing w:val="-1"/>
        </w:rPr>
        <w:t> </w:t>
      </w:r>
      <w:r>
        <w:rPr/>
        <w:t>had</w:t>
      </w:r>
      <w:r>
        <w:rPr>
          <w:spacing w:val="-1"/>
        </w:rPr>
        <w:t> </w:t>
      </w:r>
      <w:r>
        <w:rPr/>
        <w:t>been</w:t>
      </w:r>
      <w:r>
        <w:rPr>
          <w:spacing w:val="-1"/>
        </w:rPr>
        <w:t> </w:t>
      </w:r>
      <w:r>
        <w:rPr/>
        <w:t>expressed</w:t>
      </w:r>
      <w:r>
        <w:rPr>
          <w:spacing w:val="-1"/>
        </w:rPr>
        <w:t> </w:t>
      </w:r>
      <w:r>
        <w:rPr/>
        <w:t>in</w:t>
      </w:r>
      <w:r>
        <w:rPr>
          <w:spacing w:val="-1"/>
        </w:rPr>
        <w:t> </w:t>
      </w:r>
      <w:r>
        <w:rPr/>
        <w:t>the earlier joint venture contract).</w:t>
      </w:r>
    </w:p>
    <w:p>
      <w:pPr>
        <w:pStyle w:val="BodyText"/>
        <w:spacing w:before="4"/>
      </w:pPr>
    </w:p>
    <w:p>
      <w:pPr>
        <w:tabs>
          <w:tab w:pos="705" w:val="left" w:leader="none"/>
        </w:tabs>
        <w:spacing w:before="0"/>
        <w:ind w:left="165" w:right="0" w:firstLine="0"/>
        <w:jc w:val="left"/>
        <w:rPr>
          <w:sz w:val="20"/>
        </w:rPr>
      </w:pPr>
      <w:bookmarkStart w:name="_bookmark1506" w:id="1508"/>
      <w:bookmarkEnd w:id="1508"/>
      <w:r>
        <w:rPr/>
      </w:r>
      <w:hyperlink w:history="true" w:anchor="_bookmark1495">
        <w:r>
          <w:rPr>
            <w:color w:val="005DA1"/>
            <w:spacing w:val="-4"/>
            <w:position w:val="5"/>
            <w:sz w:val="14"/>
            <w:u w:val="single" w:color="005DA1"/>
          </w:rPr>
          <w:t>796</w:t>
        </w:r>
      </w:hyperlink>
      <w:r>
        <w:rPr>
          <w:spacing w:val="-4"/>
          <w:position w:val="5"/>
          <w:sz w:val="14"/>
        </w:rPr>
        <w:t>.</w:t>
      </w:r>
      <w:r>
        <w:rPr>
          <w:position w:val="5"/>
          <w:sz w:val="14"/>
        </w:rPr>
        <w:tab/>
      </w:r>
      <w:r>
        <w:rPr>
          <w:sz w:val="20"/>
        </w:rPr>
        <w:t>Above, para.1-</w:t>
      </w:r>
      <w:r>
        <w:rPr>
          <w:spacing w:val="-4"/>
          <w:sz w:val="20"/>
        </w:rPr>
        <w:t>017.</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8752">
            <wp:simplePos x="0" y="0"/>
            <wp:positionH relativeFrom="page">
              <wp:posOffset>1257846</wp:posOffset>
            </wp:positionH>
            <wp:positionV relativeFrom="paragraph">
              <wp:posOffset>160779</wp:posOffset>
            </wp:positionV>
            <wp:extent cx="107988" cy="107988"/>
            <wp:effectExtent l="0" t="0" r="0" b="0"/>
            <wp:wrapNone/>
            <wp:docPr id="376" name="Image 376"/>
            <wp:cNvGraphicFramePr>
              <a:graphicFrameLocks/>
            </wp:cNvGraphicFramePr>
            <a:graphic>
              <a:graphicData uri="http://schemas.openxmlformats.org/drawingml/2006/picture">
                <pic:pic>
                  <pic:nvPicPr>
                    <pic:cNvPr id="376" name="Image 37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07" w:id="1509"/>
      <w:bookmarkEnd w:id="1509"/>
      <w:r>
        <w:rPr/>
      </w:r>
      <w:hyperlink w:history="true" w:anchor="_bookmark1496">
        <w:r>
          <w:rPr>
            <w:color w:val="005DA1"/>
            <w:spacing w:val="-4"/>
            <w:sz w:val="14"/>
            <w:u w:val="single" w:color="005DA1"/>
          </w:rPr>
          <w:t>797</w:t>
        </w:r>
      </w:hyperlink>
      <w:r>
        <w:rPr>
          <w:spacing w:val="-4"/>
          <w:sz w:val="14"/>
        </w:rPr>
        <w:t>.</w:t>
      </w:r>
    </w:p>
    <w:p>
      <w:pPr>
        <w:spacing w:line="235" w:lineRule="auto" w:before="213"/>
        <w:ind w:left="165" w:right="168" w:firstLine="170"/>
        <w:jc w:val="both"/>
        <w:rPr>
          <w:sz w:val="20"/>
        </w:rPr>
      </w:pPr>
      <w:r>
        <w:rPr/>
        <w:br w:type="column"/>
      </w:r>
      <w:r>
        <w:rPr>
          <w:rFonts w:ascii="Arial" w:hAnsi="Arial"/>
          <w:i/>
          <w:sz w:val="20"/>
        </w:rPr>
        <w:t>Modahl v British Athletic Federation [2001] EWCA Civ 1447, [2002] 1 W.L.R. 1192 </w:t>
      </w:r>
      <w:r>
        <w:rPr>
          <w:sz w:val="20"/>
        </w:rPr>
        <w:t>at </w:t>
      </w:r>
      <w:r>
        <w:rPr>
          <w:sz w:val="20"/>
        </w:rPr>
        <w:t>[102], per Mance L.J.; </w:t>
      </w:r>
      <w:r>
        <w:rPr>
          <w:rFonts w:ascii="Arial" w:hAnsi="Arial"/>
          <w:i/>
          <w:sz w:val="20"/>
        </w:rPr>
        <w:t>Heis v MF (Global) Services Ltd [2016] EWCA Civ 569 </w:t>
      </w:r>
      <w:r>
        <w:rPr>
          <w:sz w:val="20"/>
        </w:rPr>
        <w:t>at [36]–[47] and see below, paras 2-169—2-170.</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9264">
            <wp:simplePos x="0" y="0"/>
            <wp:positionH relativeFrom="page">
              <wp:posOffset>1257846</wp:posOffset>
            </wp:positionH>
            <wp:positionV relativeFrom="paragraph">
              <wp:posOffset>160696</wp:posOffset>
            </wp:positionV>
            <wp:extent cx="107988" cy="107988"/>
            <wp:effectExtent l="0" t="0" r="0" b="0"/>
            <wp:wrapNone/>
            <wp:docPr id="377" name="Image 377"/>
            <wp:cNvGraphicFramePr>
              <a:graphicFrameLocks/>
            </wp:cNvGraphicFramePr>
            <a:graphic>
              <a:graphicData uri="http://schemas.openxmlformats.org/drawingml/2006/picture">
                <pic:pic>
                  <pic:nvPicPr>
                    <pic:cNvPr id="377" name="Image 37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08" w:id="1510"/>
      <w:bookmarkEnd w:id="1510"/>
      <w:r>
        <w:rPr/>
      </w:r>
      <w:hyperlink w:history="true" w:anchor="_bookmark1497">
        <w:r>
          <w:rPr>
            <w:color w:val="005DA1"/>
            <w:spacing w:val="-4"/>
            <w:sz w:val="14"/>
            <w:u w:val="single" w:color="005DA1"/>
          </w:rPr>
          <w:t>798</w:t>
        </w:r>
      </w:hyperlink>
      <w:r>
        <w:rPr>
          <w:spacing w:val="-4"/>
          <w:sz w:val="14"/>
        </w:rPr>
        <w:t>.</w:t>
      </w:r>
    </w:p>
    <w:p>
      <w:pPr>
        <w:spacing w:line="235" w:lineRule="auto" w:before="213"/>
        <w:ind w:left="165" w:right="167" w:firstLine="170"/>
        <w:jc w:val="both"/>
        <w:rPr>
          <w:sz w:val="20"/>
        </w:rPr>
      </w:pPr>
      <w:r>
        <w:rPr/>
        <w:br w:type="column"/>
      </w:r>
      <w:r>
        <w:rPr>
          <w:rFonts w:ascii="Arial" w:hAnsi="Arial"/>
          <w:i/>
          <w:sz w:val="20"/>
        </w:rPr>
        <w:t>Devani v Wells [2016] EWCA Civ 1106, [2017] 2 W.L.R. 1391 </w:t>
      </w:r>
      <w:r>
        <w:rPr>
          <w:sz w:val="20"/>
        </w:rPr>
        <w:t>at [19] (with whom McCombe L.J. agreed at [79]), referring to </w:t>
      </w:r>
      <w:r>
        <w:rPr>
          <w:rFonts w:ascii="Arial" w:hAnsi="Arial"/>
          <w:i/>
          <w:sz w:val="20"/>
        </w:rPr>
        <w:t>Scancarriers A/S v Aotearoa International Ltd [1985] 2 Lloyd’s Rep. 419, 422 </w:t>
      </w:r>
      <w:r>
        <w:rPr>
          <w:sz w:val="20"/>
        </w:rPr>
        <w:t>per Lord Roskill.</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pStyle w:val="BodyText"/>
        <w:spacing w:line="235" w:lineRule="auto"/>
        <w:ind w:left="705" w:right="167" w:hanging="541"/>
        <w:jc w:val="both"/>
      </w:pPr>
      <w:bookmarkStart w:name="_bookmark1509" w:id="1511"/>
      <w:bookmarkEnd w:id="1511"/>
      <w:r>
        <w:rPr/>
      </w:r>
      <w:hyperlink w:history="true" w:anchor="_bookmark1498">
        <w:r>
          <w:rPr>
            <w:color w:val="005DA1"/>
            <w:position w:val="5"/>
            <w:sz w:val="14"/>
            <w:u w:val="single" w:color="005DA1"/>
          </w:rPr>
          <w:t>799</w:t>
        </w:r>
      </w:hyperlink>
      <w:r>
        <w:rPr>
          <w:position w:val="5"/>
          <w:sz w:val="14"/>
        </w:rPr>
        <w:t>.</w:t>
      </w:r>
      <w:r>
        <w:rPr>
          <w:spacing w:val="80"/>
          <w:w w:val="150"/>
          <w:position w:val="5"/>
          <w:sz w:val="14"/>
        </w:rPr>
        <w:t> </w:t>
      </w:r>
      <w:r>
        <w:rPr/>
        <w:t>SI 2013/3134 (“2013 Regulations”), implementing Directive 2011/83/EU on consumer </w:t>
      </w:r>
      <w:r>
        <w:rPr/>
        <w:t>rights [2011] O.J. L304/64. The 2013 Regulations revoked and replaced the Cancellation of Contracts made in a Consumer’s Home or Place of Work etc Regulations 2008 (SI 2008/1816) and the Consumer Protection (Distance Selling) Regulations 2000 (SI 2000/2334): see generally Vol.II, paras 38-056 et seq. Financial services contracts concluded at a distance are governed by the Financial</w:t>
      </w:r>
      <w:r>
        <w:rPr>
          <w:spacing w:val="40"/>
        </w:rPr>
        <w:t> </w:t>
      </w:r>
      <w:r>
        <w:rPr/>
        <w:t>Services</w:t>
      </w:r>
      <w:r>
        <w:rPr>
          <w:spacing w:val="40"/>
        </w:rPr>
        <w:t> </w:t>
      </w:r>
      <w:r>
        <w:rPr/>
        <w:t>(Distance</w:t>
      </w:r>
      <w:r>
        <w:rPr>
          <w:spacing w:val="40"/>
        </w:rPr>
        <w:t> </w:t>
      </w:r>
      <w:r>
        <w:rPr/>
        <w:t>Marketing)</w:t>
      </w:r>
      <w:r>
        <w:rPr>
          <w:spacing w:val="40"/>
        </w:rPr>
        <w:t> </w:t>
      </w:r>
      <w:r>
        <w:rPr/>
        <w:t>Regulations</w:t>
      </w:r>
      <w:r>
        <w:rPr>
          <w:spacing w:val="40"/>
        </w:rPr>
        <w:t> </w:t>
      </w:r>
      <w:r>
        <w:rPr/>
        <w:t>2004</w:t>
      </w:r>
      <w:r>
        <w:rPr>
          <w:spacing w:val="40"/>
        </w:rPr>
        <w:t> </w:t>
      </w:r>
      <w:r>
        <w:rPr/>
        <w:t>(SI</w:t>
      </w:r>
      <w:r>
        <w:rPr>
          <w:spacing w:val="40"/>
        </w:rPr>
        <w:t> </w:t>
      </w:r>
      <w:r>
        <w:rPr/>
        <w:t>2004/2095):</w:t>
      </w:r>
      <w:r>
        <w:rPr>
          <w:spacing w:val="40"/>
        </w:rPr>
        <w:t> </w:t>
      </w:r>
      <w:r>
        <w:rPr/>
        <w:t>see</w:t>
      </w:r>
      <w:r>
        <w:rPr>
          <w:spacing w:val="40"/>
        </w:rPr>
        <w:t> </w:t>
      </w:r>
      <w:r>
        <w:rPr/>
        <w:t>Vol.II, </w:t>
      </w:r>
      <w:r>
        <w:rPr>
          <w:spacing w:val="-2"/>
        </w:rPr>
        <w:t>para.38-131.</w:t>
      </w:r>
    </w:p>
    <w:p>
      <w:pPr>
        <w:pStyle w:val="BodyText"/>
        <w:spacing w:before="4"/>
      </w:pPr>
    </w:p>
    <w:p>
      <w:pPr>
        <w:pStyle w:val="BodyText"/>
        <w:tabs>
          <w:tab w:pos="705" w:val="left" w:leader="none"/>
        </w:tabs>
        <w:ind w:left="165"/>
      </w:pPr>
      <w:bookmarkStart w:name="_bookmark1510" w:id="1512"/>
      <w:bookmarkEnd w:id="1512"/>
      <w:r>
        <w:rPr/>
      </w:r>
      <w:hyperlink w:history="true" w:anchor="_bookmark1499">
        <w:r>
          <w:rPr>
            <w:color w:val="005DA1"/>
            <w:spacing w:val="-4"/>
            <w:position w:val="5"/>
            <w:sz w:val="14"/>
            <w:u w:val="single" w:color="005DA1"/>
          </w:rPr>
          <w:t>800</w:t>
        </w:r>
      </w:hyperlink>
      <w:r>
        <w:rPr>
          <w:spacing w:val="-4"/>
          <w:position w:val="5"/>
          <w:sz w:val="14"/>
        </w:rPr>
        <w:t>.</w:t>
      </w:r>
      <w:r>
        <w:rPr>
          <w:position w:val="5"/>
          <w:sz w:val="14"/>
        </w:rPr>
        <w:tab/>
      </w:r>
      <w:r>
        <w:rPr/>
        <w:t>2013 Regulations reg.5 “distance contract” and see Vol.II, paras 38-081 et </w:t>
      </w:r>
      <w:r>
        <w:rPr>
          <w:spacing w:val="-4"/>
        </w:rPr>
        <w:t>seq.</w:t>
      </w:r>
    </w:p>
    <w:p>
      <w:pPr>
        <w:pStyle w:val="BodyText"/>
        <w:spacing w:before="5"/>
      </w:pPr>
    </w:p>
    <w:p>
      <w:pPr>
        <w:pStyle w:val="BodyText"/>
        <w:tabs>
          <w:tab w:pos="705" w:val="left" w:leader="none"/>
        </w:tabs>
        <w:ind w:left="165"/>
      </w:pPr>
      <w:bookmarkStart w:name="_bookmark1511" w:id="1513"/>
      <w:bookmarkEnd w:id="1513"/>
      <w:r>
        <w:rPr/>
      </w:r>
      <w:hyperlink w:history="true" w:anchor="_bookmark1500">
        <w:r>
          <w:rPr>
            <w:color w:val="005DA1"/>
            <w:spacing w:val="-4"/>
            <w:position w:val="5"/>
            <w:sz w:val="14"/>
            <w:u w:val="single" w:color="005DA1"/>
          </w:rPr>
          <w:t>801</w:t>
        </w:r>
      </w:hyperlink>
      <w:r>
        <w:rPr>
          <w:spacing w:val="-4"/>
          <w:position w:val="5"/>
          <w:sz w:val="14"/>
        </w:rPr>
        <w:t>.</w:t>
      </w:r>
      <w:r>
        <w:rPr>
          <w:position w:val="5"/>
          <w:sz w:val="14"/>
        </w:rPr>
        <w:tab/>
      </w:r>
      <w:r>
        <w:rPr/>
        <w:t>2013 Regulations reg.5 “off-premises contract” (a) and see Vol.II, paras 38-076 et </w:t>
      </w:r>
      <w:r>
        <w:rPr>
          <w:spacing w:val="-4"/>
        </w:rPr>
        <w:t>seq.</w:t>
      </w:r>
    </w:p>
    <w:p>
      <w:pPr>
        <w:pStyle w:val="BodyText"/>
        <w:spacing w:before="5"/>
      </w:pPr>
    </w:p>
    <w:p>
      <w:pPr>
        <w:pStyle w:val="BodyText"/>
        <w:tabs>
          <w:tab w:pos="705" w:val="left" w:leader="none"/>
        </w:tabs>
        <w:ind w:left="165"/>
      </w:pPr>
      <w:bookmarkStart w:name="_bookmark1512" w:id="1514"/>
      <w:bookmarkEnd w:id="1514"/>
      <w:r>
        <w:rPr/>
      </w:r>
      <w:hyperlink w:history="true" w:anchor="_bookmark1501">
        <w:r>
          <w:rPr>
            <w:color w:val="005DA1"/>
            <w:spacing w:val="-4"/>
            <w:position w:val="5"/>
            <w:sz w:val="14"/>
            <w:u w:val="single" w:color="005DA1"/>
          </w:rPr>
          <w:t>802</w:t>
        </w:r>
      </w:hyperlink>
      <w:r>
        <w:rPr>
          <w:spacing w:val="-4"/>
          <w:position w:val="5"/>
          <w:sz w:val="14"/>
        </w:rPr>
        <w:t>.</w:t>
      </w:r>
      <w:r>
        <w:rPr>
          <w:position w:val="5"/>
          <w:sz w:val="14"/>
        </w:rPr>
        <w:tab/>
      </w:r>
      <w:r>
        <w:rPr/>
        <w:t>2013 Regulations regs 7–18, 27–38 on which see Vol.II, paras 38-086 et </w:t>
      </w:r>
      <w:r>
        <w:rPr>
          <w:spacing w:val="-4"/>
        </w:rPr>
        <w:t>seq.</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5. - Classification of </w:t>
      </w:r>
      <w:r>
        <w:rPr>
          <w:rFonts w:ascii="Arial"/>
          <w:b/>
          <w:spacing w:val="-2"/>
          <w:sz w:val="24"/>
        </w:rPr>
        <w:t>Contracts</w:t>
      </w:r>
    </w:p>
    <w:p>
      <w:pPr>
        <w:pStyle w:val="ListParagraph"/>
        <w:numPr>
          <w:ilvl w:val="0"/>
          <w:numId w:val="9"/>
        </w:numPr>
        <w:tabs>
          <w:tab w:pos="1831" w:val="left" w:leader="none"/>
        </w:tabs>
        <w:spacing w:line="240" w:lineRule="auto" w:before="194" w:after="0"/>
        <w:ind w:left="1831" w:right="0" w:hanging="373"/>
        <w:jc w:val="left"/>
        <w:rPr>
          <w:b/>
          <w:sz w:val="24"/>
        </w:rPr>
      </w:pPr>
      <w:r>
        <w:rPr>
          <w:b/>
          <w:sz w:val="24"/>
        </w:rPr>
        <w:t>- Classification of Contracts According to their </w:t>
      </w:r>
      <w:r>
        <w:rPr>
          <w:b/>
          <w:spacing w:val="-2"/>
          <w:sz w:val="24"/>
        </w:rPr>
        <w:t>Effect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Introduction</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106</w:t>
      </w:r>
    </w:p>
    <w:p>
      <w:pPr>
        <w:pStyle w:val="BodyText"/>
        <w:spacing w:line="235" w:lineRule="auto" w:before="202"/>
        <w:ind w:left="164" w:right="167"/>
        <w:jc w:val="both"/>
      </w:pPr>
      <w:r>
        <w:rPr/>
        <w:t>Contracts</w:t>
      </w:r>
      <w:r>
        <w:rPr>
          <w:spacing w:val="-2"/>
        </w:rPr>
        <w:t> </w:t>
      </w:r>
      <w:r>
        <w:rPr/>
        <w:t>are</w:t>
      </w:r>
      <w:r>
        <w:rPr>
          <w:spacing w:val="-2"/>
        </w:rPr>
        <w:t> </w:t>
      </w:r>
      <w:r>
        <w:rPr/>
        <w:t>sometimes</w:t>
      </w:r>
      <w:r>
        <w:rPr>
          <w:spacing w:val="-2"/>
        </w:rPr>
        <w:t> </w:t>
      </w:r>
      <w:r>
        <w:rPr/>
        <w:t>classified</w:t>
      </w:r>
      <w:r>
        <w:rPr>
          <w:spacing w:val="-2"/>
        </w:rPr>
        <w:t> </w:t>
      </w:r>
      <w:r>
        <w:rPr/>
        <w:t>according</w:t>
      </w:r>
      <w:r>
        <w:rPr>
          <w:spacing w:val="-2"/>
        </w:rPr>
        <w:t> </w:t>
      </w:r>
      <w:r>
        <w:rPr/>
        <w:t>to</w:t>
      </w:r>
      <w:r>
        <w:rPr>
          <w:spacing w:val="-2"/>
        </w:rPr>
        <w:t> </w:t>
      </w:r>
      <w:r>
        <w:rPr/>
        <w:t>their</w:t>
      </w:r>
      <w:r>
        <w:rPr>
          <w:spacing w:val="-2"/>
        </w:rPr>
        <w:t> </w:t>
      </w:r>
      <w:r>
        <w:rPr/>
        <w:t>effect</w:t>
      </w:r>
      <w:r>
        <w:rPr>
          <w:spacing w:val="-2"/>
        </w:rPr>
        <w:t> </w:t>
      </w:r>
      <w:r>
        <w:rPr/>
        <w:t>and</w:t>
      </w:r>
      <w:r>
        <w:rPr>
          <w:spacing w:val="-2"/>
        </w:rPr>
        <w:t> </w:t>
      </w:r>
      <w:r>
        <w:rPr/>
        <w:t>so</w:t>
      </w:r>
      <w:r>
        <w:rPr>
          <w:spacing w:val="-2"/>
        </w:rPr>
        <w:t> </w:t>
      </w:r>
      <w:r>
        <w:rPr/>
        <w:t>distinctions</w:t>
      </w:r>
      <w:r>
        <w:rPr>
          <w:spacing w:val="-2"/>
        </w:rPr>
        <w:t> </w:t>
      </w:r>
      <w:r>
        <w:rPr/>
        <w:t>can</w:t>
      </w:r>
      <w:r>
        <w:rPr>
          <w:spacing w:val="-2"/>
        </w:rPr>
        <w:t> </w:t>
      </w:r>
      <w:r>
        <w:rPr/>
        <w:t>be</w:t>
      </w:r>
      <w:r>
        <w:rPr>
          <w:spacing w:val="-2"/>
        </w:rPr>
        <w:t> </w:t>
      </w:r>
      <w:r>
        <w:rPr/>
        <w:t>drawn</w:t>
      </w:r>
      <w:r>
        <w:rPr>
          <w:spacing w:val="-2"/>
        </w:rPr>
        <w:t> </w:t>
      </w:r>
      <w:r>
        <w:rPr/>
        <w:t>between unilateral and bilateral contracts and valid, void, voidable and unenforceable contracts. The last three terms denote varying degrees of imperfection and are in constant use in the law of contract.</w:t>
      </w:r>
    </w:p>
    <w:p>
      <w:pPr>
        <w:pStyle w:val="BodyText"/>
      </w:pPr>
    </w:p>
    <w:p>
      <w:pPr>
        <w:pStyle w:val="BodyText"/>
        <w:spacing w:before="38"/>
      </w:pPr>
    </w:p>
    <w:p>
      <w:pPr>
        <w:spacing w:before="0"/>
        <w:ind w:left="164" w:right="0" w:firstLine="0"/>
        <w:jc w:val="left"/>
        <w:rPr>
          <w:rFonts w:ascii="Arial"/>
          <w:b/>
          <w:sz w:val="18"/>
        </w:rPr>
      </w:pPr>
      <w:r>
        <w:rPr>
          <w:rFonts w:ascii="Arial"/>
          <w:b/>
          <w:sz w:val="18"/>
        </w:rPr>
        <w:t>Unilateral and bilateral </w:t>
      </w:r>
      <w:r>
        <w:rPr>
          <w:rFonts w:ascii="Arial"/>
          <w:b/>
          <w:spacing w:val="-2"/>
          <w:sz w:val="18"/>
        </w:rPr>
        <w:t>contracts</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107</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79" name="Image 379"/>
            <wp:cNvGraphicFramePr>
              <a:graphicFrameLocks/>
            </wp:cNvGraphicFramePr>
            <a:graphic>
              <a:graphicData uri="http://schemas.openxmlformats.org/drawingml/2006/picture">
                <pic:pic>
                  <pic:nvPicPr>
                    <pic:cNvPr id="379" name="Image 37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513" w:id="1515"/>
      <w:bookmarkEnd w:id="1515"/>
      <w:r>
        <w:rPr>
          <w:rFonts w:ascii="Times New Roman" w:hAnsi="Times New Roman"/>
          <w:spacing w:val="11"/>
        </w:rPr>
      </w:r>
      <w:bookmarkStart w:name="_bookmark1514" w:id="1516"/>
      <w:bookmarkEnd w:id="1516"/>
      <w:r>
        <w:rPr>
          <w:rFonts w:ascii="Times New Roman" w:hAnsi="Times New Roman"/>
          <w:spacing w:val="11"/>
        </w:rPr>
      </w:r>
      <w:r>
        <w:rPr/>
        <w:t>Contracts may be either unilateral or bilateral. </w:t>
      </w:r>
      <w:r>
        <w:rPr>
          <w:color w:val="005DA1"/>
          <w:u w:val="single" w:color="005DA1"/>
          <w:vertAlign w:val="superscript"/>
        </w:rPr>
        <w:t>803</w:t>
      </w:r>
      <w:r>
        <w:rPr>
          <w:color w:val="005DA1"/>
          <w:vertAlign w:val="baseline"/>
        </w:rPr>
        <w:t> </w:t>
      </w:r>
      <w:r>
        <w:rPr>
          <w:vertAlign w:val="baseline"/>
        </w:rPr>
        <w:t>By a unilateral contract is meant a contract under which only one party undertakes an obligation. </w:t>
      </w:r>
      <w:r>
        <w:rPr>
          <w:color w:val="005DA1"/>
          <w:u w:val="single" w:color="005DA1"/>
          <w:vertAlign w:val="superscript"/>
        </w:rPr>
        <w:t>804</w:t>
      </w:r>
      <w:r>
        <w:rPr>
          <w:color w:val="005DA1"/>
          <w:vertAlign w:val="baseline"/>
        </w:rPr>
        <w:t> </w:t>
      </w:r>
      <w:r>
        <w:rPr>
          <w:vertAlign w:val="baseline"/>
        </w:rPr>
        <w:t>Bilateral (or synallagmatic) contracts, on the other hand, are those under which both parties undertake obligations. It is to be noted, though, that the </w:t>
      </w:r>
      <w:bookmarkStart w:name="_bookmark1515" w:id="1517"/>
      <w:bookmarkEnd w:id="1517"/>
      <w:r>
        <w:rPr>
          <w:vertAlign w:val="baseline"/>
        </w:rPr>
        <w:t>unilateral</w:t>
      </w:r>
      <w:r>
        <w:rPr>
          <w:vertAlign w:val="baseline"/>
        </w:rPr>
        <w:t> nature of the contract does not (in the ordinary case) mean that there is only one party, nor that there is no need for an acceptance or the provision of consideration by the other party. </w:t>
      </w:r>
      <w:r>
        <w:rPr>
          <w:color w:val="005DA1"/>
          <w:u w:val="single" w:color="005DA1"/>
          <w:vertAlign w:val="superscript"/>
        </w:rPr>
        <w:t>805</w:t>
      </w:r>
      <w:r>
        <w:rPr>
          <w:color w:val="005DA1"/>
          <w:vertAlign w:val="baseline"/>
        </w:rPr>
        <w:t> </w:t>
      </w:r>
      <w:r>
        <w:rPr>
          <w:vertAlign w:val="baseline"/>
        </w:rPr>
        <w:t>An example of a unilateral contract may be found in the case of an offer for a reward for the return of lost </w:t>
      </w:r>
      <w:bookmarkStart w:name="_bookmark1516" w:id="1518"/>
      <w:bookmarkEnd w:id="1518"/>
      <w:r>
        <w:rPr>
          <w:vertAlign w:val="baseline"/>
        </w:rPr>
        <w:t>property:</w:t>
      </w:r>
      <w:r>
        <w:rPr>
          <w:vertAlign w:val="baseline"/>
        </w:rPr>
        <w:t> here, a contract is formed (at the latest) on the return of the property, this constituting the offeree’s</w:t>
      </w:r>
      <w:r>
        <w:rPr>
          <w:spacing w:val="1"/>
          <w:vertAlign w:val="baseline"/>
        </w:rPr>
        <w:t> </w:t>
      </w:r>
      <w:r>
        <w:rPr>
          <w:vertAlign w:val="baseline"/>
        </w:rPr>
        <w:t>acceptance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offer</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furnishing</w:t>
      </w:r>
      <w:r>
        <w:rPr>
          <w:spacing w:val="1"/>
          <w:vertAlign w:val="baseline"/>
        </w:rPr>
        <w:t> </w:t>
      </w:r>
      <w:r>
        <w:rPr>
          <w:vertAlign w:val="baseline"/>
        </w:rPr>
        <w:t>of</w:t>
      </w:r>
      <w:r>
        <w:rPr>
          <w:spacing w:val="1"/>
          <w:vertAlign w:val="baseline"/>
        </w:rPr>
        <w:t> </w:t>
      </w:r>
      <w:r>
        <w:rPr>
          <w:vertAlign w:val="baseline"/>
        </w:rPr>
        <w:t>consideration</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creation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 </w:t>
      </w:r>
      <w:r>
        <w:rPr>
          <w:color w:val="005DA1"/>
          <w:spacing w:val="-7"/>
          <w:u w:val="single" w:color="005DA1"/>
          <w:vertAlign w:val="superscript"/>
        </w:rPr>
        <w:t>806</w:t>
      </w:r>
    </w:p>
    <w:p>
      <w:pPr>
        <w:pStyle w:val="BodyText"/>
        <w:spacing w:line="235" w:lineRule="auto" w:before="117"/>
        <w:ind w:left="165" w:right="168" w:firstLine="136"/>
      </w:pPr>
      <w:r>
        <w:rPr>
          <w:position w:val="-2"/>
        </w:rPr>
        <w:drawing>
          <wp:inline distT="0" distB="0" distL="0" distR="0">
            <wp:extent cx="107988" cy="107988"/>
            <wp:effectExtent l="0" t="0" r="0" b="0"/>
            <wp:docPr id="380" name="Image 380"/>
            <wp:cNvGraphicFramePr>
              <a:graphicFrameLocks/>
            </wp:cNvGraphicFramePr>
            <a:graphic>
              <a:graphicData uri="http://schemas.openxmlformats.org/drawingml/2006/picture">
                <pic:pic>
                  <pic:nvPicPr>
                    <pic:cNvPr id="380" name="Image 38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6"/>
        </w:rPr>
        <w:t> </w:t>
      </w:r>
      <w:r>
        <w:rPr/>
        <w:t>Bilateral contracts comprise the exchange of a promise for a promise, e.g. if you promise to pay me £1,000, I promise to sell you my car.</w:t>
      </w:r>
    </w:p>
    <w:p>
      <w:pPr>
        <w:pStyle w:val="BodyText"/>
      </w:pPr>
    </w:p>
    <w:p>
      <w:pPr>
        <w:pStyle w:val="BodyText"/>
        <w:spacing w:before="37"/>
      </w:pPr>
    </w:p>
    <w:p>
      <w:pPr>
        <w:spacing w:before="1"/>
        <w:ind w:left="165" w:right="0" w:firstLine="0"/>
        <w:jc w:val="both"/>
        <w:rPr>
          <w:rFonts w:ascii="Arial"/>
          <w:b/>
          <w:sz w:val="18"/>
        </w:rPr>
      </w:pPr>
      <w:r>
        <w:rPr>
          <w:rFonts w:ascii="Arial"/>
          <w:b/>
          <w:sz w:val="18"/>
        </w:rPr>
        <w:t>Void </w:t>
      </w:r>
      <w:r>
        <w:rPr>
          <w:rFonts w:ascii="Arial"/>
          <w:b/>
          <w:spacing w:val="-2"/>
          <w:sz w:val="18"/>
        </w:rPr>
        <w:t>contracts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108</w:t>
      </w:r>
    </w:p>
    <w:p>
      <w:pPr>
        <w:pStyle w:val="BodyText"/>
        <w:spacing w:line="235" w:lineRule="auto" w:before="203"/>
        <w:ind w:left="165" w:right="167"/>
        <w:jc w:val="both"/>
      </w:pPr>
      <w:r>
        <w:rPr/>
        <w:t>A void contract is strictly a contradiction in terms, because if an agreement is truly void it is not a contract; but the term is a useful one and well understood by lawyers. Properly speaking, a void contract should produce no legal effects whatsoever. Neither party should be able to sue the other </w:t>
      </w:r>
      <w:r>
        <w:rPr/>
        <w:t>on the contract. If goods have been delivered, they or their value should be recoverable by an action in tort,</w:t>
      </w:r>
      <w:r>
        <w:rPr>
          <w:spacing w:val="-1"/>
        </w:rPr>
        <w:t> </w:t>
      </w:r>
      <w:r>
        <w:rPr/>
        <w:t>because</w:t>
      </w:r>
      <w:r>
        <w:rPr>
          <w:spacing w:val="-1"/>
        </w:rPr>
        <w:t> </w:t>
      </w:r>
      <w:r>
        <w:rPr/>
        <w:t>the</w:t>
      </w:r>
      <w:r>
        <w:rPr>
          <w:spacing w:val="-1"/>
        </w:rPr>
        <w:t> </w:t>
      </w:r>
      <w:r>
        <w:rPr/>
        <w:t>property</w:t>
      </w:r>
      <w:r>
        <w:rPr>
          <w:spacing w:val="-1"/>
        </w:rPr>
        <w:t> </w:t>
      </w:r>
      <w:r>
        <w:rPr/>
        <w:t>will</w:t>
      </w:r>
      <w:r>
        <w:rPr>
          <w:spacing w:val="-1"/>
        </w:rPr>
        <w:t> </w:t>
      </w:r>
      <w:r>
        <w:rPr/>
        <w:t>not</w:t>
      </w:r>
      <w:r>
        <w:rPr>
          <w:spacing w:val="-1"/>
        </w:rPr>
        <w:t> </w:t>
      </w:r>
      <w:r>
        <w:rPr/>
        <w:t>pass.</w:t>
      </w:r>
      <w:r>
        <w:rPr>
          <w:spacing w:val="-1"/>
        </w:rPr>
        <w:t> </w:t>
      </w:r>
      <w:r>
        <w:rPr/>
        <w:t>If</w:t>
      </w:r>
      <w:r>
        <w:rPr>
          <w:spacing w:val="-1"/>
        </w:rPr>
        <w:t> </w:t>
      </w:r>
      <w:r>
        <w:rPr/>
        <w:t>money</w:t>
      </w:r>
      <w:r>
        <w:rPr>
          <w:spacing w:val="-1"/>
        </w:rPr>
        <w:t> </w:t>
      </w:r>
      <w:r>
        <w:rPr/>
        <w:t>has</w:t>
      </w:r>
      <w:r>
        <w:rPr>
          <w:spacing w:val="-1"/>
        </w:rPr>
        <w:t> </w:t>
      </w:r>
      <w:r>
        <w:rPr/>
        <w:t>been</w:t>
      </w:r>
      <w:r>
        <w:rPr>
          <w:spacing w:val="-1"/>
        </w:rPr>
        <w:t> </w:t>
      </w:r>
      <w:r>
        <w:rPr/>
        <w:t>paid,</w:t>
      </w:r>
      <w:r>
        <w:rPr>
          <w:spacing w:val="-1"/>
        </w:rPr>
        <w:t> </w:t>
      </w:r>
      <w:r>
        <w:rPr/>
        <w:t>it</w:t>
      </w:r>
      <w:r>
        <w:rPr>
          <w:spacing w:val="-1"/>
        </w:rPr>
        <w:t> </w:t>
      </w:r>
      <w:r>
        <w:rPr/>
        <w:t>should</w:t>
      </w:r>
      <w:r>
        <w:rPr>
          <w:spacing w:val="-1"/>
        </w:rPr>
        <w:t> </w:t>
      </w:r>
      <w:r>
        <w:rPr/>
        <w:t>be</w:t>
      </w:r>
      <w:r>
        <w:rPr>
          <w:spacing w:val="-1"/>
        </w:rPr>
        <w:t> </w:t>
      </w:r>
      <w:r>
        <w:rPr/>
        <w:t>recoverable</w:t>
      </w:r>
      <w:r>
        <w:rPr>
          <w:spacing w:val="-1"/>
        </w:rPr>
        <w:t> </w:t>
      </w:r>
      <w:r>
        <w:rPr/>
        <w:t>by</w:t>
      </w:r>
      <w:r>
        <w:rPr>
          <w:spacing w:val="-1"/>
        </w:rPr>
        <w:t> </w:t>
      </w:r>
      <w:r>
        <w:rPr/>
        <w:t>an</w:t>
      </w:r>
      <w:r>
        <w:rPr>
          <w:spacing w:val="-1"/>
        </w:rPr>
        <w:t> </w:t>
      </w:r>
      <w:r>
        <w:rPr/>
        <w:t>action </w:t>
      </w:r>
      <w:bookmarkStart w:name="_bookmark1517" w:id="1519"/>
      <w:bookmarkEnd w:id="1519"/>
      <w:r>
        <w:rPr/>
        <w:t>in</w:t>
      </w:r>
      <w:r>
        <w:rPr/>
        <w:t> restitution, because the money was not due. In one situation, i.e. where a contract is void for mistake,</w:t>
      </w:r>
      <w:r>
        <w:rPr>
          <w:spacing w:val="-2"/>
        </w:rPr>
        <w:t> </w:t>
      </w:r>
      <w:r>
        <w:rPr/>
        <w:t>these</w:t>
      </w:r>
      <w:r>
        <w:rPr>
          <w:spacing w:val="-2"/>
        </w:rPr>
        <w:t> </w:t>
      </w:r>
      <w:r>
        <w:rPr/>
        <w:t>consequences</w:t>
      </w:r>
      <w:r>
        <w:rPr>
          <w:spacing w:val="-2"/>
        </w:rPr>
        <w:t> </w:t>
      </w:r>
      <w:r>
        <w:rPr/>
        <w:t>would</w:t>
      </w:r>
      <w:r>
        <w:rPr>
          <w:spacing w:val="-2"/>
        </w:rPr>
        <w:t> </w:t>
      </w:r>
      <w:r>
        <w:rPr/>
        <w:t>appear</w:t>
      </w:r>
      <w:r>
        <w:rPr>
          <w:spacing w:val="-2"/>
        </w:rPr>
        <w:t> </w:t>
      </w:r>
      <w:r>
        <w:rPr/>
        <w:t>to</w:t>
      </w:r>
      <w:r>
        <w:rPr>
          <w:spacing w:val="-2"/>
        </w:rPr>
        <w:t> </w:t>
      </w:r>
      <w:r>
        <w:rPr/>
        <w:t>follow</w:t>
      </w:r>
      <w:r>
        <w:rPr>
          <w:spacing w:val="-2"/>
        </w:rPr>
        <w:t> </w:t>
      </w:r>
      <w:r>
        <w:rPr/>
        <w:t>from</w:t>
      </w:r>
      <w:r>
        <w:rPr>
          <w:spacing w:val="-2"/>
        </w:rPr>
        <w:t> </w:t>
      </w:r>
      <w:r>
        <w:rPr/>
        <w:t>the</w:t>
      </w:r>
      <w:r>
        <w:rPr>
          <w:spacing w:val="-2"/>
        </w:rPr>
        <w:t> </w:t>
      </w:r>
      <w:r>
        <w:rPr/>
        <w:t>fact</w:t>
      </w:r>
      <w:r>
        <w:rPr>
          <w:spacing w:val="-2"/>
        </w:rPr>
        <w:t> </w:t>
      </w:r>
      <w:r>
        <w:rPr/>
        <w:t>that</w:t>
      </w:r>
      <w:r>
        <w:rPr>
          <w:spacing w:val="-2"/>
        </w:rPr>
        <w:t> </w:t>
      </w:r>
      <w:r>
        <w:rPr/>
        <w:t>the</w:t>
      </w:r>
      <w:r>
        <w:rPr>
          <w:spacing w:val="-2"/>
        </w:rPr>
        <w:t> </w:t>
      </w:r>
      <w:r>
        <w:rPr/>
        <w:t>contract</w:t>
      </w:r>
      <w:r>
        <w:rPr>
          <w:spacing w:val="-2"/>
        </w:rPr>
        <w:t> </w:t>
      </w:r>
      <w:r>
        <w:rPr/>
        <w:t>is</w:t>
      </w:r>
      <w:r>
        <w:rPr>
          <w:spacing w:val="-2"/>
        </w:rPr>
        <w:t> </w:t>
      </w:r>
      <w:r>
        <w:rPr/>
        <w:t>void.</w:t>
      </w:r>
      <w:r>
        <w:rPr>
          <w:spacing w:val="-3"/>
        </w:rPr>
        <w:t> </w:t>
      </w:r>
      <w:r>
        <w:rPr>
          <w:color w:val="005DA1"/>
          <w:u w:val="single" w:color="005DA1"/>
          <w:vertAlign w:val="superscript"/>
        </w:rPr>
        <w:t>807</w:t>
      </w:r>
      <w:r>
        <w:rPr>
          <w:color w:val="005DA1"/>
          <w:spacing w:val="-2"/>
          <w:vertAlign w:val="baseline"/>
        </w:rPr>
        <w:t> </w:t>
      </w:r>
      <w:r>
        <w:rPr>
          <w:vertAlign w:val="baseline"/>
        </w:rPr>
        <w:t>But</w:t>
      </w:r>
      <w:r>
        <w:rPr>
          <w:spacing w:val="-2"/>
          <w:vertAlign w:val="baseline"/>
        </w:rPr>
        <w:t> </w:t>
      </w:r>
      <w:r>
        <w:rPr>
          <w:vertAlign w:val="baseline"/>
        </w:rPr>
        <w:t>it</w:t>
      </w:r>
      <w:r>
        <w:rPr>
          <w:spacing w:val="-2"/>
          <w:vertAlign w:val="baseline"/>
        </w:rPr>
        <w:t> </w:t>
      </w:r>
      <w:r>
        <w:rPr>
          <w:vertAlign w:val="baseline"/>
        </w:rPr>
        <w:t>is by no means true that all contracts termed “void” by the law necessarily produce this effect.</w:t>
      </w:r>
    </w:p>
    <w:p>
      <w:pPr>
        <w:pStyle w:val="BodyText"/>
      </w:pPr>
    </w:p>
    <w:p>
      <w:pPr>
        <w:pStyle w:val="BodyText"/>
        <w:spacing w:before="35"/>
      </w:pPr>
    </w:p>
    <w:p>
      <w:pPr>
        <w:spacing w:before="0"/>
        <w:ind w:left="165" w:right="0" w:firstLine="0"/>
        <w:jc w:val="left"/>
        <w:rPr>
          <w:rFonts w:ascii="Arial" w:hAnsi="Arial"/>
          <w:b/>
          <w:sz w:val="18"/>
        </w:rPr>
      </w:pPr>
      <w:r>
        <w:rPr>
          <w:rFonts w:ascii="Arial" w:hAnsi="Arial"/>
          <w:b/>
          <w:sz w:val="18"/>
        </w:rPr>
        <w:t>“Void” contract may have </w:t>
      </w:r>
      <w:r>
        <w:rPr>
          <w:rFonts w:ascii="Arial" w:hAnsi="Arial"/>
          <w:b/>
          <w:spacing w:val="-2"/>
          <w:sz w:val="18"/>
        </w:rPr>
        <w:t>effects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109</w:t>
      </w:r>
    </w:p>
    <w:p>
      <w:pPr>
        <w:spacing w:after="0"/>
        <w:jc w:val="left"/>
        <w:rPr>
          <w:rFonts w:ascii="Arial"/>
          <w:b/>
          <w:sz w:val="24"/>
        </w:rPr>
        <w:sectPr>
          <w:headerReference w:type="default" r:id="rId34"/>
          <w:pgSz w:w="11900" w:h="16840"/>
          <w:pgMar w:header="971" w:footer="0" w:top="1300" w:bottom="280" w:left="1275" w:right="1275"/>
          <w:pgNumType w:start="1"/>
        </w:sectPr>
      </w:pPr>
    </w:p>
    <w:p>
      <w:pPr>
        <w:pStyle w:val="BodyText"/>
        <w:spacing w:line="235" w:lineRule="auto" w:before="210"/>
        <w:ind w:left="164" w:right="167"/>
        <w:jc w:val="both"/>
      </w:pPr>
      <w:bookmarkStart w:name="_bookmark1518" w:id="1520"/>
      <w:bookmarkEnd w:id="1520"/>
      <w:r>
        <w:rPr/>
      </w:r>
      <w:r>
        <w:rPr/>
        <w:t>For example, a contract may be void for illegality. But, although in many cases, neither party can </w:t>
      </w:r>
      <w:r>
        <w:rPr/>
        <w:t>sue </w:t>
      </w:r>
      <w:bookmarkStart w:name="_bookmark1519" w:id="1521"/>
      <w:bookmarkEnd w:id="1521"/>
      <w:r>
        <w:rPr/>
        <w:t>on</w:t>
      </w:r>
      <w:r>
        <w:rPr/>
        <w:t> it, in other cases a party who is innocent of any illegal design may have a right of action. </w:t>
      </w:r>
      <w:r>
        <w:rPr>
          <w:color w:val="005DA1"/>
          <w:u w:val="single" w:color="005DA1"/>
          <w:vertAlign w:val="superscript"/>
        </w:rPr>
        <w:t>808</w:t>
      </w:r>
      <w:r>
        <w:rPr>
          <w:color w:val="005DA1"/>
          <w:vertAlign w:val="baseline"/>
        </w:rPr>
        <w:t> </w:t>
      </w:r>
      <w:bookmarkStart w:name="_bookmark1520" w:id="1522"/>
      <w:bookmarkEnd w:id="1522"/>
      <w:r>
        <w:rPr>
          <w:color w:val="005DA1"/>
          <w:w w:val="92"/>
          <w:vertAlign w:val="baseline"/>
        </w:rPr>
      </w:r>
      <w:r>
        <w:rPr>
          <w:vertAlign w:val="baseline"/>
        </w:rPr>
        <w:t>Property may pass under an illegal contract </w:t>
      </w:r>
      <w:r>
        <w:rPr>
          <w:color w:val="005DA1"/>
          <w:u w:val="single" w:color="005DA1"/>
          <w:vertAlign w:val="superscript"/>
        </w:rPr>
        <w:t>809</w:t>
      </w:r>
      <w:r>
        <w:rPr>
          <w:color w:val="005DA1"/>
          <w:vertAlign w:val="baseline"/>
        </w:rPr>
        <w:t> </w:t>
      </w:r>
      <w:r>
        <w:rPr>
          <w:vertAlign w:val="baseline"/>
        </w:rPr>
        <w:t>and money paid in pursuance of it is often irrecoverable.</w:t>
      </w:r>
      <w:r>
        <w:rPr>
          <w:spacing w:val="-2"/>
          <w:vertAlign w:val="baseline"/>
        </w:rPr>
        <w:t> </w:t>
      </w:r>
      <w:r>
        <w:rPr>
          <w:color w:val="005DA1"/>
          <w:u w:val="single" w:color="005DA1"/>
          <w:vertAlign w:val="superscript"/>
        </w:rPr>
        <w:t>810</w:t>
      </w:r>
      <w:r>
        <w:rPr>
          <w:color w:val="005DA1"/>
          <w:spacing w:val="-2"/>
          <w:vertAlign w:val="baseline"/>
        </w:rPr>
        <w:t> </w:t>
      </w:r>
      <w:r>
        <w:rPr>
          <w:vertAlign w:val="baseline"/>
        </w:rPr>
        <w:t>Moreover,</w:t>
      </w:r>
      <w:r>
        <w:rPr>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and</w:t>
      </w:r>
      <w:r>
        <w:rPr>
          <w:spacing w:val="-2"/>
          <w:vertAlign w:val="baseline"/>
        </w:rPr>
        <w:t> </w:t>
      </w:r>
      <w:r>
        <w:rPr>
          <w:vertAlign w:val="baseline"/>
        </w:rPr>
        <w:t>B</w:t>
      </w:r>
      <w:r>
        <w:rPr>
          <w:spacing w:val="-2"/>
          <w:vertAlign w:val="baseline"/>
        </w:rPr>
        <w:t> </w:t>
      </w:r>
      <w:r>
        <w:rPr>
          <w:vertAlign w:val="baseline"/>
        </w:rPr>
        <w:t>have</w:t>
      </w:r>
      <w:r>
        <w:rPr>
          <w:spacing w:val="-2"/>
          <w:vertAlign w:val="baseline"/>
        </w:rPr>
        <w:t> </w:t>
      </w:r>
      <w:r>
        <w:rPr>
          <w:vertAlign w:val="baseline"/>
        </w:rPr>
        <w:t>paid</w:t>
      </w:r>
      <w:r>
        <w:rPr>
          <w:spacing w:val="-2"/>
          <w:vertAlign w:val="baseline"/>
        </w:rPr>
        <w:t> </w:t>
      </w:r>
      <w:r>
        <w:rPr>
          <w:vertAlign w:val="baseline"/>
        </w:rPr>
        <w:t>money</w:t>
      </w:r>
      <w:r>
        <w:rPr>
          <w:spacing w:val="-2"/>
          <w:vertAlign w:val="baseline"/>
        </w:rPr>
        <w:t> </w:t>
      </w:r>
      <w:r>
        <w:rPr>
          <w:vertAlign w:val="baseline"/>
        </w:rPr>
        <w:t>to</w:t>
      </w:r>
      <w:r>
        <w:rPr>
          <w:spacing w:val="-2"/>
          <w:vertAlign w:val="baseline"/>
        </w:rPr>
        <w:t> </w:t>
      </w:r>
      <w:r>
        <w:rPr>
          <w:vertAlign w:val="baseline"/>
        </w:rPr>
        <w:t>C</w:t>
      </w:r>
      <w:r>
        <w:rPr>
          <w:spacing w:val="-2"/>
          <w:vertAlign w:val="baseline"/>
        </w:rPr>
        <w:t> </w:t>
      </w:r>
      <w:r>
        <w:rPr>
          <w:vertAlign w:val="baseline"/>
        </w:rPr>
        <w:t>under</w:t>
      </w:r>
      <w:r>
        <w:rPr>
          <w:spacing w:val="-2"/>
          <w:vertAlign w:val="baseline"/>
        </w:rPr>
        <w:t> </w:t>
      </w:r>
      <w:r>
        <w:rPr>
          <w:vertAlign w:val="baseline"/>
        </w:rPr>
        <w:t>an</w:t>
      </w:r>
      <w:r>
        <w:rPr>
          <w:spacing w:val="-2"/>
          <w:vertAlign w:val="baseline"/>
        </w:rPr>
        <w:t> </w:t>
      </w:r>
      <w:r>
        <w:rPr>
          <w:vertAlign w:val="baseline"/>
        </w:rPr>
        <w:t>agreement</w:t>
      </w:r>
      <w:r>
        <w:rPr>
          <w:spacing w:val="-2"/>
          <w:vertAlign w:val="baseline"/>
        </w:rPr>
        <w:t> </w:t>
      </w:r>
      <w:r>
        <w:rPr>
          <w:vertAlign w:val="baseline"/>
        </w:rPr>
        <w:t>under</w:t>
      </w:r>
      <w:r>
        <w:rPr>
          <w:spacing w:val="-2"/>
          <w:vertAlign w:val="baseline"/>
        </w:rPr>
        <w:t> </w:t>
      </w:r>
      <w:r>
        <w:rPr>
          <w:vertAlign w:val="baseline"/>
        </w:rPr>
        <w:t>which</w:t>
      </w:r>
      <w:r>
        <w:rPr>
          <w:spacing w:val="-2"/>
          <w:vertAlign w:val="baseline"/>
        </w:rPr>
        <w:t> </w:t>
      </w:r>
      <w:r>
        <w:rPr>
          <w:vertAlign w:val="baseline"/>
        </w:rPr>
        <w:t>C </w:t>
      </w:r>
      <w:bookmarkStart w:name="_bookmark1521" w:id="1523"/>
      <w:bookmarkEnd w:id="1523"/>
      <w:r>
        <w:rPr>
          <w:vertAlign w:val="baseline"/>
        </w:rPr>
        <w:t>is</w:t>
      </w:r>
      <w:r>
        <w:rPr>
          <w:vertAlign w:val="baseline"/>
        </w:rPr>
        <w:t> empowered to pay some of the money to B, the court will not at A’s request restrain C from so doing, even though the agreement is illegal and void as an unreasonable restraint of trade. </w:t>
      </w:r>
      <w:r>
        <w:rPr>
          <w:color w:val="005DA1"/>
          <w:u w:val="single" w:color="005DA1"/>
          <w:vertAlign w:val="superscript"/>
        </w:rPr>
        <w:t>811</w:t>
      </w:r>
      <w:r>
        <w:rPr>
          <w:color w:val="005DA1"/>
          <w:vertAlign w:val="baseline"/>
        </w:rPr>
        <w:t> </w:t>
      </w:r>
      <w:r>
        <w:rPr>
          <w:vertAlign w:val="baseline"/>
        </w:rPr>
        <w:t>Other difficult questions arise in relation to the relative positions of the parties to a contract for the sale or </w:t>
      </w:r>
      <w:bookmarkStart w:name="_bookmark1522" w:id="1524"/>
      <w:bookmarkEnd w:id="1524"/>
      <w:r>
        <w:rPr>
          <w:vertAlign w:val="baseline"/>
        </w:rPr>
        <w:t>other</w:t>
      </w:r>
      <w:r>
        <w:rPr>
          <w:vertAlign w:val="baseline"/>
        </w:rPr>
        <w:t> disposition of an interest in land which is a nullity as a result of not having been made in writing as is required by s.2 of the Law of Property (Miscellaneous Provisions) Act 1989. </w:t>
      </w:r>
      <w:r>
        <w:rPr>
          <w:color w:val="005DA1"/>
          <w:u w:val="single" w:color="005DA1"/>
          <w:vertAlign w:val="superscript"/>
        </w:rPr>
        <w:t>812</w:t>
      </w:r>
    </w:p>
    <w:p>
      <w:pPr>
        <w:pStyle w:val="BodyText"/>
      </w:pPr>
    </w:p>
    <w:p>
      <w:pPr>
        <w:pStyle w:val="BodyText"/>
        <w:spacing w:before="35"/>
      </w:pPr>
    </w:p>
    <w:p>
      <w:pPr>
        <w:spacing w:before="0"/>
        <w:ind w:left="165" w:right="0" w:firstLine="0"/>
        <w:jc w:val="left"/>
        <w:rPr>
          <w:rFonts w:ascii="Arial"/>
          <w:b/>
          <w:sz w:val="18"/>
        </w:rPr>
      </w:pPr>
      <w:r>
        <w:rPr>
          <w:rFonts w:ascii="Arial"/>
          <w:b/>
          <w:sz w:val="18"/>
        </w:rPr>
        <w:t>Voidable </w:t>
      </w:r>
      <w:r>
        <w:rPr>
          <w:rFonts w:ascii="Arial"/>
          <w:b/>
          <w:spacing w:val="-2"/>
          <w:sz w:val="18"/>
        </w:rPr>
        <w:t>contracts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110</w:t>
      </w:r>
    </w:p>
    <w:p>
      <w:pPr>
        <w:pStyle w:val="BodyText"/>
        <w:spacing w:line="235" w:lineRule="auto" w:before="202"/>
        <w:ind w:left="164" w:right="167"/>
        <w:jc w:val="both"/>
      </w:pPr>
      <w:r>
        <w:rPr/>
        <w:t>A voidable contract is one where one or more of its parties have the power, by a manifestation of </w:t>
      </w:r>
      <w:bookmarkStart w:name="_bookmark1523" w:id="1525"/>
      <w:bookmarkEnd w:id="1525"/>
      <w:r>
        <w:rPr/>
        <w:t>election</w:t>
      </w:r>
      <w:r>
        <w:rPr/>
        <w:t> to do so, to avoid the legal relations created by the contract; or by affirmation of the </w:t>
      </w:r>
      <w:r>
        <w:rPr/>
        <w:t>contract </w:t>
      </w:r>
      <w:bookmarkStart w:name="_bookmark1524" w:id="1526"/>
      <w:bookmarkEnd w:id="1526"/>
      <w:r>
        <w:rPr/>
        <w:t>to</w:t>
      </w:r>
      <w:r>
        <w:rPr/>
        <w:t> extinguish the power of avoidance. </w:t>
      </w:r>
      <w:r>
        <w:rPr>
          <w:color w:val="005DA1"/>
          <w:u w:val="single" w:color="005DA1"/>
          <w:vertAlign w:val="superscript"/>
        </w:rPr>
        <w:t>813</w:t>
      </w:r>
      <w:r>
        <w:rPr>
          <w:color w:val="005DA1"/>
          <w:vertAlign w:val="baseline"/>
        </w:rPr>
        <w:t> </w:t>
      </w:r>
      <w:r>
        <w:rPr>
          <w:vertAlign w:val="baseline"/>
        </w:rPr>
        <w:t>In English law, contracts may be voidable, e.g. for </w:t>
      </w:r>
      <w:bookmarkStart w:name="_bookmark1525" w:id="1527"/>
      <w:bookmarkEnd w:id="1527"/>
      <w:r>
        <w:rPr>
          <w:vertAlign w:val="baseline"/>
        </w:rPr>
        <w:t>misrepresentation,</w:t>
      </w:r>
      <w:r>
        <w:rPr>
          <w:vertAlign w:val="baseline"/>
        </w:rPr>
        <w:t> </w:t>
      </w:r>
      <w:r>
        <w:rPr>
          <w:color w:val="005DA1"/>
          <w:u w:val="single" w:color="005DA1"/>
          <w:vertAlign w:val="superscript"/>
        </w:rPr>
        <w:t>814</w:t>
      </w:r>
      <w:r>
        <w:rPr>
          <w:color w:val="005DA1"/>
          <w:vertAlign w:val="baseline"/>
        </w:rPr>
        <w:t> </w:t>
      </w:r>
      <w:r>
        <w:rPr>
          <w:vertAlign w:val="baseline"/>
        </w:rPr>
        <w:t>duress, </w:t>
      </w:r>
      <w:r>
        <w:rPr>
          <w:color w:val="005DA1"/>
          <w:u w:val="single" w:color="005DA1"/>
          <w:vertAlign w:val="superscript"/>
        </w:rPr>
        <w:t>815</w:t>
      </w:r>
      <w:r>
        <w:rPr>
          <w:color w:val="005DA1"/>
          <w:vertAlign w:val="baseline"/>
        </w:rPr>
        <w:t> </w:t>
      </w:r>
      <w:r>
        <w:rPr>
          <w:vertAlign w:val="baseline"/>
        </w:rPr>
        <w:t>undue influence, </w:t>
      </w:r>
      <w:r>
        <w:rPr>
          <w:color w:val="005DA1"/>
          <w:u w:val="single" w:color="005DA1"/>
          <w:vertAlign w:val="superscript"/>
        </w:rPr>
        <w:t>816</w:t>
      </w:r>
      <w:r>
        <w:rPr>
          <w:color w:val="005DA1"/>
          <w:vertAlign w:val="baseline"/>
        </w:rPr>
        <w:t> </w:t>
      </w:r>
      <w:r>
        <w:rPr>
          <w:vertAlign w:val="baseline"/>
        </w:rPr>
        <w:t>minority, </w:t>
      </w:r>
      <w:r>
        <w:rPr>
          <w:color w:val="005DA1"/>
          <w:u w:val="single" w:color="005DA1"/>
          <w:vertAlign w:val="superscript"/>
        </w:rPr>
        <w:t>817</w:t>
      </w:r>
      <w:r>
        <w:rPr>
          <w:color w:val="005DA1"/>
          <w:vertAlign w:val="baseline"/>
        </w:rPr>
        <w:t> </w:t>
      </w:r>
      <w:r>
        <w:rPr>
          <w:vertAlign w:val="baseline"/>
        </w:rPr>
        <w:t>lack of mental capacity, </w:t>
      </w:r>
      <w:r>
        <w:rPr>
          <w:color w:val="005DA1"/>
          <w:u w:val="single" w:color="005DA1"/>
          <w:vertAlign w:val="superscript"/>
        </w:rPr>
        <w:t>818</w:t>
      </w:r>
      <w:r>
        <w:rPr>
          <w:color w:val="005DA1"/>
          <w:vertAlign w:val="baseline"/>
        </w:rPr>
        <w:t> </w:t>
      </w:r>
      <w:r>
        <w:rPr>
          <w:vertAlign w:val="baseline"/>
        </w:rPr>
        <w:t>drunkenness </w:t>
      </w:r>
      <w:r>
        <w:rPr>
          <w:color w:val="005DA1"/>
          <w:u w:val="single" w:color="005DA1"/>
          <w:vertAlign w:val="superscript"/>
        </w:rPr>
        <w:t>819</w:t>
      </w:r>
      <w:r>
        <w:rPr>
          <w:color w:val="005DA1"/>
          <w:vertAlign w:val="baseline"/>
        </w:rPr>
        <w:t> </w:t>
      </w:r>
      <w:r>
        <w:rPr>
          <w:vertAlign w:val="baseline"/>
        </w:rPr>
        <w:t>or under statute. </w:t>
      </w:r>
      <w:r>
        <w:rPr>
          <w:color w:val="005DA1"/>
          <w:u w:val="single" w:color="005DA1"/>
          <w:vertAlign w:val="superscript"/>
        </w:rPr>
        <w:t>820</w:t>
      </w:r>
      <w:r>
        <w:rPr>
          <w:color w:val="005DA1"/>
          <w:vertAlign w:val="baseline"/>
        </w:rPr>
        <w:t> </w:t>
      </w:r>
      <w:r>
        <w:rPr>
          <w:vertAlign w:val="baseline"/>
        </w:rPr>
        <w:t>If the contract is wholly executory, the party entitled to avoid the contract can plead its voidability in an action against him. If it has been wholly or partly executed, he can claim to have set it aside and to be restored to his original position. But until the right of</w:t>
      </w:r>
      <w:r>
        <w:rPr>
          <w:spacing w:val="40"/>
          <w:vertAlign w:val="baseline"/>
        </w:rPr>
        <w:t> </w:t>
      </w:r>
      <w:r>
        <w:rPr>
          <w:vertAlign w:val="baseline"/>
        </w:rPr>
        <w:t>avoidance is exercised, the contract is valid. Thus if a contract for the sale of goods is voidable for </w:t>
      </w:r>
      <w:bookmarkStart w:name="_bookmark1526" w:id="1528"/>
      <w:bookmarkEnd w:id="1528"/>
      <w:r>
        <w:rPr>
          <w:vertAlign w:val="baseline"/>
        </w:rPr>
        <w:t>fraud</w:t>
      </w:r>
      <w:r>
        <w:rPr>
          <w:vertAlign w:val="baseline"/>
        </w:rPr>
        <w:t> (but has not been avoided), the fraudulent party acquires a good title to the goods which he can transfer to an innocent purchaser for value. </w:t>
      </w:r>
      <w:r>
        <w:rPr>
          <w:color w:val="005DA1"/>
          <w:u w:val="single" w:color="005DA1"/>
          <w:vertAlign w:val="superscript"/>
        </w:rPr>
        <w:t>821</w:t>
      </w:r>
      <w:r>
        <w:rPr>
          <w:color w:val="005DA1"/>
          <w:vertAlign w:val="baseline"/>
        </w:rPr>
        <w:t> </w:t>
      </w:r>
      <w:r>
        <w:rPr>
          <w:vertAlign w:val="baseline"/>
        </w:rPr>
        <w:t>The right of avoidance must also be exercised</w:t>
      </w:r>
      <w:r>
        <w:rPr>
          <w:spacing w:val="40"/>
          <w:vertAlign w:val="baseline"/>
        </w:rPr>
        <w:t> </w:t>
      </w:r>
      <w:r>
        <w:rPr>
          <w:vertAlign w:val="baseline"/>
        </w:rPr>
        <w:t>promptly in most cases. It is theoretically possible for a contract to be avoidable by both parties thereto, e.g. if each defrauds the other, or both are drunk; but naturally instances of this are rare.</w:t>
      </w:r>
    </w:p>
    <w:p>
      <w:pPr>
        <w:pStyle w:val="BodyText"/>
      </w:pPr>
    </w:p>
    <w:p>
      <w:pPr>
        <w:pStyle w:val="BodyText"/>
        <w:spacing w:before="34"/>
      </w:pPr>
    </w:p>
    <w:p>
      <w:pPr>
        <w:spacing w:before="1"/>
        <w:ind w:left="164" w:right="0" w:firstLine="0"/>
        <w:jc w:val="left"/>
        <w:rPr>
          <w:rFonts w:ascii="Arial"/>
          <w:b/>
          <w:sz w:val="18"/>
        </w:rPr>
      </w:pPr>
      <w:r>
        <w:rPr>
          <w:rFonts w:ascii="Arial"/>
          <w:b/>
          <w:sz w:val="18"/>
        </w:rPr>
        <w:t>Power to set aside on </w:t>
      </w:r>
      <w:r>
        <w:rPr>
          <w:rFonts w:ascii="Arial"/>
          <w:b/>
          <w:spacing w:val="-2"/>
          <w:sz w:val="18"/>
        </w:rPr>
        <w:t>terms</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111</w:t>
      </w:r>
    </w:p>
    <w:p>
      <w:pPr>
        <w:pStyle w:val="BodyText"/>
        <w:spacing w:line="235" w:lineRule="auto" w:before="202"/>
        <w:ind w:left="164" w:right="167"/>
        <w:jc w:val="both"/>
      </w:pPr>
      <w:r>
        <w:rPr/>
        <w:t>In the case of contracts said to be voidable for common mistake in equity, this description refers </w:t>
      </w:r>
      <w:r>
        <w:rPr/>
        <w:t>not</w:t>
      </w:r>
      <w:r>
        <w:rPr>
          <w:spacing w:val="80"/>
        </w:rPr>
        <w:t> </w:t>
      </w:r>
      <w:bookmarkStart w:name="_bookmark1527" w:id="1529"/>
      <w:bookmarkEnd w:id="1529"/>
      <w:r>
        <w:rPr/>
        <w:t>to</w:t>
      </w:r>
      <w:r>
        <w:rPr/>
        <w:t> a power in one or other of the parties to avoid the contract, but to a power in the court to set aside </w:t>
      </w:r>
      <w:bookmarkStart w:name="_bookmark1528" w:id="1530"/>
      <w:bookmarkEnd w:id="1530"/>
      <w:r>
        <w:rPr/>
        <w:t>the</w:t>
      </w:r>
      <w:r>
        <w:rPr/>
        <w:t> contract on terms. </w:t>
      </w:r>
      <w:r>
        <w:rPr>
          <w:color w:val="005DA1"/>
          <w:u w:val="single" w:color="005DA1"/>
          <w:vertAlign w:val="superscript"/>
        </w:rPr>
        <w:t>822</w:t>
      </w:r>
      <w:r>
        <w:rPr>
          <w:color w:val="005DA1"/>
          <w:vertAlign w:val="baseline"/>
        </w:rPr>
        <w:t> </w:t>
      </w:r>
      <w:r>
        <w:rPr>
          <w:vertAlign w:val="baseline"/>
        </w:rPr>
        <w:t>However, the existence of such a distinct equitable jurisdiction has been denied on the ground of its being irreconcilable with the leading, higher common law authority. </w:t>
      </w:r>
      <w:r>
        <w:rPr>
          <w:color w:val="005DA1"/>
          <w:u w:val="single" w:color="005DA1"/>
          <w:vertAlign w:val="superscript"/>
        </w:rPr>
        <w:t>823</w:t>
      </w:r>
    </w:p>
    <w:p>
      <w:pPr>
        <w:pStyle w:val="BodyText"/>
      </w:pPr>
    </w:p>
    <w:p>
      <w:pPr>
        <w:pStyle w:val="BodyText"/>
        <w:spacing w:before="37"/>
      </w:pPr>
    </w:p>
    <w:p>
      <w:pPr>
        <w:spacing w:before="1"/>
        <w:ind w:left="165" w:right="0" w:firstLine="0"/>
        <w:jc w:val="left"/>
        <w:rPr>
          <w:rFonts w:ascii="Arial"/>
          <w:b/>
          <w:sz w:val="18"/>
        </w:rPr>
      </w:pPr>
      <w:r>
        <w:rPr>
          <w:rFonts w:ascii="Arial"/>
          <w:b/>
          <w:sz w:val="18"/>
        </w:rPr>
        <w:t>Unenforceable </w:t>
      </w:r>
      <w:r>
        <w:rPr>
          <w:rFonts w:ascii="Arial"/>
          <w:b/>
          <w:spacing w:val="-2"/>
          <w:sz w:val="18"/>
        </w:rPr>
        <w:t>contracts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112</w:t>
      </w:r>
    </w:p>
    <w:p>
      <w:pPr>
        <w:pStyle w:val="BodyText"/>
        <w:spacing w:line="235" w:lineRule="auto" w:before="202"/>
        <w:ind w:left="164" w:right="167"/>
        <w:jc w:val="both"/>
      </w:pPr>
      <w:r>
        <w:rPr/>
        <w:t>Unenforceable contracts are valid in all respects except that one or both parties cannot be sued on</w:t>
      </w:r>
      <w:r>
        <w:rPr>
          <w:spacing w:val="40"/>
        </w:rPr>
        <w:t> </w:t>
      </w:r>
      <w:bookmarkStart w:name="_bookmark1529" w:id="1531"/>
      <w:bookmarkEnd w:id="1531"/>
      <w:r>
        <w:rPr/>
        <w:t>the</w:t>
      </w:r>
      <w:r>
        <w:rPr/>
        <w:t> contract. Instances of unenforceable contracts in English law are afforded by certain </w:t>
      </w:r>
      <w:r>
        <w:rPr/>
        <w:t>contracts </w:t>
      </w:r>
      <w:bookmarkStart w:name="_bookmark1530" w:id="1532"/>
      <w:bookmarkEnd w:id="1532"/>
      <w:r>
        <w:rPr/>
        <w:t>which</w:t>
      </w:r>
      <w:r>
        <w:rPr/>
        <w:t> are not evidenced by a signed writing as required by statute </w:t>
      </w:r>
      <w:r>
        <w:rPr>
          <w:color w:val="005DA1"/>
          <w:u w:val="single" w:color="005DA1"/>
          <w:vertAlign w:val="superscript"/>
        </w:rPr>
        <w:t>824</w:t>
      </w:r>
      <w:r>
        <w:rPr>
          <w:vertAlign w:val="baseline"/>
        </w:rPr>
        <w:t>; contracts in respect of which </w:t>
      </w:r>
      <w:bookmarkStart w:name="_bookmark1531" w:id="1533"/>
      <w:bookmarkEnd w:id="1533"/>
      <w:r>
        <w:rPr>
          <w:vertAlign w:val="baseline"/>
        </w:rPr>
        <w:t>the</w:t>
      </w:r>
      <w:r>
        <w:rPr>
          <w:vertAlign w:val="baseline"/>
        </w:rPr>
        <w:t> right of action is barred by the Limitation Act 1980 </w:t>
      </w:r>
      <w:r>
        <w:rPr>
          <w:color w:val="005DA1"/>
          <w:u w:val="single" w:color="005DA1"/>
          <w:vertAlign w:val="superscript"/>
        </w:rPr>
        <w:t>825</w:t>
      </w:r>
      <w:r>
        <w:rPr>
          <w:vertAlign w:val="baseline"/>
        </w:rPr>
        <w:t>; and certain contracts with a foreign sovereign </w:t>
      </w:r>
      <w:r>
        <w:rPr>
          <w:color w:val="005DA1"/>
          <w:u w:val="single" w:color="005DA1"/>
          <w:vertAlign w:val="superscript"/>
        </w:rPr>
        <w:t>826</w:t>
      </w:r>
      <w:r>
        <w:rPr>
          <w:color w:val="005DA1"/>
          <w:vertAlign w:val="baseline"/>
        </w:rPr>
        <w:t> </w:t>
      </w:r>
      <w:r>
        <w:rPr>
          <w:vertAlign w:val="baseline"/>
        </w:rPr>
        <w:t>or in breach of foreign exchange control regulations. </w:t>
      </w:r>
      <w:r>
        <w:rPr>
          <w:color w:val="005DA1"/>
          <w:u w:val="single" w:color="005DA1"/>
          <w:vertAlign w:val="superscript"/>
        </w:rPr>
        <w:t>827</w:t>
      </w:r>
      <w:r>
        <w:rPr>
          <w:color w:val="005DA1"/>
          <w:vertAlign w:val="baseline"/>
        </w:rPr>
        <w:t> </w:t>
      </w:r>
      <w:r>
        <w:rPr>
          <w:vertAlign w:val="baseline"/>
        </w:rPr>
        <w:t>In some cases the defect of </w:t>
      </w:r>
      <w:bookmarkStart w:name="_bookmark1532" w:id="1534"/>
      <w:bookmarkEnd w:id="1534"/>
      <w:r>
        <w:rPr>
          <w:vertAlign w:val="baseline"/>
        </w:rPr>
        <w:t>unenforceability</w:t>
      </w:r>
      <w:r>
        <w:rPr>
          <w:vertAlign w:val="baseline"/>
        </w:rPr>
        <w:t> is curable. Thus, if written evidence of a contract of guarantee comes into existence, the contract becomes enforceable, though it was made orally </w:t>
      </w:r>
      <w:r>
        <w:rPr>
          <w:color w:val="005DA1"/>
          <w:u w:val="single" w:color="005DA1"/>
          <w:vertAlign w:val="superscript"/>
        </w:rPr>
        <w:t>828</w:t>
      </w:r>
      <w:r>
        <w:rPr>
          <w:vertAlign w:val="baseline"/>
        </w:rPr>
        <w:t>; a current period of limitation may be </w:t>
      </w:r>
      <w:bookmarkStart w:name="_bookmark1533" w:id="1535"/>
      <w:bookmarkEnd w:id="1535"/>
      <w:r>
        <w:rPr>
          <w:vertAlign w:val="baseline"/>
        </w:rPr>
        <w:t>repeatedly</w:t>
      </w:r>
      <w:r>
        <w:rPr>
          <w:vertAlign w:val="baseline"/>
        </w:rPr>
        <w:t> extended if the defendant makes a written acknowledgment of his indebtedness, or a part payment </w:t>
      </w:r>
      <w:r>
        <w:rPr>
          <w:color w:val="005DA1"/>
          <w:u w:val="single" w:color="005DA1"/>
          <w:vertAlign w:val="superscript"/>
        </w:rPr>
        <w:t>829</w:t>
      </w:r>
      <w:r>
        <w:rPr>
          <w:vertAlign w:val="baseline"/>
        </w:rPr>
        <w:t>; a foreign sovereign may waive his immunity. </w:t>
      </w:r>
      <w:r>
        <w:rPr>
          <w:color w:val="005DA1"/>
          <w:u w:val="single" w:color="005DA1"/>
          <w:vertAlign w:val="superscript"/>
        </w:rPr>
        <w:t>830</w:t>
      </w:r>
      <w:r>
        <w:rPr>
          <w:color w:val="005DA1"/>
          <w:vertAlign w:val="baseline"/>
        </w:rPr>
        <w:t> </w:t>
      </w:r>
      <w:r>
        <w:rPr>
          <w:vertAlign w:val="baseline"/>
        </w:rPr>
        <w:t>An unenforceable contract may be </w:t>
      </w:r>
      <w:bookmarkStart w:name="_bookmark1534" w:id="1536"/>
      <w:bookmarkEnd w:id="1536"/>
      <w:r>
        <w:rPr>
          <w:vertAlign w:val="baseline"/>
        </w:rPr>
        <w:t>indirectly</w:t>
      </w:r>
      <w:r>
        <w:rPr>
          <w:vertAlign w:val="baseline"/>
        </w:rPr>
        <w:t> enforceable by means other than bringing an action. Thus a statute-barred debt may be recoverable indirectly if the creditor has a lien on goods of the debtor which are in his possession. </w:t>
      </w:r>
      <w:r>
        <w:rPr>
          <w:color w:val="005DA1"/>
          <w:u w:val="single" w:color="005DA1"/>
          <w:vertAlign w:val="superscript"/>
        </w:rPr>
        <w:t>831</w:t>
      </w:r>
      <w:r>
        <w:rPr>
          <w:color w:val="005DA1"/>
          <w:vertAlign w:val="baseline"/>
        </w:rPr>
        <w:t> </w:t>
      </w:r>
      <w:r>
        <w:rPr>
          <w:vertAlign w:val="baseline"/>
        </w:rPr>
        <w:t>Although in principle a term in a consumer contract found to be unfair will not bind a consumer, “the </w:t>
      </w:r>
      <w:bookmarkStart w:name="_bookmark1535" w:id="1537"/>
      <w:bookmarkEnd w:id="1537"/>
      <w:r>
        <w:rPr>
          <w:vertAlign w:val="baseline"/>
        </w:rPr>
        <w:t>contract</w:t>
      </w:r>
      <w:r>
        <w:rPr>
          <w:vertAlign w:val="baseline"/>
        </w:rPr>
        <w:t> shall continue to bind the parties if it is capable of continuing in existence without the unfair </w:t>
      </w:r>
      <w:bookmarkStart w:name="_bookmark1536" w:id="1538"/>
      <w:bookmarkEnd w:id="1538"/>
      <w:r>
        <w:rPr>
          <w:vertAlign w:val="baseline"/>
        </w:rPr>
        <w:t>term”.</w:t>
      </w:r>
      <w:r>
        <w:rPr>
          <w:spacing w:val="-1"/>
          <w:vertAlign w:val="baseline"/>
        </w:rPr>
        <w:t> </w:t>
      </w:r>
      <w:r>
        <w:rPr>
          <w:color w:val="005DA1"/>
          <w:u w:val="single" w:color="005DA1"/>
          <w:vertAlign w:val="superscript"/>
        </w:rPr>
        <w:t>832</w:t>
      </w:r>
      <w:r>
        <w:rPr>
          <w:color w:val="005DA1"/>
          <w:spacing w:val="-1"/>
          <w:vertAlign w:val="baseline"/>
        </w:rPr>
        <w:t> </w:t>
      </w:r>
      <w:r>
        <w:rPr>
          <w:vertAlign w:val="baseline"/>
        </w:rPr>
        <w:t>If,</w:t>
      </w:r>
      <w:r>
        <w:rPr>
          <w:spacing w:val="-1"/>
          <w:vertAlign w:val="baseline"/>
        </w:rPr>
        <w:t> </w:t>
      </w:r>
      <w:r>
        <w:rPr>
          <w:vertAlign w:val="baseline"/>
        </w:rPr>
        <w:t>therefore,</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capable</w:t>
      </w:r>
      <w:r>
        <w:rPr>
          <w:spacing w:val="-1"/>
          <w:vertAlign w:val="baseline"/>
        </w:rPr>
        <w:t> </w:t>
      </w:r>
      <w:r>
        <w:rPr>
          <w:vertAlign w:val="baseline"/>
        </w:rPr>
        <w:t>of</w:t>
      </w:r>
      <w:r>
        <w:rPr>
          <w:spacing w:val="-1"/>
          <w:vertAlign w:val="baseline"/>
        </w:rPr>
        <w:t> </w:t>
      </w:r>
      <w:r>
        <w:rPr>
          <w:vertAlign w:val="baseline"/>
        </w:rPr>
        <w:t>continuing</w:t>
      </w:r>
      <w:r>
        <w:rPr>
          <w:spacing w:val="-1"/>
          <w:vertAlign w:val="baseline"/>
        </w:rPr>
        <w:t> </w:t>
      </w:r>
      <w:r>
        <w:rPr>
          <w:vertAlign w:val="baseline"/>
        </w:rPr>
        <w:t>in</w:t>
      </w:r>
      <w:r>
        <w:rPr>
          <w:spacing w:val="-1"/>
          <w:vertAlign w:val="baseline"/>
        </w:rPr>
        <w:t> </w:t>
      </w:r>
      <w:r>
        <w:rPr>
          <w:vertAlign w:val="baseline"/>
        </w:rPr>
        <w:t>existence</w:t>
      </w:r>
      <w:r>
        <w:rPr>
          <w:spacing w:val="-1"/>
          <w:vertAlign w:val="baseline"/>
        </w:rPr>
        <w:t> </w:t>
      </w:r>
      <w:r>
        <w:rPr>
          <w:vertAlign w:val="baseline"/>
        </w:rPr>
        <w:t>without</w:t>
      </w:r>
      <w:r>
        <w:rPr>
          <w:spacing w:val="-1"/>
          <w:vertAlign w:val="baseline"/>
        </w:rPr>
        <w:t> </w:t>
      </w:r>
      <w:r>
        <w:rPr>
          <w:vertAlign w:val="baseline"/>
        </w:rPr>
        <w:t>the</w:t>
      </w:r>
      <w:r>
        <w:rPr>
          <w:spacing w:val="-1"/>
          <w:vertAlign w:val="baseline"/>
        </w:rPr>
        <w:t> </w:t>
      </w:r>
      <w:r>
        <w:rPr>
          <w:vertAlign w:val="baseline"/>
        </w:rPr>
        <w:t>unfair</w:t>
      </w:r>
      <w:r>
        <w:rPr>
          <w:spacing w:val="-1"/>
          <w:vertAlign w:val="baseline"/>
        </w:rPr>
        <w:t> </w:t>
      </w:r>
      <w:r>
        <w:rPr>
          <w:vertAlign w:val="baseline"/>
        </w:rPr>
        <w:t>term,</w:t>
      </w:r>
      <w:r>
        <w:rPr>
          <w:spacing w:val="-1"/>
          <w:vertAlign w:val="baseline"/>
        </w:rPr>
        <w:t> </w:t>
      </w:r>
      <w:r>
        <w:rPr>
          <w:vertAlign w:val="baseline"/>
        </w:rPr>
        <w:t>then apparently the consumer contract is unenforceable by either party. </w:t>
      </w:r>
      <w:r>
        <w:rPr>
          <w:color w:val="005DA1"/>
          <w:u w:val="single" w:color="005DA1"/>
          <w:vertAlign w:val="superscript"/>
        </w:rPr>
        <w:t>833</w:t>
      </w:r>
    </w:p>
    <w:p>
      <w:pPr>
        <w:pStyle w:val="BodyText"/>
        <w:spacing w:after="0" w:line="235" w:lineRule="auto"/>
        <w:jc w:val="both"/>
        <w:sectPr>
          <w:pgSz w:w="11900" w:h="16840"/>
          <w:pgMar w:header="971" w:footer="0" w:top="1300" w:bottom="280" w:left="1275" w:right="1275"/>
        </w:sectPr>
      </w:pPr>
    </w:p>
    <w:p>
      <w:pPr>
        <w:pStyle w:val="BodyText"/>
        <w:spacing w:before="184"/>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381" name="Group 381"/>
                <wp:cNvGraphicFramePr>
                  <a:graphicFrameLocks/>
                </wp:cNvGraphicFramePr>
                <a:graphic>
                  <a:graphicData uri="http://schemas.microsoft.com/office/word/2010/wordprocessingGroup">
                    <wpg:wgp>
                      <wpg:cNvPr id="381" name="Group 381"/>
                      <wpg:cNvGrpSpPr/>
                      <wpg:grpSpPr>
                        <a:xfrm>
                          <a:off x="0" y="0"/>
                          <a:ext cx="5724525" cy="12700"/>
                          <a:chExt cx="5724525" cy="12700"/>
                        </a:xfrm>
                      </wpg:grpSpPr>
                      <wps:wsp>
                        <wps:cNvPr id="382" name="Graphic 382"/>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51" coordorigin="0,0" coordsize="9015,20">
                <v:line style="position:absolute" from="0,10" to="9014,10" stroked="true" strokeweight="1pt" strokecolor="#000000">
                  <v:stroke dashstyle="solid"/>
                </v:line>
              </v:group>
            </w:pict>
          </mc:Fallback>
        </mc:AlternateContent>
      </w:r>
      <w:r>
        <w:rPr>
          <w:sz w:val="2"/>
        </w:rPr>
      </w:r>
    </w:p>
    <w:p>
      <w:pPr>
        <w:pStyle w:val="BodyText"/>
        <w:spacing w:before="91"/>
      </w:pPr>
    </w:p>
    <w:p>
      <w:pPr>
        <w:pStyle w:val="BodyText"/>
        <w:tabs>
          <w:tab w:pos="705" w:val="left" w:leader="none"/>
        </w:tabs>
        <w:spacing w:line="235" w:lineRule="auto"/>
        <w:ind w:left="705" w:right="168" w:hanging="541"/>
      </w:pPr>
      <w:bookmarkStart w:name="_bookmark1537" w:id="1539"/>
      <w:bookmarkEnd w:id="1539"/>
      <w:r>
        <w:rPr/>
      </w:r>
      <w:hyperlink w:history="true" w:anchor="_bookmark1513">
        <w:r>
          <w:rPr>
            <w:color w:val="005DA1"/>
            <w:spacing w:val="-4"/>
            <w:position w:val="5"/>
            <w:sz w:val="14"/>
            <w:u w:val="single" w:color="005DA1"/>
          </w:rPr>
          <w:t>803</w:t>
        </w:r>
      </w:hyperlink>
      <w:r>
        <w:rPr>
          <w:spacing w:val="-4"/>
          <w:position w:val="5"/>
          <w:sz w:val="14"/>
        </w:rPr>
        <w:t>.</w:t>
      </w:r>
      <w:r>
        <w:rPr>
          <w:position w:val="5"/>
          <w:sz w:val="14"/>
        </w:rPr>
        <w:tab/>
      </w:r>
      <w:r>
        <w:rPr/>
        <w:t>Restatement</w:t>
      </w:r>
      <w:r>
        <w:rPr>
          <w:spacing w:val="40"/>
        </w:rPr>
        <w:t> </w:t>
      </w:r>
      <w:r>
        <w:rPr/>
        <w:t>of</w:t>
      </w:r>
      <w:r>
        <w:rPr>
          <w:spacing w:val="40"/>
        </w:rPr>
        <w:t> </w:t>
      </w:r>
      <w:r>
        <w:rPr/>
        <w:t>Contracts</w:t>
      </w:r>
      <w:r>
        <w:rPr>
          <w:spacing w:val="40"/>
        </w:rPr>
        <w:t> </w:t>
      </w:r>
      <w:r>
        <w:rPr/>
        <w:t>(1932),</w:t>
      </w:r>
      <w:r>
        <w:rPr>
          <w:spacing w:val="40"/>
        </w:rPr>
        <w:t> </w:t>
      </w:r>
      <w:r>
        <w:rPr/>
        <w:t>para.12.</w:t>
      </w:r>
      <w:r>
        <w:rPr>
          <w:spacing w:val="40"/>
        </w:rPr>
        <w:t> </w:t>
      </w:r>
      <w:r>
        <w:rPr/>
        <w:t>The</w:t>
      </w:r>
      <w:r>
        <w:rPr>
          <w:spacing w:val="40"/>
        </w:rPr>
        <w:t> </w:t>
      </w:r>
      <w:r>
        <w:rPr/>
        <w:t>Restatement</w:t>
      </w:r>
      <w:r>
        <w:rPr>
          <w:spacing w:val="40"/>
        </w:rPr>
        <w:t> </w:t>
      </w:r>
      <w:r>
        <w:rPr/>
        <w:t>of</w:t>
      </w:r>
      <w:r>
        <w:rPr>
          <w:spacing w:val="40"/>
        </w:rPr>
        <w:t> </w:t>
      </w:r>
      <w:r>
        <w:rPr/>
        <w:t>Contracts,</w:t>
      </w:r>
      <w:r>
        <w:rPr>
          <w:spacing w:val="40"/>
        </w:rPr>
        <w:t> </w:t>
      </w:r>
      <w:r>
        <w:rPr/>
        <w:t>2nd</w:t>
      </w:r>
      <w:r>
        <w:rPr>
          <w:spacing w:val="40"/>
        </w:rPr>
        <w:t> </w:t>
      </w:r>
      <w:r>
        <w:rPr/>
        <w:t>edn</w:t>
      </w:r>
      <w:r>
        <w:rPr>
          <w:spacing w:val="40"/>
        </w:rPr>
        <w:t> </w:t>
      </w:r>
      <w:r>
        <w:rPr/>
        <w:t>(1981), para.45 abandons this distinction and substitutes for unilateral contracts “option contracts”.</w:t>
      </w:r>
    </w:p>
    <w:p>
      <w:pPr>
        <w:pStyle w:val="BodyText"/>
        <w:spacing w:before="9"/>
      </w:pPr>
    </w:p>
    <w:p>
      <w:pPr>
        <w:spacing w:line="235" w:lineRule="auto" w:before="0"/>
        <w:ind w:left="705" w:right="167" w:hanging="541"/>
        <w:jc w:val="both"/>
        <w:rPr>
          <w:sz w:val="20"/>
        </w:rPr>
      </w:pPr>
      <w:bookmarkStart w:name="_bookmark1538" w:id="1540"/>
      <w:bookmarkEnd w:id="1540"/>
      <w:r>
        <w:rPr/>
      </w:r>
      <w:hyperlink w:history="true" w:anchor="_bookmark1514">
        <w:r>
          <w:rPr>
            <w:color w:val="005DA1"/>
            <w:position w:val="5"/>
            <w:sz w:val="14"/>
            <w:u w:val="single" w:color="005DA1"/>
          </w:rPr>
          <w:t>804</w:t>
        </w:r>
      </w:hyperlink>
      <w:r>
        <w:rPr>
          <w:position w:val="5"/>
          <w:sz w:val="14"/>
        </w:rPr>
        <w:t>.</w:t>
      </w:r>
      <w:r>
        <w:rPr>
          <w:spacing w:val="80"/>
          <w:position w:val="5"/>
          <w:sz w:val="14"/>
        </w:rPr>
        <w:t>  </w:t>
      </w:r>
      <w:r>
        <w:rPr>
          <w:sz w:val="20"/>
        </w:rPr>
        <w:t>See </w:t>
      </w:r>
      <w:r>
        <w:rPr>
          <w:rFonts w:ascii="Arial" w:hAnsi="Arial"/>
          <w:i/>
          <w:sz w:val="20"/>
        </w:rPr>
        <w:t>New Zealand Shipping Co Ltd v A.M. Satterthwaite &amp; Co Ltd [1975] A.C. 154, 167–168, 171, 177</w:t>
      </w:r>
      <w:r>
        <w:rPr>
          <w:sz w:val="20"/>
        </w:rPr>
        <w:t>. Quaere whether the engagement of an estate agent is a unilateral contract: </w:t>
      </w:r>
      <w:r>
        <w:rPr>
          <w:rFonts w:ascii="Arial" w:hAnsi="Arial"/>
          <w:i/>
          <w:sz w:val="20"/>
        </w:rPr>
        <w:t>Luxor (Eastbourne)</w:t>
      </w:r>
      <w:r>
        <w:rPr>
          <w:rFonts w:ascii="Arial" w:hAnsi="Arial"/>
          <w:i/>
          <w:spacing w:val="25"/>
          <w:sz w:val="20"/>
        </w:rPr>
        <w:t> </w:t>
      </w:r>
      <w:r>
        <w:rPr>
          <w:rFonts w:ascii="Arial" w:hAnsi="Arial"/>
          <w:i/>
          <w:sz w:val="20"/>
        </w:rPr>
        <w:t>Ltd</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Cooper</w:t>
      </w:r>
      <w:r>
        <w:rPr>
          <w:rFonts w:ascii="Arial" w:hAnsi="Arial"/>
          <w:i/>
          <w:spacing w:val="26"/>
          <w:sz w:val="20"/>
        </w:rPr>
        <w:t> </w:t>
      </w:r>
      <w:r>
        <w:rPr>
          <w:rFonts w:ascii="Arial" w:hAnsi="Arial"/>
          <w:i/>
          <w:sz w:val="20"/>
        </w:rPr>
        <w:t>[1941]</w:t>
      </w:r>
      <w:r>
        <w:rPr>
          <w:rFonts w:ascii="Arial" w:hAnsi="Arial"/>
          <w:i/>
          <w:spacing w:val="26"/>
          <w:sz w:val="20"/>
        </w:rPr>
        <w:t> </w:t>
      </w:r>
      <w:r>
        <w:rPr>
          <w:rFonts w:ascii="Arial" w:hAnsi="Arial"/>
          <w:i/>
          <w:sz w:val="20"/>
        </w:rPr>
        <w:t>A.C.</w:t>
      </w:r>
      <w:r>
        <w:rPr>
          <w:rFonts w:ascii="Arial" w:hAnsi="Arial"/>
          <w:i/>
          <w:spacing w:val="26"/>
          <w:sz w:val="20"/>
        </w:rPr>
        <w:t> </w:t>
      </w:r>
      <w:r>
        <w:rPr>
          <w:rFonts w:ascii="Arial" w:hAnsi="Arial"/>
          <w:i/>
          <w:sz w:val="20"/>
        </w:rPr>
        <w:t>108,</w:t>
      </w:r>
      <w:r>
        <w:rPr>
          <w:rFonts w:ascii="Arial" w:hAnsi="Arial"/>
          <w:i/>
          <w:spacing w:val="26"/>
          <w:sz w:val="20"/>
        </w:rPr>
        <w:t> </w:t>
      </w:r>
      <w:r>
        <w:rPr>
          <w:rFonts w:ascii="Arial" w:hAnsi="Arial"/>
          <w:i/>
          <w:sz w:val="20"/>
        </w:rPr>
        <w:t>124</w:t>
      </w:r>
      <w:r>
        <w:rPr>
          <w:sz w:val="20"/>
        </w:rPr>
        <w:t>;</w:t>
      </w:r>
      <w:r>
        <w:rPr>
          <w:spacing w:val="26"/>
          <w:sz w:val="20"/>
        </w:rPr>
        <w:t> </w:t>
      </w:r>
      <w:r>
        <w:rPr>
          <w:sz w:val="20"/>
        </w:rPr>
        <w:t>Murdoch</w:t>
      </w:r>
      <w:r>
        <w:rPr>
          <w:spacing w:val="26"/>
          <w:sz w:val="20"/>
        </w:rPr>
        <w:t> </w:t>
      </w:r>
      <w:r>
        <w:rPr>
          <w:sz w:val="20"/>
        </w:rPr>
        <w:t>(1975)</w:t>
      </w:r>
      <w:r>
        <w:rPr>
          <w:spacing w:val="26"/>
          <w:sz w:val="20"/>
        </w:rPr>
        <w:t> </w:t>
      </w:r>
      <w:r>
        <w:rPr>
          <w:sz w:val="20"/>
        </w:rPr>
        <w:t>91</w:t>
      </w:r>
      <w:r>
        <w:rPr>
          <w:spacing w:val="26"/>
          <w:sz w:val="20"/>
        </w:rPr>
        <w:t> </w:t>
      </w:r>
      <w:r>
        <w:rPr>
          <w:sz w:val="20"/>
        </w:rPr>
        <w:t>L.Q.R.</w:t>
      </w:r>
      <w:r>
        <w:rPr>
          <w:spacing w:val="26"/>
          <w:sz w:val="20"/>
        </w:rPr>
        <w:t> </w:t>
      </w:r>
      <w:r>
        <w:rPr>
          <w:sz w:val="20"/>
        </w:rPr>
        <w:t>357;</w:t>
      </w:r>
      <w:r>
        <w:rPr>
          <w:spacing w:val="26"/>
          <w:sz w:val="20"/>
        </w:rPr>
        <w:t> </w:t>
      </w:r>
      <w:r>
        <w:rPr>
          <w:spacing w:val="-2"/>
          <w:sz w:val="20"/>
        </w:rPr>
        <w:t>McConnell</w:t>
      </w:r>
    </w:p>
    <w:p>
      <w:pPr>
        <w:pStyle w:val="BodyText"/>
        <w:spacing w:line="225" w:lineRule="exact"/>
        <w:ind w:left="705"/>
      </w:pPr>
      <w:r>
        <w:rPr/>
        <w:t>(1983) 265 E.G. </w:t>
      </w:r>
      <w:r>
        <w:rPr>
          <w:spacing w:val="-4"/>
        </w:rPr>
        <w:t>547.</w:t>
      </w:r>
    </w:p>
    <w:p>
      <w:pPr>
        <w:pStyle w:val="BodyText"/>
        <w:spacing w:before="9"/>
      </w:pPr>
    </w:p>
    <w:p>
      <w:pPr>
        <w:pStyle w:val="BodyText"/>
        <w:spacing w:line="235" w:lineRule="auto"/>
        <w:ind w:left="705" w:right="167" w:hanging="541"/>
        <w:jc w:val="both"/>
      </w:pPr>
      <w:bookmarkStart w:name="_bookmark1539" w:id="1541"/>
      <w:bookmarkEnd w:id="1541"/>
      <w:r>
        <w:rPr/>
      </w:r>
      <w:hyperlink w:history="true" w:anchor="_bookmark1515">
        <w:r>
          <w:rPr>
            <w:color w:val="005DA1"/>
            <w:position w:val="5"/>
            <w:sz w:val="14"/>
            <w:u w:val="single" w:color="005DA1"/>
          </w:rPr>
          <w:t>805</w:t>
        </w:r>
      </w:hyperlink>
      <w:r>
        <w:rPr>
          <w:position w:val="5"/>
          <w:sz w:val="14"/>
        </w:rPr>
        <w:t>.</w:t>
      </w:r>
      <w:r>
        <w:rPr>
          <w:spacing w:val="40"/>
          <w:position w:val="5"/>
          <w:sz w:val="14"/>
        </w:rPr>
        <w:t>  </w:t>
      </w:r>
      <w:r>
        <w:rPr/>
        <w:t>See </w:t>
      </w:r>
      <w:r>
        <w:rPr>
          <w:rFonts w:ascii="Arial"/>
          <w:i/>
        </w:rPr>
        <w:t>Carlill v Carbolic Smoke Ball Co [1893] 1 Q.B. 256</w:t>
      </w:r>
      <w:r>
        <w:rPr/>
        <w:t>. In certain situations, a contract </w:t>
      </w:r>
      <w:r>
        <w:rPr/>
        <w:t>under which only one party undertakes an obligation may be truly one-sided, in that the other party may be dispensed from the need to provide consideration. Thus, an agreement contained in a deed under which A covenants to pay B a sum of money may be considered a unilateral contract as only A undertakes an obligation (see below, para.1-136).</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20288">
            <wp:simplePos x="0" y="0"/>
            <wp:positionH relativeFrom="page">
              <wp:posOffset>1257846</wp:posOffset>
            </wp:positionH>
            <wp:positionV relativeFrom="paragraph">
              <wp:posOffset>160385</wp:posOffset>
            </wp:positionV>
            <wp:extent cx="107988" cy="107988"/>
            <wp:effectExtent l="0" t="0" r="0" b="0"/>
            <wp:wrapNone/>
            <wp:docPr id="383" name="Image 383"/>
            <wp:cNvGraphicFramePr>
              <a:graphicFrameLocks/>
            </wp:cNvGraphicFramePr>
            <a:graphic>
              <a:graphicData uri="http://schemas.openxmlformats.org/drawingml/2006/picture">
                <pic:pic>
                  <pic:nvPicPr>
                    <pic:cNvPr id="383" name="Image 38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40" w:id="1542"/>
      <w:bookmarkEnd w:id="1542"/>
      <w:r>
        <w:rPr/>
      </w:r>
      <w:hyperlink w:history="true" w:anchor="_bookmark1516">
        <w:r>
          <w:rPr>
            <w:color w:val="005DA1"/>
            <w:spacing w:val="-4"/>
            <w:sz w:val="14"/>
            <w:u w:val="single" w:color="005DA1"/>
          </w:rPr>
          <w:t>806</w:t>
        </w:r>
      </w:hyperlink>
      <w:r>
        <w:rPr>
          <w:spacing w:val="-4"/>
          <w:sz w:val="14"/>
        </w:rPr>
        <w:t>.</w:t>
      </w:r>
    </w:p>
    <w:p>
      <w:pPr>
        <w:pStyle w:val="BodyText"/>
        <w:spacing w:line="235" w:lineRule="auto" w:before="212"/>
        <w:ind w:left="165" w:right="167" w:firstLine="170"/>
        <w:jc w:val="both"/>
      </w:pPr>
      <w:r>
        <w:rPr/>
        <w:br w:type="column"/>
      </w:r>
      <w:r>
        <w:rPr/>
        <w:t>For an unusual example of a unilateral contract see </w:t>
      </w:r>
      <w:r>
        <w:rPr>
          <w:rFonts w:ascii="Arial"/>
          <w:i/>
        </w:rPr>
        <w:t>Rollerteam Ltd v Riley [2016] EWCA Civ 1291, [2017] Ch. 109 </w:t>
      </w:r>
      <w:r>
        <w:rPr/>
        <w:t>esp. at [45], where the description in the text of unilateral contracts </w:t>
      </w:r>
      <w:r>
        <w:rPr/>
        <w:t>was cited with approval. On this case see below, para.5-017. On the issue of when such a contract</w:t>
      </w:r>
      <w:r>
        <w:rPr>
          <w:spacing w:val="40"/>
        </w:rPr>
        <w:t> </w:t>
      </w:r>
      <w:r>
        <w:rPr/>
        <w:t>is formed see below, paras 2-082 et seq.</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1541" w:id="1543"/>
      <w:bookmarkEnd w:id="1543"/>
      <w:r>
        <w:rPr/>
      </w:r>
      <w:hyperlink w:history="true" w:anchor="_bookmark1517">
        <w:r>
          <w:rPr>
            <w:color w:val="005DA1"/>
            <w:spacing w:val="-4"/>
            <w:position w:val="5"/>
            <w:sz w:val="14"/>
            <w:u w:val="single" w:color="005DA1"/>
          </w:rPr>
          <w:t>807</w:t>
        </w:r>
      </w:hyperlink>
      <w:r>
        <w:rPr>
          <w:spacing w:val="-4"/>
          <w:position w:val="5"/>
          <w:sz w:val="14"/>
        </w:rPr>
        <w:t>.</w:t>
      </w:r>
      <w:r>
        <w:rPr>
          <w:position w:val="5"/>
          <w:sz w:val="14"/>
        </w:rPr>
        <w:tab/>
      </w:r>
      <w:r>
        <w:rPr/>
        <w:t>See below, paras 3-036 et seq. and 6-008 but cf. paras 3-029 et </w:t>
      </w:r>
      <w:r>
        <w:rPr>
          <w:spacing w:val="-4"/>
        </w:rPr>
        <w:t>seq.</w:t>
      </w:r>
    </w:p>
    <w:p>
      <w:pPr>
        <w:pStyle w:val="BodyText"/>
        <w:spacing w:before="5"/>
      </w:pPr>
    </w:p>
    <w:p>
      <w:pPr>
        <w:pStyle w:val="BodyText"/>
        <w:tabs>
          <w:tab w:pos="705" w:val="left" w:leader="none"/>
        </w:tabs>
        <w:ind w:left="165"/>
      </w:pPr>
      <w:bookmarkStart w:name="_bookmark1542" w:id="1544"/>
      <w:bookmarkEnd w:id="1544"/>
      <w:r>
        <w:rPr/>
      </w:r>
      <w:hyperlink w:history="true" w:anchor="_bookmark1518">
        <w:r>
          <w:rPr>
            <w:color w:val="005DA1"/>
            <w:spacing w:val="-4"/>
            <w:position w:val="5"/>
            <w:sz w:val="14"/>
            <w:u w:val="single" w:color="005DA1"/>
          </w:rPr>
          <w:t>808</w:t>
        </w:r>
      </w:hyperlink>
      <w:r>
        <w:rPr>
          <w:spacing w:val="-4"/>
          <w:position w:val="5"/>
          <w:sz w:val="14"/>
        </w:rPr>
        <w:t>.</w:t>
      </w:r>
      <w:r>
        <w:rPr>
          <w:position w:val="5"/>
          <w:sz w:val="14"/>
        </w:rPr>
        <w:tab/>
      </w:r>
      <w:r>
        <w:rPr/>
        <w:t>See</w:t>
      </w:r>
      <w:r>
        <w:rPr>
          <w:spacing w:val="-2"/>
        </w:rPr>
        <w:t> </w:t>
      </w:r>
      <w:r>
        <w:rPr/>
        <w:t>below, para.16-</w:t>
      </w:r>
      <w:r>
        <w:rPr>
          <w:spacing w:val="-4"/>
        </w:rPr>
        <w:t>020.</w:t>
      </w:r>
    </w:p>
    <w:p>
      <w:pPr>
        <w:pStyle w:val="BodyText"/>
        <w:spacing w:before="5"/>
      </w:pPr>
    </w:p>
    <w:p>
      <w:pPr>
        <w:pStyle w:val="BodyText"/>
        <w:tabs>
          <w:tab w:pos="705" w:val="left" w:leader="none"/>
        </w:tabs>
        <w:ind w:left="165"/>
      </w:pPr>
      <w:bookmarkStart w:name="_bookmark1543" w:id="1545"/>
      <w:bookmarkEnd w:id="1545"/>
      <w:r>
        <w:rPr/>
      </w:r>
      <w:hyperlink w:history="true" w:anchor="_bookmark1519">
        <w:r>
          <w:rPr>
            <w:color w:val="005DA1"/>
            <w:spacing w:val="-4"/>
            <w:position w:val="5"/>
            <w:sz w:val="14"/>
            <w:u w:val="single" w:color="005DA1"/>
          </w:rPr>
          <w:t>809</w:t>
        </w:r>
      </w:hyperlink>
      <w:r>
        <w:rPr>
          <w:spacing w:val="-4"/>
          <w:position w:val="5"/>
          <w:sz w:val="14"/>
        </w:rPr>
        <w:t>.</w:t>
      </w:r>
      <w:r>
        <w:rPr>
          <w:position w:val="5"/>
          <w:sz w:val="14"/>
        </w:rPr>
        <w:tab/>
      </w:r>
      <w:r>
        <w:rPr/>
        <w:t>See</w:t>
      </w:r>
      <w:r>
        <w:rPr>
          <w:spacing w:val="-2"/>
        </w:rPr>
        <w:t> </w:t>
      </w:r>
      <w:r>
        <w:rPr/>
        <w:t>below, para.16-</w:t>
      </w:r>
      <w:r>
        <w:rPr>
          <w:spacing w:val="-4"/>
        </w:rPr>
        <w:t>195.</w:t>
      </w:r>
    </w:p>
    <w:p>
      <w:pPr>
        <w:pStyle w:val="BodyText"/>
        <w:spacing w:before="5"/>
      </w:pPr>
    </w:p>
    <w:p>
      <w:pPr>
        <w:pStyle w:val="BodyText"/>
        <w:tabs>
          <w:tab w:pos="705" w:val="left" w:leader="none"/>
        </w:tabs>
        <w:ind w:left="165"/>
      </w:pPr>
      <w:bookmarkStart w:name="_bookmark1544" w:id="1546"/>
      <w:bookmarkEnd w:id="1546"/>
      <w:r>
        <w:rPr/>
      </w:r>
      <w:hyperlink w:history="true" w:anchor="_bookmark1520">
        <w:r>
          <w:rPr>
            <w:color w:val="005DA1"/>
            <w:spacing w:val="-4"/>
            <w:position w:val="5"/>
            <w:sz w:val="14"/>
            <w:u w:val="single" w:color="005DA1"/>
          </w:rPr>
          <w:t>810</w:t>
        </w:r>
      </w:hyperlink>
      <w:r>
        <w:rPr>
          <w:spacing w:val="-4"/>
          <w:position w:val="5"/>
          <w:sz w:val="14"/>
        </w:rPr>
        <w:t>.</w:t>
      </w:r>
      <w:r>
        <w:rPr>
          <w:position w:val="5"/>
          <w:sz w:val="14"/>
        </w:rPr>
        <w:tab/>
      </w:r>
      <w:r>
        <w:rPr/>
        <w:t>See</w:t>
      </w:r>
      <w:r>
        <w:rPr>
          <w:spacing w:val="-2"/>
        </w:rPr>
        <w:t> </w:t>
      </w:r>
      <w:r>
        <w:rPr/>
        <w:t>below, para.16-</w:t>
      </w:r>
      <w:r>
        <w:rPr>
          <w:spacing w:val="-4"/>
        </w:rPr>
        <w:t>194.</w:t>
      </w:r>
    </w:p>
    <w:p>
      <w:pPr>
        <w:pStyle w:val="BodyText"/>
        <w:spacing w:before="5"/>
      </w:pPr>
    </w:p>
    <w:p>
      <w:pPr>
        <w:tabs>
          <w:tab w:pos="705" w:val="left" w:leader="none"/>
        </w:tabs>
        <w:spacing w:before="0"/>
        <w:ind w:left="165" w:right="0" w:firstLine="0"/>
        <w:jc w:val="left"/>
        <w:rPr>
          <w:sz w:val="20"/>
        </w:rPr>
      </w:pPr>
      <w:bookmarkStart w:name="_bookmark1545" w:id="1547"/>
      <w:bookmarkEnd w:id="1547"/>
      <w:r>
        <w:rPr/>
      </w:r>
      <w:hyperlink w:history="true" w:anchor="_bookmark1521">
        <w:r>
          <w:rPr>
            <w:color w:val="005DA1"/>
            <w:spacing w:val="-4"/>
            <w:position w:val="5"/>
            <w:sz w:val="14"/>
            <w:u w:val="single" w:color="005DA1"/>
          </w:rPr>
          <w:t>811</w:t>
        </w:r>
      </w:hyperlink>
      <w:r>
        <w:rPr>
          <w:spacing w:val="-4"/>
          <w:position w:val="5"/>
          <w:sz w:val="14"/>
        </w:rPr>
        <w:t>.</w:t>
      </w:r>
      <w:r>
        <w:rPr>
          <w:position w:val="5"/>
          <w:sz w:val="14"/>
        </w:rPr>
        <w:tab/>
      </w:r>
      <w:r>
        <w:rPr>
          <w:rFonts w:ascii="Arial"/>
          <w:i/>
          <w:sz w:val="20"/>
        </w:rPr>
        <w:t>Boddington v Lawton [1994] I.C.R. </w:t>
      </w:r>
      <w:r>
        <w:rPr>
          <w:rFonts w:ascii="Arial"/>
          <w:i/>
          <w:spacing w:val="-4"/>
          <w:sz w:val="20"/>
        </w:rPr>
        <w:t>478</w:t>
      </w:r>
      <w:r>
        <w:rPr>
          <w:spacing w:val="-4"/>
          <w:sz w:val="20"/>
        </w:rPr>
        <w:t>.</w:t>
      </w:r>
    </w:p>
    <w:p>
      <w:pPr>
        <w:pStyle w:val="BodyText"/>
        <w:spacing w:before="5"/>
      </w:pPr>
    </w:p>
    <w:p>
      <w:pPr>
        <w:pStyle w:val="BodyText"/>
        <w:tabs>
          <w:tab w:pos="705" w:val="left" w:leader="none"/>
        </w:tabs>
        <w:ind w:left="165"/>
      </w:pPr>
      <w:bookmarkStart w:name="_bookmark1546" w:id="1548"/>
      <w:bookmarkEnd w:id="1548"/>
      <w:r>
        <w:rPr/>
      </w:r>
      <w:hyperlink w:history="true" w:anchor="_bookmark1522">
        <w:r>
          <w:rPr>
            <w:color w:val="005DA1"/>
            <w:spacing w:val="-4"/>
            <w:position w:val="5"/>
            <w:sz w:val="14"/>
            <w:u w:val="single" w:color="005DA1"/>
          </w:rPr>
          <w:t>812</w:t>
        </w:r>
      </w:hyperlink>
      <w:r>
        <w:rPr>
          <w:spacing w:val="-4"/>
          <w:position w:val="5"/>
          <w:sz w:val="14"/>
        </w:rPr>
        <w:t>.</w:t>
      </w:r>
      <w:r>
        <w:rPr>
          <w:position w:val="5"/>
          <w:sz w:val="14"/>
        </w:rPr>
        <w:tab/>
      </w:r>
      <w:r>
        <w:rPr/>
        <w:t>See below, paras 5-039 et </w:t>
      </w:r>
      <w:r>
        <w:rPr>
          <w:spacing w:val="-4"/>
        </w:rPr>
        <w:t>seq.</w:t>
      </w:r>
    </w:p>
    <w:p>
      <w:pPr>
        <w:pStyle w:val="BodyText"/>
        <w:spacing w:before="5"/>
      </w:pPr>
    </w:p>
    <w:p>
      <w:pPr>
        <w:pStyle w:val="BodyText"/>
        <w:tabs>
          <w:tab w:pos="705" w:val="left" w:leader="none"/>
        </w:tabs>
        <w:ind w:left="165"/>
      </w:pPr>
      <w:bookmarkStart w:name="_bookmark1547" w:id="1549"/>
      <w:bookmarkEnd w:id="1549"/>
      <w:r>
        <w:rPr/>
      </w:r>
      <w:hyperlink w:history="true" w:anchor="_bookmark1523">
        <w:r>
          <w:rPr>
            <w:color w:val="005DA1"/>
            <w:spacing w:val="-4"/>
            <w:position w:val="5"/>
            <w:sz w:val="14"/>
            <w:u w:val="single" w:color="005DA1"/>
          </w:rPr>
          <w:t>813</w:t>
        </w:r>
      </w:hyperlink>
      <w:r>
        <w:rPr>
          <w:spacing w:val="-4"/>
          <w:position w:val="5"/>
          <w:sz w:val="14"/>
        </w:rPr>
        <w:t>.</w:t>
      </w:r>
      <w:r>
        <w:rPr>
          <w:position w:val="5"/>
          <w:sz w:val="14"/>
        </w:rPr>
        <w:tab/>
      </w:r>
      <w:r>
        <w:rPr/>
        <w:t>See Restatement of Contracts, 2nd edn, </w:t>
      </w:r>
      <w:r>
        <w:rPr>
          <w:spacing w:val="-2"/>
        </w:rPr>
        <w:t>para.7.</w:t>
      </w:r>
    </w:p>
    <w:p>
      <w:pPr>
        <w:pStyle w:val="BodyText"/>
        <w:spacing w:before="9"/>
      </w:pPr>
    </w:p>
    <w:p>
      <w:pPr>
        <w:pStyle w:val="BodyText"/>
        <w:spacing w:line="235" w:lineRule="auto"/>
        <w:ind w:left="705" w:right="167" w:hanging="541"/>
        <w:jc w:val="both"/>
      </w:pPr>
      <w:bookmarkStart w:name="_bookmark1548" w:id="1550"/>
      <w:bookmarkEnd w:id="1550"/>
      <w:r>
        <w:rPr/>
      </w:r>
      <w:hyperlink w:history="true" w:anchor="_bookmark1524">
        <w:r>
          <w:rPr>
            <w:color w:val="005DA1"/>
            <w:position w:val="5"/>
            <w:sz w:val="14"/>
            <w:u w:val="single" w:color="005DA1"/>
          </w:rPr>
          <w:t>814</w:t>
        </w:r>
      </w:hyperlink>
      <w:r>
        <w:rPr>
          <w:position w:val="5"/>
          <w:sz w:val="14"/>
        </w:rPr>
        <w:t>.</w:t>
      </w:r>
      <w:r>
        <w:rPr>
          <w:spacing w:val="40"/>
          <w:position w:val="5"/>
          <w:sz w:val="14"/>
        </w:rPr>
        <w:t>  </w:t>
      </w:r>
      <w:r>
        <w:rPr/>
        <w:t>See below, Ch.7. See also the consumer’s “right to unwind” a contract made with a trader if the trader engages in a “misleading action”: the Consumer Protection from Unfair Trading Regulations 2008 (SI 2008/1277) Pt 4A as amended by Consumer Protection </w:t>
      </w:r>
      <w:r>
        <w:rPr/>
        <w:t>(Amendment) Regulations</w:t>
      </w:r>
      <w:r>
        <w:rPr>
          <w:spacing w:val="69"/>
        </w:rPr>
        <w:t> </w:t>
      </w:r>
      <w:r>
        <w:rPr/>
        <w:t>2014</w:t>
      </w:r>
      <w:r>
        <w:rPr>
          <w:spacing w:val="69"/>
        </w:rPr>
        <w:t> </w:t>
      </w:r>
      <w:r>
        <w:rPr/>
        <w:t>(SI</w:t>
      </w:r>
      <w:r>
        <w:rPr>
          <w:spacing w:val="69"/>
        </w:rPr>
        <w:t> </w:t>
      </w:r>
      <w:r>
        <w:rPr/>
        <w:t>2014/870):</w:t>
      </w:r>
      <w:r>
        <w:rPr>
          <w:spacing w:val="69"/>
        </w:rPr>
        <w:t> </w:t>
      </w:r>
      <w:r>
        <w:rPr/>
        <w:t>see</w:t>
      </w:r>
      <w:r>
        <w:rPr>
          <w:spacing w:val="69"/>
        </w:rPr>
        <w:t> </w:t>
      </w:r>
      <w:r>
        <w:rPr/>
        <w:t>Vol.II,</w:t>
      </w:r>
      <w:r>
        <w:rPr>
          <w:spacing w:val="69"/>
        </w:rPr>
        <w:t> </w:t>
      </w:r>
      <w:r>
        <w:rPr/>
        <w:t>paras</w:t>
      </w:r>
      <w:r>
        <w:rPr>
          <w:spacing w:val="69"/>
        </w:rPr>
        <w:t> </w:t>
      </w:r>
      <w:r>
        <w:rPr/>
        <w:t>38-160</w:t>
      </w:r>
      <w:r>
        <w:rPr>
          <w:spacing w:val="69"/>
        </w:rPr>
        <w:t> </w:t>
      </w:r>
      <w:r>
        <w:rPr/>
        <w:t>et</w:t>
      </w:r>
      <w:r>
        <w:rPr>
          <w:spacing w:val="69"/>
        </w:rPr>
        <w:t> </w:t>
      </w:r>
      <w:r>
        <w:rPr/>
        <w:t>seq.</w:t>
      </w:r>
      <w:r>
        <w:rPr>
          <w:spacing w:val="69"/>
        </w:rPr>
        <w:t> </w:t>
      </w:r>
      <w:r>
        <w:rPr/>
        <w:t>especially</w:t>
      </w:r>
      <w:r>
        <w:rPr>
          <w:spacing w:val="69"/>
        </w:rPr>
        <w:t> </w:t>
      </w:r>
      <w:r>
        <w:rPr/>
        <w:t>at</w:t>
      </w:r>
      <w:r>
        <w:rPr>
          <w:spacing w:val="69"/>
        </w:rPr>
        <w:t> </w:t>
      </w:r>
      <w:r>
        <w:rPr/>
        <w:t>38-167, </w:t>
      </w:r>
      <w:r>
        <w:rPr>
          <w:spacing w:val="-2"/>
        </w:rPr>
        <w:t>38-180—38-181.</w:t>
      </w:r>
    </w:p>
    <w:p>
      <w:pPr>
        <w:pStyle w:val="BodyText"/>
        <w:spacing w:before="8"/>
      </w:pPr>
    </w:p>
    <w:p>
      <w:pPr>
        <w:pStyle w:val="BodyText"/>
        <w:spacing w:line="235" w:lineRule="auto"/>
        <w:ind w:left="705" w:right="167" w:hanging="541"/>
        <w:jc w:val="both"/>
      </w:pPr>
      <w:bookmarkStart w:name="_bookmark1549" w:id="1551"/>
      <w:bookmarkEnd w:id="1551"/>
      <w:r>
        <w:rPr/>
      </w:r>
      <w:hyperlink w:history="true" w:anchor="_bookmark1524">
        <w:r>
          <w:rPr>
            <w:color w:val="005DA1"/>
            <w:position w:val="5"/>
            <w:sz w:val="14"/>
            <w:u w:val="single" w:color="005DA1"/>
          </w:rPr>
          <w:t>815</w:t>
        </w:r>
      </w:hyperlink>
      <w:r>
        <w:rPr>
          <w:position w:val="5"/>
          <w:sz w:val="14"/>
        </w:rPr>
        <w:t>.</w:t>
      </w:r>
      <w:r>
        <w:rPr>
          <w:spacing w:val="80"/>
          <w:position w:val="5"/>
          <w:sz w:val="14"/>
        </w:rPr>
        <w:t>  </w:t>
      </w:r>
      <w:r>
        <w:rPr/>
        <w:t>See</w:t>
      </w:r>
      <w:r>
        <w:rPr>
          <w:spacing w:val="25"/>
        </w:rPr>
        <w:t> </w:t>
      </w:r>
      <w:r>
        <w:rPr/>
        <w:t>below,</w:t>
      </w:r>
      <w:r>
        <w:rPr>
          <w:spacing w:val="25"/>
        </w:rPr>
        <w:t> </w:t>
      </w:r>
      <w:r>
        <w:rPr/>
        <w:t>paras</w:t>
      </w:r>
      <w:r>
        <w:rPr>
          <w:spacing w:val="25"/>
        </w:rPr>
        <w:t> </w:t>
      </w:r>
      <w:r>
        <w:rPr/>
        <w:t>8-001—8-056.</w:t>
      </w:r>
      <w:r>
        <w:rPr>
          <w:spacing w:val="25"/>
        </w:rPr>
        <w:t> </w:t>
      </w:r>
      <w:r>
        <w:rPr/>
        <w:t>See</w:t>
      </w:r>
      <w:r>
        <w:rPr>
          <w:spacing w:val="25"/>
        </w:rPr>
        <w:t> </w:t>
      </w:r>
      <w:r>
        <w:rPr/>
        <w:t>also</w:t>
      </w:r>
      <w:r>
        <w:rPr>
          <w:spacing w:val="25"/>
        </w:rPr>
        <w:t> </w:t>
      </w:r>
      <w:r>
        <w:rPr/>
        <w:t>the</w:t>
      </w:r>
      <w:r>
        <w:rPr>
          <w:spacing w:val="25"/>
        </w:rPr>
        <w:t> </w:t>
      </w:r>
      <w:r>
        <w:rPr/>
        <w:t>consumer’s</w:t>
      </w:r>
      <w:r>
        <w:rPr>
          <w:spacing w:val="25"/>
        </w:rPr>
        <w:t> </w:t>
      </w:r>
      <w:r>
        <w:rPr/>
        <w:t>“right</w:t>
      </w:r>
      <w:r>
        <w:rPr>
          <w:spacing w:val="25"/>
        </w:rPr>
        <w:t> </w:t>
      </w:r>
      <w:r>
        <w:rPr/>
        <w:t>to</w:t>
      </w:r>
      <w:r>
        <w:rPr>
          <w:spacing w:val="25"/>
        </w:rPr>
        <w:t> </w:t>
      </w:r>
      <w:r>
        <w:rPr/>
        <w:t>unwind”</w:t>
      </w:r>
      <w:r>
        <w:rPr>
          <w:spacing w:val="25"/>
        </w:rPr>
        <w:t> </w:t>
      </w:r>
      <w:r>
        <w:rPr/>
        <w:t>a</w:t>
      </w:r>
      <w:r>
        <w:rPr>
          <w:spacing w:val="25"/>
        </w:rPr>
        <w:t> </w:t>
      </w:r>
      <w:r>
        <w:rPr/>
        <w:t>contract</w:t>
      </w:r>
      <w:r>
        <w:rPr>
          <w:spacing w:val="25"/>
        </w:rPr>
        <w:t> </w:t>
      </w:r>
      <w:r>
        <w:rPr/>
        <w:t>made with a trader if the trader engages in an “aggressive commercial practice”: the </w:t>
      </w:r>
      <w:r>
        <w:rPr/>
        <w:t>Consumer Protection from Unfair Trading Regulations 2008 (SI 2008/1277) Pt 4A as amended by Consumer Protection (Amendment) Regulations 2014 (SI 2014/870): see Vol.II, paras 38-160</w:t>
      </w:r>
      <w:r>
        <w:rPr>
          <w:spacing w:val="40"/>
        </w:rPr>
        <w:t> </w:t>
      </w:r>
      <w:r>
        <w:rPr/>
        <w:t>et seq. especially at 38-167, 38-180—38-181.</w:t>
      </w:r>
    </w:p>
    <w:p>
      <w:pPr>
        <w:pStyle w:val="BodyText"/>
        <w:spacing w:before="4"/>
      </w:pPr>
    </w:p>
    <w:p>
      <w:pPr>
        <w:pStyle w:val="BodyText"/>
        <w:tabs>
          <w:tab w:pos="705" w:val="left" w:leader="none"/>
        </w:tabs>
        <w:ind w:left="165"/>
      </w:pPr>
      <w:bookmarkStart w:name="_bookmark1550" w:id="1552"/>
      <w:bookmarkEnd w:id="1552"/>
      <w:r>
        <w:rPr/>
      </w:r>
      <w:hyperlink w:history="true" w:anchor="_bookmark1524">
        <w:r>
          <w:rPr>
            <w:color w:val="005DA1"/>
            <w:spacing w:val="-4"/>
            <w:position w:val="5"/>
            <w:sz w:val="14"/>
            <w:u w:val="single" w:color="005DA1"/>
          </w:rPr>
          <w:t>816</w:t>
        </w:r>
      </w:hyperlink>
      <w:r>
        <w:rPr>
          <w:spacing w:val="-4"/>
          <w:position w:val="5"/>
          <w:sz w:val="14"/>
        </w:rPr>
        <w:t>.</w:t>
      </w:r>
      <w:r>
        <w:rPr>
          <w:position w:val="5"/>
          <w:sz w:val="14"/>
        </w:rPr>
        <w:tab/>
      </w:r>
      <w:r>
        <w:rPr/>
        <w:t>See below, paras 8-057—8-</w:t>
      </w:r>
      <w:r>
        <w:rPr>
          <w:spacing w:val="-4"/>
        </w:rPr>
        <w:t>129.</w:t>
      </w:r>
    </w:p>
    <w:p>
      <w:pPr>
        <w:pStyle w:val="BodyText"/>
        <w:spacing w:before="5"/>
      </w:pPr>
    </w:p>
    <w:p>
      <w:pPr>
        <w:pStyle w:val="BodyText"/>
        <w:tabs>
          <w:tab w:pos="705" w:val="left" w:leader="none"/>
        </w:tabs>
        <w:ind w:left="165"/>
      </w:pPr>
      <w:bookmarkStart w:name="_bookmark1551" w:id="1553"/>
      <w:bookmarkEnd w:id="1553"/>
      <w:r>
        <w:rPr/>
      </w:r>
      <w:hyperlink w:history="true" w:anchor="_bookmark1524">
        <w:r>
          <w:rPr>
            <w:color w:val="005DA1"/>
            <w:spacing w:val="-4"/>
            <w:position w:val="5"/>
            <w:sz w:val="14"/>
            <w:u w:val="single" w:color="005DA1"/>
          </w:rPr>
          <w:t>817</w:t>
        </w:r>
      </w:hyperlink>
      <w:r>
        <w:rPr>
          <w:spacing w:val="-4"/>
          <w:position w:val="5"/>
          <w:sz w:val="14"/>
        </w:rPr>
        <w:t>.</w:t>
      </w:r>
      <w:r>
        <w:rPr>
          <w:position w:val="5"/>
          <w:sz w:val="14"/>
        </w:rPr>
        <w:tab/>
      </w:r>
      <w:r>
        <w:rPr/>
        <w:t>See below, paras 9-005—9-</w:t>
      </w:r>
      <w:r>
        <w:rPr>
          <w:spacing w:val="-4"/>
        </w:rPr>
        <w:t>074.</w:t>
      </w:r>
    </w:p>
    <w:p>
      <w:pPr>
        <w:pStyle w:val="BodyText"/>
        <w:spacing w:before="5"/>
      </w:pPr>
    </w:p>
    <w:p>
      <w:pPr>
        <w:pStyle w:val="BodyText"/>
        <w:tabs>
          <w:tab w:pos="705" w:val="left" w:leader="none"/>
        </w:tabs>
        <w:ind w:left="165"/>
      </w:pPr>
      <w:bookmarkStart w:name="_bookmark1552" w:id="1554"/>
      <w:bookmarkEnd w:id="1554"/>
      <w:r>
        <w:rPr/>
      </w:r>
      <w:hyperlink w:history="true" w:anchor="_bookmark1524">
        <w:r>
          <w:rPr>
            <w:color w:val="005DA1"/>
            <w:spacing w:val="-4"/>
            <w:position w:val="5"/>
            <w:sz w:val="14"/>
            <w:u w:val="single" w:color="005DA1"/>
          </w:rPr>
          <w:t>818</w:t>
        </w:r>
      </w:hyperlink>
      <w:r>
        <w:rPr>
          <w:spacing w:val="-4"/>
          <w:position w:val="5"/>
          <w:sz w:val="14"/>
        </w:rPr>
        <w:t>.</w:t>
      </w:r>
      <w:r>
        <w:rPr>
          <w:position w:val="5"/>
          <w:sz w:val="14"/>
        </w:rPr>
        <w:tab/>
      </w:r>
      <w:r>
        <w:rPr/>
        <w:t>See below, paras 9-075 et </w:t>
      </w:r>
      <w:r>
        <w:rPr>
          <w:spacing w:val="-4"/>
        </w:rPr>
        <w:t>seq.</w:t>
      </w:r>
    </w:p>
    <w:p>
      <w:pPr>
        <w:pStyle w:val="BodyText"/>
        <w:spacing w:before="5"/>
      </w:pPr>
    </w:p>
    <w:p>
      <w:pPr>
        <w:pStyle w:val="BodyText"/>
        <w:tabs>
          <w:tab w:pos="705" w:val="left" w:leader="none"/>
        </w:tabs>
        <w:ind w:left="165"/>
      </w:pPr>
      <w:bookmarkStart w:name="_bookmark1553" w:id="1555"/>
      <w:bookmarkEnd w:id="1555"/>
      <w:r>
        <w:rPr/>
      </w:r>
      <w:hyperlink w:history="true" w:anchor="_bookmark1525">
        <w:r>
          <w:rPr>
            <w:color w:val="005DA1"/>
            <w:spacing w:val="-4"/>
            <w:position w:val="5"/>
            <w:sz w:val="14"/>
            <w:u w:val="single" w:color="005DA1"/>
          </w:rPr>
          <w:t>819</w:t>
        </w:r>
      </w:hyperlink>
      <w:r>
        <w:rPr>
          <w:spacing w:val="-4"/>
          <w:position w:val="5"/>
          <w:sz w:val="14"/>
        </w:rPr>
        <w:t>.</w:t>
      </w:r>
      <w:r>
        <w:rPr>
          <w:position w:val="5"/>
          <w:sz w:val="14"/>
        </w:rPr>
        <w:tab/>
      </w:r>
      <w:r>
        <w:rPr/>
        <w:t>See below, paras 9-105—9-</w:t>
      </w:r>
      <w:r>
        <w:rPr>
          <w:spacing w:val="-4"/>
        </w:rPr>
        <w:t>106.</w:t>
      </w:r>
    </w:p>
    <w:p>
      <w:pPr>
        <w:pStyle w:val="BodyText"/>
        <w:spacing w:before="9"/>
      </w:pPr>
    </w:p>
    <w:p>
      <w:pPr>
        <w:pStyle w:val="BodyText"/>
        <w:spacing w:line="235" w:lineRule="auto"/>
        <w:ind w:left="705" w:right="167" w:hanging="541"/>
        <w:jc w:val="both"/>
      </w:pPr>
      <w:bookmarkStart w:name="_bookmark1554" w:id="1556"/>
      <w:bookmarkEnd w:id="1556"/>
      <w:r>
        <w:rPr/>
      </w:r>
      <w:hyperlink w:history="true" w:anchor="_bookmark1525">
        <w:r>
          <w:rPr>
            <w:color w:val="005DA1"/>
            <w:position w:val="5"/>
            <w:sz w:val="14"/>
            <w:u w:val="single" w:color="005DA1"/>
          </w:rPr>
          <w:t>820</w:t>
        </w:r>
      </w:hyperlink>
      <w:r>
        <w:rPr>
          <w:position w:val="5"/>
          <w:sz w:val="14"/>
        </w:rPr>
        <w:t>.</w:t>
      </w:r>
      <w:r>
        <w:rPr>
          <w:spacing w:val="80"/>
          <w:position w:val="5"/>
          <w:sz w:val="14"/>
        </w:rPr>
        <w:t>  </w:t>
      </w:r>
      <w:r>
        <w:rPr/>
        <w:t>e.g. Auctions (Bidding Agreements) Act 1969 s.3(1) replacing Auctions (Bidding Agreements) Act 1927 s.2 (as amended). Consumer Credit Act 1974 ss.67–73 (cancellation of </w:t>
      </w:r>
      <w:r>
        <w:rPr/>
        <w:t>consumer credit agreements) and see Vol.II, paras 39-095 et seq.; Consumer Contracts (Information, Cancellation</w:t>
      </w:r>
      <w:r>
        <w:rPr>
          <w:spacing w:val="32"/>
        </w:rPr>
        <w:t> </w:t>
      </w:r>
      <w:r>
        <w:rPr/>
        <w:t>and</w:t>
      </w:r>
      <w:r>
        <w:rPr>
          <w:spacing w:val="32"/>
        </w:rPr>
        <w:t> </w:t>
      </w:r>
      <w:r>
        <w:rPr/>
        <w:t>Additional</w:t>
      </w:r>
      <w:r>
        <w:rPr>
          <w:spacing w:val="32"/>
        </w:rPr>
        <w:t> </w:t>
      </w:r>
      <w:r>
        <w:rPr/>
        <w:t>Charges)</w:t>
      </w:r>
      <w:r>
        <w:rPr>
          <w:spacing w:val="32"/>
        </w:rPr>
        <w:t> </w:t>
      </w:r>
      <w:r>
        <w:rPr/>
        <w:t>Regulations</w:t>
      </w:r>
      <w:r>
        <w:rPr>
          <w:spacing w:val="32"/>
        </w:rPr>
        <w:t> </w:t>
      </w:r>
      <w:r>
        <w:rPr/>
        <w:t>2013</w:t>
      </w:r>
      <w:r>
        <w:rPr>
          <w:spacing w:val="32"/>
        </w:rPr>
        <w:t> </w:t>
      </w:r>
      <w:r>
        <w:rPr/>
        <w:t>(SI</w:t>
      </w:r>
      <w:r>
        <w:rPr>
          <w:spacing w:val="32"/>
        </w:rPr>
        <w:t> </w:t>
      </w:r>
      <w:r>
        <w:rPr/>
        <w:t>2013/3134)</w:t>
      </w:r>
      <w:r>
        <w:rPr>
          <w:spacing w:val="32"/>
        </w:rPr>
        <w:t> </w:t>
      </w:r>
      <w:r>
        <w:rPr/>
        <w:t>regs</w:t>
      </w:r>
      <w:r>
        <w:rPr>
          <w:spacing w:val="32"/>
        </w:rPr>
        <w:t> </w:t>
      </w:r>
      <w:r>
        <w:rPr/>
        <w:t>27–38</w:t>
      </w:r>
      <w:r>
        <w:rPr>
          <w:spacing w:val="32"/>
        </w:rPr>
        <w:t> </w:t>
      </w:r>
      <w:r>
        <w:rPr/>
        <w:t>and</w:t>
      </w:r>
      <w:r>
        <w:rPr>
          <w:spacing w:val="32"/>
        </w:rPr>
        <w:t> </w:t>
      </w:r>
      <w:r>
        <w:rPr>
          <w:spacing w:val="-5"/>
        </w:rPr>
        <w:t>see</w:t>
      </w:r>
    </w:p>
    <w:p>
      <w:pPr>
        <w:pStyle w:val="BodyText"/>
        <w:spacing w:after="0" w:line="235" w:lineRule="auto"/>
        <w:jc w:val="both"/>
        <w:sectPr>
          <w:type w:val="continuous"/>
          <w:pgSz w:w="11900" w:h="16840"/>
          <w:pgMar w:header="971" w:footer="0" w:top="1300" w:bottom="280" w:left="1275" w:right="1275"/>
        </w:sectPr>
      </w:pPr>
    </w:p>
    <w:p>
      <w:pPr>
        <w:pStyle w:val="BodyText"/>
        <w:spacing w:before="166"/>
        <w:ind w:left="705"/>
      </w:pPr>
      <w:r>
        <w:rPr/>
        <w:t>Vol.II, paras 38-107 et seq. (cancellation of off-premises or distance </w:t>
      </w:r>
      <w:r>
        <w:rPr>
          <w:spacing w:val="-2"/>
        </w:rPr>
        <w:t>contracts).</w:t>
      </w:r>
    </w:p>
    <w:p>
      <w:pPr>
        <w:pStyle w:val="BodyText"/>
        <w:spacing w:before="5"/>
      </w:pPr>
    </w:p>
    <w:p>
      <w:pPr>
        <w:tabs>
          <w:tab w:pos="540" w:val="left" w:leader="none"/>
        </w:tabs>
        <w:spacing w:line="227" w:lineRule="exact" w:before="1"/>
        <w:ind w:left="0" w:right="168" w:firstLine="0"/>
        <w:jc w:val="right"/>
        <w:rPr>
          <w:sz w:val="20"/>
        </w:rPr>
      </w:pPr>
      <w:bookmarkStart w:name="_bookmark1555" w:id="1557"/>
      <w:bookmarkEnd w:id="1557"/>
      <w:r>
        <w:rPr/>
      </w:r>
      <w:hyperlink w:history="true" w:anchor="_bookmark1526">
        <w:r>
          <w:rPr>
            <w:color w:val="005DA1"/>
            <w:spacing w:val="-4"/>
            <w:position w:val="5"/>
            <w:sz w:val="14"/>
            <w:u w:val="single" w:color="005DA1"/>
          </w:rPr>
          <w:t>821</w:t>
        </w:r>
      </w:hyperlink>
      <w:r>
        <w:rPr>
          <w:spacing w:val="-4"/>
          <w:position w:val="5"/>
          <w:sz w:val="14"/>
        </w:rPr>
        <w:t>.</w:t>
      </w:r>
      <w:r>
        <w:rPr>
          <w:position w:val="5"/>
          <w:sz w:val="14"/>
        </w:rPr>
        <w:tab/>
      </w:r>
      <w:r>
        <w:rPr>
          <w:sz w:val="20"/>
        </w:rPr>
        <w:t>See</w:t>
      </w:r>
      <w:r>
        <w:rPr>
          <w:spacing w:val="10"/>
          <w:sz w:val="20"/>
        </w:rPr>
        <w:t> </w:t>
      </w:r>
      <w:r>
        <w:rPr>
          <w:rFonts w:ascii="Arial"/>
          <w:i/>
          <w:sz w:val="20"/>
        </w:rPr>
        <w:t>Phillips</w:t>
      </w:r>
      <w:r>
        <w:rPr>
          <w:rFonts w:ascii="Arial"/>
          <w:i/>
          <w:spacing w:val="11"/>
          <w:sz w:val="20"/>
        </w:rPr>
        <w:t> </w:t>
      </w:r>
      <w:r>
        <w:rPr>
          <w:rFonts w:ascii="Arial"/>
          <w:i/>
          <w:sz w:val="20"/>
        </w:rPr>
        <w:t>v</w:t>
      </w:r>
      <w:r>
        <w:rPr>
          <w:rFonts w:ascii="Arial"/>
          <w:i/>
          <w:spacing w:val="11"/>
          <w:sz w:val="20"/>
        </w:rPr>
        <w:t> </w:t>
      </w:r>
      <w:r>
        <w:rPr>
          <w:rFonts w:ascii="Arial"/>
          <w:i/>
          <w:sz w:val="20"/>
        </w:rPr>
        <w:t>Brooks</w:t>
      </w:r>
      <w:r>
        <w:rPr>
          <w:rFonts w:ascii="Arial"/>
          <w:i/>
          <w:spacing w:val="11"/>
          <w:sz w:val="20"/>
        </w:rPr>
        <w:t> </w:t>
      </w:r>
      <w:r>
        <w:rPr>
          <w:rFonts w:ascii="Arial"/>
          <w:i/>
          <w:sz w:val="20"/>
        </w:rPr>
        <w:t>Ltd</w:t>
      </w:r>
      <w:r>
        <w:rPr>
          <w:rFonts w:ascii="Arial"/>
          <w:i/>
          <w:spacing w:val="11"/>
          <w:sz w:val="20"/>
        </w:rPr>
        <w:t> </w:t>
      </w:r>
      <w:r>
        <w:rPr>
          <w:rFonts w:ascii="Arial"/>
          <w:i/>
          <w:sz w:val="20"/>
        </w:rPr>
        <w:t>[1919]</w:t>
      </w:r>
      <w:r>
        <w:rPr>
          <w:rFonts w:ascii="Arial"/>
          <w:i/>
          <w:spacing w:val="11"/>
          <w:sz w:val="20"/>
        </w:rPr>
        <w:t> </w:t>
      </w:r>
      <w:r>
        <w:rPr>
          <w:rFonts w:ascii="Arial"/>
          <w:i/>
          <w:sz w:val="20"/>
        </w:rPr>
        <w:t>2</w:t>
      </w:r>
      <w:r>
        <w:rPr>
          <w:rFonts w:ascii="Arial"/>
          <w:i/>
          <w:spacing w:val="11"/>
          <w:sz w:val="20"/>
        </w:rPr>
        <w:t> </w:t>
      </w:r>
      <w:r>
        <w:rPr>
          <w:rFonts w:ascii="Arial"/>
          <w:i/>
          <w:sz w:val="20"/>
        </w:rPr>
        <w:t>K.B.</w:t>
      </w:r>
      <w:r>
        <w:rPr>
          <w:rFonts w:ascii="Arial"/>
          <w:i/>
          <w:spacing w:val="11"/>
          <w:sz w:val="20"/>
        </w:rPr>
        <w:t> </w:t>
      </w:r>
      <w:r>
        <w:rPr>
          <w:rFonts w:ascii="Arial"/>
          <w:i/>
          <w:sz w:val="20"/>
        </w:rPr>
        <w:t>243</w:t>
      </w:r>
      <w:r>
        <w:rPr>
          <w:sz w:val="20"/>
        </w:rPr>
        <w:t>;</w:t>
      </w:r>
      <w:r>
        <w:rPr>
          <w:spacing w:val="11"/>
          <w:sz w:val="20"/>
        </w:rPr>
        <w:t> </w:t>
      </w:r>
      <w:r>
        <w:rPr>
          <w:rFonts w:ascii="Arial"/>
          <w:i/>
          <w:sz w:val="20"/>
        </w:rPr>
        <w:t>Lewis</w:t>
      </w:r>
      <w:r>
        <w:rPr>
          <w:rFonts w:ascii="Arial"/>
          <w:i/>
          <w:spacing w:val="10"/>
          <w:sz w:val="20"/>
        </w:rPr>
        <w:t> </w:t>
      </w:r>
      <w:r>
        <w:rPr>
          <w:rFonts w:ascii="Arial"/>
          <w:i/>
          <w:sz w:val="20"/>
        </w:rPr>
        <w:t>v</w:t>
      </w:r>
      <w:r>
        <w:rPr>
          <w:rFonts w:ascii="Arial"/>
          <w:i/>
          <w:spacing w:val="11"/>
          <w:sz w:val="20"/>
        </w:rPr>
        <w:t> </w:t>
      </w:r>
      <w:r>
        <w:rPr>
          <w:rFonts w:ascii="Arial"/>
          <w:i/>
          <w:sz w:val="20"/>
        </w:rPr>
        <w:t>Averay</w:t>
      </w:r>
      <w:r>
        <w:rPr>
          <w:rFonts w:ascii="Arial"/>
          <w:i/>
          <w:spacing w:val="11"/>
          <w:sz w:val="20"/>
        </w:rPr>
        <w:t> </w:t>
      </w:r>
      <w:r>
        <w:rPr>
          <w:rFonts w:ascii="Arial"/>
          <w:i/>
          <w:sz w:val="20"/>
        </w:rPr>
        <w:t>[1972]</w:t>
      </w:r>
      <w:r>
        <w:rPr>
          <w:rFonts w:ascii="Arial"/>
          <w:i/>
          <w:spacing w:val="11"/>
          <w:sz w:val="20"/>
        </w:rPr>
        <w:t> </w:t>
      </w:r>
      <w:r>
        <w:rPr>
          <w:rFonts w:ascii="Arial"/>
          <w:i/>
          <w:sz w:val="20"/>
        </w:rPr>
        <w:t>1</w:t>
      </w:r>
      <w:r>
        <w:rPr>
          <w:rFonts w:ascii="Arial"/>
          <w:i/>
          <w:spacing w:val="11"/>
          <w:sz w:val="20"/>
        </w:rPr>
        <w:t> </w:t>
      </w:r>
      <w:r>
        <w:rPr>
          <w:rFonts w:ascii="Arial"/>
          <w:i/>
          <w:sz w:val="20"/>
        </w:rPr>
        <w:t>Q.B.</w:t>
      </w:r>
      <w:r>
        <w:rPr>
          <w:rFonts w:ascii="Arial"/>
          <w:i/>
          <w:spacing w:val="11"/>
          <w:sz w:val="20"/>
        </w:rPr>
        <w:t> </w:t>
      </w:r>
      <w:r>
        <w:rPr>
          <w:rFonts w:ascii="Arial"/>
          <w:i/>
          <w:sz w:val="20"/>
        </w:rPr>
        <w:t>198</w:t>
      </w:r>
      <w:r>
        <w:rPr>
          <w:sz w:val="20"/>
        </w:rPr>
        <w:t>;</w:t>
      </w:r>
      <w:r>
        <w:rPr>
          <w:spacing w:val="11"/>
          <w:sz w:val="20"/>
        </w:rPr>
        <w:t> </w:t>
      </w:r>
      <w:r>
        <w:rPr>
          <w:sz w:val="20"/>
        </w:rPr>
        <w:t>Sale</w:t>
      </w:r>
      <w:r>
        <w:rPr>
          <w:spacing w:val="11"/>
          <w:sz w:val="20"/>
        </w:rPr>
        <w:t> </w:t>
      </w:r>
      <w:r>
        <w:rPr>
          <w:sz w:val="20"/>
        </w:rPr>
        <w:t>of</w:t>
      </w:r>
      <w:r>
        <w:rPr>
          <w:spacing w:val="11"/>
          <w:sz w:val="20"/>
        </w:rPr>
        <w:t> </w:t>
      </w:r>
      <w:r>
        <w:rPr>
          <w:spacing w:val="-2"/>
          <w:sz w:val="20"/>
        </w:rPr>
        <w:t>Goods</w:t>
      </w:r>
    </w:p>
    <w:p>
      <w:pPr>
        <w:spacing w:line="225" w:lineRule="exact" w:before="0"/>
        <w:ind w:left="0" w:right="168" w:firstLine="0"/>
        <w:jc w:val="right"/>
        <w:rPr>
          <w:rFonts w:ascii="Arial"/>
          <w:i/>
          <w:sz w:val="20"/>
        </w:rPr>
      </w:pPr>
      <w:r>
        <w:rPr>
          <w:sz w:val="20"/>
        </w:rPr>
        <w:t>Act</w:t>
      </w:r>
      <w:r>
        <w:rPr>
          <w:spacing w:val="14"/>
          <w:sz w:val="20"/>
        </w:rPr>
        <w:t> </w:t>
      </w:r>
      <w:r>
        <w:rPr>
          <w:sz w:val="20"/>
        </w:rPr>
        <w:t>1979</w:t>
      </w:r>
      <w:r>
        <w:rPr>
          <w:spacing w:val="14"/>
          <w:sz w:val="20"/>
        </w:rPr>
        <w:t> </w:t>
      </w:r>
      <w:r>
        <w:rPr>
          <w:sz w:val="20"/>
        </w:rPr>
        <w:t>s.23.</w:t>
      </w:r>
      <w:r>
        <w:rPr>
          <w:spacing w:val="14"/>
          <w:sz w:val="20"/>
        </w:rPr>
        <w:t> </w:t>
      </w:r>
      <w:r>
        <w:rPr>
          <w:sz w:val="20"/>
        </w:rPr>
        <w:t>Contrast</w:t>
      </w:r>
      <w:r>
        <w:rPr>
          <w:spacing w:val="14"/>
          <w:sz w:val="20"/>
        </w:rPr>
        <w:t> </w:t>
      </w:r>
      <w:r>
        <w:rPr>
          <w:rFonts w:ascii="Arial"/>
          <w:i/>
          <w:sz w:val="20"/>
        </w:rPr>
        <w:t>Cundy</w:t>
      </w:r>
      <w:r>
        <w:rPr>
          <w:rFonts w:ascii="Arial"/>
          <w:i/>
          <w:spacing w:val="14"/>
          <w:sz w:val="20"/>
        </w:rPr>
        <w:t> </w:t>
      </w:r>
      <w:r>
        <w:rPr>
          <w:rFonts w:ascii="Arial"/>
          <w:i/>
          <w:sz w:val="20"/>
        </w:rPr>
        <w:t>v</w:t>
      </w:r>
      <w:r>
        <w:rPr>
          <w:rFonts w:ascii="Arial"/>
          <w:i/>
          <w:spacing w:val="14"/>
          <w:sz w:val="20"/>
        </w:rPr>
        <w:t> </w:t>
      </w:r>
      <w:r>
        <w:rPr>
          <w:rFonts w:ascii="Arial"/>
          <w:i/>
          <w:sz w:val="20"/>
        </w:rPr>
        <w:t>Lindsay</w:t>
      </w:r>
      <w:r>
        <w:rPr>
          <w:rFonts w:ascii="Arial"/>
          <w:i/>
          <w:spacing w:val="14"/>
          <w:sz w:val="20"/>
        </w:rPr>
        <w:t> </w:t>
      </w:r>
      <w:r>
        <w:rPr>
          <w:rFonts w:ascii="Arial"/>
          <w:i/>
          <w:sz w:val="20"/>
        </w:rPr>
        <w:t>(1878)</w:t>
      </w:r>
      <w:r>
        <w:rPr>
          <w:rFonts w:ascii="Arial"/>
          <w:i/>
          <w:spacing w:val="14"/>
          <w:sz w:val="20"/>
        </w:rPr>
        <w:t> </w:t>
      </w:r>
      <w:r>
        <w:rPr>
          <w:rFonts w:ascii="Arial"/>
          <w:i/>
          <w:sz w:val="20"/>
        </w:rPr>
        <w:t>3</w:t>
      </w:r>
      <w:r>
        <w:rPr>
          <w:rFonts w:ascii="Arial"/>
          <w:i/>
          <w:spacing w:val="14"/>
          <w:sz w:val="20"/>
        </w:rPr>
        <w:t> </w:t>
      </w:r>
      <w:r>
        <w:rPr>
          <w:rFonts w:ascii="Arial"/>
          <w:i/>
          <w:sz w:val="20"/>
        </w:rPr>
        <w:t>App.</w:t>
      </w:r>
      <w:r>
        <w:rPr>
          <w:rFonts w:ascii="Arial"/>
          <w:i/>
          <w:spacing w:val="14"/>
          <w:sz w:val="20"/>
        </w:rPr>
        <w:t> </w:t>
      </w:r>
      <w:r>
        <w:rPr>
          <w:rFonts w:ascii="Arial"/>
          <w:i/>
          <w:sz w:val="20"/>
        </w:rPr>
        <w:t>Cas.</w:t>
      </w:r>
      <w:r>
        <w:rPr>
          <w:rFonts w:ascii="Arial"/>
          <w:i/>
          <w:spacing w:val="14"/>
          <w:sz w:val="20"/>
        </w:rPr>
        <w:t> </w:t>
      </w:r>
      <w:r>
        <w:rPr>
          <w:rFonts w:ascii="Arial"/>
          <w:i/>
          <w:sz w:val="20"/>
        </w:rPr>
        <w:t>459</w:t>
      </w:r>
      <w:r>
        <w:rPr>
          <w:rFonts w:ascii="Arial"/>
          <w:i/>
          <w:spacing w:val="13"/>
          <w:sz w:val="20"/>
        </w:rPr>
        <w:t> </w:t>
      </w:r>
      <w:r>
        <w:rPr>
          <w:sz w:val="20"/>
        </w:rPr>
        <w:t>and</w:t>
      </w:r>
      <w:r>
        <w:rPr>
          <w:spacing w:val="14"/>
          <w:sz w:val="20"/>
        </w:rPr>
        <w:t> </w:t>
      </w:r>
      <w:r>
        <w:rPr>
          <w:rFonts w:ascii="Arial"/>
          <w:i/>
          <w:sz w:val="20"/>
        </w:rPr>
        <w:t>Ingram</w:t>
      </w:r>
      <w:r>
        <w:rPr>
          <w:rFonts w:ascii="Arial"/>
          <w:i/>
          <w:spacing w:val="14"/>
          <w:sz w:val="20"/>
        </w:rPr>
        <w:t> </w:t>
      </w:r>
      <w:r>
        <w:rPr>
          <w:rFonts w:ascii="Arial"/>
          <w:i/>
          <w:sz w:val="20"/>
        </w:rPr>
        <w:t>v</w:t>
      </w:r>
      <w:r>
        <w:rPr>
          <w:rFonts w:ascii="Arial"/>
          <w:i/>
          <w:spacing w:val="14"/>
          <w:sz w:val="20"/>
        </w:rPr>
        <w:t> </w:t>
      </w:r>
      <w:r>
        <w:rPr>
          <w:rFonts w:ascii="Arial"/>
          <w:i/>
          <w:sz w:val="20"/>
        </w:rPr>
        <w:t>Little</w:t>
      </w:r>
      <w:r>
        <w:rPr>
          <w:rFonts w:ascii="Arial"/>
          <w:i/>
          <w:spacing w:val="14"/>
          <w:sz w:val="20"/>
        </w:rPr>
        <w:t> </w:t>
      </w:r>
      <w:r>
        <w:rPr>
          <w:rFonts w:ascii="Arial"/>
          <w:i/>
          <w:sz w:val="20"/>
        </w:rPr>
        <w:t>[1961]</w:t>
      </w:r>
      <w:r>
        <w:rPr>
          <w:rFonts w:ascii="Arial"/>
          <w:i/>
          <w:spacing w:val="14"/>
          <w:sz w:val="20"/>
        </w:rPr>
        <w:t> </w:t>
      </w:r>
      <w:r>
        <w:rPr>
          <w:rFonts w:ascii="Arial"/>
          <w:i/>
          <w:spacing w:val="-10"/>
          <w:sz w:val="20"/>
        </w:rPr>
        <w:t>1</w:t>
      </w:r>
    </w:p>
    <w:p>
      <w:pPr>
        <w:spacing w:line="235" w:lineRule="auto" w:before="1"/>
        <w:ind w:left="705" w:right="0" w:firstLine="0"/>
        <w:jc w:val="left"/>
        <w:rPr>
          <w:sz w:val="20"/>
        </w:rPr>
      </w:pPr>
      <w:r>
        <w:rPr>
          <w:rFonts w:ascii="Arial"/>
          <w:i/>
          <w:sz w:val="20"/>
        </w:rPr>
        <w:t>Q.B. 31</w:t>
      </w:r>
      <w:r>
        <w:rPr>
          <w:sz w:val="20"/>
        </w:rPr>
        <w:t>, where the contract was void for mistake (though see </w:t>
      </w:r>
      <w:r>
        <w:rPr>
          <w:rFonts w:ascii="Arial"/>
          <w:i/>
          <w:sz w:val="20"/>
        </w:rPr>
        <w:t>Shogun Finance Ltd v Hudson</w:t>
      </w:r>
      <w:r>
        <w:rPr>
          <w:rFonts w:ascii="Arial"/>
          <w:i/>
          <w:spacing w:val="80"/>
          <w:w w:val="150"/>
          <w:sz w:val="20"/>
        </w:rPr>
        <w:t> </w:t>
      </w:r>
      <w:r>
        <w:rPr>
          <w:rFonts w:ascii="Arial"/>
          <w:i/>
          <w:sz w:val="20"/>
        </w:rPr>
        <w:t>[2003] UKHL 62, [2004] 1 A.C. 919</w:t>
      </w:r>
      <w:r>
        <w:rPr>
          <w:sz w:val="20"/>
        </w:rPr>
        <w:t>). See below, Vol.II, para.44-208.</w:t>
      </w:r>
    </w:p>
    <w:p>
      <w:pPr>
        <w:pStyle w:val="BodyText"/>
        <w:spacing w:before="5"/>
      </w:pPr>
    </w:p>
    <w:p>
      <w:pPr>
        <w:tabs>
          <w:tab w:pos="705" w:val="left" w:leader="none"/>
        </w:tabs>
        <w:spacing w:before="0"/>
        <w:ind w:left="165" w:right="0" w:firstLine="0"/>
        <w:jc w:val="left"/>
        <w:rPr>
          <w:sz w:val="20"/>
        </w:rPr>
      </w:pPr>
      <w:bookmarkStart w:name="_bookmark1556" w:id="1558"/>
      <w:bookmarkEnd w:id="1558"/>
      <w:r>
        <w:rPr/>
      </w:r>
      <w:hyperlink w:history="true" w:anchor="_bookmark1527">
        <w:r>
          <w:rPr>
            <w:color w:val="005DA1"/>
            <w:spacing w:val="-4"/>
            <w:position w:val="5"/>
            <w:sz w:val="14"/>
            <w:u w:val="single" w:color="005DA1"/>
          </w:rPr>
          <w:t>822</w:t>
        </w:r>
      </w:hyperlink>
      <w:r>
        <w:rPr>
          <w:spacing w:val="-4"/>
          <w:position w:val="5"/>
          <w:sz w:val="14"/>
        </w:rPr>
        <w:t>.</w:t>
      </w:r>
      <w:r>
        <w:rPr>
          <w:position w:val="5"/>
          <w:sz w:val="14"/>
        </w:rPr>
        <w:tab/>
      </w:r>
      <w:r>
        <w:rPr>
          <w:sz w:val="20"/>
        </w:rPr>
        <w:t>See</w:t>
      </w:r>
      <w:r>
        <w:rPr>
          <w:spacing w:val="-1"/>
          <w:sz w:val="20"/>
        </w:rPr>
        <w:t> </w:t>
      </w:r>
      <w:r>
        <w:rPr>
          <w:rFonts w:ascii="Arial" w:hAnsi="Arial"/>
          <w:i/>
          <w:sz w:val="20"/>
        </w:rPr>
        <w:t>Solle v Butcher [1950] 1 K.B. 671, </w:t>
      </w:r>
      <w:r>
        <w:rPr>
          <w:rFonts w:ascii="Arial" w:hAnsi="Arial"/>
          <w:i/>
          <w:spacing w:val="-2"/>
          <w:sz w:val="20"/>
        </w:rPr>
        <w:t>696–697</w:t>
      </w:r>
      <w:r>
        <w:rPr>
          <w:spacing w:val="-2"/>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557" w:id="1559"/>
      <w:bookmarkEnd w:id="1559"/>
      <w:r>
        <w:rPr/>
      </w:r>
      <w:hyperlink w:history="true" w:anchor="_bookmark1528">
        <w:r>
          <w:rPr>
            <w:color w:val="005DA1"/>
            <w:spacing w:val="-4"/>
            <w:position w:val="5"/>
            <w:sz w:val="14"/>
            <w:u w:val="single" w:color="005DA1"/>
          </w:rPr>
          <w:t>823</w:t>
        </w:r>
      </w:hyperlink>
      <w:r>
        <w:rPr>
          <w:spacing w:val="-4"/>
          <w:position w:val="5"/>
          <w:sz w:val="14"/>
        </w:rPr>
        <w:t>.</w:t>
      </w:r>
      <w:r>
        <w:rPr>
          <w:position w:val="5"/>
          <w:sz w:val="14"/>
        </w:rPr>
        <w:tab/>
      </w:r>
      <w:r>
        <w:rPr>
          <w:rFonts w:ascii="Arial" w:hAnsi="Arial"/>
          <w:i/>
          <w:sz w:val="20"/>
        </w:rPr>
        <w:t>Great Peace Shipping Ltd v Tsavliris Salvage Ltd [2002] EWCA Civ 1407, [2003] Q.B. 679</w:t>
      </w:r>
      <w:r>
        <w:rPr>
          <w:sz w:val="20"/>
        </w:rPr>
        <w:t>; </w:t>
      </w:r>
      <w:r>
        <w:rPr>
          <w:rFonts w:ascii="Arial" w:hAnsi="Arial"/>
          <w:i/>
          <w:sz w:val="20"/>
        </w:rPr>
        <w:t>Bell v Lever Bros [1932] A.C. 161 </w:t>
      </w:r>
      <w:r>
        <w:rPr>
          <w:sz w:val="20"/>
        </w:rPr>
        <w:t>and see below, paras 6-055—6-060.</w:t>
      </w:r>
    </w:p>
    <w:p>
      <w:pPr>
        <w:pStyle w:val="BodyText"/>
        <w:spacing w:before="9"/>
      </w:pPr>
    </w:p>
    <w:p>
      <w:pPr>
        <w:pStyle w:val="BodyText"/>
        <w:spacing w:line="235" w:lineRule="auto"/>
        <w:ind w:left="705" w:right="167" w:hanging="541"/>
        <w:jc w:val="both"/>
      </w:pPr>
      <w:bookmarkStart w:name="_bookmark1558" w:id="1560"/>
      <w:bookmarkEnd w:id="1560"/>
      <w:r>
        <w:rPr/>
      </w:r>
      <w:hyperlink w:history="true" w:anchor="_bookmark1529">
        <w:r>
          <w:rPr>
            <w:color w:val="005DA1"/>
            <w:position w:val="5"/>
            <w:sz w:val="14"/>
            <w:u w:val="single" w:color="005DA1"/>
          </w:rPr>
          <w:t>824</w:t>
        </w:r>
      </w:hyperlink>
      <w:r>
        <w:rPr>
          <w:position w:val="5"/>
          <w:sz w:val="14"/>
        </w:rPr>
        <w:t>.</w:t>
      </w:r>
      <w:r>
        <w:rPr>
          <w:spacing w:val="80"/>
          <w:w w:val="150"/>
          <w:position w:val="5"/>
          <w:sz w:val="14"/>
        </w:rPr>
        <w:t> </w:t>
      </w:r>
      <w:r>
        <w:rPr/>
        <w:t>e.g. contracts of guarantee: Statute of Frauds 1677 s.4 (see Vol.II, paras 45-042—45-060). </w:t>
      </w:r>
      <w:r>
        <w:rPr/>
        <w:t>cf. consumer credit agreements whose failure to satisfy certain requirements of form render them</w:t>
      </w:r>
      <w:r>
        <w:rPr>
          <w:spacing w:val="40"/>
        </w:rPr>
        <w:t> </w:t>
      </w:r>
      <w:r>
        <w:rPr/>
        <w:t>in principle enforceable only on order of the court: Consumer Credit Act 1974 ss.60, 61, 65 and see Vol.II, paras 39-080, 39-093—39-094.</w:t>
      </w:r>
    </w:p>
    <w:p>
      <w:pPr>
        <w:pStyle w:val="BodyText"/>
        <w:spacing w:before="5"/>
      </w:pPr>
    </w:p>
    <w:p>
      <w:pPr>
        <w:tabs>
          <w:tab w:pos="705" w:val="left" w:leader="none"/>
        </w:tabs>
        <w:spacing w:before="0"/>
        <w:ind w:left="165" w:right="0" w:firstLine="0"/>
        <w:jc w:val="left"/>
        <w:rPr>
          <w:sz w:val="20"/>
        </w:rPr>
      </w:pPr>
      <w:bookmarkStart w:name="_bookmark1559" w:id="1561"/>
      <w:bookmarkEnd w:id="1561"/>
      <w:r>
        <w:rPr/>
      </w:r>
      <w:hyperlink w:history="true" w:anchor="_bookmark1530">
        <w:r>
          <w:rPr>
            <w:color w:val="005DA1"/>
            <w:spacing w:val="-4"/>
            <w:position w:val="5"/>
            <w:sz w:val="14"/>
            <w:u w:val="single" w:color="005DA1"/>
          </w:rPr>
          <w:t>825</w:t>
        </w:r>
      </w:hyperlink>
      <w:r>
        <w:rPr>
          <w:spacing w:val="-4"/>
          <w:position w:val="5"/>
          <w:sz w:val="14"/>
        </w:rPr>
        <w:t>.</w:t>
      </w:r>
      <w:r>
        <w:rPr>
          <w:position w:val="5"/>
          <w:sz w:val="14"/>
        </w:rPr>
        <w:tab/>
      </w:r>
      <w:r>
        <w:rPr>
          <w:sz w:val="20"/>
        </w:rPr>
        <w:t>See below, </w:t>
      </w:r>
      <w:r>
        <w:rPr>
          <w:spacing w:val="-2"/>
          <w:sz w:val="20"/>
        </w:rPr>
        <w:t>Ch.28.</w:t>
      </w:r>
    </w:p>
    <w:p>
      <w:pPr>
        <w:pStyle w:val="BodyText"/>
        <w:spacing w:before="5"/>
      </w:pPr>
    </w:p>
    <w:p>
      <w:pPr>
        <w:tabs>
          <w:tab w:pos="705" w:val="left" w:leader="none"/>
        </w:tabs>
        <w:spacing w:before="0"/>
        <w:ind w:left="165" w:right="0" w:firstLine="0"/>
        <w:jc w:val="left"/>
        <w:rPr>
          <w:sz w:val="20"/>
        </w:rPr>
      </w:pPr>
      <w:bookmarkStart w:name="_bookmark1560" w:id="1562"/>
      <w:bookmarkEnd w:id="1562"/>
      <w:r>
        <w:rPr/>
      </w:r>
      <w:hyperlink w:history="true" w:anchor="_bookmark1531">
        <w:r>
          <w:rPr>
            <w:color w:val="005DA1"/>
            <w:spacing w:val="-4"/>
            <w:position w:val="5"/>
            <w:sz w:val="14"/>
            <w:u w:val="single" w:color="005DA1"/>
          </w:rPr>
          <w:t>826</w:t>
        </w:r>
      </w:hyperlink>
      <w:r>
        <w:rPr>
          <w:spacing w:val="-4"/>
          <w:position w:val="5"/>
          <w:sz w:val="14"/>
        </w:rPr>
        <w:t>.</w:t>
      </w:r>
      <w:r>
        <w:rPr>
          <w:position w:val="5"/>
          <w:sz w:val="14"/>
        </w:rPr>
        <w:tab/>
      </w:r>
      <w:r>
        <w:rPr>
          <w:sz w:val="20"/>
        </w:rPr>
        <w:t>See below, </w:t>
      </w:r>
      <w:r>
        <w:rPr>
          <w:spacing w:val="-2"/>
          <w:sz w:val="20"/>
        </w:rPr>
        <w:t>Ch.12.</w:t>
      </w:r>
    </w:p>
    <w:p>
      <w:pPr>
        <w:pStyle w:val="BodyText"/>
        <w:spacing w:before="5"/>
      </w:pPr>
    </w:p>
    <w:p>
      <w:pPr>
        <w:tabs>
          <w:tab w:pos="705" w:val="left" w:leader="none"/>
        </w:tabs>
        <w:spacing w:before="0"/>
        <w:ind w:left="165" w:right="0" w:firstLine="0"/>
        <w:jc w:val="left"/>
        <w:rPr>
          <w:sz w:val="20"/>
        </w:rPr>
      </w:pPr>
      <w:bookmarkStart w:name="_bookmark1561" w:id="1563"/>
      <w:bookmarkEnd w:id="1563"/>
      <w:r>
        <w:rPr/>
      </w:r>
      <w:hyperlink w:history="true" w:anchor="_bookmark1531">
        <w:r>
          <w:rPr>
            <w:color w:val="005DA1"/>
            <w:spacing w:val="-4"/>
            <w:position w:val="5"/>
            <w:sz w:val="14"/>
            <w:u w:val="single" w:color="005DA1"/>
          </w:rPr>
          <w:t>827</w:t>
        </w:r>
      </w:hyperlink>
      <w:r>
        <w:rPr>
          <w:spacing w:val="-4"/>
          <w:position w:val="5"/>
          <w:sz w:val="14"/>
        </w:rPr>
        <w:t>.</w:t>
      </w:r>
      <w:r>
        <w:rPr>
          <w:position w:val="5"/>
          <w:sz w:val="14"/>
        </w:rPr>
        <w:tab/>
      </w:r>
      <w:r>
        <w:rPr>
          <w:rFonts w:ascii="Arial" w:hAnsi="Arial"/>
          <w:i/>
          <w:sz w:val="20"/>
        </w:rPr>
        <w:t>United</w:t>
      </w:r>
      <w:r>
        <w:rPr>
          <w:rFonts w:ascii="Arial" w:hAnsi="Arial"/>
          <w:i/>
          <w:spacing w:val="-2"/>
          <w:sz w:val="20"/>
        </w:rPr>
        <w:t> </w:t>
      </w:r>
      <w:r>
        <w:rPr>
          <w:rFonts w:ascii="Arial" w:hAnsi="Arial"/>
          <w:i/>
          <w:sz w:val="20"/>
        </w:rPr>
        <w:t>City Merchants (Investments) Ltd v Royal Bank of Canada [1983] 1 A.C. 168, </w:t>
      </w:r>
      <w:r>
        <w:rPr>
          <w:rFonts w:ascii="Arial" w:hAnsi="Arial"/>
          <w:i/>
          <w:spacing w:val="-2"/>
          <w:sz w:val="20"/>
        </w:rPr>
        <w:t>189–190</w:t>
      </w:r>
      <w:r>
        <w:rPr>
          <w:spacing w:val="-2"/>
          <w:sz w:val="20"/>
        </w:rPr>
        <w:t>.</w:t>
      </w:r>
    </w:p>
    <w:p>
      <w:pPr>
        <w:pStyle w:val="BodyText"/>
        <w:spacing w:before="5"/>
      </w:pPr>
    </w:p>
    <w:p>
      <w:pPr>
        <w:pStyle w:val="BodyText"/>
        <w:tabs>
          <w:tab w:pos="705" w:val="left" w:leader="none"/>
        </w:tabs>
        <w:ind w:left="165"/>
      </w:pPr>
      <w:bookmarkStart w:name="_bookmark1562" w:id="1564"/>
      <w:bookmarkEnd w:id="1564"/>
      <w:r>
        <w:rPr/>
      </w:r>
      <w:hyperlink w:history="true" w:anchor="_bookmark1532">
        <w:r>
          <w:rPr>
            <w:color w:val="005DA1"/>
            <w:spacing w:val="-4"/>
            <w:position w:val="5"/>
            <w:sz w:val="14"/>
            <w:u w:val="single" w:color="005DA1"/>
          </w:rPr>
          <w:t>828</w:t>
        </w:r>
      </w:hyperlink>
      <w:r>
        <w:rPr>
          <w:spacing w:val="-4"/>
          <w:position w:val="5"/>
          <w:sz w:val="14"/>
        </w:rPr>
        <w:t>.</w:t>
      </w:r>
      <w:r>
        <w:rPr>
          <w:position w:val="5"/>
          <w:sz w:val="14"/>
        </w:rPr>
        <w:tab/>
      </w:r>
      <w:r>
        <w:rPr/>
        <w:t>See below, Vol.II, para.45-</w:t>
      </w:r>
      <w:r>
        <w:rPr>
          <w:spacing w:val="-4"/>
        </w:rPr>
        <w:t>053.</w:t>
      </w:r>
    </w:p>
    <w:p>
      <w:pPr>
        <w:pStyle w:val="BodyText"/>
        <w:spacing w:before="5"/>
      </w:pPr>
    </w:p>
    <w:p>
      <w:pPr>
        <w:pStyle w:val="BodyText"/>
        <w:tabs>
          <w:tab w:pos="705" w:val="left" w:leader="none"/>
        </w:tabs>
        <w:ind w:left="165"/>
      </w:pPr>
      <w:bookmarkStart w:name="_bookmark1563" w:id="1565"/>
      <w:bookmarkEnd w:id="1565"/>
      <w:r>
        <w:rPr/>
      </w:r>
      <w:hyperlink w:history="true" w:anchor="_bookmark1533">
        <w:r>
          <w:rPr>
            <w:color w:val="005DA1"/>
            <w:spacing w:val="-4"/>
            <w:position w:val="5"/>
            <w:sz w:val="14"/>
            <w:u w:val="single" w:color="005DA1"/>
          </w:rPr>
          <w:t>829</w:t>
        </w:r>
      </w:hyperlink>
      <w:r>
        <w:rPr>
          <w:spacing w:val="-4"/>
          <w:position w:val="5"/>
          <w:sz w:val="14"/>
        </w:rPr>
        <w:t>.</w:t>
      </w:r>
      <w:r>
        <w:rPr>
          <w:position w:val="5"/>
          <w:sz w:val="14"/>
        </w:rPr>
        <w:tab/>
      </w:r>
      <w:r>
        <w:rPr/>
        <w:t>Limitation Act 1980 s.29 and see below, paras 28-093 et </w:t>
      </w:r>
      <w:r>
        <w:rPr>
          <w:spacing w:val="-4"/>
        </w:rPr>
        <w:t>seq.</w:t>
      </w:r>
    </w:p>
    <w:p>
      <w:pPr>
        <w:pStyle w:val="BodyText"/>
        <w:spacing w:before="5"/>
      </w:pPr>
    </w:p>
    <w:p>
      <w:pPr>
        <w:pStyle w:val="BodyText"/>
        <w:tabs>
          <w:tab w:pos="705" w:val="left" w:leader="none"/>
        </w:tabs>
        <w:ind w:left="165"/>
      </w:pPr>
      <w:bookmarkStart w:name="_bookmark1564" w:id="1566"/>
      <w:bookmarkEnd w:id="1566"/>
      <w:r>
        <w:rPr/>
      </w:r>
      <w:hyperlink w:history="true" w:anchor="_bookmark1533">
        <w:r>
          <w:rPr>
            <w:color w:val="005DA1"/>
            <w:spacing w:val="-4"/>
            <w:position w:val="5"/>
            <w:sz w:val="14"/>
            <w:u w:val="single" w:color="005DA1"/>
          </w:rPr>
          <w:t>830</w:t>
        </w:r>
      </w:hyperlink>
      <w:r>
        <w:rPr>
          <w:spacing w:val="-4"/>
          <w:position w:val="5"/>
          <w:sz w:val="14"/>
        </w:rPr>
        <w:t>.</w:t>
      </w:r>
      <w:r>
        <w:rPr>
          <w:position w:val="5"/>
          <w:sz w:val="14"/>
        </w:rPr>
        <w:tab/>
      </w:r>
      <w:r>
        <w:rPr/>
        <w:t>See below, paras 12-020 et </w:t>
      </w:r>
      <w:r>
        <w:rPr>
          <w:spacing w:val="-4"/>
        </w:rPr>
        <w:t>seq.</w:t>
      </w:r>
    </w:p>
    <w:p>
      <w:pPr>
        <w:pStyle w:val="BodyText"/>
        <w:spacing w:before="5"/>
      </w:pPr>
    </w:p>
    <w:p>
      <w:pPr>
        <w:pStyle w:val="BodyText"/>
        <w:tabs>
          <w:tab w:pos="705" w:val="left" w:leader="none"/>
        </w:tabs>
        <w:ind w:left="165"/>
      </w:pPr>
      <w:bookmarkStart w:name="_bookmark1565" w:id="1567"/>
      <w:bookmarkEnd w:id="1567"/>
      <w:r>
        <w:rPr/>
      </w:r>
      <w:hyperlink w:history="true" w:anchor="_bookmark1534">
        <w:r>
          <w:rPr>
            <w:color w:val="005DA1"/>
            <w:spacing w:val="-4"/>
            <w:position w:val="5"/>
            <w:sz w:val="14"/>
            <w:u w:val="single" w:color="005DA1"/>
          </w:rPr>
          <w:t>831</w:t>
        </w:r>
      </w:hyperlink>
      <w:r>
        <w:rPr>
          <w:spacing w:val="-4"/>
          <w:position w:val="5"/>
          <w:sz w:val="14"/>
        </w:rPr>
        <w:t>.</w:t>
      </w:r>
      <w:r>
        <w:rPr>
          <w:position w:val="5"/>
          <w:sz w:val="14"/>
        </w:rPr>
        <w:tab/>
      </w:r>
      <w:r>
        <w:rPr/>
        <w:t>See</w:t>
      </w:r>
      <w:r>
        <w:rPr>
          <w:spacing w:val="-2"/>
        </w:rPr>
        <w:t> </w:t>
      </w:r>
      <w:r>
        <w:rPr/>
        <w:t>below, para.28-</w:t>
      </w:r>
      <w:r>
        <w:rPr>
          <w:spacing w:val="-4"/>
        </w:rPr>
        <w:t>134.</w:t>
      </w:r>
    </w:p>
    <w:p>
      <w:pPr>
        <w:pStyle w:val="BodyText"/>
        <w:spacing w:before="9"/>
      </w:pPr>
    </w:p>
    <w:p>
      <w:pPr>
        <w:pStyle w:val="BodyText"/>
        <w:tabs>
          <w:tab w:pos="705" w:val="left" w:leader="none"/>
        </w:tabs>
        <w:spacing w:line="235" w:lineRule="auto"/>
        <w:ind w:left="705" w:right="168" w:hanging="541"/>
      </w:pPr>
      <w:bookmarkStart w:name="_bookmark1566" w:id="1568"/>
      <w:bookmarkEnd w:id="1568"/>
      <w:r>
        <w:rPr/>
      </w:r>
      <w:hyperlink w:history="true" w:anchor="_bookmark1535">
        <w:r>
          <w:rPr>
            <w:color w:val="005DA1"/>
            <w:spacing w:val="-4"/>
            <w:position w:val="5"/>
            <w:sz w:val="14"/>
            <w:u w:val="single" w:color="005DA1"/>
          </w:rPr>
          <w:t>832</w:t>
        </w:r>
      </w:hyperlink>
      <w:r>
        <w:rPr>
          <w:spacing w:val="-4"/>
          <w:position w:val="5"/>
          <w:sz w:val="14"/>
        </w:rPr>
        <w:t>.</w:t>
      </w:r>
      <w:r>
        <w:rPr>
          <w:position w:val="5"/>
          <w:sz w:val="14"/>
        </w:rPr>
        <w:tab/>
      </w:r>
      <w:r>
        <w:rPr/>
        <w:t>Unfair</w:t>
      </w:r>
      <w:r>
        <w:rPr>
          <w:spacing w:val="24"/>
        </w:rPr>
        <w:t> </w:t>
      </w:r>
      <w:r>
        <w:rPr/>
        <w:t>Terms</w:t>
      </w:r>
      <w:r>
        <w:rPr>
          <w:spacing w:val="24"/>
        </w:rPr>
        <w:t> </w:t>
      </w:r>
      <w:r>
        <w:rPr/>
        <w:t>in</w:t>
      </w:r>
      <w:r>
        <w:rPr>
          <w:spacing w:val="24"/>
        </w:rPr>
        <w:t> </w:t>
      </w:r>
      <w:r>
        <w:rPr/>
        <w:t>Consumer</w:t>
      </w:r>
      <w:r>
        <w:rPr>
          <w:spacing w:val="24"/>
        </w:rPr>
        <w:t> </w:t>
      </w:r>
      <w:r>
        <w:rPr/>
        <w:t>Contracts</w:t>
      </w:r>
      <w:r>
        <w:rPr>
          <w:spacing w:val="24"/>
        </w:rPr>
        <w:t> </w:t>
      </w:r>
      <w:r>
        <w:rPr/>
        <w:t>1999</w:t>
      </w:r>
      <w:r>
        <w:rPr>
          <w:spacing w:val="24"/>
        </w:rPr>
        <w:t> </w:t>
      </w:r>
      <w:r>
        <w:rPr/>
        <w:t>(SI</w:t>
      </w:r>
      <w:r>
        <w:rPr>
          <w:spacing w:val="24"/>
        </w:rPr>
        <w:t> </w:t>
      </w:r>
      <w:r>
        <w:rPr/>
        <w:t>1999/2083)</w:t>
      </w:r>
      <w:r>
        <w:rPr>
          <w:spacing w:val="24"/>
        </w:rPr>
        <w:t> </w:t>
      </w:r>
      <w:r>
        <w:rPr/>
        <w:t>reg.8;</w:t>
      </w:r>
      <w:r>
        <w:rPr>
          <w:spacing w:val="24"/>
        </w:rPr>
        <w:t> </w:t>
      </w:r>
      <w:r>
        <w:rPr/>
        <w:t>Consumer</w:t>
      </w:r>
      <w:r>
        <w:rPr>
          <w:spacing w:val="24"/>
        </w:rPr>
        <w:t> </w:t>
      </w:r>
      <w:r>
        <w:rPr/>
        <w:t>Rights</w:t>
      </w:r>
      <w:r>
        <w:rPr>
          <w:spacing w:val="24"/>
        </w:rPr>
        <w:t> </w:t>
      </w:r>
      <w:r>
        <w:rPr/>
        <w:t>Act</w:t>
      </w:r>
      <w:r>
        <w:rPr>
          <w:spacing w:val="24"/>
        </w:rPr>
        <w:t> </w:t>
      </w:r>
      <w:r>
        <w:rPr/>
        <w:t>2015 ss.62(2)–(3) and 67 on which see Vol.II, paras 38-311—38-312 and 38-369 respectively.</w:t>
      </w:r>
    </w:p>
    <w:p>
      <w:pPr>
        <w:pStyle w:val="BodyText"/>
        <w:spacing w:before="5"/>
      </w:pPr>
    </w:p>
    <w:p>
      <w:pPr>
        <w:pStyle w:val="BodyText"/>
        <w:tabs>
          <w:tab w:pos="705" w:val="left" w:leader="none"/>
        </w:tabs>
        <w:spacing w:before="1"/>
        <w:ind w:left="165"/>
      </w:pPr>
      <w:bookmarkStart w:name="_bookmark1567" w:id="1569"/>
      <w:bookmarkEnd w:id="1569"/>
      <w:r>
        <w:rPr/>
      </w:r>
      <w:hyperlink w:history="true" w:anchor="_bookmark1536">
        <w:r>
          <w:rPr>
            <w:color w:val="005DA1"/>
            <w:spacing w:val="-4"/>
            <w:position w:val="5"/>
            <w:sz w:val="14"/>
            <w:u w:val="single" w:color="005DA1"/>
          </w:rPr>
          <w:t>833</w:t>
        </w:r>
      </w:hyperlink>
      <w:r>
        <w:rPr>
          <w:spacing w:val="-4"/>
          <w:position w:val="5"/>
          <w:sz w:val="14"/>
        </w:rPr>
        <w:t>.</w:t>
      </w:r>
      <w:r>
        <w:rPr>
          <w:position w:val="5"/>
          <w:sz w:val="14"/>
        </w:rPr>
        <w:tab/>
      </w:r>
      <w:r>
        <w:rPr/>
        <w:t>See</w:t>
      </w:r>
      <w:r>
        <w:rPr>
          <w:spacing w:val="-2"/>
        </w:rPr>
        <w:t> </w:t>
      </w:r>
      <w:r>
        <w:rPr/>
        <w:t>Vol.II, para.38-</w:t>
      </w:r>
      <w:r>
        <w:rPr>
          <w:spacing w:val="-4"/>
        </w:rPr>
        <w:t>312.</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6. - Contracts Contained in </w:t>
      </w:r>
      <w:r>
        <w:rPr>
          <w:rFonts w:ascii="Arial"/>
          <w:b/>
          <w:spacing w:val="-2"/>
          <w:sz w:val="24"/>
        </w:rPr>
        <w:t>Deeds</w:t>
      </w:r>
    </w:p>
    <w:p>
      <w:pPr>
        <w:pStyle w:val="ListParagraph"/>
        <w:numPr>
          <w:ilvl w:val="0"/>
          <w:numId w:val="10"/>
        </w:numPr>
        <w:tabs>
          <w:tab w:pos="4331" w:val="left" w:leader="none"/>
        </w:tabs>
        <w:spacing w:line="240" w:lineRule="auto" w:before="194" w:after="0"/>
        <w:ind w:left="4331" w:right="0" w:hanging="360"/>
        <w:jc w:val="left"/>
        <w:rPr>
          <w:b/>
          <w:sz w:val="24"/>
        </w:rPr>
      </w:pPr>
      <w:r>
        <w:rPr>
          <w:b/>
          <w:sz w:val="24"/>
        </w:rPr>
        <w:t>- </w:t>
      </w:r>
      <w:r>
        <w:rPr>
          <w:b/>
          <w:spacing w:val="-2"/>
          <w:sz w:val="24"/>
        </w:rPr>
        <w:t>General</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Preliminary</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113</w:t>
      </w:r>
    </w:p>
    <w:p>
      <w:pPr>
        <w:pStyle w:val="BodyText"/>
        <w:spacing w:line="235" w:lineRule="auto" w:before="202"/>
        <w:ind w:left="164" w:right="167"/>
        <w:jc w:val="both"/>
      </w:pPr>
      <w:r>
        <w:rPr/>
        <w:t>At common law, contracts under seal, or specialties, were an important example of deeds and at common law a deed was an instrument which was not merely in writing, but which was sealed by the </w:t>
      </w:r>
      <w:bookmarkStart w:name="_bookmark1568" w:id="1570"/>
      <w:bookmarkEnd w:id="1570"/>
      <w:r>
        <w:rPr/>
        <w:t>party</w:t>
      </w:r>
      <w:r>
        <w:rPr/>
        <w:t> bound thereby, and delivered by him to or for the benefit of the person to whom the liability was incurred. </w:t>
      </w:r>
      <w:r>
        <w:rPr>
          <w:color w:val="005DA1"/>
          <w:u w:val="single" w:color="005DA1"/>
          <w:vertAlign w:val="superscript"/>
        </w:rPr>
        <w:t>834</w:t>
      </w:r>
      <w:r>
        <w:rPr>
          <w:color w:val="005DA1"/>
          <w:vertAlign w:val="baseline"/>
        </w:rPr>
        <w:t> </w:t>
      </w:r>
      <w:r>
        <w:rPr>
          <w:vertAlign w:val="baseline"/>
        </w:rPr>
        <w:t>In no other way than by the use of this form could validity be given to executory contracts at common law in early times. At common law, all deeds were documents under seal, but not </w:t>
      </w:r>
      <w:r>
        <w:rPr>
          <w:vertAlign w:val="baseline"/>
        </w:rPr>
        <w:t>all documents under seal were and are deeds. A deed must:</w:t>
      </w:r>
    </w:p>
    <w:p>
      <w:pPr>
        <w:pStyle w:val="BodyText"/>
      </w:pPr>
    </w:p>
    <w:p>
      <w:pPr>
        <w:pStyle w:val="BodyText"/>
        <w:spacing w:before="194"/>
      </w:pPr>
    </w:p>
    <w:p>
      <w:pPr>
        <w:pStyle w:val="BodyText"/>
        <w:ind w:left="165"/>
      </w:pPr>
      <w:r>
        <w:rPr>
          <w:spacing w:val="-5"/>
        </w:rPr>
        <w:t>(a)</w:t>
      </w:r>
    </w:p>
    <w:p>
      <w:pPr>
        <w:pStyle w:val="BodyText"/>
        <w:spacing w:before="110"/>
        <w:ind w:left="645"/>
      </w:pPr>
      <w:r>
        <w:rPr/>
        <w:t>effect the transference of an interest, right or </w:t>
      </w:r>
      <w:r>
        <w:rPr>
          <w:spacing w:val="-2"/>
        </w:rPr>
        <w:t>property;</w:t>
      </w:r>
    </w:p>
    <w:p>
      <w:pPr>
        <w:pStyle w:val="BodyText"/>
      </w:pPr>
    </w:p>
    <w:p>
      <w:pPr>
        <w:pStyle w:val="BodyText"/>
        <w:spacing w:before="35"/>
      </w:pPr>
    </w:p>
    <w:p>
      <w:pPr>
        <w:pStyle w:val="BodyText"/>
        <w:ind w:left="165"/>
      </w:pPr>
      <w:r>
        <w:rPr>
          <w:spacing w:val="-5"/>
        </w:rPr>
        <w:t>(b)</w:t>
      </w:r>
    </w:p>
    <w:p>
      <w:pPr>
        <w:pStyle w:val="BodyText"/>
        <w:spacing w:before="110"/>
        <w:ind w:left="645"/>
      </w:pPr>
      <w:r>
        <w:rPr/>
        <w:t>create an obligation binding on some person or persons; </w:t>
      </w:r>
      <w:r>
        <w:rPr>
          <w:spacing w:val="-5"/>
        </w:rPr>
        <w:t>or</w:t>
      </w:r>
    </w:p>
    <w:p>
      <w:pPr>
        <w:pStyle w:val="BodyText"/>
      </w:pPr>
    </w:p>
    <w:p>
      <w:pPr>
        <w:pStyle w:val="BodyText"/>
        <w:spacing w:before="35"/>
      </w:pPr>
    </w:p>
    <w:p>
      <w:pPr>
        <w:pStyle w:val="BodyText"/>
        <w:ind w:left="165"/>
      </w:pPr>
      <w:r>
        <w:rPr>
          <w:spacing w:val="-5"/>
        </w:rPr>
        <w:t>(c)</w:t>
      </w:r>
    </w:p>
    <w:p>
      <w:pPr>
        <w:pStyle w:val="BodyText"/>
        <w:spacing w:before="110"/>
        <w:ind w:left="645"/>
      </w:pPr>
      <w:r>
        <w:rPr/>
        <w:t>confirm some act whereby an interest, right or property has already </w:t>
      </w:r>
      <w:r>
        <w:rPr>
          <w:spacing w:val="-2"/>
        </w:rPr>
        <w:t>passed.</w:t>
      </w:r>
    </w:p>
    <w:p>
      <w:pPr>
        <w:pStyle w:val="BodyText"/>
        <w:spacing w:before="209"/>
      </w:pPr>
    </w:p>
    <w:p>
      <w:pPr>
        <w:pStyle w:val="BodyText"/>
        <w:spacing w:line="235" w:lineRule="auto"/>
        <w:ind w:left="165"/>
      </w:pPr>
      <w:bookmarkStart w:name="_bookmark1569" w:id="1571"/>
      <w:bookmarkEnd w:id="1571"/>
      <w:r>
        <w:rPr/>
      </w:r>
      <w:r>
        <w:rPr/>
        <w:t>Some</w:t>
      </w:r>
      <w:r>
        <w:rPr>
          <w:spacing w:val="40"/>
        </w:rPr>
        <w:t> </w:t>
      </w:r>
      <w:r>
        <w:rPr/>
        <w:t>documents</w:t>
      </w:r>
      <w:r>
        <w:rPr>
          <w:spacing w:val="40"/>
        </w:rPr>
        <w:t> </w:t>
      </w:r>
      <w:r>
        <w:rPr/>
        <w:t>under</w:t>
      </w:r>
      <w:r>
        <w:rPr>
          <w:spacing w:val="40"/>
        </w:rPr>
        <w:t> </w:t>
      </w:r>
      <w:r>
        <w:rPr/>
        <w:t>seal</w:t>
      </w:r>
      <w:r>
        <w:rPr>
          <w:spacing w:val="40"/>
        </w:rPr>
        <w:t> </w:t>
      </w:r>
      <w:r>
        <w:rPr/>
        <w:t>are</w:t>
      </w:r>
      <w:r>
        <w:rPr>
          <w:spacing w:val="40"/>
        </w:rPr>
        <w:t> </w:t>
      </w:r>
      <w:r>
        <w:rPr/>
        <w:t>not</w:t>
      </w:r>
      <w:r>
        <w:rPr>
          <w:spacing w:val="40"/>
        </w:rPr>
        <w:t> </w:t>
      </w:r>
      <w:r>
        <w:rPr/>
        <w:t>deeds,</w:t>
      </w:r>
      <w:r>
        <w:rPr>
          <w:spacing w:val="40"/>
        </w:rPr>
        <w:t> </w:t>
      </w:r>
      <w:r>
        <w:rPr/>
        <w:t>for</w:t>
      </w:r>
      <w:r>
        <w:rPr>
          <w:spacing w:val="40"/>
        </w:rPr>
        <w:t> </w:t>
      </w:r>
      <w:r>
        <w:rPr/>
        <w:t>instance</w:t>
      </w:r>
      <w:r>
        <w:rPr>
          <w:spacing w:val="40"/>
        </w:rPr>
        <w:t> </w:t>
      </w:r>
      <w:r>
        <w:rPr/>
        <w:t>a</w:t>
      </w:r>
      <w:r>
        <w:rPr>
          <w:spacing w:val="40"/>
        </w:rPr>
        <w:t> </w:t>
      </w:r>
      <w:r>
        <w:rPr/>
        <w:t>certificate</w:t>
      </w:r>
      <w:r>
        <w:rPr>
          <w:spacing w:val="40"/>
        </w:rPr>
        <w:t> </w:t>
      </w:r>
      <w:r>
        <w:rPr/>
        <w:t>of</w:t>
      </w:r>
      <w:r>
        <w:rPr>
          <w:spacing w:val="40"/>
        </w:rPr>
        <w:t> </w:t>
      </w:r>
      <w:r>
        <w:rPr/>
        <w:t>admission</w:t>
      </w:r>
      <w:r>
        <w:rPr>
          <w:spacing w:val="40"/>
        </w:rPr>
        <w:t> </w:t>
      </w:r>
      <w:r>
        <w:rPr/>
        <w:t>to</w:t>
      </w:r>
      <w:r>
        <w:rPr>
          <w:spacing w:val="40"/>
        </w:rPr>
        <w:t> </w:t>
      </w:r>
      <w:r>
        <w:rPr/>
        <w:t>a</w:t>
      </w:r>
      <w:r>
        <w:rPr>
          <w:spacing w:val="40"/>
        </w:rPr>
        <w:t> </w:t>
      </w:r>
      <w:r>
        <w:rPr/>
        <w:t>learned society or probate of a will. </w:t>
      </w:r>
      <w:r>
        <w:rPr>
          <w:color w:val="005DA1"/>
          <w:u w:val="single" w:color="005DA1"/>
          <w:vertAlign w:val="superscript"/>
        </w:rPr>
        <w:t>835</w:t>
      </w:r>
    </w:p>
    <w:p>
      <w:pPr>
        <w:pStyle w:val="BodyText"/>
      </w:pPr>
    </w:p>
    <w:p>
      <w:pPr>
        <w:pStyle w:val="BodyText"/>
        <w:spacing w:before="38"/>
      </w:pPr>
    </w:p>
    <w:p>
      <w:pPr>
        <w:spacing w:before="0"/>
        <w:ind w:left="165" w:right="0" w:firstLine="0"/>
        <w:jc w:val="left"/>
        <w:rPr>
          <w:rFonts w:ascii="Arial"/>
          <w:b/>
          <w:sz w:val="18"/>
        </w:rPr>
      </w:pPr>
      <w:r>
        <w:rPr>
          <w:rFonts w:ascii="Arial"/>
          <w:b/>
          <w:sz w:val="18"/>
        </w:rPr>
        <w:t>General abolition of the requirement of </w:t>
      </w:r>
      <w:r>
        <w:rPr>
          <w:rFonts w:ascii="Arial"/>
          <w:b/>
          <w:spacing w:val="-2"/>
          <w:sz w:val="18"/>
        </w:rPr>
        <w:t>sealing</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114</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0"/>
        </w:rPr>
        <w:t> </w:t>
      </w:r>
      <w:bookmarkStart w:name="_bookmark1570" w:id="1572"/>
      <w:bookmarkEnd w:id="1572"/>
      <w:r>
        <w:rPr>
          <w:rFonts w:ascii="Times New Roman"/>
          <w:spacing w:val="10"/>
        </w:rPr>
      </w:r>
      <w:r>
        <w:rPr/>
        <w:t>In</w:t>
      </w:r>
      <w:r>
        <w:rPr>
          <w:spacing w:val="58"/>
        </w:rPr>
        <w:t> </w:t>
      </w:r>
      <w:r>
        <w:rPr/>
        <w:t>1989,</w:t>
      </w:r>
      <w:r>
        <w:rPr>
          <w:spacing w:val="58"/>
        </w:rPr>
        <w:t> </w:t>
      </w:r>
      <w:r>
        <w:rPr/>
        <w:t>legislation</w:t>
      </w:r>
      <w:r>
        <w:rPr>
          <w:spacing w:val="58"/>
        </w:rPr>
        <w:t> </w:t>
      </w:r>
      <w:r>
        <w:rPr/>
        <w:t>was</w:t>
      </w:r>
      <w:r>
        <w:rPr>
          <w:spacing w:val="58"/>
        </w:rPr>
        <w:t> </w:t>
      </w:r>
      <w:r>
        <w:rPr/>
        <w:t>enacted</w:t>
      </w:r>
      <w:r>
        <w:rPr>
          <w:spacing w:val="58"/>
        </w:rPr>
        <w:t> </w:t>
      </w:r>
      <w:r>
        <w:rPr/>
        <w:t>which</w:t>
      </w:r>
      <w:r>
        <w:rPr>
          <w:spacing w:val="58"/>
        </w:rPr>
        <w:t> </w:t>
      </w:r>
      <w:r>
        <w:rPr/>
        <w:t>abolished</w:t>
      </w:r>
      <w:r>
        <w:rPr>
          <w:spacing w:val="58"/>
        </w:rPr>
        <w:t> </w:t>
      </w:r>
      <w:r>
        <w:rPr/>
        <w:t>the</w:t>
      </w:r>
      <w:r>
        <w:rPr>
          <w:spacing w:val="58"/>
        </w:rPr>
        <w:t> </w:t>
      </w:r>
      <w:r>
        <w:rPr/>
        <w:t>ancient</w:t>
      </w:r>
      <w:r>
        <w:rPr>
          <w:spacing w:val="58"/>
        </w:rPr>
        <w:t> </w:t>
      </w:r>
      <w:r>
        <w:rPr/>
        <w:t>requirement</w:t>
      </w:r>
      <w:r>
        <w:rPr>
          <w:spacing w:val="58"/>
        </w:rPr>
        <w:t> </w:t>
      </w:r>
      <w:r>
        <w:rPr/>
        <w:t>of</w:t>
      </w:r>
      <w:r>
        <w:rPr>
          <w:spacing w:val="58"/>
        </w:rPr>
        <w:t> </w:t>
      </w:r>
      <w:r>
        <w:rPr/>
        <w:t>sealing</w:t>
      </w:r>
      <w:r>
        <w:rPr>
          <w:spacing w:val="58"/>
        </w:rPr>
        <w:t> </w:t>
      </w:r>
      <w:r>
        <w:rPr/>
        <w:t>for</w:t>
      </w:r>
      <w:r>
        <w:rPr>
          <w:spacing w:val="58"/>
        </w:rPr>
        <w:t> </w:t>
      </w:r>
      <w:r>
        <w:rPr/>
        <w:t>the</w:t>
      </w:r>
    </w:p>
    <w:p>
      <w:pPr>
        <w:pStyle w:val="BodyText"/>
        <w:spacing w:line="235" w:lineRule="auto" w:before="119"/>
        <w:ind w:left="164" w:right="167"/>
        <w:jc w:val="both"/>
      </w:pPr>
      <w:r>
        <w:rPr/>
        <w:t>execution of the deeds in many situations. </w:t>
      </w:r>
      <w:r>
        <w:rPr>
          <w:color w:val="005DA1"/>
          <w:u w:val="single" w:color="005DA1"/>
          <w:vertAlign w:val="superscript"/>
        </w:rPr>
        <w:t>836</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13"/>
          <w:vertAlign w:val="baseline"/>
        </w:rPr>
        <w:t> </w:t>
      </w:r>
      <w:r>
        <w:rPr>
          <w:vertAlign w:val="baseline"/>
        </w:rPr>
        <w:t>As regards deeds executed by an individual, s.1 of the Law of Property (Miscellaneous Provisions) Act 1989 (the “1989 Act”) replaced the requirement of </w:t>
      </w:r>
      <w:bookmarkStart w:name="_bookmark1571" w:id="1573"/>
      <w:bookmarkEnd w:id="1573"/>
      <w:r>
        <w:rPr>
          <w:vertAlign w:val="baseline"/>
        </w:rPr>
        <w:t>sealing</w:t>
      </w:r>
      <w:r>
        <w:rPr>
          <w:vertAlign w:val="baseline"/>
        </w:rPr>
        <w:t> with requirements that the intention of the party making a deed should make this intention clear on its face, of signature by that party </w:t>
      </w:r>
      <w:r>
        <w:rPr>
          <w:color w:val="005DA1"/>
          <w:u w:val="single" w:color="005DA1"/>
          <w:vertAlign w:val="superscript"/>
        </w:rPr>
        <w:t>837</w:t>
      </w:r>
      <w:r>
        <w:rPr>
          <w:color w:val="005DA1"/>
          <w:vertAlign w:val="baseline"/>
        </w:rPr>
        <w:t> </w:t>
      </w:r>
      <w:r>
        <w:rPr>
          <w:vertAlign w:val="baseline"/>
        </w:rPr>
        <w:t>and of attestation. </w:t>
      </w:r>
      <w:r>
        <w:rPr>
          <w:color w:val="005DA1"/>
          <w:u w:val="single" w:color="005DA1"/>
          <w:vertAlign w:val="superscript"/>
        </w:rPr>
        <w:t>838</w:t>
      </w:r>
      <w:r>
        <w:rPr>
          <w:color w:val="005DA1"/>
          <w:vertAlign w:val="baseline"/>
        </w:rPr>
        <w:t> </w:t>
      </w:r>
      <w:r>
        <w:rPr>
          <w:vertAlign w:val="baseline"/>
        </w:rPr>
        <w:t>As regards </w:t>
      </w:r>
      <w:r>
        <w:rPr>
          <w:vertAlign w:val="baseline"/>
        </w:rPr>
        <w:t>companies </w:t>
      </w:r>
      <w:bookmarkStart w:name="_bookmark1572" w:id="1574"/>
      <w:bookmarkEnd w:id="1574"/>
      <w:r>
        <w:rPr>
          <w:vertAlign w:val="baseline"/>
        </w:rPr>
        <w:t>incorporated</w:t>
      </w:r>
      <w:r>
        <w:rPr>
          <w:spacing w:val="-2"/>
          <w:vertAlign w:val="baseline"/>
        </w:rPr>
        <w:t> </w:t>
      </w:r>
      <w:r>
        <w:rPr>
          <w:vertAlign w:val="baseline"/>
        </w:rPr>
        <w:t>under</w:t>
      </w:r>
      <w:r>
        <w:rPr>
          <w:spacing w:val="-2"/>
          <w:vertAlign w:val="baseline"/>
        </w:rPr>
        <w:t> </w:t>
      </w:r>
      <w:r>
        <w:rPr>
          <w:vertAlign w:val="baseline"/>
        </w:rPr>
        <w:t>the</w:t>
      </w:r>
      <w:r>
        <w:rPr>
          <w:spacing w:val="-2"/>
          <w:vertAlign w:val="baseline"/>
        </w:rPr>
        <w:t> </w:t>
      </w:r>
      <w:r>
        <w:rPr>
          <w:vertAlign w:val="baseline"/>
        </w:rPr>
        <w:t>Companies</w:t>
      </w:r>
      <w:r>
        <w:rPr>
          <w:spacing w:val="-2"/>
          <w:vertAlign w:val="baseline"/>
        </w:rPr>
        <w:t> </w:t>
      </w:r>
      <w:r>
        <w:rPr>
          <w:vertAlign w:val="baseline"/>
        </w:rPr>
        <w:t>Acts</w:t>
      </w:r>
      <w:r>
        <w:rPr>
          <w:spacing w:val="-2"/>
          <w:vertAlign w:val="baseline"/>
        </w:rPr>
        <w:t> </w:t>
      </w:r>
      <w:r>
        <w:rPr>
          <w:vertAlign w:val="baseline"/>
        </w:rPr>
        <w:t>(“companies”),</w:t>
      </w:r>
      <w:r>
        <w:rPr>
          <w:spacing w:val="-2"/>
          <w:vertAlign w:val="baseline"/>
        </w:rPr>
        <w:t> </w:t>
      </w:r>
      <w:r>
        <w:rPr>
          <w:vertAlign w:val="baseline"/>
        </w:rPr>
        <w:t>the</w:t>
      </w:r>
      <w:r>
        <w:rPr>
          <w:spacing w:val="-2"/>
          <w:vertAlign w:val="baseline"/>
        </w:rPr>
        <w:t> </w:t>
      </w:r>
      <w:r>
        <w:rPr>
          <w:vertAlign w:val="baseline"/>
        </w:rPr>
        <w:t>requirement</w:t>
      </w:r>
      <w:r>
        <w:rPr>
          <w:spacing w:val="-2"/>
          <w:vertAlign w:val="baseline"/>
        </w:rPr>
        <w:t> </w:t>
      </w:r>
      <w:r>
        <w:rPr>
          <w:vertAlign w:val="baseline"/>
        </w:rPr>
        <w:t>of</w:t>
      </w:r>
      <w:r>
        <w:rPr>
          <w:spacing w:val="-2"/>
          <w:vertAlign w:val="baseline"/>
        </w:rPr>
        <w:t> </w:t>
      </w:r>
      <w:r>
        <w:rPr>
          <w:vertAlign w:val="baseline"/>
        </w:rPr>
        <w:t>sealing</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execution</w:t>
      </w:r>
      <w:r>
        <w:rPr>
          <w:spacing w:val="-2"/>
          <w:vertAlign w:val="baseline"/>
        </w:rPr>
        <w:t> </w:t>
      </w:r>
      <w:r>
        <w:rPr>
          <w:vertAlign w:val="baseline"/>
        </w:rPr>
        <w:t>of </w:t>
      </w:r>
      <w:r>
        <w:rPr>
          <w:rFonts w:ascii="Arial" w:hAnsi="Arial"/>
          <w:i/>
          <w:vertAlign w:val="baseline"/>
        </w:rPr>
        <w:t>documents </w:t>
      </w:r>
      <w:r>
        <w:rPr>
          <w:color w:val="005DA1"/>
          <w:u w:val="single" w:color="005DA1"/>
          <w:vertAlign w:val="superscript"/>
        </w:rPr>
        <w:t>839</w:t>
      </w:r>
      <w:r>
        <w:rPr>
          <w:color w:val="005DA1"/>
          <w:vertAlign w:val="baseline"/>
        </w:rPr>
        <w:t> </w:t>
      </w:r>
      <w:r>
        <w:rPr>
          <w:vertAlign w:val="baseline"/>
        </w:rPr>
        <w:t>was supplemented by an alternative method of execution of a document which</w:t>
      </w:r>
      <w:r>
        <w:rPr>
          <w:spacing w:val="40"/>
          <w:vertAlign w:val="baseline"/>
        </w:rPr>
        <w:t> </w:t>
      </w:r>
      <w:r>
        <w:rPr>
          <w:vertAlign w:val="baseline"/>
        </w:rPr>
        <w:t>required</w:t>
      </w:r>
      <w:r>
        <w:rPr>
          <w:spacing w:val="50"/>
          <w:vertAlign w:val="baseline"/>
        </w:rPr>
        <w:t> </w:t>
      </w:r>
      <w:r>
        <w:rPr>
          <w:vertAlign w:val="baseline"/>
        </w:rPr>
        <w:t>signature</w:t>
      </w:r>
      <w:r>
        <w:rPr>
          <w:spacing w:val="50"/>
          <w:vertAlign w:val="baseline"/>
        </w:rPr>
        <w:t> </w:t>
      </w:r>
      <w:r>
        <w:rPr>
          <w:vertAlign w:val="baseline"/>
        </w:rPr>
        <w:t>by</w:t>
      </w:r>
      <w:r>
        <w:rPr>
          <w:spacing w:val="50"/>
          <w:vertAlign w:val="baseline"/>
        </w:rPr>
        <w:t> </w:t>
      </w:r>
      <w:r>
        <w:rPr>
          <w:vertAlign w:val="baseline"/>
        </w:rPr>
        <w:t>a</w:t>
      </w:r>
      <w:r>
        <w:rPr>
          <w:spacing w:val="50"/>
          <w:vertAlign w:val="baseline"/>
        </w:rPr>
        <w:t> </w:t>
      </w:r>
      <w:r>
        <w:rPr>
          <w:vertAlign w:val="baseline"/>
        </w:rPr>
        <w:t>director</w:t>
      </w:r>
      <w:r>
        <w:rPr>
          <w:spacing w:val="50"/>
          <w:vertAlign w:val="baseline"/>
        </w:rPr>
        <w:t> </w:t>
      </w:r>
      <w:r>
        <w:rPr>
          <w:vertAlign w:val="baseline"/>
        </w:rPr>
        <w:t>and</w:t>
      </w:r>
      <w:r>
        <w:rPr>
          <w:spacing w:val="50"/>
          <w:vertAlign w:val="baseline"/>
        </w:rPr>
        <w:t> </w:t>
      </w:r>
      <w:r>
        <w:rPr>
          <w:vertAlign w:val="baseline"/>
        </w:rPr>
        <w:t>the</w:t>
      </w:r>
      <w:r>
        <w:rPr>
          <w:spacing w:val="50"/>
          <w:vertAlign w:val="baseline"/>
        </w:rPr>
        <w:t> </w:t>
      </w:r>
      <w:r>
        <w:rPr>
          <w:vertAlign w:val="baseline"/>
        </w:rPr>
        <w:t>secretary</w:t>
      </w:r>
      <w:r>
        <w:rPr>
          <w:spacing w:val="50"/>
          <w:vertAlign w:val="baseline"/>
        </w:rPr>
        <w:t> </w:t>
      </w:r>
      <w:r>
        <w:rPr>
          <w:vertAlign w:val="baseline"/>
        </w:rPr>
        <w:t>of</w:t>
      </w:r>
      <w:r>
        <w:rPr>
          <w:spacing w:val="50"/>
          <w:vertAlign w:val="baseline"/>
        </w:rPr>
        <w:t> </w:t>
      </w:r>
      <w:r>
        <w:rPr>
          <w:vertAlign w:val="baseline"/>
        </w:rPr>
        <w:t>the</w:t>
      </w:r>
      <w:r>
        <w:rPr>
          <w:spacing w:val="50"/>
          <w:vertAlign w:val="baseline"/>
        </w:rPr>
        <w:t> </w:t>
      </w:r>
      <w:r>
        <w:rPr>
          <w:vertAlign w:val="baseline"/>
        </w:rPr>
        <w:t>company</w:t>
      </w:r>
      <w:r>
        <w:rPr>
          <w:spacing w:val="50"/>
          <w:vertAlign w:val="baseline"/>
        </w:rPr>
        <w:t> </w:t>
      </w:r>
      <w:r>
        <w:rPr>
          <w:vertAlign w:val="baseline"/>
        </w:rPr>
        <w:t>or</w:t>
      </w:r>
      <w:r>
        <w:rPr>
          <w:spacing w:val="50"/>
          <w:vertAlign w:val="baseline"/>
        </w:rPr>
        <w:t> </w:t>
      </w:r>
      <w:r>
        <w:rPr>
          <w:vertAlign w:val="baseline"/>
        </w:rPr>
        <w:t>by</w:t>
      </w:r>
      <w:r>
        <w:rPr>
          <w:spacing w:val="50"/>
          <w:vertAlign w:val="baseline"/>
        </w:rPr>
        <w:t> </w:t>
      </w:r>
      <w:r>
        <w:rPr>
          <w:vertAlign w:val="baseline"/>
        </w:rPr>
        <w:t>two</w:t>
      </w:r>
      <w:r>
        <w:rPr>
          <w:spacing w:val="50"/>
          <w:vertAlign w:val="baseline"/>
        </w:rPr>
        <w:t> </w:t>
      </w:r>
      <w:r>
        <w:rPr>
          <w:vertAlign w:val="baseline"/>
        </w:rPr>
        <w:t>directors</w:t>
      </w:r>
      <w:r>
        <w:rPr>
          <w:spacing w:val="50"/>
          <w:vertAlign w:val="baseline"/>
        </w:rPr>
        <w:t> </w:t>
      </w:r>
      <w:r>
        <w:rPr>
          <w:vertAlign w:val="baseline"/>
        </w:rPr>
        <w:t>and</w:t>
      </w:r>
      <w:r>
        <w:rPr>
          <w:spacing w:val="50"/>
          <w:vertAlign w:val="baseline"/>
        </w:rPr>
        <w:t> </w:t>
      </w:r>
      <w:r>
        <w:rPr>
          <w:spacing w:val="-5"/>
          <w:vertAlign w:val="baseline"/>
        </w:rPr>
        <w:t>the</w:t>
      </w:r>
    </w:p>
    <w:p>
      <w:pPr>
        <w:pStyle w:val="BodyText"/>
        <w:spacing w:after="0" w:line="235" w:lineRule="auto"/>
        <w:jc w:val="both"/>
        <w:sectPr>
          <w:headerReference w:type="default" r:id="rId35"/>
          <w:pgSz w:w="11900" w:h="16840"/>
          <w:pgMar w:header="971" w:footer="0" w:top="1300" w:bottom="280" w:left="1275" w:right="1275"/>
          <w:pgNumType w:start="1"/>
        </w:sectPr>
      </w:pPr>
    </w:p>
    <w:p>
      <w:pPr>
        <w:pStyle w:val="BodyText"/>
        <w:spacing w:line="235" w:lineRule="auto" w:before="110"/>
        <w:ind w:left="164" w:right="167"/>
        <w:jc w:val="both"/>
      </w:pPr>
      <w:r>
        <w:rPr/>
        <w:t>expression “in whatever form of words” that it was executed by the company; and it was </w:t>
      </w:r>
      <w:r>
        <w:rPr/>
        <w:t>further </w:t>
      </w:r>
      <w:bookmarkStart w:name="_bookmark1573" w:id="1575"/>
      <w:bookmarkEnd w:id="1575"/>
      <w:r>
        <w:rPr/>
        <w:t>provided</w:t>
      </w:r>
      <w:r>
        <w:rPr/>
        <w:t> that where a document made clear on its face that it was intended to be a </w:t>
      </w:r>
      <w:r>
        <w:rPr>
          <w:rFonts w:ascii="Arial" w:hAnsi="Arial"/>
          <w:i/>
        </w:rPr>
        <w:t>deed</w:t>
      </w:r>
      <w:r>
        <w:rPr/>
        <w:t>, it should take effect on delivery as a deed, delivery being rebuttably presumed where it was so executed. </w:t>
      </w:r>
      <w:r>
        <w:rPr>
          <w:color w:val="005DA1"/>
          <w:u w:val="single" w:color="005DA1"/>
          <w:vertAlign w:val="superscript"/>
        </w:rPr>
        <w:t>840</w:t>
      </w:r>
      <w:r>
        <w:rPr>
          <w:color w:val="005DA1"/>
          <w:vertAlign w:val="baseline"/>
        </w:rPr>
        <w:t> </w:t>
      </w:r>
      <w:bookmarkStart w:name="_bookmark1574" w:id="1576"/>
      <w:bookmarkEnd w:id="1576"/>
      <w:r>
        <w:rPr>
          <w:color w:val="005DA1"/>
          <w:w w:val="92"/>
          <w:vertAlign w:val="baseline"/>
        </w:rPr>
      </w:r>
      <w:r>
        <w:rPr>
          <w:vertAlign w:val="baseline"/>
        </w:rPr>
        <w:t>Similar provisions were enacted in 1993 to govern the position of charities incorporated under the </w:t>
      </w:r>
      <w:bookmarkStart w:name="_bookmark1575" w:id="1577"/>
      <w:bookmarkEnd w:id="1577"/>
      <w:r>
        <w:rPr>
          <w:vertAlign w:val="baseline"/>
        </w:rPr>
        <w:t>Charities</w:t>
      </w:r>
      <w:r>
        <w:rPr>
          <w:vertAlign w:val="baseline"/>
        </w:rPr>
        <w:t> Act 1993, later replaced by the Charities Act 2011. </w:t>
      </w:r>
      <w:r>
        <w:rPr>
          <w:color w:val="005DA1"/>
          <w:u w:val="single" w:color="005DA1"/>
          <w:vertAlign w:val="superscript"/>
        </w:rPr>
        <w:t>841</w:t>
      </w:r>
      <w:r>
        <w:rPr>
          <w:color w:val="005DA1"/>
          <w:vertAlign w:val="baseline"/>
        </w:rPr>
        <w:t> </w:t>
      </w:r>
      <w:r>
        <w:rPr>
          <w:vertAlign w:val="baseline"/>
        </w:rPr>
        <w:t>In the case of deeds executed by other persons (including other corporations aggregate </w:t>
      </w:r>
      <w:r>
        <w:rPr>
          <w:color w:val="005DA1"/>
          <w:u w:val="single" w:color="005DA1"/>
          <w:vertAlign w:val="superscript"/>
        </w:rPr>
        <w:t>842</w:t>
      </w:r>
      <w:r>
        <w:rPr>
          <w:color w:val="005DA1"/>
          <w:vertAlign w:val="baseline"/>
        </w:rPr>
        <w:t> </w:t>
      </w:r>
      <w:r>
        <w:rPr>
          <w:vertAlign w:val="baseline"/>
        </w:rPr>
        <w:t>and corporations sole </w:t>
      </w:r>
      <w:r>
        <w:rPr>
          <w:color w:val="005DA1"/>
          <w:u w:val="single" w:color="005DA1"/>
          <w:vertAlign w:val="superscript"/>
        </w:rPr>
        <w:t>843</w:t>
      </w:r>
      <w:r>
        <w:rPr>
          <w:vertAlign w:val="baseline"/>
        </w:rPr>
        <w:t>), the common law requirement of sealing was left unaffected.</w:t>
      </w:r>
    </w:p>
    <w:p>
      <w:pPr>
        <w:pStyle w:val="BodyText"/>
      </w:pPr>
    </w:p>
    <w:p>
      <w:pPr>
        <w:pStyle w:val="BodyText"/>
        <w:spacing w:before="36"/>
      </w:pPr>
    </w:p>
    <w:p>
      <w:pPr>
        <w:spacing w:before="0"/>
        <w:ind w:left="165" w:right="0" w:firstLine="0"/>
        <w:jc w:val="both"/>
        <w:rPr>
          <w:rFonts w:ascii="Arial"/>
          <w:b/>
          <w:sz w:val="18"/>
        </w:rPr>
      </w:pPr>
      <w:r>
        <w:rPr>
          <w:rFonts w:ascii="Arial"/>
          <w:b/>
          <w:sz w:val="18"/>
        </w:rPr>
        <w:t>Further amendment of the law governing the execution of </w:t>
      </w:r>
      <w:r>
        <w:rPr>
          <w:rFonts w:ascii="Arial"/>
          <w:b/>
          <w:spacing w:val="-2"/>
          <w:sz w:val="18"/>
        </w:rPr>
        <w:t>instruments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115</w:t>
      </w:r>
    </w:p>
    <w:p>
      <w:pPr>
        <w:pStyle w:val="BodyText"/>
        <w:spacing w:line="235" w:lineRule="auto" w:before="202"/>
        <w:ind w:left="165" w:right="167"/>
        <w:jc w:val="both"/>
      </w:pPr>
      <w:bookmarkStart w:name="_bookmark1576" w:id="1578"/>
      <w:bookmarkEnd w:id="1578"/>
      <w:r>
        <w:rPr/>
      </w:r>
      <w:r>
        <w:rPr/>
        <w:t>In 2005 further amendments were made to the law governing the execution of deeds and some </w:t>
      </w:r>
      <w:r>
        <w:rPr/>
        <w:t>other </w:t>
      </w:r>
      <w:bookmarkStart w:name="_bookmark1577" w:id="1579"/>
      <w:bookmarkEnd w:id="1579"/>
      <w:r>
        <w:rPr/>
        <w:t>instruments</w:t>
      </w:r>
      <w:r>
        <w:rPr/>
        <w:t> by an order (“the 2005 Order”) made under the Regulatory Reform Act 2001, </w:t>
      </w:r>
      <w:r>
        <w:rPr>
          <w:color w:val="005DA1"/>
          <w:u w:val="single" w:color="005DA1"/>
          <w:vertAlign w:val="superscript"/>
        </w:rPr>
        <w:t>844</w:t>
      </w:r>
      <w:r>
        <w:rPr>
          <w:color w:val="005DA1"/>
          <w:vertAlign w:val="baseline"/>
        </w:rPr>
        <w:t> </w:t>
      </w:r>
      <w:r>
        <w:rPr>
          <w:vertAlign w:val="baseline"/>
        </w:rPr>
        <w:t>so as to give effect to the principal recommendations of a report of the Law Commission. </w:t>
      </w:r>
      <w:r>
        <w:rPr>
          <w:color w:val="005DA1"/>
          <w:u w:val="single" w:color="005DA1"/>
          <w:vertAlign w:val="superscript"/>
        </w:rPr>
        <w:t>845</w:t>
      </w:r>
      <w:r>
        <w:rPr>
          <w:color w:val="005DA1"/>
          <w:vertAlign w:val="baseline"/>
        </w:rPr>
        <w:t> </w:t>
      </w:r>
      <w:r>
        <w:rPr>
          <w:vertAlign w:val="baseline"/>
        </w:rPr>
        <w:t>The main</w:t>
      </w:r>
      <w:r>
        <w:rPr>
          <w:spacing w:val="40"/>
          <w:vertAlign w:val="baseline"/>
        </w:rPr>
        <w:t> </w:t>
      </w:r>
      <w:r>
        <w:rPr>
          <w:vertAlign w:val="baseline"/>
        </w:rPr>
        <w:t>changes introduced in 2005 concern the creation of standard requirements for companies incorporated under the Companies Act 1985 and corporations aggregate (but not corporations sole) for the due execution of instruments in general and of deeds in particular; the making of specific provision for the execution of documents by persons (including companies and corporations aggregate)</w:t>
      </w:r>
      <w:r>
        <w:rPr>
          <w:spacing w:val="-1"/>
          <w:vertAlign w:val="baseline"/>
        </w:rPr>
        <w:t> </w:t>
      </w:r>
      <w:r>
        <w:rPr>
          <w:vertAlign w:val="baseline"/>
        </w:rPr>
        <w:t>by</w:t>
      </w:r>
      <w:r>
        <w:rPr>
          <w:spacing w:val="-1"/>
          <w:vertAlign w:val="baseline"/>
        </w:rPr>
        <w:t> </w:t>
      </w:r>
      <w:r>
        <w:rPr>
          <w:vertAlign w:val="baseline"/>
        </w:rPr>
        <w:t>or</w:t>
      </w:r>
      <w:r>
        <w:rPr>
          <w:spacing w:val="-1"/>
          <w:vertAlign w:val="baseline"/>
        </w:rPr>
        <w:t> </w:t>
      </w:r>
      <w:r>
        <w:rPr>
          <w:vertAlign w:val="baseline"/>
        </w:rPr>
        <w:t>on</w:t>
      </w:r>
      <w:r>
        <w:rPr>
          <w:spacing w:val="-1"/>
          <w:vertAlign w:val="baseline"/>
        </w:rPr>
        <w:t> </w:t>
      </w:r>
      <w:r>
        <w:rPr>
          <w:vertAlign w:val="baseline"/>
        </w:rPr>
        <w:t>behalf</w:t>
      </w:r>
      <w:r>
        <w:rPr>
          <w:spacing w:val="-1"/>
          <w:vertAlign w:val="baseline"/>
        </w:rPr>
        <w:t> </w:t>
      </w:r>
      <w:r>
        <w:rPr>
          <w:vertAlign w:val="baseline"/>
        </w:rPr>
        <w:t>of</w:t>
      </w:r>
      <w:r>
        <w:rPr>
          <w:spacing w:val="-1"/>
          <w:vertAlign w:val="baseline"/>
        </w:rPr>
        <w:t> </w:t>
      </w:r>
      <w:r>
        <w:rPr>
          <w:vertAlign w:val="baseline"/>
        </w:rPr>
        <w:t>another</w:t>
      </w:r>
      <w:r>
        <w:rPr>
          <w:spacing w:val="-1"/>
          <w:vertAlign w:val="baseline"/>
        </w:rPr>
        <w:t> </w:t>
      </w:r>
      <w:r>
        <w:rPr>
          <w:vertAlign w:val="baseline"/>
        </w:rPr>
        <w:t>person</w:t>
      </w:r>
      <w:r>
        <w:rPr>
          <w:spacing w:val="-1"/>
          <w:vertAlign w:val="baseline"/>
        </w:rPr>
        <w:t> </w:t>
      </w:r>
      <w:r>
        <w:rPr>
          <w:vertAlign w:val="baseline"/>
        </w:rPr>
        <w:t>(whether</w:t>
      </w:r>
      <w:r>
        <w:rPr>
          <w:spacing w:val="-1"/>
          <w:vertAlign w:val="baseline"/>
        </w:rPr>
        <w:t> </w:t>
      </w:r>
      <w:r>
        <w:rPr>
          <w:vertAlign w:val="baseline"/>
        </w:rPr>
        <w:t>the</w:t>
      </w:r>
      <w:r>
        <w:rPr>
          <w:spacing w:val="-1"/>
          <w:vertAlign w:val="baseline"/>
        </w:rPr>
        <w:t> </w:t>
      </w:r>
      <w:r>
        <w:rPr>
          <w:vertAlign w:val="baseline"/>
        </w:rPr>
        <w:t>latter</w:t>
      </w:r>
      <w:r>
        <w:rPr>
          <w:spacing w:val="-1"/>
          <w:vertAlign w:val="baseline"/>
        </w:rPr>
        <w:t> </w:t>
      </w:r>
      <w:r>
        <w:rPr>
          <w:vertAlign w:val="baseline"/>
        </w:rPr>
        <w:t>is</w:t>
      </w:r>
      <w:r>
        <w:rPr>
          <w:spacing w:val="-1"/>
          <w:vertAlign w:val="baseline"/>
        </w:rPr>
        <w:t> </w:t>
      </w:r>
      <w:r>
        <w:rPr>
          <w:vertAlign w:val="baseline"/>
        </w:rPr>
        <w:t>an</w:t>
      </w:r>
      <w:r>
        <w:rPr>
          <w:spacing w:val="-1"/>
          <w:vertAlign w:val="baseline"/>
        </w:rPr>
        <w:t> </w:t>
      </w:r>
      <w:r>
        <w:rPr>
          <w:vertAlign w:val="baseline"/>
        </w:rPr>
        <w:t>individual,</w:t>
      </w:r>
      <w:r>
        <w:rPr>
          <w:spacing w:val="-1"/>
          <w:vertAlign w:val="baseline"/>
        </w:rPr>
        <w:t> </w:t>
      </w:r>
      <w:r>
        <w:rPr>
          <w:vertAlign w:val="baseline"/>
        </w:rPr>
        <w:t>a</w:t>
      </w:r>
      <w:r>
        <w:rPr>
          <w:spacing w:val="-1"/>
          <w:vertAlign w:val="baseline"/>
        </w:rPr>
        <w:t> </w:t>
      </w:r>
      <w:r>
        <w:rPr>
          <w:vertAlign w:val="baseline"/>
        </w:rPr>
        <w:t>company</w:t>
      </w:r>
      <w:r>
        <w:rPr>
          <w:spacing w:val="-1"/>
          <w:vertAlign w:val="baseline"/>
        </w:rPr>
        <w:t> </w:t>
      </w:r>
      <w:r>
        <w:rPr>
          <w:vertAlign w:val="baseline"/>
        </w:rPr>
        <w:t>within</w:t>
      </w:r>
      <w:r>
        <w:rPr>
          <w:spacing w:val="-1"/>
          <w:vertAlign w:val="baseline"/>
        </w:rPr>
        <w:t> </w:t>
      </w:r>
      <w:r>
        <w:rPr>
          <w:vertAlign w:val="baseline"/>
        </w:rPr>
        <w:t>the meaning of the Companies Act or a corporation); and the clarification that the mere sealing of a document by a person (whether an individual or another corporate body) does not in itself satisfy the so-called “face-value requirement” that:</w:t>
      </w:r>
    </w:p>
    <w:p>
      <w:pPr>
        <w:pStyle w:val="BodyText"/>
      </w:pPr>
    </w:p>
    <w:p>
      <w:pPr>
        <w:pStyle w:val="BodyText"/>
        <w:spacing w:before="123"/>
      </w:pPr>
    </w:p>
    <w:p>
      <w:pPr>
        <w:pStyle w:val="BodyText"/>
        <w:spacing w:line="235" w:lineRule="auto"/>
        <w:ind w:left="1245" w:right="200"/>
      </w:pPr>
      <w:bookmarkStart w:name="_bookmark1578" w:id="1580"/>
      <w:bookmarkEnd w:id="1580"/>
      <w:r>
        <w:rPr/>
      </w:r>
      <w:r>
        <w:rPr/>
        <w:t>“an instrument shall not be a deed unless … it makes clear on its face that it is </w:t>
      </w:r>
      <w:r>
        <w:rPr/>
        <w:t>intended</w:t>
      </w:r>
      <w:r>
        <w:rPr>
          <w:spacing w:val="40"/>
        </w:rPr>
        <w:t> </w:t>
      </w:r>
      <w:r>
        <w:rPr/>
        <w:t>to be a deed by the person making it.” </w:t>
      </w:r>
      <w:r>
        <w:rPr>
          <w:color w:val="005DA1"/>
          <w:u w:val="single" w:color="005DA1"/>
          <w:vertAlign w:val="superscript"/>
        </w:rPr>
        <w:t>846</w:t>
      </w:r>
    </w:p>
    <w:p>
      <w:pPr>
        <w:pStyle w:val="BodyText"/>
        <w:spacing w:before="116"/>
      </w:pPr>
    </w:p>
    <w:p>
      <w:pPr>
        <w:pStyle w:val="BodyText"/>
        <w:spacing w:line="235" w:lineRule="auto"/>
        <w:ind w:left="164" w:right="167"/>
        <w:jc w:val="both"/>
      </w:pPr>
      <w:bookmarkStart w:name="_bookmark1579" w:id="1581"/>
      <w:bookmarkEnd w:id="1581"/>
      <w:r>
        <w:rPr/>
      </w:r>
      <w:r>
        <w:rPr/>
        <w:t>The changes introduced by the 2005 Order came into force as regards “instruments executed” on or after September 15, 2005, but leave unaffected any instrument executed before this date. </w:t>
      </w:r>
      <w:r>
        <w:rPr>
          <w:color w:val="005DA1"/>
          <w:u w:val="single" w:color="005DA1"/>
          <w:vertAlign w:val="superscript"/>
        </w:rPr>
        <w:t>847</w:t>
      </w:r>
    </w:p>
    <w:p>
      <w:pPr>
        <w:pStyle w:val="BodyText"/>
      </w:pPr>
    </w:p>
    <w:p>
      <w:pPr>
        <w:pStyle w:val="BodyText"/>
        <w:spacing w:before="38"/>
      </w:pPr>
    </w:p>
    <w:p>
      <w:pPr>
        <w:spacing w:before="0"/>
        <w:ind w:left="165" w:right="0" w:firstLine="0"/>
        <w:jc w:val="left"/>
        <w:rPr>
          <w:rFonts w:ascii="Arial"/>
          <w:b/>
          <w:sz w:val="18"/>
        </w:rPr>
      </w:pPr>
      <w:bookmarkStart w:name="_bookmark1580" w:id="1582"/>
      <w:bookmarkEnd w:id="1582"/>
      <w:r>
        <w:rPr/>
      </w:r>
      <w:r>
        <w:rPr>
          <w:rFonts w:ascii="Arial"/>
          <w:b/>
          <w:sz w:val="18"/>
        </w:rPr>
        <w:t>Electronic documents and deeds </w:t>
      </w:r>
      <w:r>
        <w:rPr>
          <w:rFonts w:ascii="Arial"/>
          <w:b/>
          <w:color w:val="005DA1"/>
          <w:spacing w:val="-5"/>
          <w:sz w:val="18"/>
          <w:u w:val="single" w:color="005DA1"/>
          <w:vertAlign w:val="superscript"/>
        </w:rPr>
        <w:t>848</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116</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581" w:id="1583"/>
      <w:bookmarkEnd w:id="1583"/>
      <w:r>
        <w:rPr>
          <w:rFonts w:ascii="Times New Roman"/>
          <w:spacing w:val="17"/>
        </w:rPr>
      </w:r>
      <w:r>
        <w:rPr/>
        <w:t>Following the recommendations of the Law Commission, </w:t>
      </w:r>
      <w:r>
        <w:rPr>
          <w:color w:val="005DA1"/>
          <w:u w:val="single" w:color="005DA1"/>
          <w:vertAlign w:val="superscript"/>
        </w:rPr>
        <w:t>849</w:t>
      </w:r>
      <w:r>
        <w:rPr>
          <w:color w:val="005DA1"/>
          <w:vertAlign w:val="baseline"/>
        </w:rPr>
        <w:t> </w:t>
      </w:r>
      <w:r>
        <w:rPr>
          <w:vertAlign w:val="baseline"/>
        </w:rPr>
        <w:t>the Land Registration Act 2002 made provision for the creation of a framework in which it will be possible to transfer and create interests in registered land by electronic means through a network controlled by the Land Registry. In order </w:t>
      </w:r>
      <w:r>
        <w:rPr>
          <w:vertAlign w:val="baseline"/>
        </w:rPr>
        <w:t>to permit this, Pt 8 of the Act makes provision for the fulfilment of formality requirements by the transactions in question. Accordingly, by s.91(4) and (5) of the 2002 Act:</w:t>
      </w:r>
    </w:p>
    <w:p>
      <w:pPr>
        <w:pStyle w:val="BodyText"/>
      </w:pPr>
    </w:p>
    <w:p>
      <w:pPr>
        <w:pStyle w:val="BodyText"/>
        <w:spacing w:before="124"/>
      </w:pPr>
    </w:p>
    <w:p>
      <w:pPr>
        <w:pStyle w:val="BodyText"/>
        <w:spacing w:line="235" w:lineRule="auto" w:before="1"/>
        <w:ind w:left="1245" w:right="167"/>
        <w:jc w:val="both"/>
      </w:pPr>
      <w:r>
        <w:rPr/>
        <w:t>“… a document to which this section applies is to be regarded as: (a) in writing; and (b) signed by each individual, and sealed by each corporation, whose electronic signature it </w:t>
      </w:r>
      <w:bookmarkStart w:name="_bookmark1582" w:id="1584"/>
      <w:bookmarkEnd w:id="1584"/>
      <w:r>
        <w:rPr/>
        <w:t>has.</w:t>
      </w:r>
      <w:r>
        <w:rPr/>
        <w:t> [And such a document] is to be regarded for the purposes of any enactment as </w:t>
      </w:r>
      <w:r>
        <w:rPr/>
        <w:t>a deed.” </w:t>
      </w:r>
      <w:r>
        <w:rPr>
          <w:color w:val="005DA1"/>
          <w:u w:val="single" w:color="005DA1"/>
          <w:vertAlign w:val="superscript"/>
        </w:rPr>
        <w:t>850</w:t>
      </w:r>
    </w:p>
    <w:p>
      <w:pPr>
        <w:pStyle w:val="BodyText"/>
        <w:spacing w:before="111"/>
      </w:pPr>
    </w:p>
    <w:p>
      <w:pPr>
        <w:pStyle w:val="BodyText"/>
        <w:ind w:left="165"/>
        <w:jc w:val="both"/>
      </w:pPr>
      <w:bookmarkStart w:name="_bookmark1583" w:id="1585"/>
      <w:bookmarkEnd w:id="1585"/>
      <w:r>
        <w:rPr/>
      </w:r>
      <w:r>
        <w:rPr/>
        <w:t>Section</w:t>
      </w:r>
      <w:r>
        <w:rPr>
          <w:spacing w:val="9"/>
        </w:rPr>
        <w:t> </w:t>
      </w:r>
      <w:r>
        <w:rPr/>
        <w:t>91</w:t>
      </w:r>
      <w:r>
        <w:rPr>
          <w:spacing w:val="9"/>
        </w:rPr>
        <w:t> </w:t>
      </w:r>
      <w:r>
        <w:rPr/>
        <w:t>applies</w:t>
      </w:r>
      <w:r>
        <w:rPr>
          <w:spacing w:val="9"/>
        </w:rPr>
        <w:t> </w:t>
      </w:r>
      <w:r>
        <w:rPr/>
        <w:t>to</w:t>
      </w:r>
      <w:r>
        <w:rPr>
          <w:spacing w:val="9"/>
        </w:rPr>
        <w:t> </w:t>
      </w:r>
      <w:r>
        <w:rPr/>
        <w:t>“documents</w:t>
      </w:r>
      <w:r>
        <w:rPr>
          <w:spacing w:val="9"/>
        </w:rPr>
        <w:t> </w:t>
      </w:r>
      <w:r>
        <w:rPr/>
        <w:t>in</w:t>
      </w:r>
      <w:r>
        <w:rPr>
          <w:spacing w:val="9"/>
        </w:rPr>
        <w:t> </w:t>
      </w:r>
      <w:r>
        <w:rPr/>
        <w:t>electronic</w:t>
      </w:r>
      <w:r>
        <w:rPr>
          <w:spacing w:val="9"/>
        </w:rPr>
        <w:t> </w:t>
      </w:r>
      <w:r>
        <w:rPr/>
        <w:t>form”</w:t>
      </w:r>
      <w:r>
        <w:rPr>
          <w:spacing w:val="9"/>
        </w:rPr>
        <w:t> </w:t>
      </w:r>
      <w:r>
        <w:rPr/>
        <w:t>of</w:t>
      </w:r>
      <w:r>
        <w:rPr>
          <w:spacing w:val="9"/>
        </w:rPr>
        <w:t> </w:t>
      </w:r>
      <w:r>
        <w:rPr/>
        <w:t>certain</w:t>
      </w:r>
      <w:r>
        <w:rPr>
          <w:spacing w:val="9"/>
        </w:rPr>
        <w:t> </w:t>
      </w:r>
      <w:r>
        <w:rPr/>
        <w:t>types</w:t>
      </w:r>
      <w:r>
        <w:rPr>
          <w:spacing w:val="9"/>
        </w:rPr>
        <w:t> </w:t>
      </w:r>
      <w:r>
        <w:rPr/>
        <w:t>dealing</w:t>
      </w:r>
      <w:r>
        <w:rPr>
          <w:spacing w:val="9"/>
        </w:rPr>
        <w:t> </w:t>
      </w:r>
      <w:r>
        <w:rPr/>
        <w:t>with</w:t>
      </w:r>
      <w:r>
        <w:rPr>
          <w:spacing w:val="9"/>
        </w:rPr>
        <w:t> </w:t>
      </w:r>
      <w:r>
        <w:rPr/>
        <w:t>registered</w:t>
      </w:r>
      <w:r>
        <w:rPr>
          <w:spacing w:val="9"/>
        </w:rPr>
        <w:t> </w:t>
      </w:r>
      <w:r>
        <w:rPr>
          <w:spacing w:val="-2"/>
        </w:rPr>
        <w:t>interests</w:t>
      </w:r>
    </w:p>
    <w:p>
      <w:pPr>
        <w:pStyle w:val="BodyText"/>
        <w:spacing w:line="227" w:lineRule="exact" w:before="115"/>
        <w:ind w:left="165"/>
        <w:jc w:val="both"/>
      </w:pPr>
      <w:r>
        <w:rPr/>
        <w:t>in land </w:t>
      </w:r>
      <w:r>
        <w:rPr>
          <w:color w:val="005DA1"/>
          <w:u w:val="single" w:color="005DA1"/>
          <w:vertAlign w:val="superscript"/>
        </w:rPr>
        <w:t>851</w:t>
      </w:r>
      <w:r>
        <w:rPr>
          <w:color w:val="005DA1"/>
          <w:spacing w:val="28"/>
          <w:vertAlign w:val="baseline"/>
        </w:rPr>
        <w:t>  </w:t>
      </w:r>
      <w:r>
        <w:rPr>
          <w:color w:val="005DA1"/>
          <w:spacing w:val="3"/>
          <w:position w:val="-2"/>
          <w:vertAlign w:val="baseline"/>
        </w:rPr>
        <w:drawing>
          <wp:inline distT="0" distB="0" distL="0" distR="0">
            <wp:extent cx="107988" cy="107988"/>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2"/>
          <w:vertAlign w:val="baseline"/>
        </w:rPr>
        <w:t> </w:t>
      </w:r>
      <w:r>
        <w:rPr>
          <w:vertAlign w:val="baseline"/>
        </w:rPr>
        <w:t>as long</w:t>
      </w:r>
      <w:r>
        <w:rPr>
          <w:spacing w:val="1"/>
          <w:vertAlign w:val="baseline"/>
        </w:rPr>
        <w:t> </w:t>
      </w:r>
      <w:r>
        <w:rPr>
          <w:vertAlign w:val="baseline"/>
        </w:rPr>
        <w:t>as: (a) the document</w:t>
      </w:r>
      <w:r>
        <w:rPr>
          <w:spacing w:val="1"/>
          <w:vertAlign w:val="baseline"/>
        </w:rPr>
        <w:t> </w:t>
      </w:r>
      <w:r>
        <w:rPr>
          <w:vertAlign w:val="baseline"/>
        </w:rPr>
        <w:t>makes provision for the time</w:t>
      </w:r>
      <w:r>
        <w:rPr>
          <w:spacing w:val="1"/>
          <w:vertAlign w:val="baseline"/>
        </w:rPr>
        <w:t> </w:t>
      </w:r>
      <w:r>
        <w:rPr>
          <w:vertAlign w:val="baseline"/>
        </w:rPr>
        <w:t>and date when it takes</w:t>
      </w:r>
      <w:r>
        <w:rPr>
          <w:spacing w:val="1"/>
          <w:vertAlign w:val="baseline"/>
        </w:rPr>
        <w:t> </w:t>
      </w:r>
      <w:r>
        <w:rPr>
          <w:spacing w:val="-2"/>
          <w:vertAlign w:val="baseline"/>
        </w:rPr>
        <w:t>effect;</w:t>
      </w:r>
    </w:p>
    <w:p>
      <w:pPr>
        <w:pStyle w:val="ListParagraph"/>
        <w:numPr>
          <w:ilvl w:val="0"/>
          <w:numId w:val="10"/>
        </w:numPr>
        <w:tabs>
          <w:tab w:pos="465" w:val="left" w:leader="none"/>
        </w:tabs>
        <w:spacing w:line="225" w:lineRule="exact" w:before="0" w:after="0"/>
        <w:ind w:left="465" w:right="0" w:hanging="300"/>
        <w:jc w:val="both"/>
        <w:rPr>
          <w:rFonts w:ascii="Arial MT"/>
          <w:sz w:val="20"/>
        </w:rPr>
      </w:pPr>
      <w:r>
        <w:rPr>
          <w:rFonts w:ascii="Arial MT"/>
          <w:sz w:val="20"/>
        </w:rPr>
        <w:t>the document has the electronic signature of each person by whom it purports to be </w:t>
      </w:r>
      <w:r>
        <w:rPr>
          <w:rFonts w:ascii="Arial MT"/>
          <w:spacing w:val="-2"/>
          <w:sz w:val="20"/>
        </w:rPr>
        <w:t>authenticated;</w:t>
      </w:r>
    </w:p>
    <w:p>
      <w:pPr>
        <w:pStyle w:val="ListParagraph"/>
        <w:numPr>
          <w:ilvl w:val="0"/>
          <w:numId w:val="10"/>
        </w:numPr>
        <w:tabs>
          <w:tab w:pos="463" w:val="left" w:leader="none"/>
        </w:tabs>
        <w:spacing w:line="235" w:lineRule="auto" w:before="1" w:after="0"/>
        <w:ind w:left="165" w:right="167" w:firstLine="0"/>
        <w:jc w:val="both"/>
        <w:rPr>
          <w:rFonts w:ascii="Arial MT"/>
          <w:sz w:val="20"/>
        </w:rPr>
      </w:pPr>
      <w:r>
        <w:rPr>
          <w:rFonts w:ascii="Arial MT"/>
          <w:sz w:val="20"/>
        </w:rPr>
        <w:t>each electronic signature is certified; and (d) such other conditions as rules may provide are </w:t>
      </w:r>
      <w:r>
        <w:rPr>
          <w:rFonts w:ascii="Arial MT"/>
          <w:sz w:val="20"/>
        </w:rPr>
        <w:t>met. This provision does not, therefore, create a new type of deed capable of being made electronically; </w:t>
      </w:r>
      <w:bookmarkStart w:name="_bookmark1584" w:id="1586"/>
      <w:bookmarkEnd w:id="1586"/>
      <w:r>
        <w:rPr>
          <w:rFonts w:ascii="Arial MT"/>
          <w:sz w:val="20"/>
        </w:rPr>
        <w:t>rather</w:t>
      </w:r>
      <w:r>
        <w:rPr>
          <w:rFonts w:ascii="Arial MT"/>
          <w:sz w:val="20"/>
        </w:rPr>
        <w:t> it assimilates certain qualifying electronic documents to deeds for the purposes of any </w:t>
      </w:r>
      <w:bookmarkStart w:name="_bookmark1585" w:id="1587"/>
      <w:bookmarkEnd w:id="1587"/>
      <w:r>
        <w:rPr>
          <w:rFonts w:ascii="Arial MT"/>
          <w:sz w:val="20"/>
        </w:rPr>
        <w:t>enactment</w:t>
      </w:r>
      <w:r>
        <w:rPr>
          <w:rFonts w:ascii="Arial MT"/>
          <w:sz w:val="20"/>
        </w:rPr>
        <w:t> requiring the dispositions to which those documents relate to use a deed. </w:t>
      </w:r>
      <w:r>
        <w:rPr>
          <w:rFonts w:ascii="Arial MT"/>
          <w:color w:val="005DA1"/>
          <w:sz w:val="20"/>
          <w:u w:val="single" w:color="005DA1"/>
          <w:vertAlign w:val="superscript"/>
        </w:rPr>
        <w:t>852</w:t>
      </w:r>
      <w:r>
        <w:rPr>
          <w:rFonts w:ascii="Arial MT"/>
          <w:color w:val="005DA1"/>
          <w:sz w:val="20"/>
          <w:vertAlign w:val="baseline"/>
        </w:rPr>
        <w:t> </w:t>
      </w:r>
      <w:r>
        <w:rPr>
          <w:rFonts w:ascii="Arial MT"/>
          <w:sz w:val="20"/>
          <w:vertAlign w:val="baseline"/>
        </w:rPr>
        <w:t>At the time of</w:t>
      </w:r>
    </w:p>
    <w:p>
      <w:pPr>
        <w:pStyle w:val="BodyText"/>
        <w:spacing w:before="115"/>
        <w:ind w:left="165"/>
        <w:jc w:val="both"/>
        <w:rPr>
          <w:position w:val="-2"/>
        </w:rPr>
      </w:pPr>
      <w:r>
        <w:rPr/>
        <w:t>writing, this new system has not yet been brought into operation. </w:t>
      </w:r>
      <w:r>
        <w:rPr>
          <w:color w:val="005DA1"/>
          <w:u w:val="single" w:color="005DA1"/>
          <w:vertAlign w:val="superscript"/>
        </w:rPr>
        <w:t>853</w:t>
      </w:r>
      <w:r>
        <w:rPr>
          <w:color w:val="005DA1"/>
          <w:spacing w:val="80"/>
          <w:w w:val="150"/>
          <w:vertAlign w:val="baseline"/>
        </w:rPr>
        <w:t> </w:t>
      </w:r>
      <w:r>
        <w:rPr>
          <w:color w:val="005DA1"/>
          <w:position w:val="-2"/>
          <w:vertAlign w:val="baseline"/>
        </w:rPr>
        <w:drawing>
          <wp:inline distT="0" distB="0" distL="0" distR="0">
            <wp:extent cx="107988" cy="107988"/>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jc w:val="both"/>
        <w:rPr>
          <w:position w:val="-2"/>
        </w:rPr>
        <w:sectPr>
          <w:pgSz w:w="11900" w:h="16840"/>
          <w:pgMar w:header="971" w:footer="0" w:top="1300" w:bottom="280" w:left="1275" w:right="1275"/>
        </w:sectPr>
      </w:pPr>
    </w:p>
    <w:p>
      <w:pPr>
        <w:pStyle w:val="BodyText"/>
      </w:pPr>
    </w:p>
    <w:p>
      <w:pPr>
        <w:pStyle w:val="BodyText"/>
        <w:spacing w:before="14"/>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390" name="Group 390"/>
                <wp:cNvGraphicFramePr>
                  <a:graphicFrameLocks/>
                </wp:cNvGraphicFramePr>
                <a:graphic>
                  <a:graphicData uri="http://schemas.microsoft.com/office/word/2010/wordprocessingGroup">
                    <wpg:wgp>
                      <wpg:cNvPr id="390" name="Group 390"/>
                      <wpg:cNvGrpSpPr/>
                      <wpg:grpSpPr>
                        <a:xfrm>
                          <a:off x="0" y="0"/>
                          <a:ext cx="5724525" cy="12700"/>
                          <a:chExt cx="5724525" cy="12700"/>
                        </a:xfrm>
                      </wpg:grpSpPr>
                      <wps:wsp>
                        <wps:cNvPr id="391" name="Graphic 391"/>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53" coordorigin="0,0" coordsize="9015,20">
                <v:line style="position:absolute" from="0,10" to="9014,10" stroked="true" strokeweight="1pt" strokecolor="#000000">
                  <v:stroke dashstyle="solid"/>
                </v:line>
              </v:group>
            </w:pict>
          </mc:Fallback>
        </mc:AlternateContent>
      </w:r>
      <w:r>
        <w:rPr>
          <w:sz w:val="2"/>
        </w:rPr>
      </w:r>
    </w:p>
    <w:p>
      <w:pPr>
        <w:pStyle w:val="BodyText"/>
        <w:spacing w:before="87"/>
      </w:pPr>
    </w:p>
    <w:p>
      <w:pPr>
        <w:pStyle w:val="BodyText"/>
        <w:tabs>
          <w:tab w:pos="705" w:val="left" w:leader="none"/>
        </w:tabs>
        <w:ind w:left="165"/>
      </w:pPr>
      <w:bookmarkStart w:name="_bookmark1586" w:id="1588"/>
      <w:bookmarkEnd w:id="1588"/>
      <w:r>
        <w:rPr/>
      </w:r>
      <w:hyperlink w:history="true" w:anchor="_bookmark1568">
        <w:r>
          <w:rPr>
            <w:color w:val="005DA1"/>
            <w:spacing w:val="-4"/>
            <w:position w:val="5"/>
            <w:sz w:val="14"/>
            <w:u w:val="single" w:color="005DA1"/>
          </w:rPr>
          <w:t>834</w:t>
        </w:r>
      </w:hyperlink>
      <w:r>
        <w:rPr>
          <w:spacing w:val="-4"/>
          <w:position w:val="5"/>
          <w:sz w:val="14"/>
        </w:rPr>
        <w:t>.</w:t>
      </w:r>
      <w:r>
        <w:rPr>
          <w:position w:val="5"/>
          <w:sz w:val="14"/>
        </w:rPr>
        <w:tab/>
      </w:r>
      <w:r>
        <w:rPr/>
        <w:t>Compare above, para.1-016 on the question of agreement in relation to </w:t>
      </w:r>
      <w:r>
        <w:rPr>
          <w:spacing w:val="-2"/>
        </w:rPr>
        <w:t>deeds.</w:t>
      </w:r>
    </w:p>
    <w:p>
      <w:pPr>
        <w:pStyle w:val="BodyText"/>
        <w:spacing w:before="5"/>
      </w:pPr>
    </w:p>
    <w:p>
      <w:pPr>
        <w:tabs>
          <w:tab w:pos="705" w:val="left" w:leader="none"/>
        </w:tabs>
        <w:spacing w:before="0"/>
        <w:ind w:left="165" w:right="0" w:firstLine="0"/>
        <w:jc w:val="left"/>
        <w:rPr>
          <w:sz w:val="20"/>
        </w:rPr>
      </w:pPr>
      <w:bookmarkStart w:name="_bookmark1587" w:id="1589"/>
      <w:bookmarkEnd w:id="1589"/>
      <w:r>
        <w:rPr/>
      </w:r>
      <w:hyperlink w:history="true" w:anchor="_bookmark1569">
        <w:r>
          <w:rPr>
            <w:color w:val="005DA1"/>
            <w:spacing w:val="-4"/>
            <w:position w:val="5"/>
            <w:sz w:val="14"/>
            <w:u w:val="single" w:color="005DA1"/>
          </w:rPr>
          <w:t>835</w:t>
        </w:r>
      </w:hyperlink>
      <w:r>
        <w:rPr>
          <w:spacing w:val="-4"/>
          <w:position w:val="5"/>
          <w:sz w:val="14"/>
        </w:rPr>
        <w:t>.</w:t>
      </w:r>
      <w:r>
        <w:rPr>
          <w:position w:val="5"/>
          <w:sz w:val="14"/>
        </w:rPr>
        <w:tab/>
      </w:r>
      <w:r>
        <w:rPr>
          <w:rFonts w:ascii="Arial"/>
          <w:i/>
          <w:sz w:val="20"/>
        </w:rPr>
        <w:t>R. v Morton (1873) L.R. 2 C.C.R. 22, </w:t>
      </w:r>
      <w:r>
        <w:rPr>
          <w:rFonts w:ascii="Arial"/>
          <w:i/>
          <w:spacing w:val="-5"/>
          <w:sz w:val="20"/>
        </w:rPr>
        <w:t>27</w:t>
      </w:r>
      <w:r>
        <w:rPr>
          <w:spacing w:val="-5"/>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21312">
            <wp:simplePos x="0" y="0"/>
            <wp:positionH relativeFrom="page">
              <wp:posOffset>1257846</wp:posOffset>
            </wp:positionH>
            <wp:positionV relativeFrom="paragraph">
              <wp:posOffset>160331</wp:posOffset>
            </wp:positionV>
            <wp:extent cx="107988" cy="107988"/>
            <wp:effectExtent l="0" t="0" r="0" b="0"/>
            <wp:wrapNone/>
            <wp:docPr id="392" name="Image 392"/>
            <wp:cNvGraphicFramePr>
              <a:graphicFrameLocks/>
            </wp:cNvGraphicFramePr>
            <a:graphic>
              <a:graphicData uri="http://schemas.openxmlformats.org/drawingml/2006/picture">
                <pic:pic>
                  <pic:nvPicPr>
                    <pic:cNvPr id="392" name="Image 39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88" w:id="1590"/>
      <w:bookmarkEnd w:id="1590"/>
      <w:r>
        <w:rPr/>
      </w:r>
      <w:hyperlink w:history="true" w:anchor="_bookmark1570">
        <w:r>
          <w:rPr>
            <w:color w:val="005DA1"/>
            <w:spacing w:val="-4"/>
            <w:sz w:val="14"/>
            <w:u w:val="single" w:color="005DA1"/>
          </w:rPr>
          <w:t>836</w:t>
        </w:r>
      </w:hyperlink>
      <w:r>
        <w:rPr>
          <w:spacing w:val="-4"/>
          <w:sz w:val="14"/>
        </w:rPr>
        <w:t>.</w:t>
      </w:r>
    </w:p>
    <w:p>
      <w:pPr>
        <w:pStyle w:val="BodyText"/>
        <w:spacing w:line="235" w:lineRule="auto" w:before="212"/>
        <w:ind w:left="165" w:right="167" w:firstLine="170"/>
        <w:jc w:val="both"/>
      </w:pPr>
      <w:r>
        <w:rPr/>
        <w:br w:type="column"/>
      </w:r>
      <w:r>
        <w:rPr/>
        <w:t>On the ancient requirement see Sheppard, </w:t>
      </w:r>
      <w:r>
        <w:rPr>
          <w:rFonts w:ascii="Arial" w:hAnsi="Arial"/>
          <w:i/>
        </w:rPr>
        <w:t>Touchstone of Common Assurances</w:t>
      </w:r>
      <w:r>
        <w:rPr/>
        <w:t>, 7th edn (1820), p.56. The recognition of “electronic seals” by Regulation (EU) 910/2014 of 23 July </w:t>
      </w:r>
      <w:r>
        <w:rPr/>
        <w:t>2014 on electronic identification and trust services for electronic transactions in the internal market and</w:t>
      </w:r>
      <w:r>
        <w:rPr>
          <w:spacing w:val="-3"/>
        </w:rPr>
        <w:t> </w:t>
      </w:r>
      <w:r>
        <w:rPr/>
        <w:t>repealing</w:t>
      </w:r>
      <w:r>
        <w:rPr>
          <w:spacing w:val="-3"/>
        </w:rPr>
        <w:t> </w:t>
      </w:r>
      <w:r>
        <w:rPr/>
        <w:t>Directive</w:t>
      </w:r>
      <w:r>
        <w:rPr>
          <w:spacing w:val="-3"/>
        </w:rPr>
        <w:t> </w:t>
      </w:r>
      <w:r>
        <w:rPr/>
        <w:t>1999/93/EC</w:t>
      </w:r>
      <w:r>
        <w:rPr>
          <w:spacing w:val="-3"/>
        </w:rPr>
        <w:t> </w:t>
      </w:r>
      <w:r>
        <w:rPr/>
        <w:t>[2014]</w:t>
      </w:r>
      <w:r>
        <w:rPr>
          <w:spacing w:val="-3"/>
        </w:rPr>
        <w:t> </w:t>
      </w:r>
      <w:r>
        <w:rPr/>
        <w:t>O.J.</w:t>
      </w:r>
      <w:r>
        <w:rPr>
          <w:spacing w:val="-3"/>
        </w:rPr>
        <w:t> </w:t>
      </w:r>
      <w:r>
        <w:rPr/>
        <w:t>L257/73</w:t>
      </w:r>
      <w:r>
        <w:rPr>
          <w:spacing w:val="-3"/>
        </w:rPr>
        <w:t> </w:t>
      </w:r>
      <w:r>
        <w:rPr/>
        <w:t>(the</w:t>
      </w:r>
      <w:r>
        <w:rPr>
          <w:spacing w:val="-3"/>
        </w:rPr>
        <w:t> </w:t>
      </w:r>
      <w:r>
        <w:rPr/>
        <w:t>“eIDAS</w:t>
      </w:r>
      <w:r>
        <w:rPr>
          <w:spacing w:val="-3"/>
        </w:rPr>
        <w:t> </w:t>
      </w:r>
      <w:r>
        <w:rPr/>
        <w:t>Regulation”),</w:t>
      </w:r>
      <w:r>
        <w:rPr>
          <w:spacing w:val="-3"/>
        </w:rPr>
        <w:t> </w:t>
      </w:r>
      <w:r>
        <w:rPr/>
        <w:t>see</w:t>
      </w:r>
      <w:r>
        <w:rPr>
          <w:spacing w:val="-3"/>
        </w:rPr>
        <w:t> </w:t>
      </w:r>
      <w:r>
        <w:rPr/>
        <w:t>esp.</w:t>
      </w:r>
      <w:r>
        <w:rPr>
          <w:spacing w:val="-3"/>
        </w:rPr>
        <w:t> </w:t>
      </w:r>
      <w:r>
        <w:rPr/>
        <w:t>arts 2(25), 35–40, does not affect the law described here, as art.2(3) provides that the Regulation does not affect national or Union law related to the conclusion and validity of contracts or other legal or procedural obligations relating to form: see further below, para.5-008.</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3"/>
      </w:pPr>
    </w:p>
    <w:p>
      <w:pPr>
        <w:pStyle w:val="BodyText"/>
        <w:tabs>
          <w:tab w:pos="705" w:val="left" w:leader="none"/>
        </w:tabs>
        <w:spacing w:before="1"/>
        <w:ind w:left="165"/>
      </w:pPr>
      <w:bookmarkStart w:name="_bookmark1589" w:id="1591"/>
      <w:bookmarkEnd w:id="1591"/>
      <w:r>
        <w:rPr/>
      </w:r>
      <w:hyperlink w:history="true" w:anchor="_bookmark1571">
        <w:r>
          <w:rPr>
            <w:color w:val="005DA1"/>
            <w:spacing w:val="-4"/>
            <w:position w:val="5"/>
            <w:sz w:val="14"/>
            <w:u w:val="single" w:color="005DA1"/>
          </w:rPr>
          <w:t>837</w:t>
        </w:r>
      </w:hyperlink>
      <w:r>
        <w:rPr>
          <w:spacing w:val="-4"/>
          <w:position w:val="5"/>
          <w:sz w:val="14"/>
        </w:rPr>
        <w:t>.</w:t>
      </w:r>
      <w:r>
        <w:rPr>
          <w:position w:val="5"/>
          <w:sz w:val="14"/>
        </w:rPr>
        <w:tab/>
      </w:r>
      <w:r>
        <w:rPr/>
        <w:t>This requirement had been imposed by the Law of Property Act 1925 </w:t>
      </w:r>
      <w:r>
        <w:rPr>
          <w:spacing w:val="-2"/>
        </w:rPr>
        <w:t>s.73.</w:t>
      </w:r>
    </w:p>
    <w:p>
      <w:pPr>
        <w:pStyle w:val="BodyText"/>
        <w:spacing w:before="4"/>
      </w:pPr>
    </w:p>
    <w:p>
      <w:pPr>
        <w:pStyle w:val="BodyText"/>
        <w:tabs>
          <w:tab w:pos="705" w:val="left" w:leader="none"/>
        </w:tabs>
        <w:spacing w:before="1"/>
        <w:ind w:left="165"/>
      </w:pPr>
      <w:bookmarkStart w:name="_bookmark1590" w:id="1592"/>
      <w:bookmarkEnd w:id="1592"/>
      <w:r>
        <w:rPr/>
      </w:r>
      <w:hyperlink w:history="true" w:anchor="_bookmark1571">
        <w:r>
          <w:rPr>
            <w:color w:val="005DA1"/>
            <w:spacing w:val="-4"/>
            <w:position w:val="5"/>
            <w:sz w:val="14"/>
            <w:u w:val="single" w:color="005DA1"/>
          </w:rPr>
          <w:t>838</w:t>
        </w:r>
      </w:hyperlink>
      <w:r>
        <w:rPr>
          <w:spacing w:val="-4"/>
          <w:position w:val="5"/>
          <w:sz w:val="14"/>
        </w:rPr>
        <w:t>.</w:t>
      </w:r>
      <w:r>
        <w:rPr>
          <w:position w:val="5"/>
          <w:sz w:val="14"/>
        </w:rPr>
        <w:tab/>
      </w:r>
      <w:r>
        <w:rPr/>
        <w:t>Law of Property (Miscellaneous Provisions) Act 1989 </w:t>
      </w:r>
      <w:r>
        <w:rPr>
          <w:spacing w:val="-4"/>
        </w:rPr>
        <w:t>s.1.</w:t>
      </w:r>
    </w:p>
    <w:p>
      <w:pPr>
        <w:pStyle w:val="BodyText"/>
        <w:spacing w:before="8"/>
      </w:pPr>
    </w:p>
    <w:p>
      <w:pPr>
        <w:pStyle w:val="BodyText"/>
        <w:tabs>
          <w:tab w:pos="705" w:val="left" w:leader="none"/>
        </w:tabs>
        <w:spacing w:line="235" w:lineRule="auto"/>
        <w:ind w:left="705" w:right="168" w:hanging="541"/>
      </w:pPr>
      <w:bookmarkStart w:name="_bookmark1591" w:id="1593"/>
      <w:bookmarkEnd w:id="1593"/>
      <w:r>
        <w:rPr/>
      </w:r>
      <w:hyperlink w:history="true" w:anchor="_bookmark1572">
        <w:r>
          <w:rPr>
            <w:color w:val="005DA1"/>
            <w:spacing w:val="-4"/>
            <w:position w:val="5"/>
            <w:sz w:val="14"/>
            <w:u w:val="single" w:color="005DA1"/>
          </w:rPr>
          <w:t>839</w:t>
        </w:r>
      </w:hyperlink>
      <w:r>
        <w:rPr>
          <w:spacing w:val="-4"/>
          <w:position w:val="5"/>
          <w:sz w:val="14"/>
        </w:rPr>
        <w:t>.</w:t>
      </w:r>
      <w:r>
        <w:rPr>
          <w:position w:val="5"/>
          <w:sz w:val="14"/>
        </w:rPr>
        <w:tab/>
      </w:r>
      <w:r>
        <w:rPr/>
        <w:t>Companies</w:t>
      </w:r>
      <w:r>
        <w:rPr>
          <w:spacing w:val="61"/>
        </w:rPr>
        <w:t> </w:t>
      </w:r>
      <w:r>
        <w:rPr/>
        <w:t>Act</w:t>
      </w:r>
      <w:r>
        <w:rPr>
          <w:spacing w:val="61"/>
        </w:rPr>
        <w:t> </w:t>
      </w:r>
      <w:r>
        <w:rPr/>
        <w:t>1985</w:t>
      </w:r>
      <w:r>
        <w:rPr>
          <w:spacing w:val="61"/>
        </w:rPr>
        <w:t> </w:t>
      </w:r>
      <w:r>
        <w:rPr/>
        <w:t>s.36A(2)</w:t>
      </w:r>
      <w:r>
        <w:rPr>
          <w:spacing w:val="61"/>
        </w:rPr>
        <w:t> </w:t>
      </w:r>
      <w:r>
        <w:rPr/>
        <w:t>(as</w:t>
      </w:r>
      <w:r>
        <w:rPr>
          <w:spacing w:val="61"/>
        </w:rPr>
        <w:t> </w:t>
      </w:r>
      <w:r>
        <w:rPr/>
        <w:t>inserted</w:t>
      </w:r>
      <w:r>
        <w:rPr>
          <w:spacing w:val="61"/>
        </w:rPr>
        <w:t> </w:t>
      </w:r>
      <w:r>
        <w:rPr/>
        <w:t>by</w:t>
      </w:r>
      <w:r>
        <w:rPr>
          <w:spacing w:val="61"/>
        </w:rPr>
        <w:t> </w:t>
      </w:r>
      <w:r>
        <w:rPr/>
        <w:t>s.36A</w:t>
      </w:r>
      <w:r>
        <w:rPr>
          <w:spacing w:val="61"/>
        </w:rPr>
        <w:t> </w:t>
      </w:r>
      <w:r>
        <w:rPr/>
        <w:t>of</w:t>
      </w:r>
      <w:r>
        <w:rPr>
          <w:spacing w:val="61"/>
        </w:rPr>
        <w:t> </w:t>
      </w:r>
      <w:r>
        <w:rPr/>
        <w:t>the</w:t>
      </w:r>
      <w:r>
        <w:rPr>
          <w:spacing w:val="61"/>
        </w:rPr>
        <w:t> </w:t>
      </w:r>
      <w:r>
        <w:rPr/>
        <w:t>Companies</w:t>
      </w:r>
      <w:r>
        <w:rPr>
          <w:spacing w:val="61"/>
        </w:rPr>
        <w:t> </w:t>
      </w:r>
      <w:r>
        <w:rPr/>
        <w:t>Act</w:t>
      </w:r>
      <w:r>
        <w:rPr>
          <w:spacing w:val="61"/>
        </w:rPr>
        <w:t> </w:t>
      </w:r>
      <w:r>
        <w:rPr/>
        <w:t>1989</w:t>
      </w:r>
      <w:r>
        <w:rPr>
          <w:spacing w:val="61"/>
        </w:rPr>
        <w:t> </w:t>
      </w:r>
      <w:r>
        <w:rPr/>
        <w:t>(c.40) ss.130(2), 213(2)). This provision has been superseded as explained at para.1-128 below.</w:t>
      </w:r>
    </w:p>
    <w:p>
      <w:pPr>
        <w:pStyle w:val="BodyText"/>
        <w:spacing w:before="9"/>
      </w:pPr>
    </w:p>
    <w:p>
      <w:pPr>
        <w:pStyle w:val="BodyText"/>
        <w:tabs>
          <w:tab w:pos="705" w:val="left" w:leader="none"/>
        </w:tabs>
        <w:spacing w:line="235" w:lineRule="auto" w:before="1"/>
        <w:ind w:left="705" w:right="168" w:hanging="541"/>
      </w:pPr>
      <w:bookmarkStart w:name="_bookmark1592" w:id="1594"/>
      <w:bookmarkEnd w:id="1594"/>
      <w:r>
        <w:rPr/>
      </w:r>
      <w:hyperlink w:history="true" w:anchor="_bookmark1573">
        <w:r>
          <w:rPr>
            <w:color w:val="005DA1"/>
            <w:spacing w:val="-4"/>
            <w:position w:val="5"/>
            <w:sz w:val="14"/>
            <w:u w:val="single" w:color="005DA1"/>
          </w:rPr>
          <w:t>840</w:t>
        </w:r>
      </w:hyperlink>
      <w:r>
        <w:rPr>
          <w:spacing w:val="-4"/>
          <w:position w:val="5"/>
          <w:sz w:val="14"/>
        </w:rPr>
        <w:t>.</w:t>
      </w:r>
      <w:r>
        <w:rPr>
          <w:position w:val="5"/>
          <w:sz w:val="14"/>
        </w:rPr>
        <w:tab/>
      </w:r>
      <w:r>
        <w:rPr/>
        <w:t>Companies Act 1985 s.36A(4) and (5) (as inserted by s.36A of the Companies Act 1989 (c.40) ss.130(2), 213(2)). This provision has been superseded as explained at para.1-128 below.</w:t>
      </w:r>
    </w:p>
    <w:p>
      <w:pPr>
        <w:pStyle w:val="BodyText"/>
        <w:spacing w:before="5"/>
      </w:pPr>
    </w:p>
    <w:p>
      <w:pPr>
        <w:pStyle w:val="BodyText"/>
        <w:tabs>
          <w:tab w:pos="705" w:val="left" w:leader="none"/>
        </w:tabs>
        <w:ind w:left="165"/>
      </w:pPr>
      <w:bookmarkStart w:name="_bookmark1593" w:id="1595"/>
      <w:bookmarkEnd w:id="1595"/>
      <w:r>
        <w:rPr/>
      </w:r>
      <w:hyperlink w:history="true" w:anchor="_bookmark1574">
        <w:r>
          <w:rPr>
            <w:color w:val="005DA1"/>
            <w:spacing w:val="-4"/>
            <w:position w:val="5"/>
            <w:sz w:val="14"/>
            <w:u w:val="single" w:color="005DA1"/>
          </w:rPr>
          <w:t>841</w:t>
        </w:r>
      </w:hyperlink>
      <w:r>
        <w:rPr>
          <w:spacing w:val="-4"/>
          <w:position w:val="5"/>
          <w:sz w:val="14"/>
        </w:rPr>
        <w:t>.</w:t>
      </w:r>
      <w:r>
        <w:rPr>
          <w:position w:val="5"/>
          <w:sz w:val="14"/>
        </w:rPr>
        <w:tab/>
      </w:r>
      <w:r>
        <w:rPr/>
        <w:t>Charities Act 1993 ss.50 and 60; Charities Act 2011 ss.252 and </w:t>
      </w:r>
      <w:r>
        <w:rPr>
          <w:spacing w:val="-2"/>
        </w:rPr>
        <w:t>260–261.</w:t>
      </w:r>
    </w:p>
    <w:p>
      <w:pPr>
        <w:pStyle w:val="BodyText"/>
        <w:spacing w:before="9"/>
      </w:pPr>
    </w:p>
    <w:p>
      <w:pPr>
        <w:pStyle w:val="BodyText"/>
        <w:spacing w:line="235" w:lineRule="auto"/>
        <w:ind w:left="705" w:right="167" w:hanging="541"/>
        <w:jc w:val="both"/>
      </w:pPr>
      <w:bookmarkStart w:name="_bookmark1594" w:id="1596"/>
      <w:bookmarkEnd w:id="1596"/>
      <w:r>
        <w:rPr/>
      </w:r>
      <w:hyperlink w:history="true" w:anchor="_bookmark1575">
        <w:r>
          <w:rPr>
            <w:color w:val="005DA1"/>
            <w:position w:val="5"/>
            <w:sz w:val="14"/>
            <w:u w:val="single" w:color="005DA1"/>
          </w:rPr>
          <w:t>842</w:t>
        </w:r>
      </w:hyperlink>
      <w:r>
        <w:rPr>
          <w:position w:val="5"/>
          <w:sz w:val="14"/>
        </w:rPr>
        <w:t>.</w:t>
      </w:r>
      <w:r>
        <w:rPr>
          <w:spacing w:val="80"/>
          <w:position w:val="5"/>
          <w:sz w:val="14"/>
        </w:rPr>
        <w:t> </w:t>
      </w:r>
      <w:r>
        <w:rPr/>
        <w:t>A corporation aggregate may be defined as consisting of: “[A] body of persons which is recognised by the law as having a personality which is distinct from the separate personalities</w:t>
      </w:r>
      <w:r>
        <w:rPr>
          <w:spacing w:val="40"/>
        </w:rPr>
        <w:t> </w:t>
      </w:r>
      <w:r>
        <w:rPr/>
        <w:t>of the members of the body or the personality of the individual holder of the office in question</w:t>
      </w:r>
      <w:r>
        <w:rPr>
          <w:spacing w:val="40"/>
        </w:rPr>
        <w:t> </w:t>
      </w:r>
      <w:r>
        <w:rPr/>
        <w:t>for the time being”: Law Com. No.253 para.4.1, n.1 referring to Halsbury’s Laws of England, 4th edn (reissue, 1998), Vol.9(2), para.1005.</w:t>
      </w:r>
    </w:p>
    <w:p>
      <w:pPr>
        <w:pStyle w:val="BodyText"/>
        <w:spacing w:before="8"/>
      </w:pPr>
    </w:p>
    <w:p>
      <w:pPr>
        <w:pStyle w:val="BodyText"/>
        <w:spacing w:line="235" w:lineRule="auto"/>
        <w:ind w:left="705" w:right="167" w:hanging="541"/>
        <w:jc w:val="both"/>
      </w:pPr>
      <w:bookmarkStart w:name="_bookmark1595" w:id="1597"/>
      <w:bookmarkEnd w:id="1597"/>
      <w:r>
        <w:rPr/>
      </w:r>
      <w:hyperlink w:history="true" w:anchor="_bookmark1575">
        <w:r>
          <w:rPr>
            <w:color w:val="005DA1"/>
            <w:position w:val="5"/>
            <w:sz w:val="14"/>
            <w:u w:val="single" w:color="005DA1"/>
          </w:rPr>
          <w:t>843</w:t>
        </w:r>
      </w:hyperlink>
      <w:r>
        <w:rPr>
          <w:position w:val="5"/>
          <w:sz w:val="14"/>
        </w:rPr>
        <w:t>.</w:t>
      </w:r>
      <w:r>
        <w:rPr>
          <w:spacing w:val="40"/>
          <w:position w:val="5"/>
          <w:sz w:val="14"/>
        </w:rPr>
        <w:t>  </w:t>
      </w:r>
      <w:r>
        <w:rPr/>
        <w:t>A corporation sole may be defined as consisting of: “[O]ne person and his or her successors in some particular office or status, who are incorporated in law in order to give them certain </w:t>
      </w:r>
      <w:r>
        <w:rPr/>
        <w:t>legal capacities and advantages which they would not have in their natural person”: Law Com. No.253 para.4.23 referring to Halsbury’s Laws of England, 4th edn, Vol.9(2), para.1007 and giving as examples a government minister or Church of England bishop.</w:t>
      </w:r>
    </w:p>
    <w:p>
      <w:pPr>
        <w:pStyle w:val="BodyText"/>
        <w:spacing w:before="4"/>
      </w:pPr>
    </w:p>
    <w:p>
      <w:pPr>
        <w:pStyle w:val="BodyText"/>
        <w:tabs>
          <w:tab w:pos="705" w:val="left" w:leader="none"/>
        </w:tabs>
        <w:ind w:left="165"/>
      </w:pPr>
      <w:bookmarkStart w:name="_bookmark1596" w:id="1598"/>
      <w:bookmarkEnd w:id="1598"/>
      <w:r>
        <w:rPr/>
      </w:r>
      <w:hyperlink w:history="true" w:anchor="_bookmark1576">
        <w:r>
          <w:rPr>
            <w:color w:val="005DA1"/>
            <w:spacing w:val="-4"/>
            <w:position w:val="5"/>
            <w:sz w:val="14"/>
            <w:u w:val="single" w:color="005DA1"/>
          </w:rPr>
          <w:t>844</w:t>
        </w:r>
      </w:hyperlink>
      <w:r>
        <w:rPr>
          <w:spacing w:val="-4"/>
          <w:position w:val="5"/>
          <w:sz w:val="14"/>
        </w:rPr>
        <w:t>.</w:t>
      </w:r>
      <w:r>
        <w:rPr>
          <w:position w:val="5"/>
          <w:sz w:val="14"/>
        </w:rPr>
        <w:tab/>
      </w:r>
      <w:r>
        <w:rPr/>
        <w:t>Regulatory Reform (Execution of Deeds and Documents) Order 2005 (SI </w:t>
      </w:r>
      <w:r>
        <w:rPr>
          <w:spacing w:val="-2"/>
        </w:rPr>
        <w:t>2005/1906).</w:t>
      </w:r>
    </w:p>
    <w:p>
      <w:pPr>
        <w:pStyle w:val="BodyText"/>
        <w:spacing w:before="5"/>
      </w:pPr>
    </w:p>
    <w:p>
      <w:pPr>
        <w:pStyle w:val="BodyText"/>
        <w:tabs>
          <w:tab w:pos="705" w:val="left" w:leader="none"/>
        </w:tabs>
        <w:spacing w:line="227" w:lineRule="exact"/>
        <w:ind w:left="165"/>
      </w:pPr>
      <w:bookmarkStart w:name="_bookmark1597" w:id="1599"/>
      <w:bookmarkEnd w:id="1599"/>
      <w:r>
        <w:rPr/>
      </w:r>
      <w:hyperlink w:history="true" w:anchor="_bookmark1577">
        <w:r>
          <w:rPr>
            <w:color w:val="005DA1"/>
            <w:spacing w:val="-4"/>
            <w:position w:val="5"/>
            <w:sz w:val="14"/>
            <w:u w:val="single" w:color="005DA1"/>
          </w:rPr>
          <w:t>845</w:t>
        </w:r>
      </w:hyperlink>
      <w:r>
        <w:rPr>
          <w:spacing w:val="-4"/>
          <w:position w:val="5"/>
          <w:sz w:val="14"/>
        </w:rPr>
        <w:t>.</w:t>
      </w:r>
      <w:r>
        <w:rPr>
          <w:position w:val="5"/>
          <w:sz w:val="14"/>
        </w:rPr>
        <w:tab/>
      </w:r>
      <w:r>
        <w:rPr/>
        <w:t>The</w:t>
      </w:r>
      <w:r>
        <w:rPr>
          <w:spacing w:val="46"/>
        </w:rPr>
        <w:t> </w:t>
      </w:r>
      <w:r>
        <w:rPr/>
        <w:t>Execution</w:t>
      </w:r>
      <w:r>
        <w:rPr>
          <w:spacing w:val="46"/>
        </w:rPr>
        <w:t> </w:t>
      </w:r>
      <w:r>
        <w:rPr/>
        <w:t>of</w:t>
      </w:r>
      <w:r>
        <w:rPr>
          <w:spacing w:val="46"/>
        </w:rPr>
        <w:t> </w:t>
      </w:r>
      <w:r>
        <w:rPr/>
        <w:t>Deeds</w:t>
      </w:r>
      <w:r>
        <w:rPr>
          <w:spacing w:val="46"/>
        </w:rPr>
        <w:t> </w:t>
      </w:r>
      <w:r>
        <w:rPr/>
        <w:t>and</w:t>
      </w:r>
      <w:r>
        <w:rPr>
          <w:spacing w:val="46"/>
        </w:rPr>
        <w:t> </w:t>
      </w:r>
      <w:r>
        <w:rPr/>
        <w:t>Documents</w:t>
      </w:r>
      <w:r>
        <w:rPr>
          <w:spacing w:val="46"/>
        </w:rPr>
        <w:t> </w:t>
      </w:r>
      <w:r>
        <w:rPr/>
        <w:t>by</w:t>
      </w:r>
      <w:r>
        <w:rPr>
          <w:spacing w:val="46"/>
        </w:rPr>
        <w:t> </w:t>
      </w:r>
      <w:r>
        <w:rPr/>
        <w:t>or</w:t>
      </w:r>
      <w:r>
        <w:rPr>
          <w:spacing w:val="46"/>
        </w:rPr>
        <w:t> </w:t>
      </w:r>
      <w:r>
        <w:rPr/>
        <w:t>on</w:t>
      </w:r>
      <w:r>
        <w:rPr>
          <w:spacing w:val="46"/>
        </w:rPr>
        <w:t> </w:t>
      </w:r>
      <w:r>
        <w:rPr/>
        <w:t>behalf</w:t>
      </w:r>
      <w:r>
        <w:rPr>
          <w:spacing w:val="46"/>
        </w:rPr>
        <w:t> </w:t>
      </w:r>
      <w:r>
        <w:rPr/>
        <w:t>of</w:t>
      </w:r>
      <w:r>
        <w:rPr>
          <w:spacing w:val="46"/>
        </w:rPr>
        <w:t> </w:t>
      </w:r>
      <w:r>
        <w:rPr/>
        <w:t>Bodies</w:t>
      </w:r>
      <w:r>
        <w:rPr>
          <w:spacing w:val="46"/>
        </w:rPr>
        <w:t> </w:t>
      </w:r>
      <w:r>
        <w:rPr/>
        <w:t>Corporate,</w:t>
      </w:r>
      <w:r>
        <w:rPr>
          <w:spacing w:val="46"/>
        </w:rPr>
        <w:t> </w:t>
      </w:r>
      <w:r>
        <w:rPr/>
        <w:t>Law</w:t>
      </w:r>
      <w:r>
        <w:rPr>
          <w:spacing w:val="46"/>
        </w:rPr>
        <w:t> </w:t>
      </w:r>
      <w:r>
        <w:rPr>
          <w:spacing w:val="-4"/>
        </w:rPr>
        <w:t>Com.</w:t>
      </w:r>
    </w:p>
    <w:p>
      <w:pPr>
        <w:pStyle w:val="BodyText"/>
        <w:spacing w:line="227" w:lineRule="exact"/>
        <w:ind w:left="705"/>
      </w:pPr>
      <w:r>
        <w:rPr/>
        <w:t>No.253 </w:t>
      </w:r>
      <w:r>
        <w:rPr>
          <w:spacing w:val="-2"/>
        </w:rPr>
        <w:t>(1998).</w:t>
      </w:r>
    </w:p>
    <w:p>
      <w:pPr>
        <w:pStyle w:val="BodyText"/>
        <w:spacing w:before="5"/>
      </w:pPr>
    </w:p>
    <w:p>
      <w:pPr>
        <w:pStyle w:val="BodyText"/>
        <w:tabs>
          <w:tab w:pos="705" w:val="left" w:leader="none"/>
        </w:tabs>
        <w:ind w:left="165"/>
      </w:pPr>
      <w:bookmarkStart w:name="_bookmark1598" w:id="1600"/>
      <w:bookmarkEnd w:id="1600"/>
      <w:r>
        <w:rPr/>
      </w:r>
      <w:hyperlink w:history="true" w:anchor="_bookmark1578">
        <w:r>
          <w:rPr>
            <w:color w:val="005DA1"/>
            <w:spacing w:val="-4"/>
            <w:position w:val="5"/>
            <w:sz w:val="14"/>
            <w:u w:val="single" w:color="005DA1"/>
          </w:rPr>
          <w:t>846</w:t>
        </w:r>
      </w:hyperlink>
      <w:r>
        <w:rPr>
          <w:spacing w:val="-4"/>
          <w:position w:val="5"/>
          <w:sz w:val="14"/>
        </w:rPr>
        <w:t>.</w:t>
      </w:r>
      <w:r>
        <w:rPr>
          <w:position w:val="5"/>
          <w:sz w:val="14"/>
        </w:rPr>
        <w:tab/>
      </w:r>
      <w:r>
        <w:rPr/>
        <w:t>Law of Property (Miscellaneous Provisions) Act 1989 s.1(2)(a) and see </w:t>
      </w:r>
      <w:r>
        <w:rPr>
          <w:spacing w:val="-2"/>
        </w:rPr>
        <w:t>below.</w:t>
      </w:r>
    </w:p>
    <w:p>
      <w:pPr>
        <w:pStyle w:val="BodyText"/>
        <w:spacing w:before="9"/>
      </w:pPr>
    </w:p>
    <w:p>
      <w:pPr>
        <w:pStyle w:val="BodyText"/>
        <w:tabs>
          <w:tab w:pos="705" w:val="left" w:leader="none"/>
        </w:tabs>
        <w:spacing w:line="235" w:lineRule="auto"/>
        <w:ind w:left="705" w:right="168" w:hanging="541"/>
      </w:pPr>
      <w:bookmarkStart w:name="_bookmark1599" w:id="1601"/>
      <w:bookmarkEnd w:id="1601"/>
      <w:r>
        <w:rPr/>
      </w:r>
      <w:hyperlink w:history="true" w:anchor="_bookmark1579">
        <w:r>
          <w:rPr>
            <w:color w:val="005DA1"/>
            <w:spacing w:val="-4"/>
            <w:position w:val="5"/>
            <w:sz w:val="14"/>
            <w:u w:val="single" w:color="005DA1"/>
          </w:rPr>
          <w:t>847</w:t>
        </w:r>
      </w:hyperlink>
      <w:r>
        <w:rPr>
          <w:spacing w:val="-4"/>
          <w:position w:val="5"/>
          <w:sz w:val="14"/>
        </w:rPr>
        <w:t>.</w:t>
      </w:r>
      <w:r>
        <w:rPr>
          <w:position w:val="5"/>
          <w:sz w:val="14"/>
        </w:rPr>
        <w:tab/>
      </w:r>
      <w:r>
        <w:rPr/>
        <w:t>2005</w:t>
      </w:r>
      <w:r>
        <w:rPr>
          <w:spacing w:val="22"/>
        </w:rPr>
        <w:t> </w:t>
      </w:r>
      <w:r>
        <w:rPr/>
        <w:t>Order</w:t>
      </w:r>
      <w:r>
        <w:rPr>
          <w:spacing w:val="22"/>
        </w:rPr>
        <w:t> </w:t>
      </w:r>
      <w:r>
        <w:rPr/>
        <w:t>art.1</w:t>
      </w:r>
      <w:r>
        <w:rPr>
          <w:spacing w:val="22"/>
        </w:rPr>
        <w:t> </w:t>
      </w:r>
      <w:r>
        <w:rPr/>
        <w:t>(this</w:t>
      </w:r>
      <w:r>
        <w:rPr>
          <w:spacing w:val="22"/>
        </w:rPr>
        <w:t> </w:t>
      </w:r>
      <w:r>
        <w:rPr/>
        <w:t>being</w:t>
      </w:r>
      <w:r>
        <w:rPr>
          <w:spacing w:val="22"/>
        </w:rPr>
        <w:t> </w:t>
      </w:r>
      <w:r>
        <w:rPr/>
        <w:t>12</w:t>
      </w:r>
      <w:r>
        <w:rPr>
          <w:spacing w:val="22"/>
        </w:rPr>
        <w:t> </w:t>
      </w:r>
      <w:r>
        <w:rPr/>
        <w:t>weeks</w:t>
      </w:r>
      <w:r>
        <w:rPr>
          <w:spacing w:val="22"/>
        </w:rPr>
        <w:t> </w:t>
      </w:r>
      <w:r>
        <w:rPr/>
        <w:t>from</w:t>
      </w:r>
      <w:r>
        <w:rPr>
          <w:spacing w:val="22"/>
        </w:rPr>
        <w:t> </w:t>
      </w:r>
      <w:r>
        <w:rPr/>
        <w:t>June</w:t>
      </w:r>
      <w:r>
        <w:rPr>
          <w:spacing w:val="22"/>
        </w:rPr>
        <w:t> </w:t>
      </w:r>
      <w:r>
        <w:rPr/>
        <w:t>23,</w:t>
      </w:r>
      <w:r>
        <w:rPr>
          <w:spacing w:val="22"/>
        </w:rPr>
        <w:t> </w:t>
      </w:r>
      <w:r>
        <w:rPr/>
        <w:t>2005,</w:t>
      </w:r>
      <w:r>
        <w:rPr>
          <w:spacing w:val="22"/>
        </w:rPr>
        <w:t> </w:t>
      </w:r>
      <w:r>
        <w:rPr/>
        <w:t>the</w:t>
      </w:r>
      <w:r>
        <w:rPr>
          <w:spacing w:val="22"/>
        </w:rPr>
        <w:t> </w:t>
      </w:r>
      <w:r>
        <w:rPr/>
        <w:t>day</w:t>
      </w:r>
      <w:r>
        <w:rPr>
          <w:spacing w:val="22"/>
        </w:rPr>
        <w:t> </w:t>
      </w:r>
      <w:r>
        <w:rPr/>
        <w:t>on</w:t>
      </w:r>
      <w:r>
        <w:rPr>
          <w:spacing w:val="22"/>
        </w:rPr>
        <w:t> </w:t>
      </w:r>
      <w:r>
        <w:rPr/>
        <w:t>which</w:t>
      </w:r>
      <w:r>
        <w:rPr>
          <w:spacing w:val="22"/>
        </w:rPr>
        <w:t> </w:t>
      </w:r>
      <w:r>
        <w:rPr/>
        <w:t>the</w:t>
      </w:r>
      <w:r>
        <w:rPr>
          <w:spacing w:val="22"/>
        </w:rPr>
        <w:t> </w:t>
      </w:r>
      <w:r>
        <w:rPr/>
        <w:t>Order</w:t>
      </w:r>
      <w:r>
        <w:rPr>
          <w:spacing w:val="22"/>
        </w:rPr>
        <w:t> </w:t>
      </w:r>
      <w:r>
        <w:rPr/>
        <w:t>was </w:t>
      </w:r>
      <w:r>
        <w:rPr>
          <w:spacing w:val="-2"/>
        </w:rPr>
        <w:t>made).</w:t>
      </w:r>
    </w:p>
    <w:p>
      <w:pPr>
        <w:pStyle w:val="BodyText"/>
        <w:spacing w:before="9"/>
      </w:pPr>
    </w:p>
    <w:p>
      <w:pPr>
        <w:pStyle w:val="BodyText"/>
        <w:spacing w:line="235" w:lineRule="auto" w:before="1"/>
        <w:ind w:left="705" w:right="167" w:hanging="541"/>
        <w:jc w:val="both"/>
      </w:pPr>
      <w:bookmarkStart w:name="_bookmark1600" w:id="1602"/>
      <w:bookmarkEnd w:id="1602"/>
      <w:r>
        <w:rPr/>
      </w:r>
      <w:hyperlink w:history="true" w:anchor="_bookmark1580">
        <w:r>
          <w:rPr>
            <w:color w:val="005DA1"/>
            <w:position w:val="5"/>
            <w:sz w:val="14"/>
            <w:u w:val="single" w:color="005DA1"/>
          </w:rPr>
          <w:t>848</w:t>
        </w:r>
      </w:hyperlink>
      <w:r>
        <w:rPr>
          <w:position w:val="5"/>
          <w:sz w:val="14"/>
        </w:rPr>
        <w:t>.</w:t>
      </w:r>
      <w:r>
        <w:rPr>
          <w:spacing w:val="80"/>
          <w:position w:val="5"/>
          <w:sz w:val="14"/>
        </w:rPr>
        <w:t>  </w:t>
      </w:r>
      <w:r>
        <w:rPr/>
        <w:t>“Electronic documents and deeds” for the purposes of the Land Registration Act 2002 (which</w:t>
      </w:r>
      <w:r>
        <w:rPr>
          <w:spacing w:val="40"/>
        </w:rPr>
        <w:t> </w:t>
      </w:r>
      <w:r>
        <w:rPr/>
        <w:t>are the subject of the present paragraph) are to be distinguished from “electronic seals” recognised by Regulation (EU) 910/2014 of 23 July 2014 on electronic identification and trust services for electronic transactions in the internal market and repealing Directive </w:t>
      </w:r>
      <w:r>
        <w:rPr/>
        <w:t>1999/93/EC [2014] O.J. L257/73 (the “eIDAS Regulation”), see below, para.5-008.</w:t>
      </w:r>
    </w:p>
    <w:p>
      <w:pPr>
        <w:pStyle w:val="BodyText"/>
        <w:spacing w:before="4"/>
      </w:pPr>
    </w:p>
    <w:p>
      <w:pPr>
        <w:pStyle w:val="BodyText"/>
        <w:tabs>
          <w:tab w:pos="705" w:val="left" w:leader="none"/>
        </w:tabs>
        <w:ind w:left="165"/>
      </w:pPr>
      <w:bookmarkStart w:name="_bookmark1601" w:id="1603"/>
      <w:bookmarkEnd w:id="1603"/>
      <w:r>
        <w:rPr/>
      </w:r>
      <w:hyperlink w:history="true" w:anchor="_bookmark1581">
        <w:r>
          <w:rPr>
            <w:color w:val="005DA1"/>
            <w:spacing w:val="-4"/>
            <w:position w:val="5"/>
            <w:sz w:val="14"/>
            <w:u w:val="single" w:color="005DA1"/>
          </w:rPr>
          <w:t>849</w:t>
        </w:r>
      </w:hyperlink>
      <w:r>
        <w:rPr>
          <w:spacing w:val="-4"/>
          <w:position w:val="5"/>
          <w:sz w:val="14"/>
        </w:rPr>
        <w:t>.</w:t>
      </w:r>
      <w:r>
        <w:rPr>
          <w:position w:val="5"/>
          <w:sz w:val="14"/>
        </w:rPr>
        <w:tab/>
      </w:r>
      <w:r>
        <w:rPr/>
        <w:t>Law Commission, Land Registration for the Twenty-First Century (2001) Law Com. </w:t>
      </w:r>
      <w:r>
        <w:rPr>
          <w:spacing w:val="-2"/>
        </w:rPr>
        <w:t>No.271.</w:t>
      </w:r>
    </w:p>
    <w:p>
      <w:pPr>
        <w:pStyle w:val="BodyText"/>
        <w:spacing w:before="9"/>
      </w:pPr>
    </w:p>
    <w:p>
      <w:pPr>
        <w:pStyle w:val="BodyText"/>
        <w:tabs>
          <w:tab w:pos="705" w:val="left" w:leader="none"/>
        </w:tabs>
        <w:spacing w:line="235" w:lineRule="auto"/>
        <w:ind w:left="705" w:right="168" w:hanging="541"/>
      </w:pPr>
      <w:bookmarkStart w:name="_bookmark1602" w:id="1604"/>
      <w:bookmarkEnd w:id="1604"/>
      <w:r>
        <w:rPr/>
      </w:r>
      <w:hyperlink w:history="true" w:anchor="_bookmark1582">
        <w:r>
          <w:rPr>
            <w:color w:val="005DA1"/>
            <w:spacing w:val="-4"/>
            <w:position w:val="5"/>
            <w:sz w:val="14"/>
            <w:u w:val="single" w:color="005DA1"/>
          </w:rPr>
          <w:t>850</w:t>
        </w:r>
      </w:hyperlink>
      <w:r>
        <w:rPr>
          <w:spacing w:val="-4"/>
          <w:position w:val="5"/>
          <w:sz w:val="14"/>
        </w:rPr>
        <w:t>.</w:t>
      </w:r>
      <w:r>
        <w:rPr>
          <w:position w:val="5"/>
          <w:sz w:val="14"/>
        </w:rPr>
        <w:tab/>
      </w:r>
      <w:r>
        <w:rPr/>
        <w:t>Land</w:t>
      </w:r>
      <w:r>
        <w:rPr>
          <w:spacing w:val="31"/>
        </w:rPr>
        <w:t> </w:t>
      </w:r>
      <w:r>
        <w:rPr/>
        <w:t>Registration</w:t>
      </w:r>
      <w:r>
        <w:rPr>
          <w:spacing w:val="31"/>
        </w:rPr>
        <w:t> </w:t>
      </w:r>
      <w:r>
        <w:rPr/>
        <w:t>Act</w:t>
      </w:r>
      <w:r>
        <w:rPr>
          <w:spacing w:val="31"/>
        </w:rPr>
        <w:t> </w:t>
      </w:r>
      <w:r>
        <w:rPr/>
        <w:t>2002</w:t>
      </w:r>
      <w:r>
        <w:rPr>
          <w:spacing w:val="31"/>
        </w:rPr>
        <w:t> </w:t>
      </w:r>
      <w:r>
        <w:rPr/>
        <w:t>(Commencement</w:t>
      </w:r>
      <w:r>
        <w:rPr>
          <w:spacing w:val="31"/>
        </w:rPr>
        <w:t> </w:t>
      </w:r>
      <w:r>
        <w:rPr/>
        <w:t>No.4)</w:t>
      </w:r>
      <w:r>
        <w:rPr>
          <w:spacing w:val="31"/>
        </w:rPr>
        <w:t> </w:t>
      </w:r>
      <w:r>
        <w:rPr/>
        <w:t>Order</w:t>
      </w:r>
      <w:r>
        <w:rPr>
          <w:spacing w:val="31"/>
        </w:rPr>
        <w:t> </w:t>
      </w:r>
      <w:r>
        <w:rPr/>
        <w:t>2003</w:t>
      </w:r>
      <w:r>
        <w:rPr>
          <w:spacing w:val="31"/>
        </w:rPr>
        <w:t> </w:t>
      </w:r>
      <w:r>
        <w:rPr/>
        <w:t>(SI</w:t>
      </w:r>
      <w:r>
        <w:rPr>
          <w:spacing w:val="31"/>
        </w:rPr>
        <w:t> </w:t>
      </w:r>
      <w:r>
        <w:rPr/>
        <w:t>2003/1725)</w:t>
      </w:r>
      <w:r>
        <w:rPr>
          <w:spacing w:val="31"/>
        </w:rPr>
        <w:t> </w:t>
      </w:r>
      <w:r>
        <w:rPr/>
        <w:t>brought</w:t>
      </w:r>
      <w:r>
        <w:rPr>
          <w:spacing w:val="31"/>
        </w:rPr>
        <w:t> </w:t>
      </w:r>
      <w:r>
        <w:rPr/>
        <w:t>this provision into force on October 13, 2003.</w:t>
      </w:r>
    </w:p>
    <w:p>
      <w:pPr>
        <w:pStyle w:val="BodyText"/>
        <w:spacing w:after="0" w:line="235" w:lineRule="auto"/>
        <w:sectPr>
          <w:type w:val="continuous"/>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1583">
        <w:r>
          <w:rPr>
            <w:color w:val="005DA1"/>
            <w:spacing w:val="-4"/>
            <w:sz w:val="14"/>
            <w:u w:val="single" w:color="005DA1"/>
          </w:rPr>
          <w:t>851</w:t>
        </w:r>
      </w:hyperlink>
      <w:r>
        <w:rPr>
          <w:spacing w:val="-4"/>
          <w:sz w:val="14"/>
        </w:rPr>
        <w:t>.</w:t>
      </w:r>
    </w:p>
    <w:p>
      <w:pPr>
        <w:spacing w:line="240" w:lineRule="auto" w:before="56"/>
        <w:rPr>
          <w:sz w:val="20"/>
        </w:rPr>
      </w:pPr>
      <w:r>
        <w:rPr/>
        <w:br w:type="column"/>
      </w:r>
      <w:r>
        <w:rPr>
          <w:sz w:val="20"/>
        </w:rPr>
      </w:r>
    </w:p>
    <w:p>
      <w:pPr>
        <w:pStyle w:val="BodyText"/>
        <w:ind w:left="335"/>
      </w:pPr>
      <w:r>
        <w:rPr/>
        <w:drawing>
          <wp:anchor distT="0" distB="0" distL="0" distR="0" allowOverlap="1" layoutInCell="1" locked="0" behindDoc="0" simplePos="0" relativeHeight="15821824">
            <wp:simplePos x="0" y="0"/>
            <wp:positionH relativeFrom="page">
              <wp:posOffset>1257846</wp:posOffset>
            </wp:positionH>
            <wp:positionV relativeFrom="paragraph">
              <wp:posOffset>28443</wp:posOffset>
            </wp:positionV>
            <wp:extent cx="107988" cy="107988"/>
            <wp:effectExtent l="0" t="0" r="0" b="0"/>
            <wp:wrapNone/>
            <wp:docPr id="393" name="Image 393"/>
            <wp:cNvGraphicFramePr>
              <a:graphicFrameLocks/>
            </wp:cNvGraphicFramePr>
            <a:graphic>
              <a:graphicData uri="http://schemas.openxmlformats.org/drawingml/2006/picture">
                <pic:pic>
                  <pic:nvPicPr>
                    <pic:cNvPr id="393" name="Image 393"/>
                    <pic:cNvPicPr/>
                  </pic:nvPicPr>
                  <pic:blipFill>
                    <a:blip r:embed="rId6" cstate="print"/>
                    <a:stretch>
                      <a:fillRect/>
                    </a:stretch>
                  </pic:blipFill>
                  <pic:spPr>
                    <a:xfrm>
                      <a:off x="0" y="0"/>
                      <a:ext cx="107988" cy="107988"/>
                    </a:xfrm>
                    <a:prstGeom prst="rect">
                      <a:avLst/>
                    </a:prstGeom>
                  </pic:spPr>
                </pic:pic>
              </a:graphicData>
            </a:graphic>
          </wp:anchor>
        </w:drawing>
      </w:r>
      <w:r>
        <w:rPr/>
        <w:t>The relevant dispositions are specified by the Land Registration Act 2002 </w:t>
      </w:r>
      <w:r>
        <w:rPr>
          <w:spacing w:val="-2"/>
        </w:rPr>
        <w:t>s.91(2).</w:t>
      </w:r>
    </w:p>
    <w:p>
      <w:pPr>
        <w:pStyle w:val="BodyText"/>
        <w:spacing w:after="0"/>
        <w:sectPr>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spacing w:before="1"/>
        <w:ind w:left="165"/>
      </w:pPr>
      <w:bookmarkStart w:name="_bookmark1603" w:id="1605"/>
      <w:bookmarkEnd w:id="1605"/>
      <w:r>
        <w:rPr/>
      </w:r>
      <w:hyperlink w:history="true" w:anchor="_bookmark1584">
        <w:r>
          <w:rPr>
            <w:color w:val="005DA1"/>
            <w:spacing w:val="-4"/>
            <w:position w:val="5"/>
            <w:sz w:val="14"/>
            <w:u w:val="single" w:color="005DA1"/>
          </w:rPr>
          <w:t>852</w:t>
        </w:r>
      </w:hyperlink>
      <w:r>
        <w:rPr>
          <w:spacing w:val="-4"/>
          <w:position w:val="5"/>
          <w:sz w:val="14"/>
        </w:rPr>
        <w:t>.</w:t>
      </w:r>
      <w:r>
        <w:rPr>
          <w:position w:val="5"/>
          <w:sz w:val="14"/>
        </w:rPr>
        <w:tab/>
      </w:r>
      <w:r>
        <w:rPr/>
        <w:t>Land Registration Act 2002 </w:t>
      </w:r>
      <w:r>
        <w:rPr>
          <w:spacing w:val="-2"/>
        </w:rPr>
        <w:t>s.91(3).</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604" w:id="1606"/>
      <w:bookmarkEnd w:id="1606"/>
      <w:r>
        <w:rPr/>
      </w:r>
      <w:hyperlink w:history="true" w:anchor="_bookmark1585">
        <w:r>
          <w:rPr>
            <w:color w:val="005DA1"/>
            <w:spacing w:val="-4"/>
            <w:sz w:val="14"/>
            <w:u w:val="single" w:color="005DA1"/>
          </w:rPr>
          <w:t>853</w:t>
        </w:r>
      </w:hyperlink>
      <w:r>
        <w:rPr>
          <w:spacing w:val="-4"/>
          <w:sz w:val="14"/>
        </w:rPr>
        <w:t>.</w:t>
      </w:r>
    </w:p>
    <w:p>
      <w:pPr>
        <w:pStyle w:val="BodyText"/>
        <w:spacing w:line="235" w:lineRule="auto" w:before="212"/>
        <w:ind w:left="165" w:right="167" w:firstLine="170"/>
        <w:jc w:val="both"/>
      </w:pPr>
      <w:r>
        <w:rPr/>
        <w:br w:type="column"/>
      </w:r>
      <w:r>
        <w:rPr/>
        <w:t>See Smith, </w:t>
      </w:r>
      <w:r>
        <w:rPr>
          <w:rFonts w:ascii="Arial" w:hAnsi="Arial"/>
          <w:i/>
        </w:rPr>
        <w:t>Property Law</w:t>
      </w:r>
      <w:r>
        <w:rPr/>
        <w:t>, 8th edn (2014), pp.113–115 discussing the Land Registration </w:t>
      </w:r>
      <w:r>
        <w:rPr/>
        <w:t>Act 2002 and noting that in 2011 the Land Registry halted the e-conveyancing project: Land Registry Annual Report and Accounts 2010–2011, p.26; Megarry and Wade, </w:t>
      </w:r>
      <w:r>
        <w:rPr>
          <w:rFonts w:ascii="Arial" w:hAnsi="Arial"/>
          <w:i/>
        </w:rPr>
        <w:t>The Law of Real Property </w:t>
      </w:r>
      <w:r>
        <w:rPr/>
        <w:t>8th edn (2012) by Harpum, Bridge and Dixon, paras 7-157–7-163. See further Law Commission, Updating the Land Registration Act 2002, A Consultation Paper (Consultation Paper</w:t>
      </w:r>
      <w:r>
        <w:rPr>
          <w:spacing w:val="-1"/>
        </w:rPr>
        <w:t> </w:t>
      </w:r>
      <w:r>
        <w:rPr/>
        <w:t>No.227,</w:t>
      </w:r>
      <w:r>
        <w:rPr>
          <w:spacing w:val="-1"/>
        </w:rPr>
        <w:t> </w:t>
      </w:r>
      <w:r>
        <w:rPr/>
        <w:t>2016),</w:t>
      </w:r>
      <w:r>
        <w:rPr>
          <w:spacing w:val="-1"/>
        </w:rPr>
        <w:t> </w:t>
      </w:r>
      <w:r>
        <w:rPr/>
        <w:t>Pt</w:t>
      </w:r>
      <w:r>
        <w:rPr>
          <w:spacing w:val="-1"/>
        </w:rPr>
        <w:t> </w:t>
      </w:r>
      <w:r>
        <w:rPr/>
        <w:t>8,</w:t>
      </w:r>
      <w:r>
        <w:rPr>
          <w:spacing w:val="-1"/>
        </w:rPr>
        <w:t> </w:t>
      </w:r>
      <w:r>
        <w:rPr/>
        <w:t>which</w:t>
      </w:r>
      <w:r>
        <w:rPr>
          <w:spacing w:val="-1"/>
        </w:rPr>
        <w:t> </w:t>
      </w:r>
      <w:r>
        <w:rPr/>
        <w:t>notes</w:t>
      </w:r>
      <w:r>
        <w:rPr>
          <w:spacing w:val="-1"/>
        </w:rPr>
        <w:t> </w:t>
      </w:r>
      <w:r>
        <w:rPr/>
        <w:t>(at</w:t>
      </w:r>
      <w:r>
        <w:rPr>
          <w:spacing w:val="-1"/>
        </w:rPr>
        <w:t> </w:t>
      </w:r>
      <w:r>
        <w:rPr/>
        <w:t>para.20.6)</w:t>
      </w:r>
      <w:r>
        <w:rPr>
          <w:spacing w:val="-1"/>
        </w:rPr>
        <w:t> </w:t>
      </w:r>
      <w:r>
        <w:rPr/>
        <w:t>that</w:t>
      </w:r>
      <w:r>
        <w:rPr>
          <w:spacing w:val="-1"/>
        </w:rPr>
        <w:t> </w:t>
      </w:r>
      <w:r>
        <w:rPr/>
        <w:t>the</w:t>
      </w:r>
      <w:r>
        <w:rPr>
          <w:spacing w:val="-1"/>
        </w:rPr>
        <w:t> </w:t>
      </w:r>
      <w:r>
        <w:rPr/>
        <w:t>electronic</w:t>
      </w:r>
      <w:r>
        <w:rPr>
          <w:spacing w:val="-1"/>
        </w:rPr>
        <w:t> </w:t>
      </w:r>
      <w:r>
        <w:rPr/>
        <w:t>system</w:t>
      </w:r>
      <w:r>
        <w:rPr>
          <w:spacing w:val="-1"/>
        </w:rPr>
        <w:t> </w:t>
      </w:r>
      <w:r>
        <w:rPr/>
        <w:t>provided</w:t>
      </w:r>
      <w:r>
        <w:rPr>
          <w:spacing w:val="-1"/>
        </w:rPr>
        <w:t> </w:t>
      </w:r>
      <w:r>
        <w:rPr/>
        <w:t>for</w:t>
      </w:r>
      <w:r>
        <w:rPr>
          <w:spacing w:val="-1"/>
        </w:rPr>
        <w:t> </w:t>
      </w:r>
      <w:r>
        <w:rPr/>
        <w:t>by Pt 8 of the 2002 Act which would have implemented the model which it had earlier recommended has not been developed, and instead makes recommendations for a “new vision for electronic conveyancing” (at para.20.11).</w:t>
      </w:r>
    </w:p>
    <w:p>
      <w:pPr>
        <w:pStyle w:val="BodyText"/>
        <w:spacing w:before="190"/>
      </w:pPr>
    </w:p>
    <w:p>
      <w:pPr>
        <w:spacing w:before="0"/>
        <w:ind w:left="0" w:right="544" w:firstLine="0"/>
        <w:jc w:val="center"/>
        <w:rPr>
          <w:sz w:val="14"/>
        </w:rPr>
      </w:pPr>
      <w:r>
        <w:rPr>
          <w:sz w:val="14"/>
        </w:rPr>
        <w:drawing>
          <wp:anchor distT="0" distB="0" distL="0" distR="0" allowOverlap="1" layoutInCell="1" locked="0" behindDoc="0" simplePos="0" relativeHeight="15822336">
            <wp:simplePos x="0" y="0"/>
            <wp:positionH relativeFrom="page">
              <wp:posOffset>1257846</wp:posOffset>
            </wp:positionH>
            <wp:positionV relativeFrom="paragraph">
              <wp:posOffset>-1528791</wp:posOffset>
            </wp:positionV>
            <wp:extent cx="107988" cy="107988"/>
            <wp:effectExtent l="0" t="0" r="0" b="0"/>
            <wp:wrapNone/>
            <wp:docPr id="394" name="Image 394"/>
            <wp:cNvGraphicFramePr>
              <a:graphicFrameLocks/>
            </wp:cNvGraphicFramePr>
            <a:graphic>
              <a:graphicData uri="http://schemas.openxmlformats.org/drawingml/2006/picture">
                <pic:pic>
                  <pic:nvPicPr>
                    <pic:cNvPr id="394" name="Image 394"/>
                    <pic:cNvPicPr/>
                  </pic:nvPicPr>
                  <pic:blipFill>
                    <a:blip r:embed="rId6"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6. - Contracts Contained in </w:t>
      </w:r>
      <w:r>
        <w:rPr>
          <w:rFonts w:ascii="Arial"/>
          <w:b/>
          <w:spacing w:val="-2"/>
          <w:sz w:val="24"/>
        </w:rPr>
        <w:t>Deeds</w:t>
      </w:r>
    </w:p>
    <w:p>
      <w:pPr>
        <w:spacing w:before="194"/>
        <w:ind w:left="2791" w:right="0" w:firstLine="0"/>
        <w:jc w:val="left"/>
        <w:rPr>
          <w:rFonts w:ascii="Arial"/>
          <w:b/>
          <w:sz w:val="24"/>
        </w:rPr>
      </w:pPr>
      <w:r>
        <w:rPr>
          <w:rFonts w:ascii="Arial"/>
          <w:b/>
          <w:sz w:val="24"/>
        </w:rPr>
        <w:t>(b) - Intention, Form and </w:t>
      </w:r>
      <w:r>
        <w:rPr>
          <w:rFonts w:ascii="Arial"/>
          <w:b/>
          <w:spacing w:val="-2"/>
          <w:sz w:val="24"/>
        </w:rPr>
        <w:t>Delivery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Introduction</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117</w:t>
      </w:r>
    </w:p>
    <w:p>
      <w:pPr>
        <w:pStyle w:val="BodyText"/>
        <w:spacing w:line="235" w:lineRule="auto" w:before="202"/>
        <w:ind w:left="164" w:right="167"/>
        <w:jc w:val="both"/>
      </w:pPr>
      <w:r>
        <w:rPr/>
        <w:t>The following paragraphs will explain first the law as amended by the legislation in 1989 and </w:t>
      </w:r>
      <w:r>
        <w:rPr/>
        <w:t>then </w:t>
      </w:r>
      <w:bookmarkStart w:name="_bookmark1605" w:id="1607"/>
      <w:bookmarkEnd w:id="1607"/>
      <w:r>
        <w:rPr/>
        <w:t>explain</w:t>
      </w:r>
      <w:r>
        <w:rPr/>
        <w:t> how this position was affected by the 2005 Order, though it is to be noted that the position of charitable corporations differs again. </w:t>
      </w:r>
      <w:r>
        <w:rPr>
          <w:color w:val="005DA1"/>
          <w:u w:val="single" w:color="005DA1"/>
          <w:vertAlign w:val="superscript"/>
        </w:rPr>
        <w:t>854</w:t>
      </w:r>
      <w:r>
        <w:rPr>
          <w:color w:val="005DA1"/>
          <w:vertAlign w:val="baseline"/>
        </w:rPr>
        <w:t> </w:t>
      </w:r>
      <w:r>
        <w:rPr>
          <w:vertAlign w:val="baseline"/>
        </w:rPr>
        <w:t>There will then follow a discussion of certain aspects of the requirements of form and of delivery which apply to deeds whenever executed.</w:t>
      </w:r>
    </w:p>
    <w:p>
      <w:pPr>
        <w:pStyle w:val="BodyText"/>
      </w:pPr>
    </w:p>
    <w:p>
      <w:pPr>
        <w:pStyle w:val="BodyText"/>
        <w:spacing w:before="38"/>
      </w:pPr>
      <w:r>
        <w:rPr/>
        <mc:AlternateContent>
          <mc:Choice Requires="wps">
            <w:drawing>
              <wp:anchor distT="0" distB="0" distL="0" distR="0" allowOverlap="1" layoutInCell="1" locked="0" behindDoc="1" simplePos="0" relativeHeight="487682048">
                <wp:simplePos x="0" y="0"/>
                <wp:positionH relativeFrom="page">
                  <wp:posOffset>914400</wp:posOffset>
                </wp:positionH>
                <wp:positionV relativeFrom="paragraph">
                  <wp:posOffset>185996</wp:posOffset>
                </wp:positionV>
                <wp:extent cx="5724525" cy="1270"/>
                <wp:effectExtent l="0" t="0" r="0" b="0"/>
                <wp:wrapTopAndBottom/>
                <wp:docPr id="396" name="Graphic 396"/>
                <wp:cNvGraphicFramePr>
                  <a:graphicFrameLocks/>
                </wp:cNvGraphicFramePr>
                <a:graphic>
                  <a:graphicData uri="http://schemas.microsoft.com/office/word/2010/wordprocessingShape">
                    <wps:wsp>
                      <wps:cNvPr id="396" name="Graphic 39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5398pt;width:450.75pt;height:.1pt;mso-position-horizontal-relative:page;mso-position-vertical-relative:paragraph;z-index:-15634432;mso-wrap-distance-left:0;mso-wrap-distance-right:0" id="docshape55"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bookmarkStart w:name="_bookmark1606" w:id="1608"/>
      <w:bookmarkEnd w:id="1608"/>
      <w:r>
        <w:rPr/>
      </w:r>
      <w:hyperlink w:history="true" w:anchor="_bookmark1605">
        <w:r>
          <w:rPr>
            <w:color w:val="005DA1"/>
            <w:position w:val="5"/>
            <w:sz w:val="14"/>
            <w:u w:val="single" w:color="005DA1"/>
          </w:rPr>
          <w:t>854</w:t>
        </w:r>
      </w:hyperlink>
      <w:r>
        <w:rPr>
          <w:position w:val="5"/>
          <w:sz w:val="14"/>
        </w:rPr>
        <w:t>.</w:t>
      </w:r>
      <w:r>
        <w:rPr>
          <w:spacing w:val="40"/>
          <w:position w:val="5"/>
          <w:sz w:val="14"/>
        </w:rPr>
        <w:t>  </w:t>
      </w:r>
      <w:r>
        <w:rPr/>
        <w:t>Below, para.1-120. It is also to be noted that the relevant provisions of the Companies Act </w:t>
      </w:r>
      <w:r>
        <w:rPr/>
        <w:t>1989 which were amended in 2005 were then replaced by the Companies Act 2006, though without substantive changes. The notes to the following paragraphs explain these sets of legislative </w:t>
      </w:r>
      <w:r>
        <w:rPr>
          <w:spacing w:val="-2"/>
        </w:rPr>
        <w:t>changes.</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36"/>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6. - Contracts Contained in </w:t>
      </w:r>
      <w:r>
        <w:rPr>
          <w:rFonts w:ascii="Arial"/>
          <w:b/>
          <w:spacing w:val="-2"/>
          <w:sz w:val="24"/>
        </w:rPr>
        <w:t>Deeds</w:t>
      </w:r>
    </w:p>
    <w:p>
      <w:pPr>
        <w:spacing w:before="194"/>
        <w:ind w:left="2791" w:right="0" w:firstLine="0"/>
        <w:jc w:val="left"/>
        <w:rPr>
          <w:rFonts w:ascii="Arial"/>
          <w:b/>
          <w:sz w:val="24"/>
        </w:rPr>
      </w:pPr>
      <w:r>
        <w:rPr>
          <w:rFonts w:ascii="Arial"/>
          <w:b/>
          <w:sz w:val="24"/>
        </w:rPr>
        <w:t>(b) - Intention, Form and </w:t>
      </w:r>
      <w:r>
        <w:rPr>
          <w:rFonts w:ascii="Arial"/>
          <w:b/>
          <w:spacing w:val="-2"/>
          <w:sz w:val="24"/>
        </w:rPr>
        <w:t>Delivery</w:t>
      </w:r>
    </w:p>
    <w:p>
      <w:pPr>
        <w:pStyle w:val="ListParagraph"/>
        <w:numPr>
          <w:ilvl w:val="1"/>
          <w:numId w:val="10"/>
        </w:numPr>
        <w:tabs>
          <w:tab w:pos="596" w:val="left" w:leader="none"/>
          <w:tab w:pos="4405" w:val="left" w:leader="none"/>
        </w:tabs>
        <w:spacing w:line="235" w:lineRule="auto" w:before="199" w:after="0"/>
        <w:ind w:left="4405" w:right="307" w:hanging="4102"/>
        <w:jc w:val="left"/>
        <w:rPr>
          <w:b/>
          <w:sz w:val="24"/>
        </w:rPr>
      </w:pPr>
      <w:r>
        <w:rPr>
          <w:b/>
          <w:sz w:val="24"/>
        </w:rPr>
        <w:t>-</w:t>
      </w:r>
      <w:r>
        <w:rPr>
          <w:b/>
          <w:spacing w:val="-3"/>
          <w:sz w:val="24"/>
        </w:rPr>
        <w:t> </w:t>
      </w:r>
      <w:r>
        <w:rPr>
          <w:b/>
          <w:sz w:val="24"/>
        </w:rPr>
        <w:t>Deeds</w:t>
      </w:r>
      <w:r>
        <w:rPr>
          <w:b/>
          <w:spacing w:val="-3"/>
          <w:sz w:val="24"/>
        </w:rPr>
        <w:t> </w:t>
      </w:r>
      <w:r>
        <w:rPr>
          <w:b/>
          <w:sz w:val="24"/>
        </w:rPr>
        <w:t>executed</w:t>
      </w:r>
      <w:r>
        <w:rPr>
          <w:b/>
          <w:spacing w:val="-3"/>
          <w:sz w:val="24"/>
        </w:rPr>
        <w:t> </w:t>
      </w:r>
      <w:r>
        <w:rPr>
          <w:b/>
          <w:sz w:val="24"/>
        </w:rPr>
        <w:t>on</w:t>
      </w:r>
      <w:r>
        <w:rPr>
          <w:b/>
          <w:spacing w:val="-3"/>
          <w:sz w:val="24"/>
        </w:rPr>
        <w:t> </w:t>
      </w:r>
      <w:r>
        <w:rPr>
          <w:b/>
          <w:sz w:val="24"/>
        </w:rPr>
        <w:t>or</w:t>
      </w:r>
      <w:r>
        <w:rPr>
          <w:b/>
          <w:spacing w:val="-3"/>
          <w:sz w:val="24"/>
        </w:rPr>
        <w:t> </w:t>
      </w:r>
      <w:r>
        <w:rPr>
          <w:b/>
          <w:sz w:val="24"/>
        </w:rPr>
        <w:t>after</w:t>
      </w:r>
      <w:r>
        <w:rPr>
          <w:b/>
          <w:spacing w:val="-3"/>
          <w:sz w:val="24"/>
        </w:rPr>
        <w:t> </w:t>
      </w:r>
      <w:r>
        <w:rPr>
          <w:b/>
          <w:sz w:val="24"/>
        </w:rPr>
        <w:t>July</w:t>
      </w:r>
      <w:r>
        <w:rPr>
          <w:b/>
          <w:spacing w:val="-3"/>
          <w:sz w:val="24"/>
        </w:rPr>
        <w:t> </w:t>
      </w:r>
      <w:r>
        <w:rPr>
          <w:b/>
          <w:sz w:val="24"/>
        </w:rPr>
        <w:t>31,</w:t>
      </w:r>
      <w:r>
        <w:rPr>
          <w:b/>
          <w:spacing w:val="-3"/>
          <w:sz w:val="24"/>
        </w:rPr>
        <w:t> </w:t>
      </w:r>
      <w:r>
        <w:rPr>
          <w:b/>
          <w:sz w:val="24"/>
        </w:rPr>
        <w:t>1989</w:t>
      </w:r>
      <w:r>
        <w:rPr>
          <w:b/>
          <w:spacing w:val="-3"/>
          <w:sz w:val="24"/>
        </w:rPr>
        <w:t> </w:t>
      </w:r>
      <w:r>
        <w:rPr>
          <w:b/>
          <w:sz w:val="24"/>
        </w:rPr>
        <w:t>and</w:t>
      </w:r>
      <w:r>
        <w:rPr>
          <w:b/>
          <w:spacing w:val="-3"/>
          <w:sz w:val="24"/>
        </w:rPr>
        <w:t> </w:t>
      </w:r>
      <w:r>
        <w:rPr>
          <w:b/>
          <w:sz w:val="24"/>
        </w:rPr>
        <w:t>before</w:t>
      </w:r>
      <w:r>
        <w:rPr>
          <w:b/>
          <w:spacing w:val="-3"/>
          <w:sz w:val="24"/>
        </w:rPr>
        <w:t> </w:t>
      </w:r>
      <w:r>
        <w:rPr>
          <w:b/>
          <w:sz w:val="24"/>
        </w:rPr>
        <w:t>or</w:t>
      </w:r>
      <w:r>
        <w:rPr>
          <w:b/>
          <w:spacing w:val="-3"/>
          <w:sz w:val="24"/>
        </w:rPr>
        <w:t> </w:t>
      </w:r>
      <w:r>
        <w:rPr>
          <w:b/>
          <w:sz w:val="24"/>
        </w:rPr>
        <w:t>on</w:t>
      </w:r>
      <w:r>
        <w:rPr>
          <w:b/>
          <w:spacing w:val="-3"/>
          <w:sz w:val="24"/>
        </w:rPr>
        <w:t> </w:t>
      </w:r>
      <w:r>
        <w:rPr>
          <w:b/>
          <w:sz w:val="24"/>
        </w:rPr>
        <w:t>September</w:t>
      </w:r>
      <w:r>
        <w:rPr>
          <w:b/>
          <w:spacing w:val="-3"/>
          <w:sz w:val="24"/>
        </w:rPr>
        <w:t> </w:t>
      </w:r>
      <w:r>
        <w:rPr>
          <w:b/>
          <w:sz w:val="24"/>
        </w:rPr>
        <w:t>14, </w:t>
      </w:r>
      <w:r>
        <w:rPr>
          <w:b/>
          <w:spacing w:val="-4"/>
          <w:sz w:val="24"/>
        </w:rPr>
        <w:t>2005</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Deeds executed by an </w:t>
      </w:r>
      <w:r>
        <w:rPr>
          <w:rFonts w:ascii="Arial"/>
          <w:b/>
          <w:spacing w:val="-2"/>
          <w:sz w:val="18"/>
        </w:rPr>
        <w:t>individual</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118</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0"/>
        </w:rPr>
        <w:t> </w:t>
      </w:r>
      <w:r>
        <w:rPr/>
        <w:t>The law introduced by the Law of Property (Miscellaneous Provisions) Act 1989 s.1 requires </w:t>
      </w:r>
      <w:r>
        <w:rPr/>
        <w:t>that</w:t>
      </w:r>
      <w:r>
        <w:rPr>
          <w:spacing w:val="40"/>
        </w:rPr>
        <w:t> </w:t>
      </w:r>
      <w:r>
        <w:rPr/>
        <w:t>for an instrument made by an individual to be a deed, it must make:</w:t>
      </w:r>
    </w:p>
    <w:p>
      <w:pPr>
        <w:pStyle w:val="BodyText"/>
      </w:pPr>
    </w:p>
    <w:p>
      <w:pPr>
        <w:pStyle w:val="BodyText"/>
        <w:spacing w:before="126"/>
      </w:pPr>
    </w:p>
    <w:p>
      <w:pPr>
        <w:pStyle w:val="BodyText"/>
        <w:spacing w:line="235" w:lineRule="auto"/>
        <w:ind w:left="1245" w:right="167"/>
        <w:jc w:val="both"/>
      </w:pPr>
      <w:r>
        <w:rPr/>
        <w:t>“… clear on its face that it is intended to be a deed by the person making it or, as </w:t>
      </w:r>
      <w:r>
        <w:rPr/>
        <w:t>the</w:t>
      </w:r>
      <w:r>
        <w:rPr>
          <w:spacing w:val="40"/>
        </w:rPr>
        <w:t> </w:t>
      </w:r>
      <w:bookmarkStart w:name="_bookmark1607" w:id="1609"/>
      <w:bookmarkEnd w:id="1609"/>
      <w:r>
        <w:rPr/>
        <w:t>case</w:t>
      </w:r>
      <w:r>
        <w:rPr/>
        <w:t> may be, by the parties to it (whether by describing itself as a deed or expressing itself to be executed or signed as a deed or otherwise).” </w:t>
      </w:r>
      <w:r>
        <w:rPr>
          <w:color w:val="005DA1"/>
          <w:u w:val="single" w:color="005DA1"/>
          <w:vertAlign w:val="superscript"/>
        </w:rPr>
        <w:t>855</w:t>
      </w:r>
    </w:p>
    <w:p>
      <w:pPr>
        <w:pStyle w:val="BodyText"/>
        <w:spacing w:before="112"/>
      </w:pPr>
    </w:p>
    <w:p>
      <w:pPr>
        <w:pStyle w:val="BodyText"/>
        <w:ind w:left="165"/>
        <w:jc w:val="both"/>
      </w:pPr>
      <w:r>
        <w:rPr/>
        <w:t>It has been observed </w:t>
      </w:r>
      <w:r>
        <w:rPr>
          <w:spacing w:val="-2"/>
        </w:rPr>
        <w:t>that:</w:t>
      </w:r>
    </w:p>
    <w:p>
      <w:pPr>
        <w:pStyle w:val="BodyText"/>
      </w:pPr>
    </w:p>
    <w:p>
      <w:pPr>
        <w:pStyle w:val="BodyText"/>
        <w:spacing w:before="126"/>
      </w:pPr>
    </w:p>
    <w:p>
      <w:pPr>
        <w:pStyle w:val="BodyText"/>
        <w:spacing w:line="235" w:lineRule="auto"/>
        <w:ind w:left="1245" w:right="167"/>
        <w:jc w:val="both"/>
      </w:pPr>
      <w:r>
        <w:rPr/>
        <w:t>“… the Act provides that documents can be deeds without using the word ‘deed’; but … </w:t>
      </w:r>
      <w:bookmarkStart w:name="_bookmark1608" w:id="1610"/>
      <w:bookmarkEnd w:id="1610"/>
      <w:r>
        <w:rPr/>
        <w:t>that</w:t>
      </w:r>
      <w:r>
        <w:rPr/>
        <w:t> a document is only to be held to be a deed if it is clear from the wording of </w:t>
      </w:r>
      <w:r>
        <w:rPr/>
        <w:t>the document itself (‘on its face’) that it was intended to be a deed.” </w:t>
      </w:r>
      <w:r>
        <w:rPr>
          <w:color w:val="005DA1"/>
          <w:u w:val="single" w:color="005DA1"/>
          <w:vertAlign w:val="superscript"/>
        </w:rPr>
        <w:t>856</w:t>
      </w:r>
    </w:p>
    <w:p>
      <w:pPr>
        <w:pStyle w:val="BodyText"/>
        <w:spacing w:before="115"/>
      </w:pPr>
    </w:p>
    <w:p>
      <w:pPr>
        <w:pStyle w:val="BodyText"/>
        <w:spacing w:line="235" w:lineRule="auto" w:before="1"/>
        <w:ind w:left="165" w:right="167"/>
        <w:jc w:val="both"/>
      </w:pPr>
      <w:r>
        <w:rPr/>
        <w:t>As</w:t>
      </w:r>
      <w:r>
        <w:rPr>
          <w:spacing w:val="-1"/>
        </w:rPr>
        <w:t> </w:t>
      </w:r>
      <w:r>
        <w:rPr/>
        <w:t>a</w:t>
      </w:r>
      <w:r>
        <w:rPr>
          <w:spacing w:val="-1"/>
        </w:rPr>
        <w:t> </w:t>
      </w:r>
      <w:r>
        <w:rPr/>
        <w:t>result,</w:t>
      </w:r>
      <w:r>
        <w:rPr>
          <w:spacing w:val="-1"/>
        </w:rPr>
        <w:t> </w:t>
      </w:r>
      <w:r>
        <w:rPr/>
        <w:t>words</w:t>
      </w:r>
      <w:r>
        <w:rPr>
          <w:spacing w:val="-1"/>
        </w:rPr>
        <w:t> </w:t>
      </w:r>
      <w:r>
        <w:rPr/>
        <w:t>which</w:t>
      </w:r>
      <w:r>
        <w:rPr>
          <w:spacing w:val="-1"/>
        </w:rPr>
        <w:t> </w:t>
      </w:r>
      <w:r>
        <w:rPr/>
        <w:t>indicate</w:t>
      </w:r>
      <w:r>
        <w:rPr>
          <w:spacing w:val="-1"/>
        </w:rPr>
        <w:t> </w:t>
      </w:r>
      <w:r>
        <w:rPr/>
        <w:t>an</w:t>
      </w:r>
      <w:r>
        <w:rPr>
          <w:spacing w:val="-1"/>
        </w:rPr>
        <w:t> </w:t>
      </w:r>
      <w:r>
        <w:rPr/>
        <w:t>intention</w:t>
      </w:r>
      <w:r>
        <w:rPr>
          <w:spacing w:val="-1"/>
        </w:rPr>
        <w:t> </w:t>
      </w:r>
      <w:r>
        <w:rPr/>
        <w:t>by</w:t>
      </w:r>
      <w:r>
        <w:rPr>
          <w:spacing w:val="-1"/>
        </w:rPr>
        <w:t> </w:t>
      </w:r>
      <w:r>
        <w:rPr/>
        <w:t>the</w:t>
      </w:r>
      <w:r>
        <w:rPr>
          <w:spacing w:val="-1"/>
        </w:rPr>
        <w:t> </w:t>
      </w:r>
      <w:r>
        <w:rPr/>
        <w:t>parties</w:t>
      </w:r>
      <w:r>
        <w:rPr>
          <w:spacing w:val="-1"/>
        </w:rPr>
        <w:t> </w:t>
      </w:r>
      <w:r>
        <w:rPr/>
        <w:t>that</w:t>
      </w:r>
      <w:r>
        <w:rPr>
          <w:spacing w:val="-1"/>
        </w:rPr>
        <w:t> </w:t>
      </w:r>
      <w:r>
        <w:rPr/>
        <w:t>a</w:t>
      </w:r>
      <w:r>
        <w:rPr>
          <w:spacing w:val="-1"/>
        </w:rPr>
        <w:t> </w:t>
      </w:r>
      <w:r>
        <w:rPr/>
        <w:t>document</w:t>
      </w:r>
      <w:r>
        <w:rPr>
          <w:spacing w:val="-1"/>
        </w:rPr>
        <w:t> </w:t>
      </w:r>
      <w:r>
        <w:rPr/>
        <w:t>should</w:t>
      </w:r>
      <w:r>
        <w:rPr>
          <w:spacing w:val="-1"/>
        </w:rPr>
        <w:t> </w:t>
      </w:r>
      <w:r>
        <w:rPr/>
        <w:t>be</w:t>
      </w:r>
      <w:r>
        <w:rPr>
          <w:spacing w:val="-1"/>
        </w:rPr>
        <w:t> </w:t>
      </w:r>
      <w:r>
        <w:rPr/>
        <w:t>legally</w:t>
      </w:r>
      <w:r>
        <w:rPr>
          <w:spacing w:val="-1"/>
        </w:rPr>
        <w:t> </w:t>
      </w:r>
      <w:r>
        <w:rPr/>
        <w:t>binding </w:t>
      </w:r>
      <w:bookmarkStart w:name="_bookmark1609" w:id="1611"/>
      <w:bookmarkEnd w:id="1611"/>
      <w:r>
        <w:rPr/>
        <w:t>are</w:t>
      </w:r>
      <w:r>
        <w:rPr/>
        <w:t> not enough: “what is needed is something showing that the parties intended the document to</w:t>
      </w:r>
      <w:r>
        <w:rPr>
          <w:spacing w:val="80"/>
        </w:rPr>
        <w:t> </w:t>
      </w:r>
      <w:r>
        <w:rPr/>
        <w:t>have the extra status of being a deed”. </w:t>
      </w:r>
      <w:r>
        <w:rPr>
          <w:color w:val="005DA1"/>
          <w:u w:val="single" w:color="005DA1"/>
          <w:vertAlign w:val="superscript"/>
        </w:rPr>
        <w:t>857</w:t>
      </w:r>
      <w:r>
        <w:rPr>
          <w:color w:val="005DA1"/>
          <w:vertAlign w:val="baseline"/>
        </w:rPr>
        <w:t> </w:t>
      </w:r>
      <w:r>
        <w:rPr>
          <w:vertAlign w:val="baseline"/>
        </w:rPr>
        <w:t>The 1989 Act also introduced other requirements for the execution of a deed by an individual and preserved an existing one. For an instrument to be </w:t>
      </w:r>
      <w:r>
        <w:rPr>
          <w:vertAlign w:val="baseline"/>
        </w:rPr>
        <w:t>validly executed as a deed, it must be:</w:t>
      </w:r>
    </w:p>
    <w:p>
      <w:pPr>
        <w:pStyle w:val="BodyText"/>
      </w:pPr>
    </w:p>
    <w:p>
      <w:pPr>
        <w:pStyle w:val="BodyText"/>
        <w:spacing w:before="124"/>
      </w:pPr>
    </w:p>
    <w:p>
      <w:pPr>
        <w:pStyle w:val="BodyText"/>
        <w:spacing w:line="235" w:lineRule="auto"/>
        <w:ind w:left="1245" w:right="167"/>
        <w:jc w:val="both"/>
      </w:pPr>
      <w:r>
        <w:rPr/>
        <w:t>“… signed (i) by him in the presence of a witness who attests the signature; or (ii) at his </w:t>
      </w:r>
      <w:bookmarkStart w:name="_bookmark1610" w:id="1612"/>
      <w:bookmarkEnd w:id="1612"/>
      <w:r>
        <w:rPr/>
        <w:t>direction</w:t>
      </w:r>
      <w:r>
        <w:rPr/>
        <w:t> and in his presence and the presence of two witnesses who each attest </w:t>
      </w:r>
      <w:r>
        <w:rPr/>
        <w:t>the signature.” </w:t>
      </w:r>
      <w:r>
        <w:rPr>
          <w:color w:val="005DA1"/>
          <w:u w:val="single" w:color="005DA1"/>
          <w:vertAlign w:val="superscript"/>
        </w:rPr>
        <w:t>858</w:t>
      </w:r>
    </w:p>
    <w:p>
      <w:pPr>
        <w:pStyle w:val="BodyText"/>
      </w:pPr>
    </w:p>
    <w:p>
      <w:pPr>
        <w:pStyle w:val="BodyText"/>
        <w:spacing w:before="6"/>
      </w:pPr>
    </w:p>
    <w:p>
      <w:pPr>
        <w:pStyle w:val="BodyText"/>
        <w:spacing w:line="235" w:lineRule="auto"/>
        <w:ind w:left="165" w:right="167"/>
        <w:jc w:val="both"/>
      </w:pPr>
      <w:bookmarkStart w:name="_bookmark1611" w:id="1613"/>
      <w:bookmarkEnd w:id="1613"/>
      <w:r>
        <w:rPr/>
      </w:r>
      <w:r>
        <w:rPr/>
        <w:t>“Signature” is defined later in the section to include making one’s mark. </w:t>
      </w:r>
      <w:r>
        <w:rPr>
          <w:color w:val="005DA1"/>
          <w:u w:val="single" w:color="005DA1"/>
          <w:vertAlign w:val="superscript"/>
        </w:rPr>
        <w:t>859</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6"/>
          <w:vertAlign w:val="baseline"/>
        </w:rPr>
        <w:t> </w:t>
      </w:r>
      <w:r>
        <w:rPr>
          <w:vertAlign w:val="baseline"/>
        </w:rPr>
        <w:t>The Act specifically </w:t>
      </w:r>
      <w:bookmarkStart w:name="_bookmark1612" w:id="1614"/>
      <w:bookmarkEnd w:id="1614"/>
      <w:r>
        <w:rPr>
          <w:vertAlign w:val="baseline"/>
        </w:rPr>
        <w:t>preserved</w:t>
      </w:r>
      <w:r>
        <w:rPr>
          <w:vertAlign w:val="baseline"/>
        </w:rPr>
        <w:t> the common law requirement that for an instrument to be validly executed as a deed </w:t>
      </w:r>
      <w:r>
        <w:rPr>
          <w:vertAlign w:val="baseline"/>
        </w:rPr>
        <w:t>it</w:t>
      </w:r>
      <w:r>
        <w:rPr>
          <w:spacing w:val="40"/>
          <w:vertAlign w:val="baseline"/>
        </w:rPr>
        <w:t> </w:t>
      </w:r>
      <w:r>
        <w:rPr>
          <w:vertAlign w:val="baseline"/>
        </w:rPr>
        <w:t>must be “delivered” as a deed by him or a person authorised to do so on his behalf. </w:t>
      </w:r>
      <w:r>
        <w:rPr>
          <w:color w:val="005DA1"/>
          <w:u w:val="single" w:color="005DA1"/>
          <w:vertAlign w:val="superscript"/>
        </w:rPr>
        <w:t>860</w:t>
      </w:r>
    </w:p>
    <w:p>
      <w:pPr>
        <w:pStyle w:val="BodyText"/>
      </w:pPr>
    </w:p>
    <w:p>
      <w:pPr>
        <w:pStyle w:val="BodyText"/>
        <w:spacing w:before="37"/>
      </w:pPr>
    </w:p>
    <w:p>
      <w:pPr>
        <w:spacing w:before="1"/>
        <w:ind w:left="165" w:right="0" w:firstLine="0"/>
        <w:jc w:val="both"/>
        <w:rPr>
          <w:rFonts w:ascii="Arial"/>
          <w:b/>
          <w:sz w:val="18"/>
        </w:rPr>
      </w:pPr>
      <w:r>
        <w:rPr>
          <w:rFonts w:ascii="Arial"/>
          <w:b/>
          <w:sz w:val="18"/>
        </w:rPr>
        <w:t>Deeds executed by companies incorporated under the Companies </w:t>
      </w:r>
      <w:r>
        <w:rPr>
          <w:rFonts w:ascii="Arial"/>
          <w:b/>
          <w:spacing w:val="-4"/>
          <w:sz w:val="18"/>
        </w:rPr>
        <w:t>Acts</w:t>
      </w:r>
    </w:p>
    <w:p>
      <w:pPr>
        <w:spacing w:after="0"/>
        <w:jc w:val="both"/>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1-</w:t>
      </w:r>
      <w:r>
        <w:rPr>
          <w:rFonts w:ascii="Arial"/>
          <w:b/>
          <w:spacing w:val="-5"/>
          <w:sz w:val="24"/>
        </w:rPr>
        <w:t>119</w:t>
      </w:r>
    </w:p>
    <w:p>
      <w:pPr>
        <w:pStyle w:val="BodyText"/>
        <w:spacing w:line="235" w:lineRule="auto" w:before="202"/>
        <w:ind w:left="165" w:right="167"/>
        <w:jc w:val="both"/>
      </w:pPr>
      <w:bookmarkStart w:name="_bookmark1613" w:id="1615"/>
      <w:bookmarkEnd w:id="1615"/>
      <w:r>
        <w:rPr/>
      </w:r>
      <w:r>
        <w:rPr/>
        <w:t>In 1989, the law governing the execution of documents and deeds by companies incorporated </w:t>
      </w:r>
      <w:r>
        <w:rPr/>
        <w:t>under </w:t>
      </w:r>
      <w:bookmarkStart w:name="_bookmark1614" w:id="1616"/>
      <w:bookmarkEnd w:id="1616"/>
      <w:r>
        <w:rPr/>
        <w:t>the</w:t>
      </w:r>
      <w:r>
        <w:rPr/>
        <w:t> Companies Acts was amended so as to create a “dual system”. </w:t>
      </w:r>
      <w:r>
        <w:rPr>
          <w:color w:val="005DA1"/>
          <w:u w:val="single" w:color="005DA1"/>
          <w:vertAlign w:val="superscript"/>
        </w:rPr>
        <w:t>861</w:t>
      </w:r>
      <w:r>
        <w:rPr>
          <w:color w:val="005DA1"/>
          <w:vertAlign w:val="baseline"/>
        </w:rPr>
        <w:t> </w:t>
      </w:r>
      <w:r>
        <w:rPr>
          <w:vertAlign w:val="baseline"/>
        </w:rPr>
        <w:t>So, while it preserved the possibility</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company</w:t>
      </w:r>
      <w:r>
        <w:rPr>
          <w:spacing w:val="-1"/>
          <w:vertAlign w:val="baseline"/>
        </w:rPr>
        <w:t> </w:t>
      </w:r>
      <w:r>
        <w:rPr>
          <w:vertAlign w:val="baseline"/>
        </w:rPr>
        <w:t>to</w:t>
      </w:r>
      <w:r>
        <w:rPr>
          <w:spacing w:val="-1"/>
          <w:vertAlign w:val="baseline"/>
        </w:rPr>
        <w:t> </w:t>
      </w:r>
      <w:r>
        <w:rPr>
          <w:vertAlign w:val="baseline"/>
        </w:rPr>
        <w:t>execute</w:t>
      </w:r>
      <w:r>
        <w:rPr>
          <w:spacing w:val="-1"/>
          <w:vertAlign w:val="baseline"/>
        </w:rPr>
        <w:t> </w:t>
      </w:r>
      <w:r>
        <w:rPr>
          <w:vertAlign w:val="baseline"/>
        </w:rPr>
        <w:t>a</w:t>
      </w:r>
      <w:r>
        <w:rPr>
          <w:spacing w:val="-1"/>
          <w:vertAlign w:val="baseline"/>
        </w:rPr>
        <w:t> </w:t>
      </w:r>
      <w:r>
        <w:rPr>
          <w:vertAlign w:val="baseline"/>
        </w:rPr>
        <w:t>document</w:t>
      </w:r>
      <w:r>
        <w:rPr>
          <w:spacing w:val="-1"/>
          <w:vertAlign w:val="baseline"/>
        </w:rPr>
        <w:t> </w:t>
      </w:r>
      <w:r>
        <w:rPr>
          <w:vertAlign w:val="baseline"/>
        </w:rPr>
        <w:t>(including</w:t>
      </w:r>
      <w:r>
        <w:rPr>
          <w:spacing w:val="-1"/>
          <w:vertAlign w:val="baseline"/>
        </w:rPr>
        <w:t> </w:t>
      </w:r>
      <w:r>
        <w:rPr>
          <w:vertAlign w:val="baseline"/>
        </w:rPr>
        <w:t>a</w:t>
      </w:r>
      <w:r>
        <w:rPr>
          <w:spacing w:val="-1"/>
          <w:vertAlign w:val="baseline"/>
        </w:rPr>
        <w:t> </w:t>
      </w:r>
      <w:r>
        <w:rPr>
          <w:vertAlign w:val="baseline"/>
        </w:rPr>
        <w:t>deed)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affixing</w:t>
      </w:r>
      <w:r>
        <w:rPr>
          <w:spacing w:val="-1"/>
          <w:vertAlign w:val="baseline"/>
        </w:rPr>
        <w:t> </w:t>
      </w:r>
      <w:r>
        <w:rPr>
          <w:vertAlign w:val="baseline"/>
        </w:rPr>
        <w:t>of</w:t>
      </w:r>
      <w:r>
        <w:rPr>
          <w:spacing w:val="-1"/>
          <w:vertAlign w:val="baseline"/>
        </w:rPr>
        <w:t> </w:t>
      </w:r>
      <w:r>
        <w:rPr>
          <w:vertAlign w:val="baseline"/>
        </w:rPr>
        <w:t>its</w:t>
      </w:r>
      <w:r>
        <w:rPr>
          <w:spacing w:val="-1"/>
          <w:vertAlign w:val="baseline"/>
        </w:rPr>
        <w:t> </w:t>
      </w:r>
      <w:r>
        <w:rPr>
          <w:vertAlign w:val="baseline"/>
        </w:rPr>
        <w:t>common</w:t>
      </w:r>
      <w:r>
        <w:rPr>
          <w:spacing w:val="-1"/>
          <w:vertAlign w:val="baseline"/>
        </w:rPr>
        <w:t> </w:t>
      </w:r>
      <w:r>
        <w:rPr>
          <w:vertAlign w:val="baseline"/>
        </w:rPr>
        <w:t>seal, </w:t>
      </w:r>
      <w:r>
        <w:rPr>
          <w:color w:val="005DA1"/>
          <w:u w:val="single" w:color="005DA1"/>
          <w:vertAlign w:val="superscript"/>
        </w:rPr>
        <w:t>862</w:t>
      </w:r>
      <w:r>
        <w:rPr>
          <w:color w:val="005DA1"/>
          <w:vertAlign w:val="baseline"/>
        </w:rPr>
        <w:t> </w:t>
      </w:r>
      <w:r>
        <w:rPr>
          <w:vertAlign w:val="baseline"/>
        </w:rPr>
        <w:t>it also provided that a document signed by a director and secretary, or by two directors, of a company incorporated under the Act and expressed to be executed by the company has the same </w:t>
      </w:r>
      <w:bookmarkStart w:name="_bookmark1615" w:id="1617"/>
      <w:bookmarkEnd w:id="1617"/>
      <w:r>
        <w:rPr>
          <w:vertAlign w:val="baseline"/>
        </w:rPr>
        <w:t>effect</w:t>
      </w:r>
      <w:r>
        <w:rPr>
          <w:vertAlign w:val="baseline"/>
        </w:rPr>
        <w:t> as if executed under the common seal of the company and notwithstanding that the company has no common seal. </w:t>
      </w:r>
      <w:r>
        <w:rPr>
          <w:color w:val="005DA1"/>
          <w:u w:val="single" w:color="005DA1"/>
          <w:vertAlign w:val="superscript"/>
        </w:rPr>
        <w:t>863</w:t>
      </w:r>
      <w:r>
        <w:rPr>
          <w:color w:val="005DA1"/>
          <w:vertAlign w:val="baseline"/>
        </w:rPr>
        <w:t> </w:t>
      </w:r>
      <w:r>
        <w:rPr>
          <w:vertAlign w:val="baseline"/>
        </w:rPr>
        <w:t>In either case, it is provided that a:</w:t>
      </w:r>
    </w:p>
    <w:p>
      <w:pPr>
        <w:pStyle w:val="BodyText"/>
      </w:pPr>
    </w:p>
    <w:p>
      <w:pPr>
        <w:pStyle w:val="BodyText"/>
        <w:spacing w:before="124"/>
      </w:pPr>
    </w:p>
    <w:p>
      <w:pPr>
        <w:pStyle w:val="BodyText"/>
        <w:spacing w:line="235" w:lineRule="auto"/>
        <w:ind w:left="1245" w:right="167"/>
        <w:jc w:val="both"/>
      </w:pPr>
      <w:bookmarkStart w:name="_bookmark1616" w:id="1618"/>
      <w:bookmarkEnd w:id="1618"/>
      <w:r>
        <w:rPr/>
      </w:r>
      <w:r>
        <w:rPr/>
        <w:t>“… document executed by a company which makes clear on its face that it is intended </w:t>
      </w:r>
      <w:r>
        <w:rPr/>
        <w:t>by the person or persons making it to be a deed has effect, upon delivery, as a deed.” </w:t>
      </w:r>
      <w:r>
        <w:rPr>
          <w:color w:val="005DA1"/>
          <w:u w:val="single" w:color="005DA1"/>
          <w:vertAlign w:val="superscript"/>
        </w:rPr>
        <w:t>864</w:t>
      </w:r>
    </w:p>
    <w:p>
      <w:pPr>
        <w:pStyle w:val="BodyText"/>
        <w:spacing w:before="116"/>
      </w:pPr>
    </w:p>
    <w:p>
      <w:pPr>
        <w:pStyle w:val="BodyText"/>
        <w:spacing w:line="235" w:lineRule="auto"/>
        <w:ind w:left="165" w:right="167"/>
        <w:jc w:val="both"/>
      </w:pPr>
      <w:r>
        <w:rPr/>
        <w:t>The</w:t>
      </w:r>
      <w:r>
        <w:rPr>
          <w:spacing w:val="-1"/>
        </w:rPr>
        <w:t> </w:t>
      </w:r>
      <w:r>
        <w:rPr/>
        <w:t>deeds</w:t>
      </w:r>
      <w:r>
        <w:rPr>
          <w:spacing w:val="-1"/>
        </w:rPr>
        <w:t> </w:t>
      </w:r>
      <w:r>
        <w:rPr/>
        <w:t>of</w:t>
      </w:r>
      <w:r>
        <w:rPr>
          <w:spacing w:val="-1"/>
        </w:rPr>
        <w:t> </w:t>
      </w:r>
      <w:r>
        <w:rPr/>
        <w:t>a</w:t>
      </w:r>
      <w:r>
        <w:rPr>
          <w:spacing w:val="-1"/>
        </w:rPr>
        <w:t> </w:t>
      </w:r>
      <w:r>
        <w:rPr/>
        <w:t>company</w:t>
      </w:r>
      <w:r>
        <w:rPr>
          <w:spacing w:val="-1"/>
        </w:rPr>
        <w:t> </w:t>
      </w:r>
      <w:r>
        <w:rPr/>
        <w:t>must</w:t>
      </w:r>
      <w:r>
        <w:rPr>
          <w:spacing w:val="-1"/>
        </w:rPr>
        <w:t> </w:t>
      </w:r>
      <w:r>
        <w:rPr/>
        <w:t>be</w:t>
      </w:r>
      <w:r>
        <w:rPr>
          <w:spacing w:val="-1"/>
        </w:rPr>
        <w:t> </w:t>
      </w:r>
      <w:r>
        <w:rPr/>
        <w:t>executed</w:t>
      </w:r>
      <w:r>
        <w:rPr>
          <w:spacing w:val="-1"/>
        </w:rPr>
        <w:t> </w:t>
      </w:r>
      <w:r>
        <w:rPr/>
        <w:t>in</w:t>
      </w:r>
      <w:r>
        <w:rPr>
          <w:spacing w:val="-1"/>
        </w:rPr>
        <w:t> </w:t>
      </w:r>
      <w:r>
        <w:rPr/>
        <w:t>accordance</w:t>
      </w:r>
      <w:r>
        <w:rPr>
          <w:spacing w:val="-1"/>
        </w:rPr>
        <w:t> </w:t>
      </w:r>
      <w:r>
        <w:rPr/>
        <w:t>with</w:t>
      </w:r>
      <w:r>
        <w:rPr>
          <w:spacing w:val="-1"/>
        </w:rPr>
        <w:t> </w:t>
      </w:r>
      <w:r>
        <w:rPr/>
        <w:t>its</w:t>
      </w:r>
      <w:r>
        <w:rPr>
          <w:spacing w:val="-1"/>
        </w:rPr>
        <w:t> </w:t>
      </w:r>
      <w:r>
        <w:rPr/>
        <w:t>articles</w:t>
      </w:r>
      <w:r>
        <w:rPr>
          <w:spacing w:val="-1"/>
        </w:rPr>
        <w:t> </w:t>
      </w:r>
      <w:r>
        <w:rPr/>
        <w:t>of</w:t>
      </w:r>
      <w:r>
        <w:rPr>
          <w:spacing w:val="-1"/>
        </w:rPr>
        <w:t> </w:t>
      </w:r>
      <w:r>
        <w:rPr/>
        <w:t>association</w:t>
      </w:r>
      <w:r>
        <w:rPr>
          <w:spacing w:val="-1"/>
        </w:rPr>
        <w:t> </w:t>
      </w:r>
      <w:r>
        <w:rPr/>
        <w:t>but,</w:t>
      </w:r>
      <w:r>
        <w:rPr>
          <w:spacing w:val="-1"/>
        </w:rPr>
        <w:t> </w:t>
      </w:r>
      <w:r>
        <w:rPr/>
        <w:t>in</w:t>
      </w:r>
      <w:r>
        <w:rPr>
          <w:spacing w:val="-1"/>
        </w:rPr>
        <w:t> </w:t>
      </w:r>
      <w:r>
        <w:rPr/>
        <w:t>favour of a purchaser, s.74(1) of the Law of Property Act 1925 provides that a deed is deemed to have been </w:t>
      </w:r>
      <w:bookmarkStart w:name="_bookmark1617" w:id="1619"/>
      <w:bookmarkEnd w:id="1619"/>
      <w:r>
        <w:rPr/>
        <w:t>duly</w:t>
      </w:r>
      <w:r>
        <w:rPr/>
        <w:t> executed if its seal is affixed thereto in the presence of and attested by its secretary and a member of the board of directors </w:t>
      </w:r>
      <w:r>
        <w:rPr>
          <w:color w:val="005DA1"/>
          <w:u w:val="single" w:color="005DA1"/>
          <w:vertAlign w:val="superscript"/>
        </w:rPr>
        <w:t>865</w:t>
      </w:r>
      <w:r>
        <w:rPr>
          <w:color w:val="005DA1"/>
          <w:vertAlign w:val="baseline"/>
        </w:rPr>
        <w:t> </w:t>
      </w:r>
      <w:r>
        <w:rPr>
          <w:vertAlign w:val="baseline"/>
        </w:rPr>
        <w:t>and a similar deeming provision applies to documents not made </w:t>
      </w:r>
      <w:bookmarkStart w:name="_bookmark1618" w:id="1620"/>
      <w:bookmarkEnd w:id="1620"/>
      <w:r>
        <w:rPr>
          <w:vertAlign w:val="baseline"/>
        </w:rPr>
        <w:t>under</w:t>
      </w:r>
      <w:r>
        <w:rPr>
          <w:vertAlign w:val="baseline"/>
        </w:rPr>
        <w:t> the company seal, but where the document makes clear on its face that it is intended by the person or persons making it to be a deed. </w:t>
      </w:r>
      <w:r>
        <w:rPr>
          <w:color w:val="005DA1"/>
          <w:u w:val="single" w:color="005DA1"/>
          <w:vertAlign w:val="superscript"/>
        </w:rPr>
        <w:t>866</w:t>
      </w:r>
      <w:r>
        <w:rPr>
          <w:color w:val="005DA1"/>
          <w:vertAlign w:val="baseline"/>
        </w:rPr>
        <w:t> </w:t>
      </w:r>
      <w:r>
        <w:rPr>
          <w:vertAlign w:val="baseline"/>
        </w:rPr>
        <w:t>There is no statutory requirement that the name used in the body of a deed should be the company’s registered name rather than its trading name and the </w:t>
      </w:r>
      <w:bookmarkStart w:name="_bookmark1619" w:id="1621"/>
      <w:bookmarkEnd w:id="1621"/>
      <w:r>
        <w:rPr>
          <w:vertAlign w:val="baseline"/>
        </w:rPr>
        <w:t>common</w:t>
      </w:r>
      <w:r>
        <w:rPr>
          <w:vertAlign w:val="baseline"/>
        </w:rPr>
        <w:t> law rule therefore applies so that extraneous evidence is admissible to identify a </w:t>
      </w:r>
      <w:r>
        <w:rPr>
          <w:vertAlign w:val="baseline"/>
        </w:rPr>
        <w:t>contracting party when its identity is not clear from the face of the deed. </w:t>
      </w:r>
      <w:r>
        <w:rPr>
          <w:color w:val="005DA1"/>
          <w:u w:val="single" w:color="005DA1"/>
          <w:vertAlign w:val="superscript"/>
        </w:rPr>
        <w:t>867</w:t>
      </w:r>
    </w:p>
    <w:p>
      <w:pPr>
        <w:pStyle w:val="BodyText"/>
      </w:pPr>
    </w:p>
    <w:p>
      <w:pPr>
        <w:pStyle w:val="BodyText"/>
        <w:spacing w:before="35"/>
      </w:pPr>
    </w:p>
    <w:p>
      <w:pPr>
        <w:spacing w:before="1"/>
        <w:ind w:left="165" w:right="0" w:firstLine="0"/>
        <w:jc w:val="left"/>
        <w:rPr>
          <w:rFonts w:ascii="Arial"/>
          <w:b/>
          <w:sz w:val="18"/>
        </w:rPr>
      </w:pPr>
      <w:r>
        <w:rPr>
          <w:rFonts w:ascii="Arial"/>
          <w:b/>
          <w:sz w:val="18"/>
        </w:rPr>
        <w:t>Deeds executed by other </w:t>
      </w:r>
      <w:r>
        <w:rPr>
          <w:rFonts w:ascii="Arial"/>
          <w:b/>
          <w:spacing w:val="-2"/>
          <w:sz w:val="18"/>
        </w:rPr>
        <w:t>persons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120</w:t>
      </w:r>
    </w:p>
    <w:p>
      <w:pPr>
        <w:pStyle w:val="BodyText"/>
        <w:spacing w:line="235" w:lineRule="auto" w:before="203"/>
        <w:ind w:left="164" w:right="167"/>
        <w:jc w:val="both"/>
      </w:pPr>
      <w:bookmarkStart w:name="_bookmark1620" w:id="1622"/>
      <w:bookmarkEnd w:id="1622"/>
      <w:r>
        <w:rPr/>
      </w:r>
      <w:r>
        <w:rPr/>
        <w:t>Where a deed is executed by a person other than a private individual, a company incorporated </w:t>
      </w:r>
      <w:r>
        <w:rPr/>
        <w:t>under the Companies Acts, or a charity incorporated under the Charities Act 1993, </w:t>
      </w:r>
      <w:r>
        <w:rPr>
          <w:color w:val="005DA1"/>
          <w:u w:val="single" w:color="005DA1"/>
          <w:vertAlign w:val="superscript"/>
        </w:rPr>
        <w:t>868</w:t>
      </w:r>
      <w:r>
        <w:rPr>
          <w:color w:val="005DA1"/>
          <w:vertAlign w:val="baseline"/>
        </w:rPr>
        <w:t> </w:t>
      </w:r>
      <w:r>
        <w:rPr>
          <w:vertAlign w:val="baseline"/>
        </w:rPr>
        <w:t>the common law </w:t>
      </w:r>
      <w:bookmarkStart w:name="_bookmark1621" w:id="1623"/>
      <w:bookmarkEnd w:id="1623"/>
      <w:r>
        <w:rPr>
          <w:vertAlign w:val="baseline"/>
        </w:rPr>
        <w:t>requirement</w:t>
      </w:r>
      <w:r>
        <w:rPr>
          <w:vertAlign w:val="baseline"/>
        </w:rPr>
        <w:t> of sealing still applies. This would apply to corporations aggregate and to corporations </w:t>
      </w:r>
      <w:bookmarkStart w:name="_bookmark1622" w:id="1624"/>
      <w:bookmarkEnd w:id="1624"/>
      <w:r>
        <w:rPr>
          <w:vertAlign w:val="baseline"/>
        </w:rPr>
        <w:t>sole.</w:t>
      </w:r>
      <w:r>
        <w:rPr>
          <w:vertAlign w:val="baseline"/>
        </w:rPr>
        <w:t> </w:t>
      </w:r>
      <w:r>
        <w:rPr>
          <w:color w:val="005DA1"/>
          <w:u w:val="single" w:color="005DA1"/>
          <w:vertAlign w:val="superscript"/>
        </w:rPr>
        <w:t>869</w:t>
      </w:r>
      <w:r>
        <w:rPr>
          <w:color w:val="005DA1"/>
          <w:vertAlign w:val="baseline"/>
        </w:rPr>
        <w:t> </w:t>
      </w:r>
      <w:r>
        <w:rPr>
          <w:vertAlign w:val="baseline"/>
        </w:rPr>
        <w:t>However, the requirement of sealing has been interpreted by the courts very liberally: “to </w:t>
      </w:r>
      <w:bookmarkStart w:name="_bookmark1623" w:id="1625"/>
      <w:bookmarkEnd w:id="1625"/>
      <w:r>
        <w:rPr>
          <w:vertAlign w:val="baseline"/>
        </w:rPr>
        <w:t>constitute</w:t>
      </w:r>
      <w:r>
        <w:rPr>
          <w:vertAlign w:val="baseline"/>
        </w:rPr>
        <w:t> a sealing neither wax nor wafer nor a piece of paper nor even an impression is necessary”. </w:t>
      </w:r>
      <w:r>
        <w:rPr>
          <w:color w:val="005DA1"/>
          <w:u w:val="single" w:color="005DA1"/>
          <w:vertAlign w:val="superscript"/>
        </w:rPr>
        <w:t>870</w:t>
      </w:r>
      <w:r>
        <w:rPr>
          <w:color w:val="005DA1"/>
          <w:vertAlign w:val="baseline"/>
        </w:rPr>
        <w:t> </w:t>
      </w:r>
      <w:bookmarkStart w:name="_bookmark1624" w:id="1626"/>
      <w:bookmarkEnd w:id="1626"/>
      <w:r>
        <w:rPr>
          <w:color w:val="005DA1"/>
          <w:spacing w:val="19"/>
          <w:vertAlign w:val="baseline"/>
        </w:rPr>
      </w:r>
      <w:r>
        <w:rPr>
          <w:vertAlign w:val="baseline"/>
        </w:rPr>
        <w:t>Pieces of green ribbon </w:t>
      </w:r>
      <w:r>
        <w:rPr>
          <w:color w:val="005DA1"/>
          <w:u w:val="single" w:color="005DA1"/>
          <w:vertAlign w:val="superscript"/>
        </w:rPr>
        <w:t>871</w:t>
      </w:r>
      <w:r>
        <w:rPr>
          <w:color w:val="005DA1"/>
          <w:vertAlign w:val="baseline"/>
        </w:rPr>
        <w:t> </w:t>
      </w:r>
      <w:r>
        <w:rPr>
          <w:vertAlign w:val="baseline"/>
        </w:rPr>
        <w:t>or a circle printed on the document containing the letters “L.S.” (locus </w:t>
      </w:r>
      <w:bookmarkStart w:name="_bookmark1625" w:id="1627"/>
      <w:bookmarkEnd w:id="1627"/>
      <w:r>
        <w:rPr>
          <w:vertAlign w:val="baseline"/>
        </w:rPr>
        <w:t>sigilli)</w:t>
      </w:r>
      <w:r>
        <w:rPr>
          <w:vertAlign w:val="baseline"/>
        </w:rPr>
        <w:t> </w:t>
      </w:r>
      <w:r>
        <w:rPr>
          <w:color w:val="005DA1"/>
          <w:u w:val="single" w:color="005DA1"/>
          <w:vertAlign w:val="superscript"/>
        </w:rPr>
        <w:t>872</w:t>
      </w:r>
      <w:r>
        <w:rPr>
          <w:color w:val="005DA1"/>
          <w:vertAlign w:val="baseline"/>
        </w:rPr>
        <w:t> </w:t>
      </w:r>
      <w:r>
        <w:rPr>
          <w:vertAlign w:val="baseline"/>
        </w:rPr>
        <w:t>or even a document bearing no indication of a seal at all </w:t>
      </w:r>
      <w:r>
        <w:rPr>
          <w:color w:val="005DA1"/>
          <w:u w:val="single" w:color="005DA1"/>
          <w:vertAlign w:val="superscript"/>
        </w:rPr>
        <w:t>873</w:t>
      </w:r>
      <w:r>
        <w:rPr>
          <w:color w:val="005DA1"/>
          <w:vertAlign w:val="baseline"/>
        </w:rPr>
        <w:t> </w:t>
      </w:r>
      <w:r>
        <w:rPr>
          <w:vertAlign w:val="baseline"/>
        </w:rPr>
        <w:t>will suffice, if there is evidence (e.g. attestation) that the document was intended to be executed as a deed. </w:t>
      </w:r>
      <w:r>
        <w:rPr>
          <w:color w:val="005DA1"/>
          <w:u w:val="single" w:color="005DA1"/>
          <w:vertAlign w:val="superscript"/>
        </w:rPr>
        <w:t>874</w:t>
      </w:r>
      <w:r>
        <w:rPr>
          <w:color w:val="005DA1"/>
          <w:vertAlign w:val="baseline"/>
        </w:rPr>
        <w:t> </w:t>
      </w:r>
      <w:r>
        <w:rPr>
          <w:vertAlign w:val="baseline"/>
        </w:rPr>
        <w:t>In the absence of</w:t>
      </w:r>
      <w:r>
        <w:rPr>
          <w:spacing w:val="40"/>
          <w:vertAlign w:val="baseline"/>
        </w:rPr>
        <w:t> </w:t>
      </w:r>
      <w:bookmarkStart w:name="_bookmark1626" w:id="1628"/>
      <w:bookmarkEnd w:id="1628"/>
      <w:r>
        <w:rPr>
          <w:vertAlign w:val="baseline"/>
        </w:rPr>
        <w:t>such</w:t>
      </w:r>
      <w:r>
        <w:rPr>
          <w:vertAlign w:val="baseline"/>
        </w:rPr>
        <w:t> evidence, a signatory of a document expressed to have been “signed, sealed and delivered” by him may be estopped from denying that it was sealed. </w:t>
      </w:r>
      <w:r>
        <w:rPr>
          <w:color w:val="005DA1"/>
          <w:u w:val="single" w:color="005DA1"/>
          <w:vertAlign w:val="superscript"/>
        </w:rPr>
        <w:t>875</w:t>
      </w:r>
    </w:p>
    <w:p>
      <w:pPr>
        <w:pStyle w:val="BodyText"/>
      </w:pPr>
    </w:p>
    <w:p>
      <w:pPr>
        <w:pStyle w:val="BodyText"/>
        <w:spacing w:before="34"/>
      </w:pPr>
    </w:p>
    <w:p>
      <w:pPr>
        <w:spacing w:before="0"/>
        <w:ind w:left="164" w:right="0" w:firstLine="0"/>
        <w:jc w:val="left"/>
        <w:rPr>
          <w:rFonts w:ascii="Arial"/>
          <w:b/>
          <w:sz w:val="18"/>
        </w:rPr>
      </w:pPr>
      <w:r>
        <w:rPr>
          <w:rFonts w:ascii="Arial"/>
          <w:b/>
          <w:spacing w:val="-2"/>
          <w:sz w:val="18"/>
        </w:rPr>
        <w:t>Delivery</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121</w:t>
      </w:r>
    </w:p>
    <w:p>
      <w:pPr>
        <w:pStyle w:val="BodyText"/>
        <w:spacing w:line="235" w:lineRule="auto" w:before="202"/>
        <w:ind w:left="164" w:right="167"/>
        <w:jc w:val="both"/>
      </w:pPr>
      <w:bookmarkStart w:name="_bookmark1627" w:id="1629"/>
      <w:bookmarkEnd w:id="1629"/>
      <w:r>
        <w:rPr/>
      </w:r>
      <w:r>
        <w:rPr/>
        <w:t>It</w:t>
      </w:r>
      <w:r>
        <w:rPr>
          <w:spacing w:val="-1"/>
        </w:rPr>
        <w:t> </w:t>
      </w:r>
      <w:r>
        <w:rPr/>
        <w:t>remains</w:t>
      </w:r>
      <w:r>
        <w:rPr>
          <w:spacing w:val="-1"/>
        </w:rPr>
        <w:t> </w:t>
      </w:r>
      <w:r>
        <w:rPr/>
        <w:t>the</w:t>
      </w:r>
      <w:r>
        <w:rPr>
          <w:spacing w:val="-1"/>
        </w:rPr>
        <w:t> </w:t>
      </w:r>
      <w:r>
        <w:rPr/>
        <w:t>case</w:t>
      </w:r>
      <w:r>
        <w:rPr>
          <w:spacing w:val="-1"/>
        </w:rPr>
        <w:t> </w:t>
      </w:r>
      <w:r>
        <w:rPr/>
        <w:t>after</w:t>
      </w:r>
      <w:r>
        <w:rPr>
          <w:spacing w:val="-1"/>
        </w:rPr>
        <w:t> </w:t>
      </w:r>
      <w:r>
        <w:rPr/>
        <w:t>the</w:t>
      </w:r>
      <w:r>
        <w:rPr>
          <w:spacing w:val="-1"/>
        </w:rPr>
        <w:t> </w:t>
      </w:r>
      <w:r>
        <w:rPr/>
        <w:t>1989</w:t>
      </w:r>
      <w:r>
        <w:rPr>
          <w:spacing w:val="-1"/>
        </w:rPr>
        <w:t> </w:t>
      </w:r>
      <w:r>
        <w:rPr/>
        <w:t>legislation</w:t>
      </w:r>
      <w:r>
        <w:rPr>
          <w:spacing w:val="-1"/>
        </w:rPr>
        <w:t> </w:t>
      </w:r>
      <w:r>
        <w:rPr/>
        <w:t>that</w:t>
      </w:r>
      <w:r>
        <w:rPr>
          <w:spacing w:val="-1"/>
        </w:rPr>
        <w:t> </w:t>
      </w:r>
      <w:r>
        <w:rPr/>
        <w:t>“[w]here</w:t>
      </w:r>
      <w:r>
        <w:rPr>
          <w:spacing w:val="-1"/>
        </w:rPr>
        <w:t> </w:t>
      </w:r>
      <w:r>
        <w:rPr/>
        <w:t>a</w:t>
      </w:r>
      <w:r>
        <w:rPr>
          <w:spacing w:val="-1"/>
        </w:rPr>
        <w:t> </w:t>
      </w:r>
      <w:r>
        <w:rPr/>
        <w:t>contract</w:t>
      </w:r>
      <w:r>
        <w:rPr>
          <w:spacing w:val="-1"/>
        </w:rPr>
        <w:t> </w:t>
      </w:r>
      <w:r>
        <w:rPr/>
        <w:t>is</w:t>
      </w:r>
      <w:r>
        <w:rPr>
          <w:spacing w:val="-1"/>
        </w:rPr>
        <w:t> </w:t>
      </w:r>
      <w:r>
        <w:rPr/>
        <w:t>to</w:t>
      </w:r>
      <w:r>
        <w:rPr>
          <w:spacing w:val="-1"/>
        </w:rPr>
        <w:t> </w:t>
      </w:r>
      <w:r>
        <w:rPr/>
        <w:t>be</w:t>
      </w:r>
      <w:r>
        <w:rPr>
          <w:spacing w:val="-1"/>
        </w:rPr>
        <w:t> </w:t>
      </w:r>
      <w:r>
        <w:rPr/>
        <w:t>by</w:t>
      </w:r>
      <w:r>
        <w:rPr>
          <w:spacing w:val="-1"/>
        </w:rPr>
        <w:t> </w:t>
      </w:r>
      <w:r>
        <w:rPr/>
        <w:t>deed,</w:t>
      </w:r>
      <w:r>
        <w:rPr>
          <w:spacing w:val="-1"/>
        </w:rPr>
        <w:t> </w:t>
      </w:r>
      <w:r>
        <w:rPr/>
        <w:t>there</w:t>
      </w:r>
      <w:r>
        <w:rPr>
          <w:spacing w:val="-1"/>
        </w:rPr>
        <w:t> </w:t>
      </w:r>
      <w:r>
        <w:rPr/>
        <w:t>must</w:t>
      </w:r>
      <w:r>
        <w:rPr>
          <w:spacing w:val="-1"/>
        </w:rPr>
        <w:t> </w:t>
      </w:r>
      <w:r>
        <w:rPr/>
        <w:t>be</w:t>
      </w:r>
      <w:r>
        <w:rPr>
          <w:spacing w:val="-1"/>
        </w:rPr>
        <w:t> </w:t>
      </w:r>
      <w:r>
        <w:rPr/>
        <w:t>a </w:t>
      </w:r>
      <w:bookmarkStart w:name="_bookmark1628" w:id="1630"/>
      <w:bookmarkEnd w:id="1630"/>
      <w:r>
        <w:rPr/>
        <w:t>delivery</w:t>
      </w:r>
      <w:r>
        <w:rPr/>
        <w:t> to perfect it”. </w:t>
      </w:r>
      <w:r>
        <w:rPr>
          <w:color w:val="005DA1"/>
          <w:u w:val="single" w:color="005DA1"/>
          <w:vertAlign w:val="superscript"/>
        </w:rPr>
        <w:t>876</w:t>
      </w:r>
      <w:r>
        <w:rPr>
          <w:color w:val="005DA1"/>
          <w:vertAlign w:val="baseline"/>
        </w:rPr>
        <w:t> </w:t>
      </w:r>
      <w:r>
        <w:rPr>
          <w:vertAlign w:val="baseline"/>
        </w:rPr>
        <w:t>“Delivered”, however, in this connection does not mean “handed over” to the </w:t>
      </w:r>
      <w:bookmarkStart w:name="_bookmark1629" w:id="1631"/>
      <w:bookmarkEnd w:id="1631"/>
      <w:r>
        <w:rPr>
          <w:vertAlign w:val="baseline"/>
        </w:rPr>
        <w:t>other</w:t>
      </w:r>
      <w:r>
        <w:rPr>
          <w:vertAlign w:val="baseline"/>
        </w:rPr>
        <w:t> party. It means delivered in the old legal sense, </w:t>
      </w:r>
      <w:r>
        <w:rPr>
          <w:color w:val="005DA1"/>
          <w:u w:val="single" w:color="005DA1"/>
          <w:vertAlign w:val="superscript"/>
        </w:rPr>
        <w:t>877</w:t>
      </w:r>
      <w:r>
        <w:rPr>
          <w:color w:val="005DA1"/>
          <w:vertAlign w:val="baseline"/>
        </w:rPr>
        <w:t> </w:t>
      </w:r>
      <w:r>
        <w:rPr>
          <w:vertAlign w:val="baseline"/>
        </w:rPr>
        <w:t>namely, an act done so as to evince an </w:t>
      </w:r>
      <w:bookmarkStart w:name="_bookmark1630" w:id="1632"/>
      <w:bookmarkEnd w:id="1632"/>
      <w:r>
        <w:rPr>
          <w:vertAlign w:val="baseline"/>
        </w:rPr>
        <w:t>intention</w:t>
      </w:r>
      <w:r>
        <w:rPr>
          <w:vertAlign w:val="baseline"/>
        </w:rPr>
        <w:t> to be bound. </w:t>
      </w:r>
      <w:r>
        <w:rPr>
          <w:color w:val="005DA1"/>
          <w:u w:val="single" w:color="005DA1"/>
          <w:vertAlign w:val="superscript"/>
        </w:rPr>
        <w:t>878</w:t>
      </w:r>
      <w:r>
        <w:rPr>
          <w:color w:val="005DA1"/>
          <w:vertAlign w:val="baseline"/>
        </w:rPr>
        <w:t> </w:t>
      </w:r>
      <w:r>
        <w:rPr>
          <w:vertAlign w:val="baseline"/>
        </w:rPr>
        <w:t>Any act of the party which shows that he intended to deliver the deed as an </w:t>
      </w:r>
      <w:bookmarkStart w:name="_bookmark1631" w:id="1633"/>
      <w:bookmarkEnd w:id="1633"/>
      <w:r>
        <w:rPr>
          <w:vertAlign w:val="baseline"/>
        </w:rPr>
        <w:t>instrument</w:t>
      </w:r>
      <w:r>
        <w:rPr>
          <w:vertAlign w:val="baseline"/>
        </w:rPr>
        <w:t> binding on him is enough. He must make it his deed </w:t>
      </w:r>
      <w:r>
        <w:rPr>
          <w:color w:val="005DA1"/>
          <w:u w:val="single" w:color="005DA1"/>
          <w:vertAlign w:val="superscript"/>
        </w:rPr>
        <w:t>879</w:t>
      </w:r>
      <w:r>
        <w:rPr>
          <w:color w:val="005DA1"/>
          <w:vertAlign w:val="baseline"/>
        </w:rPr>
        <w:t> </w:t>
      </w:r>
      <w:r>
        <w:rPr>
          <w:vertAlign w:val="baseline"/>
        </w:rPr>
        <w:t>and recognise it as presently binding on him. </w:t>
      </w:r>
      <w:r>
        <w:rPr>
          <w:color w:val="005DA1"/>
          <w:u w:val="single" w:color="005DA1"/>
          <w:vertAlign w:val="superscript"/>
        </w:rPr>
        <w:t>880</w:t>
      </w:r>
    </w:p>
    <w:p>
      <w:pPr>
        <w:pStyle w:val="BodyText"/>
      </w:pPr>
    </w:p>
    <w:p>
      <w:pPr>
        <w:pStyle w:val="BodyText"/>
        <w:spacing w:before="125"/>
      </w:pPr>
    </w:p>
    <w:p>
      <w:pPr>
        <w:pStyle w:val="BodyText"/>
        <w:spacing w:line="235" w:lineRule="auto"/>
        <w:ind w:left="1245" w:right="167"/>
        <w:jc w:val="both"/>
      </w:pPr>
      <w:r>
        <w:rPr/>
        <w:t>“The critical thing is that the person who has signed the deed must have </w:t>
      </w:r>
      <w:r>
        <w:rPr/>
        <w:t>separately indicated that he intends to be bound by the deed. Mere signature is not enough. Nor is it enough that what looks like a deed has been given to the person who appears to be the beneficiary of it—the issue is not whether the document has been physically handed over to</w:t>
      </w:r>
      <w:r>
        <w:rPr>
          <w:spacing w:val="1"/>
        </w:rPr>
        <w:t> </w:t>
      </w:r>
      <w:r>
        <w:rPr/>
        <w:t>the</w:t>
      </w:r>
      <w:r>
        <w:rPr>
          <w:spacing w:val="1"/>
        </w:rPr>
        <w:t> </w:t>
      </w:r>
      <w:r>
        <w:rPr/>
        <w:t>beneficiary,</w:t>
      </w:r>
      <w:r>
        <w:rPr>
          <w:spacing w:val="1"/>
        </w:rPr>
        <w:t> </w:t>
      </w:r>
      <w:r>
        <w:rPr/>
        <w:t>but</w:t>
      </w:r>
      <w:r>
        <w:rPr>
          <w:spacing w:val="1"/>
        </w:rPr>
        <w:t> </w:t>
      </w:r>
      <w:r>
        <w:rPr/>
        <w:t>whether</w:t>
      </w:r>
      <w:r>
        <w:rPr>
          <w:spacing w:val="1"/>
        </w:rPr>
        <w:t> </w:t>
      </w:r>
      <w:r>
        <w:rPr/>
        <w:t>the</w:t>
      </w:r>
      <w:r>
        <w:rPr>
          <w:spacing w:val="1"/>
        </w:rPr>
        <w:t> </w:t>
      </w:r>
      <w:r>
        <w:rPr/>
        <w:t>person</w:t>
      </w:r>
      <w:r>
        <w:rPr>
          <w:spacing w:val="1"/>
        </w:rPr>
        <w:t> </w:t>
      </w:r>
      <w:r>
        <w:rPr/>
        <w:t>whose</w:t>
      </w:r>
      <w:r>
        <w:rPr>
          <w:spacing w:val="1"/>
        </w:rPr>
        <w:t> </w:t>
      </w:r>
      <w:r>
        <w:rPr/>
        <w:t>deed</w:t>
      </w:r>
      <w:r>
        <w:rPr>
          <w:spacing w:val="1"/>
        </w:rPr>
        <w:t> </w:t>
      </w:r>
      <w:r>
        <w:rPr/>
        <w:t>it</w:t>
      </w:r>
      <w:r>
        <w:rPr>
          <w:spacing w:val="1"/>
        </w:rPr>
        <w:t> </w:t>
      </w:r>
      <w:r>
        <w:rPr/>
        <w:t>is</w:t>
      </w:r>
      <w:r>
        <w:rPr>
          <w:spacing w:val="1"/>
        </w:rPr>
        <w:t> </w:t>
      </w:r>
      <w:r>
        <w:rPr/>
        <w:t>supposed</w:t>
      </w:r>
      <w:r>
        <w:rPr>
          <w:spacing w:val="1"/>
        </w:rPr>
        <w:t> </w:t>
      </w:r>
      <w:r>
        <w:rPr/>
        <w:t>to</w:t>
      </w:r>
      <w:r>
        <w:rPr>
          <w:spacing w:val="1"/>
        </w:rPr>
        <w:t> </w:t>
      </w:r>
      <w:r>
        <w:rPr/>
        <w:t>be</w:t>
      </w:r>
      <w:r>
        <w:rPr>
          <w:spacing w:val="1"/>
        </w:rPr>
        <w:t> </w:t>
      </w:r>
      <w:r>
        <w:rPr/>
        <w:t>intended</w:t>
      </w:r>
      <w:r>
        <w:rPr>
          <w:spacing w:val="1"/>
        </w:rPr>
        <w:t> </w:t>
      </w:r>
      <w:r>
        <w:rPr/>
        <w:t>to</w:t>
      </w:r>
      <w:r>
        <w:rPr>
          <w:spacing w:val="1"/>
        </w:rPr>
        <w:t> </w:t>
      </w:r>
      <w:r>
        <w:rPr>
          <w:spacing w:val="-5"/>
        </w:rPr>
        <w:t>be</w:t>
      </w:r>
    </w:p>
    <w:p>
      <w:pPr>
        <w:pStyle w:val="BodyText"/>
        <w:spacing w:after="0" w:line="235" w:lineRule="auto"/>
        <w:jc w:val="both"/>
        <w:sectPr>
          <w:headerReference w:type="default" r:id="rId37"/>
          <w:pgSz w:w="11900" w:h="16840"/>
          <w:pgMar w:header="971" w:footer="0" w:top="1300" w:bottom="280" w:left="1275" w:right="1275"/>
          <w:pgNumType w:start="2"/>
        </w:sectPr>
      </w:pPr>
    </w:p>
    <w:p>
      <w:pPr>
        <w:pStyle w:val="BodyText"/>
        <w:spacing w:before="163"/>
      </w:pPr>
    </w:p>
    <w:p>
      <w:pPr>
        <w:pStyle w:val="BodyText"/>
        <w:ind w:left="1245"/>
        <w:jc w:val="both"/>
      </w:pPr>
      <w:bookmarkStart w:name="_bookmark1632" w:id="1634"/>
      <w:bookmarkEnd w:id="1634"/>
      <w:r>
        <w:rPr/>
      </w:r>
      <w:r>
        <w:rPr/>
        <w:t>bound by it.”</w:t>
      </w:r>
      <w:r>
        <w:rPr>
          <w:spacing w:val="-1"/>
        </w:rPr>
        <w:t> </w:t>
      </w:r>
      <w:r>
        <w:rPr>
          <w:color w:val="005DA1"/>
          <w:spacing w:val="-5"/>
          <w:u w:val="single" w:color="005DA1"/>
          <w:vertAlign w:val="superscript"/>
        </w:rPr>
        <w:t>881</w:t>
      </w:r>
    </w:p>
    <w:p>
      <w:pPr>
        <w:pStyle w:val="BodyText"/>
        <w:spacing w:before="116"/>
      </w:pPr>
    </w:p>
    <w:p>
      <w:pPr>
        <w:pStyle w:val="BodyText"/>
        <w:spacing w:line="235" w:lineRule="auto"/>
        <w:ind w:left="165" w:right="167"/>
        <w:jc w:val="both"/>
      </w:pPr>
      <w:r>
        <w:rPr/>
        <w:t>Delivery is effective even though the grantor retains the deed in his own possession. There need </w:t>
      </w:r>
      <w:r>
        <w:rPr/>
        <w:t>be no actual transfer of possession to the other party:</w:t>
      </w:r>
    </w:p>
    <w:p>
      <w:pPr>
        <w:pStyle w:val="BodyText"/>
      </w:pPr>
    </w:p>
    <w:p>
      <w:pPr>
        <w:pStyle w:val="BodyText"/>
        <w:spacing w:before="126"/>
      </w:pPr>
    </w:p>
    <w:p>
      <w:pPr>
        <w:pStyle w:val="BodyText"/>
        <w:spacing w:line="235" w:lineRule="auto"/>
        <w:ind w:left="1245" w:right="168"/>
        <w:jc w:val="both"/>
      </w:pPr>
      <w:bookmarkStart w:name="_bookmark1633" w:id="1635"/>
      <w:bookmarkEnd w:id="1635"/>
      <w:r>
        <w:rPr/>
      </w:r>
      <w:bookmarkStart w:name="_bookmark1634" w:id="1636"/>
      <w:bookmarkEnd w:id="1636"/>
      <w:r>
        <w:rPr/>
      </w:r>
      <w:r>
        <w:rPr/>
        <w:t>“…</w:t>
      </w:r>
      <w:r>
        <w:rPr>
          <w:spacing w:val="-3"/>
        </w:rPr>
        <w:t> </w:t>
      </w:r>
      <w:r>
        <w:rPr/>
        <w:t>the</w:t>
      </w:r>
      <w:r>
        <w:rPr>
          <w:spacing w:val="-3"/>
        </w:rPr>
        <w:t> </w:t>
      </w:r>
      <w:r>
        <w:rPr/>
        <w:t>efficacy</w:t>
      </w:r>
      <w:r>
        <w:rPr>
          <w:spacing w:val="-3"/>
        </w:rPr>
        <w:t> </w:t>
      </w:r>
      <w:r>
        <w:rPr/>
        <w:t>of</w:t>
      </w:r>
      <w:r>
        <w:rPr>
          <w:spacing w:val="-3"/>
        </w:rPr>
        <w:t> </w:t>
      </w:r>
      <w:r>
        <w:rPr/>
        <w:t>a</w:t>
      </w:r>
      <w:r>
        <w:rPr>
          <w:spacing w:val="-3"/>
        </w:rPr>
        <w:t> </w:t>
      </w:r>
      <w:r>
        <w:rPr/>
        <w:t>deed</w:t>
      </w:r>
      <w:r>
        <w:rPr>
          <w:spacing w:val="-3"/>
        </w:rPr>
        <w:t> </w:t>
      </w:r>
      <w:r>
        <w:rPr/>
        <w:t>depends</w:t>
      </w:r>
      <w:r>
        <w:rPr>
          <w:spacing w:val="-3"/>
        </w:rPr>
        <w:t> </w:t>
      </w:r>
      <w:r>
        <w:rPr/>
        <w:t>on</w:t>
      </w:r>
      <w:r>
        <w:rPr>
          <w:spacing w:val="-3"/>
        </w:rPr>
        <w:t> </w:t>
      </w:r>
      <w:r>
        <w:rPr/>
        <w:t>its</w:t>
      </w:r>
      <w:r>
        <w:rPr>
          <w:spacing w:val="-3"/>
        </w:rPr>
        <w:t> </w:t>
      </w:r>
      <w:r>
        <w:rPr/>
        <w:t>being</w:t>
      </w:r>
      <w:r>
        <w:rPr>
          <w:spacing w:val="-3"/>
        </w:rPr>
        <w:t> </w:t>
      </w:r>
      <w:r>
        <w:rPr/>
        <w:t>sealed</w:t>
      </w:r>
      <w:r>
        <w:rPr>
          <w:spacing w:val="-4"/>
        </w:rPr>
        <w:t> </w:t>
      </w:r>
      <w:r>
        <w:rPr>
          <w:color w:val="005DA1"/>
          <w:u w:val="single" w:color="005DA1"/>
          <w:vertAlign w:val="superscript"/>
        </w:rPr>
        <w:t>882</w:t>
      </w:r>
      <w:r>
        <w:rPr>
          <w:color w:val="005DA1"/>
          <w:spacing w:val="-3"/>
          <w:vertAlign w:val="baseline"/>
        </w:rPr>
        <w:t> </w:t>
      </w:r>
      <w:r>
        <w:rPr>
          <w:vertAlign w:val="baseline"/>
        </w:rPr>
        <w:t>and</w:t>
      </w:r>
      <w:r>
        <w:rPr>
          <w:spacing w:val="-3"/>
          <w:vertAlign w:val="baseline"/>
        </w:rPr>
        <w:t> </w:t>
      </w:r>
      <w:r>
        <w:rPr>
          <w:vertAlign w:val="baseline"/>
        </w:rPr>
        <w:t>delivered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maker</w:t>
      </w:r>
      <w:r>
        <w:rPr>
          <w:spacing w:val="-3"/>
          <w:vertAlign w:val="baseline"/>
        </w:rPr>
        <w:t> </w:t>
      </w:r>
      <w:r>
        <w:rPr>
          <w:vertAlign w:val="baseline"/>
        </w:rPr>
        <w:t>of</w:t>
      </w:r>
      <w:r>
        <w:rPr>
          <w:spacing w:val="-3"/>
          <w:vertAlign w:val="baseline"/>
        </w:rPr>
        <w:t> </w:t>
      </w:r>
      <w:r>
        <w:rPr>
          <w:vertAlign w:val="baseline"/>
        </w:rPr>
        <w:t>it, not on his ceasing to retain possession of it.” </w:t>
      </w:r>
      <w:r>
        <w:rPr>
          <w:color w:val="005DA1"/>
          <w:u w:val="single" w:color="005DA1"/>
          <w:vertAlign w:val="superscript"/>
        </w:rPr>
        <w:t>883</w:t>
      </w:r>
    </w:p>
    <w:p>
      <w:pPr>
        <w:pStyle w:val="BodyText"/>
        <w:spacing w:before="116"/>
      </w:pPr>
    </w:p>
    <w:p>
      <w:pPr>
        <w:pStyle w:val="BodyText"/>
        <w:spacing w:line="235" w:lineRule="auto"/>
        <w:ind w:left="165" w:right="167"/>
        <w:jc w:val="both"/>
      </w:pPr>
      <w:r>
        <w:rPr/>
        <w:t>Where a solicitor or licensed conveyancer in the course of a transaction involving the disposition </w:t>
      </w:r>
      <w:r>
        <w:rPr/>
        <w:t>or creation of an interest in land, purports to deliver an instrument as a deed on behalf of a party to the </w:t>
      </w:r>
      <w:bookmarkStart w:name="_bookmark1635" w:id="1637"/>
      <w:bookmarkEnd w:id="1637"/>
      <w:r>
        <w:rPr/>
        <w:t>instrument,</w:t>
      </w:r>
      <w:r>
        <w:rPr/>
        <w:t> it shall be conclusively presumed in favour of a purchaser that he is authorised so to deliver the instrument. </w:t>
      </w:r>
      <w:r>
        <w:rPr>
          <w:color w:val="005DA1"/>
          <w:u w:val="single" w:color="005DA1"/>
          <w:vertAlign w:val="superscript"/>
        </w:rPr>
        <w:t>884</w:t>
      </w:r>
    </w:p>
    <w:p>
      <w:pPr>
        <w:pStyle w:val="BodyText"/>
      </w:pPr>
    </w:p>
    <w:p>
      <w:pPr>
        <w:pStyle w:val="BodyText"/>
        <w:spacing w:before="37"/>
      </w:pPr>
    </w:p>
    <w:p>
      <w:pPr>
        <w:spacing w:before="0"/>
        <w:ind w:left="165" w:right="0" w:firstLine="0"/>
        <w:jc w:val="both"/>
        <w:rPr>
          <w:rFonts w:ascii="Arial"/>
          <w:b/>
          <w:sz w:val="18"/>
        </w:rPr>
      </w:pPr>
      <w:r>
        <w:rPr>
          <w:rFonts w:ascii="Arial"/>
          <w:b/>
          <w:sz w:val="18"/>
        </w:rPr>
        <w:t>Delivery and corporate </w:t>
      </w:r>
      <w:r>
        <w:rPr>
          <w:rFonts w:ascii="Arial"/>
          <w:b/>
          <w:spacing w:val="-2"/>
          <w:sz w:val="18"/>
        </w:rPr>
        <w:t>bodies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122</w:t>
      </w:r>
    </w:p>
    <w:p>
      <w:pPr>
        <w:pStyle w:val="BodyText"/>
        <w:spacing w:line="235" w:lineRule="auto" w:before="203"/>
        <w:ind w:left="165" w:right="167"/>
        <w:jc w:val="both"/>
      </w:pPr>
      <w:bookmarkStart w:name="_bookmark1636" w:id="1638"/>
      <w:bookmarkEnd w:id="1638"/>
      <w:r>
        <w:rPr/>
      </w:r>
      <w:r>
        <w:rPr/>
        <w:t>In </w:t>
      </w:r>
      <w:r>
        <w:rPr>
          <w:rFonts w:ascii="Arial" w:hAnsi="Arial"/>
          <w:i/>
        </w:rPr>
        <w:t>Bolton Metropolitan BC v Torkington </w:t>
      </w:r>
      <w:r>
        <w:rPr>
          <w:color w:val="005DA1"/>
          <w:u w:val="single" w:color="005DA1"/>
          <w:vertAlign w:val="superscript"/>
        </w:rPr>
        <w:t>885</w:t>
      </w:r>
      <w:r>
        <w:rPr>
          <w:color w:val="005DA1"/>
          <w:vertAlign w:val="baseline"/>
        </w:rPr>
        <w:t> </w:t>
      </w:r>
      <w:r>
        <w:rPr>
          <w:vertAlign w:val="baseline"/>
        </w:rPr>
        <w:t>the Court of Appeal held that while s.74(1) of the Law of </w:t>
      </w:r>
      <w:bookmarkStart w:name="_bookmark1637" w:id="1639"/>
      <w:bookmarkEnd w:id="1639"/>
      <w:r>
        <w:rPr>
          <w:vertAlign w:val="baseline"/>
        </w:rPr>
        <w:t>Property</w:t>
      </w:r>
      <w:r>
        <w:rPr>
          <w:vertAlign w:val="baseline"/>
        </w:rPr>
        <w:t> Act 1925 deemed a deed “duly executed” where a corporation’s seal is affixed in the presence of and attested by its designated officers, it created no presumption as to its delivery. </w:t>
      </w:r>
      <w:r>
        <w:rPr>
          <w:color w:val="005DA1"/>
          <w:u w:val="single" w:color="005DA1"/>
          <w:vertAlign w:val="superscript"/>
        </w:rPr>
        <w:t>886</w:t>
      </w:r>
      <w:r>
        <w:rPr>
          <w:color w:val="005DA1"/>
          <w:vertAlign w:val="baseline"/>
        </w:rPr>
        <w:t> </w:t>
      </w:r>
      <w:r>
        <w:rPr>
          <w:vertAlign w:val="baseline"/>
        </w:rPr>
        <w:t>Moreover, while strictly obiter, Peter Gibson L.J. expressed the view that at common law:</w:t>
      </w:r>
    </w:p>
    <w:p>
      <w:pPr>
        <w:pStyle w:val="BodyText"/>
      </w:pPr>
    </w:p>
    <w:p>
      <w:pPr>
        <w:pStyle w:val="BodyText"/>
        <w:spacing w:before="125"/>
      </w:pPr>
    </w:p>
    <w:p>
      <w:pPr>
        <w:pStyle w:val="BodyText"/>
        <w:spacing w:line="235" w:lineRule="auto"/>
        <w:ind w:left="1245" w:right="167"/>
        <w:jc w:val="both"/>
      </w:pPr>
      <w:r>
        <w:rPr/>
        <w:t>“… to describe the sealing by a corporation as giving rise to a rebuttable presumption</w:t>
      </w:r>
      <w:r>
        <w:rPr>
          <w:spacing w:val="40"/>
        </w:rPr>
        <w:t> </w:t>
      </w:r>
      <w:bookmarkStart w:name="_bookmark1638" w:id="1640"/>
      <w:bookmarkEnd w:id="1640"/>
      <w:r>
        <w:rPr/>
        <w:t>may</w:t>
      </w:r>
      <w:r>
        <w:rPr/>
        <w:t> go too far, implying, as that does, that the burden is on the corporation affixing the seal.” </w:t>
      </w:r>
      <w:r>
        <w:rPr>
          <w:color w:val="005DA1"/>
          <w:u w:val="single" w:color="005DA1"/>
          <w:vertAlign w:val="superscript"/>
        </w:rPr>
        <w:t>887</w:t>
      </w:r>
    </w:p>
    <w:p>
      <w:pPr>
        <w:pStyle w:val="BodyText"/>
        <w:spacing w:before="116"/>
      </w:pPr>
    </w:p>
    <w:p>
      <w:pPr>
        <w:pStyle w:val="BodyText"/>
        <w:spacing w:line="235" w:lineRule="auto"/>
        <w:ind w:left="164" w:right="167"/>
        <w:jc w:val="both"/>
      </w:pPr>
      <w:r>
        <w:rPr/>
        <w:t>As a result, where, as on the facts before the court, negotiations were undertaken towards a </w:t>
      </w:r>
      <w:r>
        <w:rPr/>
        <w:t>lease </w:t>
      </w:r>
      <w:bookmarkStart w:name="_bookmark1639" w:id="1641"/>
      <w:bookmarkEnd w:id="1641"/>
      <w:r>
        <w:rPr/>
        <w:t>expressly</w:t>
      </w:r>
      <w:r>
        <w:rPr/>
        <w:t> subject to contract, a court should not infer an intention to be bound from the mere sealing of a deed of execution of a lease. </w:t>
      </w:r>
      <w:r>
        <w:rPr>
          <w:color w:val="005DA1"/>
          <w:u w:val="single" w:color="005DA1"/>
          <w:vertAlign w:val="superscript"/>
        </w:rPr>
        <w:t>888</w:t>
      </w:r>
      <w:r>
        <w:rPr>
          <w:color w:val="005DA1"/>
          <w:vertAlign w:val="baseline"/>
        </w:rPr>
        <w:t> </w:t>
      </w:r>
      <w:r>
        <w:rPr>
          <w:vertAlign w:val="baseline"/>
        </w:rPr>
        <w:t>On the other hand, in the case of a company incorporated under the Companies Act 1985, where a document makes it clear on its face that:</w:t>
      </w:r>
    </w:p>
    <w:p>
      <w:pPr>
        <w:pStyle w:val="BodyText"/>
      </w:pPr>
    </w:p>
    <w:p>
      <w:pPr>
        <w:pStyle w:val="BodyText"/>
        <w:spacing w:before="125"/>
      </w:pPr>
    </w:p>
    <w:p>
      <w:pPr>
        <w:pStyle w:val="BodyText"/>
        <w:spacing w:line="235" w:lineRule="auto"/>
        <w:ind w:left="1245" w:right="167"/>
        <w:jc w:val="both"/>
      </w:pPr>
      <w:bookmarkStart w:name="_bookmark1640" w:id="1642"/>
      <w:bookmarkEnd w:id="1642"/>
      <w:r>
        <w:rPr/>
      </w:r>
      <w:r>
        <w:rPr/>
        <w:t>“[I]t is intended by the person or persons making it to be a deed … it shall be presumed, unless a contrary intention is proved, to be delivered upon its being so executed.” </w:t>
      </w:r>
      <w:r>
        <w:rPr>
          <w:color w:val="005DA1"/>
          <w:u w:val="single" w:color="005DA1"/>
          <w:vertAlign w:val="superscript"/>
        </w:rPr>
        <w:t>889</w:t>
      </w:r>
    </w:p>
    <w:p>
      <w:pPr>
        <w:pStyle w:val="BodyText"/>
      </w:pPr>
    </w:p>
    <w:p>
      <w:pPr>
        <w:pStyle w:val="BodyText"/>
      </w:pPr>
    </w:p>
    <w:p>
      <w:pPr>
        <w:pStyle w:val="BodyText"/>
        <w:spacing w:before="156"/>
      </w:pPr>
      <w:r>
        <w:rPr/>
        <mc:AlternateContent>
          <mc:Choice Requires="wps">
            <w:drawing>
              <wp:anchor distT="0" distB="0" distL="0" distR="0" allowOverlap="1" layoutInCell="1" locked="0" behindDoc="1" simplePos="0" relativeHeight="487682560">
                <wp:simplePos x="0" y="0"/>
                <wp:positionH relativeFrom="page">
                  <wp:posOffset>914400</wp:posOffset>
                </wp:positionH>
                <wp:positionV relativeFrom="paragraph">
                  <wp:posOffset>260544</wp:posOffset>
                </wp:positionV>
                <wp:extent cx="5724525" cy="1270"/>
                <wp:effectExtent l="0" t="0" r="0" b="0"/>
                <wp:wrapTopAndBottom/>
                <wp:docPr id="400" name="Graphic 400"/>
                <wp:cNvGraphicFramePr>
                  <a:graphicFrameLocks/>
                </wp:cNvGraphicFramePr>
                <a:graphic>
                  <a:graphicData uri="http://schemas.microsoft.com/office/word/2010/wordprocessingShape">
                    <wps:wsp>
                      <wps:cNvPr id="400" name="Graphic 40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515316pt;width:450.75pt;height:.1pt;mso-position-horizontal-relative:page;mso-position-vertical-relative:paragraph;z-index:-15633920;mso-wrap-distance-left:0;mso-wrap-distance-right:0" id="docshape57" coordorigin="1440,410" coordsize="9015,0" path="m1440,410l10454,410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bookmarkStart w:name="_bookmark1641" w:id="1643"/>
      <w:bookmarkEnd w:id="1643"/>
      <w:r>
        <w:rPr/>
      </w:r>
      <w:hyperlink w:history="true" w:anchor="_bookmark1607">
        <w:r>
          <w:rPr>
            <w:color w:val="005DA1"/>
            <w:position w:val="5"/>
            <w:sz w:val="14"/>
            <w:u w:val="single" w:color="005DA1"/>
          </w:rPr>
          <w:t>855</w:t>
        </w:r>
      </w:hyperlink>
      <w:r>
        <w:rPr>
          <w:position w:val="5"/>
          <w:sz w:val="14"/>
        </w:rPr>
        <w:t>.</w:t>
      </w:r>
      <w:r>
        <w:rPr>
          <w:spacing w:val="80"/>
          <w:position w:val="5"/>
          <w:sz w:val="14"/>
        </w:rPr>
        <w:t>  </w:t>
      </w:r>
      <w:r>
        <w:rPr/>
        <w:t>s.1(2)(a). Section 1(11) of the 1989 Act provided that “nothing in this section applies in relation to instruments </w:t>
      </w:r>
      <w:r>
        <w:rPr>
          <w:rFonts w:ascii="Arial" w:hAnsi="Arial"/>
          <w:i/>
        </w:rPr>
        <w:t>delivered </w:t>
      </w:r>
      <w:r>
        <w:rPr/>
        <w:t>as deeds before this section comes into force” i.e. July 31, 1989. This appears to mean that an </w:t>
      </w:r>
      <w:r>
        <w:rPr>
          <w:rFonts w:ascii="Arial" w:hAnsi="Arial"/>
          <w:i/>
        </w:rPr>
        <w:t>instrument </w:t>
      </w:r>
      <w:r>
        <w:rPr/>
        <w:t>made before this date but delivered after it remains governed by the earlier law.</w:t>
      </w:r>
    </w:p>
    <w:p>
      <w:pPr>
        <w:pStyle w:val="BodyText"/>
        <w:spacing w:before="4"/>
      </w:pPr>
    </w:p>
    <w:p>
      <w:pPr>
        <w:tabs>
          <w:tab w:pos="705" w:val="left" w:leader="none"/>
        </w:tabs>
        <w:spacing w:line="227" w:lineRule="exact" w:before="1"/>
        <w:ind w:left="165" w:right="0" w:firstLine="0"/>
        <w:jc w:val="left"/>
        <w:rPr>
          <w:sz w:val="20"/>
        </w:rPr>
      </w:pPr>
      <w:bookmarkStart w:name="_bookmark1642" w:id="1644"/>
      <w:bookmarkEnd w:id="1644"/>
      <w:r>
        <w:rPr/>
      </w:r>
      <w:hyperlink w:history="true" w:anchor="_bookmark1608">
        <w:r>
          <w:rPr>
            <w:color w:val="005DA1"/>
            <w:spacing w:val="-4"/>
            <w:position w:val="5"/>
            <w:sz w:val="14"/>
            <w:u w:val="single" w:color="005DA1"/>
          </w:rPr>
          <w:t>856</w:t>
        </w:r>
      </w:hyperlink>
      <w:r>
        <w:rPr>
          <w:spacing w:val="-4"/>
          <w:position w:val="5"/>
          <w:sz w:val="14"/>
        </w:rPr>
        <w:t>.</w:t>
      </w:r>
      <w:r>
        <w:rPr>
          <w:position w:val="5"/>
          <w:sz w:val="14"/>
        </w:rPr>
        <w:tab/>
      </w:r>
      <w:r>
        <w:rPr>
          <w:rFonts w:ascii="Arial"/>
          <w:i/>
          <w:sz w:val="20"/>
        </w:rPr>
        <w:t>HSBC</w:t>
      </w:r>
      <w:r>
        <w:rPr>
          <w:rFonts w:ascii="Arial"/>
          <w:i/>
          <w:spacing w:val="32"/>
          <w:sz w:val="20"/>
        </w:rPr>
        <w:t> </w:t>
      </w:r>
      <w:r>
        <w:rPr>
          <w:rFonts w:ascii="Arial"/>
          <w:i/>
          <w:sz w:val="20"/>
        </w:rPr>
        <w:t>Trust</w:t>
      </w:r>
      <w:r>
        <w:rPr>
          <w:rFonts w:ascii="Arial"/>
          <w:i/>
          <w:spacing w:val="32"/>
          <w:sz w:val="20"/>
        </w:rPr>
        <w:t> </w:t>
      </w:r>
      <w:r>
        <w:rPr>
          <w:rFonts w:ascii="Arial"/>
          <w:i/>
          <w:sz w:val="20"/>
        </w:rPr>
        <w:t>Co</w:t>
      </w:r>
      <w:r>
        <w:rPr>
          <w:rFonts w:ascii="Arial"/>
          <w:i/>
          <w:spacing w:val="32"/>
          <w:sz w:val="20"/>
        </w:rPr>
        <w:t> </w:t>
      </w:r>
      <w:r>
        <w:rPr>
          <w:rFonts w:ascii="Arial"/>
          <w:i/>
          <w:sz w:val="20"/>
        </w:rPr>
        <w:t>v</w:t>
      </w:r>
      <w:r>
        <w:rPr>
          <w:rFonts w:ascii="Arial"/>
          <w:i/>
          <w:spacing w:val="32"/>
          <w:sz w:val="20"/>
        </w:rPr>
        <w:t> </w:t>
      </w:r>
      <w:r>
        <w:rPr>
          <w:rFonts w:ascii="Arial"/>
          <w:i/>
          <w:sz w:val="20"/>
        </w:rPr>
        <w:t>Quinn</w:t>
      </w:r>
      <w:r>
        <w:rPr>
          <w:rFonts w:ascii="Arial"/>
          <w:i/>
          <w:spacing w:val="32"/>
          <w:sz w:val="20"/>
        </w:rPr>
        <w:t> </w:t>
      </w:r>
      <w:r>
        <w:rPr>
          <w:rFonts w:ascii="Arial"/>
          <w:i/>
          <w:sz w:val="20"/>
        </w:rPr>
        <w:t>[2007]</w:t>
      </w:r>
      <w:r>
        <w:rPr>
          <w:rFonts w:ascii="Arial"/>
          <w:i/>
          <w:spacing w:val="32"/>
          <w:sz w:val="20"/>
        </w:rPr>
        <w:t> </w:t>
      </w:r>
      <w:r>
        <w:rPr>
          <w:rFonts w:ascii="Arial"/>
          <w:i/>
          <w:sz w:val="20"/>
        </w:rPr>
        <w:t>EWHC</w:t>
      </w:r>
      <w:r>
        <w:rPr>
          <w:rFonts w:ascii="Arial"/>
          <w:i/>
          <w:spacing w:val="32"/>
          <w:sz w:val="20"/>
        </w:rPr>
        <w:t> </w:t>
      </w:r>
      <w:r>
        <w:rPr>
          <w:rFonts w:ascii="Arial"/>
          <w:i/>
          <w:sz w:val="20"/>
        </w:rPr>
        <w:t>1543</w:t>
      </w:r>
      <w:r>
        <w:rPr>
          <w:rFonts w:ascii="Arial"/>
          <w:i/>
          <w:spacing w:val="32"/>
          <w:sz w:val="20"/>
        </w:rPr>
        <w:t> </w:t>
      </w:r>
      <w:r>
        <w:rPr>
          <w:rFonts w:ascii="Arial"/>
          <w:i/>
          <w:sz w:val="20"/>
        </w:rPr>
        <w:t>(Ch),</w:t>
      </w:r>
      <w:r>
        <w:rPr>
          <w:rFonts w:ascii="Arial"/>
          <w:i/>
          <w:spacing w:val="32"/>
          <w:sz w:val="20"/>
        </w:rPr>
        <w:t> </w:t>
      </w:r>
      <w:r>
        <w:rPr>
          <w:rFonts w:ascii="Arial"/>
          <w:i/>
          <w:sz w:val="20"/>
        </w:rPr>
        <w:t>[2007]</w:t>
      </w:r>
      <w:r>
        <w:rPr>
          <w:rFonts w:ascii="Arial"/>
          <w:i/>
          <w:spacing w:val="32"/>
          <w:sz w:val="20"/>
        </w:rPr>
        <w:t> </w:t>
      </w:r>
      <w:r>
        <w:rPr>
          <w:rFonts w:ascii="Arial"/>
          <w:i/>
          <w:sz w:val="20"/>
        </w:rPr>
        <w:t>All</w:t>
      </w:r>
      <w:r>
        <w:rPr>
          <w:rFonts w:ascii="Arial"/>
          <w:i/>
          <w:spacing w:val="32"/>
          <w:sz w:val="20"/>
        </w:rPr>
        <w:t> </w:t>
      </w:r>
      <w:r>
        <w:rPr>
          <w:rFonts w:ascii="Arial"/>
          <w:i/>
          <w:sz w:val="20"/>
        </w:rPr>
        <w:t>E.R.</w:t>
      </w:r>
      <w:r>
        <w:rPr>
          <w:rFonts w:ascii="Arial"/>
          <w:i/>
          <w:spacing w:val="32"/>
          <w:sz w:val="20"/>
        </w:rPr>
        <w:t> </w:t>
      </w:r>
      <w:r>
        <w:rPr>
          <w:rFonts w:ascii="Arial"/>
          <w:i/>
          <w:sz w:val="20"/>
        </w:rPr>
        <w:t>(D)</w:t>
      </w:r>
      <w:r>
        <w:rPr>
          <w:rFonts w:ascii="Arial"/>
          <w:i/>
          <w:spacing w:val="32"/>
          <w:sz w:val="20"/>
        </w:rPr>
        <w:t> </w:t>
      </w:r>
      <w:r>
        <w:rPr>
          <w:rFonts w:ascii="Arial"/>
          <w:i/>
          <w:sz w:val="20"/>
        </w:rPr>
        <w:t>125</w:t>
      </w:r>
      <w:r>
        <w:rPr>
          <w:rFonts w:ascii="Arial"/>
          <w:i/>
          <w:spacing w:val="31"/>
          <w:sz w:val="20"/>
        </w:rPr>
        <w:t> </w:t>
      </w:r>
      <w:r>
        <w:rPr>
          <w:sz w:val="20"/>
        </w:rPr>
        <w:t>(Jul)</w:t>
      </w:r>
      <w:r>
        <w:rPr>
          <w:spacing w:val="32"/>
          <w:sz w:val="20"/>
        </w:rPr>
        <w:t> </w:t>
      </w:r>
      <w:r>
        <w:rPr>
          <w:sz w:val="20"/>
        </w:rPr>
        <w:t>at</w:t>
      </w:r>
      <w:r>
        <w:rPr>
          <w:spacing w:val="32"/>
          <w:sz w:val="20"/>
        </w:rPr>
        <w:t> </w:t>
      </w:r>
      <w:r>
        <w:rPr>
          <w:sz w:val="20"/>
        </w:rPr>
        <w:t>[50],</w:t>
      </w:r>
      <w:r>
        <w:rPr>
          <w:spacing w:val="32"/>
          <w:sz w:val="20"/>
        </w:rPr>
        <w:t> </w:t>
      </w:r>
      <w:r>
        <w:rPr>
          <w:spacing w:val="-5"/>
          <w:sz w:val="20"/>
        </w:rPr>
        <w:t>per</w:t>
      </w:r>
    </w:p>
    <w:p>
      <w:pPr>
        <w:spacing w:line="235" w:lineRule="auto" w:before="1"/>
        <w:ind w:left="705" w:right="167" w:firstLine="0"/>
        <w:jc w:val="both"/>
        <w:rPr>
          <w:sz w:val="20"/>
        </w:rPr>
      </w:pPr>
      <w:r>
        <w:rPr>
          <w:sz w:val="20"/>
        </w:rPr>
        <w:t>Christopher Nugee Q.C. cf. </w:t>
      </w:r>
      <w:r>
        <w:rPr>
          <w:rFonts w:ascii="Arial" w:hAnsi="Arial"/>
          <w:i/>
          <w:sz w:val="20"/>
        </w:rPr>
        <w:t>Johnsey Estates (1900) Ltd v Newport Marketworld Ltd Unreported May 10, 1996 </w:t>
      </w:r>
      <w:r>
        <w:rPr>
          <w:sz w:val="20"/>
        </w:rPr>
        <w:t>(noted and criticised by Law Com. No.253, paras 2.17–2.18) where it was </w:t>
      </w:r>
      <w:r>
        <w:rPr>
          <w:sz w:val="20"/>
        </w:rPr>
        <w:t>held that the mere fact that a document was made under seal is sufficient to make it clear that it was executed as a deed.</w:t>
      </w:r>
    </w:p>
    <w:p>
      <w:pPr>
        <w:pStyle w:val="BodyText"/>
        <w:spacing w:before="4"/>
      </w:pPr>
    </w:p>
    <w:p>
      <w:pPr>
        <w:tabs>
          <w:tab w:pos="705" w:val="left" w:leader="none"/>
        </w:tabs>
        <w:spacing w:before="1"/>
        <w:ind w:left="165" w:right="0" w:firstLine="0"/>
        <w:jc w:val="left"/>
        <w:rPr>
          <w:sz w:val="20"/>
        </w:rPr>
      </w:pPr>
      <w:bookmarkStart w:name="_bookmark1643" w:id="1645"/>
      <w:bookmarkEnd w:id="1645"/>
      <w:r>
        <w:rPr/>
      </w:r>
      <w:hyperlink w:history="true" w:anchor="_bookmark1609">
        <w:r>
          <w:rPr>
            <w:color w:val="005DA1"/>
            <w:spacing w:val="-4"/>
            <w:position w:val="5"/>
            <w:sz w:val="14"/>
            <w:u w:val="single" w:color="005DA1"/>
          </w:rPr>
          <w:t>857</w:t>
        </w:r>
      </w:hyperlink>
      <w:r>
        <w:rPr>
          <w:spacing w:val="-4"/>
          <w:position w:val="5"/>
          <w:sz w:val="14"/>
        </w:rPr>
        <w:t>.</w:t>
      </w:r>
      <w:r>
        <w:rPr>
          <w:position w:val="5"/>
          <w:sz w:val="14"/>
        </w:rPr>
        <w:tab/>
      </w:r>
      <w:r>
        <w:rPr>
          <w:rFonts w:ascii="Arial"/>
          <w:i/>
          <w:sz w:val="20"/>
        </w:rPr>
        <w:t>[2007] EWHC 1543 (Ch)</w:t>
      </w:r>
      <w:r>
        <w:rPr>
          <w:rFonts w:ascii="Arial"/>
          <w:i/>
          <w:spacing w:val="-1"/>
          <w:sz w:val="20"/>
        </w:rPr>
        <w:t> </w:t>
      </w:r>
      <w:r>
        <w:rPr>
          <w:sz w:val="20"/>
        </w:rPr>
        <w:t>at </w:t>
      </w:r>
      <w:r>
        <w:rPr>
          <w:spacing w:val="-2"/>
          <w:sz w:val="20"/>
        </w:rPr>
        <w:t>[51].</w:t>
      </w:r>
    </w:p>
    <w:p>
      <w:pPr>
        <w:pStyle w:val="BodyText"/>
        <w:spacing w:before="4"/>
      </w:pPr>
    </w:p>
    <w:p>
      <w:pPr>
        <w:pStyle w:val="BodyText"/>
        <w:tabs>
          <w:tab w:pos="705" w:val="left" w:leader="none"/>
        </w:tabs>
        <w:spacing w:before="1"/>
        <w:ind w:left="165"/>
      </w:pPr>
      <w:bookmarkStart w:name="_bookmark1644" w:id="1646"/>
      <w:bookmarkEnd w:id="1646"/>
      <w:r>
        <w:rPr/>
      </w:r>
      <w:hyperlink w:history="true" w:anchor="_bookmark1610">
        <w:r>
          <w:rPr>
            <w:color w:val="005DA1"/>
            <w:spacing w:val="-4"/>
            <w:position w:val="5"/>
            <w:sz w:val="14"/>
            <w:u w:val="single" w:color="005DA1"/>
          </w:rPr>
          <w:t>858</w:t>
        </w:r>
      </w:hyperlink>
      <w:r>
        <w:rPr>
          <w:spacing w:val="-4"/>
          <w:position w:val="5"/>
          <w:sz w:val="14"/>
        </w:rPr>
        <w:t>.</w:t>
      </w:r>
      <w:r>
        <w:rPr>
          <w:position w:val="5"/>
          <w:sz w:val="14"/>
        </w:rPr>
        <w:tab/>
      </w:r>
      <w:r>
        <w:rPr/>
        <w:t>Law</w:t>
      </w:r>
      <w:r>
        <w:rPr>
          <w:spacing w:val="27"/>
        </w:rPr>
        <w:t> </w:t>
      </w:r>
      <w:r>
        <w:rPr/>
        <w:t>of</w:t>
      </w:r>
      <w:r>
        <w:rPr>
          <w:spacing w:val="27"/>
        </w:rPr>
        <w:t> </w:t>
      </w:r>
      <w:r>
        <w:rPr/>
        <w:t>Property</w:t>
      </w:r>
      <w:r>
        <w:rPr>
          <w:spacing w:val="27"/>
        </w:rPr>
        <w:t> </w:t>
      </w:r>
      <w:r>
        <w:rPr/>
        <w:t>(Miscellaneous</w:t>
      </w:r>
      <w:r>
        <w:rPr>
          <w:spacing w:val="27"/>
        </w:rPr>
        <w:t> </w:t>
      </w:r>
      <w:r>
        <w:rPr/>
        <w:t>Provisions)</w:t>
      </w:r>
      <w:r>
        <w:rPr>
          <w:spacing w:val="27"/>
        </w:rPr>
        <w:t> </w:t>
      </w:r>
      <w:r>
        <w:rPr/>
        <w:t>Act</w:t>
      </w:r>
      <w:r>
        <w:rPr>
          <w:spacing w:val="27"/>
        </w:rPr>
        <w:t> </w:t>
      </w:r>
      <w:r>
        <w:rPr/>
        <w:t>1989</w:t>
      </w:r>
      <w:r>
        <w:rPr>
          <w:spacing w:val="27"/>
        </w:rPr>
        <w:t> </w:t>
      </w:r>
      <w:r>
        <w:rPr/>
        <w:t>s.1(3)</w:t>
      </w:r>
      <w:r>
        <w:rPr>
          <w:spacing w:val="27"/>
        </w:rPr>
        <w:t> </w:t>
      </w:r>
      <w:r>
        <w:rPr/>
        <w:t>(as</w:t>
      </w:r>
      <w:r>
        <w:rPr>
          <w:spacing w:val="27"/>
        </w:rPr>
        <w:t> </w:t>
      </w:r>
      <w:r>
        <w:rPr/>
        <w:t>enacted).</w:t>
      </w:r>
      <w:r>
        <w:rPr>
          <w:spacing w:val="27"/>
        </w:rPr>
        <w:t> </w:t>
      </w:r>
      <w:r>
        <w:rPr/>
        <w:t>The</w:t>
      </w:r>
      <w:r>
        <w:rPr>
          <w:spacing w:val="27"/>
        </w:rPr>
        <w:t> </w:t>
      </w:r>
      <w:r>
        <w:rPr/>
        <w:t>signature</w:t>
      </w:r>
      <w:r>
        <w:rPr>
          <w:spacing w:val="27"/>
        </w:rPr>
        <w:t> </w:t>
      </w:r>
      <w:r>
        <w:rPr>
          <w:spacing w:val="-5"/>
        </w:rPr>
        <w:t>and</w:t>
      </w:r>
    </w:p>
    <w:p>
      <w:pPr>
        <w:pStyle w:val="BodyText"/>
        <w:spacing w:after="0"/>
        <w:sectPr>
          <w:pgSz w:w="11900" w:h="16840"/>
          <w:pgMar w:header="971" w:footer="0" w:top="1300" w:bottom="280" w:left="1275" w:right="1275"/>
        </w:sectPr>
      </w:pPr>
    </w:p>
    <w:p>
      <w:pPr>
        <w:spacing w:line="235" w:lineRule="auto" w:before="170"/>
        <w:ind w:left="705" w:right="167" w:firstLine="0"/>
        <w:jc w:val="both"/>
        <w:rPr>
          <w:sz w:val="20"/>
        </w:rPr>
      </w:pPr>
      <w:r>
        <w:rPr>
          <w:sz w:val="20"/>
        </w:rPr>
        <w:t>attestation must form part of the same physical document which constitutes the deed: </w:t>
      </w:r>
      <w:r>
        <w:rPr>
          <w:rFonts w:ascii="Arial"/>
          <w:i/>
          <w:sz w:val="20"/>
        </w:rPr>
        <w:t>R. </w:t>
      </w:r>
      <w:r>
        <w:rPr>
          <w:rFonts w:ascii="Arial"/>
          <w:i/>
          <w:sz w:val="20"/>
        </w:rPr>
        <w:t>(on</w:t>
      </w:r>
      <w:r>
        <w:rPr>
          <w:rFonts w:ascii="Arial"/>
          <w:i/>
          <w:spacing w:val="40"/>
          <w:sz w:val="20"/>
        </w:rPr>
        <w:t> </w:t>
      </w:r>
      <w:r>
        <w:rPr>
          <w:rFonts w:ascii="Arial"/>
          <w:i/>
          <w:sz w:val="20"/>
        </w:rPr>
        <w:t>the application of Mercury Tax Group Ltd) v Revenue and Customs Commissioners [2008] EWHC 2721 (Admin), [2009] S.T.C. 743 </w:t>
      </w:r>
      <w:r>
        <w:rPr>
          <w:sz w:val="20"/>
        </w:rPr>
        <w:t>at [40].</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23872">
            <wp:simplePos x="0" y="0"/>
            <wp:positionH relativeFrom="page">
              <wp:posOffset>1257846</wp:posOffset>
            </wp:positionH>
            <wp:positionV relativeFrom="paragraph">
              <wp:posOffset>160427</wp:posOffset>
            </wp:positionV>
            <wp:extent cx="107988" cy="107988"/>
            <wp:effectExtent l="0" t="0" r="0" b="0"/>
            <wp:wrapNone/>
            <wp:docPr id="401" name="Image 401"/>
            <wp:cNvGraphicFramePr>
              <a:graphicFrameLocks/>
            </wp:cNvGraphicFramePr>
            <a:graphic>
              <a:graphicData uri="http://schemas.openxmlformats.org/drawingml/2006/picture">
                <pic:pic>
                  <pic:nvPicPr>
                    <pic:cNvPr id="401" name="Image 40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645" w:id="1647"/>
      <w:bookmarkEnd w:id="1647"/>
      <w:r>
        <w:rPr/>
      </w:r>
      <w:hyperlink w:history="true" w:anchor="_bookmark1611">
        <w:r>
          <w:rPr>
            <w:color w:val="005DA1"/>
            <w:spacing w:val="-4"/>
            <w:sz w:val="14"/>
            <w:u w:val="single" w:color="005DA1"/>
          </w:rPr>
          <w:t>859</w:t>
        </w:r>
      </w:hyperlink>
      <w:r>
        <w:rPr>
          <w:spacing w:val="-4"/>
          <w:sz w:val="14"/>
        </w:rPr>
        <w:t>.</w:t>
      </w:r>
    </w:p>
    <w:p>
      <w:pPr>
        <w:spacing w:line="235" w:lineRule="auto" w:before="212"/>
        <w:ind w:left="165" w:right="167" w:firstLine="170"/>
        <w:jc w:val="both"/>
        <w:rPr>
          <w:sz w:val="20"/>
        </w:rPr>
      </w:pPr>
      <w:r>
        <w:rPr/>
        <w:br w:type="column"/>
      </w:r>
      <w:r>
        <w:rPr>
          <w:sz w:val="20"/>
        </w:rPr>
        <w:t>Law of Property (Miscellaneous Provisions) Act 1989 s.1(4). The question whether </w:t>
      </w:r>
      <w:r>
        <w:rPr>
          <w:sz w:val="20"/>
        </w:rPr>
        <w:t>the requirement of signature may be satisfied other than by a party writing his or her name or mark with his or her own hand remains unclear. There is authority for the purposes of s.2 of the 1989 Act that requires such writing (</w:t>
      </w:r>
      <w:r>
        <w:rPr>
          <w:rFonts w:ascii="Arial" w:hAnsi="Arial"/>
          <w:i/>
          <w:sz w:val="20"/>
        </w:rPr>
        <w:t>Firstpost Homes Ltd v Johnson [1995] 1 W.L.R. 1567</w:t>
      </w:r>
      <w:r>
        <w:rPr>
          <w:sz w:val="20"/>
        </w:rPr>
        <w:t>, on which see Vol.I, para.5-037), but a more liberal position has been taken for the purposes of the (less demanding) formalities of s.4 of the Statute of Frauds: </w:t>
      </w:r>
      <w:r>
        <w:rPr>
          <w:rFonts w:ascii="Arial" w:hAnsi="Arial"/>
          <w:i/>
          <w:sz w:val="20"/>
        </w:rPr>
        <w:t>J Pereira Fernandes SA v Mehta [2006] EWHC 813 (Ch), [2006] 2 All E.R. 881 </w:t>
      </w:r>
      <w:r>
        <w:rPr>
          <w:sz w:val="20"/>
        </w:rPr>
        <w:t>at [31]; </w:t>
      </w:r>
      <w:r>
        <w:rPr>
          <w:rFonts w:ascii="Arial" w:hAnsi="Arial"/>
          <w:i/>
          <w:sz w:val="20"/>
        </w:rPr>
        <w:t>Golden Ocean Group Ltd v Salgaocar Mining Industries Pvt Ltd [2012] EWCA Civ 265, [2012] 1 Lloyd’s Rep. 542 </w:t>
      </w:r>
      <w:r>
        <w:rPr>
          <w:sz w:val="20"/>
        </w:rPr>
        <w:t>at [32] (on which see Vol.II, para.45-057). In </w:t>
      </w:r>
      <w:r>
        <w:rPr>
          <w:rFonts w:ascii="Arial" w:hAnsi="Arial"/>
          <w:i/>
          <w:sz w:val="20"/>
        </w:rPr>
        <w:t>Ramsay v Love [2015] EWHC 65 (Ch) </w:t>
      </w:r>
      <w:r>
        <w:rPr>
          <w:sz w:val="20"/>
        </w:rPr>
        <w:t>at [7], Morgan J. observed (in the context of s.1(3) of the 1989 Act, obiter) that the position in </w:t>
      </w:r>
      <w:r>
        <w:rPr>
          <w:rFonts w:ascii="Arial" w:hAnsi="Arial"/>
          <w:i/>
          <w:sz w:val="20"/>
        </w:rPr>
        <w:t>Firstpost Homes Ltd v Johnson </w:t>
      </w:r>
      <w:r>
        <w:rPr>
          <w:sz w:val="20"/>
        </w:rPr>
        <w:t>(which requires signature by an executing party with a pen in his own hand) was not designed</w:t>
      </w:r>
      <w:r>
        <w:rPr>
          <w:spacing w:val="40"/>
          <w:sz w:val="20"/>
        </w:rPr>
        <w:t> </w:t>
      </w:r>
      <w:r>
        <w:rPr>
          <w:sz w:val="20"/>
        </w:rPr>
        <w:t>to distinguish between signing in such a way and by use of a signature writing machine. For further discussion of the significance of “signature” see Emmet &amp; Farrand on Title (looseleaf</w:t>
      </w:r>
      <w:r>
        <w:rPr>
          <w:spacing w:val="40"/>
          <w:sz w:val="20"/>
        </w:rPr>
        <w:t> </w:t>
      </w:r>
      <w:r>
        <w:rPr>
          <w:sz w:val="20"/>
        </w:rPr>
        <w:t>and electronic version updated to June 2016) paras 2–041—2–041.06. For the possibility that an “electronic signature” may satisfy this requirement by way of s.7 of the Electronic Communications Act 2000 see below, para.5-008.</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pPr>
    </w:p>
    <w:p>
      <w:pPr>
        <w:tabs>
          <w:tab w:pos="705" w:val="left" w:leader="none"/>
        </w:tabs>
        <w:spacing w:before="0"/>
        <w:ind w:left="165" w:right="0" w:firstLine="0"/>
        <w:jc w:val="left"/>
        <w:rPr>
          <w:sz w:val="20"/>
        </w:rPr>
      </w:pPr>
      <w:bookmarkStart w:name="_bookmark1646" w:id="1648"/>
      <w:bookmarkEnd w:id="1648"/>
      <w:r>
        <w:rPr/>
      </w:r>
      <w:hyperlink w:history="true" w:anchor="_bookmark1612">
        <w:r>
          <w:rPr>
            <w:color w:val="005DA1"/>
            <w:spacing w:val="-4"/>
            <w:position w:val="5"/>
            <w:sz w:val="14"/>
            <w:u w:val="single" w:color="005DA1"/>
          </w:rPr>
          <w:t>860</w:t>
        </w:r>
      </w:hyperlink>
      <w:r>
        <w:rPr>
          <w:spacing w:val="-4"/>
          <w:position w:val="5"/>
          <w:sz w:val="14"/>
        </w:rPr>
        <w:t>.</w:t>
      </w:r>
      <w:r>
        <w:rPr>
          <w:position w:val="5"/>
          <w:sz w:val="14"/>
        </w:rPr>
        <w:tab/>
      </w:r>
      <w:r>
        <w:rPr>
          <w:sz w:val="20"/>
        </w:rPr>
        <w:t>1989 Act </w:t>
      </w:r>
      <w:r>
        <w:rPr>
          <w:spacing w:val="-2"/>
          <w:sz w:val="20"/>
        </w:rPr>
        <w:t>s.1(3)(b).</w:t>
      </w:r>
    </w:p>
    <w:p>
      <w:pPr>
        <w:pStyle w:val="BodyText"/>
        <w:spacing w:before="9"/>
      </w:pPr>
    </w:p>
    <w:p>
      <w:pPr>
        <w:pStyle w:val="BodyText"/>
        <w:tabs>
          <w:tab w:pos="705" w:val="left" w:leader="none"/>
        </w:tabs>
        <w:spacing w:line="235" w:lineRule="auto"/>
        <w:ind w:left="705" w:right="168" w:hanging="541"/>
      </w:pPr>
      <w:bookmarkStart w:name="_bookmark1647" w:id="1649"/>
      <w:bookmarkEnd w:id="1649"/>
      <w:r>
        <w:rPr/>
      </w:r>
      <w:hyperlink w:history="true" w:anchor="_bookmark1613">
        <w:r>
          <w:rPr>
            <w:color w:val="005DA1"/>
            <w:spacing w:val="-4"/>
            <w:position w:val="5"/>
            <w:sz w:val="14"/>
            <w:u w:val="single" w:color="005DA1"/>
          </w:rPr>
          <w:t>861</w:t>
        </w:r>
      </w:hyperlink>
      <w:r>
        <w:rPr>
          <w:spacing w:val="-4"/>
          <w:position w:val="5"/>
          <w:sz w:val="14"/>
        </w:rPr>
        <w:t>.</w:t>
      </w:r>
      <w:r>
        <w:rPr>
          <w:position w:val="5"/>
          <w:sz w:val="14"/>
        </w:rPr>
        <w:tab/>
      </w:r>
      <w:r>
        <w:rPr/>
        <w:t>Law</w:t>
      </w:r>
      <w:r>
        <w:rPr>
          <w:spacing w:val="72"/>
        </w:rPr>
        <w:t> </w:t>
      </w:r>
      <w:r>
        <w:rPr/>
        <w:t>Commission,</w:t>
      </w:r>
      <w:r>
        <w:rPr>
          <w:spacing w:val="72"/>
        </w:rPr>
        <w:t> </w:t>
      </w:r>
      <w:r>
        <w:rPr/>
        <w:t>The</w:t>
      </w:r>
      <w:r>
        <w:rPr>
          <w:spacing w:val="72"/>
        </w:rPr>
        <w:t> </w:t>
      </w:r>
      <w:r>
        <w:rPr/>
        <w:t>Execution</w:t>
      </w:r>
      <w:r>
        <w:rPr>
          <w:spacing w:val="72"/>
        </w:rPr>
        <w:t> </w:t>
      </w:r>
      <w:r>
        <w:rPr/>
        <w:t>of</w:t>
      </w:r>
      <w:r>
        <w:rPr>
          <w:spacing w:val="72"/>
        </w:rPr>
        <w:t> </w:t>
      </w:r>
      <w:r>
        <w:rPr/>
        <w:t>Deeds</w:t>
      </w:r>
      <w:r>
        <w:rPr>
          <w:spacing w:val="72"/>
        </w:rPr>
        <w:t> </w:t>
      </w:r>
      <w:r>
        <w:rPr/>
        <w:t>and</w:t>
      </w:r>
      <w:r>
        <w:rPr>
          <w:spacing w:val="72"/>
        </w:rPr>
        <w:t> </w:t>
      </w:r>
      <w:r>
        <w:rPr/>
        <w:t>Documents</w:t>
      </w:r>
      <w:r>
        <w:rPr>
          <w:spacing w:val="72"/>
        </w:rPr>
        <w:t> </w:t>
      </w:r>
      <w:r>
        <w:rPr/>
        <w:t>by</w:t>
      </w:r>
      <w:r>
        <w:rPr>
          <w:spacing w:val="72"/>
        </w:rPr>
        <w:t> </w:t>
      </w:r>
      <w:r>
        <w:rPr/>
        <w:t>or</w:t>
      </w:r>
      <w:r>
        <w:rPr>
          <w:spacing w:val="72"/>
        </w:rPr>
        <w:t> </w:t>
      </w:r>
      <w:r>
        <w:rPr/>
        <w:t>on</w:t>
      </w:r>
      <w:r>
        <w:rPr>
          <w:spacing w:val="72"/>
        </w:rPr>
        <w:t> </w:t>
      </w:r>
      <w:r>
        <w:rPr/>
        <w:t>behalf</w:t>
      </w:r>
      <w:r>
        <w:rPr>
          <w:spacing w:val="72"/>
        </w:rPr>
        <w:t> </w:t>
      </w:r>
      <w:r>
        <w:rPr/>
        <w:t>of</w:t>
      </w:r>
      <w:r>
        <w:rPr>
          <w:spacing w:val="72"/>
        </w:rPr>
        <w:t> </w:t>
      </w:r>
      <w:r>
        <w:rPr/>
        <w:t>Bodies Corporate, Law Com. No.253 (1998), para.3.3.</w:t>
      </w:r>
    </w:p>
    <w:p>
      <w:pPr>
        <w:pStyle w:val="BodyText"/>
        <w:spacing w:before="5"/>
      </w:pPr>
    </w:p>
    <w:p>
      <w:pPr>
        <w:pStyle w:val="BodyText"/>
        <w:tabs>
          <w:tab w:pos="705" w:val="left" w:leader="none"/>
        </w:tabs>
        <w:spacing w:before="1"/>
        <w:ind w:left="165"/>
      </w:pPr>
      <w:bookmarkStart w:name="_bookmark1648" w:id="1650"/>
      <w:bookmarkEnd w:id="1650"/>
      <w:r>
        <w:rPr/>
      </w:r>
      <w:hyperlink w:history="true" w:anchor="_bookmark1614">
        <w:r>
          <w:rPr>
            <w:color w:val="005DA1"/>
            <w:spacing w:val="-4"/>
            <w:position w:val="5"/>
            <w:sz w:val="14"/>
            <w:u w:val="single" w:color="005DA1"/>
          </w:rPr>
          <w:t>862</w:t>
        </w:r>
      </w:hyperlink>
      <w:r>
        <w:rPr>
          <w:spacing w:val="-4"/>
          <w:position w:val="5"/>
          <w:sz w:val="14"/>
        </w:rPr>
        <w:t>.</w:t>
      </w:r>
      <w:r>
        <w:rPr>
          <w:position w:val="5"/>
          <w:sz w:val="14"/>
        </w:rPr>
        <w:tab/>
      </w:r>
      <w:r>
        <w:rPr/>
        <w:t>Companies Act 1985 s.36A(4) as inserted by Companies Act 1989 </w:t>
      </w:r>
      <w:r>
        <w:rPr>
          <w:spacing w:val="-2"/>
        </w:rPr>
        <w:t>s.130(2).</w:t>
      </w:r>
    </w:p>
    <w:p>
      <w:pPr>
        <w:pStyle w:val="BodyText"/>
        <w:spacing w:before="4"/>
      </w:pPr>
    </w:p>
    <w:p>
      <w:pPr>
        <w:pStyle w:val="BodyText"/>
        <w:tabs>
          <w:tab w:pos="705" w:val="left" w:leader="none"/>
        </w:tabs>
        <w:spacing w:before="1"/>
        <w:ind w:left="165"/>
      </w:pPr>
      <w:bookmarkStart w:name="_bookmark1649" w:id="1651"/>
      <w:bookmarkEnd w:id="1651"/>
      <w:r>
        <w:rPr/>
      </w:r>
      <w:hyperlink w:history="true" w:anchor="_bookmark1615">
        <w:r>
          <w:rPr>
            <w:color w:val="005DA1"/>
            <w:spacing w:val="-4"/>
            <w:position w:val="5"/>
            <w:sz w:val="14"/>
            <w:u w:val="single" w:color="005DA1"/>
          </w:rPr>
          <w:t>863</w:t>
        </w:r>
      </w:hyperlink>
      <w:r>
        <w:rPr>
          <w:spacing w:val="-4"/>
          <w:position w:val="5"/>
          <w:sz w:val="14"/>
        </w:rPr>
        <w:t>.</w:t>
      </w:r>
      <w:r>
        <w:rPr>
          <w:position w:val="5"/>
          <w:sz w:val="14"/>
        </w:rPr>
        <w:tab/>
      </w:r>
      <w:r>
        <w:rPr/>
        <w:t>Companies Act 1985 s.36A(3) as inserted by Companies Act 1989 </w:t>
      </w:r>
      <w:r>
        <w:rPr>
          <w:spacing w:val="-2"/>
        </w:rPr>
        <w:t>s.130(2).</w:t>
      </w:r>
    </w:p>
    <w:p>
      <w:pPr>
        <w:pStyle w:val="BodyText"/>
        <w:spacing w:before="4"/>
      </w:pPr>
    </w:p>
    <w:p>
      <w:pPr>
        <w:pStyle w:val="BodyText"/>
        <w:tabs>
          <w:tab w:pos="705" w:val="left" w:leader="none"/>
        </w:tabs>
        <w:spacing w:before="1"/>
        <w:ind w:left="165"/>
      </w:pPr>
      <w:bookmarkStart w:name="_bookmark1650" w:id="1652"/>
      <w:bookmarkEnd w:id="1652"/>
      <w:r>
        <w:rPr/>
      </w:r>
      <w:hyperlink w:history="true" w:anchor="_bookmark1616">
        <w:r>
          <w:rPr>
            <w:color w:val="005DA1"/>
            <w:spacing w:val="-4"/>
            <w:position w:val="5"/>
            <w:sz w:val="14"/>
            <w:u w:val="single" w:color="005DA1"/>
          </w:rPr>
          <w:t>864</w:t>
        </w:r>
      </w:hyperlink>
      <w:r>
        <w:rPr>
          <w:spacing w:val="-4"/>
          <w:position w:val="5"/>
          <w:sz w:val="14"/>
        </w:rPr>
        <w:t>.</w:t>
      </w:r>
      <w:r>
        <w:rPr>
          <w:position w:val="5"/>
          <w:sz w:val="14"/>
        </w:rPr>
        <w:tab/>
      </w:r>
      <w:r>
        <w:rPr/>
        <w:t>Companies Act 1985 s.36A(5) as inserted by Companies Act 1989 </w:t>
      </w:r>
      <w:r>
        <w:rPr>
          <w:spacing w:val="-2"/>
        </w:rPr>
        <w:t>s.130(2).</w:t>
      </w:r>
    </w:p>
    <w:p>
      <w:pPr>
        <w:pStyle w:val="BodyText"/>
        <w:spacing w:before="8"/>
      </w:pPr>
    </w:p>
    <w:p>
      <w:pPr>
        <w:pStyle w:val="BodyText"/>
        <w:tabs>
          <w:tab w:pos="705" w:val="left" w:leader="none"/>
        </w:tabs>
        <w:spacing w:line="235" w:lineRule="auto"/>
        <w:ind w:left="705" w:right="168" w:hanging="541"/>
      </w:pPr>
      <w:bookmarkStart w:name="_bookmark1651" w:id="1653"/>
      <w:bookmarkEnd w:id="1653"/>
      <w:r>
        <w:rPr/>
      </w:r>
      <w:hyperlink w:history="true" w:anchor="_bookmark1617">
        <w:r>
          <w:rPr>
            <w:color w:val="005DA1"/>
            <w:spacing w:val="-4"/>
            <w:position w:val="5"/>
            <w:sz w:val="14"/>
            <w:u w:val="single" w:color="005DA1"/>
          </w:rPr>
          <w:t>865</w:t>
        </w:r>
      </w:hyperlink>
      <w:r>
        <w:rPr>
          <w:spacing w:val="-4"/>
          <w:position w:val="5"/>
          <w:sz w:val="14"/>
        </w:rPr>
        <w:t>.</w:t>
      </w:r>
      <w:r>
        <w:rPr>
          <w:position w:val="5"/>
          <w:sz w:val="14"/>
        </w:rPr>
        <w:tab/>
      </w:r>
      <w:r>
        <w:rPr/>
        <w:t>This</w:t>
      </w:r>
      <w:r>
        <w:rPr>
          <w:spacing w:val="-1"/>
        </w:rPr>
        <w:t> </w:t>
      </w:r>
      <w:r>
        <w:rPr/>
        <w:t>provision</w:t>
      </w:r>
      <w:r>
        <w:rPr>
          <w:spacing w:val="-1"/>
        </w:rPr>
        <w:t> </w:t>
      </w:r>
      <w:r>
        <w:rPr/>
        <w:t>was</w:t>
      </w:r>
      <w:r>
        <w:rPr>
          <w:spacing w:val="-1"/>
        </w:rPr>
        <w:t> </w:t>
      </w:r>
      <w:r>
        <w:rPr/>
        <w:t>amended</w:t>
      </w:r>
      <w:r>
        <w:rPr>
          <w:spacing w:val="-1"/>
        </w:rPr>
        <w:t> </w:t>
      </w:r>
      <w:r>
        <w:rPr/>
        <w:t>by</w:t>
      </w:r>
      <w:r>
        <w:rPr>
          <w:spacing w:val="-1"/>
        </w:rPr>
        <w:t> </w:t>
      </w:r>
      <w:r>
        <w:rPr/>
        <w:t>the</w:t>
      </w:r>
      <w:r>
        <w:rPr>
          <w:spacing w:val="-1"/>
        </w:rPr>
        <w:t> </w:t>
      </w:r>
      <w:r>
        <w:rPr/>
        <w:t>2005</w:t>
      </w:r>
      <w:r>
        <w:rPr>
          <w:spacing w:val="-1"/>
        </w:rPr>
        <w:t> </w:t>
      </w:r>
      <w:r>
        <w:rPr/>
        <w:t>Order</w:t>
      </w:r>
      <w:r>
        <w:rPr>
          <w:spacing w:val="-1"/>
        </w:rPr>
        <w:t> </w:t>
      </w:r>
      <w:r>
        <w:rPr/>
        <w:t>for</w:t>
      </w:r>
      <w:r>
        <w:rPr>
          <w:spacing w:val="-1"/>
        </w:rPr>
        <w:t> </w:t>
      </w:r>
      <w:r>
        <w:rPr/>
        <w:t>instruments</w:t>
      </w:r>
      <w:r>
        <w:rPr>
          <w:spacing w:val="-1"/>
        </w:rPr>
        <w:t> </w:t>
      </w:r>
      <w:r>
        <w:rPr/>
        <w:t>executed</w:t>
      </w:r>
      <w:r>
        <w:rPr>
          <w:spacing w:val="-1"/>
        </w:rPr>
        <w:t> </w:t>
      </w:r>
      <w:r>
        <w:rPr/>
        <w:t>on</w:t>
      </w:r>
      <w:r>
        <w:rPr>
          <w:spacing w:val="-1"/>
        </w:rPr>
        <w:t> </w:t>
      </w:r>
      <w:r>
        <w:rPr/>
        <w:t>or</w:t>
      </w:r>
      <w:r>
        <w:rPr>
          <w:spacing w:val="-1"/>
        </w:rPr>
        <w:t> </w:t>
      </w:r>
      <w:r>
        <w:rPr/>
        <w:t>after</w:t>
      </w:r>
      <w:r>
        <w:rPr>
          <w:spacing w:val="-1"/>
        </w:rPr>
        <w:t> </w:t>
      </w:r>
      <w:r>
        <w:rPr/>
        <w:t>September 14, 2005, below, para.1-128.</w:t>
      </w:r>
    </w:p>
    <w:p>
      <w:pPr>
        <w:pStyle w:val="BodyText"/>
        <w:spacing w:before="10"/>
      </w:pPr>
    </w:p>
    <w:p>
      <w:pPr>
        <w:pStyle w:val="BodyText"/>
        <w:tabs>
          <w:tab w:pos="705" w:val="left" w:leader="none"/>
        </w:tabs>
        <w:spacing w:line="235" w:lineRule="auto"/>
        <w:ind w:left="705" w:right="167" w:hanging="541"/>
      </w:pPr>
      <w:bookmarkStart w:name="_bookmark1652" w:id="1654"/>
      <w:bookmarkEnd w:id="1654"/>
      <w:r>
        <w:rPr/>
      </w:r>
      <w:hyperlink w:history="true" w:anchor="_bookmark1618">
        <w:r>
          <w:rPr>
            <w:color w:val="005DA1"/>
            <w:spacing w:val="-4"/>
            <w:position w:val="5"/>
            <w:sz w:val="14"/>
            <w:u w:val="single" w:color="005DA1"/>
          </w:rPr>
          <w:t>866</w:t>
        </w:r>
      </w:hyperlink>
      <w:r>
        <w:rPr>
          <w:spacing w:val="-4"/>
          <w:position w:val="5"/>
          <w:sz w:val="14"/>
        </w:rPr>
        <w:t>.</w:t>
      </w:r>
      <w:r>
        <w:rPr>
          <w:position w:val="5"/>
          <w:sz w:val="14"/>
        </w:rPr>
        <w:tab/>
      </w:r>
      <w:r>
        <w:rPr/>
        <w:t>Companies</w:t>
      </w:r>
      <w:r>
        <w:rPr>
          <w:spacing w:val="24"/>
        </w:rPr>
        <w:t> </w:t>
      </w:r>
      <w:r>
        <w:rPr/>
        <w:t>Act</w:t>
      </w:r>
      <w:r>
        <w:rPr>
          <w:spacing w:val="24"/>
        </w:rPr>
        <w:t> </w:t>
      </w:r>
      <w:r>
        <w:rPr/>
        <w:t>1985</w:t>
      </w:r>
      <w:r>
        <w:rPr>
          <w:spacing w:val="24"/>
        </w:rPr>
        <w:t> </w:t>
      </w:r>
      <w:r>
        <w:rPr/>
        <w:t>s.36A(6)</w:t>
      </w:r>
      <w:r>
        <w:rPr>
          <w:spacing w:val="24"/>
        </w:rPr>
        <w:t> </w:t>
      </w:r>
      <w:r>
        <w:rPr/>
        <w:t>and</w:t>
      </w:r>
      <w:r>
        <w:rPr>
          <w:spacing w:val="24"/>
        </w:rPr>
        <w:t> </w:t>
      </w:r>
      <w:r>
        <w:rPr/>
        <w:t>cf.</w:t>
      </w:r>
      <w:r>
        <w:rPr>
          <w:spacing w:val="24"/>
        </w:rPr>
        <w:t> </w:t>
      </w:r>
      <w:r>
        <w:rPr/>
        <w:t>s.36C,</w:t>
      </w:r>
      <w:r>
        <w:rPr>
          <w:spacing w:val="24"/>
        </w:rPr>
        <w:t> </w:t>
      </w:r>
      <w:r>
        <w:rPr/>
        <w:t>also</w:t>
      </w:r>
      <w:r>
        <w:rPr>
          <w:spacing w:val="24"/>
        </w:rPr>
        <w:t> </w:t>
      </w:r>
      <w:r>
        <w:rPr/>
        <w:t>inserted</w:t>
      </w:r>
      <w:r>
        <w:rPr>
          <w:spacing w:val="24"/>
        </w:rPr>
        <w:t> </w:t>
      </w:r>
      <w:r>
        <w:rPr/>
        <w:t>by</w:t>
      </w:r>
      <w:r>
        <w:rPr>
          <w:spacing w:val="24"/>
        </w:rPr>
        <w:t> </w:t>
      </w:r>
      <w:r>
        <w:rPr/>
        <w:t>Companies</w:t>
      </w:r>
      <w:r>
        <w:rPr>
          <w:spacing w:val="24"/>
        </w:rPr>
        <w:t> </w:t>
      </w:r>
      <w:r>
        <w:rPr/>
        <w:t>Act</w:t>
      </w:r>
      <w:r>
        <w:rPr>
          <w:spacing w:val="24"/>
        </w:rPr>
        <w:t> </w:t>
      </w:r>
      <w:r>
        <w:rPr/>
        <w:t>1989</w:t>
      </w:r>
      <w:r>
        <w:rPr>
          <w:spacing w:val="24"/>
        </w:rPr>
        <w:t> </w:t>
      </w:r>
      <w:r>
        <w:rPr/>
        <w:t>s.130(1) (pre-incorporation contracts, deeds and obligations).</w:t>
      </w:r>
    </w:p>
    <w:p>
      <w:pPr>
        <w:pStyle w:val="BodyText"/>
        <w:spacing w:before="5"/>
      </w:pPr>
    </w:p>
    <w:p>
      <w:pPr>
        <w:tabs>
          <w:tab w:pos="705" w:val="left" w:leader="none"/>
        </w:tabs>
        <w:spacing w:before="0"/>
        <w:ind w:left="165" w:right="0" w:firstLine="0"/>
        <w:jc w:val="left"/>
        <w:rPr>
          <w:sz w:val="20"/>
        </w:rPr>
      </w:pPr>
      <w:bookmarkStart w:name="_bookmark1653" w:id="1655"/>
      <w:bookmarkEnd w:id="1655"/>
      <w:r>
        <w:rPr/>
      </w:r>
      <w:hyperlink w:history="true" w:anchor="_bookmark1619">
        <w:r>
          <w:rPr>
            <w:color w:val="005DA1"/>
            <w:spacing w:val="-4"/>
            <w:position w:val="5"/>
            <w:sz w:val="14"/>
            <w:u w:val="single" w:color="005DA1"/>
          </w:rPr>
          <w:t>867</w:t>
        </w:r>
      </w:hyperlink>
      <w:r>
        <w:rPr>
          <w:spacing w:val="-4"/>
          <w:position w:val="5"/>
          <w:sz w:val="14"/>
        </w:rPr>
        <w:t>.</w:t>
      </w:r>
      <w:r>
        <w:rPr>
          <w:position w:val="5"/>
          <w:sz w:val="14"/>
        </w:rPr>
        <w:tab/>
      </w:r>
      <w:r>
        <w:rPr>
          <w:rFonts w:ascii="Arial"/>
          <w:i/>
          <w:sz w:val="20"/>
        </w:rPr>
        <w:t>OTV Birwelco Ltd v Technical &amp; General Guarantee Company Ltd [2002] 4 All E.R. </w:t>
      </w:r>
      <w:r>
        <w:rPr>
          <w:rFonts w:ascii="Arial"/>
          <w:i/>
          <w:spacing w:val="-4"/>
          <w:sz w:val="20"/>
        </w:rPr>
        <w:t>668</w:t>
      </w:r>
      <w:r>
        <w:rPr>
          <w:spacing w:val="-4"/>
          <w:sz w:val="20"/>
        </w:rPr>
        <w:t>.</w:t>
      </w:r>
    </w:p>
    <w:p>
      <w:pPr>
        <w:pStyle w:val="BodyText"/>
        <w:spacing w:before="9"/>
      </w:pPr>
    </w:p>
    <w:p>
      <w:pPr>
        <w:pStyle w:val="BodyText"/>
        <w:spacing w:line="235" w:lineRule="auto"/>
        <w:ind w:left="705" w:right="167" w:hanging="541"/>
        <w:jc w:val="both"/>
      </w:pPr>
      <w:bookmarkStart w:name="_bookmark1654" w:id="1656"/>
      <w:bookmarkEnd w:id="1656"/>
      <w:r>
        <w:rPr/>
      </w:r>
      <w:hyperlink w:history="true" w:anchor="_bookmark1620">
        <w:r>
          <w:rPr>
            <w:color w:val="005DA1"/>
            <w:position w:val="5"/>
            <w:sz w:val="14"/>
            <w:u w:val="single" w:color="005DA1"/>
          </w:rPr>
          <w:t>868</w:t>
        </w:r>
      </w:hyperlink>
      <w:r>
        <w:rPr>
          <w:position w:val="5"/>
          <w:sz w:val="14"/>
        </w:rPr>
        <w:t>.</w:t>
      </w:r>
      <w:r>
        <w:rPr>
          <w:spacing w:val="80"/>
          <w:position w:val="5"/>
          <w:sz w:val="14"/>
        </w:rPr>
        <w:t>  </w:t>
      </w:r>
      <w:r>
        <w:rPr/>
        <w:t>Charities</w:t>
      </w:r>
      <w:r>
        <w:rPr>
          <w:spacing w:val="35"/>
        </w:rPr>
        <w:t> </w:t>
      </w:r>
      <w:r>
        <w:rPr/>
        <w:t>Act</w:t>
      </w:r>
      <w:r>
        <w:rPr>
          <w:spacing w:val="35"/>
        </w:rPr>
        <w:t> </w:t>
      </w:r>
      <w:r>
        <w:rPr/>
        <w:t>1993</w:t>
      </w:r>
      <w:r>
        <w:rPr>
          <w:spacing w:val="35"/>
        </w:rPr>
        <w:t> </w:t>
      </w:r>
      <w:r>
        <w:rPr/>
        <w:t>ss.50,</w:t>
      </w:r>
      <w:r>
        <w:rPr>
          <w:spacing w:val="35"/>
        </w:rPr>
        <w:t> </w:t>
      </w:r>
      <w:r>
        <w:rPr/>
        <w:t>60</w:t>
      </w:r>
      <w:r>
        <w:rPr>
          <w:spacing w:val="35"/>
        </w:rPr>
        <w:t> </w:t>
      </w:r>
      <w:r>
        <w:rPr/>
        <w:t>remain</w:t>
      </w:r>
      <w:r>
        <w:rPr>
          <w:spacing w:val="35"/>
        </w:rPr>
        <w:t> </w:t>
      </w:r>
      <w:r>
        <w:rPr/>
        <w:t>applicable</w:t>
      </w:r>
      <w:r>
        <w:rPr>
          <w:spacing w:val="35"/>
        </w:rPr>
        <w:t> </w:t>
      </w:r>
      <w:r>
        <w:rPr/>
        <w:t>to</w:t>
      </w:r>
      <w:r>
        <w:rPr>
          <w:spacing w:val="35"/>
        </w:rPr>
        <w:t> </w:t>
      </w:r>
      <w:r>
        <w:rPr/>
        <w:t>instruments</w:t>
      </w:r>
      <w:r>
        <w:rPr>
          <w:spacing w:val="35"/>
        </w:rPr>
        <w:t> </w:t>
      </w:r>
      <w:r>
        <w:rPr/>
        <w:t>executed</w:t>
      </w:r>
      <w:r>
        <w:rPr>
          <w:spacing w:val="35"/>
        </w:rPr>
        <w:t> </w:t>
      </w:r>
      <w:r>
        <w:rPr/>
        <w:t>between</w:t>
      </w:r>
      <w:r>
        <w:rPr>
          <w:spacing w:val="35"/>
        </w:rPr>
        <w:t> </w:t>
      </w:r>
      <w:r>
        <w:rPr/>
        <w:t>August</w:t>
      </w:r>
      <w:r>
        <w:rPr>
          <w:spacing w:val="35"/>
        </w:rPr>
        <w:t> </w:t>
      </w:r>
      <w:r>
        <w:rPr/>
        <w:t>1, 1993 and March 13, 2012, being the day preceding the coming into force of the Charities </w:t>
      </w:r>
      <w:r>
        <w:rPr/>
        <w:t>Act 2011 ss.260–261: see below, n.827.</w:t>
      </w:r>
    </w:p>
    <w:p>
      <w:pPr>
        <w:pStyle w:val="BodyText"/>
        <w:spacing w:before="9"/>
      </w:pPr>
    </w:p>
    <w:p>
      <w:pPr>
        <w:pStyle w:val="BodyText"/>
        <w:spacing w:line="235" w:lineRule="auto"/>
        <w:ind w:left="705" w:right="167" w:hanging="541"/>
        <w:jc w:val="both"/>
      </w:pPr>
      <w:bookmarkStart w:name="_bookmark1655" w:id="1657"/>
      <w:bookmarkEnd w:id="1657"/>
      <w:r>
        <w:rPr/>
      </w:r>
      <w:hyperlink w:history="true" w:anchor="_bookmark1621">
        <w:r>
          <w:rPr>
            <w:color w:val="005DA1"/>
            <w:position w:val="5"/>
            <w:sz w:val="14"/>
            <w:u w:val="single" w:color="005DA1"/>
          </w:rPr>
          <w:t>869</w:t>
        </w:r>
      </w:hyperlink>
      <w:r>
        <w:rPr>
          <w:position w:val="5"/>
          <w:sz w:val="14"/>
        </w:rPr>
        <w:t>.</w:t>
      </w:r>
      <w:r>
        <w:rPr>
          <w:spacing w:val="80"/>
          <w:w w:val="150"/>
          <w:position w:val="5"/>
          <w:sz w:val="14"/>
        </w:rPr>
        <w:t> </w:t>
      </w:r>
      <w:r>
        <w:rPr/>
        <w:t>Law of Property (Miscellaneous Provisions) Act 1989 s.1(10). On “corporations aggregate” </w:t>
      </w:r>
      <w:r>
        <w:rPr/>
        <w:t>and “corporations sole” see above, nn.775 and 776. Note also s.1(9) which specifically reserves the requirement of sealing at common law in relation to deeds required or authorised to be made under the seals of the County Palatine of Lancaster, the Duchy of Lancaster or the Duchy of </w:t>
      </w:r>
      <w:r>
        <w:rPr>
          <w:spacing w:val="-2"/>
        </w:rPr>
        <w:t>Cornwall.</w:t>
      </w:r>
    </w:p>
    <w:p>
      <w:pPr>
        <w:pStyle w:val="BodyText"/>
        <w:spacing w:before="4"/>
      </w:pPr>
    </w:p>
    <w:p>
      <w:pPr>
        <w:tabs>
          <w:tab w:pos="705" w:val="left" w:leader="none"/>
        </w:tabs>
        <w:spacing w:before="0"/>
        <w:ind w:left="165" w:right="0" w:firstLine="0"/>
        <w:jc w:val="left"/>
        <w:rPr>
          <w:sz w:val="20"/>
        </w:rPr>
      </w:pPr>
      <w:bookmarkStart w:name="_bookmark1656" w:id="1658"/>
      <w:bookmarkEnd w:id="1658"/>
      <w:r>
        <w:rPr/>
      </w:r>
      <w:hyperlink w:history="true" w:anchor="_bookmark1622">
        <w:r>
          <w:rPr>
            <w:color w:val="005DA1"/>
            <w:spacing w:val="-4"/>
            <w:position w:val="5"/>
            <w:sz w:val="14"/>
            <w:u w:val="single" w:color="005DA1"/>
          </w:rPr>
          <w:t>870</w:t>
        </w:r>
      </w:hyperlink>
      <w:r>
        <w:rPr>
          <w:spacing w:val="-4"/>
          <w:position w:val="5"/>
          <w:sz w:val="14"/>
        </w:rPr>
        <w:t>.</w:t>
      </w:r>
      <w:r>
        <w:rPr>
          <w:position w:val="5"/>
          <w:sz w:val="14"/>
        </w:rPr>
        <w:tab/>
      </w:r>
      <w:r>
        <w:rPr>
          <w:rFonts w:ascii="Arial"/>
          <w:i/>
          <w:sz w:val="20"/>
        </w:rPr>
        <w:t>Ex p. Sandilands (1871) L.R. 6 C.P. 411, </w:t>
      </w:r>
      <w:r>
        <w:rPr>
          <w:rFonts w:ascii="Arial"/>
          <w:i/>
          <w:spacing w:val="-4"/>
          <w:sz w:val="20"/>
        </w:rPr>
        <w:t>413</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657" w:id="1659"/>
      <w:bookmarkEnd w:id="1659"/>
      <w:r>
        <w:rPr/>
      </w:r>
      <w:hyperlink w:history="true" w:anchor="_bookmark1623">
        <w:r>
          <w:rPr>
            <w:color w:val="005DA1"/>
            <w:spacing w:val="-4"/>
            <w:position w:val="5"/>
            <w:sz w:val="14"/>
            <w:u w:val="single" w:color="005DA1"/>
          </w:rPr>
          <w:t>871</w:t>
        </w:r>
      </w:hyperlink>
      <w:r>
        <w:rPr>
          <w:spacing w:val="-4"/>
          <w:position w:val="5"/>
          <w:sz w:val="14"/>
        </w:rPr>
        <w:t>.</w:t>
      </w:r>
      <w:r>
        <w:rPr>
          <w:position w:val="5"/>
          <w:sz w:val="14"/>
        </w:rPr>
        <w:tab/>
      </w:r>
      <w:r>
        <w:rPr>
          <w:rFonts w:ascii="Arial"/>
          <w:i/>
          <w:sz w:val="20"/>
        </w:rPr>
        <w:t>Ex</w:t>
      </w:r>
      <w:r>
        <w:rPr>
          <w:rFonts w:ascii="Arial"/>
          <w:i/>
          <w:spacing w:val="15"/>
          <w:sz w:val="20"/>
        </w:rPr>
        <w:t> </w:t>
      </w:r>
      <w:r>
        <w:rPr>
          <w:rFonts w:ascii="Arial"/>
          <w:i/>
          <w:sz w:val="20"/>
        </w:rPr>
        <w:t>p.</w:t>
      </w:r>
      <w:r>
        <w:rPr>
          <w:rFonts w:ascii="Arial"/>
          <w:i/>
          <w:spacing w:val="18"/>
          <w:sz w:val="20"/>
        </w:rPr>
        <w:t> </w:t>
      </w:r>
      <w:r>
        <w:rPr>
          <w:rFonts w:ascii="Arial"/>
          <w:i/>
          <w:sz w:val="20"/>
        </w:rPr>
        <w:t>Sandilands</w:t>
      </w:r>
      <w:r>
        <w:rPr>
          <w:rFonts w:ascii="Arial"/>
          <w:i/>
          <w:spacing w:val="18"/>
          <w:sz w:val="20"/>
        </w:rPr>
        <w:t> </w:t>
      </w:r>
      <w:r>
        <w:rPr>
          <w:rFonts w:ascii="Arial"/>
          <w:i/>
          <w:sz w:val="20"/>
        </w:rPr>
        <w:t>(1871)</w:t>
      </w:r>
      <w:r>
        <w:rPr>
          <w:rFonts w:ascii="Arial"/>
          <w:i/>
          <w:spacing w:val="18"/>
          <w:sz w:val="20"/>
        </w:rPr>
        <w:t> </w:t>
      </w:r>
      <w:r>
        <w:rPr>
          <w:rFonts w:ascii="Arial"/>
          <w:i/>
          <w:sz w:val="20"/>
        </w:rPr>
        <w:t>L.R.</w:t>
      </w:r>
      <w:r>
        <w:rPr>
          <w:rFonts w:ascii="Arial"/>
          <w:i/>
          <w:spacing w:val="18"/>
          <w:sz w:val="20"/>
        </w:rPr>
        <w:t> </w:t>
      </w:r>
      <w:r>
        <w:rPr>
          <w:rFonts w:ascii="Arial"/>
          <w:i/>
          <w:sz w:val="20"/>
        </w:rPr>
        <w:t>6</w:t>
      </w:r>
      <w:r>
        <w:rPr>
          <w:rFonts w:ascii="Arial"/>
          <w:i/>
          <w:spacing w:val="18"/>
          <w:sz w:val="20"/>
        </w:rPr>
        <w:t> </w:t>
      </w:r>
      <w:r>
        <w:rPr>
          <w:rFonts w:ascii="Arial"/>
          <w:i/>
          <w:sz w:val="20"/>
        </w:rPr>
        <w:t>C.P.</w:t>
      </w:r>
      <w:r>
        <w:rPr>
          <w:rFonts w:ascii="Arial"/>
          <w:i/>
          <w:spacing w:val="18"/>
          <w:sz w:val="20"/>
        </w:rPr>
        <w:t> </w:t>
      </w:r>
      <w:r>
        <w:rPr>
          <w:rFonts w:ascii="Arial"/>
          <w:i/>
          <w:sz w:val="20"/>
        </w:rPr>
        <w:t>411</w:t>
      </w:r>
      <w:r>
        <w:rPr>
          <w:sz w:val="20"/>
        </w:rPr>
        <w:t>;</w:t>
      </w:r>
      <w:r>
        <w:rPr>
          <w:spacing w:val="18"/>
          <w:sz w:val="20"/>
        </w:rPr>
        <w:t> </w:t>
      </w:r>
      <w:r>
        <w:rPr>
          <w:sz w:val="20"/>
        </w:rPr>
        <w:t>See</w:t>
      </w:r>
      <w:r>
        <w:rPr>
          <w:spacing w:val="18"/>
          <w:sz w:val="20"/>
        </w:rPr>
        <w:t> </w:t>
      </w:r>
      <w:r>
        <w:rPr>
          <w:sz w:val="20"/>
        </w:rPr>
        <w:t>also</w:t>
      </w:r>
      <w:r>
        <w:rPr>
          <w:spacing w:val="18"/>
          <w:sz w:val="20"/>
        </w:rPr>
        <w:t> </w:t>
      </w:r>
      <w:r>
        <w:rPr>
          <w:rFonts w:ascii="Arial"/>
          <w:i/>
          <w:sz w:val="20"/>
        </w:rPr>
        <w:t>Stromdale</w:t>
      </w:r>
      <w:r>
        <w:rPr>
          <w:rFonts w:ascii="Arial"/>
          <w:i/>
          <w:spacing w:val="18"/>
          <w:sz w:val="20"/>
        </w:rPr>
        <w:t> </w:t>
      </w:r>
      <w:r>
        <w:rPr>
          <w:rFonts w:ascii="Arial"/>
          <w:i/>
          <w:sz w:val="20"/>
        </w:rPr>
        <w:t>&amp;</w:t>
      </w:r>
      <w:r>
        <w:rPr>
          <w:rFonts w:ascii="Arial"/>
          <w:i/>
          <w:spacing w:val="18"/>
          <w:sz w:val="20"/>
        </w:rPr>
        <w:t> </w:t>
      </w:r>
      <w:r>
        <w:rPr>
          <w:rFonts w:ascii="Arial"/>
          <w:i/>
          <w:sz w:val="20"/>
        </w:rPr>
        <w:t>Ball</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Burden</w:t>
      </w:r>
      <w:r>
        <w:rPr>
          <w:rFonts w:ascii="Arial"/>
          <w:i/>
          <w:spacing w:val="18"/>
          <w:sz w:val="20"/>
        </w:rPr>
        <w:t> </w:t>
      </w:r>
      <w:r>
        <w:rPr>
          <w:rFonts w:ascii="Arial"/>
          <w:i/>
          <w:sz w:val="20"/>
        </w:rPr>
        <w:t>[1952]</w:t>
      </w:r>
      <w:r>
        <w:rPr>
          <w:rFonts w:ascii="Arial"/>
          <w:i/>
          <w:spacing w:val="18"/>
          <w:sz w:val="20"/>
        </w:rPr>
        <w:t> </w:t>
      </w:r>
      <w:r>
        <w:rPr>
          <w:rFonts w:ascii="Arial"/>
          <w:i/>
          <w:spacing w:val="-5"/>
          <w:sz w:val="20"/>
        </w:rPr>
        <w:t>Ch.</w:t>
      </w:r>
    </w:p>
    <w:p>
      <w:pPr>
        <w:spacing w:line="227" w:lineRule="exact" w:before="0"/>
        <w:ind w:left="705" w:right="0" w:firstLine="0"/>
        <w:jc w:val="left"/>
        <w:rPr>
          <w:sz w:val="20"/>
        </w:rPr>
      </w:pPr>
      <w:r>
        <w:rPr>
          <w:rFonts w:ascii="Arial"/>
          <w:i/>
          <w:sz w:val="20"/>
        </w:rPr>
        <w:t>233,</w:t>
      </w:r>
      <w:r>
        <w:rPr>
          <w:rFonts w:ascii="Arial"/>
          <w:i/>
          <w:spacing w:val="-2"/>
          <w:sz w:val="20"/>
        </w:rPr>
        <w:t> </w:t>
      </w:r>
      <w:r>
        <w:rPr>
          <w:rFonts w:ascii="Arial"/>
          <w:i/>
          <w:spacing w:val="-4"/>
          <w:sz w:val="20"/>
        </w:rPr>
        <w:t>230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58" w:id="1660"/>
      <w:bookmarkEnd w:id="1660"/>
      <w:r>
        <w:rPr/>
      </w:r>
      <w:hyperlink w:history="true" w:anchor="_bookmark1624">
        <w:r>
          <w:rPr>
            <w:color w:val="005DA1"/>
            <w:spacing w:val="-4"/>
            <w:position w:val="5"/>
            <w:sz w:val="14"/>
            <w:u w:val="single" w:color="005DA1"/>
          </w:rPr>
          <w:t>872</w:t>
        </w:r>
      </w:hyperlink>
      <w:r>
        <w:rPr>
          <w:spacing w:val="-4"/>
          <w:position w:val="5"/>
          <w:sz w:val="14"/>
        </w:rPr>
        <w:t>.</w:t>
      </w:r>
      <w:r>
        <w:rPr>
          <w:position w:val="5"/>
          <w:sz w:val="14"/>
        </w:rPr>
        <w:tab/>
      </w:r>
      <w:r>
        <w:rPr>
          <w:rFonts w:ascii="Arial"/>
          <w:i/>
          <w:sz w:val="20"/>
        </w:rPr>
        <w:t>First</w:t>
      </w:r>
      <w:r>
        <w:rPr>
          <w:rFonts w:ascii="Arial"/>
          <w:i/>
          <w:spacing w:val="-1"/>
          <w:sz w:val="20"/>
        </w:rPr>
        <w:t> </w:t>
      </w:r>
      <w:r>
        <w:rPr>
          <w:rFonts w:ascii="Arial"/>
          <w:i/>
          <w:sz w:val="20"/>
        </w:rPr>
        <w:t>National Securities Ltd v Jones [1978] Ch. 109</w:t>
      </w:r>
      <w:r>
        <w:rPr>
          <w:sz w:val="20"/>
        </w:rPr>
        <w:t>; Hoath (1980) 43 M.L.R. </w:t>
      </w:r>
      <w:r>
        <w:rPr>
          <w:spacing w:val="-4"/>
          <w:sz w:val="20"/>
        </w:rPr>
        <w:t>415.</w:t>
      </w:r>
    </w:p>
    <w:p>
      <w:pPr>
        <w:pStyle w:val="BodyText"/>
        <w:spacing w:before="9"/>
      </w:pPr>
    </w:p>
    <w:p>
      <w:pPr>
        <w:tabs>
          <w:tab w:pos="705" w:val="left" w:leader="none"/>
        </w:tabs>
        <w:spacing w:line="235" w:lineRule="auto" w:before="0"/>
        <w:ind w:left="705" w:right="168" w:hanging="541"/>
        <w:jc w:val="left"/>
        <w:rPr>
          <w:sz w:val="20"/>
        </w:rPr>
      </w:pPr>
      <w:bookmarkStart w:name="_bookmark1659" w:id="1661"/>
      <w:bookmarkEnd w:id="1661"/>
      <w:r>
        <w:rPr/>
      </w:r>
      <w:hyperlink w:history="true" w:anchor="_bookmark1624">
        <w:r>
          <w:rPr>
            <w:color w:val="005DA1"/>
            <w:spacing w:val="-4"/>
            <w:position w:val="5"/>
            <w:sz w:val="14"/>
            <w:u w:val="single" w:color="005DA1"/>
          </w:rPr>
          <w:t>873</w:t>
        </w:r>
      </w:hyperlink>
      <w:r>
        <w:rPr>
          <w:spacing w:val="-4"/>
          <w:position w:val="5"/>
          <w:sz w:val="14"/>
        </w:rPr>
        <w:t>.</w:t>
      </w:r>
      <w:r>
        <w:rPr>
          <w:position w:val="5"/>
          <w:sz w:val="14"/>
        </w:rPr>
        <w:tab/>
      </w:r>
      <w:r>
        <w:rPr>
          <w:rFonts w:ascii="Arial"/>
          <w:i/>
          <w:sz w:val="20"/>
        </w:rPr>
        <w:t>First</w:t>
      </w:r>
      <w:r>
        <w:rPr>
          <w:rFonts w:ascii="Arial"/>
          <w:i/>
          <w:spacing w:val="24"/>
          <w:sz w:val="20"/>
        </w:rPr>
        <w:t> </w:t>
      </w:r>
      <w:r>
        <w:rPr>
          <w:rFonts w:ascii="Arial"/>
          <w:i/>
          <w:sz w:val="20"/>
        </w:rPr>
        <w:t>National</w:t>
      </w:r>
      <w:r>
        <w:rPr>
          <w:rFonts w:ascii="Arial"/>
          <w:i/>
          <w:spacing w:val="24"/>
          <w:sz w:val="20"/>
        </w:rPr>
        <w:t> </w:t>
      </w:r>
      <w:r>
        <w:rPr>
          <w:rFonts w:ascii="Arial"/>
          <w:i/>
          <w:sz w:val="20"/>
        </w:rPr>
        <w:t>Securities</w:t>
      </w:r>
      <w:r>
        <w:rPr>
          <w:rFonts w:ascii="Arial"/>
          <w:i/>
          <w:spacing w:val="24"/>
          <w:sz w:val="20"/>
        </w:rPr>
        <w:t> </w:t>
      </w:r>
      <w:r>
        <w:rPr>
          <w:rFonts w:ascii="Arial"/>
          <w:i/>
          <w:sz w:val="20"/>
        </w:rPr>
        <w:t>Ltd</w:t>
      </w:r>
      <w:r>
        <w:rPr>
          <w:rFonts w:ascii="Arial"/>
          <w:i/>
          <w:spacing w:val="24"/>
          <w:sz w:val="20"/>
        </w:rPr>
        <w:t> </w:t>
      </w:r>
      <w:r>
        <w:rPr>
          <w:rFonts w:ascii="Arial"/>
          <w:i/>
          <w:sz w:val="20"/>
        </w:rPr>
        <w:t>v</w:t>
      </w:r>
      <w:r>
        <w:rPr>
          <w:rFonts w:ascii="Arial"/>
          <w:i/>
          <w:spacing w:val="24"/>
          <w:sz w:val="20"/>
        </w:rPr>
        <w:t> </w:t>
      </w:r>
      <w:r>
        <w:rPr>
          <w:rFonts w:ascii="Arial"/>
          <w:i/>
          <w:sz w:val="20"/>
        </w:rPr>
        <w:t>Jones</w:t>
      </w:r>
      <w:r>
        <w:rPr>
          <w:rFonts w:ascii="Arial"/>
          <w:i/>
          <w:spacing w:val="24"/>
          <w:sz w:val="20"/>
        </w:rPr>
        <w:t> </w:t>
      </w:r>
      <w:r>
        <w:rPr>
          <w:rFonts w:ascii="Arial"/>
          <w:i/>
          <w:sz w:val="20"/>
        </w:rPr>
        <w:t>[1978]</w:t>
      </w:r>
      <w:r>
        <w:rPr>
          <w:rFonts w:ascii="Arial"/>
          <w:i/>
          <w:spacing w:val="24"/>
          <w:sz w:val="20"/>
        </w:rPr>
        <w:t> </w:t>
      </w:r>
      <w:r>
        <w:rPr>
          <w:rFonts w:ascii="Arial"/>
          <w:i/>
          <w:sz w:val="20"/>
        </w:rPr>
        <w:t>Ch.</w:t>
      </w:r>
      <w:r>
        <w:rPr>
          <w:rFonts w:ascii="Arial"/>
          <w:i/>
          <w:spacing w:val="24"/>
          <w:sz w:val="20"/>
        </w:rPr>
        <w:t> </w:t>
      </w:r>
      <w:r>
        <w:rPr>
          <w:rFonts w:ascii="Arial"/>
          <w:i/>
          <w:sz w:val="20"/>
        </w:rPr>
        <w:t>109</w:t>
      </w:r>
      <w:r>
        <w:rPr>
          <w:sz w:val="20"/>
        </w:rPr>
        <w:t>;</w:t>
      </w:r>
      <w:r>
        <w:rPr>
          <w:spacing w:val="24"/>
          <w:sz w:val="20"/>
        </w:rPr>
        <w:t> </w:t>
      </w:r>
      <w:r>
        <w:rPr>
          <w:rFonts w:ascii="Arial"/>
          <w:i/>
          <w:sz w:val="20"/>
        </w:rPr>
        <w:t>Commercial</w:t>
      </w:r>
      <w:r>
        <w:rPr>
          <w:rFonts w:ascii="Arial"/>
          <w:i/>
          <w:spacing w:val="24"/>
          <w:sz w:val="20"/>
        </w:rPr>
        <w:t> </w:t>
      </w:r>
      <w:r>
        <w:rPr>
          <w:rFonts w:ascii="Arial"/>
          <w:i/>
          <w:sz w:val="20"/>
        </w:rPr>
        <w:t>Credit</w:t>
      </w:r>
      <w:r>
        <w:rPr>
          <w:rFonts w:ascii="Arial"/>
          <w:i/>
          <w:spacing w:val="24"/>
          <w:sz w:val="20"/>
        </w:rPr>
        <w:t> </w:t>
      </w:r>
      <w:r>
        <w:rPr>
          <w:rFonts w:ascii="Arial"/>
          <w:i/>
          <w:sz w:val="20"/>
        </w:rPr>
        <w:t>Services</w:t>
      </w:r>
      <w:r>
        <w:rPr>
          <w:rFonts w:ascii="Arial"/>
          <w:i/>
          <w:spacing w:val="24"/>
          <w:sz w:val="20"/>
        </w:rPr>
        <w:t> </w:t>
      </w:r>
      <w:r>
        <w:rPr>
          <w:rFonts w:ascii="Arial"/>
          <w:i/>
          <w:sz w:val="20"/>
        </w:rPr>
        <w:t>v</w:t>
      </w:r>
      <w:r>
        <w:rPr>
          <w:rFonts w:ascii="Arial"/>
          <w:i/>
          <w:spacing w:val="24"/>
          <w:sz w:val="20"/>
        </w:rPr>
        <w:t> </w:t>
      </w:r>
      <w:r>
        <w:rPr>
          <w:rFonts w:ascii="Arial"/>
          <w:i/>
          <w:sz w:val="20"/>
        </w:rPr>
        <w:t>Knowles [1978] 6 C.L. 64</w:t>
      </w:r>
      <w:r>
        <w:rPr>
          <w:sz w:val="20"/>
        </w:rPr>
        <w:t>.</w:t>
      </w:r>
    </w:p>
    <w:p>
      <w:pPr>
        <w:spacing w:after="0" w:line="235" w:lineRule="auto"/>
        <w:jc w:val="left"/>
        <w:rPr>
          <w:sz w:val="20"/>
        </w:rPr>
        <w:sectPr>
          <w:type w:val="continuous"/>
          <w:pgSz w:w="11900" w:h="16840"/>
          <w:pgMar w:header="971" w:footer="0" w:top="1300" w:bottom="280" w:left="1275" w:right="1275"/>
        </w:sectPr>
      </w:pPr>
    </w:p>
    <w:p>
      <w:pPr>
        <w:tabs>
          <w:tab w:pos="540" w:val="left" w:leader="none"/>
        </w:tabs>
        <w:spacing w:line="227" w:lineRule="exact" w:before="166"/>
        <w:ind w:left="0" w:right="168" w:firstLine="0"/>
        <w:jc w:val="right"/>
        <w:rPr>
          <w:rFonts w:ascii="Arial"/>
          <w:i/>
          <w:sz w:val="20"/>
        </w:rPr>
      </w:pPr>
      <w:hyperlink w:history="true" w:anchor="_bookmark1625">
        <w:r>
          <w:rPr>
            <w:color w:val="005DA1"/>
            <w:spacing w:val="-4"/>
            <w:position w:val="5"/>
            <w:sz w:val="14"/>
            <w:u w:val="single" w:color="005DA1"/>
          </w:rPr>
          <w:t>874</w:t>
        </w:r>
      </w:hyperlink>
      <w:r>
        <w:rPr>
          <w:spacing w:val="-4"/>
          <w:position w:val="5"/>
          <w:sz w:val="14"/>
        </w:rPr>
        <w:t>.</w:t>
      </w:r>
      <w:r>
        <w:rPr>
          <w:position w:val="5"/>
          <w:sz w:val="14"/>
        </w:rPr>
        <w:tab/>
      </w:r>
      <w:r>
        <w:rPr>
          <w:sz w:val="20"/>
        </w:rPr>
        <w:t>cf.</w:t>
      </w:r>
      <w:r>
        <w:rPr>
          <w:spacing w:val="15"/>
          <w:sz w:val="20"/>
        </w:rPr>
        <w:t> </w:t>
      </w:r>
      <w:r>
        <w:rPr>
          <w:rFonts w:ascii="Arial"/>
          <w:i/>
          <w:sz w:val="20"/>
        </w:rPr>
        <w:t>National</w:t>
      </w:r>
      <w:r>
        <w:rPr>
          <w:rFonts w:ascii="Arial"/>
          <w:i/>
          <w:spacing w:val="16"/>
          <w:sz w:val="20"/>
        </w:rPr>
        <w:t> </w:t>
      </w:r>
      <w:r>
        <w:rPr>
          <w:rFonts w:ascii="Arial"/>
          <w:i/>
          <w:sz w:val="20"/>
        </w:rPr>
        <w:t>Provincial</w:t>
      </w:r>
      <w:r>
        <w:rPr>
          <w:rFonts w:ascii="Arial"/>
          <w:i/>
          <w:spacing w:val="16"/>
          <w:sz w:val="20"/>
        </w:rPr>
        <w:t> </w:t>
      </w:r>
      <w:r>
        <w:rPr>
          <w:rFonts w:ascii="Arial"/>
          <w:i/>
          <w:sz w:val="20"/>
        </w:rPr>
        <w:t>Bank</w:t>
      </w:r>
      <w:r>
        <w:rPr>
          <w:rFonts w:ascii="Arial"/>
          <w:i/>
          <w:spacing w:val="16"/>
          <w:sz w:val="20"/>
        </w:rPr>
        <w:t> </w:t>
      </w:r>
      <w:r>
        <w:rPr>
          <w:rFonts w:ascii="Arial"/>
          <w:i/>
          <w:sz w:val="20"/>
        </w:rPr>
        <w:t>v</w:t>
      </w:r>
      <w:r>
        <w:rPr>
          <w:rFonts w:ascii="Arial"/>
          <w:i/>
          <w:spacing w:val="16"/>
          <w:sz w:val="20"/>
        </w:rPr>
        <w:t> </w:t>
      </w:r>
      <w:r>
        <w:rPr>
          <w:rFonts w:ascii="Arial"/>
          <w:i/>
          <w:sz w:val="20"/>
        </w:rPr>
        <w:t>Jackson</w:t>
      </w:r>
      <w:r>
        <w:rPr>
          <w:rFonts w:ascii="Arial"/>
          <w:i/>
          <w:spacing w:val="16"/>
          <w:sz w:val="20"/>
        </w:rPr>
        <w:t> </w:t>
      </w:r>
      <w:r>
        <w:rPr>
          <w:rFonts w:ascii="Arial"/>
          <w:i/>
          <w:sz w:val="20"/>
        </w:rPr>
        <w:t>(1886)</w:t>
      </w:r>
      <w:r>
        <w:rPr>
          <w:rFonts w:ascii="Arial"/>
          <w:i/>
          <w:spacing w:val="16"/>
          <w:sz w:val="20"/>
        </w:rPr>
        <w:t> </w:t>
      </w:r>
      <w:r>
        <w:rPr>
          <w:rFonts w:ascii="Arial"/>
          <w:i/>
          <w:sz w:val="20"/>
        </w:rPr>
        <w:t>33</w:t>
      </w:r>
      <w:r>
        <w:rPr>
          <w:rFonts w:ascii="Arial"/>
          <w:i/>
          <w:spacing w:val="16"/>
          <w:sz w:val="20"/>
        </w:rPr>
        <w:t> </w:t>
      </w:r>
      <w:r>
        <w:rPr>
          <w:rFonts w:ascii="Arial"/>
          <w:i/>
          <w:sz w:val="20"/>
        </w:rPr>
        <w:t>Ch.</w:t>
      </w:r>
      <w:r>
        <w:rPr>
          <w:rFonts w:ascii="Arial"/>
          <w:i/>
          <w:spacing w:val="16"/>
          <w:sz w:val="20"/>
        </w:rPr>
        <w:t> </w:t>
      </w:r>
      <w:r>
        <w:rPr>
          <w:rFonts w:ascii="Arial"/>
          <w:i/>
          <w:sz w:val="20"/>
        </w:rPr>
        <w:t>D.</w:t>
      </w:r>
      <w:r>
        <w:rPr>
          <w:rFonts w:ascii="Arial"/>
          <w:i/>
          <w:spacing w:val="16"/>
          <w:sz w:val="20"/>
        </w:rPr>
        <w:t> </w:t>
      </w:r>
      <w:r>
        <w:rPr>
          <w:rFonts w:ascii="Arial"/>
          <w:i/>
          <w:sz w:val="20"/>
        </w:rPr>
        <w:t>1</w:t>
      </w:r>
      <w:r>
        <w:rPr>
          <w:sz w:val="20"/>
        </w:rPr>
        <w:t>;</w:t>
      </w:r>
      <w:r>
        <w:rPr>
          <w:spacing w:val="16"/>
          <w:sz w:val="20"/>
        </w:rPr>
        <w:t> </w:t>
      </w:r>
      <w:r>
        <w:rPr>
          <w:rFonts w:ascii="Arial"/>
          <w:i/>
          <w:sz w:val="20"/>
        </w:rPr>
        <w:t>Re</w:t>
      </w:r>
      <w:r>
        <w:rPr>
          <w:rFonts w:ascii="Arial"/>
          <w:i/>
          <w:spacing w:val="16"/>
          <w:sz w:val="20"/>
        </w:rPr>
        <w:t> </w:t>
      </w:r>
      <w:r>
        <w:rPr>
          <w:rFonts w:ascii="Arial"/>
          <w:i/>
          <w:sz w:val="20"/>
        </w:rPr>
        <w:t>Balkis</w:t>
      </w:r>
      <w:r>
        <w:rPr>
          <w:rFonts w:ascii="Arial"/>
          <w:i/>
          <w:spacing w:val="16"/>
          <w:sz w:val="20"/>
        </w:rPr>
        <w:t> </w:t>
      </w:r>
      <w:r>
        <w:rPr>
          <w:rFonts w:ascii="Arial"/>
          <w:i/>
          <w:sz w:val="20"/>
        </w:rPr>
        <w:t>Consolidated</w:t>
      </w:r>
      <w:r>
        <w:rPr>
          <w:rFonts w:ascii="Arial"/>
          <w:i/>
          <w:spacing w:val="16"/>
          <w:sz w:val="20"/>
        </w:rPr>
        <w:t> </w:t>
      </w:r>
      <w:r>
        <w:rPr>
          <w:rFonts w:ascii="Arial"/>
          <w:i/>
          <w:sz w:val="20"/>
        </w:rPr>
        <w:t>Ltd</w:t>
      </w:r>
      <w:r>
        <w:rPr>
          <w:rFonts w:ascii="Arial"/>
          <w:i/>
          <w:spacing w:val="16"/>
          <w:sz w:val="20"/>
        </w:rPr>
        <w:t> </w:t>
      </w:r>
      <w:r>
        <w:rPr>
          <w:rFonts w:ascii="Arial"/>
          <w:i/>
          <w:spacing w:val="-2"/>
          <w:sz w:val="20"/>
        </w:rPr>
        <w:t>(1888)</w:t>
      </w:r>
    </w:p>
    <w:p>
      <w:pPr>
        <w:spacing w:line="225" w:lineRule="exact" w:before="0"/>
        <w:ind w:left="0" w:right="168" w:firstLine="0"/>
        <w:jc w:val="right"/>
        <w:rPr>
          <w:rFonts w:ascii="Arial"/>
          <w:i/>
          <w:sz w:val="20"/>
        </w:rPr>
      </w:pPr>
      <w:r>
        <w:rPr>
          <w:rFonts w:ascii="Arial"/>
          <w:i/>
          <w:sz w:val="20"/>
        </w:rPr>
        <w:t>58</w:t>
      </w:r>
      <w:r>
        <w:rPr>
          <w:rFonts w:ascii="Arial"/>
          <w:i/>
          <w:spacing w:val="58"/>
          <w:sz w:val="20"/>
        </w:rPr>
        <w:t> </w:t>
      </w:r>
      <w:r>
        <w:rPr>
          <w:rFonts w:ascii="Arial"/>
          <w:i/>
          <w:sz w:val="20"/>
        </w:rPr>
        <w:t>L.T.</w:t>
      </w:r>
      <w:r>
        <w:rPr>
          <w:rFonts w:ascii="Arial"/>
          <w:i/>
          <w:spacing w:val="59"/>
          <w:sz w:val="20"/>
        </w:rPr>
        <w:t> </w:t>
      </w:r>
      <w:r>
        <w:rPr>
          <w:rFonts w:ascii="Arial"/>
          <w:i/>
          <w:sz w:val="20"/>
        </w:rPr>
        <w:t>300</w:t>
      </w:r>
      <w:r>
        <w:rPr>
          <w:sz w:val="20"/>
        </w:rPr>
        <w:t>;</w:t>
      </w:r>
      <w:r>
        <w:rPr>
          <w:spacing w:val="59"/>
          <w:sz w:val="20"/>
        </w:rPr>
        <w:t> </w:t>
      </w:r>
      <w:r>
        <w:rPr>
          <w:rFonts w:ascii="Arial"/>
          <w:i/>
          <w:sz w:val="20"/>
        </w:rPr>
        <w:t>Re</w:t>
      </w:r>
      <w:r>
        <w:rPr>
          <w:rFonts w:ascii="Arial"/>
          <w:i/>
          <w:spacing w:val="59"/>
          <w:sz w:val="20"/>
        </w:rPr>
        <w:t> </w:t>
      </w:r>
      <w:r>
        <w:rPr>
          <w:rFonts w:ascii="Arial"/>
          <w:i/>
          <w:sz w:val="20"/>
        </w:rPr>
        <w:t>Smith</w:t>
      </w:r>
      <w:r>
        <w:rPr>
          <w:rFonts w:ascii="Arial"/>
          <w:i/>
          <w:spacing w:val="59"/>
          <w:sz w:val="20"/>
        </w:rPr>
        <w:t> </w:t>
      </w:r>
      <w:r>
        <w:rPr>
          <w:rFonts w:ascii="Arial"/>
          <w:i/>
          <w:sz w:val="20"/>
        </w:rPr>
        <w:t>(1892)</w:t>
      </w:r>
      <w:r>
        <w:rPr>
          <w:rFonts w:ascii="Arial"/>
          <w:i/>
          <w:spacing w:val="59"/>
          <w:sz w:val="20"/>
        </w:rPr>
        <w:t> </w:t>
      </w:r>
      <w:r>
        <w:rPr>
          <w:rFonts w:ascii="Arial"/>
          <w:i/>
          <w:sz w:val="20"/>
        </w:rPr>
        <w:t>67</w:t>
      </w:r>
      <w:r>
        <w:rPr>
          <w:rFonts w:ascii="Arial"/>
          <w:i/>
          <w:spacing w:val="59"/>
          <w:sz w:val="20"/>
        </w:rPr>
        <w:t> </w:t>
      </w:r>
      <w:r>
        <w:rPr>
          <w:rFonts w:ascii="Arial"/>
          <w:i/>
          <w:sz w:val="20"/>
        </w:rPr>
        <w:t>L.T.</w:t>
      </w:r>
      <w:r>
        <w:rPr>
          <w:rFonts w:ascii="Arial"/>
          <w:i/>
          <w:spacing w:val="59"/>
          <w:sz w:val="20"/>
        </w:rPr>
        <w:t> </w:t>
      </w:r>
      <w:r>
        <w:rPr>
          <w:rFonts w:ascii="Arial"/>
          <w:i/>
          <w:sz w:val="20"/>
        </w:rPr>
        <w:t>64</w:t>
      </w:r>
      <w:r>
        <w:rPr>
          <w:rFonts w:ascii="Arial"/>
          <w:i/>
          <w:spacing w:val="59"/>
          <w:sz w:val="20"/>
        </w:rPr>
        <w:t> </w:t>
      </w:r>
      <w:r>
        <w:rPr>
          <w:sz w:val="20"/>
        </w:rPr>
        <w:t>(these</w:t>
      </w:r>
      <w:r>
        <w:rPr>
          <w:spacing w:val="59"/>
          <w:sz w:val="20"/>
        </w:rPr>
        <w:t> </w:t>
      </w:r>
      <w:r>
        <w:rPr>
          <w:sz w:val="20"/>
        </w:rPr>
        <w:t>cases</w:t>
      </w:r>
      <w:r>
        <w:rPr>
          <w:spacing w:val="59"/>
          <w:sz w:val="20"/>
        </w:rPr>
        <w:t> </w:t>
      </w:r>
      <w:r>
        <w:rPr>
          <w:sz w:val="20"/>
        </w:rPr>
        <w:t>were</w:t>
      </w:r>
      <w:r>
        <w:rPr>
          <w:spacing w:val="59"/>
          <w:sz w:val="20"/>
        </w:rPr>
        <w:t> </w:t>
      </w:r>
      <w:r>
        <w:rPr>
          <w:sz w:val="20"/>
        </w:rPr>
        <w:t>explained</w:t>
      </w:r>
      <w:r>
        <w:rPr>
          <w:spacing w:val="59"/>
          <w:sz w:val="20"/>
        </w:rPr>
        <w:t> </w:t>
      </w:r>
      <w:r>
        <w:rPr>
          <w:sz w:val="20"/>
        </w:rPr>
        <w:t>in</w:t>
      </w:r>
      <w:r>
        <w:rPr>
          <w:spacing w:val="59"/>
          <w:sz w:val="20"/>
        </w:rPr>
        <w:t> </w:t>
      </w:r>
      <w:r>
        <w:rPr>
          <w:rFonts w:ascii="Arial"/>
          <w:i/>
          <w:sz w:val="20"/>
        </w:rPr>
        <w:t>First</w:t>
      </w:r>
      <w:r>
        <w:rPr>
          <w:rFonts w:ascii="Arial"/>
          <w:i/>
          <w:spacing w:val="59"/>
          <w:sz w:val="20"/>
        </w:rPr>
        <w:t> </w:t>
      </w:r>
      <w:r>
        <w:rPr>
          <w:rFonts w:ascii="Arial"/>
          <w:i/>
          <w:spacing w:val="-2"/>
          <w:sz w:val="20"/>
        </w:rPr>
        <w:t>National</w:t>
      </w:r>
    </w:p>
    <w:p>
      <w:pPr>
        <w:spacing w:line="227" w:lineRule="exact" w:before="0"/>
        <w:ind w:left="705" w:right="0" w:firstLine="0"/>
        <w:jc w:val="left"/>
        <w:rPr>
          <w:sz w:val="20"/>
        </w:rPr>
      </w:pPr>
      <w:r>
        <w:rPr>
          <w:rFonts w:ascii="Arial"/>
          <w:i/>
          <w:sz w:val="20"/>
        </w:rPr>
        <w:t>Securities</w:t>
      </w:r>
      <w:r>
        <w:rPr>
          <w:rFonts w:ascii="Arial"/>
          <w:i/>
          <w:spacing w:val="-1"/>
          <w:sz w:val="20"/>
        </w:rPr>
        <w:t> </w:t>
      </w:r>
      <w:r>
        <w:rPr>
          <w:rFonts w:ascii="Arial"/>
          <w:i/>
          <w:sz w:val="20"/>
        </w:rPr>
        <w:t>Ltd v Jones [1978] Ch. 109</w:t>
      </w:r>
      <w:r>
        <w:rPr>
          <w:sz w:val="20"/>
        </w:rPr>
        <w:t>): cf. </w:t>
      </w:r>
      <w:r>
        <w:rPr>
          <w:rFonts w:ascii="Arial"/>
          <w:i/>
          <w:sz w:val="20"/>
        </w:rPr>
        <w:t>TCB v Gray [1986] 1 Ch. 621, </w:t>
      </w:r>
      <w:r>
        <w:rPr>
          <w:rFonts w:ascii="Arial"/>
          <w:i/>
          <w:spacing w:val="-4"/>
          <w:sz w:val="20"/>
        </w:rPr>
        <w:t>633</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660" w:id="1662"/>
      <w:bookmarkEnd w:id="1662"/>
      <w:r>
        <w:rPr/>
      </w:r>
      <w:hyperlink w:history="true" w:anchor="_bookmark1626">
        <w:r>
          <w:rPr>
            <w:color w:val="005DA1"/>
            <w:spacing w:val="-4"/>
            <w:position w:val="5"/>
            <w:sz w:val="14"/>
            <w:u w:val="single" w:color="005DA1"/>
          </w:rPr>
          <w:t>875</w:t>
        </w:r>
      </w:hyperlink>
      <w:r>
        <w:rPr>
          <w:spacing w:val="-4"/>
          <w:position w:val="5"/>
          <w:sz w:val="14"/>
        </w:rPr>
        <w:t>.</w:t>
      </w:r>
      <w:r>
        <w:rPr>
          <w:position w:val="5"/>
          <w:sz w:val="14"/>
        </w:rPr>
        <w:tab/>
      </w:r>
      <w:r>
        <w:rPr>
          <w:rFonts w:ascii="Arial" w:hAnsi="Arial"/>
          <w:i/>
          <w:sz w:val="20"/>
        </w:rPr>
        <w:t>TCB</w:t>
      </w:r>
      <w:r>
        <w:rPr>
          <w:rFonts w:ascii="Arial" w:hAnsi="Arial"/>
          <w:i/>
          <w:spacing w:val="-3"/>
          <w:sz w:val="20"/>
        </w:rPr>
        <w:t> </w:t>
      </w:r>
      <w:r>
        <w:rPr>
          <w:rFonts w:ascii="Arial" w:hAnsi="Arial"/>
          <w:i/>
          <w:sz w:val="20"/>
        </w:rPr>
        <w:t>v Gray [1986] 1 Ch. 621</w:t>
      </w:r>
      <w:r>
        <w:rPr>
          <w:sz w:val="20"/>
        </w:rPr>
        <w:t>. cf. </w:t>
      </w:r>
      <w:r>
        <w:rPr>
          <w:rFonts w:ascii="Arial" w:hAnsi="Arial"/>
          <w:i/>
          <w:sz w:val="20"/>
        </w:rPr>
        <w:t>Rushingdale Ltd v Byblos Bank (1985) P.C.C. 342, </w:t>
      </w:r>
      <w:r>
        <w:rPr>
          <w:rFonts w:ascii="Arial" w:hAnsi="Arial"/>
          <w:i/>
          <w:spacing w:val="-2"/>
          <w:sz w:val="20"/>
        </w:rPr>
        <w:t>346–347</w:t>
      </w:r>
      <w:r>
        <w:rPr>
          <w:spacing w:val="-2"/>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661" w:id="1663"/>
      <w:bookmarkEnd w:id="1663"/>
      <w:r>
        <w:rPr/>
      </w:r>
      <w:hyperlink w:history="true" w:anchor="_bookmark1627">
        <w:r>
          <w:rPr>
            <w:color w:val="005DA1"/>
            <w:spacing w:val="-4"/>
            <w:position w:val="5"/>
            <w:sz w:val="14"/>
            <w:u w:val="single" w:color="005DA1"/>
          </w:rPr>
          <w:t>876</w:t>
        </w:r>
      </w:hyperlink>
      <w:r>
        <w:rPr>
          <w:spacing w:val="-4"/>
          <w:position w:val="5"/>
          <w:sz w:val="14"/>
        </w:rPr>
        <w:t>.</w:t>
      </w:r>
      <w:r>
        <w:rPr>
          <w:position w:val="5"/>
          <w:sz w:val="14"/>
        </w:rPr>
        <w:tab/>
      </w:r>
      <w:r>
        <w:rPr>
          <w:rFonts w:ascii="Arial"/>
          <w:i/>
          <w:sz w:val="20"/>
        </w:rPr>
        <w:t>Xenos</w:t>
      </w:r>
      <w:r>
        <w:rPr>
          <w:rFonts w:ascii="Arial"/>
          <w:i/>
          <w:spacing w:val="22"/>
          <w:sz w:val="20"/>
        </w:rPr>
        <w:t> </w:t>
      </w:r>
      <w:r>
        <w:rPr>
          <w:rFonts w:ascii="Arial"/>
          <w:i/>
          <w:sz w:val="20"/>
        </w:rPr>
        <w:t>v</w:t>
      </w:r>
      <w:r>
        <w:rPr>
          <w:rFonts w:ascii="Arial"/>
          <w:i/>
          <w:spacing w:val="22"/>
          <w:sz w:val="20"/>
        </w:rPr>
        <w:t> </w:t>
      </w:r>
      <w:r>
        <w:rPr>
          <w:rFonts w:ascii="Arial"/>
          <w:i/>
          <w:sz w:val="20"/>
        </w:rPr>
        <w:t>Wickham</w:t>
      </w:r>
      <w:r>
        <w:rPr>
          <w:rFonts w:ascii="Arial"/>
          <w:i/>
          <w:spacing w:val="22"/>
          <w:sz w:val="20"/>
        </w:rPr>
        <w:t> </w:t>
      </w:r>
      <w:r>
        <w:rPr>
          <w:rFonts w:ascii="Arial"/>
          <w:i/>
          <w:sz w:val="20"/>
        </w:rPr>
        <w:t>(1863)</w:t>
      </w:r>
      <w:r>
        <w:rPr>
          <w:rFonts w:ascii="Arial"/>
          <w:i/>
          <w:spacing w:val="22"/>
          <w:sz w:val="20"/>
        </w:rPr>
        <w:t> </w:t>
      </w:r>
      <w:r>
        <w:rPr>
          <w:rFonts w:ascii="Arial"/>
          <w:i/>
          <w:sz w:val="20"/>
        </w:rPr>
        <w:t>14</w:t>
      </w:r>
      <w:r>
        <w:rPr>
          <w:rFonts w:ascii="Arial"/>
          <w:i/>
          <w:spacing w:val="22"/>
          <w:sz w:val="20"/>
        </w:rPr>
        <w:t> </w:t>
      </w:r>
      <w:r>
        <w:rPr>
          <w:rFonts w:ascii="Arial"/>
          <w:i/>
          <w:sz w:val="20"/>
        </w:rPr>
        <w:t>C.B.(N.S.)</w:t>
      </w:r>
      <w:r>
        <w:rPr>
          <w:rFonts w:ascii="Arial"/>
          <w:i/>
          <w:spacing w:val="22"/>
          <w:sz w:val="20"/>
        </w:rPr>
        <w:t> </w:t>
      </w:r>
      <w:r>
        <w:rPr>
          <w:rFonts w:ascii="Arial"/>
          <w:i/>
          <w:sz w:val="20"/>
        </w:rPr>
        <w:t>435,</w:t>
      </w:r>
      <w:r>
        <w:rPr>
          <w:rFonts w:ascii="Arial"/>
          <w:i/>
          <w:spacing w:val="22"/>
          <w:sz w:val="20"/>
        </w:rPr>
        <w:t> </w:t>
      </w:r>
      <w:r>
        <w:rPr>
          <w:rFonts w:ascii="Arial"/>
          <w:i/>
          <w:sz w:val="20"/>
        </w:rPr>
        <w:t>473</w:t>
      </w:r>
      <w:r>
        <w:rPr>
          <w:sz w:val="20"/>
        </w:rPr>
        <w:t>;</w:t>
      </w:r>
      <w:r>
        <w:rPr>
          <w:spacing w:val="22"/>
          <w:sz w:val="20"/>
        </w:rPr>
        <w:t> </w:t>
      </w:r>
      <w:r>
        <w:rPr>
          <w:rFonts w:ascii="Arial"/>
          <w:i/>
          <w:sz w:val="20"/>
        </w:rPr>
        <w:t>Termes</w:t>
      </w:r>
      <w:r>
        <w:rPr>
          <w:rFonts w:ascii="Arial"/>
          <w:i/>
          <w:spacing w:val="22"/>
          <w:sz w:val="20"/>
        </w:rPr>
        <w:t> </w:t>
      </w:r>
      <w:r>
        <w:rPr>
          <w:rFonts w:ascii="Arial"/>
          <w:i/>
          <w:sz w:val="20"/>
        </w:rPr>
        <w:t>de</w:t>
      </w:r>
      <w:r>
        <w:rPr>
          <w:rFonts w:ascii="Arial"/>
          <w:i/>
          <w:spacing w:val="22"/>
          <w:sz w:val="20"/>
        </w:rPr>
        <w:t> </w:t>
      </w:r>
      <w:r>
        <w:rPr>
          <w:rFonts w:ascii="Arial"/>
          <w:i/>
          <w:sz w:val="20"/>
        </w:rPr>
        <w:t>la</w:t>
      </w:r>
      <w:r>
        <w:rPr>
          <w:rFonts w:ascii="Arial"/>
          <w:i/>
          <w:spacing w:val="22"/>
          <w:sz w:val="20"/>
        </w:rPr>
        <w:t> </w:t>
      </w:r>
      <w:r>
        <w:rPr>
          <w:rFonts w:ascii="Arial"/>
          <w:i/>
          <w:sz w:val="20"/>
        </w:rPr>
        <w:t>Ley,</w:t>
      </w:r>
      <w:r>
        <w:rPr>
          <w:rFonts w:ascii="Arial"/>
          <w:i/>
          <w:spacing w:val="22"/>
          <w:sz w:val="20"/>
        </w:rPr>
        <w:t> </w:t>
      </w:r>
      <w:r>
        <w:rPr>
          <w:rFonts w:ascii="Arial"/>
          <w:i/>
          <w:sz w:val="20"/>
        </w:rPr>
        <w:t>s.v.</w:t>
      </w:r>
      <w:r>
        <w:rPr>
          <w:rFonts w:ascii="Arial"/>
          <w:i/>
          <w:spacing w:val="22"/>
          <w:sz w:val="20"/>
        </w:rPr>
        <w:t> </w:t>
      </w:r>
      <w:r>
        <w:rPr>
          <w:rFonts w:ascii="Arial"/>
          <w:i/>
          <w:sz w:val="20"/>
        </w:rPr>
        <w:t>Fait;</w:t>
      </w:r>
      <w:r>
        <w:rPr>
          <w:rFonts w:ascii="Arial"/>
          <w:i/>
          <w:spacing w:val="22"/>
          <w:sz w:val="20"/>
        </w:rPr>
        <w:t> </w:t>
      </w:r>
      <w:r>
        <w:rPr>
          <w:rFonts w:ascii="Arial"/>
          <w:i/>
          <w:sz w:val="20"/>
        </w:rPr>
        <w:t>Co</w:t>
      </w:r>
      <w:r>
        <w:rPr>
          <w:rFonts w:ascii="Arial"/>
          <w:i/>
          <w:spacing w:val="22"/>
          <w:sz w:val="20"/>
        </w:rPr>
        <w:t> </w:t>
      </w:r>
      <w:r>
        <w:rPr>
          <w:rFonts w:ascii="Arial"/>
          <w:i/>
          <w:sz w:val="20"/>
        </w:rPr>
        <w:t>Litt.</w:t>
      </w:r>
      <w:r>
        <w:rPr>
          <w:rFonts w:ascii="Arial"/>
          <w:i/>
          <w:spacing w:val="22"/>
          <w:sz w:val="20"/>
        </w:rPr>
        <w:t> </w:t>
      </w:r>
      <w:r>
        <w:rPr>
          <w:rFonts w:ascii="Arial"/>
          <w:i/>
          <w:sz w:val="20"/>
        </w:rPr>
        <w:t>171b</w:t>
      </w:r>
      <w:r>
        <w:rPr>
          <w:sz w:val="20"/>
        </w:rPr>
        <w:t>; Law of Property (Miscellaneous Provisions) Act 1989 s.1(3)(b).</w:t>
      </w:r>
    </w:p>
    <w:p>
      <w:pPr>
        <w:pStyle w:val="BodyText"/>
        <w:spacing w:before="6"/>
      </w:pPr>
    </w:p>
    <w:p>
      <w:pPr>
        <w:pStyle w:val="BodyText"/>
        <w:tabs>
          <w:tab w:pos="705" w:val="left" w:leader="none"/>
        </w:tabs>
        <w:ind w:left="165"/>
      </w:pPr>
      <w:bookmarkStart w:name="_bookmark1662" w:id="1664"/>
      <w:bookmarkEnd w:id="1664"/>
      <w:r>
        <w:rPr/>
      </w:r>
      <w:hyperlink w:history="true" w:anchor="_bookmark1628">
        <w:r>
          <w:rPr>
            <w:color w:val="005DA1"/>
            <w:spacing w:val="-4"/>
            <w:position w:val="5"/>
            <w:sz w:val="14"/>
            <w:u w:val="single" w:color="005DA1"/>
          </w:rPr>
          <w:t>877</w:t>
        </w:r>
      </w:hyperlink>
      <w:r>
        <w:rPr>
          <w:spacing w:val="-4"/>
          <w:position w:val="5"/>
          <w:sz w:val="14"/>
        </w:rPr>
        <w:t>.</w:t>
      </w:r>
      <w:r>
        <w:rPr>
          <w:position w:val="5"/>
          <w:sz w:val="14"/>
        </w:rPr>
        <w:tab/>
      </w:r>
      <w:r>
        <w:rPr/>
        <w:t>But see Yale [1970] C.L.J. </w:t>
      </w:r>
      <w:r>
        <w:rPr>
          <w:spacing w:val="-5"/>
        </w:rPr>
        <w:t>52.</w:t>
      </w:r>
    </w:p>
    <w:p>
      <w:pPr>
        <w:pStyle w:val="BodyText"/>
        <w:spacing w:before="8"/>
      </w:pPr>
    </w:p>
    <w:p>
      <w:pPr>
        <w:spacing w:line="235" w:lineRule="auto" w:before="1"/>
        <w:ind w:left="705" w:right="168" w:hanging="541"/>
        <w:jc w:val="both"/>
        <w:rPr>
          <w:sz w:val="20"/>
        </w:rPr>
      </w:pPr>
      <w:bookmarkStart w:name="_bookmark1663" w:id="1665"/>
      <w:bookmarkEnd w:id="1665"/>
      <w:r>
        <w:rPr/>
      </w:r>
      <w:hyperlink w:history="true" w:anchor="_bookmark1629">
        <w:r>
          <w:rPr>
            <w:color w:val="005DA1"/>
            <w:position w:val="5"/>
            <w:sz w:val="14"/>
            <w:u w:val="single" w:color="005DA1"/>
          </w:rPr>
          <w:t>878</w:t>
        </w:r>
      </w:hyperlink>
      <w:r>
        <w:rPr>
          <w:position w:val="5"/>
          <w:sz w:val="14"/>
        </w:rPr>
        <w:t>.</w:t>
      </w:r>
      <w:r>
        <w:rPr>
          <w:spacing w:val="80"/>
          <w:w w:val="150"/>
          <w:position w:val="5"/>
          <w:sz w:val="14"/>
        </w:rPr>
        <w:t> </w:t>
      </w:r>
      <w:r>
        <w:rPr>
          <w:rFonts w:ascii="Arial" w:hAnsi="Arial"/>
          <w:i/>
          <w:sz w:val="20"/>
        </w:rPr>
        <w:t>Vincent v Premo Enterprises Ltd [1969] 2 Q.B. 609, 619</w:t>
      </w:r>
      <w:r>
        <w:rPr>
          <w:sz w:val="20"/>
        </w:rPr>
        <w:t>. See further </w:t>
      </w:r>
      <w:r>
        <w:rPr>
          <w:rFonts w:ascii="Arial" w:hAnsi="Arial"/>
          <w:i/>
          <w:sz w:val="20"/>
        </w:rPr>
        <w:t>Longman v </w:t>
      </w:r>
      <w:r>
        <w:rPr>
          <w:rFonts w:ascii="Arial" w:hAnsi="Arial"/>
          <w:i/>
          <w:sz w:val="20"/>
        </w:rPr>
        <w:t>Viscount Chelsea [1989] 58 P. &amp; C.R. 189 </w:t>
      </w:r>
      <w:r>
        <w:rPr>
          <w:sz w:val="20"/>
        </w:rPr>
        <w:t>at 195; </w:t>
      </w:r>
      <w:r>
        <w:rPr>
          <w:rFonts w:ascii="Arial" w:hAnsi="Arial"/>
          <w:i/>
          <w:sz w:val="20"/>
        </w:rPr>
        <w:t>Queen Maritime Ltd v Persia Petroleum Services Ltd [2010] EWHC 2867 (QB) </w:t>
      </w:r>
      <w:r>
        <w:rPr>
          <w:sz w:val="20"/>
        </w:rPr>
        <w:t>[107]–[114].</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664" w:id="1666"/>
      <w:bookmarkEnd w:id="1666"/>
      <w:r>
        <w:rPr/>
      </w:r>
      <w:hyperlink w:history="true" w:anchor="_bookmark1630">
        <w:r>
          <w:rPr>
            <w:color w:val="005DA1"/>
            <w:spacing w:val="-4"/>
            <w:position w:val="5"/>
            <w:sz w:val="14"/>
            <w:u w:val="single" w:color="005DA1"/>
          </w:rPr>
          <w:t>879</w:t>
        </w:r>
      </w:hyperlink>
      <w:r>
        <w:rPr>
          <w:spacing w:val="-4"/>
          <w:position w:val="5"/>
          <w:sz w:val="14"/>
        </w:rPr>
        <w:t>.</w:t>
      </w:r>
      <w:r>
        <w:rPr>
          <w:position w:val="5"/>
          <w:sz w:val="14"/>
        </w:rPr>
        <w:tab/>
      </w:r>
      <w:r>
        <w:rPr>
          <w:rFonts w:ascii="Arial"/>
          <w:i/>
          <w:sz w:val="20"/>
        </w:rPr>
        <w:t>Tupper</w:t>
      </w:r>
      <w:r>
        <w:rPr>
          <w:rFonts w:ascii="Arial"/>
          <w:i/>
          <w:spacing w:val="12"/>
          <w:sz w:val="20"/>
        </w:rPr>
        <w:t> </w:t>
      </w:r>
      <w:r>
        <w:rPr>
          <w:rFonts w:ascii="Arial"/>
          <w:i/>
          <w:sz w:val="20"/>
        </w:rPr>
        <w:t>v</w:t>
      </w:r>
      <w:r>
        <w:rPr>
          <w:rFonts w:ascii="Arial"/>
          <w:i/>
          <w:spacing w:val="13"/>
          <w:sz w:val="20"/>
        </w:rPr>
        <w:t> </w:t>
      </w:r>
      <w:r>
        <w:rPr>
          <w:rFonts w:ascii="Arial"/>
          <w:i/>
          <w:sz w:val="20"/>
        </w:rPr>
        <w:t>Foulkes</w:t>
      </w:r>
      <w:r>
        <w:rPr>
          <w:rFonts w:ascii="Arial"/>
          <w:i/>
          <w:spacing w:val="13"/>
          <w:sz w:val="20"/>
        </w:rPr>
        <w:t> </w:t>
      </w:r>
      <w:r>
        <w:rPr>
          <w:rFonts w:ascii="Arial"/>
          <w:i/>
          <w:sz w:val="20"/>
        </w:rPr>
        <w:t>(1861)</w:t>
      </w:r>
      <w:r>
        <w:rPr>
          <w:rFonts w:ascii="Arial"/>
          <w:i/>
          <w:spacing w:val="13"/>
          <w:sz w:val="20"/>
        </w:rPr>
        <w:t> </w:t>
      </w:r>
      <w:r>
        <w:rPr>
          <w:rFonts w:ascii="Arial"/>
          <w:i/>
          <w:sz w:val="20"/>
        </w:rPr>
        <w:t>9</w:t>
      </w:r>
      <w:r>
        <w:rPr>
          <w:rFonts w:ascii="Arial"/>
          <w:i/>
          <w:spacing w:val="13"/>
          <w:sz w:val="20"/>
        </w:rPr>
        <w:t> </w:t>
      </w:r>
      <w:r>
        <w:rPr>
          <w:rFonts w:ascii="Arial"/>
          <w:i/>
          <w:sz w:val="20"/>
        </w:rPr>
        <w:t>C.B.(N.S.)</w:t>
      </w:r>
      <w:r>
        <w:rPr>
          <w:rFonts w:ascii="Arial"/>
          <w:i/>
          <w:spacing w:val="13"/>
          <w:sz w:val="20"/>
        </w:rPr>
        <w:t> </w:t>
      </w:r>
      <w:r>
        <w:rPr>
          <w:rFonts w:ascii="Arial"/>
          <w:i/>
          <w:sz w:val="20"/>
        </w:rPr>
        <w:t>797</w:t>
      </w:r>
      <w:r>
        <w:rPr>
          <w:sz w:val="20"/>
        </w:rPr>
        <w:t>;</w:t>
      </w:r>
      <w:r>
        <w:rPr>
          <w:spacing w:val="13"/>
          <w:sz w:val="20"/>
        </w:rPr>
        <w:t> </w:t>
      </w:r>
      <w:r>
        <w:rPr>
          <w:rFonts w:ascii="Arial"/>
          <w:i/>
          <w:sz w:val="20"/>
        </w:rPr>
        <w:t>Xenos</w:t>
      </w:r>
      <w:r>
        <w:rPr>
          <w:rFonts w:ascii="Arial"/>
          <w:i/>
          <w:spacing w:val="13"/>
          <w:sz w:val="20"/>
        </w:rPr>
        <w:t> </w:t>
      </w:r>
      <w:r>
        <w:rPr>
          <w:rFonts w:ascii="Arial"/>
          <w:i/>
          <w:sz w:val="20"/>
        </w:rPr>
        <w:t>v</w:t>
      </w:r>
      <w:r>
        <w:rPr>
          <w:rFonts w:ascii="Arial"/>
          <w:i/>
          <w:spacing w:val="12"/>
          <w:sz w:val="20"/>
        </w:rPr>
        <w:t> </w:t>
      </w:r>
      <w:r>
        <w:rPr>
          <w:rFonts w:ascii="Arial"/>
          <w:i/>
          <w:sz w:val="20"/>
        </w:rPr>
        <w:t>Wickham</w:t>
      </w:r>
      <w:r>
        <w:rPr>
          <w:rFonts w:ascii="Arial"/>
          <w:i/>
          <w:spacing w:val="13"/>
          <w:sz w:val="20"/>
        </w:rPr>
        <w:t> </w:t>
      </w:r>
      <w:r>
        <w:rPr>
          <w:rFonts w:ascii="Arial"/>
          <w:i/>
          <w:sz w:val="20"/>
        </w:rPr>
        <w:t>(1867)</w:t>
      </w:r>
      <w:r>
        <w:rPr>
          <w:rFonts w:ascii="Arial"/>
          <w:i/>
          <w:spacing w:val="13"/>
          <w:sz w:val="20"/>
        </w:rPr>
        <w:t> </w:t>
      </w:r>
      <w:r>
        <w:rPr>
          <w:rFonts w:ascii="Arial"/>
          <w:i/>
          <w:sz w:val="20"/>
        </w:rPr>
        <w:t>L.R.</w:t>
      </w:r>
      <w:r>
        <w:rPr>
          <w:rFonts w:ascii="Arial"/>
          <w:i/>
          <w:spacing w:val="13"/>
          <w:sz w:val="20"/>
        </w:rPr>
        <w:t> </w:t>
      </w:r>
      <w:r>
        <w:rPr>
          <w:rFonts w:ascii="Arial"/>
          <w:i/>
          <w:sz w:val="20"/>
        </w:rPr>
        <w:t>2</w:t>
      </w:r>
      <w:r>
        <w:rPr>
          <w:rFonts w:ascii="Arial"/>
          <w:i/>
          <w:spacing w:val="13"/>
          <w:sz w:val="20"/>
        </w:rPr>
        <w:t> </w:t>
      </w:r>
      <w:r>
        <w:rPr>
          <w:rFonts w:ascii="Arial"/>
          <w:i/>
          <w:sz w:val="20"/>
        </w:rPr>
        <w:t>H.L.</w:t>
      </w:r>
      <w:r>
        <w:rPr>
          <w:rFonts w:ascii="Arial"/>
          <w:i/>
          <w:spacing w:val="13"/>
          <w:sz w:val="20"/>
        </w:rPr>
        <w:t> </w:t>
      </w:r>
      <w:r>
        <w:rPr>
          <w:rFonts w:ascii="Arial"/>
          <w:i/>
          <w:sz w:val="20"/>
        </w:rPr>
        <w:t>296,</w:t>
      </w:r>
      <w:r>
        <w:rPr>
          <w:rFonts w:ascii="Arial"/>
          <w:i/>
          <w:spacing w:val="13"/>
          <w:sz w:val="20"/>
        </w:rPr>
        <w:t> </w:t>
      </w:r>
      <w:r>
        <w:rPr>
          <w:rFonts w:ascii="Arial"/>
          <w:i/>
          <w:sz w:val="20"/>
        </w:rPr>
        <w:t>312</w:t>
      </w:r>
      <w:r>
        <w:rPr>
          <w:sz w:val="20"/>
        </w:rPr>
        <w:t>;</w:t>
      </w:r>
      <w:r>
        <w:rPr>
          <w:spacing w:val="13"/>
          <w:sz w:val="20"/>
        </w:rPr>
        <w:t> </w:t>
      </w:r>
      <w:r>
        <w:rPr>
          <w:rFonts w:ascii="Arial"/>
          <w:i/>
          <w:spacing w:val="-5"/>
          <w:sz w:val="20"/>
        </w:rPr>
        <w:t>Re</w:t>
      </w:r>
    </w:p>
    <w:p>
      <w:pPr>
        <w:spacing w:line="227" w:lineRule="exact" w:before="0"/>
        <w:ind w:left="705" w:right="0" w:firstLine="0"/>
        <w:jc w:val="left"/>
        <w:rPr>
          <w:sz w:val="20"/>
        </w:rPr>
      </w:pPr>
      <w:r>
        <w:rPr>
          <w:rFonts w:ascii="Arial"/>
          <w:i/>
          <w:sz w:val="20"/>
        </w:rPr>
        <w:t>Seymour</w:t>
      </w:r>
      <w:r>
        <w:rPr>
          <w:rFonts w:ascii="Arial"/>
          <w:i/>
          <w:spacing w:val="-2"/>
          <w:sz w:val="20"/>
        </w:rPr>
        <w:t> </w:t>
      </w:r>
      <w:r>
        <w:rPr>
          <w:rFonts w:ascii="Arial"/>
          <w:i/>
          <w:sz w:val="20"/>
        </w:rPr>
        <w:t>[1913] 1 Ch. </w:t>
      </w:r>
      <w:r>
        <w:rPr>
          <w:rFonts w:ascii="Arial"/>
          <w:i/>
          <w:spacing w:val="-4"/>
          <w:sz w:val="20"/>
        </w:rPr>
        <w:t>475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65" w:id="1667"/>
      <w:bookmarkEnd w:id="1667"/>
      <w:r>
        <w:rPr/>
      </w:r>
      <w:hyperlink w:history="true" w:anchor="_bookmark1631">
        <w:r>
          <w:rPr>
            <w:color w:val="005DA1"/>
            <w:spacing w:val="-4"/>
            <w:position w:val="5"/>
            <w:sz w:val="14"/>
            <w:u w:val="single" w:color="005DA1"/>
          </w:rPr>
          <w:t>880</w:t>
        </w:r>
      </w:hyperlink>
      <w:r>
        <w:rPr>
          <w:spacing w:val="-4"/>
          <w:position w:val="5"/>
          <w:sz w:val="14"/>
        </w:rPr>
        <w:t>.</w:t>
      </w:r>
      <w:r>
        <w:rPr>
          <w:position w:val="5"/>
          <w:sz w:val="14"/>
        </w:rPr>
        <w:tab/>
      </w:r>
      <w:r>
        <w:rPr>
          <w:rFonts w:ascii="Arial"/>
          <w:i/>
          <w:sz w:val="20"/>
        </w:rPr>
        <w:t>Xenos v Wickham (1867) L.R. 2 H.L. </w:t>
      </w:r>
      <w:r>
        <w:rPr>
          <w:rFonts w:ascii="Arial"/>
          <w:i/>
          <w:spacing w:val="-4"/>
          <w:sz w:val="20"/>
        </w:rPr>
        <w:t>296</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666" w:id="1668"/>
      <w:bookmarkEnd w:id="1668"/>
      <w:r>
        <w:rPr/>
      </w:r>
      <w:hyperlink w:history="true" w:anchor="_bookmark1632">
        <w:r>
          <w:rPr>
            <w:color w:val="005DA1"/>
            <w:spacing w:val="-4"/>
            <w:position w:val="5"/>
            <w:sz w:val="14"/>
            <w:u w:val="single" w:color="005DA1"/>
          </w:rPr>
          <w:t>881</w:t>
        </w:r>
      </w:hyperlink>
      <w:r>
        <w:rPr>
          <w:spacing w:val="-4"/>
          <w:position w:val="5"/>
          <w:sz w:val="14"/>
        </w:rPr>
        <w:t>.</w:t>
      </w:r>
      <w:r>
        <w:rPr>
          <w:position w:val="5"/>
          <w:sz w:val="14"/>
        </w:rPr>
        <w:tab/>
      </w:r>
      <w:r>
        <w:rPr>
          <w:rFonts w:ascii="Arial"/>
          <w:i/>
          <w:sz w:val="20"/>
        </w:rPr>
        <w:t>Bibby</w:t>
      </w:r>
      <w:r>
        <w:rPr>
          <w:rFonts w:ascii="Arial"/>
          <w:i/>
          <w:spacing w:val="19"/>
          <w:sz w:val="20"/>
        </w:rPr>
        <w:t> </w:t>
      </w:r>
      <w:r>
        <w:rPr>
          <w:rFonts w:ascii="Arial"/>
          <w:i/>
          <w:sz w:val="20"/>
        </w:rPr>
        <w:t>Financial</w:t>
      </w:r>
      <w:r>
        <w:rPr>
          <w:rFonts w:ascii="Arial"/>
          <w:i/>
          <w:spacing w:val="19"/>
          <w:sz w:val="20"/>
        </w:rPr>
        <w:t> </w:t>
      </w:r>
      <w:r>
        <w:rPr>
          <w:rFonts w:ascii="Arial"/>
          <w:i/>
          <w:sz w:val="20"/>
        </w:rPr>
        <w:t>Services</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Magson</w:t>
      </w:r>
      <w:r>
        <w:rPr>
          <w:rFonts w:ascii="Arial"/>
          <w:i/>
          <w:spacing w:val="19"/>
          <w:sz w:val="20"/>
        </w:rPr>
        <w:t> </w:t>
      </w:r>
      <w:r>
        <w:rPr>
          <w:rFonts w:ascii="Arial"/>
          <w:i/>
          <w:sz w:val="20"/>
        </w:rPr>
        <w:t>[2011]</w:t>
      </w:r>
      <w:r>
        <w:rPr>
          <w:rFonts w:ascii="Arial"/>
          <w:i/>
          <w:spacing w:val="19"/>
          <w:sz w:val="20"/>
        </w:rPr>
        <w:t> </w:t>
      </w:r>
      <w:r>
        <w:rPr>
          <w:rFonts w:ascii="Arial"/>
          <w:i/>
          <w:sz w:val="20"/>
        </w:rPr>
        <w:t>EWHC</w:t>
      </w:r>
      <w:r>
        <w:rPr>
          <w:rFonts w:ascii="Arial"/>
          <w:i/>
          <w:spacing w:val="19"/>
          <w:sz w:val="20"/>
        </w:rPr>
        <w:t> </w:t>
      </w:r>
      <w:r>
        <w:rPr>
          <w:rFonts w:ascii="Arial"/>
          <w:i/>
          <w:sz w:val="20"/>
        </w:rPr>
        <w:t>2495</w:t>
      </w:r>
      <w:r>
        <w:rPr>
          <w:rFonts w:ascii="Arial"/>
          <w:i/>
          <w:spacing w:val="19"/>
          <w:sz w:val="20"/>
        </w:rPr>
        <w:t> </w:t>
      </w:r>
      <w:r>
        <w:rPr>
          <w:rFonts w:ascii="Arial"/>
          <w:i/>
          <w:sz w:val="20"/>
        </w:rPr>
        <w:t>(QB) </w:t>
      </w:r>
      <w:r>
        <w:rPr>
          <w:sz w:val="20"/>
        </w:rPr>
        <w:t>at</w:t>
      </w:r>
      <w:r>
        <w:rPr>
          <w:spacing w:val="19"/>
          <w:sz w:val="20"/>
        </w:rPr>
        <w:t> </w:t>
      </w:r>
      <w:r>
        <w:rPr>
          <w:sz w:val="20"/>
        </w:rPr>
        <w:t>[335],</w:t>
      </w:r>
      <w:r>
        <w:rPr>
          <w:spacing w:val="19"/>
          <w:sz w:val="20"/>
        </w:rPr>
        <w:t> </w:t>
      </w:r>
      <w:r>
        <w:rPr>
          <w:sz w:val="20"/>
        </w:rPr>
        <w:t>per</w:t>
      </w:r>
      <w:r>
        <w:rPr>
          <w:spacing w:val="19"/>
          <w:sz w:val="20"/>
        </w:rPr>
        <w:t> </w:t>
      </w:r>
      <w:r>
        <w:rPr>
          <w:sz w:val="20"/>
        </w:rPr>
        <w:t>Judge</w:t>
      </w:r>
      <w:r>
        <w:rPr>
          <w:spacing w:val="19"/>
          <w:sz w:val="20"/>
        </w:rPr>
        <w:t> </w:t>
      </w:r>
      <w:r>
        <w:rPr>
          <w:sz w:val="20"/>
        </w:rPr>
        <w:t>Richard Seymour Q.C.</w:t>
      </w:r>
    </w:p>
    <w:p>
      <w:pPr>
        <w:pStyle w:val="BodyText"/>
        <w:spacing w:before="5"/>
      </w:pPr>
    </w:p>
    <w:p>
      <w:pPr>
        <w:pStyle w:val="BodyText"/>
        <w:tabs>
          <w:tab w:pos="705" w:val="left" w:leader="none"/>
        </w:tabs>
        <w:ind w:left="165"/>
      </w:pPr>
      <w:bookmarkStart w:name="_bookmark1667" w:id="1669"/>
      <w:bookmarkEnd w:id="1669"/>
      <w:r>
        <w:rPr/>
      </w:r>
      <w:hyperlink w:history="true" w:anchor="_bookmark1633">
        <w:r>
          <w:rPr>
            <w:color w:val="005DA1"/>
            <w:spacing w:val="-4"/>
            <w:position w:val="5"/>
            <w:sz w:val="14"/>
            <w:u w:val="single" w:color="005DA1"/>
          </w:rPr>
          <w:t>882</w:t>
        </w:r>
      </w:hyperlink>
      <w:r>
        <w:rPr>
          <w:spacing w:val="-4"/>
          <w:position w:val="5"/>
          <w:sz w:val="14"/>
        </w:rPr>
        <w:t>.</w:t>
      </w:r>
      <w:r>
        <w:rPr>
          <w:position w:val="5"/>
          <w:sz w:val="14"/>
        </w:rPr>
        <w:tab/>
      </w:r>
      <w:r>
        <w:rPr/>
        <w:t>But</w:t>
      </w:r>
      <w:r>
        <w:rPr>
          <w:spacing w:val="-2"/>
        </w:rPr>
        <w:t> </w:t>
      </w:r>
      <w:r>
        <w:rPr/>
        <w:t>see above, para.1-</w:t>
      </w:r>
      <w:r>
        <w:rPr>
          <w:spacing w:val="-4"/>
        </w:rPr>
        <w:t>113.</w:t>
      </w:r>
    </w:p>
    <w:p>
      <w:pPr>
        <w:pStyle w:val="BodyText"/>
        <w:spacing w:before="9"/>
      </w:pPr>
    </w:p>
    <w:p>
      <w:pPr>
        <w:spacing w:line="235" w:lineRule="auto" w:before="0"/>
        <w:ind w:left="705" w:right="168" w:hanging="541"/>
        <w:jc w:val="both"/>
        <w:rPr>
          <w:rFonts w:ascii="Arial"/>
          <w:i/>
          <w:sz w:val="20"/>
        </w:rPr>
      </w:pPr>
      <w:bookmarkStart w:name="_bookmark1668" w:id="1670"/>
      <w:bookmarkEnd w:id="1670"/>
      <w:r>
        <w:rPr/>
      </w:r>
      <w:hyperlink w:history="true" w:anchor="_bookmark1634">
        <w:r>
          <w:rPr>
            <w:color w:val="005DA1"/>
            <w:position w:val="5"/>
            <w:sz w:val="14"/>
            <w:u w:val="single" w:color="005DA1"/>
          </w:rPr>
          <w:t>883</w:t>
        </w:r>
      </w:hyperlink>
      <w:r>
        <w:rPr>
          <w:position w:val="5"/>
          <w:sz w:val="14"/>
        </w:rPr>
        <w:t>.</w:t>
      </w:r>
      <w:r>
        <w:rPr>
          <w:spacing w:val="80"/>
          <w:position w:val="5"/>
          <w:sz w:val="14"/>
        </w:rPr>
        <w:t>  </w:t>
      </w:r>
      <w:r>
        <w:rPr>
          <w:rFonts w:ascii="Arial"/>
          <w:i/>
          <w:sz w:val="20"/>
        </w:rPr>
        <w:t>Xenos v Wickham (1867) L.R. 2 H.L. 296</w:t>
      </w:r>
      <w:r>
        <w:rPr>
          <w:sz w:val="20"/>
        </w:rPr>
        <w:t>, per Lord Cranworth at 323; cf. per Pigott B. at 309; </w:t>
      </w:r>
      <w:r>
        <w:rPr>
          <w:rFonts w:ascii="Arial"/>
          <w:i/>
          <w:sz w:val="20"/>
        </w:rPr>
        <w:t>Doe d. Garnons v Knight (1826) 5 B. &amp; C. 671</w:t>
      </w:r>
      <w:r>
        <w:rPr>
          <w:sz w:val="20"/>
        </w:rPr>
        <w:t>; </w:t>
      </w:r>
      <w:r>
        <w:rPr>
          <w:rFonts w:ascii="Arial"/>
          <w:i/>
          <w:sz w:val="20"/>
        </w:rPr>
        <w:t>Macedo v Stroud [1922] 2 A.C. 330</w:t>
      </w:r>
      <w:r>
        <w:rPr>
          <w:sz w:val="20"/>
        </w:rPr>
        <w:t>; </w:t>
      </w:r>
      <w:r>
        <w:rPr>
          <w:rFonts w:ascii="Arial"/>
          <w:i/>
          <w:sz w:val="20"/>
        </w:rPr>
        <w:t>Beesly v Hallwood</w:t>
      </w:r>
      <w:r>
        <w:rPr>
          <w:rFonts w:ascii="Arial"/>
          <w:i/>
          <w:spacing w:val="71"/>
          <w:sz w:val="20"/>
        </w:rPr>
        <w:t> </w:t>
      </w:r>
      <w:r>
        <w:rPr>
          <w:rFonts w:ascii="Arial"/>
          <w:i/>
          <w:sz w:val="20"/>
        </w:rPr>
        <w:t>Estates</w:t>
      </w:r>
      <w:r>
        <w:rPr>
          <w:rFonts w:ascii="Arial"/>
          <w:i/>
          <w:spacing w:val="74"/>
          <w:sz w:val="20"/>
        </w:rPr>
        <w:t> </w:t>
      </w:r>
      <w:r>
        <w:rPr>
          <w:rFonts w:ascii="Arial"/>
          <w:i/>
          <w:sz w:val="20"/>
        </w:rPr>
        <w:t>Ltd</w:t>
      </w:r>
      <w:r>
        <w:rPr>
          <w:rFonts w:ascii="Arial"/>
          <w:i/>
          <w:spacing w:val="74"/>
          <w:sz w:val="20"/>
        </w:rPr>
        <w:t> </w:t>
      </w:r>
      <w:r>
        <w:rPr>
          <w:rFonts w:ascii="Arial"/>
          <w:i/>
          <w:sz w:val="20"/>
        </w:rPr>
        <w:t>[1960]</w:t>
      </w:r>
      <w:r>
        <w:rPr>
          <w:rFonts w:ascii="Arial"/>
          <w:i/>
          <w:spacing w:val="74"/>
          <w:sz w:val="20"/>
        </w:rPr>
        <w:t> </w:t>
      </w:r>
      <w:r>
        <w:rPr>
          <w:rFonts w:ascii="Arial"/>
          <w:i/>
          <w:sz w:val="20"/>
        </w:rPr>
        <w:t>1</w:t>
      </w:r>
      <w:r>
        <w:rPr>
          <w:rFonts w:ascii="Arial"/>
          <w:i/>
          <w:spacing w:val="74"/>
          <w:sz w:val="20"/>
        </w:rPr>
        <w:t> </w:t>
      </w:r>
      <w:r>
        <w:rPr>
          <w:rFonts w:ascii="Arial"/>
          <w:i/>
          <w:sz w:val="20"/>
        </w:rPr>
        <w:t>W.L.R.</w:t>
      </w:r>
      <w:r>
        <w:rPr>
          <w:rFonts w:ascii="Arial"/>
          <w:i/>
          <w:spacing w:val="74"/>
          <w:sz w:val="20"/>
        </w:rPr>
        <w:t> </w:t>
      </w:r>
      <w:r>
        <w:rPr>
          <w:rFonts w:ascii="Arial"/>
          <w:i/>
          <w:sz w:val="20"/>
        </w:rPr>
        <w:t>549,</w:t>
      </w:r>
      <w:r>
        <w:rPr>
          <w:rFonts w:ascii="Arial"/>
          <w:i/>
          <w:spacing w:val="74"/>
          <w:sz w:val="20"/>
        </w:rPr>
        <w:t> </w:t>
      </w:r>
      <w:r>
        <w:rPr>
          <w:rFonts w:ascii="Arial"/>
          <w:i/>
          <w:sz w:val="20"/>
        </w:rPr>
        <w:t>affirmed</w:t>
      </w:r>
      <w:r>
        <w:rPr>
          <w:rFonts w:ascii="Arial"/>
          <w:i/>
          <w:spacing w:val="74"/>
          <w:sz w:val="20"/>
        </w:rPr>
        <w:t> </w:t>
      </w:r>
      <w:r>
        <w:rPr>
          <w:rFonts w:ascii="Arial"/>
          <w:i/>
          <w:sz w:val="20"/>
        </w:rPr>
        <w:t>[1961]</w:t>
      </w:r>
      <w:r>
        <w:rPr>
          <w:rFonts w:ascii="Arial"/>
          <w:i/>
          <w:spacing w:val="74"/>
          <w:sz w:val="20"/>
        </w:rPr>
        <w:t> </w:t>
      </w:r>
      <w:r>
        <w:rPr>
          <w:rFonts w:ascii="Arial"/>
          <w:i/>
          <w:sz w:val="20"/>
        </w:rPr>
        <w:t>Ch.</w:t>
      </w:r>
      <w:r>
        <w:rPr>
          <w:rFonts w:ascii="Arial"/>
          <w:i/>
          <w:spacing w:val="74"/>
          <w:sz w:val="20"/>
        </w:rPr>
        <w:t> </w:t>
      </w:r>
      <w:r>
        <w:rPr>
          <w:rFonts w:ascii="Arial"/>
          <w:i/>
          <w:sz w:val="20"/>
        </w:rPr>
        <w:t>105</w:t>
      </w:r>
      <w:r>
        <w:rPr>
          <w:sz w:val="20"/>
        </w:rPr>
        <w:t>;</w:t>
      </w:r>
      <w:r>
        <w:rPr>
          <w:spacing w:val="74"/>
          <w:sz w:val="20"/>
        </w:rPr>
        <w:t> </w:t>
      </w:r>
      <w:r>
        <w:rPr>
          <w:rFonts w:ascii="Arial"/>
          <w:i/>
          <w:sz w:val="20"/>
        </w:rPr>
        <w:t>Vincent</w:t>
      </w:r>
      <w:r>
        <w:rPr>
          <w:rFonts w:ascii="Arial"/>
          <w:i/>
          <w:spacing w:val="74"/>
          <w:sz w:val="20"/>
        </w:rPr>
        <w:t> </w:t>
      </w:r>
      <w:r>
        <w:rPr>
          <w:rFonts w:ascii="Arial"/>
          <w:i/>
          <w:sz w:val="20"/>
        </w:rPr>
        <w:t>v</w:t>
      </w:r>
      <w:r>
        <w:rPr>
          <w:rFonts w:ascii="Arial"/>
          <w:i/>
          <w:spacing w:val="74"/>
          <w:sz w:val="20"/>
        </w:rPr>
        <w:t> </w:t>
      </w:r>
      <w:r>
        <w:rPr>
          <w:rFonts w:ascii="Arial"/>
          <w:i/>
          <w:spacing w:val="-2"/>
          <w:sz w:val="20"/>
        </w:rPr>
        <w:t>Premo</w:t>
      </w:r>
    </w:p>
    <w:p>
      <w:pPr>
        <w:spacing w:line="225" w:lineRule="exact" w:before="0"/>
        <w:ind w:left="705" w:right="0" w:firstLine="0"/>
        <w:jc w:val="both"/>
        <w:rPr>
          <w:sz w:val="20"/>
        </w:rPr>
      </w:pPr>
      <w:r>
        <w:rPr>
          <w:rFonts w:ascii="Arial"/>
          <w:i/>
          <w:sz w:val="20"/>
        </w:rPr>
        <w:t>Enterprises Ltd [1969] 2 Q.B. </w:t>
      </w:r>
      <w:r>
        <w:rPr>
          <w:rFonts w:ascii="Arial"/>
          <w:i/>
          <w:spacing w:val="-4"/>
          <w:sz w:val="20"/>
        </w:rPr>
        <w:t>609</w:t>
      </w:r>
      <w:r>
        <w:rPr>
          <w:spacing w:val="-4"/>
          <w:sz w:val="20"/>
        </w:rPr>
        <w:t>.</w:t>
      </w:r>
    </w:p>
    <w:p>
      <w:pPr>
        <w:pStyle w:val="BodyText"/>
        <w:spacing w:before="8"/>
      </w:pPr>
    </w:p>
    <w:p>
      <w:pPr>
        <w:pStyle w:val="BodyText"/>
        <w:spacing w:line="235" w:lineRule="auto" w:before="1"/>
        <w:ind w:left="705" w:right="167" w:hanging="541"/>
        <w:jc w:val="both"/>
      </w:pPr>
      <w:bookmarkStart w:name="_bookmark1669" w:id="1671"/>
      <w:bookmarkEnd w:id="1671"/>
      <w:r>
        <w:rPr/>
      </w:r>
      <w:hyperlink w:history="true" w:anchor="_bookmark1635">
        <w:r>
          <w:rPr>
            <w:color w:val="005DA1"/>
            <w:position w:val="5"/>
            <w:sz w:val="14"/>
            <w:u w:val="single" w:color="005DA1"/>
          </w:rPr>
          <w:t>884</w:t>
        </w:r>
      </w:hyperlink>
      <w:r>
        <w:rPr>
          <w:position w:val="5"/>
          <w:sz w:val="14"/>
        </w:rPr>
        <w:t>.</w:t>
      </w:r>
      <w:r>
        <w:rPr>
          <w:spacing w:val="40"/>
          <w:position w:val="5"/>
          <w:sz w:val="14"/>
        </w:rPr>
        <w:t>  </w:t>
      </w:r>
      <w:r>
        <w:rPr/>
        <w:t>Law of Property (Miscellaneous Provisions) Act 1989 s.1(5). In </w:t>
      </w:r>
      <w:r>
        <w:rPr>
          <w:rFonts w:ascii="Arial" w:hAnsi="Arial"/>
          <w:i/>
        </w:rPr>
        <w:t>Bank of Scotland Plc v King [2007] EWHC 2747 (Ch), [2007] All E.R. (D) 376 (Nov) </w:t>
      </w:r>
      <w:r>
        <w:rPr/>
        <w:t>at [66] it was held that s.1(5) does not apply where a solicitor or licensed conveyancer transfers a deed in escrow as they would </w:t>
      </w:r>
      <w:r>
        <w:rPr/>
        <w:t>not have “purport[ed] to deliver an instrument as a deed on behalf of a party to the instrument”. For deeds in escrow see below, para.1-133. The definition of the persons to whom this provision applies changed on the bringing into force on January 1, 2010 of the Legal Services Act 2007 s.208(1), Sch.21 para.81(a) to “a relevant lawyer, or an agent or employee of a relevant</w:t>
      </w:r>
      <w:r>
        <w:rPr>
          <w:spacing w:val="40"/>
        </w:rPr>
        <w:t> </w:t>
      </w:r>
      <w:r>
        <w:rPr/>
        <w:t>lawyer”, s.1(6) of the 1989 Act (as amended) providing that “‘relevant lawyer’ means a person who, for the purposes of the Legal Services Act 2007, is an authorised person in relation to an activity which constitutes a reserved instrument activity (within the meaning of that Act)”.</w:t>
      </w:r>
    </w:p>
    <w:p>
      <w:pPr>
        <w:pStyle w:val="BodyText"/>
        <w:spacing w:before="6"/>
      </w:pPr>
    </w:p>
    <w:p>
      <w:pPr>
        <w:tabs>
          <w:tab w:pos="705" w:val="left" w:leader="none"/>
        </w:tabs>
        <w:spacing w:line="235" w:lineRule="auto" w:before="0"/>
        <w:ind w:left="705" w:right="168" w:hanging="541"/>
        <w:jc w:val="left"/>
        <w:rPr>
          <w:sz w:val="20"/>
        </w:rPr>
      </w:pPr>
      <w:bookmarkStart w:name="_bookmark1670" w:id="1672"/>
      <w:bookmarkEnd w:id="1672"/>
      <w:r>
        <w:rPr/>
      </w:r>
      <w:hyperlink w:history="true" w:anchor="_bookmark1636">
        <w:r>
          <w:rPr>
            <w:color w:val="005DA1"/>
            <w:spacing w:val="-4"/>
            <w:position w:val="5"/>
            <w:sz w:val="14"/>
            <w:u w:val="single" w:color="005DA1"/>
          </w:rPr>
          <w:t>885</w:t>
        </w:r>
      </w:hyperlink>
      <w:r>
        <w:rPr>
          <w:spacing w:val="-4"/>
          <w:position w:val="5"/>
          <w:sz w:val="14"/>
        </w:rPr>
        <w:t>.</w:t>
      </w:r>
      <w:r>
        <w:rPr>
          <w:position w:val="5"/>
          <w:sz w:val="14"/>
        </w:rPr>
        <w:tab/>
      </w:r>
      <w:r>
        <w:rPr>
          <w:rFonts w:ascii="Arial"/>
          <w:i/>
          <w:sz w:val="20"/>
        </w:rPr>
        <w:t>[2003] EWCA Civ 1634, [2004] Ch. 66</w:t>
      </w:r>
      <w:r>
        <w:rPr>
          <w:sz w:val="20"/>
        </w:rPr>
        <w:t>. The decision concerned the effect of s.74(1) as in </w:t>
      </w:r>
      <w:r>
        <w:rPr>
          <w:sz w:val="20"/>
        </w:rPr>
        <w:t>force before its amendment by the 2005 Order, on which see below, para.1-128.</w:t>
      </w:r>
    </w:p>
    <w:p>
      <w:pPr>
        <w:pStyle w:val="BodyText"/>
        <w:spacing w:before="5"/>
      </w:pPr>
    </w:p>
    <w:p>
      <w:pPr>
        <w:tabs>
          <w:tab w:pos="705" w:val="left" w:leader="none"/>
        </w:tabs>
        <w:spacing w:before="0"/>
        <w:ind w:left="165" w:right="0" w:firstLine="0"/>
        <w:jc w:val="left"/>
        <w:rPr>
          <w:sz w:val="20"/>
        </w:rPr>
      </w:pPr>
      <w:bookmarkStart w:name="_bookmark1671" w:id="1673"/>
      <w:bookmarkEnd w:id="1673"/>
      <w:r>
        <w:rPr/>
      </w:r>
      <w:hyperlink w:history="true" w:anchor="_bookmark1637">
        <w:r>
          <w:rPr>
            <w:color w:val="005DA1"/>
            <w:spacing w:val="-4"/>
            <w:position w:val="5"/>
            <w:sz w:val="14"/>
            <w:u w:val="single" w:color="005DA1"/>
          </w:rPr>
          <w:t>886</w:t>
        </w:r>
      </w:hyperlink>
      <w:r>
        <w:rPr>
          <w:spacing w:val="-4"/>
          <w:position w:val="5"/>
          <w:sz w:val="14"/>
        </w:rPr>
        <w:t>.</w:t>
      </w:r>
      <w:r>
        <w:rPr>
          <w:position w:val="5"/>
          <w:sz w:val="14"/>
        </w:rPr>
        <w:tab/>
      </w:r>
      <w:r>
        <w:rPr>
          <w:rFonts w:ascii="Arial"/>
          <w:i/>
          <w:sz w:val="20"/>
        </w:rPr>
        <w:t>[2003] EWCA Civ 1634</w:t>
      </w:r>
      <w:r>
        <w:rPr>
          <w:rFonts w:ascii="Arial"/>
          <w:i/>
          <w:spacing w:val="-1"/>
          <w:sz w:val="20"/>
        </w:rPr>
        <w:t> </w:t>
      </w:r>
      <w:r>
        <w:rPr>
          <w:sz w:val="20"/>
        </w:rPr>
        <w:t>at [22], </w:t>
      </w:r>
      <w:r>
        <w:rPr>
          <w:spacing w:val="-2"/>
          <w:sz w:val="20"/>
        </w:rPr>
        <w:t>[45].</w:t>
      </w:r>
    </w:p>
    <w:p>
      <w:pPr>
        <w:pStyle w:val="BodyText"/>
        <w:spacing w:before="5"/>
      </w:pPr>
    </w:p>
    <w:p>
      <w:pPr>
        <w:tabs>
          <w:tab w:pos="705" w:val="left" w:leader="none"/>
        </w:tabs>
        <w:spacing w:before="0"/>
        <w:ind w:left="165" w:right="0" w:firstLine="0"/>
        <w:jc w:val="left"/>
        <w:rPr>
          <w:sz w:val="20"/>
        </w:rPr>
      </w:pPr>
      <w:bookmarkStart w:name="_bookmark1672" w:id="1674"/>
      <w:bookmarkEnd w:id="1674"/>
      <w:r>
        <w:rPr/>
      </w:r>
      <w:hyperlink w:history="true" w:anchor="_bookmark1638">
        <w:r>
          <w:rPr>
            <w:color w:val="005DA1"/>
            <w:spacing w:val="-4"/>
            <w:position w:val="5"/>
            <w:sz w:val="14"/>
            <w:u w:val="single" w:color="005DA1"/>
          </w:rPr>
          <w:t>887</w:t>
        </w:r>
      </w:hyperlink>
      <w:r>
        <w:rPr>
          <w:spacing w:val="-4"/>
          <w:position w:val="5"/>
          <w:sz w:val="14"/>
        </w:rPr>
        <w:t>.</w:t>
      </w:r>
      <w:r>
        <w:rPr>
          <w:position w:val="5"/>
          <w:sz w:val="14"/>
        </w:rPr>
        <w:tab/>
      </w:r>
      <w:r>
        <w:rPr>
          <w:rFonts w:ascii="Arial"/>
          <w:i/>
          <w:sz w:val="20"/>
        </w:rPr>
        <w:t>[2003] EWCA Civ 1634</w:t>
      </w:r>
      <w:r>
        <w:rPr>
          <w:rFonts w:ascii="Arial"/>
          <w:i/>
          <w:spacing w:val="-1"/>
          <w:sz w:val="20"/>
        </w:rPr>
        <w:t> </w:t>
      </w:r>
      <w:r>
        <w:rPr>
          <w:sz w:val="20"/>
        </w:rPr>
        <w:t>at </w:t>
      </w:r>
      <w:r>
        <w:rPr>
          <w:spacing w:val="-2"/>
          <w:sz w:val="20"/>
        </w:rPr>
        <w:t>[46].</w:t>
      </w:r>
    </w:p>
    <w:p>
      <w:pPr>
        <w:pStyle w:val="BodyText"/>
        <w:spacing w:before="5"/>
      </w:pPr>
    </w:p>
    <w:p>
      <w:pPr>
        <w:tabs>
          <w:tab w:pos="705" w:val="left" w:leader="none"/>
        </w:tabs>
        <w:spacing w:before="0"/>
        <w:ind w:left="165" w:right="0" w:firstLine="0"/>
        <w:jc w:val="left"/>
        <w:rPr>
          <w:sz w:val="20"/>
        </w:rPr>
      </w:pPr>
      <w:bookmarkStart w:name="_bookmark1673" w:id="1675"/>
      <w:bookmarkEnd w:id="1675"/>
      <w:r>
        <w:rPr/>
      </w:r>
      <w:hyperlink w:history="true" w:anchor="_bookmark1639">
        <w:r>
          <w:rPr>
            <w:color w:val="005DA1"/>
            <w:spacing w:val="-4"/>
            <w:position w:val="5"/>
            <w:sz w:val="14"/>
            <w:u w:val="single" w:color="005DA1"/>
          </w:rPr>
          <w:t>888</w:t>
        </w:r>
      </w:hyperlink>
      <w:r>
        <w:rPr>
          <w:spacing w:val="-4"/>
          <w:position w:val="5"/>
          <w:sz w:val="14"/>
        </w:rPr>
        <w:t>.</w:t>
      </w:r>
      <w:r>
        <w:rPr>
          <w:position w:val="5"/>
          <w:sz w:val="14"/>
        </w:rPr>
        <w:tab/>
      </w:r>
      <w:r>
        <w:rPr>
          <w:rFonts w:ascii="Arial"/>
          <w:i/>
          <w:sz w:val="20"/>
        </w:rPr>
        <w:t>[2003] EWCA Civ 1634</w:t>
      </w:r>
      <w:r>
        <w:rPr>
          <w:rFonts w:ascii="Arial"/>
          <w:i/>
          <w:spacing w:val="-1"/>
          <w:sz w:val="20"/>
        </w:rPr>
        <w:t> </w:t>
      </w:r>
      <w:r>
        <w:rPr>
          <w:sz w:val="20"/>
        </w:rPr>
        <w:t>at </w:t>
      </w:r>
      <w:r>
        <w:rPr>
          <w:spacing w:val="-2"/>
          <w:sz w:val="20"/>
        </w:rPr>
        <w:t>[53].</w:t>
      </w:r>
    </w:p>
    <w:p>
      <w:pPr>
        <w:pStyle w:val="BodyText"/>
        <w:spacing w:before="9"/>
      </w:pPr>
    </w:p>
    <w:p>
      <w:pPr>
        <w:pStyle w:val="BodyText"/>
        <w:tabs>
          <w:tab w:pos="705" w:val="left" w:leader="none"/>
        </w:tabs>
        <w:spacing w:line="235" w:lineRule="auto"/>
        <w:ind w:left="705" w:right="168" w:hanging="541"/>
      </w:pPr>
      <w:bookmarkStart w:name="_bookmark1674" w:id="1676"/>
      <w:bookmarkEnd w:id="1676"/>
      <w:r>
        <w:rPr/>
      </w:r>
      <w:hyperlink w:history="true" w:anchor="_bookmark1640">
        <w:r>
          <w:rPr>
            <w:color w:val="005DA1"/>
            <w:spacing w:val="-4"/>
            <w:position w:val="5"/>
            <w:sz w:val="14"/>
            <w:u w:val="single" w:color="005DA1"/>
          </w:rPr>
          <w:t>889</w:t>
        </w:r>
      </w:hyperlink>
      <w:r>
        <w:rPr>
          <w:spacing w:val="-4"/>
          <w:position w:val="5"/>
          <w:sz w:val="14"/>
        </w:rPr>
        <w:t>.</w:t>
      </w:r>
      <w:r>
        <w:rPr>
          <w:position w:val="5"/>
          <w:sz w:val="14"/>
        </w:rPr>
        <w:tab/>
      </w:r>
      <w:r>
        <w:rPr/>
        <w:t>Companies</w:t>
      </w:r>
      <w:r>
        <w:rPr>
          <w:spacing w:val="21"/>
        </w:rPr>
        <w:t> </w:t>
      </w:r>
      <w:r>
        <w:rPr/>
        <w:t>Act</w:t>
      </w:r>
      <w:r>
        <w:rPr>
          <w:spacing w:val="21"/>
        </w:rPr>
        <w:t> </w:t>
      </w:r>
      <w:r>
        <w:rPr/>
        <w:t>1985</w:t>
      </w:r>
      <w:r>
        <w:rPr>
          <w:spacing w:val="21"/>
        </w:rPr>
        <w:t> </w:t>
      </w:r>
      <w:r>
        <w:rPr/>
        <w:t>s.36A(5)</w:t>
      </w:r>
      <w:r>
        <w:rPr>
          <w:spacing w:val="21"/>
        </w:rPr>
        <w:t> </w:t>
      </w:r>
      <w:r>
        <w:rPr/>
        <w:t>as</w:t>
      </w:r>
      <w:r>
        <w:rPr>
          <w:spacing w:val="21"/>
        </w:rPr>
        <w:t> </w:t>
      </w:r>
      <w:r>
        <w:rPr/>
        <w:t>inserted</w:t>
      </w:r>
      <w:r>
        <w:rPr>
          <w:spacing w:val="21"/>
        </w:rPr>
        <w:t> </w:t>
      </w:r>
      <w:r>
        <w:rPr/>
        <w:t>by</w:t>
      </w:r>
      <w:r>
        <w:rPr>
          <w:spacing w:val="21"/>
        </w:rPr>
        <w:t> </w:t>
      </w:r>
      <w:r>
        <w:rPr/>
        <w:t>the</w:t>
      </w:r>
      <w:r>
        <w:rPr>
          <w:spacing w:val="21"/>
        </w:rPr>
        <w:t> </w:t>
      </w:r>
      <w:r>
        <w:rPr/>
        <w:t>Companies</w:t>
      </w:r>
      <w:r>
        <w:rPr>
          <w:spacing w:val="21"/>
        </w:rPr>
        <w:t> </w:t>
      </w:r>
      <w:r>
        <w:rPr/>
        <w:t>Act</w:t>
      </w:r>
      <w:r>
        <w:rPr>
          <w:spacing w:val="21"/>
        </w:rPr>
        <w:t> </w:t>
      </w:r>
      <w:r>
        <w:rPr/>
        <w:t>1989</w:t>
      </w:r>
      <w:r>
        <w:rPr>
          <w:spacing w:val="21"/>
        </w:rPr>
        <w:t> </w:t>
      </w:r>
      <w:r>
        <w:rPr/>
        <w:t>s.130(2).</w:t>
      </w:r>
      <w:r>
        <w:rPr>
          <w:spacing w:val="21"/>
        </w:rPr>
        <w:t> </w:t>
      </w:r>
      <w:r>
        <w:rPr/>
        <w:t>On</w:t>
      </w:r>
      <w:r>
        <w:rPr>
          <w:spacing w:val="21"/>
        </w:rPr>
        <w:t> </w:t>
      </w:r>
      <w:r>
        <w:rPr/>
        <w:t>the</w:t>
      </w:r>
      <w:r>
        <w:rPr>
          <w:spacing w:val="21"/>
        </w:rPr>
        <w:t> </w:t>
      </w:r>
      <w:r>
        <w:rPr/>
        <w:t>new law, see below, para.1-128.</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6. - Contracts Contained in </w:t>
      </w:r>
      <w:r>
        <w:rPr>
          <w:rFonts w:ascii="Arial"/>
          <w:b/>
          <w:spacing w:val="-2"/>
          <w:sz w:val="24"/>
        </w:rPr>
        <w:t>Deeds</w:t>
      </w:r>
    </w:p>
    <w:p>
      <w:pPr>
        <w:spacing w:before="194"/>
        <w:ind w:left="2791" w:right="0" w:firstLine="0"/>
        <w:jc w:val="left"/>
        <w:rPr>
          <w:rFonts w:ascii="Arial"/>
          <w:b/>
          <w:sz w:val="24"/>
        </w:rPr>
      </w:pPr>
      <w:r>
        <w:rPr>
          <w:rFonts w:ascii="Arial"/>
          <w:b/>
          <w:sz w:val="24"/>
        </w:rPr>
        <w:t>(b) - Intention, Form and </w:t>
      </w:r>
      <w:r>
        <w:rPr>
          <w:rFonts w:ascii="Arial"/>
          <w:b/>
          <w:spacing w:val="-2"/>
          <w:sz w:val="24"/>
        </w:rPr>
        <w:t>Delivery</w:t>
      </w:r>
    </w:p>
    <w:p>
      <w:pPr>
        <w:pStyle w:val="ListParagraph"/>
        <w:numPr>
          <w:ilvl w:val="1"/>
          <w:numId w:val="10"/>
        </w:numPr>
        <w:tabs>
          <w:tab w:pos="1776" w:val="left" w:leader="none"/>
        </w:tabs>
        <w:spacing w:line="240" w:lineRule="auto" w:before="194" w:after="0"/>
        <w:ind w:left="1776" w:right="0" w:hanging="359"/>
        <w:jc w:val="left"/>
        <w:rPr>
          <w:b/>
          <w:sz w:val="24"/>
        </w:rPr>
      </w:pPr>
      <w:r>
        <w:rPr>
          <w:b/>
          <w:sz w:val="24"/>
        </w:rPr>
        <w:t>- Documents Executed on or after September 15, </w:t>
      </w:r>
      <w:r>
        <w:rPr>
          <w:b/>
          <w:spacing w:val="-4"/>
          <w:sz w:val="24"/>
        </w:rPr>
        <w:t>2005</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hAnsi="Arial"/>
          <w:b/>
          <w:sz w:val="18"/>
        </w:rPr>
      </w:pPr>
      <w:r>
        <w:rPr>
          <w:rFonts w:ascii="Arial" w:hAnsi="Arial"/>
          <w:b/>
          <w:sz w:val="18"/>
        </w:rPr>
        <w:t>“Instruments </w:t>
      </w:r>
      <w:r>
        <w:rPr>
          <w:rFonts w:ascii="Arial" w:hAnsi="Arial"/>
          <w:b/>
          <w:spacing w:val="-2"/>
          <w:sz w:val="18"/>
        </w:rPr>
        <w:t>executed”</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123</w:t>
      </w:r>
    </w:p>
    <w:p>
      <w:pPr>
        <w:pStyle w:val="BodyText"/>
        <w:spacing w:line="235" w:lineRule="auto" w:before="202"/>
        <w:ind w:left="165" w:right="167"/>
        <w:jc w:val="both"/>
      </w:pPr>
      <w:bookmarkStart w:name="_bookmark1675" w:id="1677"/>
      <w:bookmarkEnd w:id="1677"/>
      <w:r>
        <w:rPr/>
      </w:r>
      <w:bookmarkStart w:name="_bookmark1676" w:id="1678"/>
      <w:bookmarkEnd w:id="1678"/>
      <w:r>
        <w:rPr/>
      </w:r>
      <w:r>
        <w:rPr/>
        <w:t>The 2005 Order </w:t>
      </w:r>
      <w:r>
        <w:rPr>
          <w:color w:val="005DA1"/>
          <w:u w:val="single" w:color="005DA1"/>
          <w:vertAlign w:val="superscript"/>
        </w:rPr>
        <w:t>890</w:t>
      </w:r>
      <w:r>
        <w:rPr>
          <w:color w:val="005DA1"/>
          <w:vertAlign w:val="baseline"/>
        </w:rPr>
        <w:t> </w:t>
      </w:r>
      <w:r>
        <w:rPr>
          <w:vertAlign w:val="baseline"/>
        </w:rPr>
        <w:t>refers to “instruments executed” and this raises the question as to how </w:t>
      </w:r>
      <w:r>
        <w:rPr>
          <w:vertAlign w:val="baseline"/>
        </w:rPr>
        <w:t>the changes it introduced apply in relation to the making of deeds. </w:t>
      </w:r>
      <w:r>
        <w:rPr>
          <w:color w:val="005DA1"/>
          <w:u w:val="single" w:color="005DA1"/>
          <w:vertAlign w:val="superscript"/>
        </w:rPr>
        <w:t>891</w:t>
      </w:r>
      <w:r>
        <w:rPr>
          <w:color w:val="005DA1"/>
          <w:vertAlign w:val="baseline"/>
        </w:rPr>
        <w:t> </w:t>
      </w:r>
      <w:r>
        <w:rPr>
          <w:vertAlign w:val="baseline"/>
        </w:rPr>
        <w:t>It could be thought that a deed (the “instrument”) is “executed” only after its delivery, and not merely after the making of the document, as </w:t>
      </w:r>
      <w:bookmarkStart w:name="_bookmark1677" w:id="1679"/>
      <w:bookmarkEnd w:id="1679"/>
      <w:r>
        <w:rPr>
          <w:vertAlign w:val="baseline"/>
        </w:rPr>
        <w:t>only</w:t>
      </w:r>
      <w:r>
        <w:rPr>
          <w:vertAlign w:val="baseline"/>
        </w:rPr>
        <w:t> on delivery is the deed a valid instrument. However, the 2005 Order (following the Law Commission’s</w:t>
      </w:r>
      <w:r>
        <w:rPr>
          <w:spacing w:val="-6"/>
          <w:vertAlign w:val="baseline"/>
        </w:rPr>
        <w:t> </w:t>
      </w:r>
      <w:r>
        <w:rPr>
          <w:vertAlign w:val="baseline"/>
        </w:rPr>
        <w:t>recommendation</w:t>
      </w:r>
      <w:r>
        <w:rPr>
          <w:spacing w:val="-7"/>
          <w:vertAlign w:val="baseline"/>
        </w:rPr>
        <w:t> </w:t>
      </w:r>
      <w:r>
        <w:rPr>
          <w:color w:val="005DA1"/>
          <w:u w:val="single" w:color="005DA1"/>
          <w:vertAlign w:val="superscript"/>
        </w:rPr>
        <w:t>892</w:t>
      </w:r>
      <w:r>
        <w:rPr>
          <w:vertAlign w:val="baseline"/>
        </w:rPr>
        <w:t>)</w:t>
      </w:r>
      <w:r>
        <w:rPr>
          <w:spacing w:val="-6"/>
          <w:vertAlign w:val="baseline"/>
        </w:rPr>
        <w:t> </w:t>
      </w:r>
      <w:r>
        <w:rPr>
          <w:vertAlign w:val="baseline"/>
        </w:rPr>
        <w:t>distinguishes</w:t>
      </w:r>
      <w:r>
        <w:rPr>
          <w:spacing w:val="-6"/>
          <w:vertAlign w:val="baseline"/>
        </w:rPr>
        <w:t> </w:t>
      </w:r>
      <w:r>
        <w:rPr>
          <w:vertAlign w:val="baseline"/>
        </w:rPr>
        <w:t>clearly</w:t>
      </w:r>
      <w:r>
        <w:rPr>
          <w:spacing w:val="-6"/>
          <w:vertAlign w:val="baseline"/>
        </w:rPr>
        <w:t> </w:t>
      </w:r>
      <w:r>
        <w:rPr>
          <w:vertAlign w:val="baseline"/>
        </w:rPr>
        <w:t>between</w:t>
      </w:r>
      <w:r>
        <w:rPr>
          <w:spacing w:val="-6"/>
          <w:vertAlign w:val="baseline"/>
        </w:rPr>
        <w:t> </w:t>
      </w:r>
      <w:r>
        <w:rPr>
          <w:vertAlign w:val="baseline"/>
        </w:rPr>
        <w:t>the</w:t>
      </w:r>
      <w:r>
        <w:rPr>
          <w:spacing w:val="-6"/>
          <w:vertAlign w:val="baseline"/>
        </w:rPr>
        <w:t> </w:t>
      </w:r>
      <w:r>
        <w:rPr>
          <w:vertAlign w:val="baseline"/>
        </w:rPr>
        <w:t>formal</w:t>
      </w:r>
      <w:r>
        <w:rPr>
          <w:spacing w:val="-6"/>
          <w:vertAlign w:val="baseline"/>
        </w:rPr>
        <w:t> </w:t>
      </w:r>
      <w:r>
        <w:rPr>
          <w:vertAlign w:val="baseline"/>
        </w:rPr>
        <w:t>requirements</w:t>
      </w:r>
      <w:r>
        <w:rPr>
          <w:spacing w:val="-6"/>
          <w:vertAlign w:val="baseline"/>
        </w:rPr>
        <w:t> </w:t>
      </w:r>
      <w:r>
        <w:rPr>
          <w:vertAlign w:val="baseline"/>
        </w:rPr>
        <w:t>required</w:t>
      </w:r>
      <w:r>
        <w:rPr>
          <w:spacing w:val="-6"/>
          <w:vertAlign w:val="baseline"/>
        </w:rPr>
        <w:t> </w:t>
      </w:r>
      <w:r>
        <w:rPr>
          <w:vertAlign w:val="baseline"/>
        </w:rPr>
        <w:t>for </w:t>
      </w:r>
      <w:bookmarkStart w:name="_bookmark1678" w:id="1680"/>
      <w:bookmarkEnd w:id="1680"/>
      <w:r>
        <w:rPr>
          <w:vertAlign w:val="baseline"/>
        </w:rPr>
        <w:t>the</w:t>
      </w:r>
      <w:r>
        <w:rPr>
          <w:vertAlign w:val="baseline"/>
        </w:rPr>
        <w:t> execution of an instrument (or document) and the further requirement of delivery for the execution of an instrument </w:t>
      </w:r>
      <w:r>
        <w:rPr>
          <w:rFonts w:ascii="Arial" w:hAnsi="Arial"/>
          <w:i/>
          <w:vertAlign w:val="baseline"/>
        </w:rPr>
        <w:t>as a deed </w:t>
      </w:r>
      <w:r>
        <w:rPr>
          <w:color w:val="005DA1"/>
          <w:u w:val="single" w:color="005DA1"/>
          <w:vertAlign w:val="superscript"/>
        </w:rPr>
        <w:t>893</w:t>
      </w:r>
      <w:r>
        <w:rPr>
          <w:color w:val="005DA1"/>
          <w:vertAlign w:val="baseline"/>
        </w:rPr>
        <w:t> </w:t>
      </w:r>
      <w:r>
        <w:rPr>
          <w:vertAlign w:val="baseline"/>
        </w:rPr>
        <w:t>and this argues that the changes introduced by the Order apply only to </w:t>
      </w:r>
      <w:r>
        <w:rPr>
          <w:rFonts w:ascii="Arial" w:hAnsi="Arial"/>
          <w:i/>
          <w:vertAlign w:val="baseline"/>
        </w:rPr>
        <w:t>documents executed </w:t>
      </w:r>
      <w:r>
        <w:rPr>
          <w:vertAlign w:val="baseline"/>
        </w:rPr>
        <w:t>on or after September 15, 2005, and not also to documents executed as deeds on or before September 14, 2005, but delivered as deeds only after this date. This interpretation also has the practical advantage of not applying the changes contained in the Order retrospectively.</w:t>
      </w:r>
    </w:p>
    <w:p>
      <w:pPr>
        <w:pStyle w:val="BodyText"/>
      </w:pPr>
    </w:p>
    <w:p>
      <w:pPr>
        <w:pStyle w:val="BodyText"/>
        <w:spacing w:before="35"/>
      </w:pPr>
    </w:p>
    <w:p>
      <w:pPr>
        <w:spacing w:before="0"/>
        <w:ind w:left="165" w:right="0" w:firstLine="0"/>
        <w:jc w:val="both"/>
        <w:rPr>
          <w:rFonts w:ascii="Arial"/>
          <w:b/>
          <w:sz w:val="18"/>
        </w:rPr>
      </w:pPr>
      <w:r>
        <w:rPr>
          <w:rFonts w:ascii="Arial"/>
          <w:b/>
          <w:sz w:val="18"/>
        </w:rPr>
        <w:t>The new general requirements for deeds after the 2005 </w:t>
      </w:r>
      <w:r>
        <w:rPr>
          <w:rFonts w:ascii="Arial"/>
          <w:b/>
          <w:spacing w:val="-2"/>
          <w:sz w:val="18"/>
        </w:rPr>
        <w:t>Order</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124</w:t>
      </w:r>
    </w:p>
    <w:p>
      <w:pPr>
        <w:pStyle w:val="BodyText"/>
        <w:spacing w:line="235" w:lineRule="auto" w:before="202"/>
        <w:ind w:left="165" w:right="167"/>
        <w:jc w:val="both"/>
      </w:pPr>
      <w:bookmarkStart w:name="_bookmark1679" w:id="1681"/>
      <w:bookmarkEnd w:id="1681"/>
      <w:r>
        <w:rPr/>
      </w:r>
      <w:r>
        <w:rPr/>
        <w:t>Under s.1(2) of the Law of Property (Miscellaneous Provisions) Act 1989 (as amended by the </w:t>
      </w:r>
      <w:r>
        <w:rPr/>
        <w:t>2005 Order </w:t>
      </w:r>
      <w:r>
        <w:rPr>
          <w:color w:val="005DA1"/>
          <w:u w:val="single" w:color="005DA1"/>
          <w:vertAlign w:val="superscript"/>
        </w:rPr>
        <w:t>894</w:t>
      </w:r>
      <w:r>
        <w:rPr>
          <w:vertAlign w:val="baseline"/>
        </w:rPr>
        <w:t>), an instrument shall not be a deed unless:</w:t>
      </w:r>
    </w:p>
    <w:p>
      <w:pPr>
        <w:pStyle w:val="BodyText"/>
      </w:pPr>
    </w:p>
    <w:p>
      <w:pPr>
        <w:pStyle w:val="BodyText"/>
      </w:pPr>
    </w:p>
    <w:p>
      <w:pPr>
        <w:pStyle w:val="BodyText"/>
      </w:pPr>
    </w:p>
    <w:p>
      <w:pPr>
        <w:pStyle w:val="BodyText"/>
        <w:spacing w:before="95"/>
      </w:pPr>
    </w:p>
    <w:p>
      <w:pPr>
        <w:pStyle w:val="BodyText"/>
        <w:spacing w:before="1"/>
        <w:ind w:left="1245"/>
      </w:pPr>
      <w:r>
        <w:rPr>
          <w:spacing w:val="-4"/>
        </w:rPr>
        <w:t>“(a)</w:t>
      </w:r>
    </w:p>
    <w:p>
      <w:pPr>
        <w:pStyle w:val="BodyText"/>
        <w:spacing w:line="235" w:lineRule="auto" w:before="113"/>
        <w:ind w:left="1725" w:right="167"/>
        <w:jc w:val="both"/>
      </w:pPr>
      <w:r>
        <w:rPr/>
        <w:t>it makes clear on its face that it is intended to be a deed by the person making it or, as the case may be, by the parties to it (whether by describing itself as a deed </w:t>
      </w:r>
      <w:r>
        <w:rPr/>
        <w:t>or expressing itself to be executed to be signed as a deed or otherwise); and</w:t>
      </w:r>
    </w:p>
    <w:p>
      <w:pPr>
        <w:pStyle w:val="BodyText"/>
      </w:pPr>
    </w:p>
    <w:p>
      <w:pPr>
        <w:pStyle w:val="BodyText"/>
        <w:spacing w:before="35"/>
      </w:pPr>
    </w:p>
    <w:p>
      <w:pPr>
        <w:pStyle w:val="BodyText"/>
        <w:spacing w:before="1"/>
        <w:ind w:left="1245"/>
      </w:pPr>
      <w:r>
        <w:rPr>
          <w:spacing w:val="-5"/>
        </w:rPr>
        <w:t>(b)</w:t>
      </w:r>
    </w:p>
    <w:p>
      <w:pPr>
        <w:pStyle w:val="BodyText"/>
        <w:spacing w:before="110"/>
        <w:ind w:left="1725"/>
      </w:pPr>
      <w:r>
        <w:rPr/>
        <w:t>it is validly executed as a </w:t>
      </w:r>
      <w:r>
        <w:rPr>
          <w:spacing w:val="-2"/>
        </w:rPr>
        <w:t>deed—</w:t>
      </w:r>
    </w:p>
    <w:p>
      <w:pPr>
        <w:pStyle w:val="BodyText"/>
        <w:spacing w:before="204"/>
      </w:pPr>
    </w:p>
    <w:p>
      <w:pPr>
        <w:pStyle w:val="BodyText"/>
        <w:spacing w:before="1"/>
        <w:ind w:left="1725"/>
      </w:pPr>
      <w:r>
        <w:rPr>
          <w:spacing w:val="-5"/>
        </w:rPr>
        <w:t>(i)</w:t>
      </w:r>
    </w:p>
    <w:p>
      <w:pPr>
        <w:pStyle w:val="BodyText"/>
        <w:spacing w:line="235" w:lineRule="auto" w:before="113"/>
        <w:ind w:left="2205"/>
      </w:pPr>
      <w:r>
        <w:rPr/>
        <w:t>by that person or a person authorised to execute it in the name or on behalf </w:t>
      </w:r>
      <w:r>
        <w:rPr/>
        <w:t>of that person; or</w:t>
      </w:r>
    </w:p>
    <w:p>
      <w:pPr>
        <w:pStyle w:val="BodyText"/>
        <w:spacing w:after="0" w:line="235" w:lineRule="auto"/>
        <w:sectPr>
          <w:headerReference w:type="default" r:id="rId38"/>
          <w:pgSz w:w="11900" w:h="16840"/>
          <w:pgMar w:header="971" w:footer="0" w:top="1300" w:bottom="280" w:left="1275" w:right="1275"/>
          <w:pgNumType w:start="1"/>
        </w:sectPr>
      </w:pPr>
    </w:p>
    <w:p>
      <w:pPr>
        <w:pStyle w:val="BodyText"/>
      </w:pPr>
    </w:p>
    <w:p>
      <w:pPr>
        <w:pStyle w:val="BodyText"/>
      </w:pPr>
    </w:p>
    <w:p>
      <w:pPr>
        <w:pStyle w:val="BodyText"/>
        <w:spacing w:before="116"/>
      </w:pPr>
    </w:p>
    <w:p>
      <w:pPr>
        <w:pStyle w:val="BodyText"/>
        <w:spacing w:before="1"/>
        <w:ind w:left="1725"/>
      </w:pPr>
      <w:r>
        <w:rPr>
          <w:spacing w:val="-4"/>
        </w:rPr>
        <w:t>(ii)</w:t>
      </w:r>
    </w:p>
    <w:p>
      <w:pPr>
        <w:pStyle w:val="BodyText"/>
        <w:spacing w:line="235" w:lineRule="auto" w:before="113"/>
        <w:ind w:left="2205"/>
      </w:pPr>
      <w:r>
        <w:rPr/>
        <w:t>by</w:t>
      </w:r>
      <w:r>
        <w:rPr>
          <w:spacing w:val="28"/>
        </w:rPr>
        <w:t> </w:t>
      </w:r>
      <w:r>
        <w:rPr/>
        <w:t>one</w:t>
      </w:r>
      <w:r>
        <w:rPr>
          <w:spacing w:val="28"/>
        </w:rPr>
        <w:t> </w:t>
      </w:r>
      <w:r>
        <w:rPr/>
        <w:t>or</w:t>
      </w:r>
      <w:r>
        <w:rPr>
          <w:spacing w:val="28"/>
        </w:rPr>
        <w:t> </w:t>
      </w:r>
      <w:r>
        <w:rPr/>
        <w:t>more</w:t>
      </w:r>
      <w:r>
        <w:rPr>
          <w:spacing w:val="28"/>
        </w:rPr>
        <w:t> </w:t>
      </w:r>
      <w:r>
        <w:rPr/>
        <w:t>of</w:t>
      </w:r>
      <w:r>
        <w:rPr>
          <w:spacing w:val="28"/>
        </w:rPr>
        <w:t> </w:t>
      </w:r>
      <w:r>
        <w:rPr/>
        <w:t>those</w:t>
      </w:r>
      <w:r>
        <w:rPr>
          <w:spacing w:val="28"/>
        </w:rPr>
        <w:t> </w:t>
      </w:r>
      <w:r>
        <w:rPr/>
        <w:t>parties</w:t>
      </w:r>
      <w:r>
        <w:rPr>
          <w:spacing w:val="28"/>
        </w:rPr>
        <w:t> </w:t>
      </w:r>
      <w:r>
        <w:rPr/>
        <w:t>or</w:t>
      </w:r>
      <w:r>
        <w:rPr>
          <w:spacing w:val="28"/>
        </w:rPr>
        <w:t> </w:t>
      </w:r>
      <w:r>
        <w:rPr/>
        <w:t>a</w:t>
      </w:r>
      <w:r>
        <w:rPr>
          <w:spacing w:val="28"/>
        </w:rPr>
        <w:t> </w:t>
      </w:r>
      <w:r>
        <w:rPr/>
        <w:t>person</w:t>
      </w:r>
      <w:r>
        <w:rPr>
          <w:spacing w:val="28"/>
        </w:rPr>
        <w:t> </w:t>
      </w:r>
      <w:r>
        <w:rPr/>
        <w:t>authorised</w:t>
      </w:r>
      <w:r>
        <w:rPr>
          <w:spacing w:val="28"/>
        </w:rPr>
        <w:t> </w:t>
      </w:r>
      <w:r>
        <w:rPr/>
        <w:t>to</w:t>
      </w:r>
      <w:r>
        <w:rPr>
          <w:spacing w:val="28"/>
        </w:rPr>
        <w:t> </w:t>
      </w:r>
      <w:r>
        <w:rPr/>
        <w:t>execute</w:t>
      </w:r>
      <w:r>
        <w:rPr>
          <w:spacing w:val="28"/>
        </w:rPr>
        <w:t> </w:t>
      </w:r>
      <w:r>
        <w:rPr/>
        <w:t>it</w:t>
      </w:r>
      <w:r>
        <w:rPr>
          <w:spacing w:val="28"/>
        </w:rPr>
        <w:t> </w:t>
      </w:r>
      <w:r>
        <w:rPr/>
        <w:t>in</w:t>
      </w:r>
      <w:r>
        <w:rPr>
          <w:spacing w:val="28"/>
        </w:rPr>
        <w:t> </w:t>
      </w:r>
      <w:r>
        <w:rPr/>
        <w:t>the name or on behalf of one or more of those parties.”</w:t>
      </w:r>
    </w:p>
    <w:p>
      <w:pPr>
        <w:pStyle w:val="BodyText"/>
      </w:pPr>
    </w:p>
    <w:p>
      <w:pPr>
        <w:pStyle w:val="BodyText"/>
      </w:pPr>
    </w:p>
    <w:p>
      <w:pPr>
        <w:pStyle w:val="BodyText"/>
      </w:pPr>
    </w:p>
    <w:p>
      <w:pPr>
        <w:pStyle w:val="BodyText"/>
        <w:spacing w:before="19"/>
      </w:pPr>
    </w:p>
    <w:p>
      <w:pPr>
        <w:pStyle w:val="BodyText"/>
        <w:spacing w:line="235" w:lineRule="auto" w:before="1"/>
        <w:ind w:left="165" w:right="167"/>
        <w:jc w:val="both"/>
      </w:pPr>
      <w:bookmarkStart w:name="_bookmark1680" w:id="1682"/>
      <w:bookmarkEnd w:id="1682"/>
      <w:r>
        <w:rPr/>
      </w:r>
      <w:r>
        <w:rPr/>
        <w:t>These requirements apply to instruments executed by an individual, by a company incorporated</w:t>
      </w:r>
      <w:r>
        <w:rPr>
          <w:spacing w:val="80"/>
        </w:rPr>
        <w:t> </w:t>
      </w:r>
      <w:r>
        <w:rPr/>
        <w:t>under the Companies Act 1985, by a corporation aggregate or by a corporate sole.</w:t>
      </w:r>
      <w:r>
        <w:rPr>
          <w:spacing w:val="-2"/>
        </w:rPr>
        <w:t> </w:t>
      </w:r>
      <w:r>
        <w:rPr>
          <w:color w:val="005DA1"/>
          <w:u w:val="single" w:color="005DA1"/>
          <w:vertAlign w:val="superscript"/>
        </w:rPr>
        <w:t>895</w:t>
      </w:r>
      <w:r>
        <w:rPr>
          <w:color w:val="005DA1"/>
          <w:vertAlign w:val="baseline"/>
        </w:rPr>
        <w:t> </w:t>
      </w:r>
      <w:r>
        <w:rPr>
          <w:vertAlign w:val="baseline"/>
        </w:rPr>
        <w:t>However, </w:t>
      </w:r>
      <w:r>
        <w:rPr>
          <w:vertAlign w:val="baseline"/>
        </w:rPr>
        <w:t>even after the reforms of 2005, the significance and impact of these provisions differ somewhat according</w:t>
      </w:r>
      <w:r>
        <w:rPr>
          <w:spacing w:val="40"/>
          <w:vertAlign w:val="baseline"/>
        </w:rPr>
        <w:t> </w:t>
      </w:r>
      <w:r>
        <w:rPr>
          <w:vertAlign w:val="baseline"/>
        </w:rPr>
        <w:t>to these different categories of person. In this respect, a distinction is to be drawn between the condition contained in s.1(2)(a) of the 1989 Act as amended (the so-called “facevalue requirement”) and the condition in s.1(2)(b) of the 1989 Act as amended (the condition of “valid execution”).</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z w:val="18"/>
        </w:rPr>
        <w:t>The “face-value requirement” for </w:t>
      </w:r>
      <w:r>
        <w:rPr>
          <w:rFonts w:ascii="Arial" w:hAnsi="Arial"/>
          <w:b/>
          <w:spacing w:val="-2"/>
          <w:sz w:val="18"/>
        </w:rPr>
        <w:t>deeds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125</w:t>
      </w:r>
    </w:p>
    <w:p>
      <w:pPr>
        <w:pStyle w:val="BodyText"/>
        <w:spacing w:line="235" w:lineRule="auto" w:before="203"/>
        <w:ind w:left="164" w:right="167"/>
        <w:jc w:val="both"/>
      </w:pPr>
      <w:bookmarkStart w:name="_bookmark1681" w:id="1683"/>
      <w:bookmarkEnd w:id="1683"/>
      <w:r>
        <w:rPr/>
      </w:r>
      <w:r>
        <w:rPr/>
        <w:t>The reforms of 1989 introduced the idea that an instrument should qualify as a deed by reference to </w:t>
      </w:r>
      <w:bookmarkStart w:name="_bookmark1682" w:id="1684"/>
      <w:bookmarkEnd w:id="1684"/>
      <w:r>
        <w:rPr/>
        <w:t>the</w:t>
      </w:r>
      <w:r>
        <w:rPr/>
        <w:t> intention of the party or parties to it as made clear on its face, </w:t>
      </w:r>
      <w:r>
        <w:rPr>
          <w:color w:val="005DA1"/>
          <w:u w:val="single" w:color="005DA1"/>
          <w:vertAlign w:val="superscript"/>
        </w:rPr>
        <w:t>896</w:t>
      </w:r>
      <w:r>
        <w:rPr>
          <w:color w:val="005DA1"/>
          <w:vertAlign w:val="baseline"/>
        </w:rPr>
        <w:t> </w:t>
      </w:r>
      <w:r>
        <w:rPr>
          <w:vertAlign w:val="baseline"/>
        </w:rPr>
        <w:t>this reflecting </w:t>
      </w:r>
      <w:r>
        <w:rPr>
          <w:vertAlign w:val="baseline"/>
        </w:rPr>
        <w:t>earlier </w:t>
      </w:r>
      <w:bookmarkStart w:name="_bookmark1683" w:id="1685"/>
      <w:bookmarkEnd w:id="1685"/>
      <w:r>
        <w:rPr>
          <w:vertAlign w:val="baseline"/>
        </w:rPr>
        <w:t>developments</w:t>
      </w:r>
      <w:r>
        <w:rPr>
          <w:vertAlign w:val="baseline"/>
        </w:rPr>
        <w:t> in judicial attitudes to the common law requirement of sealing. </w:t>
      </w:r>
      <w:r>
        <w:rPr>
          <w:color w:val="005DA1"/>
          <w:u w:val="single" w:color="005DA1"/>
          <w:vertAlign w:val="superscript"/>
        </w:rPr>
        <w:t>897</w:t>
      </w:r>
      <w:r>
        <w:rPr>
          <w:color w:val="005DA1"/>
          <w:vertAlign w:val="baseline"/>
        </w:rPr>
        <w:t> </w:t>
      </w:r>
      <w:r>
        <w:rPr>
          <w:vertAlign w:val="baseline"/>
        </w:rPr>
        <w:t>Following the Law </w:t>
      </w:r>
      <w:bookmarkStart w:name="_bookmark1684" w:id="1686"/>
      <w:bookmarkEnd w:id="1686"/>
      <w:r>
        <w:rPr>
          <w:vertAlign w:val="baseline"/>
        </w:rPr>
        <w:t>Commission’s</w:t>
      </w:r>
      <w:r>
        <w:rPr>
          <w:vertAlign w:val="baseline"/>
        </w:rPr>
        <w:t> recommendations, </w:t>
      </w:r>
      <w:r>
        <w:rPr>
          <w:color w:val="005DA1"/>
          <w:u w:val="single" w:color="005DA1"/>
          <w:vertAlign w:val="superscript"/>
        </w:rPr>
        <w:t>898</w:t>
      </w:r>
      <w:r>
        <w:rPr>
          <w:color w:val="005DA1"/>
          <w:vertAlign w:val="baseline"/>
        </w:rPr>
        <w:t> </w:t>
      </w:r>
      <w:r>
        <w:rPr>
          <w:vertAlign w:val="baseline"/>
        </w:rPr>
        <w:t>this face-value requirement was retained in 2005, though its formulation was clarified and standardised for instruments executed by individuals and companies.</w:t>
      </w:r>
      <w:r>
        <w:rPr>
          <w:spacing w:val="-1"/>
          <w:vertAlign w:val="baseline"/>
        </w:rPr>
        <w:t> </w:t>
      </w:r>
      <w:r>
        <w:rPr>
          <w:color w:val="005DA1"/>
          <w:u w:val="single" w:color="005DA1"/>
          <w:vertAlign w:val="superscript"/>
        </w:rPr>
        <w:t>899</w:t>
      </w:r>
      <w:r>
        <w:rPr>
          <w:color w:val="005DA1"/>
          <w:vertAlign w:val="baseline"/>
        </w:rPr>
        <w:t> </w:t>
      </w:r>
      <w:r>
        <w:rPr>
          <w:vertAlign w:val="baseline"/>
        </w:rPr>
        <w:t>In particular, it is expressly provided that:</w:t>
      </w:r>
    </w:p>
    <w:p>
      <w:pPr>
        <w:pStyle w:val="BodyText"/>
      </w:pPr>
    </w:p>
    <w:p>
      <w:pPr>
        <w:pStyle w:val="BodyText"/>
        <w:spacing w:before="124"/>
      </w:pPr>
    </w:p>
    <w:p>
      <w:pPr>
        <w:pStyle w:val="BodyText"/>
        <w:spacing w:line="235" w:lineRule="auto"/>
        <w:ind w:left="1244"/>
      </w:pPr>
      <w:bookmarkStart w:name="_bookmark1685" w:id="1687"/>
      <w:bookmarkEnd w:id="1687"/>
      <w:r>
        <w:rPr/>
      </w:r>
      <w:r>
        <w:rPr/>
        <w:t>“… an instrument shall not be taken to make it clear on its face that it is intended to be </w:t>
      </w:r>
      <w:r>
        <w:rPr/>
        <w:t>a deed merely because it is executed under seal.” </w:t>
      </w:r>
      <w:r>
        <w:rPr>
          <w:color w:val="005DA1"/>
          <w:u w:val="single" w:color="005DA1"/>
          <w:vertAlign w:val="superscript"/>
        </w:rPr>
        <w:t>900</w:t>
      </w:r>
    </w:p>
    <w:p>
      <w:pPr>
        <w:pStyle w:val="BodyText"/>
      </w:pPr>
    </w:p>
    <w:p>
      <w:pPr>
        <w:pStyle w:val="BodyText"/>
      </w:pPr>
    </w:p>
    <w:p>
      <w:pPr>
        <w:pStyle w:val="BodyText"/>
        <w:spacing w:before="155"/>
      </w:pPr>
    </w:p>
    <w:p>
      <w:pPr>
        <w:spacing w:before="0"/>
        <w:ind w:left="165" w:right="0" w:firstLine="0"/>
        <w:jc w:val="left"/>
        <w:rPr>
          <w:rFonts w:ascii="Arial"/>
          <w:b/>
          <w:sz w:val="18"/>
        </w:rPr>
      </w:pPr>
      <w:r>
        <w:rPr>
          <w:rFonts w:ascii="Arial"/>
          <w:b/>
          <w:sz w:val="18"/>
        </w:rPr>
        <w:t>Execution on behalf of one or more of the parties to the </w:t>
      </w:r>
      <w:r>
        <w:rPr>
          <w:rFonts w:ascii="Arial"/>
          <w:b/>
          <w:spacing w:val="-2"/>
          <w:sz w:val="18"/>
        </w:rPr>
        <w:t>instrument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126</w:t>
      </w:r>
    </w:p>
    <w:p>
      <w:pPr>
        <w:pStyle w:val="BodyText"/>
        <w:spacing w:line="235" w:lineRule="auto" w:before="203"/>
        <w:ind w:left="164" w:right="167"/>
        <w:jc w:val="both"/>
      </w:pPr>
      <w:bookmarkStart w:name="_bookmark1686" w:id="1688"/>
      <w:bookmarkEnd w:id="1688"/>
      <w:r>
        <w:rPr/>
      </w:r>
      <w:r>
        <w:rPr/>
        <w:t>Following the Law Commission’s recommendations, </w:t>
      </w:r>
      <w:r>
        <w:rPr>
          <w:color w:val="005DA1"/>
          <w:u w:val="single" w:color="005DA1"/>
          <w:vertAlign w:val="superscript"/>
        </w:rPr>
        <w:t>901</w:t>
      </w:r>
      <w:r>
        <w:rPr>
          <w:color w:val="005DA1"/>
          <w:vertAlign w:val="baseline"/>
        </w:rPr>
        <w:t> </w:t>
      </w:r>
      <w:r>
        <w:rPr>
          <w:vertAlign w:val="baseline"/>
        </w:rPr>
        <w:t>the 2005 Order introduced new clarifying provisions so as to provide expressly for execution in the name or on behalf of another person. So, </w:t>
      </w:r>
      <w:r>
        <w:rPr>
          <w:vertAlign w:val="baseline"/>
        </w:rPr>
        <w:t>it is provided that as regards individuals, a document may be executed by a person on behalf of </w:t>
      </w:r>
      <w:bookmarkStart w:name="_bookmark1687" w:id="1689"/>
      <w:bookmarkEnd w:id="1689"/>
      <w:r>
        <w:rPr>
          <w:vertAlign w:val="baseline"/>
        </w:rPr>
        <w:t>another,</w:t>
      </w:r>
      <w:r>
        <w:rPr>
          <w:vertAlign w:val="baseline"/>
        </w:rPr>
        <w:t> and that it is the person who executes the document (whether or not on behalf of the other) who must comply with the formalities </w:t>
      </w:r>
      <w:r>
        <w:rPr>
          <w:color w:val="005DA1"/>
          <w:u w:val="single" w:color="005DA1"/>
          <w:vertAlign w:val="superscript"/>
        </w:rPr>
        <w:t>902</w:t>
      </w:r>
      <w:r>
        <w:rPr>
          <w:vertAlign w:val="baseline"/>
        </w:rPr>
        <w:t>; as regards companies, the legislative provisions which state </w:t>
      </w:r>
      <w:bookmarkStart w:name="_bookmark1688" w:id="1690"/>
      <w:bookmarkEnd w:id="1690"/>
      <w:r>
        <w:rPr>
          <w:vertAlign w:val="baseline"/>
        </w:rPr>
        <w:t>how</w:t>
      </w:r>
      <w:r>
        <w:rPr>
          <w:vertAlign w:val="baseline"/>
        </w:rPr>
        <w:t> a company may execute a document and provide for deemed execution in favour of a purchaser apply where a company executes a document on behalf of another person </w:t>
      </w:r>
      <w:r>
        <w:rPr>
          <w:color w:val="005DA1"/>
          <w:u w:val="single" w:color="005DA1"/>
          <w:vertAlign w:val="superscript"/>
        </w:rPr>
        <w:t>903</w:t>
      </w:r>
      <w:r>
        <w:rPr>
          <w:vertAlign w:val="baseline"/>
        </w:rPr>
        <w:t>; and as regards corporations aggregate, the Law of Property Act 1925 was amended so as to provide that deemed </w:t>
      </w:r>
      <w:bookmarkStart w:name="_bookmark1689" w:id="1691"/>
      <w:bookmarkEnd w:id="1691"/>
      <w:r>
        <w:rPr>
          <w:vertAlign w:val="baseline"/>
        </w:rPr>
        <w:t>execution</w:t>
      </w:r>
      <w:r>
        <w:rPr>
          <w:vertAlign w:val="baseline"/>
        </w:rPr>
        <w:t> in favour of a purchaser applies where the corporation executes an instrument on behalf of another person. </w:t>
      </w:r>
      <w:r>
        <w:rPr>
          <w:color w:val="005DA1"/>
          <w:u w:val="single" w:color="005DA1"/>
          <w:vertAlign w:val="superscript"/>
        </w:rPr>
        <w:t>904</w:t>
      </w:r>
    </w:p>
    <w:p>
      <w:pPr>
        <w:pStyle w:val="BodyText"/>
      </w:pPr>
    </w:p>
    <w:p>
      <w:pPr>
        <w:pStyle w:val="BodyText"/>
        <w:spacing w:before="35"/>
      </w:pPr>
    </w:p>
    <w:p>
      <w:pPr>
        <w:spacing w:before="0"/>
        <w:ind w:left="165" w:right="0" w:firstLine="0"/>
        <w:jc w:val="left"/>
        <w:rPr>
          <w:rFonts w:ascii="Arial" w:hAnsi="Arial"/>
          <w:b/>
          <w:sz w:val="18"/>
        </w:rPr>
      </w:pPr>
      <w:r>
        <w:rPr>
          <w:rFonts w:ascii="Arial" w:hAnsi="Arial"/>
          <w:b/>
          <w:sz w:val="18"/>
        </w:rPr>
        <w:t>“Valid execution”: </w:t>
      </w:r>
      <w:r>
        <w:rPr>
          <w:rFonts w:ascii="Arial" w:hAnsi="Arial"/>
          <w:b/>
          <w:spacing w:val="-2"/>
          <w:sz w:val="18"/>
        </w:rPr>
        <w:t>individuals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127</w:t>
      </w:r>
    </w:p>
    <w:p>
      <w:pPr>
        <w:pStyle w:val="BodyText"/>
        <w:spacing w:line="235" w:lineRule="auto" w:before="203"/>
        <w:ind w:left="165" w:right="167"/>
        <w:jc w:val="both"/>
      </w:pPr>
      <w:r>
        <w:rPr/>
        <w:t>After amendment by the 2005 Order, the 1989 Act provides that for an instrument to be validly executed as a deed by an individual, it must be:</w:t>
      </w:r>
    </w:p>
    <w:p>
      <w:pPr>
        <w:pStyle w:val="BodyText"/>
        <w:spacing w:after="0" w:line="235" w:lineRule="auto"/>
        <w:jc w:val="both"/>
        <w:sectPr>
          <w:pgSz w:w="11900" w:h="16840"/>
          <w:pgMar w:header="971" w:footer="0" w:top="1300" w:bottom="280" w:left="1275" w:right="1275"/>
        </w:sectPr>
      </w:pPr>
    </w:p>
    <w:p>
      <w:pPr>
        <w:pStyle w:val="BodyText"/>
        <w:spacing w:before="163"/>
      </w:pPr>
    </w:p>
    <w:p>
      <w:pPr>
        <w:pStyle w:val="BodyText"/>
        <w:ind w:left="1245"/>
      </w:pPr>
      <w:r>
        <w:rPr/>
        <w:t>“… </w:t>
      </w:r>
      <w:r>
        <w:rPr>
          <w:spacing w:val="-2"/>
        </w:rPr>
        <w:t>signed</w:t>
      </w:r>
    </w:p>
    <w:p>
      <w:pPr>
        <w:pStyle w:val="BodyText"/>
      </w:pPr>
    </w:p>
    <w:p>
      <w:pPr>
        <w:pStyle w:val="BodyText"/>
        <w:spacing w:before="195"/>
      </w:pPr>
    </w:p>
    <w:p>
      <w:pPr>
        <w:pStyle w:val="BodyText"/>
        <w:ind w:left="1245"/>
      </w:pPr>
      <w:r>
        <w:rPr>
          <w:spacing w:val="-5"/>
        </w:rPr>
        <w:t>(i)</w:t>
      </w:r>
    </w:p>
    <w:p>
      <w:pPr>
        <w:pStyle w:val="BodyText"/>
        <w:spacing w:before="110"/>
        <w:ind w:left="1725"/>
      </w:pPr>
      <w:r>
        <w:rPr/>
        <w:t>by him in the presence of a witness who attests the signature; </w:t>
      </w:r>
      <w:r>
        <w:rPr>
          <w:spacing w:val="-5"/>
        </w:rPr>
        <w:t>or</w:t>
      </w:r>
    </w:p>
    <w:p>
      <w:pPr>
        <w:pStyle w:val="BodyText"/>
      </w:pPr>
    </w:p>
    <w:p>
      <w:pPr>
        <w:pStyle w:val="BodyText"/>
        <w:spacing w:before="35"/>
      </w:pPr>
    </w:p>
    <w:p>
      <w:pPr>
        <w:pStyle w:val="BodyText"/>
        <w:ind w:left="1245"/>
      </w:pPr>
      <w:r>
        <w:rPr>
          <w:spacing w:val="-4"/>
        </w:rPr>
        <w:t>(ii)</w:t>
      </w:r>
    </w:p>
    <w:p>
      <w:pPr>
        <w:pStyle w:val="BodyText"/>
        <w:spacing w:line="235" w:lineRule="auto" w:before="114"/>
        <w:ind w:left="1725"/>
      </w:pPr>
      <w:bookmarkStart w:name="_bookmark1690" w:id="1692"/>
      <w:bookmarkEnd w:id="1692"/>
      <w:r>
        <w:rPr/>
      </w:r>
      <w:r>
        <w:rPr/>
        <w:t>at</w:t>
      </w:r>
      <w:r>
        <w:rPr>
          <w:spacing w:val="21"/>
        </w:rPr>
        <w:t> </w:t>
      </w:r>
      <w:r>
        <w:rPr/>
        <w:t>his</w:t>
      </w:r>
      <w:r>
        <w:rPr>
          <w:spacing w:val="21"/>
        </w:rPr>
        <w:t> </w:t>
      </w:r>
      <w:r>
        <w:rPr/>
        <w:t>direction</w:t>
      </w:r>
      <w:r>
        <w:rPr>
          <w:spacing w:val="21"/>
        </w:rPr>
        <w:t> </w:t>
      </w:r>
      <w:r>
        <w:rPr/>
        <w:t>and</w:t>
      </w:r>
      <w:r>
        <w:rPr>
          <w:spacing w:val="21"/>
        </w:rPr>
        <w:t> </w:t>
      </w:r>
      <w:r>
        <w:rPr/>
        <w:t>in</w:t>
      </w:r>
      <w:r>
        <w:rPr>
          <w:spacing w:val="21"/>
        </w:rPr>
        <w:t> </w:t>
      </w:r>
      <w:r>
        <w:rPr/>
        <w:t>his</w:t>
      </w:r>
      <w:r>
        <w:rPr>
          <w:spacing w:val="21"/>
        </w:rPr>
        <w:t> </w:t>
      </w:r>
      <w:r>
        <w:rPr/>
        <w:t>presence</w:t>
      </w:r>
      <w:r>
        <w:rPr>
          <w:spacing w:val="21"/>
        </w:rPr>
        <w:t> </w:t>
      </w:r>
      <w:r>
        <w:rPr/>
        <w:t>and</w:t>
      </w:r>
      <w:r>
        <w:rPr>
          <w:spacing w:val="21"/>
        </w:rPr>
        <w:t> </w:t>
      </w:r>
      <w:r>
        <w:rPr/>
        <w:t>the</w:t>
      </w:r>
      <w:r>
        <w:rPr>
          <w:spacing w:val="21"/>
        </w:rPr>
        <w:t> </w:t>
      </w:r>
      <w:r>
        <w:rPr/>
        <w:t>presence</w:t>
      </w:r>
      <w:r>
        <w:rPr>
          <w:spacing w:val="21"/>
        </w:rPr>
        <w:t> </w:t>
      </w:r>
      <w:r>
        <w:rPr/>
        <w:t>of</w:t>
      </w:r>
      <w:r>
        <w:rPr>
          <w:spacing w:val="21"/>
        </w:rPr>
        <w:t> </w:t>
      </w:r>
      <w:r>
        <w:rPr/>
        <w:t>two</w:t>
      </w:r>
      <w:r>
        <w:rPr>
          <w:spacing w:val="21"/>
        </w:rPr>
        <w:t> </w:t>
      </w:r>
      <w:r>
        <w:rPr/>
        <w:t>witnesses</w:t>
      </w:r>
      <w:r>
        <w:rPr>
          <w:spacing w:val="21"/>
        </w:rPr>
        <w:t> </w:t>
      </w:r>
      <w:r>
        <w:rPr/>
        <w:t>who</w:t>
      </w:r>
      <w:r>
        <w:rPr>
          <w:spacing w:val="21"/>
        </w:rPr>
        <w:t> </w:t>
      </w:r>
      <w:r>
        <w:rPr/>
        <w:t>each attest the signature.” </w:t>
      </w:r>
      <w:r>
        <w:rPr>
          <w:color w:val="005DA1"/>
          <w:u w:val="single" w:color="005DA1"/>
          <w:vertAlign w:val="superscript"/>
        </w:rPr>
        <w:t>905</w:t>
      </w:r>
    </w:p>
    <w:p>
      <w:pPr>
        <w:pStyle w:val="BodyText"/>
      </w:pPr>
    </w:p>
    <w:p>
      <w:pPr>
        <w:pStyle w:val="BodyText"/>
      </w:pPr>
    </w:p>
    <w:p>
      <w:pPr>
        <w:pStyle w:val="BodyText"/>
        <w:spacing w:before="96"/>
      </w:pPr>
    </w:p>
    <w:p>
      <w:pPr>
        <w:pStyle w:val="BodyText"/>
        <w:spacing w:line="235" w:lineRule="auto"/>
        <w:ind w:left="164" w:right="167"/>
        <w:jc w:val="both"/>
      </w:pPr>
      <w:bookmarkStart w:name="_bookmark1691" w:id="1693"/>
      <w:bookmarkEnd w:id="1693"/>
      <w:r>
        <w:rPr/>
      </w:r>
      <w:r>
        <w:rPr/>
        <w:t>“Signature” is defined later in the section to include making one’s mark.</w:t>
      </w:r>
      <w:r>
        <w:rPr>
          <w:spacing w:val="-1"/>
        </w:rPr>
        <w:t> </w:t>
      </w:r>
      <w:r>
        <w:rPr>
          <w:color w:val="005DA1"/>
          <w:u w:val="single" w:color="005DA1"/>
          <w:vertAlign w:val="superscript"/>
        </w:rPr>
        <w:t>906</w:t>
      </w:r>
      <w:r>
        <w:rPr>
          <w:color w:val="005DA1"/>
          <w:vertAlign w:val="baseline"/>
        </w:rPr>
        <w:t> </w:t>
      </w:r>
      <w:r>
        <w:rPr>
          <w:vertAlign w:val="baseline"/>
        </w:rPr>
        <w:t>The 2005 Order </w:t>
      </w:r>
      <w:r>
        <w:rPr>
          <w:vertAlign w:val="baseline"/>
        </w:rPr>
        <w:t>preserved </w:t>
      </w:r>
      <w:bookmarkStart w:name="_bookmark1692" w:id="1694"/>
      <w:bookmarkEnd w:id="1694"/>
      <w:r>
        <w:rPr>
          <w:vertAlign w:val="baseline"/>
        </w:rPr>
        <w:t>the</w:t>
      </w:r>
      <w:r>
        <w:rPr>
          <w:spacing w:val="-1"/>
          <w:vertAlign w:val="baseline"/>
        </w:rPr>
        <w:t> </w:t>
      </w:r>
      <w:r>
        <w:rPr>
          <w:vertAlign w:val="baseline"/>
        </w:rPr>
        <w:t>further</w:t>
      </w:r>
      <w:r>
        <w:rPr>
          <w:spacing w:val="-1"/>
          <w:vertAlign w:val="baseline"/>
        </w:rPr>
        <w:t> </w:t>
      </w:r>
      <w:r>
        <w:rPr>
          <w:vertAlign w:val="baseline"/>
        </w:rPr>
        <w:t>common</w:t>
      </w:r>
      <w:r>
        <w:rPr>
          <w:spacing w:val="-1"/>
          <w:vertAlign w:val="baseline"/>
        </w:rPr>
        <w:t> </w:t>
      </w:r>
      <w:r>
        <w:rPr>
          <w:vertAlign w:val="baseline"/>
        </w:rPr>
        <w:t>law</w:t>
      </w:r>
      <w:r>
        <w:rPr>
          <w:spacing w:val="-1"/>
          <w:vertAlign w:val="baseline"/>
        </w:rPr>
        <w:t> </w:t>
      </w:r>
      <w:r>
        <w:rPr>
          <w:vertAlign w:val="baseline"/>
        </w:rPr>
        <w:t>requirement</w:t>
      </w:r>
      <w:r>
        <w:rPr>
          <w:spacing w:val="-1"/>
          <w:vertAlign w:val="baseline"/>
        </w:rPr>
        <w:t> </w:t>
      </w:r>
      <w:r>
        <w:rPr>
          <w:vertAlign w:val="baseline"/>
        </w:rPr>
        <w:t>that</w:t>
      </w:r>
      <w:r>
        <w:rPr>
          <w:spacing w:val="-1"/>
          <w:vertAlign w:val="baseline"/>
        </w:rPr>
        <w:t> </w:t>
      </w:r>
      <w:r>
        <w:rPr>
          <w:vertAlign w:val="baseline"/>
        </w:rPr>
        <w:t>for</w:t>
      </w:r>
      <w:r>
        <w:rPr>
          <w:spacing w:val="-1"/>
          <w:vertAlign w:val="baseline"/>
        </w:rPr>
        <w:t> </w:t>
      </w:r>
      <w:r>
        <w:rPr>
          <w:vertAlign w:val="baseline"/>
        </w:rPr>
        <w:t>an</w:t>
      </w:r>
      <w:r>
        <w:rPr>
          <w:spacing w:val="-1"/>
          <w:vertAlign w:val="baseline"/>
        </w:rPr>
        <w:t> </w:t>
      </w:r>
      <w:r>
        <w:rPr>
          <w:vertAlign w:val="baseline"/>
        </w:rPr>
        <w:t>instrument</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validly</w:t>
      </w:r>
      <w:r>
        <w:rPr>
          <w:spacing w:val="-1"/>
          <w:vertAlign w:val="baseline"/>
        </w:rPr>
        <w:t> </w:t>
      </w:r>
      <w:r>
        <w:rPr>
          <w:vertAlign w:val="baseline"/>
        </w:rPr>
        <w:t>executed</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deed</w:t>
      </w:r>
      <w:r>
        <w:rPr>
          <w:spacing w:val="-1"/>
          <w:vertAlign w:val="baseline"/>
        </w:rPr>
        <w:t> </w:t>
      </w:r>
      <w:r>
        <w:rPr>
          <w:vertAlign w:val="baseline"/>
        </w:rPr>
        <w:t>it</w:t>
      </w:r>
      <w:r>
        <w:rPr>
          <w:spacing w:val="-1"/>
          <w:vertAlign w:val="baseline"/>
        </w:rPr>
        <w:t> </w:t>
      </w:r>
      <w:r>
        <w:rPr>
          <w:vertAlign w:val="baseline"/>
        </w:rPr>
        <w:t>must</w:t>
      </w:r>
      <w:r>
        <w:rPr>
          <w:spacing w:val="-1"/>
          <w:vertAlign w:val="baseline"/>
        </w:rPr>
        <w:t> </w:t>
      </w:r>
      <w:r>
        <w:rPr>
          <w:vertAlign w:val="baseline"/>
        </w:rPr>
        <w:t>be “delivered” as a deed. </w:t>
      </w:r>
      <w:r>
        <w:rPr>
          <w:color w:val="005DA1"/>
          <w:u w:val="single" w:color="005DA1"/>
          <w:vertAlign w:val="superscript"/>
        </w:rPr>
        <w:t>907</w:t>
      </w:r>
    </w:p>
    <w:p>
      <w:pPr>
        <w:pStyle w:val="BodyText"/>
      </w:pPr>
    </w:p>
    <w:p>
      <w:pPr>
        <w:pStyle w:val="BodyText"/>
        <w:spacing w:before="38"/>
      </w:pPr>
    </w:p>
    <w:p>
      <w:pPr>
        <w:spacing w:before="0"/>
        <w:ind w:left="165" w:right="0" w:firstLine="0"/>
        <w:jc w:val="both"/>
        <w:rPr>
          <w:rFonts w:ascii="Arial" w:hAnsi="Arial"/>
          <w:b/>
          <w:sz w:val="18"/>
        </w:rPr>
      </w:pPr>
      <w:r>
        <w:rPr>
          <w:rFonts w:ascii="Arial" w:hAnsi="Arial"/>
          <w:b/>
          <w:sz w:val="18"/>
        </w:rPr>
        <w:t>“Valid execution”: companies and corporations </w:t>
      </w:r>
      <w:r>
        <w:rPr>
          <w:rFonts w:ascii="Arial" w:hAnsi="Arial"/>
          <w:b/>
          <w:spacing w:val="-2"/>
          <w:sz w:val="18"/>
        </w:rPr>
        <w:t>aggregate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128</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693" w:id="1695"/>
      <w:bookmarkEnd w:id="1695"/>
      <w:r>
        <w:rPr>
          <w:rFonts w:ascii="Times New Roman" w:hAnsi="Times New Roman"/>
          <w:spacing w:val="-7"/>
        </w:rPr>
      </w:r>
      <w:r>
        <w:rPr/>
        <w:t>One of the purposes of the 2005 Order was to harmonise the law governing the execution </w:t>
      </w:r>
      <w:r>
        <w:rPr/>
        <w:t>of instruments as deeds by corporate bodies. </w:t>
      </w:r>
      <w:r>
        <w:rPr>
          <w:color w:val="005DA1"/>
          <w:u w:val="single" w:color="005DA1"/>
          <w:vertAlign w:val="superscript"/>
        </w:rPr>
        <w:t>908</w:t>
      </w:r>
      <w:r>
        <w:rPr>
          <w:color w:val="005DA1"/>
          <w:vertAlign w:val="baseline"/>
        </w:rPr>
        <w:t> </w:t>
      </w:r>
      <w:r>
        <w:rPr>
          <w:vertAlign w:val="baseline"/>
        </w:rPr>
        <w:t>So, it is now provided that a document is validly </w:t>
      </w:r>
      <w:bookmarkStart w:name="_bookmark1694" w:id="1696"/>
      <w:bookmarkEnd w:id="1696"/>
      <w:r>
        <w:rPr>
          <w:vertAlign w:val="baseline"/>
        </w:rPr>
        <w:t>executed</w:t>
      </w:r>
      <w:r>
        <w:rPr>
          <w:vertAlign w:val="baseline"/>
        </w:rPr>
        <w:t> </w:t>
      </w:r>
      <w:r>
        <w:rPr>
          <w:rFonts w:ascii="Arial" w:hAnsi="Arial"/>
          <w:i/>
          <w:vertAlign w:val="baseline"/>
        </w:rPr>
        <w:t>as a deed </w:t>
      </w:r>
      <w:r>
        <w:rPr>
          <w:vertAlign w:val="baseline"/>
        </w:rPr>
        <w:t>by both companies and corporations aggregate so as to satisfy the general </w:t>
      </w:r>
      <w:bookmarkStart w:name="_bookmark1695" w:id="1697"/>
      <w:bookmarkEnd w:id="1697"/>
      <w:r>
        <w:rPr>
          <w:vertAlign w:val="baseline"/>
        </w:rPr>
        <w:t>requirements</w:t>
      </w:r>
      <w:r>
        <w:rPr>
          <w:vertAlign w:val="baseline"/>
        </w:rPr>
        <w:t> imposed by the 1989 Act </w:t>
      </w:r>
      <w:r>
        <w:rPr>
          <w:color w:val="005DA1"/>
          <w:u w:val="single" w:color="005DA1"/>
          <w:vertAlign w:val="superscript"/>
        </w:rPr>
        <w:t>909</w:t>
      </w:r>
      <w:r>
        <w:rPr>
          <w:color w:val="005DA1"/>
          <w:vertAlign w:val="baseline"/>
        </w:rPr>
        <w:t> </w:t>
      </w:r>
      <w:r>
        <w:rPr>
          <w:vertAlign w:val="baseline"/>
        </w:rPr>
        <w:t>“if and only if” it is “duly executed” by the corporate body </w:t>
      </w:r>
      <w:r>
        <w:rPr>
          <w:rFonts w:ascii="Arial" w:hAnsi="Arial"/>
          <w:i/>
          <w:vertAlign w:val="baseline"/>
        </w:rPr>
        <w:t>and </w:t>
      </w:r>
      <w:r>
        <w:rPr>
          <w:vertAlign w:val="baseline"/>
        </w:rPr>
        <w:t>if it is delivered as a deed. </w:t>
      </w:r>
      <w:r>
        <w:rPr>
          <w:color w:val="005DA1"/>
          <w:u w:val="single" w:color="005DA1"/>
          <w:vertAlign w:val="superscript"/>
        </w:rPr>
        <w:t>910</w:t>
      </w:r>
      <w:r>
        <w:rPr>
          <w:color w:val="005DA1"/>
          <w:vertAlign w:val="baseline"/>
        </w:rPr>
        <w:t> </w:t>
      </w:r>
      <w:r>
        <w:rPr>
          <w:vertAlign w:val="baseline"/>
        </w:rPr>
        <w:t>As regards delivery, it is provided for both types of corporate body </w:t>
      </w:r>
      <w:bookmarkStart w:name="_bookmark1696" w:id="1698"/>
      <w:bookmarkEnd w:id="1698"/>
      <w:r>
        <w:rPr>
          <w:vertAlign w:val="baseline"/>
        </w:rPr>
        <w:t>that</w:t>
      </w:r>
      <w:r>
        <w:rPr>
          <w:spacing w:val="21"/>
          <w:vertAlign w:val="baseline"/>
        </w:rPr>
        <w:t> </w:t>
      </w:r>
      <w:r>
        <w:rPr>
          <w:vertAlign w:val="baseline"/>
        </w:rPr>
        <w:t>an</w:t>
      </w:r>
      <w:r>
        <w:rPr>
          <w:spacing w:val="23"/>
          <w:vertAlign w:val="baseline"/>
        </w:rPr>
        <w:t> </w:t>
      </w:r>
      <w:r>
        <w:rPr>
          <w:vertAlign w:val="baseline"/>
        </w:rPr>
        <w:t>instrument</w:t>
      </w:r>
      <w:r>
        <w:rPr>
          <w:spacing w:val="23"/>
          <w:vertAlign w:val="baseline"/>
        </w:rPr>
        <w:t> </w:t>
      </w:r>
      <w:r>
        <w:rPr>
          <w:vertAlign w:val="baseline"/>
        </w:rPr>
        <w:t>shall</w:t>
      </w:r>
      <w:r>
        <w:rPr>
          <w:spacing w:val="23"/>
          <w:vertAlign w:val="baseline"/>
        </w:rPr>
        <w:t> </w:t>
      </w:r>
      <w:r>
        <w:rPr>
          <w:vertAlign w:val="baseline"/>
        </w:rPr>
        <w:t>be</w:t>
      </w:r>
      <w:r>
        <w:rPr>
          <w:spacing w:val="23"/>
          <w:vertAlign w:val="baseline"/>
        </w:rPr>
        <w:t> </w:t>
      </w:r>
      <w:r>
        <w:rPr>
          <w:vertAlign w:val="baseline"/>
        </w:rPr>
        <w:t>presumed</w:t>
      </w:r>
      <w:r>
        <w:rPr>
          <w:spacing w:val="23"/>
          <w:vertAlign w:val="baseline"/>
        </w:rPr>
        <w:t> </w:t>
      </w:r>
      <w:r>
        <w:rPr>
          <w:vertAlign w:val="baseline"/>
        </w:rPr>
        <w:t>to</w:t>
      </w:r>
      <w:r>
        <w:rPr>
          <w:spacing w:val="23"/>
          <w:vertAlign w:val="baseline"/>
        </w:rPr>
        <w:t> </w:t>
      </w:r>
      <w:r>
        <w:rPr>
          <w:vertAlign w:val="baseline"/>
        </w:rPr>
        <w:t>be</w:t>
      </w:r>
      <w:r>
        <w:rPr>
          <w:spacing w:val="23"/>
          <w:vertAlign w:val="baseline"/>
        </w:rPr>
        <w:t> </w:t>
      </w:r>
      <w:r>
        <w:rPr>
          <w:vertAlign w:val="baseline"/>
        </w:rPr>
        <w:t>delivered</w:t>
      </w:r>
      <w:r>
        <w:rPr>
          <w:spacing w:val="23"/>
          <w:vertAlign w:val="baseline"/>
        </w:rPr>
        <w:t> </w:t>
      </w:r>
      <w:r>
        <w:rPr>
          <w:vertAlign w:val="baseline"/>
        </w:rPr>
        <w:t>for</w:t>
      </w:r>
      <w:r>
        <w:rPr>
          <w:spacing w:val="23"/>
          <w:vertAlign w:val="baseline"/>
        </w:rPr>
        <w:t> </w:t>
      </w:r>
      <w:r>
        <w:rPr>
          <w:vertAlign w:val="baseline"/>
        </w:rPr>
        <w:t>these</w:t>
      </w:r>
      <w:r>
        <w:rPr>
          <w:spacing w:val="23"/>
          <w:vertAlign w:val="baseline"/>
        </w:rPr>
        <w:t> </w:t>
      </w:r>
      <w:r>
        <w:rPr>
          <w:vertAlign w:val="baseline"/>
        </w:rPr>
        <w:t>purposes</w:t>
      </w:r>
      <w:r>
        <w:rPr>
          <w:spacing w:val="23"/>
          <w:vertAlign w:val="baseline"/>
        </w:rPr>
        <w:t> </w:t>
      </w:r>
      <w:r>
        <w:rPr>
          <w:vertAlign w:val="baseline"/>
        </w:rPr>
        <w:t>“upon</w:t>
      </w:r>
      <w:r>
        <w:rPr>
          <w:spacing w:val="23"/>
          <w:vertAlign w:val="baseline"/>
        </w:rPr>
        <w:t> </w:t>
      </w:r>
      <w:r>
        <w:rPr>
          <w:vertAlign w:val="baseline"/>
        </w:rPr>
        <w:t>its</w:t>
      </w:r>
      <w:r>
        <w:rPr>
          <w:spacing w:val="23"/>
          <w:vertAlign w:val="baseline"/>
        </w:rPr>
        <w:t> </w:t>
      </w:r>
      <w:r>
        <w:rPr>
          <w:vertAlign w:val="baseline"/>
        </w:rPr>
        <w:t>being</w:t>
      </w:r>
      <w:r>
        <w:rPr>
          <w:spacing w:val="23"/>
          <w:vertAlign w:val="baseline"/>
        </w:rPr>
        <w:t> </w:t>
      </w:r>
      <w:r>
        <w:rPr>
          <w:spacing w:val="-2"/>
          <w:vertAlign w:val="baseline"/>
        </w:rPr>
        <w:t>executed,</w:t>
      </w:r>
    </w:p>
    <w:p>
      <w:pPr>
        <w:pStyle w:val="BodyText"/>
        <w:spacing w:line="235" w:lineRule="auto" w:before="117"/>
        <w:ind w:left="164" w:right="167"/>
        <w:jc w:val="both"/>
      </w:pPr>
      <w:bookmarkStart w:name="_bookmark1697" w:id="1699"/>
      <w:bookmarkEnd w:id="1699"/>
      <w:r>
        <w:rPr/>
      </w:r>
      <w:r>
        <w:rPr/>
        <w:t>unless a contrary intention is proved”. </w:t>
      </w:r>
      <w:r>
        <w:rPr>
          <w:color w:val="005DA1"/>
          <w:u w:val="single" w:color="005DA1"/>
          <w:vertAlign w:val="superscript"/>
        </w:rPr>
        <w:t>911</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34"/>
          <w:vertAlign w:val="baseline"/>
        </w:rPr>
        <w:t> </w:t>
      </w:r>
      <w:r>
        <w:rPr>
          <w:vertAlign w:val="baseline"/>
        </w:rPr>
        <w:t>As regards companies, this provision marked a </w:t>
      </w:r>
      <w:r>
        <w:rPr>
          <w:vertAlign w:val="baseline"/>
        </w:rPr>
        <w:t>change from the previous law where the presumption of delivery was irrebuttable in these circumstances </w:t>
      </w:r>
      <w:r>
        <w:rPr>
          <w:color w:val="005DA1"/>
          <w:u w:val="single" w:color="005DA1"/>
          <w:vertAlign w:val="superscript"/>
        </w:rPr>
        <w:t>912</w:t>
      </w:r>
      <w:r>
        <w:rPr>
          <w:vertAlign w:val="baseline"/>
        </w:rPr>
        <w:t>; </w:t>
      </w:r>
      <w:bookmarkStart w:name="_bookmark1698" w:id="1700"/>
      <w:bookmarkEnd w:id="1700"/>
      <w:r>
        <w:rPr>
          <w:vertAlign w:val="baseline"/>
        </w:rPr>
        <w:t>as</w:t>
      </w:r>
      <w:r>
        <w:rPr>
          <w:vertAlign w:val="baseline"/>
        </w:rPr>
        <w:t> regards corporations aggregate, it clarified the position given that the existence of a rebuttable presumption at common law had been recently judicially questioned. </w:t>
      </w:r>
      <w:r>
        <w:rPr>
          <w:color w:val="005DA1"/>
          <w:u w:val="single" w:color="005DA1"/>
          <w:vertAlign w:val="superscript"/>
        </w:rPr>
        <w:t>913</w:t>
      </w:r>
      <w:r>
        <w:rPr>
          <w:color w:val="005DA1"/>
          <w:vertAlign w:val="baseline"/>
        </w:rPr>
        <w:t> </w:t>
      </w:r>
      <w:r>
        <w:rPr>
          <w:vertAlign w:val="baseline"/>
        </w:rPr>
        <w:t>However, the conditions for the “due execution” of a document still differ somewhat as between companies and corporations aggregate. In the case of companies, there are alternative requirements: a document may be </w:t>
      </w:r>
      <w:bookmarkStart w:name="_bookmark1699" w:id="1701"/>
      <w:bookmarkEnd w:id="1701"/>
      <w:r>
        <w:rPr>
          <w:vertAlign w:val="baseline"/>
        </w:rPr>
        <w:t>executed</w:t>
      </w:r>
      <w:r>
        <w:rPr>
          <w:vertAlign w:val="baseline"/>
        </w:rPr>
        <w:t> either by the affixing of its common seal or by being signed “by two authorised signatories, </w:t>
      </w:r>
      <w:bookmarkStart w:name="_bookmark1700" w:id="1702"/>
      <w:bookmarkEnd w:id="1702"/>
      <w:r>
        <w:rPr>
          <w:vertAlign w:val="baseline"/>
        </w:rPr>
        <w:t>or</w:t>
      </w:r>
      <w:r>
        <w:rPr>
          <w:vertAlign w:val="baseline"/>
        </w:rPr>
        <w:t> by a director of the company in the presence of a witness who attests the signature”, </w:t>
      </w:r>
      <w:r>
        <w:rPr>
          <w:color w:val="005DA1"/>
          <w:u w:val="single" w:color="005DA1"/>
          <w:vertAlign w:val="superscript"/>
        </w:rPr>
        <w:t>914</w:t>
      </w:r>
      <w:r>
        <w:rPr>
          <w:color w:val="005DA1"/>
          <w:vertAlign w:val="baseline"/>
        </w:rPr>
        <w:t> </w:t>
      </w:r>
      <w:r>
        <w:rPr>
          <w:vertAlign w:val="baseline"/>
        </w:rPr>
        <w:t>provided that such a signed document is “expressed, in whatever words, to be executed by the company”. </w:t>
      </w:r>
      <w:r>
        <w:rPr>
          <w:color w:val="005DA1"/>
          <w:u w:val="single" w:color="005DA1"/>
          <w:vertAlign w:val="superscript"/>
        </w:rPr>
        <w:t>915</w:t>
      </w:r>
      <w:r>
        <w:rPr>
          <w:color w:val="005DA1"/>
          <w:vertAlign w:val="baseline"/>
        </w:rPr>
        <w:t> </w:t>
      </w:r>
      <w:r>
        <w:rPr>
          <w:vertAlign w:val="baseline"/>
        </w:rPr>
        <w:t>Where a document is to be signed by a person as a director or the secretary of more than one </w:t>
      </w:r>
      <w:bookmarkStart w:name="_bookmark1701" w:id="1703"/>
      <w:bookmarkEnd w:id="1703"/>
      <w:r>
        <w:rPr>
          <w:vertAlign w:val="baseline"/>
        </w:rPr>
        <w:t>company,</w:t>
      </w:r>
      <w:r>
        <w:rPr>
          <w:vertAlign w:val="baseline"/>
        </w:rPr>
        <w:t> it shall not be taken to be duly signed by that person for these purposes unless the person </w:t>
      </w:r>
      <w:bookmarkStart w:name="_bookmark1702" w:id="1704"/>
      <w:bookmarkEnd w:id="1704"/>
      <w:r>
        <w:rPr>
          <w:vertAlign w:val="baseline"/>
        </w:rPr>
        <w:t>signs</w:t>
      </w:r>
      <w:r>
        <w:rPr>
          <w:vertAlign w:val="baseline"/>
        </w:rPr>
        <w:t> it separately in each capacity. </w:t>
      </w:r>
      <w:r>
        <w:rPr>
          <w:color w:val="005DA1"/>
          <w:u w:val="single" w:color="005DA1"/>
          <w:vertAlign w:val="superscript"/>
        </w:rPr>
        <w:t>916</w:t>
      </w:r>
      <w:r>
        <w:rPr>
          <w:color w:val="005DA1"/>
          <w:vertAlign w:val="baseline"/>
        </w:rPr>
        <w:t> </w:t>
      </w:r>
      <w:r>
        <w:rPr>
          <w:vertAlign w:val="baseline"/>
        </w:rPr>
        <w:t>In the case of corporations aggregate, the common law requirement of affixing the corporation’s seal still applies in principle, </w:t>
      </w:r>
      <w:r>
        <w:rPr>
          <w:color w:val="005DA1"/>
          <w:u w:val="single" w:color="005DA1"/>
          <w:vertAlign w:val="superscript"/>
        </w:rPr>
        <w:t>917</w:t>
      </w:r>
      <w:r>
        <w:rPr>
          <w:color w:val="005DA1"/>
          <w:vertAlign w:val="baseline"/>
        </w:rPr>
        <w:t> </w:t>
      </w:r>
      <w:r>
        <w:rPr>
          <w:vertAlign w:val="baseline"/>
        </w:rPr>
        <w:t>but it is provided that:</w:t>
      </w:r>
    </w:p>
    <w:p>
      <w:pPr>
        <w:pStyle w:val="BodyText"/>
      </w:pPr>
    </w:p>
    <w:p>
      <w:pPr>
        <w:pStyle w:val="BodyText"/>
        <w:spacing w:before="118"/>
      </w:pPr>
    </w:p>
    <w:p>
      <w:pPr>
        <w:pStyle w:val="BodyText"/>
        <w:spacing w:line="227" w:lineRule="exact" w:before="1"/>
        <w:ind w:left="1245"/>
        <w:jc w:val="both"/>
      </w:pPr>
      <w:r>
        <w:rPr/>
        <w:t>“…</w:t>
      </w:r>
      <w:r>
        <w:rPr>
          <w:spacing w:val="14"/>
        </w:rPr>
        <w:t> </w:t>
      </w:r>
      <w:r>
        <w:rPr/>
        <w:t>in</w:t>
      </w:r>
      <w:r>
        <w:rPr>
          <w:spacing w:val="14"/>
        </w:rPr>
        <w:t> </w:t>
      </w:r>
      <w:r>
        <w:rPr/>
        <w:t>favour</w:t>
      </w:r>
      <w:r>
        <w:rPr>
          <w:spacing w:val="14"/>
        </w:rPr>
        <w:t> </w:t>
      </w:r>
      <w:r>
        <w:rPr/>
        <w:t>of</w:t>
      </w:r>
      <w:r>
        <w:rPr>
          <w:spacing w:val="14"/>
        </w:rPr>
        <w:t> </w:t>
      </w:r>
      <w:r>
        <w:rPr/>
        <w:t>a</w:t>
      </w:r>
      <w:r>
        <w:rPr>
          <w:spacing w:val="14"/>
        </w:rPr>
        <w:t> </w:t>
      </w:r>
      <w:r>
        <w:rPr/>
        <w:t>purchaser</w:t>
      </w:r>
      <w:r>
        <w:rPr>
          <w:spacing w:val="14"/>
        </w:rPr>
        <w:t> </w:t>
      </w:r>
      <w:r>
        <w:rPr/>
        <w:t>an</w:t>
      </w:r>
      <w:r>
        <w:rPr>
          <w:spacing w:val="14"/>
        </w:rPr>
        <w:t> </w:t>
      </w:r>
      <w:r>
        <w:rPr/>
        <w:t>instrument</w:t>
      </w:r>
      <w:r>
        <w:rPr>
          <w:spacing w:val="14"/>
        </w:rPr>
        <w:t> </w:t>
      </w:r>
      <w:r>
        <w:rPr/>
        <w:t>shall</w:t>
      </w:r>
      <w:r>
        <w:rPr>
          <w:spacing w:val="14"/>
        </w:rPr>
        <w:t> </w:t>
      </w:r>
      <w:r>
        <w:rPr/>
        <w:t>be</w:t>
      </w:r>
      <w:r>
        <w:rPr>
          <w:spacing w:val="14"/>
        </w:rPr>
        <w:t> </w:t>
      </w:r>
      <w:r>
        <w:rPr/>
        <w:t>deemed</w:t>
      </w:r>
      <w:r>
        <w:rPr>
          <w:spacing w:val="14"/>
        </w:rPr>
        <w:t> </w:t>
      </w:r>
      <w:r>
        <w:rPr/>
        <w:t>to</w:t>
      </w:r>
      <w:r>
        <w:rPr>
          <w:spacing w:val="14"/>
        </w:rPr>
        <w:t> </w:t>
      </w:r>
      <w:r>
        <w:rPr/>
        <w:t>have</w:t>
      </w:r>
      <w:r>
        <w:rPr>
          <w:spacing w:val="14"/>
        </w:rPr>
        <w:t> </w:t>
      </w:r>
      <w:r>
        <w:rPr/>
        <w:t>been</w:t>
      </w:r>
      <w:r>
        <w:rPr>
          <w:spacing w:val="14"/>
        </w:rPr>
        <w:t> </w:t>
      </w:r>
      <w:r>
        <w:rPr/>
        <w:t>duly</w:t>
      </w:r>
      <w:r>
        <w:rPr>
          <w:spacing w:val="14"/>
        </w:rPr>
        <w:t> </w:t>
      </w:r>
      <w:r>
        <w:rPr>
          <w:spacing w:val="-2"/>
        </w:rPr>
        <w:t>executed</w:t>
      </w:r>
    </w:p>
    <w:p>
      <w:pPr>
        <w:pStyle w:val="BodyText"/>
        <w:spacing w:line="235" w:lineRule="auto" w:before="1"/>
        <w:ind w:left="1245" w:right="167"/>
        <w:jc w:val="both"/>
      </w:pPr>
      <w:r>
        <w:rPr/>
        <w:t>… if a seal purporting to be the corporation’s seal purports to be affixed to the </w:t>
      </w:r>
      <w:r>
        <w:rPr/>
        <w:t>instrument in the presence of and attested by (a) two members of the board of directors, council or </w:t>
      </w:r>
      <w:bookmarkStart w:name="_bookmark1703" w:id="1705"/>
      <w:bookmarkEnd w:id="1705"/>
      <w:r>
        <w:rPr/>
        <w:t>other</w:t>
      </w:r>
      <w:r>
        <w:rPr/>
        <w:t> governing body of the corporation, or (b) one such member and the clerk, secretary or other permanent officer of the corporation or his deputy.” </w:t>
      </w:r>
      <w:r>
        <w:rPr>
          <w:color w:val="005DA1"/>
          <w:u w:val="single" w:color="005DA1"/>
          <w:vertAlign w:val="superscript"/>
        </w:rPr>
        <w:t>918</w:t>
      </w:r>
    </w:p>
    <w:p>
      <w:pPr>
        <w:pStyle w:val="BodyText"/>
      </w:pPr>
    </w:p>
    <w:p>
      <w:pPr>
        <w:pStyle w:val="BodyText"/>
      </w:pPr>
    </w:p>
    <w:p>
      <w:pPr>
        <w:pStyle w:val="BodyText"/>
        <w:spacing w:before="154"/>
      </w:pPr>
    </w:p>
    <w:p>
      <w:pPr>
        <w:spacing w:before="0"/>
        <w:ind w:left="165" w:right="0" w:firstLine="0"/>
        <w:jc w:val="both"/>
        <w:rPr>
          <w:rFonts w:ascii="Arial" w:hAnsi="Arial"/>
          <w:b/>
          <w:sz w:val="18"/>
        </w:rPr>
      </w:pPr>
      <w:r>
        <w:rPr>
          <w:rFonts w:ascii="Arial" w:hAnsi="Arial"/>
          <w:b/>
          <w:sz w:val="18"/>
        </w:rPr>
        <w:t>“Valid execution”: corporations </w:t>
      </w:r>
      <w:r>
        <w:rPr>
          <w:rFonts w:ascii="Arial" w:hAnsi="Arial"/>
          <w:b/>
          <w:spacing w:val="-4"/>
          <w:sz w:val="18"/>
        </w:rPr>
        <w:t>sole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129</w:t>
      </w:r>
    </w:p>
    <w:p>
      <w:pPr>
        <w:spacing w:after="0"/>
        <w:jc w:val="left"/>
        <w:rPr>
          <w:rFonts w:ascii="Arial"/>
          <w:b/>
          <w:sz w:val="24"/>
        </w:rPr>
        <w:sectPr>
          <w:pgSz w:w="11900" w:h="16840"/>
          <w:pgMar w:header="971" w:footer="0" w:top="1300" w:bottom="280" w:left="1275" w:right="1275"/>
        </w:sectPr>
      </w:pPr>
    </w:p>
    <w:p>
      <w:pPr>
        <w:pStyle w:val="BodyText"/>
        <w:spacing w:line="235" w:lineRule="auto" w:before="210"/>
        <w:ind w:left="165"/>
      </w:pPr>
      <w:bookmarkStart w:name="_bookmark1704" w:id="1706"/>
      <w:bookmarkEnd w:id="1706"/>
      <w:r>
        <w:rPr/>
      </w:r>
      <w:r>
        <w:rPr/>
        <w:t>Where a deed is executed by a corporation sole, the common law requirement of sealing which has</w:t>
      </w:r>
      <w:r>
        <w:rPr>
          <w:spacing w:val="40"/>
        </w:rPr>
        <w:t> </w:t>
      </w:r>
      <w:r>
        <w:rPr/>
        <w:t>already been explained still applies. </w:t>
      </w:r>
      <w:r>
        <w:rPr>
          <w:color w:val="005DA1"/>
          <w:u w:val="single" w:color="005DA1"/>
          <w:vertAlign w:val="superscript"/>
        </w:rPr>
        <w:t>919</w:t>
      </w:r>
    </w:p>
    <w:p>
      <w:pPr>
        <w:pStyle w:val="BodyText"/>
      </w:pPr>
    </w:p>
    <w:p>
      <w:pPr>
        <w:pStyle w:val="BodyText"/>
        <w:spacing w:before="39"/>
      </w:pPr>
      <w:r>
        <w:rPr/>
        <mc:AlternateContent>
          <mc:Choice Requires="wps">
            <w:drawing>
              <wp:anchor distT="0" distB="0" distL="0" distR="0" allowOverlap="1" layoutInCell="1" locked="0" behindDoc="1" simplePos="0" relativeHeight="487683584">
                <wp:simplePos x="0" y="0"/>
                <wp:positionH relativeFrom="page">
                  <wp:posOffset>914400</wp:posOffset>
                </wp:positionH>
                <wp:positionV relativeFrom="paragraph">
                  <wp:posOffset>186455</wp:posOffset>
                </wp:positionV>
                <wp:extent cx="5724525" cy="1270"/>
                <wp:effectExtent l="0" t="0" r="0" b="0"/>
                <wp:wrapTopAndBottom/>
                <wp:docPr id="405" name="Graphic 405"/>
                <wp:cNvGraphicFramePr>
                  <a:graphicFrameLocks/>
                </wp:cNvGraphicFramePr>
                <a:graphic>
                  <a:graphicData uri="http://schemas.microsoft.com/office/word/2010/wordprocessingShape">
                    <wps:wsp>
                      <wps:cNvPr id="405" name="Graphic 40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81531pt;width:450.75pt;height:.1pt;mso-position-horizontal-relative:page;mso-position-vertical-relative:paragraph;z-index:-15632896;mso-wrap-distance-left:0;mso-wrap-distance-right:0" id="docshape59" coordorigin="1440,294" coordsize="9015,0" path="m1440,294l10454,294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705" w:id="1707"/>
      <w:bookmarkEnd w:id="1707"/>
      <w:r>
        <w:rPr/>
      </w:r>
      <w:hyperlink w:history="true" w:anchor="_bookmark1675">
        <w:r>
          <w:rPr>
            <w:color w:val="005DA1"/>
            <w:spacing w:val="-4"/>
            <w:position w:val="5"/>
            <w:sz w:val="14"/>
            <w:u w:val="single" w:color="005DA1"/>
          </w:rPr>
          <w:t>890</w:t>
        </w:r>
      </w:hyperlink>
      <w:r>
        <w:rPr>
          <w:spacing w:val="-4"/>
          <w:position w:val="5"/>
          <w:sz w:val="14"/>
        </w:rPr>
        <w:t>.</w:t>
      </w:r>
      <w:r>
        <w:rPr>
          <w:position w:val="5"/>
          <w:sz w:val="14"/>
        </w:rPr>
        <w:tab/>
      </w:r>
      <w:r>
        <w:rPr/>
        <w:t>Regulatory Reform (Execution of Deeds and Documents) Order 2005 (SI </w:t>
      </w:r>
      <w:r>
        <w:rPr>
          <w:spacing w:val="-2"/>
        </w:rPr>
        <w:t>2005/1906).</w:t>
      </w:r>
    </w:p>
    <w:p>
      <w:pPr>
        <w:pStyle w:val="BodyText"/>
        <w:spacing w:before="9"/>
      </w:pPr>
    </w:p>
    <w:p>
      <w:pPr>
        <w:pStyle w:val="BodyText"/>
        <w:spacing w:line="235" w:lineRule="auto"/>
        <w:ind w:left="705" w:right="167" w:hanging="541"/>
        <w:jc w:val="both"/>
      </w:pPr>
      <w:bookmarkStart w:name="_bookmark1706" w:id="1708"/>
      <w:bookmarkEnd w:id="1708"/>
      <w:r>
        <w:rPr/>
      </w:r>
      <w:hyperlink w:history="true" w:anchor="_bookmark1676">
        <w:r>
          <w:rPr>
            <w:color w:val="005DA1"/>
            <w:position w:val="5"/>
            <w:sz w:val="14"/>
            <w:u w:val="single" w:color="005DA1"/>
          </w:rPr>
          <w:t>891</w:t>
        </w:r>
      </w:hyperlink>
      <w:r>
        <w:rPr>
          <w:position w:val="5"/>
          <w:sz w:val="14"/>
        </w:rPr>
        <w:t>.</w:t>
      </w:r>
      <w:r>
        <w:rPr>
          <w:spacing w:val="80"/>
          <w:position w:val="5"/>
          <w:sz w:val="14"/>
        </w:rPr>
        <w:t>  </w:t>
      </w:r>
      <w:r>
        <w:rPr/>
        <w:t>cf. the discussion in Law Com. No.253, paras 3.6-3.12 as to the confusion over whether </w:t>
      </w:r>
      <w:r>
        <w:rPr/>
        <w:t>the</w:t>
      </w:r>
      <w:r>
        <w:rPr>
          <w:spacing w:val="40"/>
        </w:rPr>
        <w:t> </w:t>
      </w:r>
      <w:r>
        <w:rPr/>
        <w:t>term “executed” in the Companies Act 1985 s.36A (as amended in 1989), the Law of Property Act 1925 s.74 and the Law of Property (Miscellaneous Provisions) Act 1989 s.1 included </w:t>
      </w:r>
      <w:r>
        <w:rPr>
          <w:spacing w:val="-2"/>
        </w:rPr>
        <w:t>“delivery”.</w:t>
      </w:r>
    </w:p>
    <w:p>
      <w:pPr>
        <w:pStyle w:val="BodyText"/>
        <w:spacing w:before="4"/>
      </w:pPr>
    </w:p>
    <w:p>
      <w:pPr>
        <w:pStyle w:val="BodyText"/>
        <w:tabs>
          <w:tab w:pos="705" w:val="left" w:leader="none"/>
        </w:tabs>
        <w:spacing w:before="1"/>
        <w:ind w:left="165"/>
      </w:pPr>
      <w:bookmarkStart w:name="_bookmark1707" w:id="1709"/>
      <w:bookmarkEnd w:id="1709"/>
      <w:r>
        <w:rPr/>
      </w:r>
      <w:hyperlink w:history="true" w:anchor="_bookmark1677">
        <w:r>
          <w:rPr>
            <w:color w:val="005DA1"/>
            <w:spacing w:val="-4"/>
            <w:position w:val="5"/>
            <w:sz w:val="14"/>
            <w:u w:val="single" w:color="005DA1"/>
          </w:rPr>
          <w:t>892</w:t>
        </w:r>
      </w:hyperlink>
      <w:r>
        <w:rPr>
          <w:spacing w:val="-4"/>
          <w:position w:val="5"/>
          <w:sz w:val="14"/>
        </w:rPr>
        <w:t>.</w:t>
      </w:r>
      <w:r>
        <w:rPr>
          <w:position w:val="5"/>
          <w:sz w:val="14"/>
        </w:rPr>
        <w:tab/>
      </w:r>
      <w:r>
        <w:rPr/>
        <w:t>Law Com. No.253, </w:t>
      </w:r>
      <w:r>
        <w:rPr>
          <w:spacing w:val="-2"/>
        </w:rPr>
        <w:t>para.3.12.</w:t>
      </w:r>
    </w:p>
    <w:p>
      <w:pPr>
        <w:pStyle w:val="BodyText"/>
        <w:spacing w:before="5"/>
      </w:pPr>
    </w:p>
    <w:p>
      <w:pPr>
        <w:pStyle w:val="BodyText"/>
        <w:tabs>
          <w:tab w:pos="705" w:val="left" w:leader="none"/>
        </w:tabs>
        <w:ind w:left="165"/>
      </w:pPr>
      <w:bookmarkStart w:name="_bookmark1708" w:id="1710"/>
      <w:bookmarkEnd w:id="1710"/>
      <w:r>
        <w:rPr/>
      </w:r>
      <w:hyperlink w:history="true" w:anchor="_bookmark1678">
        <w:r>
          <w:rPr>
            <w:color w:val="005DA1"/>
            <w:spacing w:val="-4"/>
            <w:position w:val="5"/>
            <w:sz w:val="14"/>
            <w:u w:val="single" w:color="005DA1"/>
          </w:rPr>
          <w:t>893</w:t>
        </w:r>
      </w:hyperlink>
      <w:r>
        <w:rPr>
          <w:spacing w:val="-4"/>
          <w:position w:val="5"/>
          <w:sz w:val="14"/>
        </w:rPr>
        <w:t>.</w:t>
      </w:r>
      <w:r>
        <w:rPr>
          <w:position w:val="5"/>
          <w:sz w:val="14"/>
        </w:rPr>
        <w:tab/>
      </w:r>
      <w:r>
        <w:rPr/>
        <w:t>See notably, the 2005 Order arts 4, 6 and below, paras 1-127—1-</w:t>
      </w:r>
      <w:r>
        <w:rPr>
          <w:spacing w:val="-4"/>
        </w:rPr>
        <w:t>128.</w:t>
      </w:r>
    </w:p>
    <w:p>
      <w:pPr>
        <w:pStyle w:val="BodyText"/>
        <w:spacing w:before="5"/>
      </w:pPr>
    </w:p>
    <w:p>
      <w:pPr>
        <w:pStyle w:val="BodyText"/>
        <w:tabs>
          <w:tab w:pos="705" w:val="left" w:leader="none"/>
        </w:tabs>
        <w:ind w:left="165"/>
      </w:pPr>
      <w:bookmarkStart w:name="_bookmark1709" w:id="1711"/>
      <w:bookmarkEnd w:id="1711"/>
      <w:r>
        <w:rPr/>
      </w:r>
      <w:hyperlink w:history="true" w:anchor="_bookmark1679">
        <w:r>
          <w:rPr>
            <w:color w:val="005DA1"/>
            <w:spacing w:val="-4"/>
            <w:position w:val="5"/>
            <w:sz w:val="14"/>
            <w:u w:val="single" w:color="005DA1"/>
          </w:rPr>
          <w:t>894</w:t>
        </w:r>
      </w:hyperlink>
      <w:r>
        <w:rPr>
          <w:spacing w:val="-4"/>
          <w:position w:val="5"/>
          <w:sz w:val="14"/>
        </w:rPr>
        <w:t>.</w:t>
      </w:r>
      <w:r>
        <w:rPr>
          <w:position w:val="5"/>
          <w:sz w:val="14"/>
        </w:rPr>
        <w:tab/>
      </w:r>
      <w:r>
        <w:rPr/>
        <w:t>2005 Order </w:t>
      </w:r>
      <w:r>
        <w:rPr>
          <w:spacing w:val="-2"/>
        </w:rPr>
        <w:t>art.7(3).</w:t>
      </w:r>
    </w:p>
    <w:p>
      <w:pPr>
        <w:pStyle w:val="BodyText"/>
        <w:spacing w:before="8"/>
      </w:pPr>
    </w:p>
    <w:p>
      <w:pPr>
        <w:pStyle w:val="BodyText"/>
        <w:spacing w:line="235" w:lineRule="auto" w:before="1"/>
        <w:ind w:left="705" w:right="167" w:hanging="541"/>
        <w:jc w:val="both"/>
      </w:pPr>
      <w:bookmarkStart w:name="_bookmark1710" w:id="1712"/>
      <w:bookmarkEnd w:id="1712"/>
      <w:r>
        <w:rPr/>
      </w:r>
      <w:hyperlink w:history="true" w:anchor="_bookmark1680">
        <w:r>
          <w:rPr>
            <w:color w:val="005DA1"/>
            <w:position w:val="5"/>
            <w:sz w:val="14"/>
            <w:u w:val="single" w:color="005DA1"/>
          </w:rPr>
          <w:t>895</w:t>
        </w:r>
      </w:hyperlink>
      <w:r>
        <w:rPr>
          <w:position w:val="5"/>
          <w:sz w:val="14"/>
        </w:rPr>
        <w:t>.</w:t>
      </w:r>
      <w:r>
        <w:rPr>
          <w:spacing w:val="80"/>
          <w:position w:val="5"/>
          <w:sz w:val="14"/>
        </w:rPr>
        <w:t> </w:t>
      </w:r>
      <w:r>
        <w:rPr/>
        <w:t>In the case of instruments executed by charities incorporated under statute, the </w:t>
      </w:r>
      <w:r>
        <w:rPr/>
        <w:t>formal requirements contained in the Charities Act 1993 s.60 remain applicable to instruments executed between August 1, 1993 and March 13, 2012, whereas those contained in the Charities Act 2011 ss.260-261 apply to instruments made on or after March 14, 2012 (the date of their coming into force).</w:t>
      </w:r>
    </w:p>
    <w:p>
      <w:pPr>
        <w:pStyle w:val="BodyText"/>
        <w:spacing w:before="4"/>
      </w:pPr>
    </w:p>
    <w:p>
      <w:pPr>
        <w:tabs>
          <w:tab w:pos="705" w:val="left" w:leader="none"/>
        </w:tabs>
        <w:spacing w:before="0"/>
        <w:ind w:left="165" w:right="0" w:firstLine="0"/>
        <w:jc w:val="left"/>
        <w:rPr>
          <w:sz w:val="20"/>
        </w:rPr>
      </w:pPr>
      <w:bookmarkStart w:name="_bookmark1711" w:id="1713"/>
      <w:bookmarkEnd w:id="1713"/>
      <w:r>
        <w:rPr/>
      </w:r>
      <w:hyperlink w:history="true" w:anchor="_bookmark1681">
        <w:r>
          <w:rPr>
            <w:color w:val="005DA1"/>
            <w:spacing w:val="-4"/>
            <w:position w:val="5"/>
            <w:sz w:val="14"/>
            <w:u w:val="single" w:color="005DA1"/>
          </w:rPr>
          <w:t>896</w:t>
        </w:r>
      </w:hyperlink>
      <w:r>
        <w:rPr>
          <w:spacing w:val="-4"/>
          <w:position w:val="5"/>
          <w:sz w:val="14"/>
        </w:rPr>
        <w:t>.</w:t>
      </w:r>
      <w:r>
        <w:rPr>
          <w:position w:val="5"/>
          <w:sz w:val="14"/>
        </w:rPr>
        <w:tab/>
      </w:r>
      <w:r>
        <w:rPr>
          <w:sz w:val="20"/>
        </w:rPr>
        <w:t>Above, para.1-</w:t>
      </w:r>
      <w:r>
        <w:rPr>
          <w:spacing w:val="-4"/>
          <w:sz w:val="20"/>
        </w:rPr>
        <w:t>115.</w:t>
      </w:r>
    </w:p>
    <w:p>
      <w:pPr>
        <w:pStyle w:val="BodyText"/>
        <w:spacing w:before="8"/>
      </w:pPr>
    </w:p>
    <w:p>
      <w:pPr>
        <w:tabs>
          <w:tab w:pos="705" w:val="left" w:leader="none"/>
        </w:tabs>
        <w:spacing w:line="235" w:lineRule="auto" w:before="1"/>
        <w:ind w:left="705" w:right="168" w:hanging="541"/>
        <w:jc w:val="left"/>
        <w:rPr>
          <w:sz w:val="20"/>
        </w:rPr>
      </w:pPr>
      <w:bookmarkStart w:name="_bookmark1712" w:id="1714"/>
      <w:bookmarkEnd w:id="1714"/>
      <w:r>
        <w:rPr/>
      </w:r>
      <w:hyperlink w:history="true" w:anchor="_bookmark1682">
        <w:r>
          <w:rPr>
            <w:color w:val="005DA1"/>
            <w:spacing w:val="-4"/>
            <w:position w:val="5"/>
            <w:sz w:val="14"/>
            <w:u w:val="single" w:color="005DA1"/>
          </w:rPr>
          <w:t>897</w:t>
        </w:r>
      </w:hyperlink>
      <w:r>
        <w:rPr>
          <w:spacing w:val="-4"/>
          <w:position w:val="5"/>
          <w:sz w:val="14"/>
        </w:rPr>
        <w:t>.</w:t>
      </w:r>
      <w:r>
        <w:rPr>
          <w:position w:val="5"/>
          <w:sz w:val="14"/>
        </w:rPr>
        <w:tab/>
      </w:r>
      <w:r>
        <w:rPr>
          <w:rFonts w:ascii="Arial"/>
          <w:i/>
          <w:sz w:val="20"/>
        </w:rPr>
        <w:t>First</w:t>
      </w:r>
      <w:r>
        <w:rPr>
          <w:rFonts w:ascii="Arial"/>
          <w:i/>
          <w:spacing w:val="34"/>
          <w:sz w:val="20"/>
        </w:rPr>
        <w:t> </w:t>
      </w:r>
      <w:r>
        <w:rPr>
          <w:rFonts w:ascii="Arial"/>
          <w:i/>
          <w:sz w:val="20"/>
        </w:rPr>
        <w:t>National</w:t>
      </w:r>
      <w:r>
        <w:rPr>
          <w:rFonts w:ascii="Arial"/>
          <w:i/>
          <w:spacing w:val="34"/>
          <w:sz w:val="20"/>
        </w:rPr>
        <w:t> </w:t>
      </w:r>
      <w:r>
        <w:rPr>
          <w:rFonts w:ascii="Arial"/>
          <w:i/>
          <w:sz w:val="20"/>
        </w:rPr>
        <w:t>Securities</w:t>
      </w:r>
      <w:r>
        <w:rPr>
          <w:rFonts w:ascii="Arial"/>
          <w:i/>
          <w:spacing w:val="34"/>
          <w:sz w:val="20"/>
        </w:rPr>
        <w:t> </w:t>
      </w:r>
      <w:r>
        <w:rPr>
          <w:rFonts w:ascii="Arial"/>
          <w:i/>
          <w:sz w:val="20"/>
        </w:rPr>
        <w:t>v</w:t>
      </w:r>
      <w:r>
        <w:rPr>
          <w:rFonts w:ascii="Arial"/>
          <w:i/>
          <w:spacing w:val="34"/>
          <w:sz w:val="20"/>
        </w:rPr>
        <w:t> </w:t>
      </w:r>
      <w:r>
        <w:rPr>
          <w:rFonts w:ascii="Arial"/>
          <w:i/>
          <w:sz w:val="20"/>
        </w:rPr>
        <w:t>Jones</w:t>
      </w:r>
      <w:r>
        <w:rPr>
          <w:rFonts w:ascii="Arial"/>
          <w:i/>
          <w:spacing w:val="34"/>
          <w:sz w:val="20"/>
        </w:rPr>
        <w:t> </w:t>
      </w:r>
      <w:r>
        <w:rPr>
          <w:rFonts w:ascii="Arial"/>
          <w:i/>
          <w:sz w:val="20"/>
        </w:rPr>
        <w:t>[1978]</w:t>
      </w:r>
      <w:r>
        <w:rPr>
          <w:rFonts w:ascii="Arial"/>
          <w:i/>
          <w:spacing w:val="34"/>
          <w:sz w:val="20"/>
        </w:rPr>
        <w:t> </w:t>
      </w:r>
      <w:r>
        <w:rPr>
          <w:rFonts w:ascii="Arial"/>
          <w:i/>
          <w:sz w:val="20"/>
        </w:rPr>
        <w:t>Ch.</w:t>
      </w:r>
      <w:r>
        <w:rPr>
          <w:rFonts w:ascii="Arial"/>
          <w:i/>
          <w:spacing w:val="34"/>
          <w:sz w:val="20"/>
        </w:rPr>
        <w:t> </w:t>
      </w:r>
      <w:r>
        <w:rPr>
          <w:rFonts w:ascii="Arial"/>
          <w:i/>
          <w:sz w:val="20"/>
        </w:rPr>
        <w:t>109</w:t>
      </w:r>
      <w:r>
        <w:rPr>
          <w:rFonts w:ascii="Arial"/>
          <w:i/>
          <w:spacing w:val="34"/>
          <w:sz w:val="20"/>
        </w:rPr>
        <w:t> </w:t>
      </w:r>
      <w:r>
        <w:rPr>
          <w:sz w:val="20"/>
        </w:rPr>
        <w:t>and</w:t>
      </w:r>
      <w:r>
        <w:rPr>
          <w:spacing w:val="34"/>
          <w:sz w:val="20"/>
        </w:rPr>
        <w:t> </w:t>
      </w:r>
      <w:r>
        <w:rPr>
          <w:sz w:val="20"/>
        </w:rPr>
        <w:t>Chitty</w:t>
      </w:r>
      <w:r>
        <w:rPr>
          <w:spacing w:val="34"/>
          <w:sz w:val="20"/>
        </w:rPr>
        <w:t> </w:t>
      </w:r>
      <w:r>
        <w:rPr>
          <w:sz w:val="20"/>
        </w:rPr>
        <w:t>on</w:t>
      </w:r>
      <w:r>
        <w:rPr>
          <w:spacing w:val="34"/>
          <w:sz w:val="20"/>
        </w:rPr>
        <w:t> </w:t>
      </w:r>
      <w:r>
        <w:rPr>
          <w:sz w:val="20"/>
        </w:rPr>
        <w:t>Contracts,</w:t>
      </w:r>
      <w:r>
        <w:rPr>
          <w:spacing w:val="34"/>
          <w:sz w:val="20"/>
        </w:rPr>
        <w:t> </w:t>
      </w:r>
      <w:r>
        <w:rPr>
          <w:sz w:val="20"/>
        </w:rPr>
        <w:t>26th</w:t>
      </w:r>
      <w:r>
        <w:rPr>
          <w:spacing w:val="34"/>
          <w:sz w:val="20"/>
        </w:rPr>
        <w:t> </w:t>
      </w:r>
      <w:r>
        <w:rPr>
          <w:sz w:val="20"/>
        </w:rPr>
        <w:t>edn</w:t>
      </w:r>
      <w:r>
        <w:rPr>
          <w:spacing w:val="34"/>
          <w:sz w:val="20"/>
        </w:rPr>
        <w:t> </w:t>
      </w:r>
      <w:r>
        <w:rPr>
          <w:sz w:val="20"/>
        </w:rPr>
        <w:t>(1989), </w:t>
      </w:r>
      <w:r>
        <w:rPr>
          <w:spacing w:val="-2"/>
          <w:sz w:val="20"/>
        </w:rPr>
        <w:t>para.23.</w:t>
      </w:r>
    </w:p>
    <w:p>
      <w:pPr>
        <w:pStyle w:val="BodyText"/>
        <w:spacing w:before="5"/>
      </w:pPr>
    </w:p>
    <w:p>
      <w:pPr>
        <w:pStyle w:val="BodyText"/>
        <w:tabs>
          <w:tab w:pos="705" w:val="left" w:leader="none"/>
        </w:tabs>
        <w:ind w:left="165"/>
      </w:pPr>
      <w:bookmarkStart w:name="_bookmark1713" w:id="1715"/>
      <w:bookmarkEnd w:id="1715"/>
      <w:r>
        <w:rPr/>
      </w:r>
      <w:hyperlink w:history="true" w:anchor="_bookmark1683">
        <w:r>
          <w:rPr>
            <w:color w:val="005DA1"/>
            <w:spacing w:val="-4"/>
            <w:position w:val="5"/>
            <w:sz w:val="14"/>
            <w:u w:val="single" w:color="005DA1"/>
          </w:rPr>
          <w:t>898</w:t>
        </w:r>
      </w:hyperlink>
      <w:r>
        <w:rPr>
          <w:spacing w:val="-4"/>
          <w:position w:val="5"/>
          <w:sz w:val="14"/>
        </w:rPr>
        <w:t>.</w:t>
      </w:r>
      <w:r>
        <w:rPr>
          <w:position w:val="5"/>
          <w:sz w:val="14"/>
        </w:rPr>
        <w:tab/>
      </w:r>
      <w:r>
        <w:rPr/>
        <w:t>Law Com. No.253, paras 2.29-</w:t>
      </w:r>
      <w:r>
        <w:rPr>
          <w:spacing w:val="-2"/>
        </w:rPr>
        <w:t>2.34.</w:t>
      </w:r>
    </w:p>
    <w:p>
      <w:pPr>
        <w:pStyle w:val="BodyText"/>
        <w:spacing w:before="9"/>
      </w:pPr>
    </w:p>
    <w:p>
      <w:pPr>
        <w:pStyle w:val="BodyText"/>
        <w:tabs>
          <w:tab w:pos="705" w:val="left" w:leader="none"/>
        </w:tabs>
        <w:spacing w:line="235" w:lineRule="auto"/>
        <w:ind w:left="705" w:right="168" w:hanging="541"/>
      </w:pPr>
      <w:bookmarkStart w:name="_bookmark1714" w:id="1716"/>
      <w:bookmarkEnd w:id="1716"/>
      <w:r>
        <w:rPr/>
      </w:r>
      <w:hyperlink w:history="true" w:anchor="_bookmark1684">
        <w:r>
          <w:rPr>
            <w:color w:val="005DA1"/>
            <w:spacing w:val="-4"/>
            <w:position w:val="5"/>
            <w:sz w:val="14"/>
            <w:u w:val="single" w:color="005DA1"/>
          </w:rPr>
          <w:t>899</w:t>
        </w:r>
      </w:hyperlink>
      <w:r>
        <w:rPr>
          <w:spacing w:val="-4"/>
          <w:position w:val="5"/>
          <w:sz w:val="14"/>
        </w:rPr>
        <w:t>.</w:t>
      </w:r>
      <w:r>
        <w:rPr>
          <w:position w:val="5"/>
          <w:sz w:val="14"/>
        </w:rPr>
        <w:tab/>
      </w:r>
      <w:r>
        <w:rPr/>
        <w:t>2005 Order art.7(3) (individuals); Sch.2, repealing Companies Act 1985 s.36A(5) (companies); Law Com. No.253, paras 2.50, 2.54. cf. above, paras 1-118—1-119.</w:t>
      </w:r>
    </w:p>
    <w:p>
      <w:pPr>
        <w:pStyle w:val="BodyText"/>
        <w:spacing w:before="9"/>
      </w:pPr>
    </w:p>
    <w:p>
      <w:pPr>
        <w:spacing w:line="235" w:lineRule="auto" w:before="0"/>
        <w:ind w:left="705" w:right="167" w:hanging="541"/>
        <w:jc w:val="both"/>
        <w:rPr>
          <w:sz w:val="20"/>
        </w:rPr>
      </w:pPr>
      <w:bookmarkStart w:name="_bookmark1715" w:id="1717"/>
      <w:bookmarkEnd w:id="1717"/>
      <w:r>
        <w:rPr/>
      </w:r>
      <w:hyperlink w:history="true" w:anchor="_bookmark1685">
        <w:r>
          <w:rPr>
            <w:color w:val="005DA1"/>
            <w:position w:val="5"/>
            <w:sz w:val="14"/>
            <w:u w:val="single" w:color="005DA1"/>
          </w:rPr>
          <w:t>900</w:t>
        </w:r>
      </w:hyperlink>
      <w:r>
        <w:rPr>
          <w:position w:val="5"/>
          <w:sz w:val="14"/>
        </w:rPr>
        <w:t>.</w:t>
      </w:r>
      <w:r>
        <w:rPr>
          <w:spacing w:val="80"/>
          <w:position w:val="5"/>
          <w:sz w:val="14"/>
        </w:rPr>
        <w:t>  </w:t>
      </w:r>
      <w:r>
        <w:rPr>
          <w:sz w:val="20"/>
        </w:rPr>
        <w:t>Law of Property (Miscellaneous Provisions) Act 1989 s.1(2A) as inserted by the 2005 Order art.8. cf. </w:t>
      </w:r>
      <w:r>
        <w:rPr>
          <w:rFonts w:ascii="Arial" w:hAnsi="Arial"/>
          <w:i/>
          <w:sz w:val="20"/>
        </w:rPr>
        <w:t>Startwell Ltd v Energie Global Management Ltd [2015] EWHC 421 (QB) </w:t>
      </w:r>
      <w:r>
        <w:rPr>
          <w:sz w:val="20"/>
        </w:rPr>
        <w:t>at [48] where</w:t>
      </w:r>
      <w:r>
        <w:rPr>
          <w:spacing w:val="40"/>
          <w:sz w:val="20"/>
        </w:rPr>
        <w:t> </w:t>
      </w:r>
      <w:r>
        <w:rPr>
          <w:sz w:val="20"/>
        </w:rPr>
        <w:t>it was noted that the fact that there is a witness to a contract contained in a document is not of itself enough to satisfy the “face value requirement” of s.1.</w:t>
      </w:r>
    </w:p>
    <w:p>
      <w:pPr>
        <w:pStyle w:val="BodyText"/>
        <w:spacing w:before="5"/>
      </w:pPr>
    </w:p>
    <w:p>
      <w:pPr>
        <w:pStyle w:val="BodyText"/>
        <w:tabs>
          <w:tab w:pos="705" w:val="left" w:leader="none"/>
        </w:tabs>
        <w:ind w:left="165"/>
      </w:pPr>
      <w:bookmarkStart w:name="_bookmark1716" w:id="1718"/>
      <w:bookmarkEnd w:id="1718"/>
      <w:r>
        <w:rPr/>
      </w:r>
      <w:hyperlink w:history="true" w:anchor="_bookmark1686">
        <w:r>
          <w:rPr>
            <w:color w:val="005DA1"/>
            <w:spacing w:val="-4"/>
            <w:position w:val="5"/>
            <w:sz w:val="14"/>
            <w:u w:val="single" w:color="005DA1"/>
          </w:rPr>
          <w:t>901</w:t>
        </w:r>
      </w:hyperlink>
      <w:r>
        <w:rPr>
          <w:spacing w:val="-4"/>
          <w:position w:val="5"/>
          <w:sz w:val="14"/>
        </w:rPr>
        <w:t>.</w:t>
      </w:r>
      <w:r>
        <w:rPr>
          <w:position w:val="5"/>
          <w:sz w:val="14"/>
        </w:rPr>
        <w:tab/>
      </w:r>
      <w:r>
        <w:rPr/>
        <w:t>Law Com. No.253, Pt </w:t>
      </w:r>
      <w:r>
        <w:rPr>
          <w:spacing w:val="-5"/>
        </w:rPr>
        <w:t>7.</w:t>
      </w:r>
    </w:p>
    <w:p>
      <w:pPr>
        <w:pStyle w:val="BodyText"/>
        <w:spacing w:before="9"/>
      </w:pPr>
    </w:p>
    <w:p>
      <w:pPr>
        <w:pStyle w:val="BodyText"/>
        <w:tabs>
          <w:tab w:pos="705" w:val="left" w:leader="none"/>
        </w:tabs>
        <w:spacing w:line="235" w:lineRule="auto"/>
        <w:ind w:left="705" w:right="168" w:hanging="541"/>
      </w:pPr>
      <w:bookmarkStart w:name="_bookmark1717" w:id="1719"/>
      <w:bookmarkEnd w:id="1719"/>
      <w:r>
        <w:rPr/>
      </w:r>
      <w:hyperlink w:history="true" w:anchor="_bookmark1687">
        <w:r>
          <w:rPr>
            <w:color w:val="005DA1"/>
            <w:spacing w:val="-4"/>
            <w:position w:val="5"/>
            <w:sz w:val="14"/>
            <w:u w:val="single" w:color="005DA1"/>
          </w:rPr>
          <w:t>902</w:t>
        </w:r>
      </w:hyperlink>
      <w:r>
        <w:rPr>
          <w:spacing w:val="-4"/>
          <w:position w:val="5"/>
          <w:sz w:val="14"/>
        </w:rPr>
        <w:t>.</w:t>
      </w:r>
      <w:r>
        <w:rPr>
          <w:position w:val="5"/>
          <w:sz w:val="14"/>
        </w:rPr>
        <w:tab/>
      </w:r>
      <w:r>
        <w:rPr/>
        <w:t>Law</w:t>
      </w:r>
      <w:r>
        <w:rPr>
          <w:spacing w:val="40"/>
        </w:rPr>
        <w:t> </w:t>
      </w:r>
      <w:r>
        <w:rPr/>
        <w:t>of</w:t>
      </w:r>
      <w:r>
        <w:rPr>
          <w:spacing w:val="40"/>
        </w:rPr>
        <w:t> </w:t>
      </w:r>
      <w:r>
        <w:rPr/>
        <w:t>Property</w:t>
      </w:r>
      <w:r>
        <w:rPr>
          <w:spacing w:val="40"/>
        </w:rPr>
        <w:t> </w:t>
      </w:r>
      <w:r>
        <w:rPr/>
        <w:t>(Miscellaneous</w:t>
      </w:r>
      <w:r>
        <w:rPr>
          <w:spacing w:val="40"/>
        </w:rPr>
        <w:t> </w:t>
      </w:r>
      <w:r>
        <w:rPr/>
        <w:t>Provisions)</w:t>
      </w:r>
      <w:r>
        <w:rPr>
          <w:spacing w:val="40"/>
        </w:rPr>
        <w:t> </w:t>
      </w:r>
      <w:r>
        <w:rPr/>
        <w:t>Act</w:t>
      </w:r>
      <w:r>
        <w:rPr>
          <w:spacing w:val="40"/>
        </w:rPr>
        <w:t> </w:t>
      </w:r>
      <w:r>
        <w:rPr/>
        <w:t>1989</w:t>
      </w:r>
      <w:r>
        <w:rPr>
          <w:spacing w:val="40"/>
        </w:rPr>
        <w:t> </w:t>
      </w:r>
      <w:r>
        <w:rPr/>
        <w:t>s.1(2)(b)</w:t>
      </w:r>
      <w:r>
        <w:rPr>
          <w:spacing w:val="40"/>
        </w:rPr>
        <w:t> </w:t>
      </w:r>
      <w:r>
        <w:rPr/>
        <w:t>and</w:t>
      </w:r>
      <w:r>
        <w:rPr>
          <w:spacing w:val="40"/>
        </w:rPr>
        <w:t> </w:t>
      </w:r>
      <w:r>
        <w:rPr/>
        <w:t>(4A),</w:t>
      </w:r>
      <w:r>
        <w:rPr>
          <w:spacing w:val="40"/>
        </w:rPr>
        <w:t> </w:t>
      </w:r>
      <w:r>
        <w:rPr/>
        <w:t>as</w:t>
      </w:r>
      <w:r>
        <w:rPr>
          <w:spacing w:val="40"/>
        </w:rPr>
        <w:t> </w:t>
      </w:r>
      <w:r>
        <w:rPr/>
        <w:t>amended</w:t>
      </w:r>
      <w:r>
        <w:rPr>
          <w:spacing w:val="40"/>
        </w:rPr>
        <w:t> </w:t>
      </w:r>
      <w:r>
        <w:rPr/>
        <w:t>and inserted by the 2005 Order art.7(3) and 7(4) respectively.</w:t>
      </w:r>
    </w:p>
    <w:p>
      <w:pPr>
        <w:pStyle w:val="BodyText"/>
        <w:spacing w:before="9"/>
      </w:pPr>
    </w:p>
    <w:p>
      <w:pPr>
        <w:pStyle w:val="BodyText"/>
        <w:tabs>
          <w:tab w:pos="705" w:val="left" w:leader="none"/>
        </w:tabs>
        <w:spacing w:line="235" w:lineRule="auto"/>
        <w:ind w:left="705" w:right="168" w:hanging="541"/>
      </w:pPr>
      <w:bookmarkStart w:name="_bookmark1718" w:id="1720"/>
      <w:bookmarkEnd w:id="1720"/>
      <w:r>
        <w:rPr/>
      </w:r>
      <w:hyperlink w:history="true" w:anchor="_bookmark1688">
        <w:r>
          <w:rPr>
            <w:color w:val="005DA1"/>
            <w:spacing w:val="-4"/>
            <w:position w:val="5"/>
            <w:sz w:val="14"/>
            <w:u w:val="single" w:color="005DA1"/>
          </w:rPr>
          <w:t>903</w:t>
        </w:r>
      </w:hyperlink>
      <w:r>
        <w:rPr>
          <w:spacing w:val="-4"/>
          <w:position w:val="5"/>
          <w:sz w:val="14"/>
        </w:rPr>
        <w:t>.</w:t>
      </w:r>
      <w:r>
        <w:rPr>
          <w:position w:val="5"/>
          <w:sz w:val="14"/>
        </w:rPr>
        <w:tab/>
      </w:r>
      <w:r>
        <w:rPr/>
        <w:t>Companies</w:t>
      </w:r>
      <w:r>
        <w:rPr>
          <w:spacing w:val="68"/>
        </w:rPr>
        <w:t> </w:t>
      </w:r>
      <w:r>
        <w:rPr/>
        <w:t>Act</w:t>
      </w:r>
      <w:r>
        <w:rPr>
          <w:spacing w:val="68"/>
        </w:rPr>
        <w:t> </w:t>
      </w:r>
      <w:r>
        <w:rPr/>
        <w:t>1985</w:t>
      </w:r>
      <w:r>
        <w:rPr>
          <w:spacing w:val="68"/>
        </w:rPr>
        <w:t> </w:t>
      </w:r>
      <w:r>
        <w:rPr/>
        <w:t>s.36A(7)</w:t>
      </w:r>
      <w:r>
        <w:rPr>
          <w:spacing w:val="68"/>
        </w:rPr>
        <w:t> </w:t>
      </w:r>
      <w:r>
        <w:rPr/>
        <w:t>as</w:t>
      </w:r>
      <w:r>
        <w:rPr>
          <w:spacing w:val="68"/>
        </w:rPr>
        <w:t> </w:t>
      </w:r>
      <w:r>
        <w:rPr/>
        <w:t>inserted</w:t>
      </w:r>
      <w:r>
        <w:rPr>
          <w:spacing w:val="68"/>
        </w:rPr>
        <w:t> </w:t>
      </w:r>
      <w:r>
        <w:rPr/>
        <w:t>by</w:t>
      </w:r>
      <w:r>
        <w:rPr>
          <w:spacing w:val="68"/>
        </w:rPr>
        <w:t> </w:t>
      </w:r>
      <w:r>
        <w:rPr/>
        <w:t>the</w:t>
      </w:r>
      <w:r>
        <w:rPr>
          <w:spacing w:val="68"/>
        </w:rPr>
        <w:t> </w:t>
      </w:r>
      <w:r>
        <w:rPr/>
        <w:t>2005</w:t>
      </w:r>
      <w:r>
        <w:rPr>
          <w:spacing w:val="68"/>
        </w:rPr>
        <w:t> </w:t>
      </w:r>
      <w:r>
        <w:rPr/>
        <w:t>Order</w:t>
      </w:r>
      <w:r>
        <w:rPr>
          <w:spacing w:val="68"/>
        </w:rPr>
        <w:t> </w:t>
      </w:r>
      <w:r>
        <w:rPr/>
        <w:t>art.7(2)</w:t>
      </w:r>
      <w:r>
        <w:rPr>
          <w:spacing w:val="68"/>
        </w:rPr>
        <w:t> </w:t>
      </w:r>
      <w:r>
        <w:rPr/>
        <w:t>and</w:t>
      </w:r>
      <w:r>
        <w:rPr>
          <w:spacing w:val="68"/>
        </w:rPr>
        <w:t> </w:t>
      </w:r>
      <w:r>
        <w:rPr/>
        <w:t>replaced</w:t>
      </w:r>
      <w:r>
        <w:rPr>
          <w:spacing w:val="68"/>
        </w:rPr>
        <w:t> </w:t>
      </w:r>
      <w:r>
        <w:rPr/>
        <w:t>by Companies Act 2006 s.44(8).</w:t>
      </w:r>
    </w:p>
    <w:p>
      <w:pPr>
        <w:pStyle w:val="BodyText"/>
        <w:spacing w:before="5"/>
      </w:pPr>
    </w:p>
    <w:p>
      <w:pPr>
        <w:pStyle w:val="BodyText"/>
        <w:tabs>
          <w:tab w:pos="705" w:val="left" w:leader="none"/>
        </w:tabs>
        <w:spacing w:before="1"/>
        <w:ind w:left="165"/>
      </w:pPr>
      <w:bookmarkStart w:name="_bookmark1719" w:id="1721"/>
      <w:bookmarkEnd w:id="1721"/>
      <w:r>
        <w:rPr/>
      </w:r>
      <w:hyperlink w:history="true" w:anchor="_bookmark1689">
        <w:r>
          <w:rPr>
            <w:color w:val="005DA1"/>
            <w:spacing w:val="-4"/>
            <w:position w:val="5"/>
            <w:sz w:val="14"/>
            <w:u w:val="single" w:color="005DA1"/>
          </w:rPr>
          <w:t>904</w:t>
        </w:r>
      </w:hyperlink>
      <w:r>
        <w:rPr>
          <w:spacing w:val="-4"/>
          <w:position w:val="5"/>
          <w:sz w:val="14"/>
        </w:rPr>
        <w:t>.</w:t>
      </w:r>
      <w:r>
        <w:rPr>
          <w:position w:val="5"/>
          <w:sz w:val="14"/>
        </w:rPr>
        <w:tab/>
      </w:r>
      <w:r>
        <w:rPr/>
        <w:t>Law of Property Act 1925 s.74(1A) as inserted by the 2005 Order </w:t>
      </w:r>
      <w:r>
        <w:rPr>
          <w:spacing w:val="-2"/>
        </w:rPr>
        <w:t>art.7(1).</w:t>
      </w:r>
    </w:p>
    <w:p>
      <w:pPr>
        <w:pStyle w:val="BodyText"/>
        <w:spacing w:before="8"/>
      </w:pPr>
    </w:p>
    <w:p>
      <w:pPr>
        <w:spacing w:line="235" w:lineRule="auto" w:before="0"/>
        <w:ind w:left="705" w:right="167" w:hanging="541"/>
        <w:jc w:val="both"/>
        <w:rPr>
          <w:sz w:val="20"/>
        </w:rPr>
      </w:pPr>
      <w:bookmarkStart w:name="_bookmark1720" w:id="1722"/>
      <w:bookmarkEnd w:id="1722"/>
      <w:r>
        <w:rPr/>
      </w:r>
      <w:hyperlink w:history="true" w:anchor="_bookmark1690">
        <w:r>
          <w:rPr>
            <w:color w:val="005DA1"/>
            <w:position w:val="5"/>
            <w:sz w:val="14"/>
            <w:u w:val="single" w:color="005DA1"/>
          </w:rPr>
          <w:t>905</w:t>
        </w:r>
      </w:hyperlink>
      <w:r>
        <w:rPr>
          <w:position w:val="5"/>
          <w:sz w:val="14"/>
        </w:rPr>
        <w:t>.</w:t>
      </w:r>
      <w:r>
        <w:rPr>
          <w:spacing w:val="80"/>
          <w:w w:val="150"/>
          <w:position w:val="5"/>
          <w:sz w:val="14"/>
        </w:rPr>
        <w:t> </w:t>
      </w:r>
      <w:r>
        <w:rPr>
          <w:sz w:val="20"/>
        </w:rPr>
        <w:t>Law of Property (Miscellaneous Provisions) Act 1989 s.1(3) (as amended by 2005 </w:t>
      </w:r>
      <w:r>
        <w:rPr>
          <w:sz w:val="20"/>
        </w:rPr>
        <w:t>Order</w:t>
      </w:r>
      <w:r>
        <w:rPr>
          <w:spacing w:val="40"/>
          <w:sz w:val="20"/>
        </w:rPr>
        <w:t> </w:t>
      </w:r>
      <w:r>
        <w:rPr>
          <w:sz w:val="20"/>
        </w:rPr>
        <w:t>art.7(3)). The signature and attestation must form part of the same physical document which constitutes the deed: </w:t>
      </w:r>
      <w:r>
        <w:rPr>
          <w:rFonts w:ascii="Arial" w:hAnsi="Arial"/>
          <w:i/>
          <w:sz w:val="20"/>
        </w:rPr>
        <w:t>R. (on the application of Mercury Tax Group Ltd) v Revenue and Customs Commissioners at [2008] EWHC 2721 (Admin), [2009] S.T.C. 743 </w:t>
      </w:r>
      <w:r>
        <w:rPr>
          <w:sz w:val="20"/>
        </w:rPr>
        <w:t>at [40]. A signature of an unidentified individual added later cannot constitute attestation for these purposes: </w:t>
      </w:r>
      <w:r>
        <w:rPr>
          <w:rFonts w:ascii="Arial" w:hAnsi="Arial"/>
          <w:i/>
          <w:sz w:val="20"/>
        </w:rPr>
        <w:t>Darjan Estate Co Plc v Hurley [2012] EWHC 189 (Ch), [2012] 1 W.L.R. 1782 </w:t>
      </w:r>
      <w:r>
        <w:rPr>
          <w:sz w:val="20"/>
        </w:rPr>
        <w:t>at [11]–[12].</w:t>
      </w:r>
    </w:p>
    <w:p>
      <w:pPr>
        <w:pStyle w:val="BodyText"/>
        <w:spacing w:before="8"/>
      </w:pPr>
    </w:p>
    <w:p>
      <w:pPr>
        <w:pStyle w:val="BodyText"/>
        <w:tabs>
          <w:tab w:pos="705" w:val="left" w:leader="none"/>
        </w:tabs>
        <w:spacing w:line="235" w:lineRule="auto"/>
        <w:ind w:left="705" w:right="168" w:hanging="541"/>
      </w:pPr>
      <w:bookmarkStart w:name="_bookmark1721" w:id="1723"/>
      <w:bookmarkEnd w:id="1723"/>
      <w:r>
        <w:rPr/>
      </w:r>
      <w:hyperlink w:history="true" w:anchor="_bookmark1691">
        <w:r>
          <w:rPr>
            <w:color w:val="005DA1"/>
            <w:spacing w:val="-4"/>
            <w:position w:val="5"/>
            <w:sz w:val="14"/>
            <w:u w:val="single" w:color="005DA1"/>
          </w:rPr>
          <w:t>906</w:t>
        </w:r>
      </w:hyperlink>
      <w:r>
        <w:rPr>
          <w:spacing w:val="-4"/>
          <w:position w:val="5"/>
          <w:sz w:val="14"/>
        </w:rPr>
        <w:t>.</w:t>
      </w:r>
      <w:r>
        <w:rPr>
          <w:position w:val="5"/>
          <w:sz w:val="14"/>
        </w:rPr>
        <w:tab/>
      </w:r>
      <w:r>
        <w:rPr/>
        <w:t>Law of Property (Miscellaneous Provisions) Act 1989 s.1(4)(b) as amended by the 2005 </w:t>
      </w:r>
      <w:r>
        <w:rPr/>
        <w:t>Order Sch.1 para.14.</w:t>
      </w:r>
    </w:p>
    <w:p>
      <w:pPr>
        <w:pStyle w:val="BodyText"/>
        <w:spacing w:after="0" w:line="235" w:lineRule="auto"/>
        <w:sectPr>
          <w:pgSz w:w="11900" w:h="16840"/>
          <w:pgMar w:header="971" w:footer="0" w:top="1300" w:bottom="280" w:left="1275" w:right="1275"/>
        </w:sectPr>
      </w:pPr>
    </w:p>
    <w:p>
      <w:pPr>
        <w:pStyle w:val="BodyText"/>
        <w:tabs>
          <w:tab w:pos="705" w:val="left" w:leader="none"/>
        </w:tabs>
        <w:spacing w:before="166"/>
        <w:ind w:left="165"/>
      </w:pPr>
      <w:hyperlink w:history="true" w:anchor="_bookmark1692">
        <w:r>
          <w:rPr>
            <w:color w:val="005DA1"/>
            <w:spacing w:val="-4"/>
            <w:position w:val="5"/>
            <w:sz w:val="14"/>
            <w:u w:val="single" w:color="005DA1"/>
          </w:rPr>
          <w:t>907</w:t>
        </w:r>
      </w:hyperlink>
      <w:r>
        <w:rPr>
          <w:spacing w:val="-4"/>
          <w:position w:val="5"/>
          <w:sz w:val="14"/>
        </w:rPr>
        <w:t>.</w:t>
      </w:r>
      <w:r>
        <w:rPr>
          <w:position w:val="5"/>
          <w:sz w:val="14"/>
        </w:rPr>
        <w:tab/>
      </w:r>
      <w:r>
        <w:rPr/>
        <w:t>Law of Property (Miscellaneous Provisions) Act 1989 </w:t>
      </w:r>
      <w:r>
        <w:rPr>
          <w:spacing w:val="-2"/>
        </w:rPr>
        <w:t>s.1(3)(b).</w:t>
      </w:r>
    </w:p>
    <w:p>
      <w:pPr>
        <w:pStyle w:val="BodyText"/>
        <w:spacing w:before="5"/>
      </w:pPr>
    </w:p>
    <w:p>
      <w:pPr>
        <w:pStyle w:val="BodyText"/>
        <w:tabs>
          <w:tab w:pos="705" w:val="left" w:leader="none"/>
        </w:tabs>
        <w:spacing w:before="1"/>
        <w:ind w:left="165"/>
      </w:pPr>
      <w:bookmarkStart w:name="_bookmark1722" w:id="1724"/>
      <w:bookmarkEnd w:id="1724"/>
      <w:r>
        <w:rPr/>
      </w:r>
      <w:hyperlink w:history="true" w:anchor="_bookmark1693">
        <w:r>
          <w:rPr>
            <w:color w:val="005DA1"/>
            <w:spacing w:val="-4"/>
            <w:position w:val="5"/>
            <w:sz w:val="14"/>
            <w:u w:val="single" w:color="005DA1"/>
          </w:rPr>
          <w:t>908</w:t>
        </w:r>
      </w:hyperlink>
      <w:r>
        <w:rPr>
          <w:spacing w:val="-4"/>
          <w:position w:val="5"/>
          <w:sz w:val="14"/>
        </w:rPr>
        <w:t>.</w:t>
      </w:r>
      <w:r>
        <w:rPr>
          <w:position w:val="5"/>
          <w:sz w:val="14"/>
        </w:rPr>
        <w:tab/>
      </w:r>
      <w:r>
        <w:rPr/>
        <w:t>Law Com. No.153, Pt </w:t>
      </w:r>
      <w:r>
        <w:rPr>
          <w:spacing w:val="-5"/>
        </w:rPr>
        <w:t>4.</w:t>
      </w:r>
    </w:p>
    <w:p>
      <w:pPr>
        <w:pStyle w:val="BodyText"/>
        <w:spacing w:before="8"/>
      </w:pPr>
    </w:p>
    <w:p>
      <w:pPr>
        <w:pStyle w:val="BodyText"/>
        <w:tabs>
          <w:tab w:pos="705" w:val="left" w:leader="none"/>
        </w:tabs>
        <w:spacing w:line="235" w:lineRule="auto"/>
        <w:ind w:left="705" w:right="167" w:hanging="541"/>
      </w:pPr>
      <w:bookmarkStart w:name="_bookmark1723" w:id="1725"/>
      <w:bookmarkEnd w:id="1725"/>
      <w:r>
        <w:rPr/>
      </w:r>
      <w:hyperlink w:history="true" w:anchor="_bookmark1694">
        <w:r>
          <w:rPr>
            <w:color w:val="005DA1"/>
            <w:spacing w:val="-4"/>
            <w:position w:val="5"/>
            <w:sz w:val="14"/>
            <w:u w:val="single" w:color="005DA1"/>
          </w:rPr>
          <w:t>909</w:t>
        </w:r>
      </w:hyperlink>
      <w:r>
        <w:rPr>
          <w:spacing w:val="-4"/>
          <w:position w:val="5"/>
          <w:sz w:val="14"/>
        </w:rPr>
        <w:t>.</w:t>
      </w:r>
      <w:r>
        <w:rPr>
          <w:position w:val="5"/>
          <w:sz w:val="14"/>
        </w:rPr>
        <w:tab/>
      </w:r>
      <w:r>
        <w:rPr/>
        <w:t>Law</w:t>
      </w:r>
      <w:r>
        <w:rPr>
          <w:spacing w:val="40"/>
        </w:rPr>
        <w:t> </w:t>
      </w:r>
      <w:r>
        <w:rPr/>
        <w:t>of</w:t>
      </w:r>
      <w:r>
        <w:rPr>
          <w:spacing w:val="40"/>
        </w:rPr>
        <w:t> </w:t>
      </w:r>
      <w:r>
        <w:rPr/>
        <w:t>Property</w:t>
      </w:r>
      <w:r>
        <w:rPr>
          <w:spacing w:val="40"/>
        </w:rPr>
        <w:t> </w:t>
      </w:r>
      <w:r>
        <w:rPr/>
        <w:t>(Miscellaneous</w:t>
      </w:r>
      <w:r>
        <w:rPr>
          <w:spacing w:val="40"/>
        </w:rPr>
        <w:t> </w:t>
      </w:r>
      <w:r>
        <w:rPr/>
        <w:t>Provisions)</w:t>
      </w:r>
      <w:r>
        <w:rPr>
          <w:spacing w:val="40"/>
        </w:rPr>
        <w:t> </w:t>
      </w:r>
      <w:r>
        <w:rPr/>
        <w:t>Act</w:t>
      </w:r>
      <w:r>
        <w:rPr>
          <w:spacing w:val="40"/>
        </w:rPr>
        <w:t> </w:t>
      </w:r>
      <w:r>
        <w:rPr/>
        <w:t>1989</w:t>
      </w:r>
      <w:r>
        <w:rPr>
          <w:spacing w:val="40"/>
        </w:rPr>
        <w:t> </w:t>
      </w:r>
      <w:r>
        <w:rPr/>
        <w:t>s.1(2)(b)</w:t>
      </w:r>
      <w:r>
        <w:rPr>
          <w:spacing w:val="40"/>
        </w:rPr>
        <w:t> </w:t>
      </w:r>
      <w:r>
        <w:rPr/>
        <w:t>(as</w:t>
      </w:r>
      <w:r>
        <w:rPr>
          <w:spacing w:val="40"/>
        </w:rPr>
        <w:t> </w:t>
      </w:r>
      <w:r>
        <w:rPr/>
        <w:t>amended);</w:t>
      </w:r>
      <w:r>
        <w:rPr>
          <w:spacing w:val="40"/>
        </w:rPr>
        <w:t> </w:t>
      </w:r>
      <w:r>
        <w:rPr/>
        <w:t>see</w:t>
      </w:r>
      <w:r>
        <w:rPr>
          <w:spacing w:val="40"/>
        </w:rPr>
        <w:t> </w:t>
      </w:r>
      <w:r>
        <w:rPr/>
        <w:t>above, </w:t>
      </w:r>
      <w:r>
        <w:rPr>
          <w:spacing w:val="-2"/>
        </w:rPr>
        <w:t>para.1-124.</w:t>
      </w:r>
    </w:p>
    <w:p>
      <w:pPr>
        <w:pStyle w:val="BodyText"/>
        <w:spacing w:before="9"/>
      </w:pPr>
    </w:p>
    <w:p>
      <w:pPr>
        <w:pStyle w:val="BodyText"/>
        <w:spacing w:line="235" w:lineRule="auto" w:before="1"/>
        <w:ind w:left="705" w:right="167" w:hanging="541"/>
        <w:jc w:val="both"/>
      </w:pPr>
      <w:bookmarkStart w:name="_bookmark1724" w:id="1726"/>
      <w:bookmarkEnd w:id="1726"/>
      <w:r>
        <w:rPr/>
      </w:r>
      <w:hyperlink w:history="true" w:anchor="_bookmark1695">
        <w:r>
          <w:rPr>
            <w:color w:val="005DA1"/>
            <w:position w:val="5"/>
            <w:sz w:val="14"/>
            <w:u w:val="single" w:color="005DA1"/>
          </w:rPr>
          <w:t>910</w:t>
        </w:r>
      </w:hyperlink>
      <w:r>
        <w:rPr>
          <w:position w:val="5"/>
          <w:sz w:val="14"/>
        </w:rPr>
        <w:t>.</w:t>
      </w:r>
      <w:r>
        <w:rPr>
          <w:spacing w:val="80"/>
          <w:w w:val="150"/>
          <w:position w:val="5"/>
          <w:sz w:val="14"/>
        </w:rPr>
        <w:t> </w:t>
      </w:r>
      <w:r>
        <w:rPr/>
        <w:t>Law</w:t>
      </w:r>
      <w:r>
        <w:rPr>
          <w:spacing w:val="40"/>
        </w:rPr>
        <w:t> </w:t>
      </w:r>
      <w:r>
        <w:rPr/>
        <w:t>of</w:t>
      </w:r>
      <w:r>
        <w:rPr>
          <w:spacing w:val="40"/>
        </w:rPr>
        <w:t> </w:t>
      </w:r>
      <w:r>
        <w:rPr/>
        <w:t>Property</w:t>
      </w:r>
      <w:r>
        <w:rPr>
          <w:spacing w:val="40"/>
        </w:rPr>
        <w:t> </w:t>
      </w:r>
      <w:r>
        <w:rPr/>
        <w:t>Act</w:t>
      </w:r>
      <w:r>
        <w:rPr>
          <w:spacing w:val="40"/>
        </w:rPr>
        <w:t> </w:t>
      </w:r>
      <w:r>
        <w:rPr/>
        <w:t>1925</w:t>
      </w:r>
      <w:r>
        <w:rPr>
          <w:spacing w:val="40"/>
        </w:rPr>
        <w:t> </w:t>
      </w:r>
      <w:r>
        <w:rPr/>
        <w:t>s.74A(1)</w:t>
      </w:r>
      <w:r>
        <w:rPr>
          <w:spacing w:val="40"/>
        </w:rPr>
        <w:t> </w:t>
      </w:r>
      <w:r>
        <w:rPr/>
        <w:t>as</w:t>
      </w:r>
      <w:r>
        <w:rPr>
          <w:spacing w:val="40"/>
        </w:rPr>
        <w:t> </w:t>
      </w:r>
      <w:r>
        <w:rPr/>
        <w:t>inserted</w:t>
      </w:r>
      <w:r>
        <w:rPr>
          <w:spacing w:val="40"/>
        </w:rPr>
        <w:t> </w:t>
      </w:r>
      <w:r>
        <w:rPr/>
        <w:t>by</w:t>
      </w:r>
      <w:r>
        <w:rPr>
          <w:spacing w:val="40"/>
        </w:rPr>
        <w:t> </w:t>
      </w:r>
      <w:r>
        <w:rPr/>
        <w:t>the</w:t>
      </w:r>
      <w:r>
        <w:rPr>
          <w:spacing w:val="40"/>
        </w:rPr>
        <w:t> </w:t>
      </w:r>
      <w:r>
        <w:rPr/>
        <w:t>2005</w:t>
      </w:r>
      <w:r>
        <w:rPr>
          <w:spacing w:val="40"/>
        </w:rPr>
        <w:t> </w:t>
      </w:r>
      <w:r>
        <w:rPr/>
        <w:t>Order</w:t>
      </w:r>
      <w:r>
        <w:rPr>
          <w:spacing w:val="40"/>
        </w:rPr>
        <w:t> </w:t>
      </w:r>
      <w:r>
        <w:rPr/>
        <w:t>art.4</w:t>
      </w:r>
      <w:r>
        <w:rPr>
          <w:spacing w:val="40"/>
        </w:rPr>
        <w:t> </w:t>
      </w:r>
      <w:r>
        <w:rPr/>
        <w:t>(corporations aggregate); Companies Act 1985 s.36AA(1) as inserted by the 2005 Order art.6 replaced by Companies Act 2006 s.46(1).</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24896">
            <wp:simplePos x="0" y="0"/>
            <wp:positionH relativeFrom="page">
              <wp:posOffset>1257846</wp:posOffset>
            </wp:positionH>
            <wp:positionV relativeFrom="paragraph">
              <wp:posOffset>160640</wp:posOffset>
            </wp:positionV>
            <wp:extent cx="107988" cy="107988"/>
            <wp:effectExtent l="0" t="0" r="0" b="0"/>
            <wp:wrapNone/>
            <wp:docPr id="406" name="Image 406"/>
            <wp:cNvGraphicFramePr>
              <a:graphicFrameLocks/>
            </wp:cNvGraphicFramePr>
            <a:graphic>
              <a:graphicData uri="http://schemas.openxmlformats.org/drawingml/2006/picture">
                <pic:pic>
                  <pic:nvPicPr>
                    <pic:cNvPr id="406" name="Image 40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725" w:id="1727"/>
      <w:bookmarkEnd w:id="1727"/>
      <w:r>
        <w:rPr/>
      </w:r>
      <w:hyperlink w:history="true" w:anchor="_bookmark1696">
        <w:r>
          <w:rPr>
            <w:color w:val="005DA1"/>
            <w:spacing w:val="-4"/>
            <w:sz w:val="14"/>
            <w:u w:val="single" w:color="005DA1"/>
          </w:rPr>
          <w:t>911</w:t>
        </w:r>
      </w:hyperlink>
      <w:r>
        <w:rPr>
          <w:spacing w:val="-4"/>
          <w:sz w:val="14"/>
        </w:rPr>
        <w:t>.</w:t>
      </w:r>
    </w:p>
    <w:p>
      <w:pPr>
        <w:spacing w:line="235" w:lineRule="auto" w:before="212"/>
        <w:ind w:left="165" w:right="167" w:firstLine="170"/>
        <w:jc w:val="both"/>
        <w:rPr>
          <w:sz w:val="20"/>
        </w:rPr>
      </w:pPr>
      <w:r>
        <w:rPr/>
        <w:br w:type="column"/>
      </w:r>
      <w:r>
        <w:rPr>
          <w:sz w:val="20"/>
        </w:rPr>
        <w:t>Law of Property Act 1925 s.74A(2) as inserted by the 2005 Order art.4 </w:t>
      </w:r>
      <w:r>
        <w:rPr>
          <w:sz w:val="20"/>
        </w:rPr>
        <w:t>(corporations aggregate); Companies Act 1985 s.36AA(2) (companies) as inserted by 2005 Order art.6 and replaced by Companies Act 2006 s.46(2). For these purposes an objective approach must be taken to the establishment of contrary intention: </w:t>
      </w:r>
      <w:r>
        <w:rPr>
          <w:rFonts w:ascii="Arial" w:hAnsi="Arial"/>
          <w:i/>
          <w:sz w:val="20"/>
        </w:rPr>
        <w:t>Silver Queen Maritime Ltd v Persia Petroleum Services Ltd [2010] EWHC 2867 (QB) </w:t>
      </w:r>
      <w:r>
        <w:rPr>
          <w:sz w:val="20"/>
        </w:rPr>
        <w:t>at [117]—[118]. It has been held that a requirement of</w:t>
      </w:r>
      <w:r>
        <w:rPr>
          <w:spacing w:val="40"/>
          <w:sz w:val="20"/>
        </w:rPr>
        <w:t> </w:t>
      </w:r>
      <w:r>
        <w:rPr>
          <w:sz w:val="20"/>
        </w:rPr>
        <w:t>the “execution” of a deed in a consent order must equally be understood as requiring delivery</w:t>
      </w:r>
      <w:r>
        <w:rPr>
          <w:spacing w:val="40"/>
          <w:sz w:val="20"/>
        </w:rPr>
        <w:t> </w:t>
      </w:r>
      <w:r>
        <w:rPr>
          <w:sz w:val="20"/>
        </w:rPr>
        <w:t>as well as signature of a document: </w:t>
      </w:r>
      <w:r>
        <w:rPr>
          <w:rFonts w:ascii="Arial" w:hAnsi="Arial"/>
          <w:i/>
          <w:sz w:val="20"/>
        </w:rPr>
        <w:t>Arrowgame Ltd v Wildsmith [2016] EWHC 3608 (Ch)</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pStyle w:val="BodyText"/>
        <w:tabs>
          <w:tab w:pos="705" w:val="left" w:leader="none"/>
        </w:tabs>
        <w:spacing w:line="235" w:lineRule="auto"/>
        <w:ind w:left="705" w:right="168" w:hanging="541"/>
      </w:pPr>
      <w:bookmarkStart w:name="_bookmark1726" w:id="1728"/>
      <w:bookmarkEnd w:id="1728"/>
      <w:r>
        <w:rPr/>
      </w:r>
      <w:hyperlink w:history="true" w:anchor="_bookmark1697">
        <w:r>
          <w:rPr>
            <w:color w:val="005DA1"/>
            <w:spacing w:val="-4"/>
            <w:position w:val="5"/>
            <w:sz w:val="14"/>
            <w:u w:val="single" w:color="005DA1"/>
          </w:rPr>
          <w:t>912</w:t>
        </w:r>
      </w:hyperlink>
      <w:r>
        <w:rPr>
          <w:spacing w:val="-4"/>
          <w:position w:val="5"/>
          <w:sz w:val="14"/>
        </w:rPr>
        <w:t>.</w:t>
      </w:r>
      <w:r>
        <w:rPr>
          <w:position w:val="5"/>
          <w:sz w:val="14"/>
        </w:rPr>
        <w:tab/>
      </w:r>
      <w:r>
        <w:rPr/>
        <w:t>As</w:t>
      </w:r>
      <w:r>
        <w:rPr>
          <w:spacing w:val="29"/>
        </w:rPr>
        <w:t> </w:t>
      </w:r>
      <w:r>
        <w:rPr/>
        <w:t>a</w:t>
      </w:r>
      <w:r>
        <w:rPr>
          <w:spacing w:val="29"/>
        </w:rPr>
        <w:t> </w:t>
      </w:r>
      <w:r>
        <w:rPr/>
        <w:t>result,</w:t>
      </w:r>
      <w:r>
        <w:rPr>
          <w:spacing w:val="29"/>
        </w:rPr>
        <w:t> </w:t>
      </w:r>
      <w:r>
        <w:rPr/>
        <w:t>the</w:t>
      </w:r>
      <w:r>
        <w:rPr>
          <w:spacing w:val="29"/>
        </w:rPr>
        <w:t> </w:t>
      </w:r>
      <w:r>
        <w:rPr/>
        <w:t>2005</w:t>
      </w:r>
      <w:r>
        <w:rPr>
          <w:spacing w:val="29"/>
        </w:rPr>
        <w:t> </w:t>
      </w:r>
      <w:r>
        <w:rPr/>
        <w:t>Order</w:t>
      </w:r>
      <w:r>
        <w:rPr>
          <w:spacing w:val="29"/>
        </w:rPr>
        <w:t> </w:t>
      </w:r>
      <w:r>
        <w:rPr/>
        <w:t>art.5</w:t>
      </w:r>
      <w:r>
        <w:rPr>
          <w:spacing w:val="29"/>
        </w:rPr>
        <w:t> </w:t>
      </w:r>
      <w:r>
        <w:rPr/>
        <w:t>amended</w:t>
      </w:r>
      <w:r>
        <w:rPr>
          <w:spacing w:val="29"/>
        </w:rPr>
        <w:t> </w:t>
      </w:r>
      <w:r>
        <w:rPr/>
        <w:t>the</w:t>
      </w:r>
      <w:r>
        <w:rPr>
          <w:spacing w:val="29"/>
        </w:rPr>
        <w:t> </w:t>
      </w:r>
      <w:r>
        <w:rPr/>
        <w:t>Companies</w:t>
      </w:r>
      <w:r>
        <w:rPr>
          <w:spacing w:val="29"/>
        </w:rPr>
        <w:t> </w:t>
      </w:r>
      <w:r>
        <w:rPr/>
        <w:t>Act</w:t>
      </w:r>
      <w:r>
        <w:rPr>
          <w:spacing w:val="29"/>
        </w:rPr>
        <w:t> </w:t>
      </w:r>
      <w:r>
        <w:rPr/>
        <w:t>1985</w:t>
      </w:r>
      <w:r>
        <w:rPr>
          <w:spacing w:val="29"/>
        </w:rPr>
        <w:t> </w:t>
      </w:r>
      <w:r>
        <w:rPr/>
        <w:t>s.36A(6)</w:t>
      </w:r>
      <w:r>
        <w:rPr>
          <w:spacing w:val="29"/>
        </w:rPr>
        <w:t> </w:t>
      </w:r>
      <w:r>
        <w:rPr/>
        <w:t>and</w:t>
      </w:r>
      <w:r>
        <w:rPr>
          <w:spacing w:val="29"/>
        </w:rPr>
        <w:t> </w:t>
      </w:r>
      <w:r>
        <w:rPr/>
        <w:t>see</w:t>
      </w:r>
      <w:r>
        <w:rPr>
          <w:spacing w:val="29"/>
        </w:rPr>
        <w:t> </w:t>
      </w:r>
      <w:r>
        <w:rPr/>
        <w:t>Law Com. No.253 paras 6.37-6.43.</w:t>
      </w:r>
    </w:p>
    <w:p>
      <w:pPr>
        <w:pStyle w:val="BodyText"/>
        <w:spacing w:before="9"/>
      </w:pPr>
    </w:p>
    <w:p>
      <w:pPr>
        <w:tabs>
          <w:tab w:pos="705" w:val="left" w:leader="none"/>
        </w:tabs>
        <w:spacing w:line="235" w:lineRule="auto" w:before="0"/>
        <w:ind w:left="705" w:right="168" w:hanging="541"/>
        <w:jc w:val="left"/>
        <w:rPr>
          <w:sz w:val="20"/>
        </w:rPr>
      </w:pPr>
      <w:bookmarkStart w:name="_bookmark1727" w:id="1729"/>
      <w:bookmarkEnd w:id="1729"/>
      <w:r>
        <w:rPr/>
      </w:r>
      <w:hyperlink w:history="true" w:anchor="_bookmark1698">
        <w:r>
          <w:rPr>
            <w:color w:val="005DA1"/>
            <w:spacing w:val="-4"/>
            <w:position w:val="5"/>
            <w:sz w:val="14"/>
            <w:u w:val="single" w:color="005DA1"/>
          </w:rPr>
          <w:t>913</w:t>
        </w:r>
      </w:hyperlink>
      <w:r>
        <w:rPr>
          <w:spacing w:val="-4"/>
          <w:position w:val="5"/>
          <w:sz w:val="14"/>
        </w:rPr>
        <w:t>.</w:t>
      </w:r>
      <w:r>
        <w:rPr>
          <w:position w:val="5"/>
          <w:sz w:val="14"/>
        </w:rPr>
        <w:tab/>
      </w:r>
      <w:r>
        <w:rPr>
          <w:rFonts w:ascii="Arial"/>
          <w:i/>
          <w:sz w:val="20"/>
        </w:rPr>
        <w:t>Bolton</w:t>
      </w:r>
      <w:r>
        <w:rPr>
          <w:rFonts w:ascii="Arial"/>
          <w:i/>
          <w:spacing w:val="34"/>
          <w:sz w:val="20"/>
        </w:rPr>
        <w:t> </w:t>
      </w:r>
      <w:r>
        <w:rPr>
          <w:rFonts w:ascii="Arial"/>
          <w:i/>
          <w:sz w:val="20"/>
        </w:rPr>
        <w:t>Metropolitan</w:t>
      </w:r>
      <w:r>
        <w:rPr>
          <w:rFonts w:ascii="Arial"/>
          <w:i/>
          <w:spacing w:val="34"/>
          <w:sz w:val="20"/>
        </w:rPr>
        <w:t> </w:t>
      </w:r>
      <w:r>
        <w:rPr>
          <w:rFonts w:ascii="Arial"/>
          <w:i/>
          <w:sz w:val="20"/>
        </w:rPr>
        <w:t>BC</w:t>
      </w:r>
      <w:r>
        <w:rPr>
          <w:rFonts w:ascii="Arial"/>
          <w:i/>
          <w:spacing w:val="34"/>
          <w:sz w:val="20"/>
        </w:rPr>
        <w:t> </w:t>
      </w:r>
      <w:r>
        <w:rPr>
          <w:rFonts w:ascii="Arial"/>
          <w:i/>
          <w:sz w:val="20"/>
        </w:rPr>
        <w:t>v</w:t>
      </w:r>
      <w:r>
        <w:rPr>
          <w:rFonts w:ascii="Arial"/>
          <w:i/>
          <w:spacing w:val="34"/>
          <w:sz w:val="20"/>
        </w:rPr>
        <w:t> </w:t>
      </w:r>
      <w:r>
        <w:rPr>
          <w:rFonts w:ascii="Arial"/>
          <w:i/>
          <w:sz w:val="20"/>
        </w:rPr>
        <w:t>Torkington</w:t>
      </w:r>
      <w:r>
        <w:rPr>
          <w:rFonts w:ascii="Arial"/>
          <w:i/>
          <w:spacing w:val="34"/>
          <w:sz w:val="20"/>
        </w:rPr>
        <w:t> </w:t>
      </w:r>
      <w:r>
        <w:rPr>
          <w:rFonts w:ascii="Arial"/>
          <w:i/>
          <w:sz w:val="20"/>
        </w:rPr>
        <w:t>[2003]</w:t>
      </w:r>
      <w:r>
        <w:rPr>
          <w:rFonts w:ascii="Arial"/>
          <w:i/>
          <w:spacing w:val="34"/>
          <w:sz w:val="20"/>
        </w:rPr>
        <w:t> </w:t>
      </w:r>
      <w:r>
        <w:rPr>
          <w:rFonts w:ascii="Arial"/>
          <w:i/>
          <w:sz w:val="20"/>
        </w:rPr>
        <w:t>EWCA</w:t>
      </w:r>
      <w:r>
        <w:rPr>
          <w:rFonts w:ascii="Arial"/>
          <w:i/>
          <w:spacing w:val="34"/>
          <w:sz w:val="20"/>
        </w:rPr>
        <w:t> </w:t>
      </w:r>
      <w:r>
        <w:rPr>
          <w:rFonts w:ascii="Arial"/>
          <w:i/>
          <w:sz w:val="20"/>
        </w:rPr>
        <w:t>Civ</w:t>
      </w:r>
      <w:r>
        <w:rPr>
          <w:rFonts w:ascii="Arial"/>
          <w:i/>
          <w:spacing w:val="34"/>
          <w:sz w:val="20"/>
        </w:rPr>
        <w:t> </w:t>
      </w:r>
      <w:r>
        <w:rPr>
          <w:rFonts w:ascii="Arial"/>
          <w:i/>
          <w:sz w:val="20"/>
        </w:rPr>
        <w:t>1634,</w:t>
      </w:r>
      <w:r>
        <w:rPr>
          <w:rFonts w:ascii="Arial"/>
          <w:i/>
          <w:spacing w:val="34"/>
          <w:sz w:val="20"/>
        </w:rPr>
        <w:t> </w:t>
      </w:r>
      <w:r>
        <w:rPr>
          <w:rFonts w:ascii="Arial"/>
          <w:i/>
          <w:sz w:val="20"/>
        </w:rPr>
        <w:t>[2004]</w:t>
      </w:r>
      <w:r>
        <w:rPr>
          <w:rFonts w:ascii="Arial"/>
          <w:i/>
          <w:spacing w:val="34"/>
          <w:sz w:val="20"/>
        </w:rPr>
        <w:t> </w:t>
      </w:r>
      <w:r>
        <w:rPr>
          <w:rFonts w:ascii="Arial"/>
          <w:i/>
          <w:sz w:val="20"/>
        </w:rPr>
        <w:t>Ch.</w:t>
      </w:r>
      <w:r>
        <w:rPr>
          <w:rFonts w:ascii="Arial"/>
          <w:i/>
          <w:spacing w:val="34"/>
          <w:sz w:val="20"/>
        </w:rPr>
        <w:t> </w:t>
      </w:r>
      <w:r>
        <w:rPr>
          <w:rFonts w:ascii="Arial"/>
          <w:i/>
          <w:sz w:val="20"/>
        </w:rPr>
        <w:t>66</w:t>
      </w:r>
      <w:r>
        <w:rPr>
          <w:rFonts w:ascii="Arial"/>
          <w:i/>
          <w:spacing w:val="33"/>
          <w:sz w:val="20"/>
        </w:rPr>
        <w:t> </w:t>
      </w:r>
      <w:r>
        <w:rPr>
          <w:sz w:val="20"/>
        </w:rPr>
        <w:t>at</w:t>
      </w:r>
      <w:r>
        <w:rPr>
          <w:spacing w:val="34"/>
          <w:sz w:val="20"/>
        </w:rPr>
        <w:t> </w:t>
      </w:r>
      <w:r>
        <w:rPr>
          <w:sz w:val="20"/>
        </w:rPr>
        <w:t>[46],</w:t>
      </w:r>
      <w:r>
        <w:rPr>
          <w:spacing w:val="34"/>
          <w:sz w:val="20"/>
        </w:rPr>
        <w:t> </w:t>
      </w:r>
      <w:r>
        <w:rPr>
          <w:sz w:val="20"/>
        </w:rPr>
        <w:t>above, </w:t>
      </w:r>
      <w:r>
        <w:rPr>
          <w:spacing w:val="-2"/>
          <w:sz w:val="20"/>
        </w:rPr>
        <w:t>para.1-122.</w:t>
      </w:r>
    </w:p>
    <w:p>
      <w:pPr>
        <w:pStyle w:val="BodyText"/>
        <w:spacing w:before="9"/>
      </w:pPr>
    </w:p>
    <w:p>
      <w:pPr>
        <w:pStyle w:val="BodyText"/>
        <w:tabs>
          <w:tab w:pos="705" w:val="left" w:leader="none"/>
        </w:tabs>
        <w:spacing w:line="235" w:lineRule="auto"/>
        <w:ind w:left="705" w:right="168" w:hanging="541"/>
      </w:pPr>
      <w:bookmarkStart w:name="_bookmark1728" w:id="1730"/>
      <w:bookmarkEnd w:id="1730"/>
      <w:r>
        <w:rPr/>
      </w:r>
      <w:hyperlink w:history="true" w:anchor="_bookmark1699">
        <w:r>
          <w:rPr>
            <w:color w:val="005DA1"/>
            <w:spacing w:val="-4"/>
            <w:position w:val="5"/>
            <w:sz w:val="14"/>
            <w:u w:val="single" w:color="005DA1"/>
          </w:rPr>
          <w:t>914</w:t>
        </w:r>
      </w:hyperlink>
      <w:r>
        <w:rPr>
          <w:spacing w:val="-4"/>
          <w:position w:val="5"/>
          <w:sz w:val="14"/>
        </w:rPr>
        <w:t>.</w:t>
      </w:r>
      <w:r>
        <w:rPr>
          <w:position w:val="5"/>
          <w:sz w:val="14"/>
        </w:rPr>
        <w:tab/>
      </w:r>
      <w:r>
        <w:rPr/>
        <w:t>Companies</w:t>
      </w:r>
      <w:r>
        <w:rPr>
          <w:spacing w:val="24"/>
        </w:rPr>
        <w:t> </w:t>
      </w:r>
      <w:r>
        <w:rPr/>
        <w:t>Act</w:t>
      </w:r>
      <w:r>
        <w:rPr>
          <w:spacing w:val="24"/>
        </w:rPr>
        <w:t> </w:t>
      </w:r>
      <w:r>
        <w:rPr/>
        <w:t>2006</w:t>
      </w:r>
      <w:r>
        <w:rPr>
          <w:spacing w:val="24"/>
        </w:rPr>
        <w:t> </w:t>
      </w:r>
      <w:r>
        <w:rPr/>
        <w:t>s.44(2)</w:t>
      </w:r>
      <w:r>
        <w:rPr>
          <w:spacing w:val="24"/>
        </w:rPr>
        <w:t> </w:t>
      </w:r>
      <w:r>
        <w:rPr/>
        <w:t>replacing</w:t>
      </w:r>
      <w:r>
        <w:rPr>
          <w:spacing w:val="24"/>
        </w:rPr>
        <w:t> </w:t>
      </w:r>
      <w:r>
        <w:rPr/>
        <w:t>Companies</w:t>
      </w:r>
      <w:r>
        <w:rPr>
          <w:spacing w:val="24"/>
        </w:rPr>
        <w:t> </w:t>
      </w:r>
      <w:r>
        <w:rPr/>
        <w:t>Act</w:t>
      </w:r>
      <w:r>
        <w:rPr>
          <w:spacing w:val="24"/>
        </w:rPr>
        <w:t> </w:t>
      </w:r>
      <w:r>
        <w:rPr/>
        <w:t>1985</w:t>
      </w:r>
      <w:r>
        <w:rPr>
          <w:spacing w:val="24"/>
        </w:rPr>
        <w:t> </w:t>
      </w:r>
      <w:r>
        <w:rPr/>
        <w:t>s.36A(1),</w:t>
      </w:r>
      <w:r>
        <w:rPr>
          <w:spacing w:val="24"/>
        </w:rPr>
        <w:t> </w:t>
      </w:r>
      <w:r>
        <w:rPr/>
        <w:t>(4)</w:t>
      </w:r>
      <w:r>
        <w:rPr>
          <w:spacing w:val="24"/>
        </w:rPr>
        <w:t> </w:t>
      </w:r>
      <w:r>
        <w:rPr/>
        <w:t>as</w:t>
      </w:r>
      <w:r>
        <w:rPr>
          <w:spacing w:val="24"/>
        </w:rPr>
        <w:t> </w:t>
      </w:r>
      <w:r>
        <w:rPr/>
        <w:t>inserted</w:t>
      </w:r>
      <w:r>
        <w:rPr>
          <w:spacing w:val="24"/>
        </w:rPr>
        <w:t> </w:t>
      </w:r>
      <w:r>
        <w:rPr/>
        <w:t>by</w:t>
      </w:r>
      <w:r>
        <w:rPr>
          <w:spacing w:val="24"/>
        </w:rPr>
        <w:t> </w:t>
      </w:r>
      <w:r>
        <w:rPr/>
        <w:t>the Companies Act 1989 s.130(2).</w:t>
      </w:r>
    </w:p>
    <w:p>
      <w:pPr>
        <w:pStyle w:val="BodyText"/>
        <w:spacing w:before="9"/>
      </w:pPr>
    </w:p>
    <w:p>
      <w:pPr>
        <w:pStyle w:val="BodyText"/>
        <w:spacing w:line="235" w:lineRule="auto" w:before="1"/>
        <w:ind w:left="705" w:right="167" w:hanging="541"/>
        <w:jc w:val="both"/>
      </w:pPr>
      <w:bookmarkStart w:name="_bookmark1729" w:id="1731"/>
      <w:bookmarkEnd w:id="1731"/>
      <w:r>
        <w:rPr/>
      </w:r>
      <w:hyperlink w:history="true" w:anchor="_bookmark1700">
        <w:r>
          <w:rPr>
            <w:color w:val="005DA1"/>
            <w:position w:val="5"/>
            <w:sz w:val="14"/>
            <w:u w:val="single" w:color="005DA1"/>
          </w:rPr>
          <w:t>915</w:t>
        </w:r>
      </w:hyperlink>
      <w:r>
        <w:rPr>
          <w:position w:val="5"/>
          <w:sz w:val="14"/>
        </w:rPr>
        <w:t>.</w:t>
      </w:r>
      <w:r>
        <w:rPr>
          <w:spacing w:val="80"/>
          <w:w w:val="150"/>
          <w:position w:val="5"/>
          <w:sz w:val="14"/>
        </w:rPr>
        <w:t> </w:t>
      </w:r>
      <w:r>
        <w:rPr/>
        <w:t>Companies Act 2006 s.44(4). This proviso has been held not to require that, in addition to the signature of the individuals who are authorised signatories, there must be words spelling out that those signatures are “by or on behalf of” the company, as long as the capacity in </w:t>
      </w:r>
      <w:r>
        <w:rPr/>
        <w:t>which</w:t>
      </w:r>
      <w:r>
        <w:rPr>
          <w:spacing w:val="40"/>
        </w:rPr>
        <w:t> </w:t>
      </w:r>
      <w:r>
        <w:rPr/>
        <w:t>they sign is demonstrated from the terms of the document: </w:t>
      </w:r>
      <w:r>
        <w:rPr>
          <w:rFonts w:ascii="Arial" w:hAnsi="Arial"/>
          <w:i/>
        </w:rPr>
        <w:t>Williams v Redcard Ltd [2011] EWCA Civ 466, [2011] All E.R. (D) 214 (Apr) </w:t>
      </w:r>
      <w:r>
        <w:rPr/>
        <w:t>at [25]–[27].</w:t>
      </w:r>
    </w:p>
    <w:p>
      <w:pPr>
        <w:pStyle w:val="BodyText"/>
        <w:spacing w:before="7"/>
      </w:pPr>
    </w:p>
    <w:p>
      <w:pPr>
        <w:pStyle w:val="BodyText"/>
        <w:tabs>
          <w:tab w:pos="705" w:val="left" w:leader="none"/>
        </w:tabs>
        <w:spacing w:line="235" w:lineRule="auto" w:before="1"/>
        <w:ind w:left="705" w:right="168" w:hanging="541"/>
      </w:pPr>
      <w:bookmarkStart w:name="_bookmark1730" w:id="1732"/>
      <w:bookmarkEnd w:id="1732"/>
      <w:r>
        <w:rPr/>
      </w:r>
      <w:hyperlink w:history="true" w:anchor="_bookmark1701">
        <w:r>
          <w:rPr>
            <w:color w:val="005DA1"/>
            <w:spacing w:val="-4"/>
            <w:position w:val="5"/>
            <w:sz w:val="14"/>
            <w:u w:val="single" w:color="005DA1"/>
          </w:rPr>
          <w:t>916</w:t>
        </w:r>
      </w:hyperlink>
      <w:r>
        <w:rPr>
          <w:spacing w:val="-4"/>
          <w:position w:val="5"/>
          <w:sz w:val="14"/>
        </w:rPr>
        <w:t>.</w:t>
      </w:r>
      <w:r>
        <w:rPr>
          <w:position w:val="5"/>
          <w:sz w:val="14"/>
        </w:rPr>
        <w:tab/>
      </w:r>
      <w:r>
        <w:rPr/>
        <w:t>Companies</w:t>
      </w:r>
      <w:r>
        <w:rPr>
          <w:spacing w:val="31"/>
        </w:rPr>
        <w:t> </w:t>
      </w:r>
      <w:r>
        <w:rPr/>
        <w:t>Act</w:t>
      </w:r>
      <w:r>
        <w:rPr>
          <w:spacing w:val="31"/>
        </w:rPr>
        <w:t> </w:t>
      </w:r>
      <w:r>
        <w:rPr/>
        <w:t>2006</w:t>
      </w:r>
      <w:r>
        <w:rPr>
          <w:spacing w:val="31"/>
        </w:rPr>
        <w:t> </w:t>
      </w:r>
      <w:r>
        <w:rPr/>
        <w:t>s.44(6)</w:t>
      </w:r>
      <w:r>
        <w:rPr>
          <w:spacing w:val="31"/>
        </w:rPr>
        <w:t> </w:t>
      </w:r>
      <w:r>
        <w:rPr/>
        <w:t>replacing</w:t>
      </w:r>
      <w:r>
        <w:rPr>
          <w:spacing w:val="31"/>
        </w:rPr>
        <w:t> </w:t>
      </w:r>
      <w:r>
        <w:rPr/>
        <w:t>Companies</w:t>
      </w:r>
      <w:r>
        <w:rPr>
          <w:spacing w:val="31"/>
        </w:rPr>
        <w:t> </w:t>
      </w:r>
      <w:r>
        <w:rPr/>
        <w:t>Act</w:t>
      </w:r>
      <w:r>
        <w:rPr>
          <w:spacing w:val="31"/>
        </w:rPr>
        <w:t> </w:t>
      </w:r>
      <w:r>
        <w:rPr/>
        <w:t>1985</w:t>
      </w:r>
      <w:r>
        <w:rPr>
          <w:spacing w:val="31"/>
        </w:rPr>
        <w:t> </w:t>
      </w:r>
      <w:r>
        <w:rPr/>
        <w:t>s.36A(4A)</w:t>
      </w:r>
      <w:r>
        <w:rPr>
          <w:spacing w:val="31"/>
        </w:rPr>
        <w:t> </w:t>
      </w:r>
      <w:r>
        <w:rPr/>
        <w:t>as</w:t>
      </w:r>
      <w:r>
        <w:rPr>
          <w:spacing w:val="31"/>
        </w:rPr>
        <w:t> </w:t>
      </w:r>
      <w:r>
        <w:rPr/>
        <w:t>inserted</w:t>
      </w:r>
      <w:r>
        <w:rPr>
          <w:spacing w:val="31"/>
        </w:rPr>
        <w:t> </w:t>
      </w:r>
      <w:r>
        <w:rPr/>
        <w:t>by</w:t>
      </w:r>
      <w:r>
        <w:rPr>
          <w:spacing w:val="31"/>
        </w:rPr>
        <w:t> </w:t>
      </w:r>
      <w:r>
        <w:rPr/>
        <w:t>2005 Order art.10(1), Sch.1 para.10</w:t>
      </w:r>
    </w:p>
    <w:p>
      <w:pPr>
        <w:pStyle w:val="BodyText"/>
        <w:spacing w:before="5"/>
      </w:pPr>
    </w:p>
    <w:p>
      <w:pPr>
        <w:pStyle w:val="BodyText"/>
        <w:tabs>
          <w:tab w:pos="705" w:val="left" w:leader="none"/>
        </w:tabs>
        <w:ind w:left="165"/>
      </w:pPr>
      <w:bookmarkStart w:name="_bookmark1731" w:id="1733"/>
      <w:bookmarkEnd w:id="1733"/>
      <w:r>
        <w:rPr/>
      </w:r>
      <w:hyperlink w:history="true" w:anchor="_bookmark1702">
        <w:r>
          <w:rPr>
            <w:color w:val="005DA1"/>
            <w:spacing w:val="-4"/>
            <w:position w:val="5"/>
            <w:sz w:val="14"/>
            <w:u w:val="single" w:color="005DA1"/>
          </w:rPr>
          <w:t>917</w:t>
        </w:r>
      </w:hyperlink>
      <w:r>
        <w:rPr>
          <w:spacing w:val="-4"/>
          <w:position w:val="5"/>
          <w:sz w:val="14"/>
        </w:rPr>
        <w:t>.</w:t>
      </w:r>
      <w:r>
        <w:rPr>
          <w:position w:val="5"/>
          <w:sz w:val="14"/>
        </w:rPr>
        <w:tab/>
      </w:r>
      <w:r>
        <w:rPr/>
        <w:t>Law Com. No.253 </w:t>
      </w:r>
      <w:r>
        <w:rPr>
          <w:spacing w:val="-2"/>
        </w:rPr>
        <w:t>para.4.5.</w:t>
      </w:r>
    </w:p>
    <w:p>
      <w:pPr>
        <w:pStyle w:val="BodyText"/>
        <w:spacing w:before="9"/>
      </w:pPr>
    </w:p>
    <w:p>
      <w:pPr>
        <w:pStyle w:val="BodyText"/>
        <w:spacing w:line="235" w:lineRule="auto"/>
        <w:ind w:left="705" w:right="167" w:hanging="541"/>
        <w:jc w:val="both"/>
      </w:pPr>
      <w:bookmarkStart w:name="_bookmark1732" w:id="1734"/>
      <w:bookmarkEnd w:id="1734"/>
      <w:r>
        <w:rPr/>
      </w:r>
      <w:hyperlink w:history="true" w:anchor="_bookmark1703">
        <w:r>
          <w:rPr>
            <w:color w:val="005DA1"/>
            <w:position w:val="5"/>
            <w:sz w:val="14"/>
            <w:u w:val="single" w:color="005DA1"/>
          </w:rPr>
          <w:t>918</w:t>
        </w:r>
      </w:hyperlink>
      <w:r>
        <w:rPr>
          <w:position w:val="5"/>
          <w:sz w:val="14"/>
        </w:rPr>
        <w:t>.</w:t>
      </w:r>
      <w:r>
        <w:rPr>
          <w:spacing w:val="40"/>
          <w:position w:val="5"/>
          <w:sz w:val="14"/>
        </w:rPr>
        <w:t>  </w:t>
      </w:r>
      <w:r>
        <w:rPr/>
        <w:t>Law of Property Act 1925 s.74(1) as substituted by the 2005 Order art.3. Section 74(1B) of </w:t>
      </w:r>
      <w:r>
        <w:rPr/>
        <w:t>the 1925 Act as inserted by the 2005 Order art.10(1), Sch.1 para.2 provides that for these</w:t>
      </w:r>
      <w:r>
        <w:rPr>
          <w:spacing w:val="40"/>
        </w:rPr>
        <w:t> </w:t>
      </w:r>
      <w:r>
        <w:rPr/>
        <w:t>purposes: “a seal purports to be affixed in the presence of and attested by an officer of the corporation, in the case of an officer which is not an individual, if it is affixed in the presence of and attested by an individual authorised by the officer to attest on its behalf.” And see Law</w:t>
      </w:r>
      <w:r>
        <w:rPr>
          <w:spacing w:val="40"/>
        </w:rPr>
        <w:t> </w:t>
      </w:r>
      <w:r>
        <w:rPr/>
        <w:t>Com. No.253 paras 4.6-4.9 and </w:t>
      </w:r>
      <w:r>
        <w:rPr>
          <w:rFonts w:ascii="Arial" w:hAnsi="Arial"/>
          <w:i/>
        </w:rPr>
        <w:t>Lovett v Carson County Homes Ltd [2009] EWHC 1143 (Ch), [2009] 2 B.C.L.C. 196 </w:t>
      </w:r>
      <w:r>
        <w:rPr/>
        <w:t>at [70]–[80].</w:t>
      </w:r>
    </w:p>
    <w:p>
      <w:pPr>
        <w:pStyle w:val="BodyText"/>
        <w:spacing w:before="7"/>
      </w:pPr>
    </w:p>
    <w:p>
      <w:pPr>
        <w:pStyle w:val="BodyText"/>
        <w:tabs>
          <w:tab w:pos="705" w:val="left" w:leader="none"/>
        </w:tabs>
        <w:spacing w:line="235" w:lineRule="auto"/>
        <w:ind w:left="705" w:right="168" w:hanging="541"/>
      </w:pPr>
      <w:bookmarkStart w:name="_bookmark1733" w:id="1735"/>
      <w:bookmarkEnd w:id="1735"/>
      <w:r>
        <w:rPr/>
      </w:r>
      <w:hyperlink w:history="true" w:anchor="_bookmark1704">
        <w:r>
          <w:rPr>
            <w:color w:val="005DA1"/>
            <w:spacing w:val="-4"/>
            <w:position w:val="5"/>
            <w:sz w:val="14"/>
            <w:u w:val="single" w:color="005DA1"/>
          </w:rPr>
          <w:t>919</w:t>
        </w:r>
      </w:hyperlink>
      <w:r>
        <w:rPr>
          <w:spacing w:val="-4"/>
          <w:position w:val="5"/>
          <w:sz w:val="14"/>
        </w:rPr>
        <w:t>.</w:t>
      </w:r>
      <w:r>
        <w:rPr>
          <w:position w:val="5"/>
          <w:sz w:val="14"/>
        </w:rPr>
        <w:tab/>
      </w:r>
      <w:r>
        <w:rPr/>
        <w:t>See</w:t>
      </w:r>
      <w:r>
        <w:rPr>
          <w:spacing w:val="40"/>
        </w:rPr>
        <w:t> </w:t>
      </w:r>
      <w:r>
        <w:rPr/>
        <w:t>above,</w:t>
      </w:r>
      <w:r>
        <w:rPr>
          <w:spacing w:val="40"/>
        </w:rPr>
        <w:t> </w:t>
      </w:r>
      <w:r>
        <w:rPr/>
        <w:t>n.776,</w:t>
      </w:r>
      <w:r>
        <w:rPr>
          <w:spacing w:val="40"/>
        </w:rPr>
        <w:t> </w:t>
      </w:r>
      <w:r>
        <w:rPr/>
        <w:t>for</w:t>
      </w:r>
      <w:r>
        <w:rPr>
          <w:spacing w:val="40"/>
        </w:rPr>
        <w:t> </w:t>
      </w:r>
      <w:r>
        <w:rPr/>
        <w:t>a</w:t>
      </w:r>
      <w:r>
        <w:rPr>
          <w:spacing w:val="40"/>
        </w:rPr>
        <w:t> </w:t>
      </w:r>
      <w:r>
        <w:rPr/>
        <w:t>definition</w:t>
      </w:r>
      <w:r>
        <w:rPr>
          <w:spacing w:val="40"/>
        </w:rPr>
        <w:t> </w:t>
      </w:r>
      <w:r>
        <w:rPr/>
        <w:t>of</w:t>
      </w:r>
      <w:r>
        <w:rPr>
          <w:spacing w:val="40"/>
        </w:rPr>
        <w:t> </w:t>
      </w:r>
      <w:r>
        <w:rPr/>
        <w:t>corporations</w:t>
      </w:r>
      <w:r>
        <w:rPr>
          <w:spacing w:val="40"/>
        </w:rPr>
        <w:t> </w:t>
      </w:r>
      <w:r>
        <w:rPr/>
        <w:t>sole</w:t>
      </w:r>
      <w:r>
        <w:rPr>
          <w:spacing w:val="40"/>
        </w:rPr>
        <w:t> </w:t>
      </w:r>
      <w:r>
        <w:rPr/>
        <w:t>and</w:t>
      </w:r>
      <w:r>
        <w:rPr>
          <w:spacing w:val="40"/>
        </w:rPr>
        <w:t> </w:t>
      </w:r>
      <w:r>
        <w:rPr/>
        <w:t>see</w:t>
      </w:r>
      <w:r>
        <w:rPr>
          <w:spacing w:val="40"/>
        </w:rPr>
        <w:t> </w:t>
      </w:r>
      <w:r>
        <w:rPr/>
        <w:t>also</w:t>
      </w:r>
      <w:r>
        <w:rPr>
          <w:spacing w:val="40"/>
        </w:rPr>
        <w:t> </w:t>
      </w:r>
      <w:r>
        <w:rPr/>
        <w:t>Law.</w:t>
      </w:r>
      <w:r>
        <w:rPr>
          <w:spacing w:val="40"/>
        </w:rPr>
        <w:t> </w:t>
      </w:r>
      <w:r>
        <w:rPr/>
        <w:t>Com.</w:t>
      </w:r>
      <w:r>
        <w:rPr>
          <w:spacing w:val="40"/>
        </w:rPr>
        <w:t> </w:t>
      </w:r>
      <w:r>
        <w:rPr/>
        <w:t>No.253</w:t>
      </w:r>
      <w:r>
        <w:rPr>
          <w:spacing w:val="80"/>
        </w:rPr>
        <w:t> </w:t>
      </w:r>
      <w:r>
        <w:rPr/>
        <w:t>para.4.23. On the common law requirements see above, para.1-120.</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6. - Contracts Contained in </w:t>
      </w:r>
      <w:r>
        <w:rPr>
          <w:rFonts w:ascii="Arial"/>
          <w:b/>
          <w:spacing w:val="-2"/>
          <w:sz w:val="24"/>
        </w:rPr>
        <w:t>Deeds</w:t>
      </w:r>
    </w:p>
    <w:p>
      <w:pPr>
        <w:spacing w:before="194"/>
        <w:ind w:left="2791" w:right="0" w:firstLine="0"/>
        <w:jc w:val="left"/>
        <w:rPr>
          <w:rFonts w:ascii="Arial"/>
          <w:b/>
          <w:sz w:val="24"/>
        </w:rPr>
      </w:pPr>
      <w:r>
        <w:rPr>
          <w:rFonts w:ascii="Arial"/>
          <w:b/>
          <w:sz w:val="24"/>
        </w:rPr>
        <w:t>(b) - Intention, Form and </w:t>
      </w:r>
      <w:r>
        <w:rPr>
          <w:rFonts w:ascii="Arial"/>
          <w:b/>
          <w:spacing w:val="-2"/>
          <w:sz w:val="24"/>
        </w:rPr>
        <w:t>Delivery</w:t>
      </w:r>
    </w:p>
    <w:p>
      <w:pPr>
        <w:pStyle w:val="ListParagraph"/>
        <w:numPr>
          <w:ilvl w:val="1"/>
          <w:numId w:val="10"/>
        </w:numPr>
        <w:tabs>
          <w:tab w:pos="3791" w:val="left" w:leader="none"/>
        </w:tabs>
        <w:spacing w:line="240" w:lineRule="auto" w:before="194" w:after="0"/>
        <w:ind w:left="3791" w:right="0" w:hanging="426"/>
        <w:jc w:val="left"/>
        <w:rPr>
          <w:b/>
          <w:sz w:val="24"/>
        </w:rPr>
      </w:pPr>
      <w:r>
        <w:rPr>
          <w:b/>
          <w:sz w:val="24"/>
        </w:rPr>
        <w:t>- Common </w:t>
      </w:r>
      <w:r>
        <w:rPr>
          <w:b/>
          <w:spacing w:val="-2"/>
          <w:sz w:val="24"/>
        </w:rPr>
        <w:t>Aspects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Introduction</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130</w:t>
      </w:r>
    </w:p>
    <w:p>
      <w:pPr>
        <w:pStyle w:val="BodyText"/>
        <w:spacing w:line="235" w:lineRule="auto" w:before="202"/>
        <w:ind w:left="164"/>
      </w:pPr>
      <w:r>
        <w:rPr/>
        <w:t>There remain certain aspects of the law governing deeds which apply irrespective of the nature of </w:t>
      </w:r>
      <w:r>
        <w:rPr/>
        <w:t>the person making them or the date on which they are executed.</w:t>
      </w:r>
    </w:p>
    <w:p>
      <w:pPr>
        <w:pStyle w:val="BodyText"/>
      </w:pPr>
    </w:p>
    <w:p>
      <w:pPr>
        <w:pStyle w:val="BodyText"/>
        <w:spacing w:before="38"/>
      </w:pPr>
    </w:p>
    <w:p>
      <w:pPr>
        <w:spacing w:before="0"/>
        <w:ind w:left="164" w:right="0" w:firstLine="0"/>
        <w:jc w:val="left"/>
        <w:rPr>
          <w:rFonts w:ascii="Arial"/>
          <w:b/>
          <w:sz w:val="18"/>
        </w:rPr>
      </w:pPr>
      <w:r>
        <w:rPr>
          <w:rFonts w:ascii="Arial"/>
          <w:b/>
          <w:spacing w:val="-4"/>
          <w:sz w:val="18"/>
        </w:rPr>
        <w:t>Date</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1-</w:t>
      </w:r>
      <w:r>
        <w:rPr>
          <w:rFonts w:ascii="Arial"/>
          <w:b/>
          <w:spacing w:val="-5"/>
          <w:sz w:val="24"/>
        </w:rPr>
        <w:t>131</w:t>
      </w:r>
    </w:p>
    <w:p>
      <w:pPr>
        <w:pStyle w:val="BodyText"/>
        <w:spacing w:before="198"/>
        <w:ind w:left="164"/>
      </w:pPr>
      <w:bookmarkStart w:name="_bookmark1734" w:id="1736"/>
      <w:bookmarkEnd w:id="1736"/>
      <w:r>
        <w:rPr/>
      </w:r>
      <w:r>
        <w:rPr/>
        <w:t>A</w:t>
      </w:r>
      <w:r>
        <w:rPr>
          <w:spacing w:val="-1"/>
        </w:rPr>
        <w:t> </w:t>
      </w:r>
      <w:r>
        <w:rPr/>
        <w:t>date</w:t>
      </w:r>
      <w:r>
        <w:rPr>
          <w:spacing w:val="-1"/>
        </w:rPr>
        <w:t> </w:t>
      </w:r>
      <w:r>
        <w:rPr/>
        <w:t>is</w:t>
      </w:r>
      <w:r>
        <w:rPr>
          <w:spacing w:val="-1"/>
        </w:rPr>
        <w:t> </w:t>
      </w:r>
      <w:r>
        <w:rPr/>
        <w:t>not</w:t>
      </w:r>
      <w:r>
        <w:rPr>
          <w:spacing w:val="-1"/>
        </w:rPr>
        <w:t> </w:t>
      </w:r>
      <w:r>
        <w:rPr/>
        <w:t>essential to</w:t>
      </w:r>
      <w:r>
        <w:rPr>
          <w:spacing w:val="-1"/>
        </w:rPr>
        <w:t> </w:t>
      </w:r>
      <w:r>
        <w:rPr/>
        <w:t>the</w:t>
      </w:r>
      <w:r>
        <w:rPr>
          <w:spacing w:val="-1"/>
        </w:rPr>
        <w:t> </w:t>
      </w:r>
      <w:r>
        <w:rPr/>
        <w:t>validity</w:t>
      </w:r>
      <w:r>
        <w:rPr>
          <w:spacing w:val="-1"/>
        </w:rPr>
        <w:t> </w:t>
      </w:r>
      <w:r>
        <w:rPr/>
        <w:t>of</w:t>
      </w:r>
      <w:r>
        <w:rPr>
          <w:spacing w:val="-1"/>
        </w:rPr>
        <w:t> </w:t>
      </w:r>
      <w:r>
        <w:rPr/>
        <w:t>a deed.</w:t>
      </w:r>
      <w:r>
        <w:rPr>
          <w:spacing w:val="-2"/>
        </w:rPr>
        <w:t> </w:t>
      </w:r>
      <w:r>
        <w:rPr>
          <w:color w:val="005DA1"/>
          <w:u w:val="single" w:color="005DA1"/>
          <w:vertAlign w:val="superscript"/>
        </w:rPr>
        <w:t>920</w:t>
      </w:r>
      <w:r>
        <w:rPr>
          <w:color w:val="005DA1"/>
          <w:spacing w:val="-2"/>
          <w:vertAlign w:val="baseline"/>
        </w:rPr>
        <w:t> </w:t>
      </w:r>
      <w:r>
        <w:rPr>
          <w:vertAlign w:val="baseline"/>
        </w:rPr>
        <w:t>A</w:t>
      </w:r>
      <w:r>
        <w:rPr>
          <w:spacing w:val="-1"/>
          <w:vertAlign w:val="baseline"/>
        </w:rPr>
        <w:t> </w:t>
      </w:r>
      <w:r>
        <w:rPr>
          <w:vertAlign w:val="baseline"/>
        </w:rPr>
        <w:t>deed</w:t>
      </w:r>
      <w:r>
        <w:rPr>
          <w:spacing w:val="-1"/>
          <w:vertAlign w:val="baseline"/>
        </w:rPr>
        <w:t> </w:t>
      </w:r>
      <w:r>
        <w:rPr>
          <w:vertAlign w:val="baseline"/>
        </w:rPr>
        <w:t>takes effect</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date of</w:t>
      </w:r>
      <w:r>
        <w:rPr>
          <w:spacing w:val="-1"/>
          <w:vertAlign w:val="baseline"/>
        </w:rPr>
        <w:t> </w:t>
      </w:r>
      <w:r>
        <w:rPr>
          <w:vertAlign w:val="baseline"/>
        </w:rPr>
        <w:t>its</w:t>
      </w:r>
      <w:r>
        <w:rPr>
          <w:spacing w:val="-1"/>
          <w:vertAlign w:val="baseline"/>
        </w:rPr>
        <w:t> </w:t>
      </w:r>
      <w:r>
        <w:rPr>
          <w:vertAlign w:val="baseline"/>
        </w:rPr>
        <w:t>delivery.</w:t>
      </w:r>
      <w:r>
        <w:rPr>
          <w:spacing w:val="-2"/>
          <w:vertAlign w:val="baseline"/>
        </w:rPr>
        <w:t> </w:t>
      </w:r>
      <w:r>
        <w:rPr>
          <w:color w:val="005DA1"/>
          <w:spacing w:val="-5"/>
          <w:u w:val="single" w:color="005DA1"/>
          <w:vertAlign w:val="superscript"/>
        </w:rPr>
        <w:t>921</w:t>
      </w:r>
    </w:p>
    <w:p>
      <w:pPr>
        <w:pStyle w:val="BodyText"/>
      </w:pPr>
    </w:p>
    <w:p>
      <w:pPr>
        <w:pStyle w:val="BodyText"/>
        <w:spacing w:before="38"/>
      </w:pPr>
    </w:p>
    <w:p>
      <w:pPr>
        <w:spacing w:before="0"/>
        <w:ind w:left="165" w:right="0" w:firstLine="0"/>
        <w:jc w:val="left"/>
        <w:rPr>
          <w:rFonts w:ascii="Arial"/>
          <w:b/>
          <w:sz w:val="18"/>
        </w:rPr>
      </w:pPr>
      <w:r>
        <w:rPr>
          <w:rFonts w:ascii="Arial"/>
          <w:b/>
          <w:sz w:val="18"/>
        </w:rPr>
        <w:t>Estoppel preventing reliance on formal </w:t>
      </w:r>
      <w:r>
        <w:rPr>
          <w:rFonts w:ascii="Arial"/>
          <w:b/>
          <w:spacing w:val="-2"/>
          <w:sz w:val="18"/>
        </w:rPr>
        <w:t>invalidity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132</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735" w:id="1737"/>
      <w:bookmarkEnd w:id="1737"/>
      <w:r>
        <w:rPr>
          <w:rFonts w:ascii="Times New Roman" w:hAnsi="Times New Roman"/>
          <w:spacing w:val="15"/>
        </w:rPr>
      </w:r>
      <w:bookmarkStart w:name="_bookmark1736" w:id="1738"/>
      <w:bookmarkEnd w:id="1738"/>
      <w:r>
        <w:rPr>
          <w:rFonts w:ascii="Times New Roman" w:hAnsi="Times New Roman"/>
          <w:spacing w:val="15"/>
        </w:rPr>
      </w:r>
      <w:r>
        <w:rPr/>
        <w:t>In </w:t>
      </w:r>
      <w:r>
        <w:rPr>
          <w:rFonts w:ascii="Arial" w:hAnsi="Arial"/>
          <w:i/>
        </w:rPr>
        <w:t>Shah v Shah </w:t>
      </w:r>
      <w:r>
        <w:rPr>
          <w:color w:val="005DA1"/>
          <w:u w:val="single" w:color="005DA1"/>
          <w:vertAlign w:val="superscript"/>
        </w:rPr>
        <w:t>922</w:t>
      </w:r>
      <w:r>
        <w:rPr>
          <w:color w:val="005DA1"/>
          <w:vertAlign w:val="baseline"/>
        </w:rPr>
        <w:t> </w:t>
      </w:r>
      <w:r>
        <w:rPr>
          <w:vertAlign w:val="baseline"/>
        </w:rPr>
        <w:t>the Court of Appeal held in relation to an instrument governed by the 1989 Act as enacted </w:t>
      </w:r>
      <w:r>
        <w:rPr>
          <w:color w:val="005DA1"/>
          <w:u w:val="single" w:color="005DA1"/>
          <w:vertAlign w:val="superscript"/>
        </w:rPr>
        <w:t>923</w:t>
      </w:r>
      <w:r>
        <w:rPr>
          <w:color w:val="005DA1"/>
          <w:vertAlign w:val="baseline"/>
        </w:rPr>
        <w:t> </w:t>
      </w:r>
      <w:r>
        <w:rPr>
          <w:vertAlign w:val="baseline"/>
        </w:rPr>
        <w:t>that where an individual has signed an instrument which on its face purports to be </w:t>
      </w:r>
      <w:r>
        <w:rPr>
          <w:vertAlign w:val="baseline"/>
        </w:rPr>
        <w:t>a deed and has delivered it apparently attested by the signature of a witness, he may be estopped from </w:t>
      </w:r>
      <w:bookmarkStart w:name="_bookmark1737" w:id="1739"/>
      <w:bookmarkEnd w:id="1739"/>
      <w:r>
        <w:rPr>
          <w:vertAlign w:val="baseline"/>
        </w:rPr>
        <w:t>denying</w:t>
      </w:r>
      <w:r>
        <w:rPr>
          <w:vertAlign w:val="baseline"/>
        </w:rPr>
        <w:t> the validity of this “deed” on the ground that the apparently attesting signatory was not present</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time</w:t>
      </w:r>
      <w:r>
        <w:rPr>
          <w:spacing w:val="-1"/>
          <w:vertAlign w:val="baseline"/>
        </w:rPr>
        <w:t> </w:t>
      </w:r>
      <w:r>
        <w:rPr>
          <w:vertAlign w:val="baseline"/>
        </w:rPr>
        <w:t>of</w:t>
      </w:r>
      <w:r>
        <w:rPr>
          <w:spacing w:val="-1"/>
          <w:vertAlign w:val="baseline"/>
        </w:rPr>
        <w:t> </w:t>
      </w:r>
      <w:r>
        <w:rPr>
          <w:vertAlign w:val="baseline"/>
        </w:rPr>
        <w:t>that</w:t>
      </w:r>
      <w:r>
        <w:rPr>
          <w:spacing w:val="-1"/>
          <w:vertAlign w:val="baseline"/>
        </w:rPr>
        <w:t> </w:t>
      </w:r>
      <w:r>
        <w:rPr>
          <w:vertAlign w:val="baseline"/>
        </w:rPr>
        <w:t>individual’s</w:t>
      </w:r>
      <w:r>
        <w:rPr>
          <w:spacing w:val="-1"/>
          <w:vertAlign w:val="baseline"/>
        </w:rPr>
        <w:t> </w:t>
      </w:r>
      <w:r>
        <w:rPr>
          <w:vertAlign w:val="baseline"/>
        </w:rPr>
        <w:t>signature.</w:t>
      </w:r>
      <w:r>
        <w:rPr>
          <w:spacing w:val="-1"/>
          <w:vertAlign w:val="baseline"/>
        </w:rPr>
        <w:t> </w:t>
      </w:r>
      <w:r>
        <w:rPr>
          <w:color w:val="005DA1"/>
          <w:u w:val="single" w:color="005DA1"/>
          <w:vertAlign w:val="superscript"/>
        </w:rPr>
        <w:t>924</w:t>
      </w:r>
      <w:r>
        <w:rPr>
          <w:color w:val="005DA1"/>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Appeal</w:t>
      </w:r>
      <w:r>
        <w:rPr>
          <w:spacing w:val="-1"/>
          <w:vertAlign w:val="baseline"/>
        </w:rPr>
        <w:t> </w:t>
      </w:r>
      <w:r>
        <w:rPr>
          <w:vertAlign w:val="baseline"/>
        </w:rPr>
        <w:t>expressed</w:t>
      </w:r>
      <w:r>
        <w:rPr>
          <w:spacing w:val="-1"/>
          <w:vertAlign w:val="baseline"/>
        </w:rPr>
        <w:t> </w:t>
      </w:r>
      <w:r>
        <w:rPr>
          <w:vertAlign w:val="baseline"/>
        </w:rPr>
        <w:t>its</w:t>
      </w:r>
      <w:r>
        <w:rPr>
          <w:spacing w:val="-1"/>
          <w:vertAlign w:val="baseline"/>
        </w:rPr>
        <w:t> </w:t>
      </w:r>
      <w:r>
        <w:rPr>
          <w:vertAlign w:val="baseline"/>
        </w:rPr>
        <w:t>approval</w:t>
      </w:r>
      <w:r>
        <w:rPr>
          <w:spacing w:val="-1"/>
          <w:vertAlign w:val="baseline"/>
        </w:rPr>
        <w:t> </w:t>
      </w:r>
      <w:r>
        <w:rPr>
          <w:vertAlign w:val="baseline"/>
        </w:rPr>
        <w:t>in</w:t>
      </w:r>
      <w:r>
        <w:rPr>
          <w:spacing w:val="-1"/>
          <w:vertAlign w:val="baseline"/>
        </w:rPr>
        <w:t> </w:t>
      </w:r>
      <w:r>
        <w:rPr>
          <w:vertAlign w:val="baseline"/>
        </w:rPr>
        <w:t>this respect for Beldam L.J.’s earlier statement in </w:t>
      </w:r>
      <w:r>
        <w:rPr>
          <w:rFonts w:ascii="Arial" w:hAnsi="Arial"/>
          <w:i/>
          <w:vertAlign w:val="baseline"/>
        </w:rPr>
        <w:t>Yaxley v Gotts </w:t>
      </w:r>
      <w:r>
        <w:rPr>
          <w:vertAlign w:val="baseline"/>
        </w:rPr>
        <w:t>to the effect that the:</w:t>
      </w:r>
    </w:p>
    <w:p>
      <w:pPr>
        <w:pStyle w:val="BodyText"/>
      </w:pPr>
    </w:p>
    <w:p>
      <w:pPr>
        <w:pStyle w:val="BodyText"/>
        <w:spacing w:before="124"/>
      </w:pPr>
    </w:p>
    <w:p>
      <w:pPr>
        <w:pStyle w:val="BodyText"/>
        <w:spacing w:line="235" w:lineRule="auto"/>
        <w:ind w:left="1245" w:right="167"/>
        <w:jc w:val="both"/>
      </w:pPr>
      <w:r>
        <w:rPr/>
        <w:t>“… general principle that a party cannot rely on an estoppel in the face of a statute </w:t>
      </w:r>
      <w:bookmarkStart w:name="_bookmark1738" w:id="1740"/>
      <w:bookmarkEnd w:id="1740"/>
      <w:r>
        <w:rPr/>
        <w:t>depends</w:t>
      </w:r>
      <w:r>
        <w:rPr/>
        <w:t> upon the nature of the enactment, the purpose of the provision and the </w:t>
      </w:r>
      <w:r>
        <w:rPr/>
        <w:t>social policy behind it.” </w:t>
      </w:r>
      <w:r>
        <w:rPr>
          <w:color w:val="005DA1"/>
          <w:u w:val="single" w:color="005DA1"/>
          <w:vertAlign w:val="superscript"/>
        </w:rPr>
        <w:t>925</w:t>
      </w:r>
    </w:p>
    <w:p>
      <w:pPr>
        <w:pStyle w:val="BodyText"/>
        <w:spacing w:before="116"/>
      </w:pPr>
    </w:p>
    <w:p>
      <w:pPr>
        <w:pStyle w:val="BodyText"/>
        <w:spacing w:line="235" w:lineRule="auto"/>
        <w:ind w:left="165" w:right="167"/>
        <w:jc w:val="both"/>
      </w:pPr>
      <w:r>
        <w:rPr/>
        <w:t>While it was accepted before the Court of Appeal in </w:t>
      </w:r>
      <w:r>
        <w:rPr>
          <w:rFonts w:ascii="Arial"/>
          <w:i/>
        </w:rPr>
        <w:t>Shah v Shah </w:t>
      </w:r>
      <w:r>
        <w:rPr/>
        <w:t>that no estoppel could operate </w:t>
      </w:r>
      <w:r>
        <w:rPr/>
        <w:t>in</w:t>
      </w:r>
      <w:r>
        <w:rPr>
          <w:spacing w:val="40"/>
        </w:rPr>
        <w:t> </w:t>
      </w:r>
      <w:r>
        <w:rPr/>
        <w:t>the case of the absence of a signature by the person allegedly executing a deed, there was no social </w:t>
      </w:r>
      <w:bookmarkStart w:name="_bookmark1739" w:id="1741"/>
      <w:bookmarkEnd w:id="1741"/>
      <w:r>
        <w:rPr/>
        <w:t>policy</w:t>
      </w:r>
      <w:r>
        <w:rPr/>
        <w:t> requiring a person attesting such a signature to be present so as to prevent an estoppel from arising in respect of a defect in attestation. </w:t>
      </w:r>
      <w:r>
        <w:rPr>
          <w:color w:val="005DA1"/>
          <w:u w:val="single" w:color="005DA1"/>
          <w:vertAlign w:val="superscript"/>
        </w:rPr>
        <w:t>926</w:t>
      </w:r>
      <w:r>
        <w:rPr>
          <w:color w:val="005DA1"/>
          <w:vertAlign w:val="baseline"/>
        </w:rPr>
        <w:t> </w:t>
      </w:r>
      <w:r>
        <w:rPr>
          <w:vertAlign w:val="baseline"/>
        </w:rPr>
        <w:t>On the other hand, in </w:t>
      </w:r>
      <w:r>
        <w:rPr>
          <w:rFonts w:ascii="Arial"/>
          <w:i/>
          <w:vertAlign w:val="baseline"/>
        </w:rPr>
        <w:t>Briggs v Gleeds </w:t>
      </w:r>
      <w:r>
        <w:rPr>
          <w:vertAlign w:val="baseline"/>
        </w:rPr>
        <w:t>it was held that estoppel cannot be invoked where a document does not even appear to comply with the 1989 Act in </w:t>
      </w:r>
      <w:bookmarkStart w:name="_bookmark1740" w:id="1742"/>
      <w:bookmarkEnd w:id="1742"/>
      <w:r>
        <w:rPr>
          <w:vertAlign w:val="baseline"/>
        </w:rPr>
        <w:t>that</w:t>
      </w:r>
      <w:r>
        <w:rPr>
          <w:spacing w:val="38"/>
          <w:vertAlign w:val="baseline"/>
        </w:rPr>
        <w:t> </w:t>
      </w:r>
      <w:r>
        <w:rPr>
          <w:vertAlign w:val="baseline"/>
        </w:rPr>
        <w:t>it</w:t>
      </w:r>
      <w:r>
        <w:rPr>
          <w:spacing w:val="38"/>
          <w:vertAlign w:val="baseline"/>
        </w:rPr>
        <w:t> </w:t>
      </w:r>
      <w:r>
        <w:rPr>
          <w:vertAlign w:val="baseline"/>
        </w:rPr>
        <w:t>did</w:t>
      </w:r>
      <w:r>
        <w:rPr>
          <w:spacing w:val="38"/>
          <w:vertAlign w:val="baseline"/>
        </w:rPr>
        <w:t> </w:t>
      </w:r>
      <w:r>
        <w:rPr>
          <w:vertAlign w:val="baseline"/>
        </w:rPr>
        <w:t>not</w:t>
      </w:r>
      <w:r>
        <w:rPr>
          <w:spacing w:val="38"/>
          <w:vertAlign w:val="baseline"/>
        </w:rPr>
        <w:t> </w:t>
      </w:r>
      <w:r>
        <w:rPr>
          <w:vertAlign w:val="baseline"/>
        </w:rPr>
        <w:t>bear</w:t>
      </w:r>
      <w:r>
        <w:rPr>
          <w:spacing w:val="38"/>
          <w:vertAlign w:val="baseline"/>
        </w:rPr>
        <w:t> </w:t>
      </w:r>
      <w:r>
        <w:rPr>
          <w:vertAlign w:val="baseline"/>
        </w:rPr>
        <w:t>any</w:t>
      </w:r>
      <w:r>
        <w:rPr>
          <w:spacing w:val="38"/>
          <w:vertAlign w:val="baseline"/>
        </w:rPr>
        <w:t> </w:t>
      </w:r>
      <w:r>
        <w:rPr>
          <w:vertAlign w:val="baseline"/>
        </w:rPr>
        <w:t>signature</w:t>
      </w:r>
      <w:r>
        <w:rPr>
          <w:spacing w:val="38"/>
          <w:vertAlign w:val="baseline"/>
        </w:rPr>
        <w:t> </w:t>
      </w:r>
      <w:r>
        <w:rPr>
          <w:vertAlign w:val="baseline"/>
        </w:rPr>
        <w:t>(or</w:t>
      </w:r>
      <w:r>
        <w:rPr>
          <w:spacing w:val="38"/>
          <w:vertAlign w:val="baseline"/>
        </w:rPr>
        <w:t> </w:t>
      </w:r>
      <w:r>
        <w:rPr>
          <w:vertAlign w:val="baseline"/>
        </w:rPr>
        <w:t>even</w:t>
      </w:r>
      <w:r>
        <w:rPr>
          <w:spacing w:val="38"/>
          <w:vertAlign w:val="baseline"/>
        </w:rPr>
        <w:t> </w:t>
      </w:r>
      <w:r>
        <w:rPr>
          <w:vertAlign w:val="baseline"/>
        </w:rPr>
        <w:t>place</w:t>
      </w:r>
      <w:r>
        <w:rPr>
          <w:spacing w:val="38"/>
          <w:vertAlign w:val="baseline"/>
        </w:rPr>
        <w:t> </w:t>
      </w:r>
      <w:r>
        <w:rPr>
          <w:vertAlign w:val="baseline"/>
        </w:rPr>
        <w:t>for</w:t>
      </w:r>
      <w:r>
        <w:rPr>
          <w:spacing w:val="38"/>
          <w:vertAlign w:val="baseline"/>
        </w:rPr>
        <w:t> </w:t>
      </w:r>
      <w:r>
        <w:rPr>
          <w:vertAlign w:val="baseline"/>
        </w:rPr>
        <w:t>a</w:t>
      </w:r>
      <w:r>
        <w:rPr>
          <w:spacing w:val="38"/>
          <w:vertAlign w:val="baseline"/>
        </w:rPr>
        <w:t> </w:t>
      </w:r>
      <w:r>
        <w:rPr>
          <w:vertAlign w:val="baseline"/>
        </w:rPr>
        <w:t>signature)</w:t>
      </w:r>
      <w:r>
        <w:rPr>
          <w:spacing w:val="38"/>
          <w:vertAlign w:val="baseline"/>
        </w:rPr>
        <w:t> </w:t>
      </w:r>
      <w:r>
        <w:rPr>
          <w:vertAlign w:val="baseline"/>
        </w:rPr>
        <w:t>of</w:t>
      </w:r>
      <w:r>
        <w:rPr>
          <w:spacing w:val="38"/>
          <w:vertAlign w:val="baseline"/>
        </w:rPr>
        <w:t> </w:t>
      </w:r>
      <w:r>
        <w:rPr>
          <w:vertAlign w:val="baseline"/>
        </w:rPr>
        <w:t>a</w:t>
      </w:r>
      <w:r>
        <w:rPr>
          <w:spacing w:val="38"/>
          <w:vertAlign w:val="baseline"/>
        </w:rPr>
        <w:t> </w:t>
      </w:r>
      <w:r>
        <w:rPr>
          <w:vertAlign w:val="baseline"/>
        </w:rPr>
        <w:t>witness,</w:t>
      </w:r>
      <w:r>
        <w:rPr>
          <w:spacing w:val="38"/>
          <w:vertAlign w:val="baseline"/>
        </w:rPr>
        <w:t> </w:t>
      </w:r>
      <w:r>
        <w:rPr>
          <w:vertAlign w:val="baseline"/>
        </w:rPr>
        <w:t>distinguishing</w:t>
      </w:r>
      <w:r>
        <w:rPr>
          <w:spacing w:val="38"/>
          <w:vertAlign w:val="baseline"/>
        </w:rPr>
        <w:t> </w:t>
      </w:r>
      <w:r>
        <w:rPr>
          <w:spacing w:val="-5"/>
          <w:vertAlign w:val="baseline"/>
        </w:rPr>
        <w:t>the</w:t>
      </w:r>
    </w:p>
    <w:p>
      <w:pPr>
        <w:spacing w:line="235" w:lineRule="auto" w:before="118"/>
        <w:ind w:left="165" w:right="168" w:firstLine="0"/>
        <w:jc w:val="both"/>
        <w:rPr>
          <w:sz w:val="20"/>
        </w:rPr>
      </w:pPr>
      <w:bookmarkStart w:name="_bookmark1741" w:id="1743"/>
      <w:bookmarkEnd w:id="1743"/>
      <w:r>
        <w:rPr/>
      </w:r>
      <w:r>
        <w:rPr>
          <w:sz w:val="20"/>
        </w:rPr>
        <w:t>position in </w:t>
      </w:r>
      <w:r>
        <w:rPr>
          <w:rFonts w:ascii="Arial"/>
          <w:i/>
          <w:sz w:val="20"/>
        </w:rPr>
        <w:t>Shah v Shah</w:t>
      </w:r>
      <w:r>
        <w:rPr>
          <w:sz w:val="20"/>
        </w:rPr>
        <w:t>. </w:t>
      </w:r>
      <w:r>
        <w:rPr>
          <w:color w:val="005DA1"/>
          <w:sz w:val="20"/>
          <w:u w:val="single" w:color="005DA1"/>
          <w:vertAlign w:val="superscript"/>
        </w:rPr>
        <w:t>927</w:t>
      </w:r>
      <w:r>
        <w:rPr>
          <w:color w:val="005DA1"/>
          <w:spacing w:val="80"/>
          <w:sz w:val="20"/>
          <w:vertAlign w:val="baseline"/>
        </w:rPr>
        <w:t> </w:t>
      </w:r>
      <w:r>
        <w:rPr>
          <w:color w:val="005DA1"/>
          <w:spacing w:val="-23"/>
          <w:position w:val="-2"/>
          <w:sz w:val="20"/>
          <w:vertAlign w:val="baseline"/>
        </w:rPr>
        <w:drawing>
          <wp:inline distT="0" distB="0" distL="0" distR="0">
            <wp:extent cx="107988" cy="107988"/>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sz w:val="20"/>
          <w:vertAlign w:val="baseline"/>
        </w:rPr>
      </w:r>
      <w:r>
        <w:rPr>
          <w:rFonts w:ascii="Times New Roman"/>
          <w:color w:val="005DA1"/>
          <w:spacing w:val="34"/>
          <w:sz w:val="20"/>
          <w:vertAlign w:val="baseline"/>
        </w:rPr>
        <w:t> </w:t>
      </w:r>
      <w:r>
        <w:rPr>
          <w:sz w:val="20"/>
          <w:vertAlign w:val="baseline"/>
        </w:rPr>
        <w:t>Moreover, as the House of Lords made clear in </w:t>
      </w:r>
      <w:r>
        <w:rPr>
          <w:rFonts w:ascii="Arial"/>
          <w:i/>
          <w:sz w:val="20"/>
          <w:vertAlign w:val="baseline"/>
        </w:rPr>
        <w:t>Actionstrength Ltd </w:t>
      </w:r>
      <w:r>
        <w:rPr>
          <w:rFonts w:ascii="Arial"/>
          <w:i/>
          <w:sz w:val="20"/>
          <w:vertAlign w:val="baseline"/>
        </w:rPr>
        <w:t>v International</w:t>
      </w:r>
      <w:r>
        <w:rPr>
          <w:rFonts w:ascii="Arial"/>
          <w:i/>
          <w:spacing w:val="7"/>
          <w:sz w:val="20"/>
          <w:vertAlign w:val="baseline"/>
        </w:rPr>
        <w:t> </w:t>
      </w:r>
      <w:r>
        <w:rPr>
          <w:rFonts w:ascii="Arial"/>
          <w:i/>
          <w:sz w:val="20"/>
          <w:vertAlign w:val="baseline"/>
        </w:rPr>
        <w:t>Glass</w:t>
      </w:r>
      <w:r>
        <w:rPr>
          <w:rFonts w:ascii="Arial"/>
          <w:i/>
          <w:spacing w:val="8"/>
          <w:sz w:val="20"/>
          <w:vertAlign w:val="baseline"/>
        </w:rPr>
        <w:t> </w:t>
      </w:r>
      <w:r>
        <w:rPr>
          <w:rFonts w:ascii="Arial"/>
          <w:i/>
          <w:sz w:val="20"/>
          <w:vertAlign w:val="baseline"/>
        </w:rPr>
        <w:t>Engineering</w:t>
      </w:r>
      <w:r>
        <w:rPr>
          <w:rFonts w:ascii="Arial"/>
          <w:i/>
          <w:spacing w:val="8"/>
          <w:sz w:val="20"/>
          <w:vertAlign w:val="baseline"/>
        </w:rPr>
        <w:t> </w:t>
      </w:r>
      <w:r>
        <w:rPr>
          <w:rFonts w:ascii="Arial"/>
          <w:i/>
          <w:sz w:val="20"/>
          <w:vertAlign w:val="baseline"/>
        </w:rPr>
        <w:t>IN.GL.EN</w:t>
      </w:r>
      <w:r>
        <w:rPr>
          <w:rFonts w:ascii="Arial"/>
          <w:i/>
          <w:spacing w:val="7"/>
          <w:sz w:val="20"/>
          <w:vertAlign w:val="baseline"/>
        </w:rPr>
        <w:t> </w:t>
      </w:r>
      <w:r>
        <w:rPr>
          <w:rFonts w:ascii="Arial"/>
          <w:i/>
          <w:sz w:val="20"/>
          <w:vertAlign w:val="baseline"/>
        </w:rPr>
        <w:t>SpA</w:t>
      </w:r>
      <w:r>
        <w:rPr>
          <w:rFonts w:ascii="Arial"/>
          <w:i/>
          <w:spacing w:val="8"/>
          <w:sz w:val="20"/>
          <w:vertAlign w:val="baseline"/>
        </w:rPr>
        <w:t> </w:t>
      </w:r>
      <w:r>
        <w:rPr>
          <w:sz w:val="20"/>
          <w:vertAlign w:val="baseline"/>
        </w:rPr>
        <w:t>(which</w:t>
      </w:r>
      <w:r>
        <w:rPr>
          <w:spacing w:val="8"/>
          <w:sz w:val="20"/>
          <w:vertAlign w:val="baseline"/>
        </w:rPr>
        <w:t> </w:t>
      </w:r>
      <w:r>
        <w:rPr>
          <w:sz w:val="20"/>
          <w:vertAlign w:val="baseline"/>
        </w:rPr>
        <w:t>concerned</w:t>
      </w:r>
      <w:r>
        <w:rPr>
          <w:spacing w:val="7"/>
          <w:sz w:val="20"/>
          <w:vertAlign w:val="baseline"/>
        </w:rPr>
        <w:t> </w:t>
      </w:r>
      <w:r>
        <w:rPr>
          <w:sz w:val="20"/>
          <w:vertAlign w:val="baseline"/>
        </w:rPr>
        <w:t>s.4</w:t>
      </w:r>
      <w:r>
        <w:rPr>
          <w:spacing w:val="8"/>
          <w:sz w:val="20"/>
          <w:vertAlign w:val="baseline"/>
        </w:rPr>
        <w:t> </w:t>
      </w:r>
      <w:r>
        <w:rPr>
          <w:sz w:val="20"/>
          <w:vertAlign w:val="baseline"/>
        </w:rPr>
        <w:t>of</w:t>
      </w:r>
      <w:r>
        <w:rPr>
          <w:spacing w:val="8"/>
          <w:sz w:val="20"/>
          <w:vertAlign w:val="baseline"/>
        </w:rPr>
        <w:t> </w:t>
      </w:r>
      <w:r>
        <w:rPr>
          <w:sz w:val="20"/>
          <w:vertAlign w:val="baseline"/>
        </w:rPr>
        <w:t>the</w:t>
      </w:r>
      <w:r>
        <w:rPr>
          <w:spacing w:val="7"/>
          <w:sz w:val="20"/>
          <w:vertAlign w:val="baseline"/>
        </w:rPr>
        <w:t> </w:t>
      </w:r>
      <w:r>
        <w:rPr>
          <w:sz w:val="20"/>
          <w:vertAlign w:val="baseline"/>
        </w:rPr>
        <w:t>Statute</w:t>
      </w:r>
      <w:r>
        <w:rPr>
          <w:spacing w:val="8"/>
          <w:sz w:val="20"/>
          <w:vertAlign w:val="baseline"/>
        </w:rPr>
        <w:t> </w:t>
      </w:r>
      <w:r>
        <w:rPr>
          <w:sz w:val="20"/>
          <w:vertAlign w:val="baseline"/>
        </w:rPr>
        <w:t>of</w:t>
      </w:r>
      <w:r>
        <w:rPr>
          <w:spacing w:val="8"/>
          <w:sz w:val="20"/>
          <w:vertAlign w:val="baseline"/>
        </w:rPr>
        <w:t> </w:t>
      </w:r>
      <w:r>
        <w:rPr>
          <w:sz w:val="20"/>
          <w:vertAlign w:val="baseline"/>
        </w:rPr>
        <w:t>Frauds</w:t>
      </w:r>
      <w:r>
        <w:rPr>
          <w:spacing w:val="7"/>
          <w:sz w:val="20"/>
          <w:vertAlign w:val="baseline"/>
        </w:rPr>
        <w:t> </w:t>
      </w:r>
      <w:r>
        <w:rPr>
          <w:color w:val="005DA1"/>
          <w:sz w:val="20"/>
          <w:u w:val="single" w:color="005DA1"/>
          <w:vertAlign w:val="superscript"/>
        </w:rPr>
        <w:t>928</w:t>
      </w:r>
      <w:r>
        <w:rPr>
          <w:sz w:val="20"/>
          <w:vertAlign w:val="baseline"/>
        </w:rPr>
        <w:t>),</w:t>
      </w:r>
      <w:r>
        <w:rPr>
          <w:spacing w:val="8"/>
          <w:sz w:val="20"/>
          <w:vertAlign w:val="baseline"/>
        </w:rPr>
        <w:t> </w:t>
      </w:r>
      <w:r>
        <w:rPr>
          <w:spacing w:val="-5"/>
          <w:sz w:val="20"/>
          <w:vertAlign w:val="baseline"/>
        </w:rPr>
        <w:t>an</w:t>
      </w:r>
    </w:p>
    <w:p>
      <w:pPr>
        <w:spacing w:after="0" w:line="235" w:lineRule="auto"/>
        <w:jc w:val="both"/>
        <w:rPr>
          <w:sz w:val="20"/>
        </w:rPr>
        <w:sectPr>
          <w:headerReference w:type="default" r:id="rId39"/>
          <w:pgSz w:w="11900" w:h="16840"/>
          <w:pgMar w:header="971" w:footer="0" w:top="1300" w:bottom="280" w:left="1275" w:right="1275"/>
          <w:pgNumType w:start="1"/>
        </w:sectPr>
      </w:pPr>
    </w:p>
    <w:p>
      <w:pPr>
        <w:pStyle w:val="BodyText"/>
        <w:spacing w:line="235" w:lineRule="auto" w:before="110"/>
        <w:ind w:left="164" w:right="167"/>
        <w:jc w:val="both"/>
      </w:pPr>
      <w:bookmarkStart w:name="_bookmark1742" w:id="1744"/>
      <w:bookmarkEnd w:id="1744"/>
      <w:r>
        <w:rPr/>
      </w:r>
      <w:r>
        <w:rPr/>
        <w:t>estoppel cannot arise to prevent a person relying on formal invalidity unless there is an unambiguous representation that the transaction in question was enforceable.</w:t>
      </w:r>
      <w:r>
        <w:rPr>
          <w:spacing w:val="-1"/>
        </w:rPr>
        <w:t> </w:t>
      </w:r>
      <w:r>
        <w:rPr>
          <w:color w:val="005DA1"/>
          <w:u w:val="single" w:color="005DA1"/>
          <w:vertAlign w:val="superscript"/>
        </w:rPr>
        <w:t>929</w:t>
      </w:r>
      <w:r>
        <w:rPr>
          <w:color w:val="005DA1"/>
          <w:vertAlign w:val="baseline"/>
        </w:rPr>
        <w:t> </w:t>
      </w:r>
      <w:r>
        <w:rPr>
          <w:vertAlign w:val="baseline"/>
        </w:rPr>
        <w:t>This was the case in</w:t>
      </w:r>
      <w:r>
        <w:rPr>
          <w:spacing w:val="-1"/>
          <w:vertAlign w:val="baseline"/>
        </w:rPr>
        <w:t> </w:t>
      </w:r>
      <w:r>
        <w:rPr>
          <w:rFonts w:ascii="Arial" w:hAnsi="Arial"/>
          <w:i/>
          <w:vertAlign w:val="baseline"/>
        </w:rPr>
        <w:t>Shah v </w:t>
      </w:r>
      <w:r>
        <w:rPr>
          <w:rFonts w:ascii="Arial" w:hAnsi="Arial"/>
          <w:i/>
          <w:vertAlign w:val="baseline"/>
        </w:rPr>
        <w:t>Shah </w:t>
      </w:r>
      <w:bookmarkStart w:name="_bookmark1743" w:id="1745"/>
      <w:bookmarkEnd w:id="1745"/>
      <w:r>
        <w:rPr>
          <w:rFonts w:ascii="Arial" w:hAnsi="Arial"/>
          <w:i/>
          <w:vertAlign w:val="baseline"/>
        </w:rPr>
      </w:r>
      <w:r>
        <w:rPr>
          <w:vertAlign w:val="baseline"/>
        </w:rPr>
        <w:t>where “the delivery of an apparently valid deed constituted an unambiguous representation of its nature”. </w:t>
      </w:r>
      <w:r>
        <w:rPr>
          <w:color w:val="005DA1"/>
          <w:u w:val="single" w:color="005DA1"/>
          <w:vertAlign w:val="superscript"/>
        </w:rPr>
        <w:t>930</w:t>
      </w:r>
    </w:p>
    <w:p>
      <w:pPr>
        <w:pStyle w:val="BodyText"/>
      </w:pPr>
    </w:p>
    <w:p>
      <w:pPr>
        <w:pStyle w:val="BodyText"/>
        <w:spacing w:before="37"/>
      </w:pPr>
    </w:p>
    <w:p>
      <w:pPr>
        <w:spacing w:before="0"/>
        <w:ind w:left="165" w:right="0" w:firstLine="0"/>
        <w:jc w:val="both"/>
        <w:rPr>
          <w:rFonts w:ascii="Arial"/>
          <w:b/>
          <w:sz w:val="18"/>
        </w:rPr>
      </w:pPr>
      <w:r>
        <w:rPr>
          <w:rFonts w:ascii="Arial"/>
          <w:b/>
          <w:sz w:val="18"/>
        </w:rPr>
        <w:t>Delivery of deed as an </w:t>
      </w:r>
      <w:r>
        <w:rPr>
          <w:rFonts w:ascii="Arial"/>
          <w:b/>
          <w:spacing w:val="-2"/>
          <w:sz w:val="18"/>
        </w:rPr>
        <w:t>escrow</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133</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3"/>
        </w:rPr>
        <w:t> </w:t>
      </w:r>
      <w:bookmarkStart w:name="_bookmark1744" w:id="1746"/>
      <w:bookmarkEnd w:id="1746"/>
      <w:r>
        <w:rPr>
          <w:rFonts w:ascii="Times New Roman"/>
          <w:spacing w:val="-17"/>
        </w:rPr>
      </w:r>
      <w:r>
        <w:rPr/>
        <w:t>A</w:t>
      </w:r>
      <w:r>
        <w:rPr>
          <w:spacing w:val="28"/>
        </w:rPr>
        <w:t> </w:t>
      </w:r>
      <w:r>
        <w:rPr/>
        <w:t>party</w:t>
      </w:r>
      <w:r>
        <w:rPr>
          <w:spacing w:val="28"/>
        </w:rPr>
        <w:t> </w:t>
      </w:r>
      <w:r>
        <w:rPr/>
        <w:t>may</w:t>
      </w:r>
      <w:r>
        <w:rPr>
          <w:spacing w:val="28"/>
        </w:rPr>
        <w:t> </w:t>
      </w:r>
      <w:r>
        <w:rPr/>
        <w:t>deliver</w:t>
      </w:r>
      <w:r>
        <w:rPr>
          <w:spacing w:val="28"/>
        </w:rPr>
        <w:t> </w:t>
      </w:r>
      <w:r>
        <w:rPr/>
        <w:t>a</w:t>
      </w:r>
      <w:r>
        <w:rPr>
          <w:spacing w:val="28"/>
        </w:rPr>
        <w:t> </w:t>
      </w:r>
      <w:r>
        <w:rPr/>
        <w:t>deed</w:t>
      </w:r>
      <w:r>
        <w:rPr>
          <w:spacing w:val="28"/>
        </w:rPr>
        <w:t> </w:t>
      </w:r>
      <w:r>
        <w:rPr/>
        <w:t>as</w:t>
      </w:r>
      <w:r>
        <w:rPr>
          <w:spacing w:val="28"/>
        </w:rPr>
        <w:t> </w:t>
      </w:r>
      <w:r>
        <w:rPr/>
        <w:t>an</w:t>
      </w:r>
      <w:r>
        <w:rPr>
          <w:spacing w:val="28"/>
        </w:rPr>
        <w:t> </w:t>
      </w:r>
      <w:r>
        <w:rPr/>
        <w:t>escrow,</w:t>
      </w:r>
      <w:r>
        <w:rPr>
          <w:spacing w:val="28"/>
        </w:rPr>
        <w:t> </w:t>
      </w:r>
      <w:r>
        <w:rPr/>
        <w:t>that</w:t>
      </w:r>
      <w:r>
        <w:rPr>
          <w:spacing w:val="28"/>
        </w:rPr>
        <w:t> </w:t>
      </w:r>
      <w:r>
        <w:rPr/>
        <w:t>is,</w:t>
      </w:r>
      <w:r>
        <w:rPr>
          <w:spacing w:val="28"/>
        </w:rPr>
        <w:t> </w:t>
      </w:r>
      <w:r>
        <w:rPr/>
        <w:t>so</w:t>
      </w:r>
      <w:r>
        <w:rPr>
          <w:spacing w:val="28"/>
        </w:rPr>
        <w:t> </w:t>
      </w:r>
      <w:r>
        <w:rPr/>
        <w:t>that</w:t>
      </w:r>
      <w:r>
        <w:rPr>
          <w:spacing w:val="28"/>
        </w:rPr>
        <w:t> </w:t>
      </w:r>
      <w:r>
        <w:rPr/>
        <w:t>it</w:t>
      </w:r>
      <w:r>
        <w:rPr>
          <w:spacing w:val="28"/>
        </w:rPr>
        <w:t> </w:t>
      </w:r>
      <w:r>
        <w:rPr/>
        <w:t>shall</w:t>
      </w:r>
      <w:r>
        <w:rPr>
          <w:spacing w:val="28"/>
        </w:rPr>
        <w:t> </w:t>
      </w:r>
      <w:r>
        <w:rPr/>
        <w:t>take</w:t>
      </w:r>
      <w:r>
        <w:rPr>
          <w:spacing w:val="28"/>
        </w:rPr>
        <w:t> </w:t>
      </w:r>
      <w:r>
        <w:rPr/>
        <w:t>effect</w:t>
      </w:r>
      <w:r>
        <w:rPr>
          <w:spacing w:val="28"/>
        </w:rPr>
        <w:t> </w:t>
      </w:r>
      <w:r>
        <w:rPr/>
        <w:t>or</w:t>
      </w:r>
      <w:r>
        <w:rPr>
          <w:spacing w:val="28"/>
        </w:rPr>
        <w:t> </w:t>
      </w:r>
      <w:r>
        <w:rPr/>
        <w:t>be</w:t>
      </w:r>
      <w:r>
        <w:rPr>
          <w:spacing w:val="28"/>
        </w:rPr>
        <w:t> </w:t>
      </w:r>
      <w:r>
        <w:rPr/>
        <w:t>his</w:t>
      </w:r>
      <w:r>
        <w:rPr>
          <w:spacing w:val="28"/>
        </w:rPr>
        <w:t> </w:t>
      </w:r>
      <w:r>
        <w:rPr/>
        <w:t>deed</w:t>
      </w:r>
      <w:r>
        <w:rPr>
          <w:spacing w:val="28"/>
        </w:rPr>
        <w:t> </w:t>
      </w:r>
      <w:r>
        <w:rPr/>
        <w:t>on</w:t>
      </w:r>
    </w:p>
    <w:p>
      <w:pPr>
        <w:pStyle w:val="BodyText"/>
        <w:spacing w:line="235" w:lineRule="auto" w:before="118"/>
        <w:ind w:left="165" w:right="167"/>
        <w:jc w:val="both"/>
      </w:pPr>
      <w:r>
        <w:rPr/>
        <w:t>certain conditions. It is in other words a limited or conditional delivery. </w:t>
      </w:r>
      <w:r>
        <w:rPr>
          <w:color w:val="005DA1"/>
          <w:u w:val="single" w:color="005DA1"/>
          <w:vertAlign w:val="superscript"/>
        </w:rPr>
        <w:t>931</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34"/>
          <w:vertAlign w:val="baseline"/>
        </w:rPr>
        <w:t> </w:t>
      </w:r>
      <w:r>
        <w:rPr>
          <w:vertAlign w:val="baseline"/>
        </w:rPr>
        <w:t>Such delivery need </w:t>
      </w:r>
      <w:r>
        <w:rPr>
          <w:vertAlign w:val="baseline"/>
        </w:rPr>
        <w:t>not be accompanied by express words; if from all the facts attending the transaction it can reasonably be </w:t>
      </w:r>
      <w:bookmarkStart w:name="_bookmark1745" w:id="1747"/>
      <w:bookmarkEnd w:id="1747"/>
      <w:r>
        <w:rPr>
          <w:vertAlign w:val="baseline"/>
        </w:rPr>
        <w:t>inferred</w:t>
      </w:r>
      <w:r>
        <w:rPr>
          <w:vertAlign w:val="baseline"/>
        </w:rPr>
        <w:t> that the writing was delivered so as not to take effect as a deed until a certain condition should be satisfied, it will operate as an escrow. </w:t>
      </w:r>
      <w:r>
        <w:rPr>
          <w:color w:val="005DA1"/>
          <w:u w:val="single" w:color="005DA1"/>
          <w:vertAlign w:val="superscript"/>
        </w:rPr>
        <w:t>932</w:t>
      </w:r>
      <w:r>
        <w:rPr>
          <w:color w:val="005DA1"/>
          <w:vertAlign w:val="baseline"/>
        </w:rPr>
        <w:t> </w:t>
      </w:r>
      <w:r>
        <w:rPr>
          <w:vertAlign w:val="baseline"/>
        </w:rPr>
        <w:t>To constitute a delivery as an escrow, however, it </w:t>
      </w:r>
      <w:bookmarkStart w:name="_bookmark1746" w:id="1748"/>
      <w:bookmarkEnd w:id="1748"/>
      <w:r>
        <w:rPr>
          <w:vertAlign w:val="baseline"/>
        </w:rPr>
        <w:t>was</w:t>
      </w:r>
      <w:r>
        <w:rPr>
          <w:vertAlign w:val="baseline"/>
        </w:rPr>
        <w:t> at one time necessary that the deed should not have been handed over to the grantee or </w:t>
      </w:r>
      <w:bookmarkStart w:name="_bookmark1747" w:id="1749"/>
      <w:bookmarkEnd w:id="1749"/>
      <w:r>
        <w:rPr>
          <w:vertAlign w:val="baseline"/>
        </w:rPr>
        <w:t>covenantee.</w:t>
      </w:r>
      <w:r>
        <w:rPr>
          <w:vertAlign w:val="baseline"/>
        </w:rPr>
        <w:t> </w:t>
      </w:r>
      <w:r>
        <w:rPr>
          <w:color w:val="005DA1"/>
          <w:u w:val="single" w:color="005DA1"/>
          <w:vertAlign w:val="superscript"/>
        </w:rPr>
        <w:t>933</w:t>
      </w:r>
      <w:r>
        <w:rPr>
          <w:color w:val="005DA1"/>
          <w:vertAlign w:val="baseline"/>
        </w:rPr>
        <w:t> </w:t>
      </w:r>
      <w:r>
        <w:rPr>
          <w:vertAlign w:val="baseline"/>
        </w:rPr>
        <w:t>But nowadays a deed may be delivered as an escrow by handing it to a solicitor who is acting for all the parties to it </w:t>
      </w:r>
      <w:r>
        <w:rPr>
          <w:color w:val="005DA1"/>
          <w:u w:val="single" w:color="005DA1"/>
          <w:vertAlign w:val="superscript"/>
        </w:rPr>
        <w:t>934</w:t>
      </w:r>
      <w:r>
        <w:rPr>
          <w:vertAlign w:val="baseline"/>
        </w:rPr>
        <w:t>; or even to the solicitor of the grantee or covenantee himself, </w:t>
      </w:r>
      <w:bookmarkStart w:name="_bookmark1748" w:id="1750"/>
      <w:bookmarkEnd w:id="1750"/>
      <w:r>
        <w:rPr>
          <w:vertAlign w:val="baseline"/>
        </w:rPr>
        <w:t>provided</w:t>
      </w:r>
      <w:r>
        <w:rPr>
          <w:vertAlign w:val="baseline"/>
        </w:rPr>
        <w:t> it is clear upon the whole transaction that such handing over was not intended to be a </w:t>
      </w:r>
      <w:bookmarkStart w:name="_bookmark1749" w:id="1751"/>
      <w:bookmarkEnd w:id="1751"/>
      <w:r>
        <w:rPr>
          <w:vertAlign w:val="baseline"/>
        </w:rPr>
        <w:t>delivery</w:t>
      </w:r>
      <w:r>
        <w:rPr>
          <w:spacing w:val="-2"/>
          <w:vertAlign w:val="baseline"/>
        </w:rPr>
        <w:t> </w:t>
      </w:r>
      <w:r>
        <w:rPr>
          <w:vertAlign w:val="baseline"/>
        </w:rPr>
        <w:t>at</w:t>
      </w:r>
      <w:r>
        <w:rPr>
          <w:spacing w:val="-2"/>
          <w:vertAlign w:val="baseline"/>
        </w:rPr>
        <w:t> </w:t>
      </w:r>
      <w:r>
        <w:rPr>
          <w:vertAlign w:val="baseline"/>
        </w:rPr>
        <w:t>that</w:t>
      </w:r>
      <w:r>
        <w:rPr>
          <w:spacing w:val="-2"/>
          <w:vertAlign w:val="baseline"/>
        </w:rPr>
        <w:t> </w:t>
      </w:r>
      <w:r>
        <w:rPr>
          <w:vertAlign w:val="baseline"/>
        </w:rPr>
        <w:t>time</w:t>
      </w:r>
      <w:r>
        <w:rPr>
          <w:spacing w:val="-2"/>
          <w:vertAlign w:val="baseline"/>
        </w:rPr>
        <w:t> </w:t>
      </w:r>
      <w:r>
        <w:rPr>
          <w:vertAlign w:val="baseline"/>
        </w:rPr>
        <w:t>to</w:t>
      </w:r>
      <w:r>
        <w:rPr>
          <w:spacing w:val="-2"/>
          <w:vertAlign w:val="baseline"/>
        </w:rPr>
        <w:t> </w:t>
      </w:r>
      <w:r>
        <w:rPr>
          <w:vertAlign w:val="baseline"/>
        </w:rPr>
        <w:t>such</w:t>
      </w:r>
      <w:r>
        <w:rPr>
          <w:spacing w:val="-2"/>
          <w:vertAlign w:val="baseline"/>
        </w:rPr>
        <w:t> </w:t>
      </w:r>
      <w:r>
        <w:rPr>
          <w:vertAlign w:val="baseline"/>
        </w:rPr>
        <w:t>grantee</w:t>
      </w:r>
      <w:r>
        <w:rPr>
          <w:spacing w:val="-2"/>
          <w:vertAlign w:val="baseline"/>
        </w:rPr>
        <w:t> </w:t>
      </w:r>
      <w:r>
        <w:rPr>
          <w:vertAlign w:val="baseline"/>
        </w:rPr>
        <w:t>or</w:t>
      </w:r>
      <w:r>
        <w:rPr>
          <w:spacing w:val="-2"/>
          <w:vertAlign w:val="baseline"/>
        </w:rPr>
        <w:t> </w:t>
      </w:r>
      <w:r>
        <w:rPr>
          <w:vertAlign w:val="baseline"/>
        </w:rPr>
        <w:t>covenantee.</w:t>
      </w:r>
      <w:r>
        <w:rPr>
          <w:spacing w:val="-2"/>
          <w:vertAlign w:val="baseline"/>
        </w:rPr>
        <w:t> </w:t>
      </w:r>
      <w:r>
        <w:rPr>
          <w:color w:val="005DA1"/>
          <w:u w:val="single" w:color="005DA1"/>
          <w:vertAlign w:val="superscript"/>
        </w:rPr>
        <w:t>935</w:t>
      </w:r>
      <w:r>
        <w:rPr>
          <w:color w:val="005DA1"/>
          <w:spacing w:val="-2"/>
          <w:vertAlign w:val="baseline"/>
        </w:rPr>
        <w:t> </w:t>
      </w:r>
      <w:r>
        <w:rPr>
          <w:vertAlign w:val="baseline"/>
        </w:rPr>
        <w:t>In</w:t>
      </w:r>
      <w:r>
        <w:rPr>
          <w:spacing w:val="-2"/>
          <w:vertAlign w:val="baseline"/>
        </w:rPr>
        <w:t> </w:t>
      </w:r>
      <w:r>
        <w:rPr>
          <w:vertAlign w:val="baseline"/>
        </w:rPr>
        <w:t>other</w:t>
      </w:r>
      <w:r>
        <w:rPr>
          <w:spacing w:val="-2"/>
          <w:vertAlign w:val="baseline"/>
        </w:rPr>
        <w:t> </w:t>
      </w:r>
      <w:r>
        <w:rPr>
          <w:vertAlign w:val="baseline"/>
        </w:rPr>
        <w:t>words,</w:t>
      </w:r>
      <w:r>
        <w:rPr>
          <w:spacing w:val="-2"/>
          <w:vertAlign w:val="baseline"/>
        </w:rPr>
        <w:t> </w:t>
      </w:r>
      <w:r>
        <w:rPr>
          <w:vertAlign w:val="baseline"/>
        </w:rPr>
        <w:t>evidence</w:t>
      </w:r>
      <w:r>
        <w:rPr>
          <w:spacing w:val="-2"/>
          <w:vertAlign w:val="baseline"/>
        </w:rPr>
        <w:t> </w:t>
      </w:r>
      <w:r>
        <w:rPr>
          <w:vertAlign w:val="baseline"/>
        </w:rPr>
        <w:t>is</w:t>
      </w:r>
      <w:r>
        <w:rPr>
          <w:spacing w:val="-2"/>
          <w:vertAlign w:val="baseline"/>
        </w:rPr>
        <w:t> </w:t>
      </w:r>
      <w:r>
        <w:rPr>
          <w:vertAlign w:val="baseline"/>
        </w:rPr>
        <w:t>admissible</w:t>
      </w:r>
      <w:r>
        <w:rPr>
          <w:spacing w:val="-2"/>
          <w:vertAlign w:val="baseline"/>
        </w:rPr>
        <w:t> </w:t>
      </w:r>
      <w:r>
        <w:rPr>
          <w:vertAlign w:val="baseline"/>
        </w:rPr>
        <w:t>to</w:t>
      </w:r>
      <w:r>
        <w:rPr>
          <w:spacing w:val="-2"/>
          <w:vertAlign w:val="baseline"/>
        </w:rPr>
        <w:t> </w:t>
      </w:r>
      <w:r>
        <w:rPr>
          <w:vertAlign w:val="baseline"/>
        </w:rPr>
        <w:t>show the character in which and the terms upon which the deed was delivered. </w:t>
      </w:r>
      <w:r>
        <w:rPr>
          <w:color w:val="005DA1"/>
          <w:u w:val="single" w:color="005DA1"/>
          <w:vertAlign w:val="superscript"/>
        </w:rPr>
        <w:t>936</w:t>
      </w:r>
      <w:r>
        <w:rPr>
          <w:color w:val="005DA1"/>
          <w:vertAlign w:val="baseline"/>
        </w:rPr>
        <w:t> </w:t>
      </w:r>
      <w:r>
        <w:rPr>
          <w:vertAlign w:val="baseline"/>
        </w:rPr>
        <w:t>It is a question of fact, and depends on what the parties intended. Their intention may be ascertained either from their </w:t>
      </w:r>
      <w:bookmarkStart w:name="_bookmark1750" w:id="1752"/>
      <w:bookmarkEnd w:id="1752"/>
      <w:r>
        <w:rPr>
          <w:vertAlign w:val="baseline"/>
        </w:rPr>
        <w:t>statements</w:t>
      </w:r>
      <w:r>
        <w:rPr>
          <w:vertAlign w:val="baseline"/>
        </w:rPr>
        <w:t> or from the surrounding circumstances prior to or simultaneous with (but not subsequent to) the delivery of the instrument. </w:t>
      </w:r>
      <w:r>
        <w:rPr>
          <w:color w:val="005DA1"/>
          <w:u w:val="single" w:color="005DA1"/>
          <w:vertAlign w:val="superscript"/>
        </w:rPr>
        <w:t>937</w:t>
      </w:r>
    </w:p>
    <w:p>
      <w:pPr>
        <w:pStyle w:val="BodyText"/>
      </w:pPr>
    </w:p>
    <w:p>
      <w:pPr>
        <w:pStyle w:val="BodyText"/>
        <w:spacing w:before="34"/>
      </w:pPr>
    </w:p>
    <w:p>
      <w:pPr>
        <w:spacing w:before="0"/>
        <w:ind w:left="165" w:right="0" w:firstLine="0"/>
        <w:jc w:val="both"/>
        <w:rPr>
          <w:rFonts w:ascii="Arial"/>
          <w:b/>
          <w:sz w:val="18"/>
        </w:rPr>
      </w:pPr>
      <w:r>
        <w:rPr>
          <w:rFonts w:ascii="Arial"/>
          <w:b/>
          <w:sz w:val="18"/>
        </w:rPr>
        <w:t>Conveyance as an </w:t>
      </w:r>
      <w:r>
        <w:rPr>
          <w:rFonts w:ascii="Arial"/>
          <w:b/>
          <w:spacing w:val="-2"/>
          <w:sz w:val="18"/>
        </w:rPr>
        <w:t>escrow</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134</w:t>
      </w:r>
    </w:p>
    <w:p>
      <w:pPr>
        <w:pStyle w:val="BodyText"/>
        <w:spacing w:line="235" w:lineRule="auto" w:before="203"/>
        <w:ind w:left="165" w:right="167"/>
        <w:jc w:val="both"/>
      </w:pPr>
      <w:r>
        <w:rPr/>
        <w:t>Where a conveyance is executed by the vendor and entrusted to his solicitor with a view to its </w:t>
      </w:r>
      <w:r>
        <w:rPr/>
        <w:t>being handed over to the purchaser on completion, then, in the absence of special circumstances, it is to be </w:t>
      </w:r>
      <w:bookmarkStart w:name="_bookmark1751" w:id="1753"/>
      <w:bookmarkEnd w:id="1753"/>
      <w:r>
        <w:rPr/>
        <w:t>inferred</w:t>
      </w:r>
      <w:r>
        <w:rPr/>
        <w:t> that the conveyance is executed as an escrow conditional upon payment of the purchase </w:t>
      </w:r>
      <w:bookmarkStart w:name="_bookmark1752" w:id="1754"/>
      <w:bookmarkEnd w:id="1754"/>
      <w:r>
        <w:rPr/>
        <w:t>price</w:t>
      </w:r>
      <w:r>
        <w:rPr/>
        <w:t> and (where appropriate) execution by the purchaser. </w:t>
      </w:r>
      <w:r>
        <w:rPr>
          <w:color w:val="005DA1"/>
          <w:u w:val="single" w:color="005DA1"/>
          <w:vertAlign w:val="superscript"/>
        </w:rPr>
        <w:t>938</w:t>
      </w:r>
      <w:r>
        <w:rPr>
          <w:color w:val="005DA1"/>
          <w:vertAlign w:val="baseline"/>
        </w:rPr>
        <w:t> </w:t>
      </w:r>
      <w:r>
        <w:rPr>
          <w:vertAlign w:val="baseline"/>
        </w:rPr>
        <w:t>In such a case, there must be a time limit within which the implied condition of the escrow is to be performed. </w:t>
      </w:r>
      <w:r>
        <w:rPr>
          <w:color w:val="005DA1"/>
          <w:u w:val="single" w:color="005DA1"/>
          <w:vertAlign w:val="superscript"/>
        </w:rPr>
        <w:t>939</w:t>
      </w:r>
      <w:r>
        <w:rPr>
          <w:color w:val="005DA1"/>
          <w:vertAlign w:val="baseline"/>
        </w:rPr>
        <w:t> </w:t>
      </w:r>
      <w:r>
        <w:rPr>
          <w:vertAlign w:val="baseline"/>
        </w:rPr>
        <w:t>So if the vendor by notice </w:t>
      </w:r>
      <w:bookmarkStart w:name="_bookmark1753" w:id="1755"/>
      <w:bookmarkEnd w:id="1755"/>
      <w:r>
        <w:rPr>
          <w:vertAlign w:val="baseline"/>
        </w:rPr>
        <w:t>makes</w:t>
      </w:r>
      <w:r>
        <w:rPr>
          <w:vertAlign w:val="baseline"/>
        </w:rPr>
        <w:t> time of the essence of the contract, and the purchaser does not within the time specified in the notice perform the condition, it is no longer possible for the condition of the escrow to be performed. </w:t>
      </w:r>
      <w:r>
        <w:rPr>
          <w:color w:val="005DA1"/>
          <w:u w:val="single" w:color="005DA1"/>
          <w:vertAlign w:val="superscript"/>
        </w:rPr>
        <w:t>940</w:t>
      </w:r>
      <w:r>
        <w:rPr>
          <w:color w:val="005DA1"/>
          <w:vertAlign w:val="baseline"/>
        </w:rPr>
        <w:t> </w:t>
      </w:r>
      <w:bookmarkStart w:name="_bookmark1754" w:id="1756"/>
      <w:bookmarkEnd w:id="1756"/>
      <w:r>
        <w:rPr>
          <w:color w:val="005DA1"/>
          <w:spacing w:val="12"/>
          <w:vertAlign w:val="baseline"/>
        </w:rPr>
      </w:r>
      <w:r>
        <w:rPr>
          <w:vertAlign w:val="baseline"/>
        </w:rPr>
        <w:t>However, the inference as to delivery as an escrow arising from non payment of the price can be rebutted by other circumstances attending the delivery. </w:t>
      </w:r>
      <w:r>
        <w:rPr>
          <w:color w:val="005DA1"/>
          <w:u w:val="single" w:color="005DA1"/>
          <w:vertAlign w:val="superscript"/>
        </w:rPr>
        <w:t>941</w:t>
      </w:r>
    </w:p>
    <w:p>
      <w:pPr>
        <w:pStyle w:val="BodyText"/>
      </w:pPr>
    </w:p>
    <w:p>
      <w:pPr>
        <w:pStyle w:val="BodyText"/>
        <w:spacing w:before="35"/>
      </w:pPr>
    </w:p>
    <w:p>
      <w:pPr>
        <w:spacing w:before="0"/>
        <w:ind w:left="165" w:right="0" w:firstLine="0"/>
        <w:jc w:val="left"/>
        <w:rPr>
          <w:rFonts w:ascii="Arial"/>
          <w:b/>
          <w:sz w:val="18"/>
        </w:rPr>
      </w:pPr>
      <w:r>
        <w:rPr>
          <w:rFonts w:ascii="Arial"/>
          <w:b/>
          <w:sz w:val="18"/>
        </w:rPr>
        <w:t>Retrospective </w:t>
      </w:r>
      <w:r>
        <w:rPr>
          <w:rFonts w:ascii="Arial"/>
          <w:b/>
          <w:spacing w:val="-2"/>
          <w:sz w:val="18"/>
        </w:rPr>
        <w:t>effect</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135</w:t>
      </w:r>
    </w:p>
    <w:p>
      <w:pPr>
        <w:pStyle w:val="BodyText"/>
        <w:spacing w:line="235" w:lineRule="auto" w:before="202"/>
        <w:ind w:left="165" w:right="167"/>
        <w:jc w:val="both"/>
      </w:pPr>
      <w:bookmarkStart w:name="_bookmark1755" w:id="1757"/>
      <w:bookmarkEnd w:id="1757"/>
      <w:r>
        <w:rPr/>
      </w:r>
      <w:r>
        <w:rPr/>
        <w:t>A deed delivered as an escrow takes effect as between grantor and grantee retrospectively from the date of its delivery, and not on the date on which the relevant conditions are satisfied. </w:t>
      </w:r>
      <w:r>
        <w:rPr>
          <w:color w:val="005DA1"/>
          <w:u w:val="single" w:color="005DA1"/>
          <w:vertAlign w:val="superscript"/>
        </w:rPr>
        <w:t>942</w:t>
      </w:r>
    </w:p>
    <w:p>
      <w:pPr>
        <w:pStyle w:val="BodyText"/>
      </w:pPr>
    </w:p>
    <w:p>
      <w:pPr>
        <w:pStyle w:val="BodyText"/>
        <w:spacing w:before="39"/>
      </w:pPr>
      <w:r>
        <w:rPr/>
        <mc:AlternateContent>
          <mc:Choice Requires="wps">
            <w:drawing>
              <wp:anchor distT="0" distB="0" distL="0" distR="0" allowOverlap="1" layoutInCell="1" locked="0" behindDoc="1" simplePos="0" relativeHeight="487684608">
                <wp:simplePos x="0" y="0"/>
                <wp:positionH relativeFrom="page">
                  <wp:posOffset>914400</wp:posOffset>
                </wp:positionH>
                <wp:positionV relativeFrom="paragraph">
                  <wp:posOffset>186410</wp:posOffset>
                </wp:positionV>
                <wp:extent cx="5724525" cy="1270"/>
                <wp:effectExtent l="0" t="0" r="0" b="0"/>
                <wp:wrapTopAndBottom/>
                <wp:docPr id="412" name="Graphic 412"/>
                <wp:cNvGraphicFramePr>
                  <a:graphicFrameLocks/>
                </wp:cNvGraphicFramePr>
                <a:graphic>
                  <a:graphicData uri="http://schemas.microsoft.com/office/word/2010/wordprocessingShape">
                    <wps:wsp>
                      <wps:cNvPr id="412" name="Graphic 41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8016pt;width:450.75pt;height:.1pt;mso-position-horizontal-relative:page;mso-position-vertical-relative:paragraph;z-index:-15631872;mso-wrap-distance-left:0;mso-wrap-distance-right:0" id="docshape61" coordorigin="1440,294" coordsize="9015,0" path="m1440,294l10454,294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hAnsi="Arial"/>
          <w:i/>
          <w:sz w:val="20"/>
        </w:rPr>
      </w:pPr>
      <w:bookmarkStart w:name="_bookmark1756" w:id="1758"/>
      <w:bookmarkEnd w:id="1758"/>
      <w:r>
        <w:rPr/>
      </w:r>
      <w:hyperlink w:history="true" w:anchor="_bookmark1734">
        <w:r>
          <w:rPr>
            <w:color w:val="005DA1"/>
            <w:spacing w:val="-4"/>
            <w:position w:val="5"/>
            <w:sz w:val="14"/>
            <w:u w:val="single" w:color="005DA1"/>
          </w:rPr>
          <w:t>920</w:t>
        </w:r>
      </w:hyperlink>
      <w:r>
        <w:rPr>
          <w:spacing w:val="-4"/>
          <w:position w:val="5"/>
          <w:sz w:val="14"/>
        </w:rPr>
        <w:t>.</w:t>
      </w:r>
      <w:r>
        <w:rPr>
          <w:position w:val="5"/>
          <w:sz w:val="14"/>
        </w:rPr>
        <w:tab/>
      </w:r>
      <w:r>
        <w:rPr>
          <w:sz w:val="20"/>
        </w:rPr>
        <w:t>Bacon,</w:t>
      </w:r>
      <w:r>
        <w:rPr>
          <w:spacing w:val="1"/>
          <w:sz w:val="20"/>
        </w:rPr>
        <w:t> </w:t>
      </w:r>
      <w:r>
        <w:rPr>
          <w:rFonts w:ascii="Arial" w:hAnsi="Arial"/>
          <w:i/>
          <w:sz w:val="20"/>
        </w:rPr>
        <w:t>Abridgment</w:t>
      </w:r>
      <w:r>
        <w:rPr>
          <w:rFonts w:ascii="Arial" w:hAnsi="Arial"/>
          <w:i/>
          <w:spacing w:val="3"/>
          <w:sz w:val="20"/>
        </w:rPr>
        <w:t> </w:t>
      </w:r>
      <w:r>
        <w:rPr>
          <w:rFonts w:ascii="Arial" w:hAnsi="Arial"/>
          <w:i/>
          <w:sz w:val="20"/>
        </w:rPr>
        <w:t>Obligation</w:t>
      </w:r>
      <w:r>
        <w:rPr>
          <w:rFonts w:ascii="Arial" w:hAnsi="Arial"/>
          <w:i/>
          <w:spacing w:val="3"/>
          <w:sz w:val="20"/>
        </w:rPr>
        <w:t> </w:t>
      </w:r>
      <w:r>
        <w:rPr>
          <w:sz w:val="20"/>
        </w:rPr>
        <w:t>(C);</w:t>
      </w:r>
      <w:r>
        <w:rPr>
          <w:spacing w:val="3"/>
          <w:sz w:val="20"/>
        </w:rPr>
        <w:t> </w:t>
      </w:r>
      <w:r>
        <w:rPr>
          <w:sz w:val="20"/>
        </w:rPr>
        <w:t>Comyns</w:t>
      </w:r>
      <w:r>
        <w:rPr>
          <w:spacing w:val="3"/>
          <w:sz w:val="20"/>
        </w:rPr>
        <w:t> </w:t>
      </w:r>
      <w:r>
        <w:rPr>
          <w:sz w:val="20"/>
        </w:rPr>
        <w:t>Digest</w:t>
      </w:r>
      <w:r>
        <w:rPr>
          <w:spacing w:val="3"/>
          <w:sz w:val="20"/>
        </w:rPr>
        <w:t> </w:t>
      </w:r>
      <w:r>
        <w:rPr>
          <w:sz w:val="20"/>
        </w:rPr>
        <w:t>Fait</w:t>
      </w:r>
      <w:r>
        <w:rPr>
          <w:spacing w:val="3"/>
          <w:sz w:val="20"/>
        </w:rPr>
        <w:t> </w:t>
      </w:r>
      <w:r>
        <w:rPr>
          <w:sz w:val="20"/>
        </w:rPr>
        <w:t>(B3);</w:t>
      </w:r>
      <w:r>
        <w:rPr>
          <w:spacing w:val="3"/>
          <w:sz w:val="20"/>
        </w:rPr>
        <w:t> </w:t>
      </w:r>
      <w:r>
        <w:rPr>
          <w:rFonts w:ascii="Arial" w:hAnsi="Arial"/>
          <w:i/>
          <w:sz w:val="20"/>
        </w:rPr>
        <w:t>Goddard’s</w:t>
      </w:r>
      <w:r>
        <w:rPr>
          <w:rFonts w:ascii="Arial" w:hAnsi="Arial"/>
          <w:i/>
          <w:spacing w:val="3"/>
          <w:sz w:val="20"/>
        </w:rPr>
        <w:t> </w:t>
      </w:r>
      <w:r>
        <w:rPr>
          <w:rFonts w:ascii="Arial" w:hAnsi="Arial"/>
          <w:i/>
          <w:sz w:val="20"/>
        </w:rPr>
        <w:t>Case</w:t>
      </w:r>
      <w:r>
        <w:rPr>
          <w:rFonts w:ascii="Arial" w:hAnsi="Arial"/>
          <w:i/>
          <w:spacing w:val="3"/>
          <w:sz w:val="20"/>
        </w:rPr>
        <w:t> </w:t>
      </w:r>
      <w:r>
        <w:rPr>
          <w:rFonts w:ascii="Arial" w:hAnsi="Arial"/>
          <w:i/>
          <w:sz w:val="20"/>
        </w:rPr>
        <w:t>(1584)</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pacing w:val="-4"/>
          <w:sz w:val="20"/>
        </w:rPr>
        <w:t>Rep.</w:t>
      </w:r>
    </w:p>
    <w:p>
      <w:pPr>
        <w:spacing w:line="227" w:lineRule="exact" w:before="0"/>
        <w:ind w:left="705" w:right="0" w:firstLine="0"/>
        <w:jc w:val="left"/>
        <w:rPr>
          <w:sz w:val="20"/>
        </w:rPr>
      </w:pPr>
      <w:r>
        <w:rPr>
          <w:rFonts w:ascii="Arial"/>
          <w:i/>
          <w:spacing w:val="-5"/>
          <w:sz w:val="20"/>
        </w:rPr>
        <w:t>4b</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757" w:id="1759"/>
      <w:bookmarkEnd w:id="1759"/>
      <w:r>
        <w:rPr/>
      </w:r>
      <w:hyperlink w:history="true" w:anchor="_bookmark1734">
        <w:r>
          <w:rPr>
            <w:color w:val="005DA1"/>
            <w:spacing w:val="-4"/>
            <w:position w:val="5"/>
            <w:sz w:val="14"/>
            <w:u w:val="single" w:color="005DA1"/>
          </w:rPr>
          <w:t>921</w:t>
        </w:r>
      </w:hyperlink>
      <w:r>
        <w:rPr>
          <w:spacing w:val="-4"/>
          <w:position w:val="5"/>
          <w:sz w:val="14"/>
        </w:rPr>
        <w:t>.</w:t>
      </w:r>
      <w:r>
        <w:rPr>
          <w:position w:val="5"/>
          <w:sz w:val="14"/>
        </w:rPr>
        <w:tab/>
      </w:r>
      <w:r>
        <w:rPr>
          <w:sz w:val="20"/>
        </w:rPr>
        <w:t>This</w:t>
      </w:r>
      <w:r>
        <w:rPr>
          <w:spacing w:val="40"/>
          <w:sz w:val="20"/>
        </w:rPr>
        <w:t> </w:t>
      </w:r>
      <w:r>
        <w:rPr>
          <w:sz w:val="20"/>
        </w:rPr>
        <w:t>paragraph</w:t>
      </w:r>
      <w:r>
        <w:rPr>
          <w:spacing w:val="40"/>
          <w:sz w:val="20"/>
        </w:rPr>
        <w:t> </w:t>
      </w:r>
      <w:r>
        <w:rPr>
          <w:sz w:val="20"/>
        </w:rPr>
        <w:t>was</w:t>
      </w:r>
      <w:r>
        <w:rPr>
          <w:spacing w:val="40"/>
          <w:sz w:val="20"/>
        </w:rPr>
        <w:t> </w:t>
      </w:r>
      <w:r>
        <w:rPr>
          <w:sz w:val="20"/>
        </w:rPr>
        <w:t>cited</w:t>
      </w:r>
      <w:r>
        <w:rPr>
          <w:spacing w:val="40"/>
          <w:sz w:val="20"/>
        </w:rPr>
        <w:t> </w:t>
      </w:r>
      <w:r>
        <w:rPr>
          <w:sz w:val="20"/>
        </w:rPr>
        <w:t>with</w:t>
      </w:r>
      <w:r>
        <w:rPr>
          <w:spacing w:val="40"/>
          <w:sz w:val="20"/>
        </w:rPr>
        <w:t> </w:t>
      </w:r>
      <w:r>
        <w:rPr>
          <w:sz w:val="20"/>
        </w:rPr>
        <w:t>approval</w:t>
      </w:r>
      <w:r>
        <w:rPr>
          <w:spacing w:val="40"/>
          <w:sz w:val="20"/>
        </w:rPr>
        <w:t> </w:t>
      </w:r>
      <w:r>
        <w:rPr>
          <w:sz w:val="20"/>
        </w:rPr>
        <w:t>in</w:t>
      </w:r>
      <w:r>
        <w:rPr>
          <w:spacing w:val="40"/>
          <w:sz w:val="20"/>
        </w:rPr>
        <w:t> </w:t>
      </w:r>
      <w:r>
        <w:rPr>
          <w:rFonts w:ascii="Arial"/>
          <w:i/>
          <w:sz w:val="20"/>
        </w:rPr>
        <w:t>Silver</w:t>
      </w:r>
      <w:r>
        <w:rPr>
          <w:rFonts w:ascii="Arial"/>
          <w:i/>
          <w:spacing w:val="40"/>
          <w:sz w:val="20"/>
        </w:rPr>
        <w:t> </w:t>
      </w:r>
      <w:r>
        <w:rPr>
          <w:rFonts w:ascii="Arial"/>
          <w:i/>
          <w:sz w:val="20"/>
        </w:rPr>
        <w:t>Queen</w:t>
      </w:r>
      <w:r>
        <w:rPr>
          <w:rFonts w:ascii="Arial"/>
          <w:i/>
          <w:spacing w:val="40"/>
          <w:sz w:val="20"/>
        </w:rPr>
        <w:t> </w:t>
      </w:r>
      <w:r>
        <w:rPr>
          <w:rFonts w:ascii="Arial"/>
          <w:i/>
          <w:sz w:val="20"/>
        </w:rPr>
        <w:t>Maritime</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Persia</w:t>
      </w:r>
      <w:r>
        <w:rPr>
          <w:rFonts w:ascii="Arial"/>
          <w:i/>
          <w:spacing w:val="40"/>
          <w:sz w:val="20"/>
        </w:rPr>
        <w:t> </w:t>
      </w:r>
      <w:r>
        <w:rPr>
          <w:rFonts w:ascii="Arial"/>
          <w:i/>
          <w:sz w:val="20"/>
        </w:rPr>
        <w:t>Petroleum Services Ltd [2010] EWHC 2867 (QB) </w:t>
      </w:r>
      <w:r>
        <w:rPr>
          <w:sz w:val="20"/>
        </w:rPr>
        <w:t>at [124]. See also below, para.1-133 (escrow).</w:t>
      </w:r>
    </w:p>
    <w:p>
      <w:pPr>
        <w:pStyle w:val="BodyText"/>
        <w:spacing w:before="5"/>
      </w:pPr>
    </w:p>
    <w:p>
      <w:pPr>
        <w:tabs>
          <w:tab w:pos="705" w:val="left" w:leader="none"/>
        </w:tabs>
        <w:spacing w:before="0"/>
        <w:ind w:left="165" w:right="0" w:firstLine="0"/>
        <w:jc w:val="left"/>
        <w:rPr>
          <w:sz w:val="20"/>
        </w:rPr>
      </w:pPr>
      <w:bookmarkStart w:name="_bookmark1758" w:id="1760"/>
      <w:bookmarkEnd w:id="1760"/>
      <w:r>
        <w:rPr/>
      </w:r>
      <w:hyperlink w:history="true" w:anchor="_bookmark1735">
        <w:r>
          <w:rPr>
            <w:color w:val="005DA1"/>
            <w:spacing w:val="-4"/>
            <w:position w:val="5"/>
            <w:sz w:val="14"/>
            <w:u w:val="single" w:color="005DA1"/>
          </w:rPr>
          <w:t>922</w:t>
        </w:r>
      </w:hyperlink>
      <w:r>
        <w:rPr>
          <w:spacing w:val="-4"/>
          <w:position w:val="5"/>
          <w:sz w:val="14"/>
        </w:rPr>
        <w:t>.</w:t>
      </w:r>
      <w:r>
        <w:rPr>
          <w:position w:val="5"/>
          <w:sz w:val="14"/>
        </w:rPr>
        <w:tab/>
      </w:r>
      <w:r>
        <w:rPr>
          <w:rFonts w:ascii="Arial"/>
          <w:i/>
          <w:sz w:val="20"/>
        </w:rPr>
        <w:t>[2001] EWCA Civ 527, [2002] Q.B. </w:t>
      </w:r>
      <w:r>
        <w:rPr>
          <w:rFonts w:ascii="Arial"/>
          <w:i/>
          <w:spacing w:val="-5"/>
          <w:sz w:val="20"/>
        </w:rPr>
        <w:t>35</w:t>
      </w:r>
      <w:r>
        <w:rPr>
          <w:spacing w:val="-5"/>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736">
        <w:r>
          <w:rPr>
            <w:color w:val="005DA1"/>
            <w:spacing w:val="-4"/>
            <w:position w:val="5"/>
            <w:sz w:val="14"/>
            <w:u w:val="single" w:color="005DA1"/>
          </w:rPr>
          <w:t>923</w:t>
        </w:r>
      </w:hyperlink>
      <w:r>
        <w:rPr>
          <w:spacing w:val="-4"/>
          <w:position w:val="5"/>
          <w:sz w:val="14"/>
        </w:rPr>
        <w:t>.</w:t>
      </w:r>
      <w:r>
        <w:rPr>
          <w:position w:val="5"/>
          <w:sz w:val="14"/>
        </w:rPr>
        <w:tab/>
      </w:r>
      <w:r>
        <w:rPr>
          <w:sz w:val="20"/>
        </w:rPr>
        <w:t>Above, para.1-</w:t>
      </w:r>
      <w:r>
        <w:rPr>
          <w:spacing w:val="-4"/>
          <w:sz w:val="20"/>
        </w:rPr>
        <w:t>118.</w:t>
      </w:r>
    </w:p>
    <w:p>
      <w:pPr>
        <w:pStyle w:val="BodyText"/>
        <w:spacing w:before="9"/>
      </w:pPr>
    </w:p>
    <w:p>
      <w:pPr>
        <w:pStyle w:val="BodyText"/>
        <w:tabs>
          <w:tab w:pos="705" w:val="left" w:leader="none"/>
        </w:tabs>
        <w:spacing w:line="235" w:lineRule="auto"/>
        <w:ind w:left="705" w:right="168" w:hanging="541"/>
      </w:pPr>
      <w:bookmarkStart w:name="_bookmark1759" w:id="1761"/>
      <w:bookmarkEnd w:id="1761"/>
      <w:r>
        <w:rPr/>
      </w:r>
      <w:hyperlink w:history="true" w:anchor="_bookmark1737">
        <w:r>
          <w:rPr>
            <w:color w:val="005DA1"/>
            <w:spacing w:val="-4"/>
            <w:position w:val="5"/>
            <w:sz w:val="14"/>
            <w:u w:val="single" w:color="005DA1"/>
          </w:rPr>
          <w:t>924</w:t>
        </w:r>
      </w:hyperlink>
      <w:r>
        <w:rPr>
          <w:spacing w:val="-4"/>
          <w:position w:val="5"/>
          <w:sz w:val="14"/>
        </w:rPr>
        <w:t>.</w:t>
      </w:r>
      <w:r>
        <w:rPr>
          <w:position w:val="5"/>
          <w:sz w:val="14"/>
        </w:rPr>
        <w:tab/>
      </w:r>
      <w:r>
        <w:rPr/>
        <w:t>The</w:t>
      </w:r>
      <w:r>
        <w:rPr>
          <w:spacing w:val="32"/>
        </w:rPr>
        <w:t> </w:t>
      </w:r>
      <w:r>
        <w:rPr/>
        <w:t>1989</w:t>
      </w:r>
      <w:r>
        <w:rPr>
          <w:spacing w:val="32"/>
        </w:rPr>
        <w:t> </w:t>
      </w:r>
      <w:r>
        <w:rPr/>
        <w:t>Act</w:t>
      </w:r>
      <w:r>
        <w:rPr>
          <w:spacing w:val="32"/>
        </w:rPr>
        <w:t> </w:t>
      </w:r>
      <w:r>
        <w:rPr/>
        <w:t>s.1(3)</w:t>
      </w:r>
      <w:r>
        <w:rPr>
          <w:spacing w:val="32"/>
        </w:rPr>
        <w:t> </w:t>
      </w:r>
      <w:r>
        <w:rPr/>
        <w:t>requires</w:t>
      </w:r>
      <w:r>
        <w:rPr>
          <w:spacing w:val="32"/>
        </w:rPr>
        <w:t> </w:t>
      </w:r>
      <w:r>
        <w:rPr/>
        <w:t>that</w:t>
      </w:r>
      <w:r>
        <w:rPr>
          <w:spacing w:val="32"/>
        </w:rPr>
        <w:t> </w:t>
      </w:r>
      <w:r>
        <w:rPr/>
        <w:t>the</w:t>
      </w:r>
      <w:r>
        <w:rPr>
          <w:spacing w:val="32"/>
        </w:rPr>
        <w:t> </w:t>
      </w:r>
      <w:r>
        <w:rPr/>
        <w:t>instrument</w:t>
      </w:r>
      <w:r>
        <w:rPr>
          <w:spacing w:val="32"/>
        </w:rPr>
        <w:t> </w:t>
      </w:r>
      <w:r>
        <w:rPr/>
        <w:t>is</w:t>
      </w:r>
      <w:r>
        <w:rPr>
          <w:spacing w:val="32"/>
        </w:rPr>
        <w:t> </w:t>
      </w:r>
      <w:r>
        <w:rPr/>
        <w:t>signed</w:t>
      </w:r>
      <w:r>
        <w:rPr>
          <w:spacing w:val="32"/>
        </w:rPr>
        <w:t> </w:t>
      </w:r>
      <w:r>
        <w:rPr/>
        <w:t>in</w:t>
      </w:r>
      <w:r>
        <w:rPr>
          <w:spacing w:val="32"/>
        </w:rPr>
        <w:t> </w:t>
      </w:r>
      <w:r>
        <w:rPr/>
        <w:t>the</w:t>
      </w:r>
      <w:r>
        <w:rPr>
          <w:spacing w:val="32"/>
        </w:rPr>
        <w:t> </w:t>
      </w:r>
      <w:r>
        <w:rPr/>
        <w:t>presence</w:t>
      </w:r>
      <w:r>
        <w:rPr>
          <w:spacing w:val="32"/>
        </w:rPr>
        <w:t> </w:t>
      </w:r>
      <w:r>
        <w:rPr/>
        <w:t>of</w:t>
      </w:r>
      <w:r>
        <w:rPr>
          <w:spacing w:val="32"/>
        </w:rPr>
        <w:t> </w:t>
      </w:r>
      <w:r>
        <w:rPr/>
        <w:t>the</w:t>
      </w:r>
      <w:r>
        <w:rPr>
          <w:spacing w:val="32"/>
        </w:rPr>
        <w:t> </w:t>
      </w:r>
      <w:r>
        <w:rPr/>
        <w:t>attending witness or witnesses.</w:t>
      </w:r>
    </w:p>
    <w:p>
      <w:pPr>
        <w:pStyle w:val="BodyText"/>
        <w:spacing w:before="9"/>
      </w:pPr>
    </w:p>
    <w:p>
      <w:pPr>
        <w:tabs>
          <w:tab w:pos="705" w:val="left" w:leader="none"/>
        </w:tabs>
        <w:spacing w:line="235" w:lineRule="auto" w:before="1"/>
        <w:ind w:left="705" w:right="168" w:hanging="541"/>
        <w:jc w:val="left"/>
        <w:rPr>
          <w:sz w:val="20"/>
        </w:rPr>
      </w:pPr>
      <w:bookmarkStart w:name="_bookmark1760" w:id="1762"/>
      <w:bookmarkEnd w:id="1762"/>
      <w:r>
        <w:rPr/>
      </w:r>
      <w:hyperlink w:history="true" w:anchor="_bookmark1738">
        <w:r>
          <w:rPr>
            <w:color w:val="005DA1"/>
            <w:spacing w:val="-4"/>
            <w:position w:val="5"/>
            <w:sz w:val="14"/>
            <w:u w:val="single" w:color="005DA1"/>
          </w:rPr>
          <w:t>925</w:t>
        </w:r>
      </w:hyperlink>
      <w:r>
        <w:rPr>
          <w:spacing w:val="-4"/>
          <w:position w:val="5"/>
          <w:sz w:val="14"/>
        </w:rPr>
        <w:t>.</w:t>
      </w:r>
      <w:r>
        <w:rPr>
          <w:position w:val="5"/>
          <w:sz w:val="14"/>
        </w:rPr>
        <w:tab/>
      </w:r>
      <w:r>
        <w:rPr>
          <w:rFonts w:ascii="Arial"/>
          <w:i/>
          <w:sz w:val="20"/>
        </w:rPr>
        <w:t>[2001]</w:t>
      </w:r>
      <w:r>
        <w:rPr>
          <w:rFonts w:ascii="Arial"/>
          <w:i/>
          <w:spacing w:val="63"/>
          <w:sz w:val="20"/>
        </w:rPr>
        <w:t> </w:t>
      </w:r>
      <w:r>
        <w:rPr>
          <w:rFonts w:ascii="Arial"/>
          <w:i/>
          <w:sz w:val="20"/>
        </w:rPr>
        <w:t>EWCA</w:t>
      </w:r>
      <w:r>
        <w:rPr>
          <w:rFonts w:ascii="Arial"/>
          <w:i/>
          <w:spacing w:val="63"/>
          <w:sz w:val="20"/>
        </w:rPr>
        <w:t> </w:t>
      </w:r>
      <w:r>
        <w:rPr>
          <w:rFonts w:ascii="Arial"/>
          <w:i/>
          <w:sz w:val="20"/>
        </w:rPr>
        <w:t>Civ</w:t>
      </w:r>
      <w:r>
        <w:rPr>
          <w:rFonts w:ascii="Arial"/>
          <w:i/>
          <w:spacing w:val="63"/>
          <w:sz w:val="20"/>
        </w:rPr>
        <w:t> </w:t>
      </w:r>
      <w:r>
        <w:rPr>
          <w:rFonts w:ascii="Arial"/>
          <w:i/>
          <w:sz w:val="20"/>
        </w:rPr>
        <w:t>527,</w:t>
      </w:r>
      <w:r>
        <w:rPr>
          <w:rFonts w:ascii="Arial"/>
          <w:i/>
          <w:spacing w:val="63"/>
          <w:sz w:val="20"/>
        </w:rPr>
        <w:t> </w:t>
      </w:r>
      <w:r>
        <w:rPr>
          <w:rFonts w:ascii="Arial"/>
          <w:i/>
          <w:sz w:val="20"/>
        </w:rPr>
        <w:t>[2002]</w:t>
      </w:r>
      <w:r>
        <w:rPr>
          <w:rFonts w:ascii="Arial"/>
          <w:i/>
          <w:spacing w:val="63"/>
          <w:sz w:val="20"/>
        </w:rPr>
        <w:t> </w:t>
      </w:r>
      <w:r>
        <w:rPr>
          <w:rFonts w:ascii="Arial"/>
          <w:i/>
          <w:sz w:val="20"/>
        </w:rPr>
        <w:t>Q.B.</w:t>
      </w:r>
      <w:r>
        <w:rPr>
          <w:rFonts w:ascii="Arial"/>
          <w:i/>
          <w:spacing w:val="63"/>
          <w:sz w:val="20"/>
        </w:rPr>
        <w:t> </w:t>
      </w:r>
      <w:r>
        <w:rPr>
          <w:rFonts w:ascii="Arial"/>
          <w:i/>
          <w:sz w:val="20"/>
        </w:rPr>
        <w:t>35</w:t>
      </w:r>
      <w:r>
        <w:rPr>
          <w:rFonts w:ascii="Arial"/>
          <w:i/>
          <w:spacing w:val="63"/>
          <w:sz w:val="20"/>
        </w:rPr>
        <w:t> </w:t>
      </w:r>
      <w:r>
        <w:rPr>
          <w:sz w:val="20"/>
        </w:rPr>
        <w:t>at</w:t>
      </w:r>
      <w:r>
        <w:rPr>
          <w:spacing w:val="63"/>
          <w:sz w:val="20"/>
        </w:rPr>
        <w:t> </w:t>
      </w:r>
      <w:r>
        <w:rPr>
          <w:sz w:val="20"/>
        </w:rPr>
        <w:t>44</w:t>
      </w:r>
      <w:r>
        <w:rPr>
          <w:spacing w:val="63"/>
          <w:sz w:val="20"/>
        </w:rPr>
        <w:t> </w:t>
      </w:r>
      <w:r>
        <w:rPr>
          <w:sz w:val="20"/>
        </w:rPr>
        <w:t>(Pill</w:t>
      </w:r>
      <w:r>
        <w:rPr>
          <w:spacing w:val="63"/>
          <w:sz w:val="20"/>
        </w:rPr>
        <w:t> </w:t>
      </w:r>
      <w:r>
        <w:rPr>
          <w:sz w:val="20"/>
        </w:rPr>
        <w:t>L.J.</w:t>
      </w:r>
      <w:r>
        <w:rPr>
          <w:spacing w:val="63"/>
          <w:sz w:val="20"/>
        </w:rPr>
        <w:t> </w:t>
      </w:r>
      <w:r>
        <w:rPr>
          <w:sz w:val="20"/>
        </w:rPr>
        <w:t>with</w:t>
      </w:r>
      <w:r>
        <w:rPr>
          <w:spacing w:val="63"/>
          <w:sz w:val="20"/>
        </w:rPr>
        <w:t> </w:t>
      </w:r>
      <w:r>
        <w:rPr>
          <w:sz w:val="20"/>
        </w:rPr>
        <w:t>whom</w:t>
      </w:r>
      <w:r>
        <w:rPr>
          <w:spacing w:val="63"/>
          <w:sz w:val="20"/>
        </w:rPr>
        <w:t> </w:t>
      </w:r>
      <w:r>
        <w:rPr>
          <w:sz w:val="20"/>
        </w:rPr>
        <w:t>Tuckley</w:t>
      </w:r>
      <w:r>
        <w:rPr>
          <w:spacing w:val="63"/>
          <w:sz w:val="20"/>
        </w:rPr>
        <w:t> </w:t>
      </w:r>
      <w:r>
        <w:rPr>
          <w:sz w:val="20"/>
        </w:rPr>
        <w:t>L.J.</w:t>
      </w:r>
      <w:r>
        <w:rPr>
          <w:spacing w:val="63"/>
          <w:sz w:val="20"/>
        </w:rPr>
        <w:t> </w:t>
      </w:r>
      <w:r>
        <w:rPr>
          <w:sz w:val="20"/>
        </w:rPr>
        <w:t>and</w:t>
      </w:r>
      <w:r>
        <w:rPr>
          <w:spacing w:val="63"/>
          <w:sz w:val="20"/>
        </w:rPr>
        <w:t> </w:t>
      </w:r>
      <w:r>
        <w:rPr>
          <w:sz w:val="20"/>
        </w:rPr>
        <w:t>Sir Christopher Slade agreed): </w:t>
      </w:r>
      <w:r>
        <w:rPr>
          <w:rFonts w:ascii="Arial"/>
          <w:i/>
          <w:sz w:val="20"/>
        </w:rPr>
        <w:t>Yaxley v Gotts [2000] Ch. 162, 191</w:t>
      </w:r>
      <w:r>
        <w:rPr>
          <w:sz w:val="20"/>
        </w:rPr>
        <w:t>.</w:t>
      </w:r>
    </w:p>
    <w:p>
      <w:pPr>
        <w:pStyle w:val="BodyText"/>
        <w:spacing w:before="5"/>
      </w:pPr>
    </w:p>
    <w:p>
      <w:pPr>
        <w:tabs>
          <w:tab w:pos="705" w:val="left" w:leader="none"/>
        </w:tabs>
        <w:spacing w:before="0"/>
        <w:ind w:left="165" w:right="0" w:firstLine="0"/>
        <w:jc w:val="left"/>
        <w:rPr>
          <w:sz w:val="20"/>
        </w:rPr>
      </w:pPr>
      <w:bookmarkStart w:name="_bookmark1761" w:id="1763"/>
      <w:bookmarkEnd w:id="1763"/>
      <w:r>
        <w:rPr/>
      </w:r>
      <w:hyperlink w:history="true" w:anchor="_bookmark1739">
        <w:r>
          <w:rPr>
            <w:color w:val="005DA1"/>
            <w:spacing w:val="-4"/>
            <w:position w:val="5"/>
            <w:sz w:val="14"/>
            <w:u w:val="single" w:color="005DA1"/>
          </w:rPr>
          <w:t>926</w:t>
        </w:r>
      </w:hyperlink>
      <w:r>
        <w:rPr>
          <w:spacing w:val="-4"/>
          <w:position w:val="5"/>
          <w:sz w:val="14"/>
        </w:rPr>
        <w:t>.</w:t>
      </w:r>
      <w:r>
        <w:rPr>
          <w:position w:val="5"/>
          <w:sz w:val="14"/>
        </w:rPr>
        <w:tab/>
      </w:r>
      <w:r>
        <w:rPr>
          <w:rFonts w:ascii="Arial"/>
          <w:i/>
          <w:sz w:val="20"/>
        </w:rPr>
        <w:t>[2001] EWCA Civ 527, [2002] Q.B. 35</w:t>
      </w:r>
      <w:r>
        <w:rPr>
          <w:rFonts w:ascii="Arial"/>
          <w:i/>
          <w:spacing w:val="-1"/>
          <w:sz w:val="20"/>
        </w:rPr>
        <w:t> </w:t>
      </w:r>
      <w:r>
        <w:rPr>
          <w:sz w:val="20"/>
        </w:rPr>
        <w:t>at </w:t>
      </w:r>
      <w:r>
        <w:rPr>
          <w:spacing w:val="-5"/>
          <w:sz w:val="20"/>
        </w:rPr>
        <w:t>47.</w:t>
      </w:r>
    </w:p>
    <w:p>
      <w:pPr>
        <w:pStyle w:val="BodyText"/>
        <w:spacing w:before="17"/>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8"/>
      </w:tblGrid>
      <w:tr>
        <w:trPr>
          <w:trHeight w:val="683" w:hRule="atLeast"/>
        </w:trPr>
        <w:tc>
          <w:tcPr>
            <w:tcW w:w="457" w:type="dxa"/>
          </w:tcPr>
          <w:p>
            <w:pPr>
              <w:pStyle w:val="TableParagraph"/>
              <w:spacing w:line="156" w:lineRule="exact" w:before="0"/>
              <w:ind w:left="0" w:right="82"/>
              <w:rPr>
                <w:sz w:val="14"/>
              </w:rPr>
            </w:pPr>
            <w:bookmarkStart w:name="_bookmark1762" w:id="1764"/>
            <w:bookmarkEnd w:id="1764"/>
            <w:r>
              <w:rPr/>
            </w:r>
            <w:hyperlink w:history="true" w:anchor="_bookmark1740">
              <w:r>
                <w:rPr>
                  <w:color w:val="005DA1"/>
                  <w:spacing w:val="-4"/>
                  <w:sz w:val="14"/>
                  <w:u w:val="single" w:color="005DA1"/>
                </w:rPr>
                <w:t>927</w:t>
              </w:r>
            </w:hyperlink>
            <w:r>
              <w:rPr>
                <w:spacing w:val="-4"/>
                <w:sz w:val="14"/>
              </w:rPr>
              <w:t>.</w:t>
            </w:r>
          </w:p>
        </w:tc>
        <w:tc>
          <w:tcPr>
            <w:tcW w:w="8658" w:type="dxa"/>
          </w:tcPr>
          <w:p>
            <w:pPr>
              <w:pStyle w:val="TableParagraph"/>
              <w:spacing w:line="227" w:lineRule="exact" w:before="108"/>
              <w:ind w:left="303"/>
              <w:jc w:val="left"/>
              <w:rPr>
                <w:rFonts w:ascii="Arial" w:hAnsi="Arial"/>
                <w:i/>
                <w:sz w:val="20"/>
              </w:rPr>
            </w:pPr>
            <w:r>
              <w:rPr>
                <w:rFonts w:ascii="Arial" w:hAnsi="Arial"/>
                <w:i/>
                <w:sz w:val="20"/>
              </w:rPr>
              <mc:AlternateContent>
                <mc:Choice Requires="wps">
                  <w:drawing>
                    <wp:anchor distT="0" distB="0" distL="0" distR="0" allowOverlap="1" layoutInCell="1" locked="0" behindDoc="1" simplePos="0" relativeHeight="480521216">
                      <wp:simplePos x="0" y="0"/>
                      <wp:positionH relativeFrom="column">
                        <wp:posOffset>85230</wp:posOffset>
                      </wp:positionH>
                      <wp:positionV relativeFrom="paragraph">
                        <wp:posOffset>96518</wp:posOffset>
                      </wp:positionV>
                      <wp:extent cx="108585" cy="108585"/>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108585" cy="108585"/>
                                <a:chExt cx="108585" cy="108585"/>
                              </a:xfrm>
                            </wpg:grpSpPr>
                            <pic:pic>
                              <pic:nvPicPr>
                                <pic:cNvPr id="414" name="Image 414"/>
                                <pic:cNvPicPr/>
                              </pic:nvPicPr>
                              <pic:blipFill>
                                <a:blip r:embed="rId6" cstate="print"/>
                                <a:stretch>
                                  <a:fillRect/>
                                </a:stretch>
                              </pic:blipFill>
                              <pic:spPr>
                                <a:xfrm>
                                  <a:off x="0" y="0"/>
                                  <a:ext cx="107988" cy="107988"/>
                                </a:xfrm>
                                <a:prstGeom prst="rect">
                                  <a:avLst/>
                                </a:prstGeom>
                              </pic:spPr>
                            </pic:pic>
                          </wpg:wgp>
                        </a:graphicData>
                      </a:graphic>
                    </wp:anchor>
                  </w:drawing>
                </mc:Choice>
                <mc:Fallback>
                  <w:pict>
                    <v:group style="position:absolute;margin-left:6.711088pt;margin-top:7.599883pt;width:8.550pt;height:8.550pt;mso-position-horizontal-relative:column;mso-position-vertical-relative:paragraph;z-index:-22795264" id="docshapegroup62" coordorigin="134,152" coordsize="171,171">
                      <v:shape style="position:absolute;left:134;top:152;width:171;height:171" type="#_x0000_t75" id="docshape63" stroked="false">
                        <v:imagedata r:id="rId6" o:title=""/>
                      </v:shape>
                      <w10:wrap type="none"/>
                    </v:group>
                  </w:pict>
                </mc:Fallback>
              </mc:AlternateContent>
            </w:r>
            <w:r>
              <w:rPr>
                <w:rFonts w:ascii="Arial" w:hAnsi="Arial"/>
                <w:i/>
                <w:sz w:val="20"/>
              </w:rPr>
              <w:t>[2014]</w:t>
            </w:r>
            <w:r>
              <w:rPr>
                <w:rFonts w:ascii="Arial" w:hAnsi="Arial"/>
                <w:i/>
                <w:spacing w:val="16"/>
                <w:sz w:val="20"/>
              </w:rPr>
              <w:t> </w:t>
            </w:r>
            <w:r>
              <w:rPr>
                <w:rFonts w:ascii="Arial" w:hAnsi="Arial"/>
                <w:i/>
                <w:sz w:val="20"/>
              </w:rPr>
              <w:t>EWHC</w:t>
            </w:r>
            <w:r>
              <w:rPr>
                <w:rFonts w:ascii="Arial" w:hAnsi="Arial"/>
                <w:i/>
                <w:spacing w:val="16"/>
                <w:sz w:val="20"/>
              </w:rPr>
              <w:t> </w:t>
            </w:r>
            <w:r>
              <w:rPr>
                <w:rFonts w:ascii="Arial" w:hAnsi="Arial"/>
                <w:i/>
                <w:sz w:val="20"/>
              </w:rPr>
              <w:t>1178</w:t>
            </w:r>
            <w:r>
              <w:rPr>
                <w:rFonts w:ascii="Arial" w:hAnsi="Arial"/>
                <w:i/>
                <w:spacing w:val="16"/>
                <w:sz w:val="20"/>
              </w:rPr>
              <w:t> </w:t>
            </w:r>
            <w:r>
              <w:rPr>
                <w:rFonts w:ascii="Arial" w:hAnsi="Arial"/>
                <w:i/>
                <w:sz w:val="20"/>
              </w:rPr>
              <w:t>(Ch),</w:t>
            </w:r>
            <w:r>
              <w:rPr>
                <w:rFonts w:ascii="Arial" w:hAnsi="Arial"/>
                <w:i/>
                <w:spacing w:val="16"/>
                <w:sz w:val="20"/>
              </w:rPr>
              <w:t> </w:t>
            </w:r>
            <w:r>
              <w:rPr>
                <w:rFonts w:ascii="Arial" w:hAnsi="Arial"/>
                <w:i/>
                <w:sz w:val="20"/>
              </w:rPr>
              <w:t>[2015]</w:t>
            </w:r>
            <w:r>
              <w:rPr>
                <w:rFonts w:ascii="Arial" w:hAnsi="Arial"/>
                <w:i/>
                <w:spacing w:val="16"/>
                <w:sz w:val="20"/>
              </w:rPr>
              <w:t> </w:t>
            </w:r>
            <w:r>
              <w:rPr>
                <w:rFonts w:ascii="Arial" w:hAnsi="Arial"/>
                <w:i/>
                <w:sz w:val="20"/>
              </w:rPr>
              <w:t>Ch.</w:t>
            </w:r>
            <w:r>
              <w:rPr>
                <w:rFonts w:ascii="Arial" w:hAnsi="Arial"/>
                <w:i/>
                <w:spacing w:val="16"/>
                <w:sz w:val="20"/>
              </w:rPr>
              <w:t> </w:t>
            </w:r>
            <w:r>
              <w:rPr>
                <w:rFonts w:ascii="Arial" w:hAnsi="Arial"/>
                <w:i/>
                <w:sz w:val="20"/>
              </w:rPr>
              <w:t>212</w:t>
            </w:r>
            <w:r>
              <w:rPr>
                <w:rFonts w:ascii="Arial" w:hAnsi="Arial"/>
                <w:i/>
                <w:spacing w:val="15"/>
                <w:sz w:val="20"/>
              </w:rPr>
              <w:t> </w:t>
            </w:r>
            <w:r>
              <w:rPr>
                <w:sz w:val="20"/>
              </w:rPr>
              <w:t>at</w:t>
            </w:r>
            <w:r>
              <w:rPr>
                <w:spacing w:val="16"/>
                <w:sz w:val="20"/>
              </w:rPr>
              <w:t> </w:t>
            </w:r>
            <w:r>
              <w:rPr>
                <w:sz w:val="20"/>
              </w:rPr>
              <w:t>[43]–[44];</w:t>
            </w:r>
            <w:r>
              <w:rPr>
                <w:spacing w:val="16"/>
                <w:sz w:val="20"/>
              </w:rPr>
              <w:t> </w:t>
            </w:r>
            <w:r>
              <w:rPr>
                <w:rFonts w:ascii="Arial" w:hAnsi="Arial"/>
                <w:i/>
                <w:sz w:val="20"/>
              </w:rPr>
              <w:t>Bank</w:t>
            </w:r>
            <w:r>
              <w:rPr>
                <w:rFonts w:ascii="Arial" w:hAnsi="Arial"/>
                <w:i/>
                <w:spacing w:val="16"/>
                <w:sz w:val="20"/>
              </w:rPr>
              <w:t> </w:t>
            </w:r>
            <w:r>
              <w:rPr>
                <w:rFonts w:ascii="Arial" w:hAnsi="Arial"/>
                <w:i/>
                <w:sz w:val="20"/>
              </w:rPr>
              <w:t>of</w:t>
            </w:r>
            <w:r>
              <w:rPr>
                <w:rFonts w:ascii="Arial" w:hAnsi="Arial"/>
                <w:i/>
                <w:spacing w:val="16"/>
                <w:sz w:val="20"/>
              </w:rPr>
              <w:t> </w:t>
            </w:r>
            <w:r>
              <w:rPr>
                <w:rFonts w:ascii="Arial" w:hAnsi="Arial"/>
                <w:i/>
                <w:sz w:val="20"/>
              </w:rPr>
              <w:t>Scotland</w:t>
            </w:r>
            <w:r>
              <w:rPr>
                <w:rFonts w:ascii="Arial" w:hAnsi="Arial"/>
                <w:i/>
                <w:spacing w:val="16"/>
                <w:sz w:val="20"/>
              </w:rPr>
              <w:t> </w:t>
            </w:r>
            <w:r>
              <w:rPr>
                <w:rFonts w:ascii="Arial" w:hAnsi="Arial"/>
                <w:i/>
                <w:sz w:val="20"/>
              </w:rPr>
              <w:t>Plc</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Waugh</w:t>
            </w:r>
            <w:r>
              <w:rPr>
                <w:rFonts w:ascii="Arial" w:hAnsi="Arial"/>
                <w:i/>
                <w:spacing w:val="16"/>
                <w:sz w:val="20"/>
              </w:rPr>
              <w:t> </w:t>
            </w:r>
            <w:r>
              <w:rPr>
                <w:rFonts w:ascii="Arial" w:hAnsi="Arial"/>
                <w:i/>
                <w:spacing w:val="-2"/>
                <w:sz w:val="20"/>
              </w:rPr>
              <w:t>[2014]</w:t>
            </w:r>
          </w:p>
          <w:p>
            <w:pPr>
              <w:pStyle w:val="TableParagraph"/>
              <w:spacing w:line="227" w:lineRule="exact" w:before="0"/>
              <w:ind w:left="133"/>
              <w:jc w:val="left"/>
              <w:rPr>
                <w:sz w:val="20"/>
              </w:rPr>
            </w:pPr>
            <w:r>
              <w:rPr>
                <w:rFonts w:ascii="Arial" w:hAnsi="Arial"/>
                <w:i/>
                <w:sz w:val="20"/>
              </w:rPr>
              <w:t>EWHC 2117 (Ch), [2015] 1 P. &amp; C.R. DG3</w:t>
            </w:r>
            <w:r>
              <w:rPr>
                <w:rFonts w:ascii="Arial" w:hAnsi="Arial"/>
                <w:i/>
                <w:spacing w:val="-1"/>
                <w:sz w:val="20"/>
              </w:rPr>
              <w:t> </w:t>
            </w:r>
            <w:r>
              <w:rPr>
                <w:sz w:val="20"/>
              </w:rPr>
              <w:t>at </w:t>
            </w:r>
            <w:r>
              <w:rPr>
                <w:spacing w:val="-2"/>
                <w:sz w:val="20"/>
              </w:rPr>
              <w:t>[68]–[79].</w:t>
            </w:r>
          </w:p>
        </w:tc>
      </w:tr>
      <w:tr>
        <w:trPr>
          <w:trHeight w:val="465" w:hRule="atLeast"/>
        </w:trPr>
        <w:tc>
          <w:tcPr>
            <w:tcW w:w="457" w:type="dxa"/>
          </w:tcPr>
          <w:p>
            <w:pPr>
              <w:pStyle w:val="TableParagraph"/>
              <w:ind w:left="0" w:right="82"/>
              <w:rPr>
                <w:sz w:val="14"/>
              </w:rPr>
            </w:pPr>
            <w:bookmarkStart w:name="_bookmark1763" w:id="1765"/>
            <w:bookmarkEnd w:id="1765"/>
            <w:r>
              <w:rPr/>
            </w:r>
            <w:hyperlink w:history="true" w:anchor="_bookmark1741">
              <w:r>
                <w:rPr>
                  <w:color w:val="005DA1"/>
                  <w:spacing w:val="-4"/>
                  <w:sz w:val="14"/>
                  <w:u w:val="single" w:color="005DA1"/>
                </w:rPr>
                <w:t>928</w:t>
              </w:r>
            </w:hyperlink>
            <w:r>
              <w:rPr>
                <w:spacing w:val="-4"/>
                <w:sz w:val="14"/>
              </w:rPr>
              <w:t>.</w:t>
            </w:r>
          </w:p>
        </w:tc>
        <w:tc>
          <w:tcPr>
            <w:tcW w:w="8658" w:type="dxa"/>
          </w:tcPr>
          <w:p>
            <w:pPr>
              <w:pStyle w:val="TableParagraph"/>
              <w:spacing w:before="114"/>
              <w:ind w:left="133"/>
              <w:jc w:val="left"/>
              <w:rPr>
                <w:sz w:val="20"/>
              </w:rPr>
            </w:pPr>
            <w:r>
              <w:rPr>
                <w:sz w:val="20"/>
              </w:rPr>
              <w:t>See Vol.II, para.45-</w:t>
            </w:r>
            <w:r>
              <w:rPr>
                <w:spacing w:val="-4"/>
                <w:sz w:val="20"/>
              </w:rPr>
              <w:t>060.</w:t>
            </w:r>
          </w:p>
        </w:tc>
      </w:tr>
      <w:tr>
        <w:trPr>
          <w:trHeight w:val="465" w:hRule="atLeast"/>
        </w:trPr>
        <w:tc>
          <w:tcPr>
            <w:tcW w:w="457" w:type="dxa"/>
          </w:tcPr>
          <w:p>
            <w:pPr>
              <w:pStyle w:val="TableParagraph"/>
              <w:ind w:left="0" w:right="82"/>
              <w:rPr>
                <w:sz w:val="14"/>
              </w:rPr>
            </w:pPr>
            <w:bookmarkStart w:name="_bookmark1764" w:id="1766"/>
            <w:bookmarkEnd w:id="1766"/>
            <w:r>
              <w:rPr/>
            </w:r>
            <w:hyperlink w:history="true" w:anchor="_bookmark1742">
              <w:r>
                <w:rPr>
                  <w:color w:val="005DA1"/>
                  <w:spacing w:val="-4"/>
                  <w:sz w:val="14"/>
                  <w:u w:val="single" w:color="005DA1"/>
                </w:rPr>
                <w:t>929</w:t>
              </w:r>
            </w:hyperlink>
            <w:r>
              <w:rPr>
                <w:spacing w:val="-4"/>
                <w:sz w:val="14"/>
              </w:rPr>
              <w:t>.</w:t>
            </w:r>
          </w:p>
        </w:tc>
        <w:tc>
          <w:tcPr>
            <w:tcW w:w="8658" w:type="dxa"/>
          </w:tcPr>
          <w:p>
            <w:pPr>
              <w:pStyle w:val="TableParagraph"/>
              <w:spacing w:before="114"/>
              <w:ind w:left="133"/>
              <w:jc w:val="left"/>
              <w:rPr>
                <w:sz w:val="20"/>
              </w:rPr>
            </w:pPr>
            <w:r>
              <w:rPr>
                <w:rFonts w:ascii="Arial"/>
                <w:i/>
                <w:sz w:val="20"/>
              </w:rPr>
              <w:t>[2003] UKHL 17, [2003] 2 All E.R. 615</w:t>
            </w:r>
            <w:r>
              <w:rPr>
                <w:rFonts w:ascii="Arial"/>
                <w:i/>
                <w:spacing w:val="-1"/>
                <w:sz w:val="20"/>
              </w:rPr>
              <w:t> </w:t>
            </w:r>
            <w:r>
              <w:rPr>
                <w:sz w:val="20"/>
              </w:rPr>
              <w:t>at </w:t>
            </w:r>
            <w:r>
              <w:rPr>
                <w:spacing w:val="-2"/>
                <w:sz w:val="20"/>
              </w:rPr>
              <w:t>[51].</w:t>
            </w:r>
          </w:p>
        </w:tc>
      </w:tr>
      <w:tr>
        <w:trPr>
          <w:trHeight w:val="569" w:hRule="atLeast"/>
        </w:trPr>
        <w:tc>
          <w:tcPr>
            <w:tcW w:w="457" w:type="dxa"/>
          </w:tcPr>
          <w:p>
            <w:pPr>
              <w:pStyle w:val="TableParagraph"/>
              <w:ind w:left="0" w:right="82"/>
              <w:rPr>
                <w:sz w:val="14"/>
              </w:rPr>
            </w:pPr>
            <w:bookmarkStart w:name="_bookmark1765" w:id="1767"/>
            <w:bookmarkEnd w:id="1767"/>
            <w:r>
              <w:rPr/>
            </w:r>
            <w:hyperlink w:history="true" w:anchor="_bookmark1743">
              <w:r>
                <w:rPr>
                  <w:color w:val="005DA1"/>
                  <w:spacing w:val="-4"/>
                  <w:sz w:val="14"/>
                  <w:u w:val="single" w:color="005DA1"/>
                </w:rPr>
                <w:t>930</w:t>
              </w:r>
            </w:hyperlink>
            <w:r>
              <w:rPr>
                <w:spacing w:val="-4"/>
                <w:sz w:val="14"/>
              </w:rPr>
              <w:t>.</w:t>
            </w:r>
          </w:p>
        </w:tc>
        <w:tc>
          <w:tcPr>
            <w:tcW w:w="8658" w:type="dxa"/>
          </w:tcPr>
          <w:p>
            <w:pPr>
              <w:pStyle w:val="TableParagraph"/>
              <w:spacing w:line="227" w:lineRule="exact" w:before="114"/>
              <w:ind w:left="133"/>
              <w:jc w:val="left"/>
              <w:rPr>
                <w:rFonts w:ascii="Arial"/>
                <w:i/>
                <w:sz w:val="20"/>
              </w:rPr>
            </w:pPr>
            <w:r>
              <w:rPr>
                <w:rFonts w:ascii="Arial"/>
                <w:i/>
                <w:sz w:val="20"/>
              </w:rPr>
              <w:t>[2003]</w:t>
            </w:r>
            <w:r>
              <w:rPr>
                <w:rFonts w:ascii="Arial"/>
                <w:i/>
                <w:spacing w:val="12"/>
                <w:sz w:val="20"/>
              </w:rPr>
              <w:t> </w:t>
            </w:r>
            <w:r>
              <w:rPr>
                <w:rFonts w:ascii="Arial"/>
                <w:i/>
                <w:sz w:val="20"/>
              </w:rPr>
              <w:t>UKHL</w:t>
            </w:r>
            <w:r>
              <w:rPr>
                <w:rFonts w:ascii="Arial"/>
                <w:i/>
                <w:spacing w:val="12"/>
                <w:sz w:val="20"/>
              </w:rPr>
              <w:t> </w:t>
            </w:r>
            <w:r>
              <w:rPr>
                <w:rFonts w:ascii="Arial"/>
                <w:i/>
                <w:sz w:val="20"/>
              </w:rPr>
              <w:t>17</w:t>
            </w:r>
            <w:r>
              <w:rPr>
                <w:rFonts w:ascii="Arial"/>
                <w:i/>
                <w:spacing w:val="12"/>
                <w:sz w:val="20"/>
              </w:rPr>
              <w:t> </w:t>
            </w:r>
            <w:r>
              <w:rPr>
                <w:sz w:val="20"/>
              </w:rPr>
              <w:t>at</w:t>
            </w:r>
            <w:r>
              <w:rPr>
                <w:spacing w:val="12"/>
                <w:sz w:val="20"/>
              </w:rPr>
              <w:t> </w:t>
            </w:r>
            <w:r>
              <w:rPr>
                <w:sz w:val="20"/>
              </w:rPr>
              <w:t>[51],</w:t>
            </w:r>
            <w:r>
              <w:rPr>
                <w:spacing w:val="12"/>
                <w:sz w:val="20"/>
              </w:rPr>
              <w:t> </w:t>
            </w:r>
            <w:r>
              <w:rPr>
                <w:sz w:val="20"/>
              </w:rPr>
              <w:t>per</w:t>
            </w:r>
            <w:r>
              <w:rPr>
                <w:spacing w:val="12"/>
                <w:sz w:val="20"/>
              </w:rPr>
              <w:t> </w:t>
            </w:r>
            <w:r>
              <w:rPr>
                <w:sz w:val="20"/>
              </w:rPr>
              <w:t>Lord</w:t>
            </w:r>
            <w:r>
              <w:rPr>
                <w:spacing w:val="12"/>
                <w:sz w:val="20"/>
              </w:rPr>
              <w:t> </w:t>
            </w:r>
            <w:r>
              <w:rPr>
                <w:sz w:val="20"/>
              </w:rPr>
              <w:t>Walker</w:t>
            </w:r>
            <w:r>
              <w:rPr>
                <w:spacing w:val="12"/>
                <w:sz w:val="20"/>
              </w:rPr>
              <w:t> </w:t>
            </w:r>
            <w:r>
              <w:rPr>
                <w:sz w:val="20"/>
              </w:rPr>
              <w:t>of</w:t>
            </w:r>
            <w:r>
              <w:rPr>
                <w:spacing w:val="12"/>
                <w:sz w:val="20"/>
              </w:rPr>
              <w:t> </w:t>
            </w:r>
            <w:r>
              <w:rPr>
                <w:sz w:val="20"/>
              </w:rPr>
              <w:t>Gestingthorpe;</w:t>
            </w:r>
            <w:r>
              <w:rPr>
                <w:spacing w:val="12"/>
                <w:sz w:val="20"/>
              </w:rPr>
              <w:t> </w:t>
            </w:r>
            <w:r>
              <w:rPr>
                <w:rFonts w:ascii="Arial"/>
                <w:i/>
                <w:sz w:val="20"/>
              </w:rPr>
              <w:t>[2001]</w:t>
            </w:r>
            <w:r>
              <w:rPr>
                <w:rFonts w:ascii="Arial"/>
                <w:i/>
                <w:spacing w:val="12"/>
                <w:sz w:val="20"/>
              </w:rPr>
              <w:t> </w:t>
            </w:r>
            <w:r>
              <w:rPr>
                <w:rFonts w:ascii="Arial"/>
                <w:i/>
                <w:sz w:val="20"/>
              </w:rPr>
              <w:t>EWCA</w:t>
            </w:r>
            <w:r>
              <w:rPr>
                <w:rFonts w:ascii="Arial"/>
                <w:i/>
                <w:spacing w:val="12"/>
                <w:sz w:val="20"/>
              </w:rPr>
              <w:t> </w:t>
            </w:r>
            <w:r>
              <w:rPr>
                <w:rFonts w:ascii="Arial"/>
                <w:i/>
                <w:sz w:val="20"/>
              </w:rPr>
              <w:t>Civ</w:t>
            </w:r>
            <w:r>
              <w:rPr>
                <w:rFonts w:ascii="Arial"/>
                <w:i/>
                <w:spacing w:val="12"/>
                <w:sz w:val="20"/>
              </w:rPr>
              <w:t> </w:t>
            </w:r>
            <w:r>
              <w:rPr>
                <w:rFonts w:ascii="Arial"/>
                <w:i/>
                <w:sz w:val="20"/>
              </w:rPr>
              <w:t>527,</w:t>
            </w:r>
            <w:r>
              <w:rPr>
                <w:rFonts w:ascii="Arial"/>
                <w:i/>
                <w:spacing w:val="12"/>
                <w:sz w:val="20"/>
              </w:rPr>
              <w:t> </w:t>
            </w:r>
            <w:r>
              <w:rPr>
                <w:rFonts w:ascii="Arial"/>
                <w:i/>
                <w:sz w:val="20"/>
              </w:rPr>
              <w:t>[2002]</w:t>
            </w:r>
            <w:r>
              <w:rPr>
                <w:rFonts w:ascii="Arial"/>
                <w:i/>
                <w:spacing w:val="12"/>
                <w:sz w:val="20"/>
              </w:rPr>
              <w:t> </w:t>
            </w:r>
            <w:r>
              <w:rPr>
                <w:rFonts w:ascii="Arial"/>
                <w:i/>
                <w:spacing w:val="-4"/>
                <w:sz w:val="20"/>
              </w:rPr>
              <w:t>Q.B.</w:t>
            </w:r>
          </w:p>
          <w:p>
            <w:pPr>
              <w:pStyle w:val="TableParagraph"/>
              <w:spacing w:line="207" w:lineRule="exact" w:before="0"/>
              <w:ind w:left="133"/>
              <w:jc w:val="left"/>
              <w:rPr>
                <w:sz w:val="20"/>
              </w:rPr>
            </w:pPr>
            <w:r>
              <w:rPr>
                <w:rFonts w:ascii="Arial"/>
                <w:i/>
                <w:sz w:val="20"/>
              </w:rPr>
              <w:t>35</w:t>
            </w:r>
            <w:r>
              <w:rPr>
                <w:rFonts w:ascii="Arial"/>
                <w:i/>
                <w:spacing w:val="-1"/>
                <w:sz w:val="20"/>
              </w:rPr>
              <w:t> </w:t>
            </w:r>
            <w:r>
              <w:rPr>
                <w:sz w:val="20"/>
              </w:rPr>
              <w:t>at </w:t>
            </w:r>
            <w:r>
              <w:rPr>
                <w:spacing w:val="-5"/>
                <w:sz w:val="20"/>
              </w:rPr>
              <w:t>47.</w:t>
            </w:r>
          </w:p>
        </w:tc>
      </w:tr>
    </w:tbl>
    <w:p>
      <w:pPr>
        <w:pStyle w:val="BodyText"/>
        <w:spacing w:before="10"/>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26432">
            <wp:simplePos x="0" y="0"/>
            <wp:positionH relativeFrom="page">
              <wp:posOffset>1257846</wp:posOffset>
            </wp:positionH>
            <wp:positionV relativeFrom="paragraph">
              <wp:posOffset>160166</wp:posOffset>
            </wp:positionV>
            <wp:extent cx="107988" cy="107988"/>
            <wp:effectExtent l="0" t="0" r="0" b="0"/>
            <wp:wrapNone/>
            <wp:docPr id="415" name="Image 415"/>
            <wp:cNvGraphicFramePr>
              <a:graphicFrameLocks/>
            </wp:cNvGraphicFramePr>
            <a:graphic>
              <a:graphicData uri="http://schemas.openxmlformats.org/drawingml/2006/picture">
                <pic:pic>
                  <pic:nvPicPr>
                    <pic:cNvPr id="415" name="Image 41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766" w:id="1768"/>
      <w:bookmarkEnd w:id="1768"/>
      <w:r>
        <w:rPr/>
      </w:r>
      <w:hyperlink w:history="true" w:anchor="_bookmark1744">
        <w:r>
          <w:rPr>
            <w:color w:val="005DA1"/>
            <w:spacing w:val="-4"/>
            <w:sz w:val="14"/>
            <w:u w:val="single" w:color="005DA1"/>
          </w:rPr>
          <w:t>931</w:t>
        </w:r>
      </w:hyperlink>
      <w:r>
        <w:rPr>
          <w:spacing w:val="-4"/>
          <w:sz w:val="14"/>
        </w:rPr>
        <w:t>.</w:t>
      </w:r>
    </w:p>
    <w:p>
      <w:pPr>
        <w:spacing w:line="235" w:lineRule="auto" w:before="212"/>
        <w:ind w:left="165" w:right="167" w:firstLine="170"/>
        <w:jc w:val="both"/>
        <w:rPr>
          <w:sz w:val="20"/>
        </w:rPr>
      </w:pPr>
      <w:r>
        <w:rPr/>
        <w:br w:type="column"/>
      </w:r>
      <w:r>
        <w:rPr>
          <w:sz w:val="20"/>
        </w:rPr>
        <w:t>It may be difficult to distinguish between a deed which has not been delivered at all and one which has been delivered as an escrow: Peel, </w:t>
      </w:r>
      <w:r>
        <w:rPr>
          <w:rFonts w:ascii="Arial" w:hAnsi="Arial"/>
          <w:i/>
          <w:sz w:val="20"/>
        </w:rPr>
        <w:t>Treitel on The Law of Contract</w:t>
      </w:r>
      <w:r>
        <w:rPr>
          <w:sz w:val="20"/>
        </w:rPr>
        <w:t>, 14th edn (2015), para.3–173; </w:t>
      </w:r>
      <w:r>
        <w:rPr>
          <w:rFonts w:ascii="Arial" w:hAnsi="Arial"/>
          <w:i/>
          <w:sz w:val="20"/>
        </w:rPr>
        <w:t>Vincent v Primo Enterprises (Voucher Sales) Ltd [1969] 2 Q.B. 609, 620</w:t>
      </w:r>
      <w:r>
        <w:rPr>
          <w:sz w:val="20"/>
        </w:rPr>
        <w:t>; </w:t>
      </w:r>
      <w:r>
        <w:rPr>
          <w:rFonts w:ascii="Arial" w:hAnsi="Arial"/>
          <w:i/>
          <w:sz w:val="20"/>
        </w:rPr>
        <w:t>Kingston v American Investments Ltd [1975] 1 W.L.R. 161</w:t>
      </w:r>
      <w:r>
        <w:rPr>
          <w:sz w:val="20"/>
        </w:rPr>
        <w:t>; </w:t>
      </w:r>
      <w:r>
        <w:rPr>
          <w:rFonts w:ascii="Arial" w:hAnsi="Arial"/>
          <w:i/>
          <w:sz w:val="20"/>
        </w:rPr>
        <w:t>Windsor Refrigerator Co Ltd v </w:t>
      </w:r>
      <w:r>
        <w:rPr>
          <w:rFonts w:ascii="Arial" w:hAnsi="Arial"/>
          <w:i/>
          <w:sz w:val="20"/>
        </w:rPr>
        <w:t>Branch Nominees Ltd [1961] Ch. 88 </w:t>
      </w:r>
      <w:r>
        <w:rPr>
          <w:sz w:val="20"/>
        </w:rPr>
        <w:t>at 102 (reversed on other grounds </w:t>
      </w:r>
      <w:r>
        <w:rPr>
          <w:rFonts w:ascii="Arial" w:hAnsi="Arial"/>
          <w:i/>
          <w:sz w:val="20"/>
        </w:rPr>
        <w:t>[1961] Ch. 375</w:t>
      </w:r>
      <w:r>
        <w:rPr>
          <w:sz w:val="20"/>
        </w:rPr>
        <w:t>); </w:t>
      </w:r>
      <w:r>
        <w:rPr>
          <w:rFonts w:ascii="Arial" w:hAnsi="Arial"/>
          <w:i/>
          <w:sz w:val="20"/>
        </w:rPr>
        <w:t>Silver Queen Maritime Ltd v Persia Petroleum Services Ltd [2010] EWHC 2867 (QB)</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3"/>
      </w:pPr>
    </w:p>
    <w:p>
      <w:pPr>
        <w:spacing w:line="227" w:lineRule="exact" w:before="1"/>
        <w:ind w:left="165" w:right="0" w:firstLine="0"/>
        <w:jc w:val="both"/>
        <w:rPr>
          <w:sz w:val="20"/>
        </w:rPr>
      </w:pPr>
      <w:bookmarkStart w:name="_bookmark1767" w:id="1769"/>
      <w:bookmarkEnd w:id="1769"/>
      <w:r>
        <w:rPr/>
      </w:r>
      <w:hyperlink w:history="true" w:anchor="_bookmark1745">
        <w:r>
          <w:rPr>
            <w:color w:val="005DA1"/>
            <w:position w:val="5"/>
            <w:sz w:val="14"/>
            <w:u w:val="single" w:color="005DA1"/>
          </w:rPr>
          <w:t>932</w:t>
        </w:r>
      </w:hyperlink>
      <w:r>
        <w:rPr>
          <w:position w:val="5"/>
          <w:sz w:val="14"/>
        </w:rPr>
        <w:t>.</w:t>
      </w:r>
      <w:r>
        <w:rPr>
          <w:spacing w:val="75"/>
          <w:w w:val="150"/>
          <w:position w:val="5"/>
          <w:sz w:val="14"/>
        </w:rPr>
        <w:t>  </w:t>
      </w:r>
      <w:r>
        <w:rPr>
          <w:rFonts w:ascii="Arial"/>
          <w:i/>
          <w:sz w:val="20"/>
        </w:rPr>
        <w:t>Murray</w:t>
      </w:r>
      <w:r>
        <w:rPr>
          <w:rFonts w:ascii="Arial"/>
          <w:i/>
          <w:spacing w:val="15"/>
          <w:sz w:val="20"/>
        </w:rPr>
        <w:t> </w:t>
      </w:r>
      <w:r>
        <w:rPr>
          <w:rFonts w:ascii="Arial"/>
          <w:i/>
          <w:sz w:val="20"/>
        </w:rPr>
        <w:t>v</w:t>
      </w:r>
      <w:r>
        <w:rPr>
          <w:rFonts w:ascii="Arial"/>
          <w:i/>
          <w:spacing w:val="15"/>
          <w:sz w:val="20"/>
        </w:rPr>
        <w:t> </w:t>
      </w:r>
      <w:r>
        <w:rPr>
          <w:rFonts w:ascii="Arial"/>
          <w:i/>
          <w:sz w:val="20"/>
        </w:rPr>
        <w:t>Earl</w:t>
      </w:r>
      <w:r>
        <w:rPr>
          <w:rFonts w:ascii="Arial"/>
          <w:i/>
          <w:spacing w:val="15"/>
          <w:sz w:val="20"/>
        </w:rPr>
        <w:t> </w:t>
      </w:r>
      <w:r>
        <w:rPr>
          <w:rFonts w:ascii="Arial"/>
          <w:i/>
          <w:sz w:val="20"/>
        </w:rPr>
        <w:t>of</w:t>
      </w:r>
      <w:r>
        <w:rPr>
          <w:rFonts w:ascii="Arial"/>
          <w:i/>
          <w:spacing w:val="15"/>
          <w:sz w:val="20"/>
        </w:rPr>
        <w:t> </w:t>
      </w:r>
      <w:r>
        <w:rPr>
          <w:rFonts w:ascii="Arial"/>
          <w:i/>
          <w:sz w:val="20"/>
        </w:rPr>
        <w:t>Stair</w:t>
      </w:r>
      <w:r>
        <w:rPr>
          <w:rFonts w:ascii="Arial"/>
          <w:i/>
          <w:spacing w:val="15"/>
          <w:sz w:val="20"/>
        </w:rPr>
        <w:t> </w:t>
      </w:r>
      <w:r>
        <w:rPr>
          <w:rFonts w:ascii="Arial"/>
          <w:i/>
          <w:sz w:val="20"/>
        </w:rPr>
        <w:t>(1823)</w:t>
      </w:r>
      <w:r>
        <w:rPr>
          <w:rFonts w:ascii="Arial"/>
          <w:i/>
          <w:spacing w:val="15"/>
          <w:sz w:val="20"/>
        </w:rPr>
        <w:t> </w:t>
      </w:r>
      <w:r>
        <w:rPr>
          <w:rFonts w:ascii="Arial"/>
          <w:i/>
          <w:sz w:val="20"/>
        </w:rPr>
        <w:t>2</w:t>
      </w:r>
      <w:r>
        <w:rPr>
          <w:rFonts w:ascii="Arial"/>
          <w:i/>
          <w:spacing w:val="15"/>
          <w:sz w:val="20"/>
        </w:rPr>
        <w:t> </w:t>
      </w:r>
      <w:r>
        <w:rPr>
          <w:rFonts w:ascii="Arial"/>
          <w:i/>
          <w:sz w:val="20"/>
        </w:rPr>
        <w:t>B.</w:t>
      </w:r>
      <w:r>
        <w:rPr>
          <w:rFonts w:ascii="Arial"/>
          <w:i/>
          <w:spacing w:val="15"/>
          <w:sz w:val="20"/>
        </w:rPr>
        <w:t> </w:t>
      </w:r>
      <w:r>
        <w:rPr>
          <w:rFonts w:ascii="Arial"/>
          <w:i/>
          <w:sz w:val="20"/>
        </w:rPr>
        <w:t>&amp;</w:t>
      </w:r>
      <w:r>
        <w:rPr>
          <w:rFonts w:ascii="Arial"/>
          <w:i/>
          <w:spacing w:val="15"/>
          <w:sz w:val="20"/>
        </w:rPr>
        <w:t> </w:t>
      </w:r>
      <w:r>
        <w:rPr>
          <w:rFonts w:ascii="Arial"/>
          <w:i/>
          <w:sz w:val="20"/>
        </w:rPr>
        <w:t>C.</w:t>
      </w:r>
      <w:r>
        <w:rPr>
          <w:rFonts w:ascii="Arial"/>
          <w:i/>
          <w:spacing w:val="15"/>
          <w:sz w:val="20"/>
        </w:rPr>
        <w:t> </w:t>
      </w:r>
      <w:r>
        <w:rPr>
          <w:rFonts w:ascii="Arial"/>
          <w:i/>
          <w:sz w:val="20"/>
        </w:rPr>
        <w:t>82</w:t>
      </w:r>
      <w:r>
        <w:rPr>
          <w:sz w:val="20"/>
        </w:rPr>
        <w:t>;</w:t>
      </w:r>
      <w:r>
        <w:rPr>
          <w:spacing w:val="14"/>
          <w:sz w:val="20"/>
        </w:rPr>
        <w:t> </w:t>
      </w:r>
      <w:r>
        <w:rPr>
          <w:rFonts w:ascii="Arial"/>
          <w:i/>
          <w:sz w:val="20"/>
        </w:rPr>
        <w:t>Xenos</w:t>
      </w:r>
      <w:r>
        <w:rPr>
          <w:rFonts w:ascii="Arial"/>
          <w:i/>
          <w:spacing w:val="15"/>
          <w:sz w:val="20"/>
        </w:rPr>
        <w:t> </w:t>
      </w:r>
      <w:r>
        <w:rPr>
          <w:rFonts w:ascii="Arial"/>
          <w:i/>
          <w:sz w:val="20"/>
        </w:rPr>
        <w:t>v</w:t>
      </w:r>
      <w:r>
        <w:rPr>
          <w:rFonts w:ascii="Arial"/>
          <w:i/>
          <w:spacing w:val="15"/>
          <w:sz w:val="20"/>
        </w:rPr>
        <w:t> </w:t>
      </w:r>
      <w:r>
        <w:rPr>
          <w:rFonts w:ascii="Arial"/>
          <w:i/>
          <w:sz w:val="20"/>
        </w:rPr>
        <w:t>Wickham</w:t>
      </w:r>
      <w:r>
        <w:rPr>
          <w:rFonts w:ascii="Arial"/>
          <w:i/>
          <w:spacing w:val="15"/>
          <w:sz w:val="20"/>
        </w:rPr>
        <w:t> </w:t>
      </w:r>
      <w:r>
        <w:rPr>
          <w:rFonts w:ascii="Arial"/>
          <w:i/>
          <w:sz w:val="20"/>
        </w:rPr>
        <w:t>(1867)</w:t>
      </w:r>
      <w:r>
        <w:rPr>
          <w:rFonts w:ascii="Arial"/>
          <w:i/>
          <w:spacing w:val="15"/>
          <w:sz w:val="20"/>
        </w:rPr>
        <w:t> </w:t>
      </w:r>
      <w:r>
        <w:rPr>
          <w:rFonts w:ascii="Arial"/>
          <w:i/>
          <w:sz w:val="20"/>
        </w:rPr>
        <w:t>L.R.</w:t>
      </w:r>
      <w:r>
        <w:rPr>
          <w:rFonts w:ascii="Arial"/>
          <w:i/>
          <w:spacing w:val="15"/>
          <w:sz w:val="20"/>
        </w:rPr>
        <w:t> </w:t>
      </w:r>
      <w:r>
        <w:rPr>
          <w:rFonts w:ascii="Arial"/>
          <w:i/>
          <w:sz w:val="20"/>
        </w:rPr>
        <w:t>2</w:t>
      </w:r>
      <w:r>
        <w:rPr>
          <w:rFonts w:ascii="Arial"/>
          <w:i/>
          <w:spacing w:val="15"/>
          <w:sz w:val="20"/>
        </w:rPr>
        <w:t> </w:t>
      </w:r>
      <w:r>
        <w:rPr>
          <w:rFonts w:ascii="Arial"/>
          <w:i/>
          <w:sz w:val="20"/>
        </w:rPr>
        <w:t>H.L.</w:t>
      </w:r>
      <w:r>
        <w:rPr>
          <w:rFonts w:ascii="Arial"/>
          <w:i/>
          <w:spacing w:val="15"/>
          <w:sz w:val="20"/>
        </w:rPr>
        <w:t> </w:t>
      </w:r>
      <w:r>
        <w:rPr>
          <w:rFonts w:ascii="Arial"/>
          <w:i/>
          <w:sz w:val="20"/>
        </w:rPr>
        <w:t>296</w:t>
      </w:r>
      <w:r>
        <w:rPr>
          <w:rFonts w:ascii="Arial"/>
          <w:i/>
          <w:spacing w:val="14"/>
          <w:sz w:val="20"/>
        </w:rPr>
        <w:t> </w:t>
      </w:r>
      <w:r>
        <w:rPr>
          <w:sz w:val="20"/>
        </w:rPr>
        <w:t>at</w:t>
      </w:r>
      <w:r>
        <w:rPr>
          <w:spacing w:val="15"/>
          <w:sz w:val="20"/>
        </w:rPr>
        <w:t> </w:t>
      </w:r>
      <w:r>
        <w:rPr>
          <w:spacing w:val="-2"/>
          <w:sz w:val="20"/>
        </w:rPr>
        <w:t>[323];</w:t>
      </w:r>
    </w:p>
    <w:p>
      <w:pPr>
        <w:spacing w:line="235" w:lineRule="auto" w:before="1"/>
        <w:ind w:left="705" w:right="168" w:firstLine="0"/>
        <w:jc w:val="both"/>
        <w:rPr>
          <w:rFonts w:ascii="Arial" w:hAnsi="Arial"/>
          <w:i/>
          <w:sz w:val="20"/>
        </w:rPr>
      </w:pPr>
      <w:r>
        <w:rPr>
          <w:rFonts w:ascii="Arial" w:hAnsi="Arial"/>
          <w:i/>
          <w:sz w:val="20"/>
        </w:rPr>
        <w:t>Macedo v Stroud [1922] 2 A.C. 330 </w:t>
      </w:r>
      <w:r>
        <w:rPr>
          <w:sz w:val="20"/>
        </w:rPr>
        <w:t>at [337]; </w:t>
      </w:r>
      <w:r>
        <w:rPr>
          <w:rFonts w:ascii="Arial" w:hAnsi="Arial"/>
          <w:i/>
          <w:sz w:val="20"/>
        </w:rPr>
        <w:t>Beesly v Hallwood Estates Ltd [1961] Ch. </w:t>
      </w:r>
      <w:r>
        <w:rPr>
          <w:rFonts w:ascii="Arial" w:hAnsi="Arial"/>
          <w:i/>
          <w:sz w:val="20"/>
        </w:rPr>
        <w:t>105</w:t>
      </w:r>
      <w:r>
        <w:rPr>
          <w:sz w:val="20"/>
        </w:rPr>
        <w:t>; </w:t>
      </w:r>
      <w:r>
        <w:rPr>
          <w:rFonts w:ascii="Arial" w:hAnsi="Arial"/>
          <w:i/>
          <w:sz w:val="20"/>
        </w:rPr>
        <w:t>Vincent v Premo Enterprises Ltd [1969] 2 Q.B. 609</w:t>
      </w:r>
      <w:r>
        <w:rPr>
          <w:sz w:val="20"/>
        </w:rPr>
        <w:t>; </w:t>
      </w:r>
      <w:r>
        <w:rPr>
          <w:rFonts w:ascii="Arial" w:hAnsi="Arial"/>
          <w:i/>
          <w:sz w:val="20"/>
        </w:rPr>
        <w:t>D’Silva v Lister House Development Ltd [1971]</w:t>
      </w:r>
      <w:r>
        <w:rPr>
          <w:rFonts w:ascii="Arial" w:hAnsi="Arial"/>
          <w:i/>
          <w:spacing w:val="16"/>
          <w:sz w:val="20"/>
        </w:rPr>
        <w:t> </w:t>
      </w:r>
      <w:r>
        <w:rPr>
          <w:rFonts w:ascii="Arial" w:hAnsi="Arial"/>
          <w:i/>
          <w:sz w:val="20"/>
        </w:rPr>
        <w:t>Ch.</w:t>
      </w:r>
      <w:r>
        <w:rPr>
          <w:rFonts w:ascii="Arial" w:hAnsi="Arial"/>
          <w:i/>
          <w:spacing w:val="17"/>
          <w:sz w:val="20"/>
        </w:rPr>
        <w:t> </w:t>
      </w:r>
      <w:r>
        <w:rPr>
          <w:rFonts w:ascii="Arial" w:hAnsi="Arial"/>
          <w:i/>
          <w:sz w:val="20"/>
        </w:rPr>
        <w:t>17</w:t>
      </w:r>
      <w:r>
        <w:rPr>
          <w:sz w:val="20"/>
        </w:rPr>
        <w:t>;</w:t>
      </w:r>
      <w:r>
        <w:rPr>
          <w:spacing w:val="17"/>
          <w:sz w:val="20"/>
        </w:rPr>
        <w:t> </w:t>
      </w:r>
      <w:r>
        <w:rPr>
          <w:rFonts w:ascii="Arial" w:hAnsi="Arial"/>
          <w:i/>
          <w:sz w:val="20"/>
        </w:rPr>
        <w:t>Kingston</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Ambrian</w:t>
      </w:r>
      <w:r>
        <w:rPr>
          <w:rFonts w:ascii="Arial" w:hAnsi="Arial"/>
          <w:i/>
          <w:spacing w:val="17"/>
          <w:sz w:val="20"/>
        </w:rPr>
        <w:t> </w:t>
      </w:r>
      <w:r>
        <w:rPr>
          <w:rFonts w:ascii="Arial" w:hAnsi="Arial"/>
          <w:i/>
          <w:sz w:val="20"/>
        </w:rPr>
        <w:t>Investment</w:t>
      </w:r>
      <w:r>
        <w:rPr>
          <w:rFonts w:ascii="Arial" w:hAnsi="Arial"/>
          <w:i/>
          <w:spacing w:val="17"/>
          <w:sz w:val="20"/>
        </w:rPr>
        <w:t> </w:t>
      </w:r>
      <w:r>
        <w:rPr>
          <w:rFonts w:ascii="Arial" w:hAnsi="Arial"/>
          <w:i/>
          <w:sz w:val="20"/>
        </w:rPr>
        <w:t>Co</w:t>
      </w:r>
      <w:r>
        <w:rPr>
          <w:rFonts w:ascii="Arial" w:hAnsi="Arial"/>
          <w:i/>
          <w:spacing w:val="16"/>
          <w:sz w:val="20"/>
        </w:rPr>
        <w:t> </w:t>
      </w:r>
      <w:r>
        <w:rPr>
          <w:rFonts w:ascii="Arial" w:hAnsi="Arial"/>
          <w:i/>
          <w:sz w:val="20"/>
        </w:rPr>
        <w:t>Ltd</w:t>
      </w:r>
      <w:r>
        <w:rPr>
          <w:rFonts w:ascii="Arial" w:hAnsi="Arial"/>
          <w:i/>
          <w:spacing w:val="17"/>
          <w:sz w:val="20"/>
        </w:rPr>
        <w:t> </w:t>
      </w:r>
      <w:r>
        <w:rPr>
          <w:rFonts w:ascii="Arial" w:hAnsi="Arial"/>
          <w:i/>
          <w:sz w:val="20"/>
        </w:rPr>
        <w:t>[1975]</w:t>
      </w:r>
      <w:r>
        <w:rPr>
          <w:rFonts w:ascii="Arial" w:hAnsi="Arial"/>
          <w:i/>
          <w:spacing w:val="17"/>
          <w:sz w:val="20"/>
        </w:rPr>
        <w:t> </w:t>
      </w:r>
      <w:r>
        <w:rPr>
          <w:rFonts w:ascii="Arial" w:hAnsi="Arial"/>
          <w:i/>
          <w:sz w:val="20"/>
        </w:rPr>
        <w:t>1</w:t>
      </w:r>
      <w:r>
        <w:rPr>
          <w:rFonts w:ascii="Arial" w:hAnsi="Arial"/>
          <w:i/>
          <w:spacing w:val="17"/>
          <w:sz w:val="20"/>
        </w:rPr>
        <w:t> </w:t>
      </w:r>
      <w:r>
        <w:rPr>
          <w:rFonts w:ascii="Arial" w:hAnsi="Arial"/>
          <w:i/>
          <w:sz w:val="20"/>
        </w:rPr>
        <w:t>W.L.R.</w:t>
      </w:r>
      <w:r>
        <w:rPr>
          <w:rFonts w:ascii="Arial" w:hAnsi="Arial"/>
          <w:i/>
          <w:spacing w:val="17"/>
          <w:sz w:val="20"/>
        </w:rPr>
        <w:t> </w:t>
      </w:r>
      <w:r>
        <w:rPr>
          <w:rFonts w:ascii="Arial" w:hAnsi="Arial"/>
          <w:i/>
          <w:sz w:val="20"/>
        </w:rPr>
        <w:t>161</w:t>
      </w:r>
      <w:r>
        <w:rPr>
          <w:sz w:val="20"/>
        </w:rPr>
        <w:t>;</w:t>
      </w:r>
      <w:r>
        <w:rPr>
          <w:spacing w:val="17"/>
          <w:sz w:val="20"/>
        </w:rPr>
        <w:t> </w:t>
      </w:r>
      <w:r>
        <w:rPr>
          <w:rFonts w:ascii="Arial" w:hAnsi="Arial"/>
          <w:i/>
          <w:sz w:val="20"/>
        </w:rPr>
        <w:t>Glessing</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pacing w:val="-2"/>
          <w:sz w:val="20"/>
        </w:rPr>
        <w:t>Green</w:t>
      </w:r>
    </w:p>
    <w:p>
      <w:pPr>
        <w:spacing w:line="223" w:lineRule="exact" w:before="0"/>
        <w:ind w:left="705" w:right="0" w:firstLine="0"/>
        <w:jc w:val="both"/>
        <w:rPr>
          <w:rFonts w:ascii="Arial"/>
          <w:i/>
          <w:sz w:val="20"/>
        </w:rPr>
      </w:pPr>
      <w:r>
        <w:rPr>
          <w:rFonts w:ascii="Arial"/>
          <w:i/>
          <w:sz w:val="20"/>
        </w:rPr>
        <w:t>[1975]</w:t>
      </w:r>
      <w:r>
        <w:rPr>
          <w:rFonts w:ascii="Arial"/>
          <w:i/>
          <w:spacing w:val="-1"/>
          <w:sz w:val="20"/>
        </w:rPr>
        <w:t> </w:t>
      </w:r>
      <w:r>
        <w:rPr>
          <w:rFonts w:ascii="Arial"/>
          <w:i/>
          <w:sz w:val="20"/>
        </w:rPr>
        <w:t>1 W.L.R. 863</w:t>
      </w:r>
      <w:r>
        <w:rPr>
          <w:sz w:val="20"/>
        </w:rPr>
        <w:t>; </w:t>
      </w:r>
      <w:r>
        <w:rPr>
          <w:rFonts w:ascii="Arial"/>
          <w:i/>
          <w:sz w:val="20"/>
        </w:rPr>
        <w:t>Terrapin International Ltd v IRC</w:t>
      </w:r>
      <w:r>
        <w:rPr>
          <w:rFonts w:ascii="Arial"/>
          <w:i/>
          <w:spacing w:val="-1"/>
          <w:sz w:val="20"/>
        </w:rPr>
        <w:t> </w:t>
      </w:r>
      <w:r>
        <w:rPr>
          <w:rFonts w:ascii="Arial"/>
          <w:i/>
          <w:sz w:val="20"/>
        </w:rPr>
        <w:t>[1976] 1 W.L.R. 665</w:t>
      </w:r>
      <w:r>
        <w:rPr>
          <w:sz w:val="20"/>
        </w:rPr>
        <w:t>; </w:t>
      </w:r>
      <w:r>
        <w:rPr>
          <w:rFonts w:ascii="Arial"/>
          <w:i/>
          <w:sz w:val="20"/>
        </w:rPr>
        <w:t>Bank of Scotland </w:t>
      </w:r>
      <w:r>
        <w:rPr>
          <w:rFonts w:ascii="Arial"/>
          <w:i/>
          <w:spacing w:val="-5"/>
          <w:sz w:val="20"/>
        </w:rPr>
        <w:t>Plc</w:t>
      </w:r>
    </w:p>
    <w:p>
      <w:pPr>
        <w:spacing w:line="227" w:lineRule="exact" w:before="0"/>
        <w:ind w:left="705" w:right="0" w:firstLine="0"/>
        <w:jc w:val="both"/>
        <w:rPr>
          <w:sz w:val="20"/>
        </w:rPr>
      </w:pPr>
      <w:r>
        <w:rPr>
          <w:rFonts w:ascii="Arial"/>
          <w:i/>
          <w:sz w:val="20"/>
        </w:rPr>
        <w:t>v King [2007] EWHC 2747 (Ch), [2007] All E.R. (D) 376 (Nov)</w:t>
      </w:r>
      <w:r>
        <w:rPr>
          <w:rFonts w:ascii="Arial"/>
          <w:i/>
          <w:spacing w:val="-1"/>
          <w:sz w:val="20"/>
        </w:rPr>
        <w:t> </w:t>
      </w:r>
      <w:r>
        <w:rPr>
          <w:sz w:val="20"/>
        </w:rPr>
        <w:t>at </w:t>
      </w:r>
      <w:r>
        <w:rPr>
          <w:spacing w:val="-2"/>
          <w:sz w:val="20"/>
        </w:rPr>
        <w:t>[63].</w:t>
      </w:r>
    </w:p>
    <w:p>
      <w:pPr>
        <w:pStyle w:val="BodyText"/>
        <w:spacing w:before="5"/>
      </w:pPr>
    </w:p>
    <w:p>
      <w:pPr>
        <w:tabs>
          <w:tab w:pos="705" w:val="left" w:leader="none"/>
        </w:tabs>
        <w:spacing w:before="0"/>
        <w:ind w:left="165" w:right="0" w:firstLine="0"/>
        <w:jc w:val="left"/>
        <w:rPr>
          <w:sz w:val="20"/>
        </w:rPr>
      </w:pPr>
      <w:bookmarkStart w:name="_bookmark1768" w:id="1770"/>
      <w:bookmarkEnd w:id="1770"/>
      <w:r>
        <w:rPr/>
      </w:r>
      <w:hyperlink w:history="true" w:anchor="_bookmark1746">
        <w:r>
          <w:rPr>
            <w:color w:val="005DA1"/>
            <w:spacing w:val="-4"/>
            <w:position w:val="5"/>
            <w:sz w:val="14"/>
            <w:u w:val="single" w:color="005DA1"/>
          </w:rPr>
          <w:t>933</w:t>
        </w:r>
      </w:hyperlink>
      <w:r>
        <w:rPr>
          <w:spacing w:val="-4"/>
          <w:position w:val="5"/>
          <w:sz w:val="14"/>
        </w:rPr>
        <w:t>.</w:t>
      </w:r>
      <w:r>
        <w:rPr>
          <w:position w:val="5"/>
          <w:sz w:val="14"/>
        </w:rPr>
        <w:tab/>
      </w:r>
      <w:r>
        <w:rPr>
          <w:sz w:val="20"/>
        </w:rPr>
        <w:t>Co.Litt.</w:t>
      </w:r>
      <w:r>
        <w:rPr>
          <w:spacing w:val="-1"/>
          <w:sz w:val="20"/>
        </w:rPr>
        <w:t> </w:t>
      </w:r>
      <w:r>
        <w:rPr>
          <w:sz w:val="20"/>
        </w:rPr>
        <w:t>36a; Sheppard,</w:t>
      </w:r>
      <w:r>
        <w:rPr>
          <w:spacing w:val="-1"/>
          <w:sz w:val="20"/>
        </w:rPr>
        <w:t> </w:t>
      </w:r>
      <w:r>
        <w:rPr>
          <w:rFonts w:ascii="Arial"/>
          <w:i/>
          <w:sz w:val="20"/>
        </w:rPr>
        <w:t>Touchstone of Common Assurances</w:t>
      </w:r>
      <w:r>
        <w:rPr>
          <w:sz w:val="20"/>
        </w:rPr>
        <w:t>, 7th edn (1820), </w:t>
      </w:r>
      <w:r>
        <w:rPr>
          <w:spacing w:val="-2"/>
          <w:sz w:val="20"/>
        </w:rPr>
        <w:t>p.59.</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769" w:id="1771"/>
      <w:bookmarkEnd w:id="1771"/>
      <w:r>
        <w:rPr/>
      </w:r>
      <w:hyperlink w:history="true" w:anchor="_bookmark1747">
        <w:r>
          <w:rPr>
            <w:color w:val="005DA1"/>
            <w:spacing w:val="-4"/>
            <w:position w:val="5"/>
            <w:sz w:val="14"/>
            <w:u w:val="single" w:color="005DA1"/>
          </w:rPr>
          <w:t>934</w:t>
        </w:r>
      </w:hyperlink>
      <w:r>
        <w:rPr>
          <w:spacing w:val="-4"/>
          <w:position w:val="5"/>
          <w:sz w:val="14"/>
        </w:rPr>
        <w:t>.</w:t>
      </w:r>
      <w:r>
        <w:rPr>
          <w:position w:val="5"/>
          <w:sz w:val="14"/>
        </w:rPr>
        <w:tab/>
      </w:r>
      <w:r>
        <w:rPr>
          <w:rFonts w:ascii="Arial"/>
          <w:i/>
          <w:sz w:val="20"/>
        </w:rPr>
        <w:t>Millership v</w:t>
      </w:r>
      <w:r>
        <w:rPr>
          <w:rFonts w:ascii="Arial"/>
          <w:i/>
          <w:spacing w:val="3"/>
          <w:sz w:val="20"/>
        </w:rPr>
        <w:t> </w:t>
      </w:r>
      <w:r>
        <w:rPr>
          <w:rFonts w:ascii="Arial"/>
          <w:i/>
          <w:sz w:val="20"/>
        </w:rPr>
        <w:t>Brookes</w:t>
      </w:r>
      <w:r>
        <w:rPr>
          <w:rFonts w:ascii="Arial"/>
          <w:i/>
          <w:spacing w:val="3"/>
          <w:sz w:val="20"/>
        </w:rPr>
        <w:t> </w:t>
      </w:r>
      <w:r>
        <w:rPr>
          <w:rFonts w:ascii="Arial"/>
          <w:i/>
          <w:sz w:val="20"/>
        </w:rPr>
        <w:t>(1860)</w:t>
      </w:r>
      <w:r>
        <w:rPr>
          <w:rFonts w:ascii="Arial"/>
          <w:i/>
          <w:spacing w:val="3"/>
          <w:sz w:val="20"/>
        </w:rPr>
        <w:t> </w:t>
      </w:r>
      <w:r>
        <w:rPr>
          <w:rFonts w:ascii="Arial"/>
          <w:i/>
          <w:sz w:val="20"/>
        </w:rPr>
        <w:t>5</w:t>
      </w:r>
      <w:r>
        <w:rPr>
          <w:rFonts w:ascii="Arial"/>
          <w:i/>
          <w:spacing w:val="3"/>
          <w:sz w:val="20"/>
        </w:rPr>
        <w:t> </w:t>
      </w:r>
      <w:r>
        <w:rPr>
          <w:rFonts w:ascii="Arial"/>
          <w:i/>
          <w:sz w:val="20"/>
        </w:rPr>
        <w:t>H.</w:t>
      </w:r>
      <w:r>
        <w:rPr>
          <w:rFonts w:ascii="Arial"/>
          <w:i/>
          <w:spacing w:val="3"/>
          <w:sz w:val="20"/>
        </w:rPr>
        <w:t> </w:t>
      </w:r>
      <w:r>
        <w:rPr>
          <w:rFonts w:ascii="Arial"/>
          <w:i/>
          <w:sz w:val="20"/>
        </w:rPr>
        <w:t>&amp;</w:t>
      </w:r>
      <w:r>
        <w:rPr>
          <w:rFonts w:ascii="Arial"/>
          <w:i/>
          <w:spacing w:val="3"/>
          <w:sz w:val="20"/>
        </w:rPr>
        <w:t> </w:t>
      </w:r>
      <w:r>
        <w:rPr>
          <w:rFonts w:ascii="Arial"/>
          <w:i/>
          <w:sz w:val="20"/>
        </w:rPr>
        <w:t>N.</w:t>
      </w:r>
      <w:r>
        <w:rPr>
          <w:rFonts w:ascii="Arial"/>
          <w:i/>
          <w:spacing w:val="3"/>
          <w:sz w:val="20"/>
        </w:rPr>
        <w:t> </w:t>
      </w:r>
      <w:r>
        <w:rPr>
          <w:rFonts w:ascii="Arial"/>
          <w:i/>
          <w:sz w:val="20"/>
        </w:rPr>
        <w:t>797</w:t>
      </w:r>
      <w:r>
        <w:rPr>
          <w:sz w:val="20"/>
        </w:rPr>
        <w:t>;</w:t>
      </w:r>
      <w:r>
        <w:rPr>
          <w:spacing w:val="2"/>
          <w:sz w:val="20"/>
        </w:rPr>
        <w:t> </w:t>
      </w:r>
      <w:r>
        <w:rPr>
          <w:rFonts w:ascii="Arial"/>
          <w:i/>
          <w:sz w:val="20"/>
        </w:rPr>
        <w:t>Kidner</w:t>
      </w:r>
      <w:r>
        <w:rPr>
          <w:rFonts w:ascii="Arial"/>
          <w:i/>
          <w:spacing w:val="3"/>
          <w:sz w:val="20"/>
        </w:rPr>
        <w:t> </w:t>
      </w:r>
      <w:r>
        <w:rPr>
          <w:rFonts w:ascii="Arial"/>
          <w:i/>
          <w:sz w:val="20"/>
        </w:rPr>
        <w:t>v</w:t>
      </w:r>
      <w:r>
        <w:rPr>
          <w:rFonts w:ascii="Arial"/>
          <w:i/>
          <w:spacing w:val="3"/>
          <w:sz w:val="20"/>
        </w:rPr>
        <w:t> </w:t>
      </w:r>
      <w:r>
        <w:rPr>
          <w:rFonts w:ascii="Arial"/>
          <w:i/>
          <w:sz w:val="20"/>
        </w:rPr>
        <w:t>Keith</w:t>
      </w:r>
      <w:r>
        <w:rPr>
          <w:rFonts w:ascii="Arial"/>
          <w:i/>
          <w:spacing w:val="3"/>
          <w:sz w:val="20"/>
        </w:rPr>
        <w:t> </w:t>
      </w:r>
      <w:r>
        <w:rPr>
          <w:rFonts w:ascii="Arial"/>
          <w:i/>
          <w:sz w:val="20"/>
        </w:rPr>
        <w:t>(1863)</w:t>
      </w:r>
      <w:r>
        <w:rPr>
          <w:rFonts w:ascii="Arial"/>
          <w:i/>
          <w:spacing w:val="3"/>
          <w:sz w:val="20"/>
        </w:rPr>
        <w:t> </w:t>
      </w:r>
      <w:r>
        <w:rPr>
          <w:rFonts w:ascii="Arial"/>
          <w:i/>
          <w:sz w:val="20"/>
        </w:rPr>
        <w:t>15</w:t>
      </w:r>
      <w:r>
        <w:rPr>
          <w:rFonts w:ascii="Arial"/>
          <w:i/>
          <w:spacing w:val="3"/>
          <w:sz w:val="20"/>
        </w:rPr>
        <w:t> </w:t>
      </w:r>
      <w:r>
        <w:rPr>
          <w:rFonts w:ascii="Arial"/>
          <w:i/>
          <w:sz w:val="20"/>
        </w:rPr>
        <w:t>C.B.(N.S.)</w:t>
      </w:r>
      <w:r>
        <w:rPr>
          <w:rFonts w:ascii="Arial"/>
          <w:i/>
          <w:spacing w:val="3"/>
          <w:sz w:val="20"/>
        </w:rPr>
        <w:t> </w:t>
      </w:r>
      <w:r>
        <w:rPr>
          <w:rFonts w:ascii="Arial"/>
          <w:i/>
          <w:sz w:val="20"/>
        </w:rPr>
        <w:t>35</w:t>
      </w:r>
      <w:r>
        <w:rPr>
          <w:sz w:val="20"/>
        </w:rPr>
        <w:t>;</w:t>
      </w:r>
      <w:r>
        <w:rPr>
          <w:spacing w:val="3"/>
          <w:sz w:val="20"/>
        </w:rPr>
        <w:t> </w:t>
      </w:r>
      <w:r>
        <w:rPr>
          <w:sz w:val="20"/>
        </w:rPr>
        <w:t>42.</w:t>
      </w:r>
      <w:r>
        <w:rPr>
          <w:spacing w:val="3"/>
          <w:sz w:val="20"/>
        </w:rPr>
        <w:t> </w:t>
      </w:r>
      <w:r>
        <w:rPr>
          <w:rFonts w:ascii="Arial"/>
          <w:i/>
          <w:spacing w:val="-2"/>
          <w:sz w:val="20"/>
        </w:rPr>
        <w:t>Glessing</w:t>
      </w:r>
    </w:p>
    <w:p>
      <w:pPr>
        <w:spacing w:line="227" w:lineRule="exact" w:before="0"/>
        <w:ind w:left="705" w:right="0" w:firstLine="0"/>
        <w:jc w:val="left"/>
        <w:rPr>
          <w:sz w:val="20"/>
        </w:rPr>
      </w:pPr>
      <w:r>
        <w:rPr>
          <w:rFonts w:ascii="Arial"/>
          <w:i/>
          <w:sz w:val="20"/>
        </w:rPr>
        <w:t>v Green [1975] 1 W.L.R. </w:t>
      </w:r>
      <w:r>
        <w:rPr>
          <w:rFonts w:ascii="Arial"/>
          <w:i/>
          <w:spacing w:val="-4"/>
          <w:sz w:val="20"/>
        </w:rPr>
        <w:t>863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70" w:id="1772"/>
      <w:bookmarkEnd w:id="1772"/>
      <w:r>
        <w:rPr/>
      </w:r>
      <w:hyperlink w:history="true" w:anchor="_bookmark1748">
        <w:r>
          <w:rPr>
            <w:color w:val="005DA1"/>
            <w:spacing w:val="-4"/>
            <w:position w:val="5"/>
            <w:sz w:val="14"/>
            <w:u w:val="single" w:color="005DA1"/>
          </w:rPr>
          <w:t>935</w:t>
        </w:r>
      </w:hyperlink>
      <w:r>
        <w:rPr>
          <w:spacing w:val="-4"/>
          <w:position w:val="5"/>
          <w:sz w:val="14"/>
        </w:rPr>
        <w:t>.</w:t>
      </w:r>
      <w:r>
        <w:rPr>
          <w:position w:val="5"/>
          <w:sz w:val="14"/>
        </w:rPr>
        <w:tab/>
      </w:r>
      <w:r>
        <w:rPr>
          <w:rFonts w:ascii="Arial"/>
          <w:i/>
          <w:sz w:val="20"/>
        </w:rPr>
        <w:t>Watkins</w:t>
      </w:r>
      <w:r>
        <w:rPr>
          <w:rFonts w:ascii="Arial"/>
          <w:i/>
          <w:spacing w:val="-1"/>
          <w:sz w:val="20"/>
        </w:rPr>
        <w:t> </w:t>
      </w:r>
      <w:r>
        <w:rPr>
          <w:rFonts w:ascii="Arial"/>
          <w:i/>
          <w:sz w:val="20"/>
        </w:rPr>
        <w:t>v Nash (1875) L.R. 20 Eq. 262, 266</w:t>
      </w:r>
      <w:r>
        <w:rPr>
          <w:sz w:val="20"/>
        </w:rPr>
        <w:t>; </w:t>
      </w:r>
      <w:r>
        <w:rPr>
          <w:rFonts w:ascii="Arial"/>
          <w:i/>
          <w:sz w:val="20"/>
        </w:rPr>
        <w:t>Nash v Flyn (1844) 1 Jo. &amp; La.T. 162, </w:t>
      </w:r>
      <w:r>
        <w:rPr>
          <w:rFonts w:ascii="Arial"/>
          <w:i/>
          <w:spacing w:val="-4"/>
          <w:sz w:val="20"/>
        </w:rPr>
        <w:t>177</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771" w:id="1773"/>
      <w:bookmarkEnd w:id="1773"/>
      <w:r>
        <w:rPr/>
      </w:r>
      <w:hyperlink w:history="true" w:anchor="_bookmark1749">
        <w:r>
          <w:rPr>
            <w:color w:val="005DA1"/>
            <w:spacing w:val="-4"/>
            <w:position w:val="5"/>
            <w:sz w:val="14"/>
            <w:u w:val="single" w:color="005DA1"/>
          </w:rPr>
          <w:t>936</w:t>
        </w:r>
      </w:hyperlink>
      <w:r>
        <w:rPr>
          <w:spacing w:val="-4"/>
          <w:position w:val="5"/>
          <w:sz w:val="14"/>
        </w:rPr>
        <w:t>.</w:t>
      </w:r>
      <w:r>
        <w:rPr>
          <w:position w:val="5"/>
          <w:sz w:val="14"/>
        </w:rPr>
        <w:tab/>
      </w:r>
      <w:r>
        <w:rPr>
          <w:rFonts w:ascii="Arial" w:hAnsi="Arial"/>
          <w:i/>
          <w:sz w:val="20"/>
        </w:rPr>
        <w:t>London Freehold and Leasehold Property Co v Suffield [1897] 2 Ch. 608, 621–622</w:t>
      </w:r>
      <w:r>
        <w:rPr>
          <w:sz w:val="20"/>
        </w:rPr>
        <w:t>. See below, </w:t>
      </w:r>
      <w:r>
        <w:rPr>
          <w:spacing w:val="-2"/>
          <w:sz w:val="20"/>
        </w:rPr>
        <w:t>para.13-109.</w:t>
      </w:r>
    </w:p>
    <w:p>
      <w:pPr>
        <w:pStyle w:val="BodyText"/>
        <w:spacing w:before="9"/>
      </w:pPr>
    </w:p>
    <w:p>
      <w:pPr>
        <w:spacing w:line="235" w:lineRule="auto" w:before="0"/>
        <w:ind w:left="705" w:right="168" w:hanging="541"/>
        <w:jc w:val="both"/>
        <w:rPr>
          <w:sz w:val="20"/>
        </w:rPr>
      </w:pPr>
      <w:bookmarkStart w:name="_bookmark1772" w:id="1774"/>
      <w:bookmarkEnd w:id="1774"/>
      <w:r>
        <w:rPr/>
      </w:r>
      <w:hyperlink w:history="true" w:anchor="_bookmark1750">
        <w:r>
          <w:rPr>
            <w:color w:val="005DA1"/>
            <w:position w:val="5"/>
            <w:sz w:val="14"/>
            <w:u w:val="single" w:color="005DA1"/>
          </w:rPr>
          <w:t>937</w:t>
        </w:r>
      </w:hyperlink>
      <w:r>
        <w:rPr>
          <w:position w:val="5"/>
          <w:sz w:val="14"/>
        </w:rPr>
        <w:t>.</w:t>
      </w:r>
      <w:r>
        <w:rPr>
          <w:spacing w:val="80"/>
          <w:w w:val="150"/>
          <w:position w:val="5"/>
          <w:sz w:val="14"/>
        </w:rPr>
        <w:t> </w:t>
      </w:r>
      <w:r>
        <w:rPr>
          <w:rFonts w:ascii="Arial"/>
          <w:i/>
          <w:sz w:val="20"/>
        </w:rPr>
        <w:t>Bowker v Burdekin (1843) 11 M.W. 128, 147</w:t>
      </w:r>
      <w:r>
        <w:rPr>
          <w:sz w:val="20"/>
        </w:rPr>
        <w:t>; </w:t>
      </w:r>
      <w:r>
        <w:rPr>
          <w:rFonts w:ascii="Arial"/>
          <w:i/>
          <w:sz w:val="20"/>
        </w:rPr>
        <w:t>Davis v Jones (1856) 17 C.B. 625, 634</w:t>
      </w:r>
      <w:r>
        <w:rPr>
          <w:sz w:val="20"/>
        </w:rPr>
        <w:t>;</w:t>
      </w:r>
      <w:r>
        <w:rPr>
          <w:spacing w:val="80"/>
          <w:sz w:val="20"/>
        </w:rPr>
        <w:t> </w:t>
      </w:r>
      <w:r>
        <w:rPr>
          <w:rFonts w:ascii="Arial"/>
          <w:i/>
          <w:sz w:val="20"/>
        </w:rPr>
        <w:t>Governors, etc., of Foundling Hospital v Crane [1911] 2 K.B. 367, 374</w:t>
      </w:r>
      <w:r>
        <w:rPr>
          <w:sz w:val="20"/>
        </w:rPr>
        <w:t>. </w:t>
      </w:r>
      <w:r>
        <w:rPr>
          <w:rFonts w:ascii="Arial"/>
          <w:i/>
          <w:sz w:val="20"/>
        </w:rPr>
        <w:t>Thompson v</w:t>
      </w:r>
      <w:r>
        <w:rPr>
          <w:rFonts w:ascii="Arial"/>
          <w:i/>
          <w:spacing w:val="40"/>
          <w:sz w:val="20"/>
        </w:rPr>
        <w:t> </w:t>
      </w:r>
      <w:r>
        <w:rPr>
          <w:rFonts w:ascii="Arial"/>
          <w:i/>
          <w:sz w:val="20"/>
        </w:rPr>
        <w:t>McCullough [1947] K.B. 447</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773" w:id="1775"/>
      <w:bookmarkEnd w:id="1775"/>
      <w:r>
        <w:rPr/>
      </w:r>
      <w:hyperlink w:history="true" w:anchor="_bookmark1751">
        <w:r>
          <w:rPr>
            <w:color w:val="005DA1"/>
            <w:spacing w:val="-4"/>
            <w:position w:val="5"/>
            <w:sz w:val="14"/>
            <w:u w:val="single" w:color="005DA1"/>
          </w:rPr>
          <w:t>938</w:t>
        </w:r>
      </w:hyperlink>
      <w:r>
        <w:rPr>
          <w:spacing w:val="-4"/>
          <w:position w:val="5"/>
          <w:sz w:val="14"/>
        </w:rPr>
        <w:t>.</w:t>
      </w:r>
      <w:r>
        <w:rPr>
          <w:position w:val="5"/>
          <w:sz w:val="14"/>
        </w:rPr>
        <w:tab/>
      </w:r>
      <w:r>
        <w:rPr>
          <w:rFonts w:ascii="Arial"/>
          <w:i/>
          <w:sz w:val="20"/>
        </w:rPr>
        <w:t>Kingston</w:t>
      </w:r>
      <w:r>
        <w:rPr>
          <w:rFonts w:ascii="Arial"/>
          <w:i/>
          <w:spacing w:val="5"/>
          <w:sz w:val="20"/>
        </w:rPr>
        <w:t> </w:t>
      </w:r>
      <w:r>
        <w:rPr>
          <w:rFonts w:ascii="Arial"/>
          <w:i/>
          <w:sz w:val="20"/>
        </w:rPr>
        <w:t>v</w:t>
      </w:r>
      <w:r>
        <w:rPr>
          <w:rFonts w:ascii="Arial"/>
          <w:i/>
          <w:spacing w:val="8"/>
          <w:sz w:val="20"/>
        </w:rPr>
        <w:t> </w:t>
      </w:r>
      <w:r>
        <w:rPr>
          <w:rFonts w:ascii="Arial"/>
          <w:i/>
          <w:sz w:val="20"/>
        </w:rPr>
        <w:t>Ambrian</w:t>
      </w:r>
      <w:r>
        <w:rPr>
          <w:rFonts w:ascii="Arial"/>
          <w:i/>
          <w:spacing w:val="8"/>
          <w:sz w:val="20"/>
        </w:rPr>
        <w:t> </w:t>
      </w:r>
      <w:r>
        <w:rPr>
          <w:rFonts w:ascii="Arial"/>
          <w:i/>
          <w:sz w:val="20"/>
        </w:rPr>
        <w:t>Investment</w:t>
      </w:r>
      <w:r>
        <w:rPr>
          <w:rFonts w:ascii="Arial"/>
          <w:i/>
          <w:spacing w:val="8"/>
          <w:sz w:val="20"/>
        </w:rPr>
        <w:t> </w:t>
      </w:r>
      <w:r>
        <w:rPr>
          <w:rFonts w:ascii="Arial"/>
          <w:i/>
          <w:sz w:val="20"/>
        </w:rPr>
        <w:t>Co</w:t>
      </w:r>
      <w:r>
        <w:rPr>
          <w:rFonts w:ascii="Arial"/>
          <w:i/>
          <w:spacing w:val="8"/>
          <w:sz w:val="20"/>
        </w:rPr>
        <w:t> </w:t>
      </w:r>
      <w:r>
        <w:rPr>
          <w:rFonts w:ascii="Arial"/>
          <w:i/>
          <w:sz w:val="20"/>
        </w:rPr>
        <w:t>Ltd</w:t>
      </w:r>
      <w:r>
        <w:rPr>
          <w:rFonts w:ascii="Arial"/>
          <w:i/>
          <w:spacing w:val="8"/>
          <w:sz w:val="20"/>
        </w:rPr>
        <w:t> </w:t>
      </w:r>
      <w:r>
        <w:rPr>
          <w:rFonts w:ascii="Arial"/>
          <w:i/>
          <w:sz w:val="20"/>
        </w:rPr>
        <w:t>[1975]</w:t>
      </w:r>
      <w:r>
        <w:rPr>
          <w:rFonts w:ascii="Arial"/>
          <w:i/>
          <w:spacing w:val="8"/>
          <w:sz w:val="20"/>
        </w:rPr>
        <w:t> </w:t>
      </w:r>
      <w:r>
        <w:rPr>
          <w:rFonts w:ascii="Arial"/>
          <w:i/>
          <w:sz w:val="20"/>
        </w:rPr>
        <w:t>1</w:t>
      </w:r>
      <w:r>
        <w:rPr>
          <w:rFonts w:ascii="Arial"/>
          <w:i/>
          <w:spacing w:val="8"/>
          <w:sz w:val="20"/>
        </w:rPr>
        <w:t> </w:t>
      </w:r>
      <w:r>
        <w:rPr>
          <w:rFonts w:ascii="Arial"/>
          <w:i/>
          <w:sz w:val="20"/>
        </w:rPr>
        <w:t>W.L.R.</w:t>
      </w:r>
      <w:r>
        <w:rPr>
          <w:rFonts w:ascii="Arial"/>
          <w:i/>
          <w:spacing w:val="8"/>
          <w:sz w:val="20"/>
        </w:rPr>
        <w:t> </w:t>
      </w:r>
      <w:r>
        <w:rPr>
          <w:rFonts w:ascii="Arial"/>
          <w:i/>
          <w:sz w:val="20"/>
        </w:rPr>
        <w:t>161</w:t>
      </w:r>
      <w:r>
        <w:rPr>
          <w:sz w:val="20"/>
        </w:rPr>
        <w:t>;</w:t>
      </w:r>
      <w:r>
        <w:rPr>
          <w:spacing w:val="8"/>
          <w:sz w:val="20"/>
        </w:rPr>
        <w:t> </w:t>
      </w:r>
      <w:r>
        <w:rPr>
          <w:rFonts w:ascii="Arial"/>
          <w:i/>
          <w:sz w:val="20"/>
        </w:rPr>
        <w:t>Glessing</w:t>
      </w:r>
      <w:r>
        <w:rPr>
          <w:rFonts w:ascii="Arial"/>
          <w:i/>
          <w:spacing w:val="8"/>
          <w:sz w:val="20"/>
        </w:rPr>
        <w:t> </w:t>
      </w:r>
      <w:r>
        <w:rPr>
          <w:rFonts w:ascii="Arial"/>
          <w:i/>
          <w:sz w:val="20"/>
        </w:rPr>
        <w:t>v</w:t>
      </w:r>
      <w:r>
        <w:rPr>
          <w:rFonts w:ascii="Arial"/>
          <w:i/>
          <w:spacing w:val="8"/>
          <w:sz w:val="20"/>
        </w:rPr>
        <w:t> </w:t>
      </w:r>
      <w:r>
        <w:rPr>
          <w:rFonts w:ascii="Arial"/>
          <w:i/>
          <w:sz w:val="20"/>
        </w:rPr>
        <w:t>Green</w:t>
      </w:r>
      <w:r>
        <w:rPr>
          <w:rFonts w:ascii="Arial"/>
          <w:i/>
          <w:spacing w:val="8"/>
          <w:sz w:val="20"/>
        </w:rPr>
        <w:t> </w:t>
      </w:r>
      <w:r>
        <w:rPr>
          <w:rFonts w:ascii="Arial"/>
          <w:i/>
          <w:sz w:val="20"/>
        </w:rPr>
        <w:t>[1975]</w:t>
      </w:r>
      <w:r>
        <w:rPr>
          <w:rFonts w:ascii="Arial"/>
          <w:i/>
          <w:spacing w:val="8"/>
          <w:sz w:val="20"/>
        </w:rPr>
        <w:t> </w:t>
      </w:r>
      <w:r>
        <w:rPr>
          <w:rFonts w:ascii="Arial"/>
          <w:i/>
          <w:sz w:val="20"/>
        </w:rPr>
        <w:t>1</w:t>
      </w:r>
      <w:r>
        <w:rPr>
          <w:rFonts w:ascii="Arial"/>
          <w:i/>
          <w:spacing w:val="8"/>
          <w:sz w:val="20"/>
        </w:rPr>
        <w:t> </w:t>
      </w:r>
      <w:r>
        <w:rPr>
          <w:rFonts w:ascii="Arial"/>
          <w:i/>
          <w:spacing w:val="-2"/>
          <w:sz w:val="20"/>
        </w:rPr>
        <w:t>W.L.R.</w:t>
      </w:r>
    </w:p>
    <w:p>
      <w:pPr>
        <w:spacing w:line="227" w:lineRule="exact" w:before="0"/>
        <w:ind w:left="705" w:right="0" w:firstLine="0"/>
        <w:jc w:val="left"/>
        <w:rPr>
          <w:sz w:val="20"/>
        </w:rPr>
      </w:pPr>
      <w:r>
        <w:rPr>
          <w:rFonts w:ascii="Arial"/>
          <w:i/>
          <w:spacing w:val="-4"/>
          <w:sz w:val="20"/>
        </w:rPr>
        <w:t>863</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774" w:id="1776"/>
      <w:bookmarkEnd w:id="1776"/>
      <w:r>
        <w:rPr/>
      </w:r>
      <w:hyperlink w:history="true" w:anchor="_bookmark1752">
        <w:r>
          <w:rPr>
            <w:color w:val="005DA1"/>
            <w:spacing w:val="-4"/>
            <w:position w:val="5"/>
            <w:sz w:val="14"/>
            <w:u w:val="single" w:color="005DA1"/>
          </w:rPr>
          <w:t>939</w:t>
        </w:r>
      </w:hyperlink>
      <w:r>
        <w:rPr>
          <w:spacing w:val="-4"/>
          <w:position w:val="5"/>
          <w:sz w:val="14"/>
        </w:rPr>
        <w:t>.</w:t>
      </w:r>
      <w:r>
        <w:rPr>
          <w:position w:val="5"/>
          <w:sz w:val="14"/>
        </w:rPr>
        <w:tab/>
      </w:r>
      <w:r>
        <w:rPr>
          <w:rFonts w:ascii="Arial"/>
          <w:i/>
          <w:sz w:val="20"/>
        </w:rPr>
        <w:t>Glessing</w:t>
      </w:r>
      <w:r>
        <w:rPr>
          <w:rFonts w:ascii="Arial"/>
          <w:i/>
          <w:spacing w:val="33"/>
          <w:sz w:val="20"/>
        </w:rPr>
        <w:t> </w:t>
      </w:r>
      <w:r>
        <w:rPr>
          <w:rFonts w:ascii="Arial"/>
          <w:i/>
          <w:sz w:val="20"/>
        </w:rPr>
        <w:t>v</w:t>
      </w:r>
      <w:r>
        <w:rPr>
          <w:rFonts w:ascii="Arial"/>
          <w:i/>
          <w:spacing w:val="34"/>
          <w:sz w:val="20"/>
        </w:rPr>
        <w:t> </w:t>
      </w:r>
      <w:r>
        <w:rPr>
          <w:rFonts w:ascii="Arial"/>
          <w:i/>
          <w:sz w:val="20"/>
        </w:rPr>
        <w:t>Green</w:t>
      </w:r>
      <w:r>
        <w:rPr>
          <w:rFonts w:ascii="Arial"/>
          <w:i/>
          <w:spacing w:val="34"/>
          <w:sz w:val="20"/>
        </w:rPr>
        <w:t> </w:t>
      </w:r>
      <w:r>
        <w:rPr>
          <w:rFonts w:ascii="Arial"/>
          <w:i/>
          <w:sz w:val="20"/>
        </w:rPr>
        <w:t>[1975]</w:t>
      </w:r>
      <w:r>
        <w:rPr>
          <w:rFonts w:ascii="Arial"/>
          <w:i/>
          <w:spacing w:val="34"/>
          <w:sz w:val="20"/>
        </w:rPr>
        <w:t> </w:t>
      </w:r>
      <w:r>
        <w:rPr>
          <w:rFonts w:ascii="Arial"/>
          <w:i/>
          <w:sz w:val="20"/>
        </w:rPr>
        <w:t>1</w:t>
      </w:r>
      <w:r>
        <w:rPr>
          <w:rFonts w:ascii="Arial"/>
          <w:i/>
          <w:spacing w:val="34"/>
          <w:sz w:val="20"/>
        </w:rPr>
        <w:t> </w:t>
      </w:r>
      <w:r>
        <w:rPr>
          <w:rFonts w:ascii="Arial"/>
          <w:i/>
          <w:sz w:val="20"/>
        </w:rPr>
        <w:t>W.L.R.</w:t>
      </w:r>
      <w:r>
        <w:rPr>
          <w:rFonts w:ascii="Arial"/>
          <w:i/>
          <w:spacing w:val="34"/>
          <w:sz w:val="20"/>
        </w:rPr>
        <w:t> </w:t>
      </w:r>
      <w:r>
        <w:rPr>
          <w:rFonts w:ascii="Arial"/>
          <w:i/>
          <w:sz w:val="20"/>
        </w:rPr>
        <w:t>863</w:t>
      </w:r>
      <w:r>
        <w:rPr>
          <w:sz w:val="20"/>
        </w:rPr>
        <w:t>.</w:t>
      </w:r>
      <w:r>
        <w:rPr>
          <w:spacing w:val="34"/>
          <w:sz w:val="20"/>
        </w:rPr>
        <w:t> </w:t>
      </w:r>
      <w:r>
        <w:rPr>
          <w:sz w:val="20"/>
        </w:rPr>
        <w:t>cf.</w:t>
      </w:r>
      <w:r>
        <w:rPr>
          <w:spacing w:val="34"/>
          <w:sz w:val="20"/>
        </w:rPr>
        <w:t> </w:t>
      </w:r>
      <w:r>
        <w:rPr>
          <w:rFonts w:ascii="Arial"/>
          <w:i/>
          <w:sz w:val="20"/>
        </w:rPr>
        <w:t>Kingston</w:t>
      </w:r>
      <w:r>
        <w:rPr>
          <w:rFonts w:ascii="Arial"/>
          <w:i/>
          <w:spacing w:val="34"/>
          <w:sz w:val="20"/>
        </w:rPr>
        <w:t> </w:t>
      </w:r>
      <w:r>
        <w:rPr>
          <w:rFonts w:ascii="Arial"/>
          <w:i/>
          <w:sz w:val="20"/>
        </w:rPr>
        <w:t>v</w:t>
      </w:r>
      <w:r>
        <w:rPr>
          <w:rFonts w:ascii="Arial"/>
          <w:i/>
          <w:spacing w:val="34"/>
          <w:sz w:val="20"/>
        </w:rPr>
        <w:t> </w:t>
      </w:r>
      <w:r>
        <w:rPr>
          <w:rFonts w:ascii="Arial"/>
          <w:i/>
          <w:sz w:val="20"/>
        </w:rPr>
        <w:t>Ambrian</w:t>
      </w:r>
      <w:r>
        <w:rPr>
          <w:rFonts w:ascii="Arial"/>
          <w:i/>
          <w:spacing w:val="34"/>
          <w:sz w:val="20"/>
        </w:rPr>
        <w:t> </w:t>
      </w:r>
      <w:r>
        <w:rPr>
          <w:rFonts w:ascii="Arial"/>
          <w:i/>
          <w:sz w:val="20"/>
        </w:rPr>
        <w:t>Investment</w:t>
      </w:r>
      <w:r>
        <w:rPr>
          <w:rFonts w:ascii="Arial"/>
          <w:i/>
          <w:spacing w:val="34"/>
          <w:sz w:val="20"/>
        </w:rPr>
        <w:t> </w:t>
      </w:r>
      <w:r>
        <w:rPr>
          <w:rFonts w:ascii="Arial"/>
          <w:i/>
          <w:sz w:val="20"/>
        </w:rPr>
        <w:t>Co</w:t>
      </w:r>
      <w:r>
        <w:rPr>
          <w:rFonts w:ascii="Arial"/>
          <w:i/>
          <w:spacing w:val="34"/>
          <w:sz w:val="20"/>
        </w:rPr>
        <w:t> </w:t>
      </w:r>
      <w:r>
        <w:rPr>
          <w:rFonts w:ascii="Arial"/>
          <w:i/>
          <w:sz w:val="20"/>
        </w:rPr>
        <w:t>Ltd</w:t>
      </w:r>
      <w:r>
        <w:rPr>
          <w:rFonts w:ascii="Arial"/>
          <w:i/>
          <w:spacing w:val="34"/>
          <w:sz w:val="20"/>
        </w:rPr>
        <w:t> </w:t>
      </w:r>
      <w:r>
        <w:rPr>
          <w:rFonts w:ascii="Arial"/>
          <w:i/>
          <w:sz w:val="20"/>
        </w:rPr>
        <w:t>[1975]</w:t>
      </w:r>
      <w:r>
        <w:rPr>
          <w:rFonts w:ascii="Arial"/>
          <w:i/>
          <w:spacing w:val="34"/>
          <w:sz w:val="20"/>
        </w:rPr>
        <w:t> </w:t>
      </w:r>
      <w:r>
        <w:rPr>
          <w:rFonts w:ascii="Arial"/>
          <w:i/>
          <w:spacing w:val="-10"/>
          <w:sz w:val="20"/>
        </w:rPr>
        <w:t>1</w:t>
      </w:r>
    </w:p>
    <w:p>
      <w:pPr>
        <w:spacing w:line="227" w:lineRule="exact" w:before="0"/>
        <w:ind w:left="705" w:right="0" w:firstLine="0"/>
        <w:jc w:val="left"/>
        <w:rPr>
          <w:sz w:val="20"/>
        </w:rPr>
      </w:pPr>
      <w:r>
        <w:rPr>
          <w:rFonts w:ascii="Arial" w:hAnsi="Arial"/>
          <w:i/>
          <w:sz w:val="20"/>
        </w:rPr>
        <w:t>W.L.R. 161 </w:t>
      </w:r>
      <w:r>
        <w:rPr>
          <w:sz w:val="20"/>
        </w:rPr>
        <w:t>at </w:t>
      </w:r>
      <w:r>
        <w:rPr>
          <w:spacing w:val="-2"/>
          <w:sz w:val="20"/>
        </w:rPr>
        <w:t>[168]–[169].</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775" w:id="1777"/>
      <w:bookmarkEnd w:id="1777"/>
      <w:r>
        <w:rPr/>
      </w:r>
      <w:hyperlink w:history="true" w:anchor="_bookmark1753">
        <w:r>
          <w:rPr>
            <w:color w:val="005DA1"/>
            <w:spacing w:val="-4"/>
            <w:position w:val="5"/>
            <w:sz w:val="14"/>
            <w:u w:val="single" w:color="005DA1"/>
          </w:rPr>
          <w:t>940</w:t>
        </w:r>
      </w:hyperlink>
      <w:r>
        <w:rPr>
          <w:spacing w:val="-4"/>
          <w:position w:val="5"/>
          <w:sz w:val="14"/>
        </w:rPr>
        <w:t>.</w:t>
      </w:r>
      <w:r>
        <w:rPr>
          <w:position w:val="5"/>
          <w:sz w:val="14"/>
        </w:rPr>
        <w:tab/>
      </w:r>
      <w:r>
        <w:rPr>
          <w:rFonts w:ascii="Arial"/>
          <w:i/>
          <w:sz w:val="20"/>
        </w:rPr>
        <w:t>Glessing</w:t>
      </w:r>
      <w:r>
        <w:rPr>
          <w:rFonts w:ascii="Arial"/>
          <w:i/>
          <w:spacing w:val="8"/>
          <w:sz w:val="20"/>
        </w:rPr>
        <w:t> </w:t>
      </w:r>
      <w:r>
        <w:rPr>
          <w:rFonts w:ascii="Arial"/>
          <w:i/>
          <w:sz w:val="20"/>
        </w:rPr>
        <w:t>v</w:t>
      </w:r>
      <w:r>
        <w:rPr>
          <w:rFonts w:ascii="Arial"/>
          <w:i/>
          <w:spacing w:val="9"/>
          <w:sz w:val="20"/>
        </w:rPr>
        <w:t> </w:t>
      </w:r>
      <w:r>
        <w:rPr>
          <w:rFonts w:ascii="Arial"/>
          <w:i/>
          <w:sz w:val="20"/>
        </w:rPr>
        <w:t>Green</w:t>
      </w:r>
      <w:r>
        <w:rPr>
          <w:rFonts w:ascii="Arial"/>
          <w:i/>
          <w:spacing w:val="9"/>
          <w:sz w:val="20"/>
        </w:rPr>
        <w:t> </w:t>
      </w:r>
      <w:r>
        <w:rPr>
          <w:rFonts w:ascii="Arial"/>
          <w:i/>
          <w:sz w:val="20"/>
        </w:rPr>
        <w:t>[1975]</w:t>
      </w:r>
      <w:r>
        <w:rPr>
          <w:rFonts w:ascii="Arial"/>
          <w:i/>
          <w:spacing w:val="9"/>
          <w:sz w:val="20"/>
        </w:rPr>
        <w:t> </w:t>
      </w:r>
      <w:r>
        <w:rPr>
          <w:rFonts w:ascii="Arial"/>
          <w:i/>
          <w:sz w:val="20"/>
        </w:rPr>
        <w:t>1</w:t>
      </w:r>
      <w:r>
        <w:rPr>
          <w:rFonts w:ascii="Arial"/>
          <w:i/>
          <w:spacing w:val="9"/>
          <w:sz w:val="20"/>
        </w:rPr>
        <w:t> </w:t>
      </w:r>
      <w:r>
        <w:rPr>
          <w:rFonts w:ascii="Arial"/>
          <w:i/>
          <w:sz w:val="20"/>
        </w:rPr>
        <w:t>W.L.R.</w:t>
      </w:r>
      <w:r>
        <w:rPr>
          <w:rFonts w:ascii="Arial"/>
          <w:i/>
          <w:spacing w:val="9"/>
          <w:sz w:val="20"/>
        </w:rPr>
        <w:t> </w:t>
      </w:r>
      <w:r>
        <w:rPr>
          <w:rFonts w:ascii="Arial"/>
          <w:i/>
          <w:sz w:val="20"/>
        </w:rPr>
        <w:t>863</w:t>
      </w:r>
      <w:r>
        <w:rPr>
          <w:sz w:val="20"/>
        </w:rPr>
        <w:t>.</w:t>
      </w:r>
      <w:r>
        <w:rPr>
          <w:spacing w:val="9"/>
          <w:sz w:val="20"/>
        </w:rPr>
        <w:t> </w:t>
      </w:r>
      <w:r>
        <w:rPr>
          <w:sz w:val="20"/>
        </w:rPr>
        <w:t>cf.</w:t>
      </w:r>
      <w:r>
        <w:rPr>
          <w:spacing w:val="10"/>
          <w:sz w:val="20"/>
        </w:rPr>
        <w:t> </w:t>
      </w:r>
      <w:r>
        <w:rPr>
          <w:rFonts w:ascii="Arial"/>
          <w:i/>
          <w:sz w:val="20"/>
        </w:rPr>
        <w:t>Beesly</w:t>
      </w:r>
      <w:r>
        <w:rPr>
          <w:rFonts w:ascii="Arial"/>
          <w:i/>
          <w:spacing w:val="9"/>
          <w:sz w:val="20"/>
        </w:rPr>
        <w:t> </w:t>
      </w:r>
      <w:r>
        <w:rPr>
          <w:rFonts w:ascii="Arial"/>
          <w:i/>
          <w:sz w:val="20"/>
        </w:rPr>
        <w:t>v</w:t>
      </w:r>
      <w:r>
        <w:rPr>
          <w:rFonts w:ascii="Arial"/>
          <w:i/>
          <w:spacing w:val="9"/>
          <w:sz w:val="20"/>
        </w:rPr>
        <w:t> </w:t>
      </w:r>
      <w:r>
        <w:rPr>
          <w:rFonts w:ascii="Arial"/>
          <w:i/>
          <w:sz w:val="20"/>
        </w:rPr>
        <w:t>Hallwood</w:t>
      </w:r>
      <w:r>
        <w:rPr>
          <w:rFonts w:ascii="Arial"/>
          <w:i/>
          <w:spacing w:val="9"/>
          <w:sz w:val="20"/>
        </w:rPr>
        <w:t> </w:t>
      </w:r>
      <w:r>
        <w:rPr>
          <w:rFonts w:ascii="Arial"/>
          <w:i/>
          <w:sz w:val="20"/>
        </w:rPr>
        <w:t>Estates</w:t>
      </w:r>
      <w:r>
        <w:rPr>
          <w:rFonts w:ascii="Arial"/>
          <w:i/>
          <w:spacing w:val="9"/>
          <w:sz w:val="20"/>
        </w:rPr>
        <w:t> </w:t>
      </w:r>
      <w:r>
        <w:rPr>
          <w:rFonts w:ascii="Arial"/>
          <w:i/>
          <w:sz w:val="20"/>
        </w:rPr>
        <w:t>Ltd</w:t>
      </w:r>
      <w:r>
        <w:rPr>
          <w:rFonts w:ascii="Arial"/>
          <w:i/>
          <w:spacing w:val="9"/>
          <w:sz w:val="20"/>
        </w:rPr>
        <w:t> </w:t>
      </w:r>
      <w:r>
        <w:rPr>
          <w:rFonts w:ascii="Arial"/>
          <w:i/>
          <w:sz w:val="20"/>
        </w:rPr>
        <w:t>[1961]</w:t>
      </w:r>
      <w:r>
        <w:rPr>
          <w:rFonts w:ascii="Arial"/>
          <w:i/>
          <w:spacing w:val="9"/>
          <w:sz w:val="20"/>
        </w:rPr>
        <w:t> </w:t>
      </w:r>
      <w:r>
        <w:rPr>
          <w:rFonts w:ascii="Arial"/>
          <w:i/>
          <w:sz w:val="20"/>
        </w:rPr>
        <w:t>Ch.</w:t>
      </w:r>
      <w:r>
        <w:rPr>
          <w:rFonts w:ascii="Arial"/>
          <w:i/>
          <w:spacing w:val="9"/>
          <w:sz w:val="20"/>
        </w:rPr>
        <w:t> </w:t>
      </w:r>
      <w:r>
        <w:rPr>
          <w:rFonts w:ascii="Arial"/>
          <w:i/>
          <w:sz w:val="20"/>
        </w:rPr>
        <w:t>105,</w:t>
      </w:r>
      <w:r>
        <w:rPr>
          <w:rFonts w:ascii="Arial"/>
          <w:i/>
          <w:spacing w:val="9"/>
          <w:sz w:val="20"/>
        </w:rPr>
        <w:t> </w:t>
      </w:r>
      <w:r>
        <w:rPr>
          <w:rFonts w:ascii="Arial"/>
          <w:i/>
          <w:spacing w:val="-4"/>
          <w:sz w:val="20"/>
        </w:rPr>
        <w:t>118,</w:t>
      </w:r>
    </w:p>
    <w:p>
      <w:pPr>
        <w:spacing w:line="227" w:lineRule="exact" w:before="0"/>
        <w:ind w:left="705" w:right="0" w:firstLine="0"/>
        <w:jc w:val="left"/>
        <w:rPr>
          <w:sz w:val="20"/>
        </w:rPr>
      </w:pPr>
      <w:r>
        <w:rPr>
          <w:rFonts w:ascii="Arial"/>
          <w:i/>
          <w:sz w:val="20"/>
        </w:rPr>
        <w:t>120</w:t>
      </w:r>
      <w:r>
        <w:rPr>
          <w:sz w:val="20"/>
        </w:rPr>
        <w:t>;</w:t>
      </w:r>
      <w:r>
        <w:rPr>
          <w:spacing w:val="-1"/>
          <w:sz w:val="20"/>
        </w:rPr>
        <w:t> </w:t>
      </w:r>
      <w:r>
        <w:rPr>
          <w:rFonts w:ascii="Arial"/>
          <w:i/>
          <w:sz w:val="20"/>
        </w:rPr>
        <w:t>Kingston v Ambrian Investment Co Ltd [1975] 1 W.L.R. 161</w:t>
      </w:r>
      <w:r>
        <w:rPr>
          <w:rFonts w:ascii="Arial"/>
          <w:i/>
          <w:spacing w:val="-1"/>
          <w:sz w:val="20"/>
        </w:rPr>
        <w:t> </w:t>
      </w:r>
      <w:r>
        <w:rPr>
          <w:sz w:val="20"/>
        </w:rPr>
        <w:t>at </w:t>
      </w:r>
      <w:r>
        <w:rPr>
          <w:spacing w:val="-4"/>
          <w:sz w:val="20"/>
        </w:rPr>
        <w:t>166.</w:t>
      </w:r>
    </w:p>
    <w:p>
      <w:pPr>
        <w:pStyle w:val="BodyText"/>
        <w:spacing w:before="5"/>
      </w:pPr>
    </w:p>
    <w:p>
      <w:pPr>
        <w:tabs>
          <w:tab w:pos="705" w:val="left" w:leader="none"/>
        </w:tabs>
        <w:spacing w:before="0"/>
        <w:ind w:left="165" w:right="0" w:firstLine="0"/>
        <w:jc w:val="left"/>
        <w:rPr>
          <w:sz w:val="20"/>
        </w:rPr>
      </w:pPr>
      <w:bookmarkStart w:name="_bookmark1776" w:id="1778"/>
      <w:bookmarkEnd w:id="1778"/>
      <w:r>
        <w:rPr/>
      </w:r>
      <w:hyperlink w:history="true" w:anchor="_bookmark1754">
        <w:r>
          <w:rPr>
            <w:color w:val="005DA1"/>
            <w:spacing w:val="-4"/>
            <w:position w:val="5"/>
            <w:sz w:val="14"/>
            <w:u w:val="single" w:color="005DA1"/>
          </w:rPr>
          <w:t>941</w:t>
        </w:r>
      </w:hyperlink>
      <w:r>
        <w:rPr>
          <w:spacing w:val="-4"/>
          <w:position w:val="5"/>
          <w:sz w:val="14"/>
        </w:rPr>
        <w:t>.</w:t>
      </w:r>
      <w:r>
        <w:rPr>
          <w:position w:val="5"/>
          <w:sz w:val="14"/>
        </w:rPr>
        <w:tab/>
      </w:r>
      <w:r>
        <w:rPr>
          <w:rFonts w:ascii="Arial"/>
          <w:i/>
          <w:sz w:val="20"/>
        </w:rPr>
        <w:t>Bank of Scotland Plc v King [2007] EWHC 2747 (Ch), [2007] All E.R. (D) 376 (Nov)</w:t>
      </w:r>
      <w:r>
        <w:rPr>
          <w:rFonts w:ascii="Arial"/>
          <w:i/>
          <w:spacing w:val="-1"/>
          <w:sz w:val="20"/>
        </w:rPr>
        <w:t> </w:t>
      </w:r>
      <w:r>
        <w:rPr>
          <w:sz w:val="20"/>
        </w:rPr>
        <w:t>at </w:t>
      </w:r>
      <w:r>
        <w:rPr>
          <w:spacing w:val="-2"/>
          <w:sz w:val="20"/>
        </w:rPr>
        <w:t>[51].</w:t>
      </w:r>
    </w:p>
    <w:p>
      <w:pPr>
        <w:spacing w:after="0"/>
        <w:jc w:val="left"/>
        <w:rPr>
          <w:sz w:val="20"/>
        </w:rPr>
        <w:sectPr>
          <w:type w:val="continuous"/>
          <w:pgSz w:w="11900" w:h="16840"/>
          <w:pgMar w:header="971" w:footer="0" w:top="1300" w:bottom="280" w:left="1275" w:right="1275"/>
        </w:sectPr>
      </w:pPr>
    </w:p>
    <w:p>
      <w:pPr>
        <w:tabs>
          <w:tab w:pos="705" w:val="left" w:leader="none"/>
        </w:tabs>
        <w:spacing w:line="235" w:lineRule="auto" w:before="170"/>
        <w:ind w:left="705" w:right="168" w:hanging="541"/>
        <w:jc w:val="left"/>
        <w:rPr>
          <w:rFonts w:ascii="Arial"/>
          <w:i/>
          <w:sz w:val="20"/>
        </w:rPr>
      </w:pPr>
      <w:hyperlink w:history="true" w:anchor="_bookmark1755">
        <w:r>
          <w:rPr>
            <w:color w:val="005DA1"/>
            <w:spacing w:val="-4"/>
            <w:position w:val="5"/>
            <w:sz w:val="14"/>
            <w:u w:val="single" w:color="005DA1"/>
          </w:rPr>
          <w:t>942</w:t>
        </w:r>
      </w:hyperlink>
      <w:r>
        <w:rPr>
          <w:spacing w:val="-4"/>
          <w:position w:val="5"/>
          <w:sz w:val="14"/>
        </w:rPr>
        <w:t>.</w:t>
      </w:r>
      <w:r>
        <w:rPr>
          <w:position w:val="5"/>
          <w:sz w:val="14"/>
        </w:rPr>
        <w:tab/>
      </w:r>
      <w:r>
        <w:rPr>
          <w:rFonts w:ascii="Arial"/>
          <w:i/>
          <w:sz w:val="20"/>
        </w:rPr>
        <w:t>Alan</w:t>
      </w:r>
      <w:r>
        <w:rPr>
          <w:rFonts w:ascii="Arial"/>
          <w:i/>
          <w:spacing w:val="20"/>
          <w:sz w:val="20"/>
        </w:rPr>
        <w:t> </w:t>
      </w:r>
      <w:r>
        <w:rPr>
          <w:rFonts w:ascii="Arial"/>
          <w:i/>
          <w:sz w:val="20"/>
        </w:rPr>
        <w:t>Estates</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W.G.</w:t>
      </w:r>
      <w:r>
        <w:rPr>
          <w:rFonts w:ascii="Arial"/>
          <w:i/>
          <w:spacing w:val="20"/>
          <w:sz w:val="20"/>
        </w:rPr>
        <w:t> </w:t>
      </w:r>
      <w:r>
        <w:rPr>
          <w:rFonts w:ascii="Arial"/>
          <w:i/>
          <w:sz w:val="20"/>
        </w:rPr>
        <w:t>Stores</w:t>
      </w:r>
      <w:r>
        <w:rPr>
          <w:rFonts w:ascii="Arial"/>
          <w:i/>
          <w:spacing w:val="20"/>
          <w:sz w:val="20"/>
        </w:rPr>
        <w:t> </w:t>
      </w:r>
      <w:r>
        <w:rPr>
          <w:rFonts w:ascii="Arial"/>
          <w:i/>
          <w:sz w:val="20"/>
        </w:rPr>
        <w:t>Ltd</w:t>
      </w:r>
      <w:r>
        <w:rPr>
          <w:rFonts w:ascii="Arial"/>
          <w:i/>
          <w:spacing w:val="20"/>
          <w:sz w:val="20"/>
        </w:rPr>
        <w:t> </w:t>
      </w:r>
      <w:r>
        <w:rPr>
          <w:rFonts w:ascii="Arial"/>
          <w:i/>
          <w:sz w:val="20"/>
        </w:rPr>
        <w:t>[1982]</w:t>
      </w:r>
      <w:r>
        <w:rPr>
          <w:rFonts w:ascii="Arial"/>
          <w:i/>
          <w:spacing w:val="20"/>
          <w:sz w:val="20"/>
        </w:rPr>
        <w:t> </w:t>
      </w:r>
      <w:r>
        <w:rPr>
          <w:rFonts w:ascii="Arial"/>
          <w:i/>
          <w:sz w:val="20"/>
        </w:rPr>
        <w:t>Ch.</w:t>
      </w:r>
      <w:r>
        <w:rPr>
          <w:rFonts w:ascii="Arial"/>
          <w:i/>
          <w:spacing w:val="20"/>
          <w:sz w:val="20"/>
        </w:rPr>
        <w:t> </w:t>
      </w:r>
      <w:r>
        <w:rPr>
          <w:rFonts w:ascii="Arial"/>
          <w:i/>
          <w:sz w:val="20"/>
        </w:rPr>
        <w:t>511</w:t>
      </w:r>
      <w:r>
        <w:rPr>
          <w:sz w:val="20"/>
        </w:rPr>
        <w:t>,</w:t>
      </w:r>
      <w:r>
        <w:rPr>
          <w:spacing w:val="20"/>
          <w:sz w:val="20"/>
        </w:rPr>
        <w:t> </w:t>
      </w:r>
      <w:r>
        <w:rPr>
          <w:sz w:val="20"/>
        </w:rPr>
        <w:t>not</w:t>
      </w:r>
      <w:r>
        <w:rPr>
          <w:spacing w:val="20"/>
          <w:sz w:val="20"/>
        </w:rPr>
        <w:t> </w:t>
      </w:r>
      <w:r>
        <w:rPr>
          <w:sz w:val="20"/>
        </w:rPr>
        <w:t>following</w:t>
      </w:r>
      <w:r>
        <w:rPr>
          <w:spacing w:val="19"/>
          <w:sz w:val="20"/>
        </w:rPr>
        <w:t> </w:t>
      </w:r>
      <w:r>
        <w:rPr>
          <w:rFonts w:ascii="Arial"/>
          <w:i/>
          <w:sz w:val="20"/>
        </w:rPr>
        <w:t>Terrapin</w:t>
      </w:r>
      <w:r>
        <w:rPr>
          <w:rFonts w:ascii="Arial"/>
          <w:i/>
          <w:spacing w:val="20"/>
          <w:sz w:val="20"/>
        </w:rPr>
        <w:t> </w:t>
      </w:r>
      <w:r>
        <w:rPr>
          <w:rFonts w:ascii="Arial"/>
          <w:i/>
          <w:sz w:val="20"/>
        </w:rPr>
        <w:t>International</w:t>
      </w:r>
      <w:r>
        <w:rPr>
          <w:rFonts w:ascii="Arial"/>
          <w:i/>
          <w:spacing w:val="20"/>
          <w:sz w:val="20"/>
        </w:rPr>
        <w:t> </w:t>
      </w:r>
      <w:r>
        <w:rPr>
          <w:rFonts w:ascii="Arial"/>
          <w:i/>
          <w:sz w:val="20"/>
        </w:rPr>
        <w:t>Ltd</w:t>
      </w:r>
      <w:r>
        <w:rPr>
          <w:rFonts w:ascii="Arial"/>
          <w:i/>
          <w:spacing w:val="20"/>
          <w:sz w:val="20"/>
        </w:rPr>
        <w:t> </w:t>
      </w:r>
      <w:r>
        <w:rPr>
          <w:rFonts w:ascii="Arial"/>
          <w:i/>
          <w:sz w:val="20"/>
        </w:rPr>
        <w:t>v IRC</w:t>
      </w:r>
      <w:r>
        <w:rPr>
          <w:rFonts w:ascii="Arial"/>
          <w:i/>
          <w:spacing w:val="5"/>
          <w:sz w:val="20"/>
        </w:rPr>
        <w:t> </w:t>
      </w:r>
      <w:r>
        <w:rPr>
          <w:rFonts w:ascii="Arial"/>
          <w:i/>
          <w:sz w:val="20"/>
        </w:rPr>
        <w:t>[1976]</w:t>
      </w:r>
      <w:r>
        <w:rPr>
          <w:rFonts w:ascii="Arial"/>
          <w:i/>
          <w:spacing w:val="6"/>
          <w:sz w:val="20"/>
        </w:rPr>
        <w:t> </w:t>
      </w:r>
      <w:r>
        <w:rPr>
          <w:rFonts w:ascii="Arial"/>
          <w:i/>
          <w:sz w:val="20"/>
        </w:rPr>
        <w:t>1</w:t>
      </w:r>
      <w:r>
        <w:rPr>
          <w:rFonts w:ascii="Arial"/>
          <w:i/>
          <w:spacing w:val="6"/>
          <w:sz w:val="20"/>
        </w:rPr>
        <w:t> </w:t>
      </w:r>
      <w:r>
        <w:rPr>
          <w:rFonts w:ascii="Arial"/>
          <w:i/>
          <w:sz w:val="20"/>
        </w:rPr>
        <w:t>W.L.R.</w:t>
      </w:r>
      <w:r>
        <w:rPr>
          <w:rFonts w:ascii="Arial"/>
          <w:i/>
          <w:spacing w:val="6"/>
          <w:sz w:val="20"/>
        </w:rPr>
        <w:t> </w:t>
      </w:r>
      <w:r>
        <w:rPr>
          <w:rFonts w:ascii="Arial"/>
          <w:i/>
          <w:sz w:val="20"/>
        </w:rPr>
        <w:t>665</w:t>
      </w:r>
      <w:r>
        <w:rPr>
          <w:sz w:val="20"/>
        </w:rPr>
        <w:t>;</w:t>
      </w:r>
      <w:r>
        <w:rPr>
          <w:spacing w:val="6"/>
          <w:sz w:val="20"/>
        </w:rPr>
        <w:t> </w:t>
      </w:r>
      <w:r>
        <w:rPr>
          <w:rFonts w:ascii="Arial"/>
          <w:i/>
          <w:sz w:val="20"/>
        </w:rPr>
        <w:t>Bank</w:t>
      </w:r>
      <w:r>
        <w:rPr>
          <w:rFonts w:ascii="Arial"/>
          <w:i/>
          <w:spacing w:val="6"/>
          <w:sz w:val="20"/>
        </w:rPr>
        <w:t> </w:t>
      </w:r>
      <w:r>
        <w:rPr>
          <w:rFonts w:ascii="Arial"/>
          <w:i/>
          <w:sz w:val="20"/>
        </w:rPr>
        <w:t>of</w:t>
      </w:r>
      <w:r>
        <w:rPr>
          <w:rFonts w:ascii="Arial"/>
          <w:i/>
          <w:spacing w:val="6"/>
          <w:sz w:val="20"/>
        </w:rPr>
        <w:t> </w:t>
      </w:r>
      <w:r>
        <w:rPr>
          <w:rFonts w:ascii="Arial"/>
          <w:i/>
          <w:sz w:val="20"/>
        </w:rPr>
        <w:t>Scotland</w:t>
      </w:r>
      <w:r>
        <w:rPr>
          <w:rFonts w:ascii="Arial"/>
          <w:i/>
          <w:spacing w:val="6"/>
          <w:sz w:val="20"/>
        </w:rPr>
        <w:t> </w:t>
      </w:r>
      <w:r>
        <w:rPr>
          <w:rFonts w:ascii="Arial"/>
          <w:i/>
          <w:sz w:val="20"/>
        </w:rPr>
        <w:t>Plc</w:t>
      </w:r>
      <w:r>
        <w:rPr>
          <w:rFonts w:ascii="Arial"/>
          <w:i/>
          <w:spacing w:val="6"/>
          <w:sz w:val="20"/>
        </w:rPr>
        <w:t> </w:t>
      </w:r>
      <w:r>
        <w:rPr>
          <w:rFonts w:ascii="Arial"/>
          <w:i/>
          <w:sz w:val="20"/>
        </w:rPr>
        <w:t>v</w:t>
      </w:r>
      <w:r>
        <w:rPr>
          <w:rFonts w:ascii="Arial"/>
          <w:i/>
          <w:spacing w:val="6"/>
          <w:sz w:val="20"/>
        </w:rPr>
        <w:t> </w:t>
      </w:r>
      <w:r>
        <w:rPr>
          <w:rFonts w:ascii="Arial"/>
          <w:i/>
          <w:sz w:val="20"/>
        </w:rPr>
        <w:t>King</w:t>
      </w:r>
      <w:r>
        <w:rPr>
          <w:rFonts w:ascii="Arial"/>
          <w:i/>
          <w:spacing w:val="6"/>
          <w:sz w:val="20"/>
        </w:rPr>
        <w:t> </w:t>
      </w:r>
      <w:r>
        <w:rPr>
          <w:rFonts w:ascii="Arial"/>
          <w:i/>
          <w:sz w:val="20"/>
        </w:rPr>
        <w:t>[2007]</w:t>
      </w:r>
      <w:r>
        <w:rPr>
          <w:rFonts w:ascii="Arial"/>
          <w:i/>
          <w:spacing w:val="6"/>
          <w:sz w:val="20"/>
        </w:rPr>
        <w:t> </w:t>
      </w:r>
      <w:r>
        <w:rPr>
          <w:rFonts w:ascii="Arial"/>
          <w:i/>
          <w:sz w:val="20"/>
        </w:rPr>
        <w:t>EWHC</w:t>
      </w:r>
      <w:r>
        <w:rPr>
          <w:rFonts w:ascii="Arial"/>
          <w:i/>
          <w:spacing w:val="6"/>
          <w:sz w:val="20"/>
        </w:rPr>
        <w:t> </w:t>
      </w:r>
      <w:r>
        <w:rPr>
          <w:rFonts w:ascii="Arial"/>
          <w:i/>
          <w:sz w:val="20"/>
        </w:rPr>
        <w:t>2747</w:t>
      </w:r>
      <w:r>
        <w:rPr>
          <w:rFonts w:ascii="Arial"/>
          <w:i/>
          <w:spacing w:val="6"/>
          <w:sz w:val="20"/>
        </w:rPr>
        <w:t> </w:t>
      </w:r>
      <w:r>
        <w:rPr>
          <w:rFonts w:ascii="Arial"/>
          <w:i/>
          <w:sz w:val="20"/>
        </w:rPr>
        <w:t>(Ch),</w:t>
      </w:r>
      <w:r>
        <w:rPr>
          <w:rFonts w:ascii="Arial"/>
          <w:i/>
          <w:spacing w:val="6"/>
          <w:sz w:val="20"/>
        </w:rPr>
        <w:t> </w:t>
      </w:r>
      <w:r>
        <w:rPr>
          <w:rFonts w:ascii="Arial"/>
          <w:i/>
          <w:sz w:val="20"/>
        </w:rPr>
        <w:t>[2007]</w:t>
      </w:r>
      <w:r>
        <w:rPr>
          <w:rFonts w:ascii="Arial"/>
          <w:i/>
          <w:spacing w:val="6"/>
          <w:sz w:val="20"/>
        </w:rPr>
        <w:t> </w:t>
      </w:r>
      <w:r>
        <w:rPr>
          <w:rFonts w:ascii="Arial"/>
          <w:i/>
          <w:sz w:val="20"/>
        </w:rPr>
        <w:t>All</w:t>
      </w:r>
      <w:r>
        <w:rPr>
          <w:rFonts w:ascii="Arial"/>
          <w:i/>
          <w:spacing w:val="6"/>
          <w:sz w:val="20"/>
        </w:rPr>
        <w:t> </w:t>
      </w:r>
      <w:r>
        <w:rPr>
          <w:rFonts w:ascii="Arial"/>
          <w:i/>
          <w:spacing w:val="-4"/>
          <w:sz w:val="20"/>
        </w:rPr>
        <w:t>E.R.</w:t>
      </w:r>
    </w:p>
    <w:p>
      <w:pPr>
        <w:spacing w:line="225" w:lineRule="exact" w:before="0"/>
        <w:ind w:left="705" w:right="0" w:firstLine="0"/>
        <w:jc w:val="left"/>
        <w:rPr>
          <w:sz w:val="20"/>
        </w:rPr>
      </w:pPr>
      <w:r>
        <w:rPr>
          <w:rFonts w:ascii="Arial"/>
          <w:i/>
          <w:sz w:val="20"/>
        </w:rPr>
        <w:t>(D) 376 (Nov)</w:t>
      </w:r>
      <w:r>
        <w:rPr>
          <w:rFonts w:ascii="Arial"/>
          <w:i/>
          <w:spacing w:val="-1"/>
          <w:sz w:val="20"/>
        </w:rPr>
        <w:t> </w:t>
      </w:r>
      <w:r>
        <w:rPr>
          <w:sz w:val="20"/>
        </w:rPr>
        <w:t>at [51]; Kenny (1982) Conv. </w:t>
      </w:r>
      <w:r>
        <w:rPr>
          <w:spacing w:val="-4"/>
          <w:sz w:val="20"/>
        </w:rPr>
        <w:t>409.</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6. - Contracts Contained in </w:t>
      </w:r>
      <w:r>
        <w:rPr>
          <w:rFonts w:ascii="Arial"/>
          <w:b/>
          <w:spacing w:val="-2"/>
          <w:sz w:val="24"/>
        </w:rPr>
        <w:t>Deeds</w:t>
      </w:r>
    </w:p>
    <w:p>
      <w:pPr>
        <w:spacing w:before="194"/>
        <w:ind w:left="3612" w:right="0" w:firstLine="0"/>
        <w:jc w:val="left"/>
        <w:rPr>
          <w:rFonts w:ascii="Arial"/>
          <w:b/>
          <w:sz w:val="24"/>
        </w:rPr>
      </w:pPr>
      <w:r>
        <w:rPr>
          <w:rFonts w:ascii="Arial"/>
          <w:b/>
          <w:sz w:val="24"/>
        </w:rPr>
        <w:t>(c) - </w:t>
      </w:r>
      <w:r>
        <w:rPr>
          <w:rFonts w:ascii="Arial"/>
          <w:b/>
          <w:spacing w:val="-2"/>
          <w:sz w:val="24"/>
        </w:rPr>
        <w:t>Consideration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No consideration </w:t>
      </w:r>
      <w:r>
        <w:rPr>
          <w:rFonts w:ascii="Arial"/>
          <w:b/>
          <w:spacing w:val="-2"/>
          <w:sz w:val="18"/>
        </w:rPr>
        <w:t>required</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136</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777" w:id="1779"/>
      <w:bookmarkEnd w:id="1779"/>
      <w:r>
        <w:rPr>
          <w:rFonts w:ascii="Times New Roman" w:hAnsi="Times New Roman"/>
          <w:spacing w:val="12"/>
        </w:rPr>
      </w:r>
      <w:r>
        <w:rPr/>
        <w:t>Generally speaking, as will be seen later in detail, </w:t>
      </w:r>
      <w:r>
        <w:rPr>
          <w:color w:val="005DA1"/>
          <w:u w:val="single" w:color="005DA1"/>
          <w:vertAlign w:val="superscript"/>
        </w:rPr>
        <w:t>943</w:t>
      </w:r>
      <w:r>
        <w:rPr>
          <w:color w:val="005DA1"/>
          <w:vertAlign w:val="baseline"/>
        </w:rPr>
        <w:t> </w:t>
      </w:r>
      <w:r>
        <w:rPr>
          <w:vertAlign w:val="baseline"/>
        </w:rPr>
        <w:t>the law does not enforce gratuitous promises but instead requires a certain reciprocity for the creation of a “simple” contract, this requirement being expressed through the rules gathered under the heading of the doctrine of consideration. However, in </w:t>
      </w:r>
      <w:bookmarkStart w:name="_bookmark1778" w:id="1780"/>
      <w:bookmarkEnd w:id="1780"/>
      <w:r>
        <w:rPr>
          <w:vertAlign w:val="baseline"/>
        </w:rPr>
        <w:t>contracts</w:t>
      </w:r>
      <w:r>
        <w:rPr>
          <w:vertAlign w:val="baseline"/>
        </w:rPr>
        <w:t> contained in a deed no such reciprocity is ordinarily required, the rule being that a </w:t>
      </w:r>
      <w:r>
        <w:rPr>
          <w:vertAlign w:val="baseline"/>
        </w:rPr>
        <w:t>contract contained in a deed is good even against a party standing to derive no advantage from it. </w:t>
      </w:r>
      <w:r>
        <w:rPr>
          <w:color w:val="005DA1"/>
          <w:u w:val="single" w:color="005DA1"/>
          <w:vertAlign w:val="superscript"/>
        </w:rPr>
        <w:t>944</w:t>
      </w:r>
      <w:r>
        <w:rPr>
          <w:color w:val="005DA1"/>
          <w:vertAlign w:val="baseline"/>
        </w:rPr>
        <w:t> </w:t>
      </w:r>
      <w:r>
        <w:rPr>
          <w:vertAlign w:val="baseline"/>
        </w:rPr>
        <w:t>This means that the common law actions of debt (for a promised sum of money) or damages (for failure to perform promises more generally) are available to the person for whose benefit they are expressed. On the other hand equity never favoured voluntary transactions even if they were contained in a</w:t>
      </w:r>
      <w:r>
        <w:rPr>
          <w:spacing w:val="80"/>
          <w:vertAlign w:val="baseline"/>
        </w:rPr>
        <w:t> </w:t>
      </w:r>
      <w:r>
        <w:rPr>
          <w:vertAlign w:val="baseline"/>
        </w:rPr>
        <w:t>deed, and refused to grant its special remedies in cases where these were without consideration. So</w:t>
      </w:r>
      <w:r>
        <w:rPr>
          <w:spacing w:val="40"/>
          <w:vertAlign w:val="baseline"/>
        </w:rPr>
        <w:t> </w:t>
      </w:r>
      <w:bookmarkStart w:name="_bookmark1779" w:id="1781"/>
      <w:bookmarkEnd w:id="1781"/>
      <w:r>
        <w:rPr>
          <w:vertAlign w:val="baseline"/>
        </w:rPr>
        <w:t>it</w:t>
      </w:r>
      <w:r>
        <w:rPr>
          <w:vertAlign w:val="baseline"/>
        </w:rPr>
        <w:t> has been laid down that specific performance will not be decreed of a contract contained in a deed which is entirely without consideration. </w:t>
      </w:r>
      <w:r>
        <w:rPr>
          <w:color w:val="005DA1"/>
          <w:u w:val="single" w:color="005DA1"/>
          <w:vertAlign w:val="superscript"/>
        </w:rPr>
        <w:t>945</w:t>
      </w:r>
      <w:r>
        <w:rPr>
          <w:color w:val="005DA1"/>
          <w:vertAlign w:val="baseline"/>
        </w:rPr>
        <w:t> </w:t>
      </w:r>
      <w:r>
        <w:rPr>
          <w:vertAlign w:val="baseline"/>
        </w:rPr>
        <w:t>Knight-Bruce L.J. in </w:t>
      </w:r>
      <w:r>
        <w:rPr>
          <w:rFonts w:ascii="Arial" w:hAnsi="Arial"/>
          <w:i/>
          <w:vertAlign w:val="baseline"/>
        </w:rPr>
        <w:t>Kekewich v Manning </w:t>
      </w:r>
      <w:r>
        <w:rPr>
          <w:color w:val="005DA1"/>
          <w:u w:val="single" w:color="005DA1"/>
          <w:vertAlign w:val="superscript"/>
        </w:rPr>
        <w:t>946</w:t>
      </w:r>
      <w:r>
        <w:rPr>
          <w:color w:val="005DA1"/>
          <w:vertAlign w:val="baseline"/>
        </w:rPr>
        <w:t> </w:t>
      </w:r>
      <w:r>
        <w:rPr>
          <w:vertAlign w:val="baseline"/>
        </w:rPr>
        <w:t>said:</w:t>
      </w:r>
    </w:p>
    <w:p>
      <w:pPr>
        <w:pStyle w:val="BodyText"/>
      </w:pPr>
    </w:p>
    <w:p>
      <w:pPr>
        <w:pStyle w:val="BodyText"/>
        <w:spacing w:before="123"/>
      </w:pPr>
    </w:p>
    <w:p>
      <w:pPr>
        <w:pStyle w:val="BodyText"/>
        <w:spacing w:line="235" w:lineRule="auto"/>
        <w:ind w:left="1245" w:right="167"/>
        <w:jc w:val="both"/>
      </w:pPr>
      <w:r>
        <w:rPr/>
        <w:t>“In</w:t>
      </w:r>
      <w:r>
        <w:rPr>
          <w:spacing w:val="-2"/>
        </w:rPr>
        <w:t> </w:t>
      </w:r>
      <w:r>
        <w:rPr/>
        <w:t>equity,</w:t>
      </w:r>
      <w:r>
        <w:rPr>
          <w:spacing w:val="-2"/>
        </w:rPr>
        <w:t> </w:t>
      </w:r>
      <w:r>
        <w:rPr/>
        <w:t>where</w:t>
      </w:r>
      <w:r>
        <w:rPr>
          <w:spacing w:val="-2"/>
        </w:rPr>
        <w:t> </w:t>
      </w:r>
      <w:r>
        <w:rPr/>
        <w:t>at</w:t>
      </w:r>
      <w:r>
        <w:rPr>
          <w:spacing w:val="-2"/>
        </w:rPr>
        <w:t> </w:t>
      </w:r>
      <w:r>
        <w:rPr/>
        <w:t>least</w:t>
      </w:r>
      <w:r>
        <w:rPr>
          <w:spacing w:val="-2"/>
        </w:rPr>
        <w:t> </w:t>
      </w:r>
      <w:r>
        <w:rPr/>
        <w:t>the</w:t>
      </w:r>
      <w:r>
        <w:rPr>
          <w:spacing w:val="-2"/>
        </w:rPr>
        <w:t> </w:t>
      </w:r>
      <w:r>
        <w:rPr/>
        <w:t>covenantor</w:t>
      </w:r>
      <w:r>
        <w:rPr>
          <w:spacing w:val="-2"/>
        </w:rPr>
        <w:t> </w:t>
      </w:r>
      <w:r>
        <w:rPr/>
        <w:t>is</w:t>
      </w:r>
      <w:r>
        <w:rPr>
          <w:spacing w:val="-2"/>
        </w:rPr>
        <w:t> </w:t>
      </w:r>
      <w:r>
        <w:rPr/>
        <w:t>living,</w:t>
      </w:r>
      <w:r>
        <w:rPr>
          <w:spacing w:val="-2"/>
        </w:rPr>
        <w:t> </w:t>
      </w:r>
      <w:r>
        <w:rPr/>
        <w:t>or</w:t>
      </w:r>
      <w:r>
        <w:rPr>
          <w:spacing w:val="-2"/>
        </w:rPr>
        <w:t> </w:t>
      </w:r>
      <w:r>
        <w:rPr/>
        <w:t>where</w:t>
      </w:r>
      <w:r>
        <w:rPr>
          <w:spacing w:val="-2"/>
        </w:rPr>
        <w:t> </w:t>
      </w:r>
      <w:r>
        <w:rPr/>
        <w:t>specific</w:t>
      </w:r>
      <w:r>
        <w:rPr>
          <w:spacing w:val="-2"/>
        </w:rPr>
        <w:t> </w:t>
      </w:r>
      <w:r>
        <w:rPr/>
        <w:t>performance</w:t>
      </w:r>
      <w:r>
        <w:rPr>
          <w:spacing w:val="-2"/>
        </w:rPr>
        <w:t> </w:t>
      </w:r>
      <w:r>
        <w:rPr/>
        <w:t>of</w:t>
      </w:r>
      <w:r>
        <w:rPr>
          <w:spacing w:val="-2"/>
        </w:rPr>
        <w:t> </w:t>
      </w:r>
      <w:r>
        <w:rPr/>
        <w:t>such</w:t>
      </w:r>
      <w:r>
        <w:rPr>
          <w:spacing w:val="-2"/>
        </w:rPr>
        <w:t> </w:t>
      </w:r>
      <w:r>
        <w:rPr/>
        <w:t>a </w:t>
      </w:r>
      <w:bookmarkStart w:name="_bookmark1780" w:id="1782"/>
      <w:bookmarkEnd w:id="1782"/>
      <w:r>
        <w:rPr/>
        <w:t>(voluntary)</w:t>
      </w:r>
      <w:r>
        <w:rPr/>
        <w:t> covenant is sought, it stands scarcely, or not at all, on a better footing than if it were contained in an instrument unsealed.” </w:t>
      </w:r>
      <w:r>
        <w:rPr>
          <w:color w:val="005DA1"/>
          <w:u w:val="single" w:color="005DA1"/>
          <w:vertAlign w:val="superscript"/>
        </w:rPr>
        <w:t>947</w:t>
      </w:r>
    </w:p>
    <w:p>
      <w:pPr>
        <w:pStyle w:val="BodyText"/>
        <w:spacing w:before="115"/>
      </w:pPr>
    </w:p>
    <w:p>
      <w:pPr>
        <w:pStyle w:val="BodyText"/>
        <w:spacing w:line="235" w:lineRule="auto" w:before="1"/>
        <w:ind w:left="164" w:right="167"/>
        <w:jc w:val="both"/>
      </w:pPr>
      <w:bookmarkStart w:name="_bookmark1781" w:id="1783"/>
      <w:bookmarkEnd w:id="1783"/>
      <w:r>
        <w:rPr/>
      </w:r>
      <w:r>
        <w:rPr/>
        <w:t>And an imperfect conveyance, if voluntary, is not binding, and equity will not execute it in favour of volunteers if anything remains to be done. </w:t>
      </w:r>
      <w:r>
        <w:rPr>
          <w:color w:val="005DA1"/>
          <w:u w:val="single" w:color="005DA1"/>
          <w:vertAlign w:val="superscript"/>
        </w:rPr>
        <w:t>948</w:t>
      </w:r>
      <w:r>
        <w:rPr>
          <w:color w:val="005DA1"/>
          <w:vertAlign w:val="baseline"/>
        </w:rPr>
        <w:t> </w:t>
      </w:r>
      <w:r>
        <w:rPr>
          <w:vertAlign w:val="baseline"/>
        </w:rPr>
        <w:t>A contract contained in a deed, if made without </w:t>
      </w:r>
      <w:bookmarkStart w:name="_bookmark1782" w:id="1784"/>
      <w:bookmarkEnd w:id="1784"/>
      <w:r>
        <w:rPr>
          <w:vertAlign w:val="baseline"/>
        </w:rPr>
        <w:t>consideration,</w:t>
      </w:r>
      <w:r>
        <w:rPr>
          <w:vertAlign w:val="baseline"/>
        </w:rPr>
        <w:t> may be impeached by third parties on similar grounds to those on which </w:t>
      </w:r>
      <w:r>
        <w:rPr>
          <w:vertAlign w:val="baseline"/>
        </w:rPr>
        <w:t>voluntary settlements can be impeached as being fraudulent as against creditors or purchasers. </w:t>
      </w:r>
      <w:r>
        <w:rPr>
          <w:color w:val="005DA1"/>
          <w:u w:val="single" w:color="005DA1"/>
          <w:vertAlign w:val="superscript"/>
        </w:rPr>
        <w:t>949</w:t>
      </w:r>
      <w:r>
        <w:rPr>
          <w:color w:val="005DA1"/>
          <w:vertAlign w:val="baseline"/>
        </w:rPr>
        <w:t> </w:t>
      </w:r>
      <w:r>
        <w:rPr>
          <w:vertAlign w:val="baseline"/>
        </w:rPr>
        <w:t>Where a promise or agreement unsupported by consideration is enforceable by reason of its being contained</w:t>
      </w:r>
      <w:r>
        <w:rPr>
          <w:spacing w:val="40"/>
          <w:vertAlign w:val="baseline"/>
        </w:rPr>
        <w:t> </w:t>
      </w:r>
      <w:bookmarkStart w:name="_bookmark1783" w:id="1785"/>
      <w:bookmarkEnd w:id="1785"/>
      <w:r>
        <w:rPr>
          <w:vertAlign w:val="baseline"/>
        </w:rPr>
        <w:t>in</w:t>
      </w:r>
      <w:r>
        <w:rPr>
          <w:spacing w:val="22"/>
          <w:vertAlign w:val="baseline"/>
        </w:rPr>
        <w:t> </w:t>
      </w:r>
      <w:r>
        <w:rPr>
          <w:vertAlign w:val="baseline"/>
        </w:rPr>
        <w:t>a</w:t>
      </w:r>
      <w:r>
        <w:rPr>
          <w:spacing w:val="22"/>
          <w:vertAlign w:val="baseline"/>
        </w:rPr>
        <w:t> </w:t>
      </w:r>
      <w:r>
        <w:rPr>
          <w:vertAlign w:val="baseline"/>
        </w:rPr>
        <w:t>deed,</w:t>
      </w:r>
      <w:r>
        <w:rPr>
          <w:spacing w:val="22"/>
          <w:vertAlign w:val="baseline"/>
        </w:rPr>
        <w:t> </w:t>
      </w:r>
      <w:r>
        <w:rPr>
          <w:vertAlign w:val="baseline"/>
        </w:rPr>
        <w:t>it</w:t>
      </w:r>
      <w:r>
        <w:rPr>
          <w:spacing w:val="22"/>
          <w:vertAlign w:val="baseline"/>
        </w:rPr>
        <w:t> </w:t>
      </w:r>
      <w:r>
        <w:rPr>
          <w:vertAlign w:val="baseline"/>
        </w:rPr>
        <w:t>may</w:t>
      </w:r>
      <w:r>
        <w:rPr>
          <w:spacing w:val="22"/>
          <w:vertAlign w:val="baseline"/>
        </w:rPr>
        <w:t> </w:t>
      </w:r>
      <w:r>
        <w:rPr>
          <w:vertAlign w:val="baseline"/>
        </w:rPr>
        <w:t>be</w:t>
      </w:r>
      <w:r>
        <w:rPr>
          <w:spacing w:val="22"/>
          <w:vertAlign w:val="baseline"/>
        </w:rPr>
        <w:t> </w:t>
      </w:r>
      <w:r>
        <w:rPr>
          <w:vertAlign w:val="baseline"/>
        </w:rPr>
        <w:t>avoided</w:t>
      </w:r>
      <w:r>
        <w:rPr>
          <w:spacing w:val="22"/>
          <w:vertAlign w:val="baseline"/>
        </w:rPr>
        <w:t> </w:t>
      </w:r>
      <w:r>
        <w:rPr>
          <w:vertAlign w:val="baseline"/>
        </w:rPr>
        <w:t>on</w:t>
      </w:r>
      <w:r>
        <w:rPr>
          <w:spacing w:val="22"/>
          <w:vertAlign w:val="baseline"/>
        </w:rPr>
        <w:t> </w:t>
      </w:r>
      <w:r>
        <w:rPr>
          <w:vertAlign w:val="baseline"/>
        </w:rPr>
        <w:t>the</w:t>
      </w:r>
      <w:r>
        <w:rPr>
          <w:spacing w:val="22"/>
          <w:vertAlign w:val="baseline"/>
        </w:rPr>
        <w:t> </w:t>
      </w:r>
      <w:r>
        <w:rPr>
          <w:vertAlign w:val="baseline"/>
        </w:rPr>
        <w:t>ground</w:t>
      </w:r>
      <w:r>
        <w:rPr>
          <w:spacing w:val="22"/>
          <w:vertAlign w:val="baseline"/>
        </w:rPr>
        <w:t> </w:t>
      </w:r>
      <w:r>
        <w:rPr>
          <w:vertAlign w:val="baseline"/>
        </w:rPr>
        <w:t>of</w:t>
      </w:r>
      <w:r>
        <w:rPr>
          <w:spacing w:val="22"/>
          <w:vertAlign w:val="baseline"/>
        </w:rPr>
        <w:t> </w:t>
      </w:r>
      <w:r>
        <w:rPr>
          <w:vertAlign w:val="baseline"/>
        </w:rPr>
        <w:t>special</w:t>
      </w:r>
      <w:r>
        <w:rPr>
          <w:spacing w:val="22"/>
          <w:vertAlign w:val="baseline"/>
        </w:rPr>
        <w:t> </w:t>
      </w:r>
      <w:r>
        <w:rPr>
          <w:vertAlign w:val="baseline"/>
        </w:rPr>
        <w:t>equitable</w:t>
      </w:r>
      <w:r>
        <w:rPr>
          <w:spacing w:val="22"/>
          <w:vertAlign w:val="baseline"/>
        </w:rPr>
        <w:t> </w:t>
      </w:r>
      <w:r>
        <w:rPr>
          <w:vertAlign w:val="baseline"/>
        </w:rPr>
        <w:t>rules</w:t>
      </w:r>
      <w:r>
        <w:rPr>
          <w:spacing w:val="22"/>
          <w:vertAlign w:val="baseline"/>
        </w:rPr>
        <w:t> </w:t>
      </w:r>
      <w:r>
        <w:rPr>
          <w:vertAlign w:val="baseline"/>
        </w:rPr>
        <w:t>of</w:t>
      </w:r>
      <w:r>
        <w:rPr>
          <w:spacing w:val="22"/>
          <w:vertAlign w:val="baseline"/>
        </w:rPr>
        <w:t> </w:t>
      </w:r>
      <w:r>
        <w:rPr>
          <w:vertAlign w:val="baseline"/>
        </w:rPr>
        <w:t>mistake</w:t>
      </w:r>
      <w:r>
        <w:rPr>
          <w:spacing w:val="22"/>
          <w:vertAlign w:val="baseline"/>
        </w:rPr>
        <w:t> </w:t>
      </w:r>
      <w:r>
        <w:rPr>
          <w:vertAlign w:val="baseline"/>
        </w:rPr>
        <w:t>which</w:t>
      </w:r>
      <w:r>
        <w:rPr>
          <w:spacing w:val="22"/>
          <w:vertAlign w:val="baseline"/>
        </w:rPr>
        <w:t> </w:t>
      </w:r>
      <w:r>
        <w:rPr>
          <w:vertAlign w:val="baseline"/>
        </w:rPr>
        <w:t>are</w:t>
      </w:r>
      <w:r>
        <w:rPr>
          <w:spacing w:val="22"/>
          <w:vertAlign w:val="baseline"/>
        </w:rPr>
        <w:t> </w:t>
      </w:r>
      <w:r>
        <w:rPr>
          <w:spacing w:val="-2"/>
          <w:vertAlign w:val="baseline"/>
        </w:rPr>
        <w:t>distinct</w:t>
      </w:r>
    </w:p>
    <w:p>
      <w:pPr>
        <w:pStyle w:val="BodyText"/>
        <w:spacing w:before="113"/>
        <w:ind w:left="165"/>
        <w:jc w:val="both"/>
        <w:rPr>
          <w:position w:val="-2"/>
        </w:rPr>
      </w:pPr>
      <w:r>
        <w:rPr/>
        <w:t>from the rules of mistake applicable to contracts. </w:t>
      </w:r>
      <w:r>
        <w:rPr>
          <w:color w:val="005DA1"/>
          <w:u w:val="single" w:color="005DA1"/>
          <w:vertAlign w:val="superscript"/>
        </w:rPr>
        <w:t>950</w:t>
      </w:r>
      <w:r>
        <w:rPr>
          <w:color w:val="005DA1"/>
          <w:spacing w:val="80"/>
          <w:w w:val="150"/>
          <w:vertAlign w:val="baseline"/>
        </w:rPr>
        <w:t> </w:t>
      </w:r>
      <w:r>
        <w:rPr>
          <w:color w:val="005DA1"/>
          <w:position w:val="-2"/>
          <w:vertAlign w:val="baseline"/>
        </w:rPr>
        <w:drawing>
          <wp:inline distT="0" distB="0" distL="0" distR="0">
            <wp:extent cx="107988" cy="107988"/>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9"/>
      </w:pPr>
      <w:r>
        <w:rPr/>
        <mc:AlternateContent>
          <mc:Choice Requires="wps">
            <w:drawing>
              <wp:anchor distT="0" distB="0" distL="0" distR="0" allowOverlap="1" layoutInCell="1" locked="0" behindDoc="1" simplePos="0" relativeHeight="487686144">
                <wp:simplePos x="0" y="0"/>
                <wp:positionH relativeFrom="page">
                  <wp:posOffset>914400</wp:posOffset>
                </wp:positionH>
                <wp:positionV relativeFrom="paragraph">
                  <wp:posOffset>186329</wp:posOffset>
                </wp:positionV>
                <wp:extent cx="5724525" cy="1270"/>
                <wp:effectExtent l="0" t="0" r="0" b="0"/>
                <wp:wrapTopAndBottom/>
                <wp:docPr id="419" name="Graphic 419"/>
                <wp:cNvGraphicFramePr>
                  <a:graphicFrameLocks/>
                </wp:cNvGraphicFramePr>
                <a:graphic>
                  <a:graphicData uri="http://schemas.microsoft.com/office/word/2010/wordprocessingShape">
                    <wps:wsp>
                      <wps:cNvPr id="419" name="Graphic 41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1594pt;width:450.75pt;height:.1pt;mso-position-horizontal-relative:page;mso-position-vertical-relative:paragraph;z-index:-15630336;mso-wrap-distance-left:0;mso-wrap-distance-right:0" id="docshape65"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1784" w:id="1786"/>
      <w:bookmarkEnd w:id="1786"/>
      <w:r>
        <w:rPr/>
      </w:r>
      <w:hyperlink w:history="true" w:anchor="_bookmark1777">
        <w:r>
          <w:rPr>
            <w:color w:val="005DA1"/>
            <w:spacing w:val="-4"/>
            <w:position w:val="5"/>
            <w:sz w:val="14"/>
            <w:u w:val="single" w:color="005DA1"/>
          </w:rPr>
          <w:t>943</w:t>
        </w:r>
      </w:hyperlink>
      <w:r>
        <w:rPr>
          <w:spacing w:val="-4"/>
          <w:position w:val="5"/>
          <w:sz w:val="14"/>
        </w:rPr>
        <w:t>.</w:t>
      </w:r>
      <w:r>
        <w:rPr>
          <w:position w:val="5"/>
          <w:sz w:val="14"/>
        </w:rPr>
        <w:tab/>
      </w:r>
      <w:r>
        <w:rPr>
          <w:sz w:val="20"/>
        </w:rPr>
        <w:t>See below, </w:t>
      </w:r>
      <w:r>
        <w:rPr>
          <w:spacing w:val="-2"/>
          <w:sz w:val="20"/>
        </w:rPr>
        <w:t>Ch.4.</w:t>
      </w:r>
    </w:p>
    <w:p>
      <w:pPr>
        <w:pStyle w:val="BodyText"/>
        <w:spacing w:before="5"/>
      </w:pPr>
    </w:p>
    <w:p>
      <w:pPr>
        <w:tabs>
          <w:tab w:pos="705" w:val="left" w:leader="none"/>
        </w:tabs>
        <w:spacing w:before="0"/>
        <w:ind w:left="165" w:right="0" w:firstLine="0"/>
        <w:jc w:val="left"/>
        <w:rPr>
          <w:sz w:val="20"/>
        </w:rPr>
      </w:pPr>
      <w:bookmarkStart w:name="_bookmark1785" w:id="1787"/>
      <w:bookmarkEnd w:id="1787"/>
      <w:r>
        <w:rPr/>
      </w:r>
      <w:hyperlink w:history="true" w:anchor="_bookmark1778">
        <w:r>
          <w:rPr>
            <w:color w:val="005DA1"/>
            <w:spacing w:val="-4"/>
            <w:position w:val="5"/>
            <w:sz w:val="14"/>
            <w:u w:val="single" w:color="005DA1"/>
          </w:rPr>
          <w:t>944</w:t>
        </w:r>
      </w:hyperlink>
      <w:r>
        <w:rPr>
          <w:spacing w:val="-4"/>
          <w:position w:val="5"/>
          <w:sz w:val="14"/>
        </w:rPr>
        <w:t>.</w:t>
      </w:r>
      <w:r>
        <w:rPr>
          <w:position w:val="5"/>
          <w:sz w:val="14"/>
        </w:rPr>
        <w:tab/>
      </w:r>
      <w:r>
        <w:rPr>
          <w:sz w:val="20"/>
        </w:rPr>
        <w:t>See</w:t>
      </w:r>
      <w:r>
        <w:rPr>
          <w:spacing w:val="-2"/>
          <w:sz w:val="20"/>
        </w:rPr>
        <w:t> </w:t>
      </w:r>
      <w:r>
        <w:rPr>
          <w:sz w:val="20"/>
        </w:rPr>
        <w:t>Plowd. 308;</w:t>
      </w:r>
      <w:r>
        <w:rPr>
          <w:spacing w:val="-1"/>
          <w:sz w:val="20"/>
        </w:rPr>
        <w:t> </w:t>
      </w:r>
      <w:r>
        <w:rPr>
          <w:rFonts w:ascii="Arial" w:hAnsi="Arial"/>
          <w:i/>
          <w:sz w:val="20"/>
        </w:rPr>
        <w:t>Morley v Boothby (1825) 3 Bing. 107, </w:t>
      </w:r>
      <w:r>
        <w:rPr>
          <w:rFonts w:ascii="Arial" w:hAnsi="Arial"/>
          <w:i/>
          <w:spacing w:val="-2"/>
          <w:sz w:val="20"/>
        </w:rPr>
        <w:t>111–112</w:t>
      </w:r>
      <w:r>
        <w:rPr>
          <w:spacing w:val="-2"/>
          <w:sz w:val="20"/>
        </w:rPr>
        <w:t>.</w:t>
      </w:r>
    </w:p>
    <w:p>
      <w:pPr>
        <w:pStyle w:val="BodyText"/>
        <w:spacing w:before="9"/>
      </w:pPr>
    </w:p>
    <w:p>
      <w:pPr>
        <w:spacing w:line="235" w:lineRule="auto" w:before="0"/>
        <w:ind w:left="705" w:right="168" w:hanging="541"/>
        <w:jc w:val="both"/>
        <w:rPr>
          <w:sz w:val="20"/>
        </w:rPr>
      </w:pPr>
      <w:bookmarkStart w:name="_bookmark1786" w:id="1788"/>
      <w:bookmarkEnd w:id="1788"/>
      <w:r>
        <w:rPr/>
      </w:r>
      <w:hyperlink w:history="true" w:anchor="_bookmark1779">
        <w:r>
          <w:rPr>
            <w:color w:val="005DA1"/>
            <w:position w:val="5"/>
            <w:sz w:val="14"/>
            <w:u w:val="single" w:color="005DA1"/>
          </w:rPr>
          <w:t>945</w:t>
        </w:r>
      </w:hyperlink>
      <w:r>
        <w:rPr>
          <w:position w:val="5"/>
          <w:sz w:val="14"/>
        </w:rPr>
        <w:t>.</w:t>
      </w:r>
      <w:r>
        <w:rPr>
          <w:spacing w:val="40"/>
          <w:position w:val="5"/>
          <w:sz w:val="14"/>
        </w:rPr>
        <w:t>  </w:t>
      </w:r>
      <w:r>
        <w:rPr>
          <w:rFonts w:ascii="Arial"/>
          <w:i/>
          <w:sz w:val="20"/>
        </w:rPr>
        <w:t>Wycherley</w:t>
      </w:r>
      <w:r>
        <w:rPr>
          <w:rFonts w:ascii="Arial"/>
          <w:i/>
          <w:spacing w:val="40"/>
          <w:sz w:val="20"/>
        </w:rPr>
        <w:t> </w:t>
      </w:r>
      <w:r>
        <w:rPr>
          <w:rFonts w:ascii="Arial"/>
          <w:i/>
          <w:sz w:val="20"/>
        </w:rPr>
        <w:t>v</w:t>
      </w:r>
      <w:r>
        <w:rPr>
          <w:rFonts w:ascii="Arial"/>
          <w:i/>
          <w:spacing w:val="40"/>
          <w:sz w:val="20"/>
        </w:rPr>
        <w:t> </w:t>
      </w:r>
      <w:r>
        <w:rPr>
          <w:rFonts w:ascii="Arial"/>
          <w:i/>
          <w:sz w:val="20"/>
        </w:rPr>
        <w:t>Wycherley</w:t>
      </w:r>
      <w:r>
        <w:rPr>
          <w:rFonts w:ascii="Arial"/>
          <w:i/>
          <w:spacing w:val="40"/>
          <w:sz w:val="20"/>
        </w:rPr>
        <w:t> </w:t>
      </w:r>
      <w:r>
        <w:rPr>
          <w:rFonts w:ascii="Arial"/>
          <w:i/>
          <w:sz w:val="20"/>
        </w:rPr>
        <w:t>(1763)</w:t>
      </w:r>
      <w:r>
        <w:rPr>
          <w:rFonts w:ascii="Arial"/>
          <w:i/>
          <w:spacing w:val="40"/>
          <w:sz w:val="20"/>
        </w:rPr>
        <w:t> </w:t>
      </w:r>
      <w:r>
        <w:rPr>
          <w:rFonts w:ascii="Arial"/>
          <w:i/>
          <w:sz w:val="20"/>
        </w:rPr>
        <w:t>2</w:t>
      </w:r>
      <w:r>
        <w:rPr>
          <w:rFonts w:ascii="Arial"/>
          <w:i/>
          <w:spacing w:val="40"/>
          <w:sz w:val="20"/>
        </w:rPr>
        <w:t> </w:t>
      </w:r>
      <w:r>
        <w:rPr>
          <w:rFonts w:ascii="Arial"/>
          <w:i/>
          <w:sz w:val="20"/>
        </w:rPr>
        <w:t>Eden</w:t>
      </w:r>
      <w:r>
        <w:rPr>
          <w:rFonts w:ascii="Arial"/>
          <w:i/>
          <w:spacing w:val="40"/>
          <w:sz w:val="20"/>
        </w:rPr>
        <w:t> </w:t>
      </w:r>
      <w:r>
        <w:rPr>
          <w:rFonts w:ascii="Arial"/>
          <w:i/>
          <w:sz w:val="20"/>
        </w:rPr>
        <w:t>175,</w:t>
      </w:r>
      <w:r>
        <w:rPr>
          <w:rFonts w:ascii="Arial"/>
          <w:i/>
          <w:spacing w:val="40"/>
          <w:sz w:val="20"/>
        </w:rPr>
        <w:t> </w:t>
      </w:r>
      <w:r>
        <w:rPr>
          <w:rFonts w:ascii="Arial"/>
          <w:i/>
          <w:sz w:val="20"/>
        </w:rPr>
        <w:t>177</w:t>
      </w:r>
      <w:r>
        <w:rPr>
          <w:sz w:val="20"/>
        </w:rPr>
        <w:t>;</w:t>
      </w:r>
      <w:r>
        <w:rPr>
          <w:spacing w:val="40"/>
          <w:sz w:val="20"/>
        </w:rPr>
        <w:t> </w:t>
      </w:r>
      <w:r>
        <w:rPr>
          <w:rFonts w:ascii="Arial"/>
          <w:i/>
          <w:sz w:val="20"/>
        </w:rPr>
        <w:t>Groves</w:t>
      </w:r>
      <w:r>
        <w:rPr>
          <w:rFonts w:ascii="Arial"/>
          <w:i/>
          <w:spacing w:val="40"/>
          <w:sz w:val="20"/>
        </w:rPr>
        <w:t> </w:t>
      </w:r>
      <w:r>
        <w:rPr>
          <w:rFonts w:ascii="Arial"/>
          <w:i/>
          <w:sz w:val="20"/>
        </w:rPr>
        <w:t>v</w:t>
      </w:r>
      <w:r>
        <w:rPr>
          <w:rFonts w:ascii="Arial"/>
          <w:i/>
          <w:spacing w:val="40"/>
          <w:sz w:val="20"/>
        </w:rPr>
        <w:t> </w:t>
      </w:r>
      <w:r>
        <w:rPr>
          <w:rFonts w:ascii="Arial"/>
          <w:i/>
          <w:sz w:val="20"/>
        </w:rPr>
        <w:t>Groves</w:t>
      </w:r>
      <w:r>
        <w:rPr>
          <w:rFonts w:ascii="Arial"/>
          <w:i/>
          <w:spacing w:val="40"/>
          <w:sz w:val="20"/>
        </w:rPr>
        <w:t> </w:t>
      </w:r>
      <w:r>
        <w:rPr>
          <w:rFonts w:ascii="Arial"/>
          <w:i/>
          <w:sz w:val="20"/>
        </w:rPr>
        <w:t>(1829)</w:t>
      </w:r>
      <w:r>
        <w:rPr>
          <w:rFonts w:ascii="Arial"/>
          <w:i/>
          <w:spacing w:val="40"/>
          <w:sz w:val="20"/>
        </w:rPr>
        <w:t> </w:t>
      </w:r>
      <w:r>
        <w:rPr>
          <w:rFonts w:ascii="Arial"/>
          <w:i/>
          <w:sz w:val="20"/>
        </w:rPr>
        <w:t>3</w:t>
      </w:r>
      <w:r>
        <w:rPr>
          <w:rFonts w:ascii="Arial"/>
          <w:i/>
          <w:spacing w:val="40"/>
          <w:sz w:val="20"/>
        </w:rPr>
        <w:t> </w:t>
      </w:r>
      <w:r>
        <w:rPr>
          <w:rFonts w:ascii="Arial"/>
          <w:i/>
          <w:sz w:val="20"/>
        </w:rPr>
        <w:t>Y.</w:t>
      </w:r>
      <w:r>
        <w:rPr>
          <w:rFonts w:ascii="Arial"/>
          <w:i/>
          <w:spacing w:val="40"/>
          <w:sz w:val="20"/>
        </w:rPr>
        <w:t> </w:t>
      </w:r>
      <w:r>
        <w:rPr>
          <w:rFonts w:ascii="Arial"/>
          <w:i/>
          <w:sz w:val="20"/>
        </w:rPr>
        <w:t>&amp;</w:t>
      </w:r>
      <w:r>
        <w:rPr>
          <w:rFonts w:ascii="Arial"/>
          <w:i/>
          <w:spacing w:val="40"/>
          <w:sz w:val="20"/>
        </w:rPr>
        <w:t> </w:t>
      </w:r>
      <w:r>
        <w:rPr>
          <w:rFonts w:ascii="Arial"/>
          <w:i/>
          <w:sz w:val="20"/>
        </w:rPr>
        <w:t>J.</w:t>
      </w:r>
      <w:r>
        <w:rPr>
          <w:rFonts w:ascii="Arial"/>
          <w:i/>
          <w:spacing w:val="40"/>
          <w:sz w:val="20"/>
        </w:rPr>
        <w:t> </w:t>
      </w:r>
      <w:r>
        <w:rPr>
          <w:rFonts w:ascii="Arial"/>
          <w:i/>
          <w:sz w:val="20"/>
        </w:rPr>
        <w:t>163</w:t>
      </w:r>
      <w:r>
        <w:rPr>
          <w:sz w:val="20"/>
        </w:rPr>
        <w:t>; </w:t>
      </w:r>
      <w:r>
        <w:rPr>
          <w:rFonts w:ascii="Arial"/>
          <w:i/>
          <w:sz w:val="20"/>
        </w:rPr>
        <w:t>Jefferys v Jefferys (1841) Cr. &amp; Ph. 138</w:t>
      </w:r>
      <w:r>
        <w:rPr>
          <w:sz w:val="20"/>
        </w:rPr>
        <w:t>. See Fry on Specific Performance, 6th edn </w:t>
      </w:r>
      <w:r>
        <w:rPr>
          <w:sz w:val="20"/>
        </w:rPr>
        <w:t>(1921),</w:t>
      </w:r>
      <w:r>
        <w:rPr>
          <w:spacing w:val="40"/>
          <w:sz w:val="20"/>
        </w:rPr>
        <w:t> </w:t>
      </w:r>
      <w:r>
        <w:rPr>
          <w:sz w:val="20"/>
        </w:rPr>
        <w:t>p.53; Jones and Goodhart, </w:t>
      </w:r>
      <w:r>
        <w:rPr>
          <w:rFonts w:ascii="Arial"/>
          <w:i/>
          <w:sz w:val="20"/>
        </w:rPr>
        <w:t>Specific Performance</w:t>
      </w:r>
      <w:r>
        <w:rPr>
          <w:sz w:val="20"/>
        </w:rPr>
        <w:t>, 2nd edn (1996), p.24. Contrast </w:t>
      </w:r>
      <w:r>
        <w:rPr>
          <w:rFonts w:ascii="Arial"/>
          <w:i/>
          <w:sz w:val="20"/>
        </w:rPr>
        <w:t>Mountford v Scott [1975] Ch. 258 </w:t>
      </w:r>
      <w:r>
        <w:rPr>
          <w:sz w:val="20"/>
        </w:rPr>
        <w:t>(token payment for grant of option). See also below, paras 4-021, 27-039.</w:t>
      </w:r>
    </w:p>
    <w:p>
      <w:pPr>
        <w:pStyle w:val="BodyText"/>
        <w:spacing w:before="5"/>
      </w:pPr>
    </w:p>
    <w:p>
      <w:pPr>
        <w:tabs>
          <w:tab w:pos="705" w:val="left" w:leader="none"/>
        </w:tabs>
        <w:spacing w:before="0"/>
        <w:ind w:left="165" w:right="0" w:firstLine="0"/>
        <w:jc w:val="left"/>
        <w:rPr>
          <w:sz w:val="20"/>
        </w:rPr>
      </w:pPr>
      <w:bookmarkStart w:name="_bookmark1787" w:id="1789"/>
      <w:bookmarkEnd w:id="1789"/>
      <w:r>
        <w:rPr/>
      </w:r>
      <w:hyperlink w:history="true" w:anchor="_bookmark1779">
        <w:r>
          <w:rPr>
            <w:color w:val="005DA1"/>
            <w:spacing w:val="-4"/>
            <w:position w:val="5"/>
            <w:sz w:val="14"/>
            <w:u w:val="single" w:color="005DA1"/>
          </w:rPr>
          <w:t>946</w:t>
        </w:r>
      </w:hyperlink>
      <w:r>
        <w:rPr>
          <w:spacing w:val="-4"/>
          <w:position w:val="5"/>
          <w:sz w:val="14"/>
        </w:rPr>
        <w:t>.</w:t>
      </w:r>
      <w:r>
        <w:rPr>
          <w:position w:val="5"/>
          <w:sz w:val="14"/>
        </w:rPr>
        <w:tab/>
      </w:r>
      <w:r>
        <w:rPr>
          <w:rFonts w:ascii="Arial"/>
          <w:i/>
          <w:sz w:val="20"/>
        </w:rPr>
        <w:t>(1851) 1 De G.M. &amp; G. 176, </w:t>
      </w:r>
      <w:r>
        <w:rPr>
          <w:rFonts w:ascii="Arial"/>
          <w:i/>
          <w:spacing w:val="-4"/>
          <w:sz w:val="20"/>
        </w:rPr>
        <w:t>188</w:t>
      </w:r>
      <w:r>
        <w:rPr>
          <w:spacing w:val="-4"/>
          <w:sz w:val="20"/>
        </w:rPr>
        <w:t>.</w:t>
      </w:r>
    </w:p>
    <w:p>
      <w:pPr>
        <w:spacing w:after="0"/>
        <w:jc w:val="left"/>
        <w:rPr>
          <w:sz w:val="20"/>
        </w:rPr>
        <w:sectPr>
          <w:headerReference w:type="default" r:id="rId40"/>
          <w:pgSz w:w="11900" w:h="16840"/>
          <w:pgMar w:header="971" w:footer="0" w:top="1300" w:bottom="280" w:left="1275" w:right="1275"/>
          <w:pgNumType w:start="1"/>
        </w:sectPr>
      </w:pPr>
    </w:p>
    <w:p>
      <w:pPr>
        <w:pStyle w:val="BodyText"/>
        <w:tabs>
          <w:tab w:pos="705" w:val="left" w:leader="none"/>
        </w:tabs>
        <w:spacing w:before="166"/>
        <w:ind w:left="165"/>
      </w:pPr>
      <w:bookmarkStart w:name="_bookmark1788" w:id="1790"/>
      <w:bookmarkEnd w:id="1790"/>
      <w:r>
        <w:rPr/>
      </w:r>
      <w:hyperlink w:history="true" w:anchor="_bookmark1780">
        <w:r>
          <w:rPr>
            <w:color w:val="005DA1"/>
            <w:spacing w:val="-4"/>
            <w:position w:val="5"/>
            <w:sz w:val="14"/>
            <w:u w:val="single" w:color="005DA1"/>
          </w:rPr>
          <w:t>947</w:t>
        </w:r>
      </w:hyperlink>
      <w:r>
        <w:rPr>
          <w:spacing w:val="-4"/>
          <w:position w:val="5"/>
          <w:sz w:val="14"/>
        </w:rPr>
        <w:t>.</w:t>
      </w:r>
      <w:r>
        <w:rPr>
          <w:position w:val="5"/>
          <w:sz w:val="14"/>
        </w:rPr>
        <w:tab/>
      </w:r>
      <w:r>
        <w:rPr/>
        <w:t>But</w:t>
      </w:r>
      <w:r>
        <w:rPr>
          <w:spacing w:val="-2"/>
        </w:rPr>
        <w:t> </w:t>
      </w:r>
      <w:r>
        <w:rPr/>
        <w:t>see above, para.1-</w:t>
      </w:r>
      <w:r>
        <w:rPr>
          <w:spacing w:val="-4"/>
        </w:rPr>
        <w:t>113.</w:t>
      </w:r>
    </w:p>
    <w:p>
      <w:pPr>
        <w:pStyle w:val="BodyText"/>
        <w:spacing w:before="9"/>
      </w:pPr>
    </w:p>
    <w:p>
      <w:pPr>
        <w:spacing w:line="235" w:lineRule="auto" w:before="0"/>
        <w:ind w:left="705" w:right="168" w:hanging="541"/>
        <w:jc w:val="both"/>
        <w:rPr>
          <w:sz w:val="20"/>
        </w:rPr>
      </w:pPr>
      <w:bookmarkStart w:name="_bookmark1789" w:id="1791"/>
      <w:bookmarkEnd w:id="1791"/>
      <w:r>
        <w:rPr/>
      </w:r>
      <w:hyperlink w:history="true" w:anchor="_bookmark1781">
        <w:r>
          <w:rPr>
            <w:color w:val="005DA1"/>
            <w:position w:val="5"/>
            <w:sz w:val="14"/>
            <w:u w:val="single" w:color="005DA1"/>
          </w:rPr>
          <w:t>948</w:t>
        </w:r>
      </w:hyperlink>
      <w:r>
        <w:rPr>
          <w:position w:val="5"/>
          <w:sz w:val="14"/>
        </w:rPr>
        <w:t>.</w:t>
      </w:r>
      <w:r>
        <w:rPr>
          <w:spacing w:val="80"/>
          <w:position w:val="5"/>
          <w:sz w:val="14"/>
        </w:rPr>
        <w:t>  </w:t>
      </w:r>
      <w:r>
        <w:rPr>
          <w:sz w:val="20"/>
        </w:rPr>
        <w:t>As in </w:t>
      </w:r>
      <w:r>
        <w:rPr>
          <w:rFonts w:ascii="Arial" w:hAnsi="Arial"/>
          <w:i/>
          <w:sz w:val="20"/>
        </w:rPr>
        <w:t>Milroy v Lord (1862) 4 De G.F. &amp; J. 264</w:t>
      </w:r>
      <w:r>
        <w:rPr>
          <w:sz w:val="20"/>
        </w:rPr>
        <w:t>; </w:t>
      </w:r>
      <w:r>
        <w:rPr>
          <w:rFonts w:ascii="Arial" w:hAnsi="Arial"/>
          <w:i/>
          <w:sz w:val="20"/>
        </w:rPr>
        <w:t>Richards v Delbridge (1874) L.R. 18 Eq. 11</w:t>
      </w:r>
      <w:r>
        <w:rPr>
          <w:sz w:val="20"/>
        </w:rPr>
        <w:t>; </w:t>
      </w:r>
      <w:r>
        <w:rPr>
          <w:rFonts w:ascii="Arial" w:hAnsi="Arial"/>
          <w:i/>
          <w:sz w:val="20"/>
        </w:rPr>
        <w:t>Re Kay’s Settlement [1939] Ch. 329</w:t>
      </w:r>
      <w:r>
        <w:rPr>
          <w:sz w:val="20"/>
        </w:rPr>
        <w:t>; </w:t>
      </w:r>
      <w:r>
        <w:rPr>
          <w:rFonts w:ascii="Arial" w:hAnsi="Arial"/>
          <w:i/>
          <w:sz w:val="20"/>
        </w:rPr>
        <w:t>Re Fry [1946] Ch. 312</w:t>
      </w:r>
      <w:r>
        <w:rPr>
          <w:sz w:val="20"/>
        </w:rPr>
        <w:t>. See also Law of Property Act 1925 s.173, replacing Voluntary Conveyances Act 1893.</w:t>
      </w:r>
    </w:p>
    <w:p>
      <w:pPr>
        <w:pStyle w:val="BodyText"/>
        <w:spacing w:before="9"/>
      </w:pPr>
    </w:p>
    <w:p>
      <w:pPr>
        <w:pStyle w:val="BodyText"/>
        <w:tabs>
          <w:tab w:pos="705" w:val="left" w:leader="none"/>
        </w:tabs>
        <w:spacing w:line="235" w:lineRule="auto"/>
        <w:ind w:left="705" w:right="168" w:hanging="541"/>
      </w:pPr>
      <w:bookmarkStart w:name="_bookmark1790" w:id="1792"/>
      <w:bookmarkEnd w:id="1792"/>
      <w:r>
        <w:rPr/>
      </w:r>
      <w:hyperlink w:history="true" w:anchor="_bookmark1782">
        <w:r>
          <w:rPr>
            <w:color w:val="005DA1"/>
            <w:spacing w:val="-4"/>
            <w:position w:val="5"/>
            <w:sz w:val="14"/>
            <w:u w:val="single" w:color="005DA1"/>
          </w:rPr>
          <w:t>949</w:t>
        </w:r>
      </w:hyperlink>
      <w:r>
        <w:rPr>
          <w:spacing w:val="-4"/>
          <w:position w:val="5"/>
          <w:sz w:val="14"/>
        </w:rPr>
        <w:t>.</w:t>
      </w:r>
      <w:r>
        <w:rPr>
          <w:position w:val="5"/>
          <w:sz w:val="14"/>
        </w:rPr>
        <w:tab/>
      </w:r>
      <w:r>
        <w:rPr/>
        <w:t>See Law of Property Act 1925 s.173; Insolvency Act 1986 ss.423–425, 436 (replacing Law </w:t>
      </w:r>
      <w:r>
        <w:rPr/>
        <w:t>of</w:t>
      </w:r>
      <w:r>
        <w:rPr>
          <w:spacing w:val="40"/>
        </w:rPr>
        <w:t> </w:t>
      </w:r>
      <w:r>
        <w:rPr/>
        <w:t>Property Act 1925 s.172).</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791" w:id="1793"/>
      <w:bookmarkEnd w:id="1793"/>
      <w:r>
        <w:rPr/>
      </w:r>
      <w:hyperlink w:history="true" w:anchor="_bookmark1783">
        <w:r>
          <w:rPr>
            <w:color w:val="005DA1"/>
            <w:spacing w:val="-4"/>
            <w:sz w:val="14"/>
            <w:u w:val="single" w:color="005DA1"/>
          </w:rPr>
          <w:t>950</w:t>
        </w:r>
      </w:hyperlink>
      <w:r>
        <w:rPr>
          <w:spacing w:val="-4"/>
          <w:sz w:val="14"/>
        </w:rPr>
        <w:t>.</w:t>
      </w:r>
    </w:p>
    <w:p>
      <w:pPr>
        <w:spacing w:line="227" w:lineRule="exact" w:before="209"/>
        <w:ind w:left="335" w:right="0" w:firstLine="0"/>
        <w:jc w:val="left"/>
        <w:rPr>
          <w:rFonts w:ascii="Arial"/>
          <w:i/>
          <w:sz w:val="20"/>
        </w:rPr>
      </w:pPr>
      <w:r>
        <w:rPr/>
        <w:br w:type="column"/>
      </w:r>
      <w:r>
        <w:rPr>
          <w:rFonts w:ascii="Arial"/>
          <w:i/>
          <w:sz w:val="20"/>
        </w:rPr>
        <w:t>Pitt</w:t>
      </w:r>
      <w:r>
        <w:rPr>
          <w:rFonts w:ascii="Arial"/>
          <w:i/>
          <w:spacing w:val="32"/>
          <w:sz w:val="20"/>
        </w:rPr>
        <w:t> </w:t>
      </w:r>
      <w:r>
        <w:rPr>
          <w:rFonts w:ascii="Arial"/>
          <w:i/>
          <w:sz w:val="20"/>
        </w:rPr>
        <w:t>v</w:t>
      </w:r>
      <w:r>
        <w:rPr>
          <w:rFonts w:ascii="Arial"/>
          <w:i/>
          <w:spacing w:val="32"/>
          <w:sz w:val="20"/>
        </w:rPr>
        <w:t> </w:t>
      </w:r>
      <w:r>
        <w:rPr>
          <w:rFonts w:ascii="Arial"/>
          <w:i/>
          <w:sz w:val="20"/>
        </w:rPr>
        <w:t>Holt</w:t>
      </w:r>
      <w:r>
        <w:rPr>
          <w:rFonts w:ascii="Arial"/>
          <w:i/>
          <w:spacing w:val="32"/>
          <w:sz w:val="20"/>
        </w:rPr>
        <w:t> </w:t>
      </w:r>
      <w:r>
        <w:rPr>
          <w:rFonts w:ascii="Arial"/>
          <w:i/>
          <w:sz w:val="20"/>
        </w:rPr>
        <w:t>[2013]</w:t>
      </w:r>
      <w:r>
        <w:rPr>
          <w:rFonts w:ascii="Arial"/>
          <w:i/>
          <w:spacing w:val="32"/>
          <w:sz w:val="20"/>
        </w:rPr>
        <w:t> </w:t>
      </w:r>
      <w:r>
        <w:rPr>
          <w:rFonts w:ascii="Arial"/>
          <w:i/>
          <w:sz w:val="20"/>
        </w:rPr>
        <w:t>UKSC</w:t>
      </w:r>
      <w:r>
        <w:rPr>
          <w:rFonts w:ascii="Arial"/>
          <w:i/>
          <w:spacing w:val="32"/>
          <w:sz w:val="20"/>
        </w:rPr>
        <w:t> </w:t>
      </w:r>
      <w:r>
        <w:rPr>
          <w:rFonts w:ascii="Arial"/>
          <w:i/>
          <w:sz w:val="20"/>
        </w:rPr>
        <w:t>26,</w:t>
      </w:r>
      <w:r>
        <w:rPr>
          <w:rFonts w:ascii="Arial"/>
          <w:i/>
          <w:spacing w:val="32"/>
          <w:sz w:val="20"/>
        </w:rPr>
        <w:t> </w:t>
      </w:r>
      <w:r>
        <w:rPr>
          <w:rFonts w:ascii="Arial"/>
          <w:i/>
          <w:sz w:val="20"/>
        </w:rPr>
        <w:t>[2013]</w:t>
      </w:r>
      <w:r>
        <w:rPr>
          <w:rFonts w:ascii="Arial"/>
          <w:i/>
          <w:spacing w:val="32"/>
          <w:sz w:val="20"/>
        </w:rPr>
        <w:t> </w:t>
      </w:r>
      <w:r>
        <w:rPr>
          <w:rFonts w:ascii="Arial"/>
          <w:i/>
          <w:sz w:val="20"/>
        </w:rPr>
        <w:t>2</w:t>
      </w:r>
      <w:r>
        <w:rPr>
          <w:rFonts w:ascii="Arial"/>
          <w:i/>
          <w:spacing w:val="32"/>
          <w:sz w:val="20"/>
        </w:rPr>
        <w:t> </w:t>
      </w:r>
      <w:r>
        <w:rPr>
          <w:rFonts w:ascii="Arial"/>
          <w:i/>
          <w:sz w:val="20"/>
        </w:rPr>
        <w:t>A.C.</w:t>
      </w:r>
      <w:r>
        <w:rPr>
          <w:rFonts w:ascii="Arial"/>
          <w:i/>
          <w:spacing w:val="32"/>
          <w:sz w:val="20"/>
        </w:rPr>
        <w:t> </w:t>
      </w:r>
      <w:r>
        <w:rPr>
          <w:rFonts w:ascii="Arial"/>
          <w:i/>
          <w:sz w:val="20"/>
        </w:rPr>
        <w:t>108</w:t>
      </w:r>
      <w:r>
        <w:rPr>
          <w:rFonts w:ascii="Arial"/>
          <w:i/>
          <w:spacing w:val="31"/>
          <w:sz w:val="20"/>
        </w:rPr>
        <w:t> </w:t>
      </w:r>
      <w:r>
        <w:rPr>
          <w:sz w:val="20"/>
        </w:rPr>
        <w:t>esp.</w:t>
      </w:r>
      <w:r>
        <w:rPr>
          <w:spacing w:val="32"/>
          <w:sz w:val="20"/>
        </w:rPr>
        <w:t> </w:t>
      </w:r>
      <w:r>
        <w:rPr>
          <w:sz w:val="20"/>
        </w:rPr>
        <w:t>at</w:t>
      </w:r>
      <w:r>
        <w:rPr>
          <w:spacing w:val="32"/>
          <w:sz w:val="20"/>
        </w:rPr>
        <w:t> </w:t>
      </w:r>
      <w:r>
        <w:rPr>
          <w:sz w:val="20"/>
        </w:rPr>
        <w:t>[115];</w:t>
      </w:r>
      <w:r>
        <w:rPr>
          <w:spacing w:val="32"/>
          <w:sz w:val="20"/>
        </w:rPr>
        <w:t> </w:t>
      </w:r>
      <w:r>
        <w:rPr>
          <w:sz w:val="20"/>
        </w:rPr>
        <w:t>applied</w:t>
      </w:r>
      <w:r>
        <w:rPr>
          <w:spacing w:val="32"/>
          <w:sz w:val="20"/>
        </w:rPr>
        <w:t> </w:t>
      </w:r>
      <w:r>
        <w:rPr>
          <w:sz w:val="20"/>
        </w:rPr>
        <w:t>in</w:t>
      </w:r>
      <w:r>
        <w:rPr>
          <w:spacing w:val="31"/>
          <w:sz w:val="20"/>
        </w:rPr>
        <w:t> </w:t>
      </w:r>
      <w:r>
        <w:rPr>
          <w:rFonts w:ascii="Arial"/>
          <w:i/>
          <w:sz w:val="20"/>
        </w:rPr>
        <w:t>Van</w:t>
      </w:r>
      <w:r>
        <w:rPr>
          <w:rFonts w:ascii="Arial"/>
          <w:i/>
          <w:spacing w:val="32"/>
          <w:sz w:val="20"/>
        </w:rPr>
        <w:t> </w:t>
      </w:r>
      <w:r>
        <w:rPr>
          <w:rFonts w:ascii="Arial"/>
          <w:i/>
          <w:sz w:val="20"/>
        </w:rPr>
        <w:t>der</w:t>
      </w:r>
      <w:r>
        <w:rPr>
          <w:rFonts w:ascii="Arial"/>
          <w:i/>
          <w:spacing w:val="32"/>
          <w:sz w:val="20"/>
        </w:rPr>
        <w:t> </w:t>
      </w:r>
      <w:r>
        <w:rPr>
          <w:rFonts w:ascii="Arial"/>
          <w:i/>
          <w:sz w:val="20"/>
        </w:rPr>
        <w:t>Merwe</w:t>
      </w:r>
      <w:r>
        <w:rPr>
          <w:rFonts w:ascii="Arial"/>
          <w:i/>
          <w:spacing w:val="32"/>
          <w:sz w:val="20"/>
        </w:rPr>
        <w:t> </w:t>
      </w:r>
      <w:r>
        <w:rPr>
          <w:rFonts w:ascii="Arial"/>
          <w:i/>
          <w:spacing w:val="-10"/>
          <w:sz w:val="20"/>
        </w:rPr>
        <w:t>v</w:t>
      </w:r>
    </w:p>
    <w:p>
      <w:pPr>
        <w:spacing w:line="235" w:lineRule="auto" w:before="1"/>
        <w:ind w:left="165" w:right="0" w:firstLine="0"/>
        <w:jc w:val="left"/>
        <w:rPr>
          <w:sz w:val="20"/>
        </w:rPr>
      </w:pPr>
      <w:r>
        <w:rPr>
          <w:sz w:val="20"/>
        </w:rPr>
        <w:drawing>
          <wp:anchor distT="0" distB="0" distL="0" distR="0" allowOverlap="1" layoutInCell="1" locked="0" behindDoc="0" simplePos="0" relativeHeight="15827456">
            <wp:simplePos x="0" y="0"/>
            <wp:positionH relativeFrom="page">
              <wp:posOffset>1257846</wp:posOffset>
            </wp:positionH>
            <wp:positionV relativeFrom="paragraph">
              <wp:posOffset>-116555</wp:posOffset>
            </wp:positionV>
            <wp:extent cx="107988" cy="107988"/>
            <wp:effectExtent l="0" t="0" r="0" b="0"/>
            <wp:wrapNone/>
            <wp:docPr id="420" name="Image 420"/>
            <wp:cNvGraphicFramePr>
              <a:graphicFrameLocks/>
            </wp:cNvGraphicFramePr>
            <a:graphic>
              <a:graphicData uri="http://schemas.openxmlformats.org/drawingml/2006/picture">
                <pic:pic>
                  <pic:nvPicPr>
                    <pic:cNvPr id="420" name="Image 42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Goldman</w:t>
      </w:r>
      <w:r>
        <w:rPr>
          <w:rFonts w:ascii="Arial" w:hAnsi="Arial"/>
          <w:i/>
          <w:spacing w:val="19"/>
          <w:sz w:val="20"/>
        </w:rPr>
        <w:t> </w:t>
      </w:r>
      <w:r>
        <w:rPr>
          <w:rFonts w:ascii="Arial" w:hAnsi="Arial"/>
          <w:i/>
          <w:sz w:val="20"/>
        </w:rPr>
        <w:t>[2016]</w:t>
      </w:r>
      <w:r>
        <w:rPr>
          <w:rFonts w:ascii="Arial" w:hAnsi="Arial"/>
          <w:i/>
          <w:spacing w:val="19"/>
          <w:sz w:val="20"/>
        </w:rPr>
        <w:t> </w:t>
      </w:r>
      <w:r>
        <w:rPr>
          <w:rFonts w:ascii="Arial" w:hAnsi="Arial"/>
          <w:i/>
          <w:sz w:val="20"/>
        </w:rPr>
        <w:t>EWHC</w:t>
      </w:r>
      <w:r>
        <w:rPr>
          <w:rFonts w:ascii="Arial" w:hAnsi="Arial"/>
          <w:i/>
          <w:spacing w:val="19"/>
          <w:sz w:val="20"/>
        </w:rPr>
        <w:t> </w:t>
      </w:r>
      <w:r>
        <w:rPr>
          <w:rFonts w:ascii="Arial" w:hAnsi="Arial"/>
          <w:i/>
          <w:sz w:val="20"/>
        </w:rPr>
        <w:t>790</w:t>
      </w:r>
      <w:r>
        <w:rPr>
          <w:rFonts w:ascii="Arial" w:hAnsi="Arial"/>
          <w:i/>
          <w:spacing w:val="19"/>
          <w:sz w:val="20"/>
        </w:rPr>
        <w:t> </w:t>
      </w:r>
      <w:r>
        <w:rPr>
          <w:rFonts w:ascii="Arial" w:hAnsi="Arial"/>
          <w:i/>
          <w:sz w:val="20"/>
        </w:rPr>
        <w:t>(Ch),</w:t>
      </w:r>
      <w:r>
        <w:rPr>
          <w:rFonts w:ascii="Arial" w:hAnsi="Arial"/>
          <w:i/>
          <w:spacing w:val="19"/>
          <w:sz w:val="20"/>
        </w:rPr>
        <w:t> </w:t>
      </w:r>
      <w:r>
        <w:rPr>
          <w:rFonts w:ascii="Arial" w:hAnsi="Arial"/>
          <w:i/>
          <w:sz w:val="20"/>
        </w:rPr>
        <w:t>[2016]</w:t>
      </w:r>
      <w:r>
        <w:rPr>
          <w:rFonts w:ascii="Arial" w:hAnsi="Arial"/>
          <w:i/>
          <w:spacing w:val="19"/>
          <w:sz w:val="20"/>
        </w:rPr>
        <w:t> </w:t>
      </w:r>
      <w:r>
        <w:rPr>
          <w:rFonts w:ascii="Arial" w:hAnsi="Arial"/>
          <w:i/>
          <w:sz w:val="20"/>
        </w:rPr>
        <w:t>4</w:t>
      </w:r>
      <w:r>
        <w:rPr>
          <w:rFonts w:ascii="Arial" w:hAnsi="Arial"/>
          <w:i/>
          <w:spacing w:val="19"/>
          <w:sz w:val="20"/>
        </w:rPr>
        <w:t> </w:t>
      </w:r>
      <w:r>
        <w:rPr>
          <w:rFonts w:ascii="Arial" w:hAnsi="Arial"/>
          <w:i/>
          <w:sz w:val="20"/>
        </w:rPr>
        <w:t>W.L.R.</w:t>
      </w:r>
      <w:r>
        <w:rPr>
          <w:rFonts w:ascii="Arial" w:hAnsi="Arial"/>
          <w:i/>
          <w:spacing w:val="19"/>
          <w:sz w:val="20"/>
        </w:rPr>
        <w:t> </w:t>
      </w:r>
      <w:r>
        <w:rPr>
          <w:rFonts w:ascii="Arial" w:hAnsi="Arial"/>
          <w:i/>
          <w:sz w:val="20"/>
        </w:rPr>
        <w:t>71</w:t>
      </w:r>
      <w:r>
        <w:rPr>
          <w:rFonts w:ascii="Arial" w:hAnsi="Arial"/>
          <w:i/>
          <w:spacing w:val="19"/>
          <w:sz w:val="20"/>
        </w:rPr>
        <w:t> </w:t>
      </w:r>
      <w:r>
        <w:rPr>
          <w:sz w:val="20"/>
        </w:rPr>
        <w:t>at</w:t>
      </w:r>
      <w:r>
        <w:rPr>
          <w:spacing w:val="19"/>
          <w:sz w:val="20"/>
        </w:rPr>
        <w:t> </w:t>
      </w:r>
      <w:r>
        <w:rPr>
          <w:sz w:val="20"/>
        </w:rPr>
        <w:t>[26]–[32].</w:t>
      </w:r>
      <w:r>
        <w:rPr>
          <w:spacing w:val="19"/>
          <w:sz w:val="20"/>
        </w:rPr>
        <w:t> </w:t>
      </w:r>
      <w:r>
        <w:rPr>
          <w:sz w:val="20"/>
        </w:rPr>
        <w:t>On</w:t>
      </w:r>
      <w:r>
        <w:rPr>
          <w:spacing w:val="19"/>
          <w:sz w:val="20"/>
        </w:rPr>
        <w:t> </w:t>
      </w:r>
      <w:r>
        <w:rPr>
          <w:sz w:val="20"/>
        </w:rPr>
        <w:t>the</w:t>
      </w:r>
      <w:r>
        <w:rPr>
          <w:spacing w:val="19"/>
          <w:sz w:val="20"/>
        </w:rPr>
        <w:t> </w:t>
      </w:r>
      <w:r>
        <w:rPr>
          <w:sz w:val="20"/>
        </w:rPr>
        <w:t>common</w:t>
      </w:r>
      <w:r>
        <w:rPr>
          <w:spacing w:val="19"/>
          <w:sz w:val="20"/>
        </w:rPr>
        <w:t> </w:t>
      </w:r>
      <w:r>
        <w:rPr>
          <w:sz w:val="20"/>
        </w:rPr>
        <w:t>law</w:t>
      </w:r>
      <w:r>
        <w:rPr>
          <w:spacing w:val="19"/>
          <w:sz w:val="20"/>
        </w:rPr>
        <w:t> </w:t>
      </w:r>
      <w:r>
        <w:rPr>
          <w:sz w:val="20"/>
        </w:rPr>
        <w:t>rules applicable to mistakes in contracts, see Vol.I, Chs 3 and 6.</w:t>
      </w:r>
    </w:p>
    <w:p>
      <w:pPr>
        <w:pStyle w:val="BodyText"/>
        <w:spacing w:before="192"/>
      </w:pPr>
    </w:p>
    <w:p>
      <w:pPr>
        <w:spacing w:before="1"/>
        <w:ind w:left="0" w:right="544"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6. - Contracts Contained in </w:t>
      </w:r>
      <w:r>
        <w:rPr>
          <w:rFonts w:ascii="Arial"/>
          <w:b/>
          <w:spacing w:val="-2"/>
          <w:sz w:val="24"/>
        </w:rPr>
        <w:t>Deeds</w:t>
      </w:r>
    </w:p>
    <w:p>
      <w:pPr>
        <w:spacing w:before="194"/>
        <w:ind w:left="3592" w:right="0" w:firstLine="0"/>
        <w:jc w:val="left"/>
        <w:rPr>
          <w:rFonts w:ascii="Arial"/>
          <w:b/>
          <w:sz w:val="24"/>
        </w:rPr>
      </w:pPr>
      <w:r>
        <w:rPr>
          <w:rFonts w:ascii="Arial"/>
          <w:b/>
          <w:sz w:val="24"/>
        </w:rPr>
        <w:t>(d) - Other </w:t>
      </w:r>
      <w:r>
        <w:rPr>
          <w:rFonts w:ascii="Arial"/>
          <w:b/>
          <w:spacing w:val="-2"/>
          <w:sz w:val="24"/>
        </w:rPr>
        <w:t>Aspects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Benefit of person not a </w:t>
      </w:r>
      <w:r>
        <w:rPr>
          <w:rFonts w:ascii="Arial"/>
          <w:b/>
          <w:spacing w:val="-2"/>
          <w:sz w:val="18"/>
        </w:rPr>
        <w:t>party</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137</w:t>
      </w:r>
    </w:p>
    <w:p>
      <w:pPr>
        <w:pStyle w:val="BodyText"/>
        <w:spacing w:line="235" w:lineRule="auto" w:before="202"/>
        <w:ind w:left="164" w:right="167"/>
        <w:jc w:val="both"/>
      </w:pPr>
      <w:r>
        <w:rPr/>
        <w:t>According to an ancient rule of the common law, no one could take an immediate interest as grantee </w:t>
      </w:r>
      <w:bookmarkStart w:name="_bookmark1792" w:id="1794"/>
      <w:bookmarkEnd w:id="1794"/>
      <w:r>
        <w:rPr/>
        <w:t>nor</w:t>
      </w:r>
      <w:r>
        <w:rPr/>
        <w:t> the benefit of a covenant as covenantee under an indenture inter partes (as opposed to a deed poll) unless he was named as a party thereto. </w:t>
      </w:r>
      <w:r>
        <w:rPr>
          <w:color w:val="005DA1"/>
          <w:u w:val="single" w:color="005DA1"/>
          <w:vertAlign w:val="superscript"/>
        </w:rPr>
        <w:t>951</w:t>
      </w:r>
      <w:r>
        <w:rPr>
          <w:color w:val="005DA1"/>
          <w:vertAlign w:val="baseline"/>
        </w:rPr>
        <w:t> </w:t>
      </w:r>
      <w:r>
        <w:rPr>
          <w:vertAlign w:val="baseline"/>
        </w:rPr>
        <w:t>This was altered by s.5 of the Real Property Act 1845, which provided that under an indenture, an immediate estate or interest in any tenements </w:t>
      </w:r>
      <w:r>
        <w:rPr>
          <w:vertAlign w:val="baseline"/>
        </w:rPr>
        <w:t>or </w:t>
      </w:r>
      <w:bookmarkStart w:name="_bookmark1793" w:id="1795"/>
      <w:bookmarkEnd w:id="1795"/>
      <w:r>
        <w:rPr>
          <w:vertAlign w:val="baseline"/>
        </w:rPr>
        <w:t>hereditaments,</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benefit</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condition</w:t>
      </w:r>
      <w:r>
        <w:rPr>
          <w:spacing w:val="-3"/>
          <w:vertAlign w:val="baseline"/>
        </w:rPr>
        <w:t> </w:t>
      </w:r>
      <w:r>
        <w:rPr>
          <w:vertAlign w:val="baseline"/>
        </w:rPr>
        <w:t>or</w:t>
      </w:r>
      <w:r>
        <w:rPr>
          <w:spacing w:val="-3"/>
          <w:vertAlign w:val="baseline"/>
        </w:rPr>
        <w:t> </w:t>
      </w:r>
      <w:r>
        <w:rPr>
          <w:vertAlign w:val="baseline"/>
        </w:rPr>
        <w:t>covenant</w:t>
      </w:r>
      <w:r>
        <w:rPr>
          <w:spacing w:val="-3"/>
          <w:vertAlign w:val="baseline"/>
        </w:rPr>
        <w:t> </w:t>
      </w:r>
      <w:r>
        <w:rPr>
          <w:vertAlign w:val="baseline"/>
        </w:rPr>
        <w:t>respecting</w:t>
      </w:r>
      <w:r>
        <w:rPr>
          <w:spacing w:val="-3"/>
          <w:vertAlign w:val="baseline"/>
        </w:rPr>
        <w:t> </w:t>
      </w:r>
      <w:r>
        <w:rPr>
          <w:vertAlign w:val="baseline"/>
        </w:rPr>
        <w:t>any</w:t>
      </w:r>
      <w:r>
        <w:rPr>
          <w:spacing w:val="-3"/>
          <w:vertAlign w:val="baseline"/>
        </w:rPr>
        <w:t> </w:t>
      </w:r>
      <w:r>
        <w:rPr>
          <w:vertAlign w:val="baseline"/>
        </w:rPr>
        <w:t>tenements</w:t>
      </w:r>
      <w:r>
        <w:rPr>
          <w:spacing w:val="-3"/>
          <w:vertAlign w:val="baseline"/>
        </w:rPr>
        <w:t> </w:t>
      </w:r>
      <w:r>
        <w:rPr>
          <w:vertAlign w:val="baseline"/>
        </w:rPr>
        <w:t>or</w:t>
      </w:r>
      <w:r>
        <w:rPr>
          <w:spacing w:val="-3"/>
          <w:vertAlign w:val="baseline"/>
        </w:rPr>
        <w:t> </w:t>
      </w:r>
      <w:r>
        <w:rPr>
          <w:vertAlign w:val="baseline"/>
        </w:rPr>
        <w:t>hereditaments, might be taken, although the taker was not named a party to the same indenture. </w:t>
      </w:r>
      <w:r>
        <w:rPr>
          <w:color w:val="005DA1"/>
          <w:u w:val="single" w:color="005DA1"/>
          <w:vertAlign w:val="superscript"/>
        </w:rPr>
        <w:t>952</w:t>
      </w:r>
      <w:r>
        <w:rPr>
          <w:color w:val="005DA1"/>
          <w:vertAlign w:val="baseline"/>
        </w:rPr>
        <w:t> </w:t>
      </w:r>
      <w:r>
        <w:rPr>
          <w:vertAlign w:val="baseline"/>
        </w:rPr>
        <w:t>This section was re-enacted with modifications by s.56(1) of the Law of Property Act 1925, which provides that a</w:t>
      </w:r>
      <w:r>
        <w:rPr>
          <w:spacing w:val="40"/>
          <w:vertAlign w:val="baseline"/>
        </w:rPr>
        <w:t> </w:t>
      </w:r>
      <w:bookmarkStart w:name="_bookmark1794" w:id="1796"/>
      <w:bookmarkEnd w:id="1796"/>
      <w:r>
        <w:rPr>
          <w:vertAlign w:val="baseline"/>
        </w:rPr>
        <w:t>person</w:t>
      </w:r>
      <w:r>
        <w:rPr>
          <w:vertAlign w:val="baseline"/>
        </w:rPr>
        <w:t> may take the benefit of any covenant </w:t>
      </w:r>
      <w:r>
        <w:rPr>
          <w:rFonts w:ascii="Arial" w:hAnsi="Arial"/>
          <w:i/>
          <w:vertAlign w:val="baseline"/>
        </w:rPr>
        <w:t>or agreement </w:t>
      </w:r>
      <w:r>
        <w:rPr>
          <w:vertAlign w:val="baseline"/>
        </w:rPr>
        <w:t>over or respecting land </w:t>
      </w:r>
      <w:r>
        <w:rPr>
          <w:rFonts w:ascii="Arial" w:hAnsi="Arial"/>
          <w:i/>
          <w:vertAlign w:val="baseline"/>
        </w:rPr>
        <w:t>or other property</w:t>
      </w:r>
      <w:r>
        <w:rPr>
          <w:vertAlign w:val="baseline"/>
        </w:rPr>
        <w:t>, </w:t>
      </w:r>
      <w:bookmarkStart w:name="_bookmark1795" w:id="1797"/>
      <w:bookmarkEnd w:id="1797"/>
      <w:r>
        <w:rPr>
          <w:vertAlign w:val="baseline"/>
        </w:rPr>
        <w:t>although</w:t>
      </w:r>
      <w:r>
        <w:rPr>
          <w:vertAlign w:val="baseline"/>
        </w:rPr>
        <w:t> he may not be named as a party to the conveyance or other instrument. </w:t>
      </w:r>
      <w:r>
        <w:rPr>
          <w:color w:val="005DA1"/>
          <w:u w:val="single" w:color="005DA1"/>
          <w:vertAlign w:val="superscript"/>
        </w:rPr>
        <w:t>953</w:t>
      </w:r>
      <w:r>
        <w:rPr>
          <w:color w:val="005DA1"/>
          <w:vertAlign w:val="baseline"/>
        </w:rPr>
        <w:t> </w:t>
      </w:r>
      <w:r>
        <w:rPr>
          <w:vertAlign w:val="baseline"/>
        </w:rPr>
        <w:t>The </w:t>
      </w:r>
      <w:bookmarkStart w:name="_bookmark1796" w:id="1798"/>
      <w:bookmarkEnd w:id="1798"/>
      <w:r>
        <w:rPr>
          <w:vertAlign w:val="baseline"/>
        </w:rPr>
        <w:t>determination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exact</w:t>
      </w:r>
      <w:r>
        <w:rPr>
          <w:spacing w:val="-3"/>
          <w:vertAlign w:val="baseline"/>
        </w:rPr>
        <w:t> </w:t>
      </w:r>
      <w:r>
        <w:rPr>
          <w:vertAlign w:val="baseline"/>
        </w:rPr>
        <w:t>scope</w:t>
      </w:r>
      <w:r>
        <w:rPr>
          <w:spacing w:val="-3"/>
          <w:vertAlign w:val="baseline"/>
        </w:rPr>
        <w:t> </w:t>
      </w:r>
      <w:r>
        <w:rPr>
          <w:vertAlign w:val="baseline"/>
        </w:rPr>
        <w:t>of</w:t>
      </w:r>
      <w:r>
        <w:rPr>
          <w:spacing w:val="-3"/>
          <w:vertAlign w:val="baseline"/>
        </w:rPr>
        <w:t> </w:t>
      </w:r>
      <w:r>
        <w:rPr>
          <w:vertAlign w:val="baseline"/>
        </w:rPr>
        <w:t>this</w:t>
      </w:r>
      <w:r>
        <w:rPr>
          <w:spacing w:val="-3"/>
          <w:vertAlign w:val="baseline"/>
        </w:rPr>
        <w:t> </w:t>
      </w:r>
      <w:r>
        <w:rPr>
          <w:vertAlign w:val="baseline"/>
        </w:rPr>
        <w:t>provision</w:t>
      </w:r>
      <w:r>
        <w:rPr>
          <w:spacing w:val="-3"/>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matter</w:t>
      </w:r>
      <w:r>
        <w:rPr>
          <w:spacing w:val="-3"/>
          <w:vertAlign w:val="baseline"/>
        </w:rPr>
        <w:t> </w:t>
      </w:r>
      <w:r>
        <w:rPr>
          <w:vertAlign w:val="baseline"/>
        </w:rPr>
        <w:t>of</w:t>
      </w:r>
      <w:r>
        <w:rPr>
          <w:spacing w:val="-3"/>
          <w:vertAlign w:val="baseline"/>
        </w:rPr>
        <w:t> </w:t>
      </w:r>
      <w:r>
        <w:rPr>
          <w:vertAlign w:val="baseline"/>
        </w:rPr>
        <w:t>considerable</w:t>
      </w:r>
      <w:r>
        <w:rPr>
          <w:spacing w:val="-3"/>
          <w:vertAlign w:val="baseline"/>
        </w:rPr>
        <w:t> </w:t>
      </w:r>
      <w:r>
        <w:rPr>
          <w:vertAlign w:val="baseline"/>
        </w:rPr>
        <w:t>difficulty</w:t>
      </w:r>
      <w:r>
        <w:rPr>
          <w:spacing w:val="-4"/>
          <w:vertAlign w:val="baseline"/>
        </w:rPr>
        <w:t> </w:t>
      </w:r>
      <w:r>
        <w:rPr>
          <w:color w:val="005DA1"/>
          <w:u w:val="single" w:color="005DA1"/>
          <w:vertAlign w:val="superscript"/>
        </w:rPr>
        <w:t>954</w:t>
      </w:r>
      <w:r>
        <w:rPr>
          <w:vertAlign w:val="baseline"/>
        </w:rPr>
        <w:t>;</w:t>
      </w:r>
      <w:r>
        <w:rPr>
          <w:spacing w:val="-3"/>
          <w:vertAlign w:val="baseline"/>
        </w:rPr>
        <w:t> </w:t>
      </w:r>
      <w:r>
        <w:rPr>
          <w:vertAlign w:val="baseline"/>
        </w:rPr>
        <w:t>but</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clear </w:t>
      </w:r>
      <w:bookmarkStart w:name="_bookmark1797" w:id="1799"/>
      <w:bookmarkEnd w:id="1799"/>
      <w:r>
        <w:rPr>
          <w:vertAlign w:val="baseline"/>
        </w:rPr>
        <w:t>that</w:t>
      </w:r>
      <w:r>
        <w:rPr>
          <w:vertAlign w:val="baseline"/>
        </w:rPr>
        <w:t> it does not effect any general abrogation of the doctrine of privity of contract. </w:t>
      </w:r>
      <w:r>
        <w:rPr>
          <w:color w:val="005DA1"/>
          <w:u w:val="single" w:color="005DA1"/>
          <w:vertAlign w:val="superscript"/>
        </w:rPr>
        <w:t>955</w:t>
      </w:r>
      <w:r>
        <w:rPr>
          <w:color w:val="005DA1"/>
          <w:vertAlign w:val="baseline"/>
        </w:rPr>
        <w:t> </w:t>
      </w:r>
      <w:r>
        <w:rPr>
          <w:vertAlign w:val="baseline"/>
        </w:rPr>
        <w:t>In </w:t>
      </w:r>
      <w:r>
        <w:rPr>
          <w:rFonts w:ascii="Arial" w:hAnsi="Arial"/>
          <w:i/>
          <w:vertAlign w:val="baseline"/>
        </w:rPr>
        <w:t>Beswick v Beswick</w:t>
      </w:r>
      <w:r>
        <w:rPr>
          <w:vertAlign w:val="baseline"/>
        </w:rPr>
        <w:t>, </w:t>
      </w:r>
      <w:r>
        <w:rPr>
          <w:color w:val="005DA1"/>
          <w:u w:val="single" w:color="005DA1"/>
          <w:vertAlign w:val="superscript"/>
        </w:rPr>
        <w:t>956</w:t>
      </w:r>
      <w:r>
        <w:rPr>
          <w:color w:val="005DA1"/>
          <w:vertAlign w:val="baseline"/>
        </w:rPr>
        <w:t> </w:t>
      </w:r>
      <w:r>
        <w:rPr>
          <w:vertAlign w:val="baseline"/>
        </w:rPr>
        <w:t>a majority of the House of Lords was of the opinion that a limited meaning should be given to the word “property”. Lord Guest thought it meant real property. Lord Upjohn, however, was </w:t>
      </w:r>
      <w:bookmarkStart w:name="_bookmark1798" w:id="1800"/>
      <w:bookmarkEnd w:id="1800"/>
      <w:r>
        <w:rPr>
          <w:vertAlign w:val="baseline"/>
        </w:rPr>
        <w:t>not</w:t>
      </w:r>
      <w:r>
        <w:rPr>
          <w:vertAlign w:val="baseline"/>
        </w:rPr>
        <w:t> prepared to accept this limitation, although he considered that the application of the section was restricted to covenants contained in documents strictly inter partes and under seal. </w:t>
      </w:r>
      <w:r>
        <w:rPr>
          <w:color w:val="005DA1"/>
          <w:u w:val="single" w:color="005DA1"/>
          <w:vertAlign w:val="superscript"/>
        </w:rPr>
        <w:t>957</w:t>
      </w:r>
    </w:p>
    <w:p>
      <w:pPr>
        <w:pStyle w:val="BodyText"/>
      </w:pPr>
    </w:p>
    <w:p>
      <w:pPr>
        <w:pStyle w:val="BodyText"/>
        <w:spacing w:before="33"/>
      </w:pPr>
    </w:p>
    <w:p>
      <w:pPr>
        <w:spacing w:before="0"/>
        <w:ind w:left="165" w:right="0" w:firstLine="0"/>
        <w:jc w:val="both"/>
        <w:rPr>
          <w:rFonts w:ascii="Arial"/>
          <w:b/>
          <w:sz w:val="18"/>
        </w:rPr>
      </w:pPr>
      <w:r>
        <w:rPr>
          <w:rFonts w:ascii="Arial"/>
          <w:b/>
          <w:sz w:val="18"/>
        </w:rPr>
        <w:t>Contract (Rights of Third Parties) Act </w:t>
      </w:r>
      <w:r>
        <w:rPr>
          <w:rFonts w:ascii="Arial"/>
          <w:b/>
          <w:spacing w:val="-4"/>
          <w:sz w:val="18"/>
        </w:rPr>
        <w:t>1999</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138</w:t>
      </w:r>
    </w:p>
    <w:p>
      <w:pPr>
        <w:pStyle w:val="BodyText"/>
        <w:spacing w:line="235" w:lineRule="auto" w:before="202"/>
        <w:ind w:left="165" w:right="167"/>
        <w:jc w:val="both"/>
      </w:pPr>
      <w:r>
        <w:rPr/>
        <w:t>It is not entirely clear how the position described in the preceding paragraph is affected by the coming into force of the Contract (Rights of Third Parties) Act 1999, which creates a new exception to privity of contract where the contract expressly provides that a third party may in his own right enforce a</w:t>
      </w:r>
      <w:r>
        <w:rPr>
          <w:spacing w:val="80"/>
        </w:rPr>
        <w:t> </w:t>
      </w:r>
      <w:r>
        <w:rPr/>
        <w:t>term of the contract, or where a term purports to confer a benefit on him unless on a </w:t>
      </w:r>
      <w:r>
        <w:rPr/>
        <w:t>proper </w:t>
      </w:r>
      <w:bookmarkStart w:name="_bookmark1799" w:id="1801"/>
      <w:bookmarkEnd w:id="1801"/>
      <w:r>
        <w:rPr/>
        <w:t>construction</w:t>
      </w:r>
      <w:r>
        <w:rPr/>
        <w:t> of the contract it appears that the parties did not intend the term to be enforceable by the third party. </w:t>
      </w:r>
      <w:r>
        <w:rPr>
          <w:color w:val="005DA1"/>
          <w:u w:val="single" w:color="005DA1"/>
          <w:vertAlign w:val="superscript"/>
        </w:rPr>
        <w:t>958</w:t>
      </w:r>
      <w:r>
        <w:rPr>
          <w:color w:val="005DA1"/>
          <w:vertAlign w:val="baseline"/>
        </w:rPr>
        <w:t> </w:t>
      </w:r>
      <w:r>
        <w:rPr>
          <w:vertAlign w:val="baseline"/>
        </w:rPr>
        <w:t>Where a contract in the ordinary sense of an agreement supported by consideration is contained in a deed, there is nothing in the 1999 Act which suggests that its provisions should not apply to contracts owing to the use of this formality: indeed the 1999 Act itself assumes that some actions upon a speciality can be brought under it as it provides that “an action upon a specialty” in s.8 </w:t>
      </w:r>
      <w:bookmarkStart w:name="_bookmark1800" w:id="1802"/>
      <w:bookmarkEnd w:id="1802"/>
      <w:r>
        <w:rPr>
          <w:vertAlign w:val="baseline"/>
        </w:rPr>
        <w:t>of</w:t>
      </w:r>
      <w:r>
        <w:rPr>
          <w:vertAlign w:val="baseline"/>
        </w:rPr>
        <w:t> the Limitation Act 1980 shall include references to … an action brought in reliance on [s.1] relating to a specialty”. </w:t>
      </w:r>
      <w:r>
        <w:rPr>
          <w:color w:val="005DA1"/>
          <w:u w:val="single" w:color="005DA1"/>
          <w:vertAlign w:val="superscript"/>
        </w:rPr>
        <w:t>959</w:t>
      </w:r>
      <w:r>
        <w:rPr>
          <w:color w:val="005DA1"/>
          <w:vertAlign w:val="baseline"/>
        </w:rPr>
        <w:t> </w:t>
      </w:r>
      <w:r>
        <w:rPr>
          <w:vertAlign w:val="baseline"/>
        </w:rPr>
        <w:t>More difficult, however, is the question whether an agreement contained in a deed </w:t>
      </w:r>
      <w:bookmarkStart w:name="_bookmark1801" w:id="1803"/>
      <w:bookmarkEnd w:id="1803"/>
      <w:r>
        <w:rPr>
          <w:vertAlign w:val="baseline"/>
        </w:rPr>
        <w:t>is</w:t>
      </w:r>
      <w:r>
        <w:rPr>
          <w:vertAlign w:val="baseline"/>
        </w:rPr>
        <w:t> itself “a contract” for the purposes of the 1999 Act even in the absence of any supporting consideration. As has been noted, </w:t>
      </w:r>
      <w:r>
        <w:rPr>
          <w:color w:val="005DA1"/>
          <w:u w:val="single" w:color="005DA1"/>
          <w:vertAlign w:val="superscript"/>
        </w:rPr>
        <w:t>960</w:t>
      </w:r>
      <w:r>
        <w:rPr>
          <w:color w:val="005DA1"/>
          <w:vertAlign w:val="baseline"/>
        </w:rPr>
        <w:t> </w:t>
      </w:r>
      <w:r>
        <w:rPr>
          <w:vertAlign w:val="baseline"/>
        </w:rPr>
        <w:t>there is no agreement as to whether in general a promise or an agreement contained in a deed takes effect as a “contract”. In the case of the 1999 Act, though, its </w:t>
      </w:r>
      <w:bookmarkStart w:name="_bookmark1802" w:id="1804"/>
      <w:bookmarkEnd w:id="1804"/>
      <w:r>
        <w:rPr>
          <w:vertAlign w:val="baseline"/>
        </w:rPr>
        <w:t>own</w:t>
      </w:r>
      <w:r>
        <w:rPr>
          <w:vertAlign w:val="baseline"/>
        </w:rPr>
        <w:t> provisions do make clear that the contracts with which it is concerned must consist of an agreement</w:t>
      </w:r>
      <w:r>
        <w:rPr>
          <w:spacing w:val="-1"/>
          <w:vertAlign w:val="baseline"/>
        </w:rPr>
        <w:t> </w:t>
      </w:r>
      <w:r>
        <w:rPr>
          <w:vertAlign w:val="baseline"/>
        </w:rPr>
        <w:t>between</w:t>
      </w:r>
      <w:r>
        <w:rPr>
          <w:spacing w:val="-1"/>
          <w:vertAlign w:val="baseline"/>
        </w:rPr>
        <w:t> </w:t>
      </w:r>
      <w:r>
        <w:rPr>
          <w:vertAlign w:val="baseline"/>
        </w:rPr>
        <w:t>two</w:t>
      </w:r>
      <w:r>
        <w:rPr>
          <w:spacing w:val="-1"/>
          <w:vertAlign w:val="baseline"/>
        </w:rPr>
        <w:t> </w:t>
      </w:r>
      <w:r>
        <w:rPr>
          <w:vertAlign w:val="baseline"/>
        </w:rPr>
        <w:t>or</w:t>
      </w:r>
      <w:r>
        <w:rPr>
          <w:spacing w:val="-1"/>
          <w:vertAlign w:val="baseline"/>
        </w:rPr>
        <w:t> </w:t>
      </w:r>
      <w:r>
        <w:rPr>
          <w:vertAlign w:val="baseline"/>
        </w:rPr>
        <w:t>more</w:t>
      </w:r>
      <w:r>
        <w:rPr>
          <w:spacing w:val="-1"/>
          <w:vertAlign w:val="baseline"/>
        </w:rPr>
        <w:t> </w:t>
      </w:r>
      <w:r>
        <w:rPr>
          <w:vertAlign w:val="baseline"/>
        </w:rPr>
        <w:t>persons</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benefit</w:t>
      </w:r>
      <w:r>
        <w:rPr>
          <w:spacing w:val="-1"/>
          <w:vertAlign w:val="baseline"/>
        </w:rPr>
        <w:t> </w:t>
      </w:r>
      <w:r>
        <w:rPr>
          <w:vertAlign w:val="baseline"/>
        </w:rPr>
        <w:t>(as</w:t>
      </w:r>
      <w:r>
        <w:rPr>
          <w:spacing w:val="-1"/>
          <w:vertAlign w:val="baseline"/>
        </w:rPr>
        <w:t> </w:t>
      </w:r>
      <w:r>
        <w:rPr>
          <w:vertAlign w:val="baseline"/>
        </w:rPr>
        <w:t>defined)</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third</w:t>
      </w:r>
      <w:r>
        <w:rPr>
          <w:spacing w:val="-1"/>
          <w:vertAlign w:val="baseline"/>
        </w:rPr>
        <w:t> </w:t>
      </w:r>
      <w:r>
        <w:rPr>
          <w:vertAlign w:val="baseline"/>
        </w:rPr>
        <w:t>party.</w:t>
      </w:r>
      <w:r>
        <w:rPr>
          <w:spacing w:val="-2"/>
          <w:vertAlign w:val="baseline"/>
        </w:rPr>
        <w:t> </w:t>
      </w:r>
      <w:r>
        <w:rPr>
          <w:color w:val="005DA1"/>
          <w:u w:val="single" w:color="005DA1"/>
          <w:vertAlign w:val="superscript"/>
        </w:rPr>
        <w:t>961</w:t>
      </w:r>
      <w:r>
        <w:rPr>
          <w:color w:val="005DA1"/>
          <w:spacing w:val="-1"/>
          <w:vertAlign w:val="baseline"/>
        </w:rPr>
        <w:t> </w:t>
      </w:r>
      <w:r>
        <w:rPr>
          <w:vertAlign w:val="baseline"/>
        </w:rPr>
        <w:t>Moreover,</w:t>
      </w:r>
      <w:r>
        <w:rPr>
          <w:spacing w:val="-1"/>
          <w:vertAlign w:val="baseline"/>
        </w:rPr>
        <w:t> </w:t>
      </w:r>
      <w:r>
        <w:rPr>
          <w:vertAlign w:val="baseline"/>
        </w:rPr>
        <w:t>the Law Commission’s report on whose recommendations the 1999 Act was based took the view that its proposed</w:t>
      </w:r>
      <w:r>
        <w:rPr>
          <w:spacing w:val="3"/>
          <w:vertAlign w:val="baseline"/>
        </w:rPr>
        <w:t> </w:t>
      </w:r>
      <w:r>
        <w:rPr>
          <w:vertAlign w:val="baseline"/>
        </w:rPr>
        <w:t>reform</w:t>
      </w:r>
      <w:r>
        <w:rPr>
          <w:spacing w:val="3"/>
          <w:vertAlign w:val="baseline"/>
        </w:rPr>
        <w:t> </w:t>
      </w:r>
      <w:r>
        <w:rPr>
          <w:vertAlign w:val="baseline"/>
        </w:rPr>
        <w:t>would</w:t>
      </w:r>
      <w:r>
        <w:rPr>
          <w:spacing w:val="3"/>
          <w:vertAlign w:val="baseline"/>
        </w:rPr>
        <w:t> </w:t>
      </w:r>
      <w:r>
        <w:rPr>
          <w:vertAlign w:val="baseline"/>
        </w:rPr>
        <w:t>restrict</w:t>
      </w:r>
      <w:r>
        <w:rPr>
          <w:spacing w:val="3"/>
          <w:vertAlign w:val="baseline"/>
        </w:rPr>
        <w:t> </w:t>
      </w:r>
      <w:r>
        <w:rPr>
          <w:vertAlign w:val="baseline"/>
        </w:rPr>
        <w:t>the</w:t>
      </w:r>
      <w:r>
        <w:rPr>
          <w:spacing w:val="3"/>
          <w:vertAlign w:val="baseline"/>
        </w:rPr>
        <w:t> </w:t>
      </w:r>
      <w:r>
        <w:rPr>
          <w:vertAlign w:val="baseline"/>
        </w:rPr>
        <w:t>ambit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doctrine</w:t>
      </w:r>
      <w:r>
        <w:rPr>
          <w:spacing w:val="3"/>
          <w:vertAlign w:val="baseline"/>
        </w:rPr>
        <w:t> </w:t>
      </w:r>
      <w:r>
        <w:rPr>
          <w:vertAlign w:val="baseline"/>
        </w:rPr>
        <w:t>of</w:t>
      </w:r>
      <w:r>
        <w:rPr>
          <w:spacing w:val="3"/>
          <w:vertAlign w:val="baseline"/>
        </w:rPr>
        <w:t> </w:t>
      </w:r>
      <w:r>
        <w:rPr>
          <w:vertAlign w:val="baseline"/>
        </w:rPr>
        <w:t>consideration</w:t>
      </w:r>
      <w:r>
        <w:rPr>
          <w:spacing w:val="3"/>
          <w:vertAlign w:val="baseline"/>
        </w:rPr>
        <w:t> </w:t>
      </w:r>
      <w:r>
        <w:rPr>
          <w:vertAlign w:val="baseline"/>
        </w:rPr>
        <w:t>so</w:t>
      </w:r>
      <w:r>
        <w:rPr>
          <w:spacing w:val="3"/>
          <w:vertAlign w:val="baseline"/>
        </w:rPr>
        <w:t> </w:t>
      </w:r>
      <w:r>
        <w:rPr>
          <w:vertAlign w:val="baseline"/>
        </w:rPr>
        <w:t>as</w:t>
      </w:r>
      <w:r>
        <w:rPr>
          <w:spacing w:val="3"/>
          <w:vertAlign w:val="baseline"/>
        </w:rPr>
        <w:t> </w:t>
      </w:r>
      <w:r>
        <w:rPr>
          <w:vertAlign w:val="baseline"/>
        </w:rPr>
        <w:t>to</w:t>
      </w:r>
      <w:r>
        <w:rPr>
          <w:spacing w:val="3"/>
          <w:vertAlign w:val="baseline"/>
        </w:rPr>
        <w:t> </w:t>
      </w:r>
      <w:r>
        <w:rPr>
          <w:vertAlign w:val="baseline"/>
        </w:rPr>
        <w:t>prevent</w:t>
      </w:r>
      <w:r>
        <w:rPr>
          <w:spacing w:val="3"/>
          <w:vertAlign w:val="baseline"/>
        </w:rPr>
        <w:t> </w:t>
      </w:r>
      <w:r>
        <w:rPr>
          <w:vertAlign w:val="baseline"/>
        </w:rPr>
        <w:t>the</w:t>
      </w:r>
      <w:r>
        <w:rPr>
          <w:spacing w:val="3"/>
          <w:vertAlign w:val="baseline"/>
        </w:rPr>
        <w:t> </w:t>
      </w:r>
      <w:r>
        <w:rPr>
          <w:vertAlign w:val="baseline"/>
        </w:rPr>
        <w:t>rule</w:t>
      </w:r>
      <w:r>
        <w:rPr>
          <w:spacing w:val="3"/>
          <w:vertAlign w:val="baseline"/>
        </w:rPr>
        <w:t> </w:t>
      </w:r>
      <w:r>
        <w:rPr>
          <w:spacing w:val="-4"/>
          <w:vertAlign w:val="baseline"/>
        </w:rPr>
        <w:t>that</w:t>
      </w:r>
    </w:p>
    <w:p>
      <w:pPr>
        <w:pStyle w:val="BodyText"/>
        <w:spacing w:after="0" w:line="235" w:lineRule="auto"/>
        <w:jc w:val="both"/>
        <w:sectPr>
          <w:headerReference w:type="default" r:id="rId41"/>
          <w:pgSz w:w="11900" w:h="16840"/>
          <w:pgMar w:header="971" w:footer="0" w:top="1300" w:bottom="280" w:left="1275" w:right="1275"/>
          <w:pgNumType w:start="1"/>
        </w:sectPr>
      </w:pPr>
    </w:p>
    <w:p>
      <w:pPr>
        <w:pStyle w:val="BodyText"/>
        <w:spacing w:line="235" w:lineRule="auto" w:before="110"/>
        <w:ind w:left="164" w:right="167"/>
        <w:jc w:val="both"/>
      </w:pPr>
      <w:bookmarkStart w:name="_bookmark1803" w:id="1805"/>
      <w:bookmarkEnd w:id="1805"/>
      <w:r>
        <w:rPr/>
      </w:r>
      <w:r>
        <w:rPr/>
        <w:t>“consideration must move from a promisee” from denying a right in a third party to a contract otherwise fulfilling the requisite conditions. </w:t>
      </w:r>
      <w:r>
        <w:rPr>
          <w:color w:val="005DA1"/>
          <w:u w:val="single" w:color="005DA1"/>
          <w:vertAlign w:val="superscript"/>
        </w:rPr>
        <w:t>962</w:t>
      </w:r>
      <w:r>
        <w:rPr>
          <w:color w:val="005DA1"/>
          <w:vertAlign w:val="baseline"/>
        </w:rPr>
        <w:t> </w:t>
      </w:r>
      <w:r>
        <w:rPr>
          <w:vertAlign w:val="baseline"/>
        </w:rPr>
        <w:t>In the course of exposing its views of the future</w:t>
      </w:r>
      <w:r>
        <w:rPr>
          <w:spacing w:val="40"/>
          <w:vertAlign w:val="baseline"/>
        </w:rPr>
        <w:t> </w:t>
      </w:r>
      <w:r>
        <w:rPr>
          <w:vertAlign w:val="baseline"/>
        </w:rPr>
        <w:t>position, however, the Law Commission observed that:</w:t>
      </w:r>
    </w:p>
    <w:p>
      <w:pPr>
        <w:pStyle w:val="BodyText"/>
      </w:pPr>
    </w:p>
    <w:p>
      <w:pPr>
        <w:pStyle w:val="BodyText"/>
        <w:spacing w:before="126"/>
      </w:pPr>
    </w:p>
    <w:p>
      <w:pPr>
        <w:pStyle w:val="BodyText"/>
        <w:spacing w:line="235" w:lineRule="auto"/>
        <w:ind w:left="1245"/>
      </w:pPr>
      <w:bookmarkStart w:name="_bookmark1804" w:id="1806"/>
      <w:bookmarkEnd w:id="1806"/>
      <w:r>
        <w:rPr/>
      </w:r>
      <w:r>
        <w:rPr/>
        <w:t>“…</w:t>
      </w:r>
      <w:r>
        <w:rPr>
          <w:spacing w:val="26"/>
        </w:rPr>
        <w:t> </w:t>
      </w:r>
      <w:r>
        <w:rPr/>
        <w:t>provided</w:t>
      </w:r>
      <w:r>
        <w:rPr>
          <w:spacing w:val="26"/>
        </w:rPr>
        <w:t> </w:t>
      </w:r>
      <w:r>
        <w:rPr/>
        <w:t>there</w:t>
      </w:r>
      <w:r>
        <w:rPr>
          <w:spacing w:val="26"/>
        </w:rPr>
        <w:t> </w:t>
      </w:r>
      <w:r>
        <w:rPr/>
        <w:t>is</w:t>
      </w:r>
      <w:r>
        <w:rPr>
          <w:spacing w:val="26"/>
        </w:rPr>
        <w:t> </w:t>
      </w:r>
      <w:r>
        <w:rPr/>
        <w:t>a</w:t>
      </w:r>
      <w:r>
        <w:rPr>
          <w:spacing w:val="26"/>
        </w:rPr>
        <w:t> </w:t>
      </w:r>
      <w:r>
        <w:rPr/>
        <w:t>contract</w:t>
      </w:r>
      <w:r>
        <w:rPr>
          <w:spacing w:val="26"/>
        </w:rPr>
        <w:t> </w:t>
      </w:r>
      <w:r>
        <w:rPr/>
        <w:t>supported</w:t>
      </w:r>
      <w:r>
        <w:rPr>
          <w:spacing w:val="26"/>
        </w:rPr>
        <w:t> </w:t>
      </w:r>
      <w:r>
        <w:rPr/>
        <w:t>by</w:t>
      </w:r>
      <w:r>
        <w:rPr>
          <w:spacing w:val="26"/>
        </w:rPr>
        <w:t> </w:t>
      </w:r>
      <w:r>
        <w:rPr/>
        <w:t>consideration</w:t>
      </w:r>
      <w:r>
        <w:rPr>
          <w:spacing w:val="26"/>
        </w:rPr>
        <w:t> </w:t>
      </w:r>
      <w:r>
        <w:rPr/>
        <w:t>(</w:t>
      </w:r>
      <w:r>
        <w:rPr>
          <w:rFonts w:ascii="Arial" w:hAnsi="Arial"/>
          <w:i/>
        </w:rPr>
        <w:t>or</w:t>
      </w:r>
      <w:r>
        <w:rPr>
          <w:rFonts w:ascii="Arial" w:hAnsi="Arial"/>
          <w:i/>
          <w:spacing w:val="26"/>
        </w:rPr>
        <w:t> </w:t>
      </w:r>
      <w:r>
        <w:rPr>
          <w:rFonts w:ascii="Arial" w:hAnsi="Arial"/>
          <w:i/>
        </w:rPr>
        <w:t>made</w:t>
      </w:r>
      <w:r>
        <w:rPr>
          <w:rFonts w:ascii="Arial" w:hAnsi="Arial"/>
          <w:i/>
          <w:spacing w:val="26"/>
        </w:rPr>
        <w:t> </w:t>
      </w:r>
      <w:r>
        <w:rPr>
          <w:rFonts w:ascii="Arial" w:hAnsi="Arial"/>
          <w:i/>
        </w:rPr>
        <w:t>by</w:t>
      </w:r>
      <w:r>
        <w:rPr>
          <w:rFonts w:ascii="Arial" w:hAnsi="Arial"/>
          <w:i/>
          <w:spacing w:val="26"/>
        </w:rPr>
        <w:t> </w:t>
      </w:r>
      <w:r>
        <w:rPr>
          <w:rFonts w:ascii="Arial" w:hAnsi="Arial"/>
          <w:i/>
        </w:rPr>
        <w:t>deed</w:t>
      </w:r>
      <w:r>
        <w:rPr/>
        <w:t>),</w:t>
      </w:r>
      <w:r>
        <w:rPr>
          <w:spacing w:val="26"/>
        </w:rPr>
        <w:t> </w:t>
      </w:r>
      <w:r>
        <w:rPr/>
        <w:t>it</w:t>
      </w:r>
      <w:r>
        <w:rPr>
          <w:spacing w:val="26"/>
        </w:rPr>
        <w:t> </w:t>
      </w:r>
      <w:r>
        <w:rPr/>
        <w:t>may then be enforceable by a third party beneficiary who has not provided consideration.” </w:t>
      </w:r>
      <w:r>
        <w:rPr>
          <w:color w:val="005DA1"/>
          <w:u w:val="single" w:color="005DA1"/>
          <w:vertAlign w:val="superscript"/>
        </w:rPr>
        <w:t>963</w:t>
      </w:r>
    </w:p>
    <w:p>
      <w:pPr>
        <w:pStyle w:val="BodyText"/>
        <w:spacing w:before="116"/>
      </w:pPr>
    </w:p>
    <w:p>
      <w:pPr>
        <w:pStyle w:val="BodyText"/>
        <w:spacing w:line="235" w:lineRule="auto"/>
        <w:ind w:left="165" w:right="167"/>
        <w:jc w:val="both"/>
      </w:pPr>
      <w:bookmarkStart w:name="_bookmark1805" w:id="1807"/>
      <w:bookmarkEnd w:id="1807"/>
      <w:r>
        <w:rPr/>
      </w:r>
      <w:r>
        <w:rPr/>
        <w:t>Given that the courts refer to Law Commission reports for guidance in the interpretation of resulting </w:t>
      </w:r>
      <w:bookmarkStart w:name="_bookmark1806" w:id="1808"/>
      <w:bookmarkEnd w:id="1808"/>
      <w:r>
        <w:rPr/>
        <w:t>legislation,</w:t>
      </w:r>
      <w:r>
        <w:rPr/>
        <w:t> </w:t>
      </w:r>
      <w:r>
        <w:rPr>
          <w:color w:val="005DA1"/>
          <w:u w:val="single" w:color="005DA1"/>
          <w:vertAlign w:val="superscript"/>
        </w:rPr>
        <w:t>964</w:t>
      </w:r>
      <w:r>
        <w:rPr>
          <w:color w:val="005DA1"/>
          <w:vertAlign w:val="baseline"/>
        </w:rPr>
        <w:t> </w:t>
      </w:r>
      <w:r>
        <w:rPr>
          <w:vertAlign w:val="baseline"/>
        </w:rPr>
        <w:t>this suggests that an agreement contained in a deed should count as a “contract” for the purposes of the 1999 Act, even if it is unsupported by consideration. </w:t>
      </w:r>
      <w:r>
        <w:rPr>
          <w:color w:val="005DA1"/>
          <w:u w:val="single" w:color="005DA1"/>
          <w:vertAlign w:val="superscript"/>
        </w:rPr>
        <w:t>965</w:t>
      </w:r>
    </w:p>
    <w:p>
      <w:pPr>
        <w:pStyle w:val="BodyText"/>
      </w:pPr>
    </w:p>
    <w:p>
      <w:pPr>
        <w:pStyle w:val="BodyText"/>
        <w:spacing w:before="37"/>
      </w:pPr>
    </w:p>
    <w:p>
      <w:pPr>
        <w:spacing w:before="0"/>
        <w:ind w:left="165" w:right="0" w:firstLine="0"/>
        <w:jc w:val="both"/>
        <w:rPr>
          <w:rFonts w:ascii="Arial"/>
          <w:b/>
          <w:sz w:val="18"/>
        </w:rPr>
      </w:pPr>
      <w:r>
        <w:rPr>
          <w:rFonts w:ascii="Arial"/>
          <w:b/>
          <w:sz w:val="18"/>
        </w:rPr>
        <w:t>Non est factum and </w:t>
      </w:r>
      <w:r>
        <w:rPr>
          <w:rFonts w:ascii="Arial"/>
          <w:b/>
          <w:spacing w:val="-2"/>
          <w:sz w:val="18"/>
        </w:rPr>
        <w:t>mistake</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139</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9"/>
        </w:rPr>
        <w:t> </w:t>
      </w:r>
      <w:r>
        <w:rPr/>
        <w:t>There was an ancient common law defence to actions on specialties known as non est factum: </w:t>
      </w:r>
      <w:r>
        <w:rPr/>
        <w:t>if</w:t>
      </w:r>
      <w:r>
        <w:rPr>
          <w:spacing w:val="40"/>
        </w:rPr>
        <w:t> </w:t>
      </w:r>
      <w:bookmarkStart w:name="_bookmark1807" w:id="1809"/>
      <w:bookmarkEnd w:id="1809"/>
      <w:r>
        <w:rPr/>
        <w:t>an</w:t>
      </w:r>
      <w:r>
        <w:rPr/>
        <w:t> illiterate man, to whom the provisions of a deed had been wrongly read, executed it under a </w:t>
      </w:r>
      <w:bookmarkStart w:name="_bookmark1808" w:id="1810"/>
      <w:bookmarkEnd w:id="1810"/>
      <w:r>
        <w:rPr/>
        <w:t>mistake</w:t>
      </w:r>
      <w:r>
        <w:rPr/>
        <w:t> as to its contents, he could say that it was not his deed. </w:t>
      </w:r>
      <w:r>
        <w:rPr>
          <w:color w:val="005DA1"/>
          <w:u w:val="single" w:color="005DA1"/>
          <w:vertAlign w:val="superscript"/>
        </w:rPr>
        <w:t>966</w:t>
      </w:r>
      <w:r>
        <w:rPr>
          <w:color w:val="005DA1"/>
          <w:vertAlign w:val="baseline"/>
        </w:rPr>
        <w:t> </w:t>
      </w:r>
      <w:r>
        <w:rPr>
          <w:vertAlign w:val="baseline"/>
        </w:rPr>
        <w:t>In modern times this doctrine has </w:t>
      </w:r>
      <w:bookmarkStart w:name="_bookmark1809" w:id="1811"/>
      <w:bookmarkEnd w:id="1811"/>
      <w:r>
        <w:rPr>
          <w:vertAlign w:val="baseline"/>
        </w:rPr>
        <w:t>undergone</w:t>
      </w:r>
      <w:r>
        <w:rPr>
          <w:vertAlign w:val="baseline"/>
        </w:rPr>
        <w:t> modification </w:t>
      </w:r>
      <w:r>
        <w:rPr>
          <w:color w:val="005DA1"/>
          <w:u w:val="single" w:color="005DA1"/>
          <w:vertAlign w:val="superscript"/>
        </w:rPr>
        <w:t>967</w:t>
      </w:r>
      <w:r>
        <w:rPr>
          <w:color w:val="005DA1"/>
          <w:vertAlign w:val="baseline"/>
        </w:rPr>
        <w:t> </w:t>
      </w:r>
      <w:r>
        <w:rPr>
          <w:vertAlign w:val="baseline"/>
        </w:rPr>
        <w:t>and has been extended to cases other than those of illiteracy and to</w:t>
      </w:r>
      <w:r>
        <w:rPr>
          <w:spacing w:val="40"/>
          <w:vertAlign w:val="baseline"/>
        </w:rPr>
        <w:t> </w:t>
      </w:r>
      <w:r>
        <w:rPr>
          <w:vertAlign w:val="baseline"/>
        </w:rPr>
        <w:t>simple contracts in writing, </w:t>
      </w:r>
      <w:r>
        <w:rPr>
          <w:color w:val="005DA1"/>
          <w:u w:val="single" w:color="005DA1"/>
          <w:vertAlign w:val="superscript"/>
        </w:rPr>
        <w:t>968</w:t>
      </w:r>
      <w:r>
        <w:rPr>
          <w:color w:val="005DA1"/>
          <w:vertAlign w:val="baseline"/>
        </w:rPr>
        <w:t> </w:t>
      </w:r>
      <w:r>
        <w:rPr>
          <w:vertAlign w:val="baseline"/>
        </w:rPr>
        <w:t>so that there is now no difference between specialty and other written contracts in this respect. This position is to be contrasted with mistakes made in making gifts or other voluntary</w:t>
      </w:r>
      <w:r>
        <w:rPr>
          <w:spacing w:val="14"/>
          <w:vertAlign w:val="baseline"/>
        </w:rPr>
        <w:t> </w:t>
      </w:r>
      <w:r>
        <w:rPr>
          <w:vertAlign w:val="baseline"/>
        </w:rPr>
        <w:t>dispositions</w:t>
      </w:r>
      <w:r>
        <w:rPr>
          <w:spacing w:val="14"/>
          <w:vertAlign w:val="baseline"/>
        </w:rPr>
        <w:t> </w:t>
      </w:r>
      <w:r>
        <w:rPr>
          <w:vertAlign w:val="baseline"/>
        </w:rPr>
        <w:t>(including</w:t>
      </w:r>
      <w:r>
        <w:rPr>
          <w:spacing w:val="14"/>
          <w:vertAlign w:val="baseline"/>
        </w:rPr>
        <w:t> </w:t>
      </w:r>
      <w:r>
        <w:rPr>
          <w:vertAlign w:val="baseline"/>
        </w:rPr>
        <w:t>those</w:t>
      </w:r>
      <w:r>
        <w:rPr>
          <w:spacing w:val="14"/>
          <w:vertAlign w:val="baseline"/>
        </w:rPr>
        <w:t> </w:t>
      </w:r>
      <w:r>
        <w:rPr>
          <w:vertAlign w:val="baseline"/>
        </w:rPr>
        <w:t>made</w:t>
      </w:r>
      <w:r>
        <w:rPr>
          <w:spacing w:val="14"/>
          <w:vertAlign w:val="baseline"/>
        </w:rPr>
        <w:t> </w:t>
      </w:r>
      <w:r>
        <w:rPr>
          <w:vertAlign w:val="baseline"/>
        </w:rPr>
        <w:t>by</w:t>
      </w:r>
      <w:r>
        <w:rPr>
          <w:spacing w:val="14"/>
          <w:vertAlign w:val="baseline"/>
        </w:rPr>
        <w:t> </w:t>
      </w:r>
      <w:r>
        <w:rPr>
          <w:vertAlign w:val="baseline"/>
        </w:rPr>
        <w:t>deed),</w:t>
      </w:r>
      <w:r>
        <w:rPr>
          <w:spacing w:val="14"/>
          <w:vertAlign w:val="baseline"/>
        </w:rPr>
        <w:t> </w:t>
      </w:r>
      <w:r>
        <w:rPr>
          <w:vertAlign w:val="baseline"/>
        </w:rPr>
        <w:t>where</w:t>
      </w:r>
      <w:r>
        <w:rPr>
          <w:spacing w:val="14"/>
          <w:vertAlign w:val="baseline"/>
        </w:rPr>
        <w:t> </w:t>
      </w:r>
      <w:r>
        <w:rPr>
          <w:vertAlign w:val="baseline"/>
        </w:rPr>
        <w:t>equitable</w:t>
      </w:r>
      <w:r>
        <w:rPr>
          <w:spacing w:val="14"/>
          <w:vertAlign w:val="baseline"/>
        </w:rPr>
        <w:t> </w:t>
      </w:r>
      <w:r>
        <w:rPr>
          <w:vertAlign w:val="baseline"/>
        </w:rPr>
        <w:t>rules</w:t>
      </w:r>
      <w:r>
        <w:rPr>
          <w:spacing w:val="14"/>
          <w:vertAlign w:val="baseline"/>
        </w:rPr>
        <w:t> </w:t>
      </w:r>
      <w:r>
        <w:rPr>
          <w:vertAlign w:val="baseline"/>
        </w:rPr>
        <w:t>apply</w:t>
      </w:r>
      <w:r>
        <w:rPr>
          <w:spacing w:val="14"/>
          <w:vertAlign w:val="baseline"/>
        </w:rPr>
        <w:t> </w:t>
      </w:r>
      <w:r>
        <w:rPr>
          <w:vertAlign w:val="baseline"/>
        </w:rPr>
        <w:t>which</w:t>
      </w:r>
      <w:r>
        <w:rPr>
          <w:spacing w:val="14"/>
          <w:vertAlign w:val="baseline"/>
        </w:rPr>
        <w:t> </w:t>
      </w:r>
      <w:r>
        <w:rPr>
          <w:vertAlign w:val="baseline"/>
        </w:rPr>
        <w:t>differ</w:t>
      </w:r>
      <w:r>
        <w:rPr>
          <w:spacing w:val="14"/>
          <w:vertAlign w:val="baseline"/>
        </w:rPr>
        <w:t> </w:t>
      </w:r>
      <w:r>
        <w:rPr>
          <w:spacing w:val="-4"/>
          <w:vertAlign w:val="baseline"/>
        </w:rPr>
        <w:t>from</w:t>
      </w:r>
    </w:p>
    <w:p>
      <w:pPr>
        <w:pStyle w:val="BodyText"/>
        <w:spacing w:before="114"/>
        <w:ind w:left="165"/>
        <w:jc w:val="both"/>
        <w:rPr>
          <w:position w:val="-2"/>
        </w:rPr>
      </w:pPr>
      <w:r>
        <w:rPr/>
        <w:t>the common law rules applicable to mistake in contracts (whether or not contained in deeds). </w:t>
      </w:r>
      <w:r>
        <w:rPr>
          <w:color w:val="005DA1"/>
          <w:u w:val="single" w:color="005DA1"/>
          <w:vertAlign w:val="superscript"/>
        </w:rPr>
        <w:t>969</w:t>
      </w:r>
      <w:r>
        <w:rPr>
          <w:color w:val="005DA1"/>
          <w:spacing w:val="80"/>
          <w:w w:val="150"/>
          <w:vertAlign w:val="baseline"/>
        </w:rPr>
        <w:t> </w:t>
      </w:r>
      <w:r>
        <w:rPr>
          <w:color w:val="005DA1"/>
          <w:position w:val="-2"/>
          <w:vertAlign w:val="baseline"/>
        </w:rPr>
        <w:drawing>
          <wp:inline distT="0" distB="0" distL="0" distR="0">
            <wp:extent cx="107988" cy="107988"/>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Estoppel and facts stated in the </w:t>
      </w:r>
      <w:r>
        <w:rPr>
          <w:rFonts w:ascii="Arial"/>
          <w:b/>
          <w:spacing w:val="-4"/>
          <w:sz w:val="18"/>
        </w:rPr>
        <w:t>deed</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140</w:t>
      </w:r>
    </w:p>
    <w:p>
      <w:pPr>
        <w:pStyle w:val="BodyText"/>
        <w:rPr>
          <w:rFonts w:ascii="Arial"/>
          <w:b/>
          <w:sz w:val="24"/>
        </w:rPr>
      </w:pPr>
    </w:p>
    <w:p>
      <w:pPr>
        <w:pStyle w:val="BodyText"/>
        <w:spacing w:before="237"/>
        <w:rPr>
          <w:rFonts w:ascii="Arial"/>
          <w:b/>
          <w:sz w:val="24"/>
        </w:rPr>
      </w:pPr>
    </w:p>
    <w:p>
      <w:pPr>
        <w:pStyle w:val="BodyText"/>
        <w:spacing w:line="235" w:lineRule="auto"/>
        <w:ind w:left="1245"/>
      </w:pPr>
      <w:r>
        <w:rPr/>
        <w:t>“A</w:t>
      </w:r>
      <w:r>
        <w:rPr>
          <w:spacing w:val="18"/>
        </w:rPr>
        <w:t> </w:t>
      </w:r>
      <w:r>
        <w:rPr/>
        <w:t>party</w:t>
      </w:r>
      <w:r>
        <w:rPr>
          <w:spacing w:val="18"/>
        </w:rPr>
        <w:t> </w:t>
      </w:r>
      <w:r>
        <w:rPr/>
        <w:t>who</w:t>
      </w:r>
      <w:r>
        <w:rPr>
          <w:spacing w:val="18"/>
        </w:rPr>
        <w:t> </w:t>
      </w:r>
      <w:r>
        <w:rPr/>
        <w:t>executes</w:t>
      </w:r>
      <w:r>
        <w:rPr>
          <w:spacing w:val="18"/>
        </w:rPr>
        <w:t> </w:t>
      </w:r>
      <w:r>
        <w:rPr/>
        <w:t>a</w:t>
      </w:r>
      <w:r>
        <w:rPr>
          <w:spacing w:val="18"/>
        </w:rPr>
        <w:t> </w:t>
      </w:r>
      <w:r>
        <w:rPr/>
        <w:t>deed</w:t>
      </w:r>
      <w:r>
        <w:rPr>
          <w:spacing w:val="18"/>
        </w:rPr>
        <w:t> </w:t>
      </w:r>
      <w:r>
        <w:rPr/>
        <w:t>is</w:t>
      </w:r>
      <w:r>
        <w:rPr>
          <w:spacing w:val="18"/>
        </w:rPr>
        <w:t> </w:t>
      </w:r>
      <w:r>
        <w:rPr/>
        <w:t>estopped</w:t>
      </w:r>
      <w:r>
        <w:rPr>
          <w:spacing w:val="18"/>
        </w:rPr>
        <w:t> </w:t>
      </w:r>
      <w:r>
        <w:rPr/>
        <w:t>in</w:t>
      </w:r>
      <w:r>
        <w:rPr>
          <w:spacing w:val="18"/>
        </w:rPr>
        <w:t> </w:t>
      </w:r>
      <w:r>
        <w:rPr/>
        <w:t>a</w:t>
      </w:r>
      <w:r>
        <w:rPr>
          <w:spacing w:val="18"/>
        </w:rPr>
        <w:t> </w:t>
      </w:r>
      <w:r>
        <w:rPr/>
        <w:t>Court</w:t>
      </w:r>
      <w:r>
        <w:rPr>
          <w:spacing w:val="18"/>
        </w:rPr>
        <w:t> </w:t>
      </w:r>
      <w:r>
        <w:rPr/>
        <w:t>of</w:t>
      </w:r>
      <w:r>
        <w:rPr>
          <w:spacing w:val="18"/>
        </w:rPr>
        <w:t> </w:t>
      </w:r>
      <w:r>
        <w:rPr/>
        <w:t>Law</w:t>
      </w:r>
      <w:r>
        <w:rPr>
          <w:spacing w:val="18"/>
        </w:rPr>
        <w:t> </w:t>
      </w:r>
      <w:r>
        <w:rPr/>
        <w:t>from</w:t>
      </w:r>
      <w:r>
        <w:rPr>
          <w:spacing w:val="18"/>
        </w:rPr>
        <w:t> </w:t>
      </w:r>
      <w:r>
        <w:rPr/>
        <w:t>saying</w:t>
      </w:r>
      <w:r>
        <w:rPr>
          <w:spacing w:val="18"/>
        </w:rPr>
        <w:t> </w:t>
      </w:r>
      <w:r>
        <w:rPr/>
        <w:t>that</w:t>
      </w:r>
      <w:r>
        <w:rPr>
          <w:spacing w:val="18"/>
        </w:rPr>
        <w:t> </w:t>
      </w:r>
      <w:r>
        <w:rPr/>
        <w:t>the</w:t>
      </w:r>
      <w:r>
        <w:rPr>
          <w:spacing w:val="18"/>
        </w:rPr>
        <w:t> </w:t>
      </w:r>
      <w:r>
        <w:rPr/>
        <w:t>facts stated in the deed are not truly stated.” </w:t>
      </w:r>
      <w:r>
        <w:rPr>
          <w:color w:val="005DA1"/>
          <w:u w:val="single" w:color="005DA1"/>
          <w:vertAlign w:val="superscript"/>
        </w:rPr>
        <w:t>970</w:t>
      </w:r>
    </w:p>
    <w:p>
      <w:pPr>
        <w:pStyle w:val="BodyText"/>
        <w:spacing w:before="116"/>
      </w:pPr>
    </w:p>
    <w:p>
      <w:pPr>
        <w:pStyle w:val="BodyText"/>
        <w:spacing w:line="235" w:lineRule="auto"/>
        <w:ind w:left="165" w:right="167"/>
        <w:jc w:val="both"/>
      </w:pPr>
      <w:r>
        <w:rPr/>
        <w:t>The principle has been extended to statements in recitals in a deed. </w:t>
      </w:r>
      <w:r>
        <w:rPr>
          <w:color w:val="005DA1"/>
          <w:u w:val="single" w:color="005DA1"/>
          <w:vertAlign w:val="superscript"/>
        </w:rPr>
        <w:t>971</w:t>
      </w:r>
      <w:r>
        <w:rPr>
          <w:color w:val="005DA1"/>
          <w:vertAlign w:val="baseline"/>
        </w:rPr>
        <w:t> </w:t>
      </w:r>
      <w:r>
        <w:rPr>
          <w:vertAlign w:val="baseline"/>
        </w:rPr>
        <w:t>It is a question of the construction of the deed as a whole as to which parties are estopped by a recital. When a recital is intended to be a statement which all the parties to the deed have mutually agreed to admit as true, it</w:t>
      </w:r>
      <w:r>
        <w:rPr>
          <w:spacing w:val="40"/>
          <w:vertAlign w:val="baseline"/>
        </w:rPr>
        <w:t> </w:t>
      </w:r>
      <w:r>
        <w:rPr>
          <w:vertAlign w:val="baseline"/>
        </w:rPr>
        <w:t>is an estoppel upon all. But when it is intended to be the statement of one party only, the estoppel is confined to that party: and the intention is to be gathered by construing the instrument. </w:t>
      </w:r>
      <w:r>
        <w:rPr>
          <w:color w:val="005DA1"/>
          <w:u w:val="single" w:color="005DA1"/>
          <w:vertAlign w:val="superscript"/>
        </w:rPr>
        <w:t>972</w:t>
      </w:r>
      <w:r>
        <w:rPr>
          <w:color w:val="005DA1"/>
          <w:vertAlign w:val="baseline"/>
        </w:rPr>
        <w:t> </w:t>
      </w:r>
      <w:r>
        <w:rPr>
          <w:vertAlign w:val="baseline"/>
        </w:rPr>
        <w:t>The scope of</w:t>
      </w:r>
      <w:r>
        <w:rPr>
          <w:spacing w:val="-2"/>
          <w:vertAlign w:val="baseline"/>
        </w:rPr>
        <w:t> </w:t>
      </w:r>
      <w:r>
        <w:rPr>
          <w:vertAlign w:val="baseline"/>
        </w:rPr>
        <w:t>the</w:t>
      </w:r>
      <w:r>
        <w:rPr>
          <w:spacing w:val="-2"/>
          <w:vertAlign w:val="baseline"/>
        </w:rPr>
        <w:t> </w:t>
      </w:r>
      <w:r>
        <w:rPr>
          <w:vertAlign w:val="baseline"/>
        </w:rPr>
        <w:t>doctrine</w:t>
      </w:r>
      <w:r>
        <w:rPr>
          <w:spacing w:val="-2"/>
          <w:vertAlign w:val="baseline"/>
        </w:rPr>
        <w:t> </w:t>
      </w:r>
      <w:r>
        <w:rPr>
          <w:vertAlign w:val="baseline"/>
        </w:rPr>
        <w:t>is</w:t>
      </w:r>
      <w:r>
        <w:rPr>
          <w:spacing w:val="-2"/>
          <w:vertAlign w:val="baseline"/>
        </w:rPr>
        <w:t> </w:t>
      </w:r>
      <w:r>
        <w:rPr>
          <w:vertAlign w:val="baseline"/>
        </w:rPr>
        <w:t>extremely</w:t>
      </w:r>
      <w:r>
        <w:rPr>
          <w:spacing w:val="-2"/>
          <w:vertAlign w:val="baseline"/>
        </w:rPr>
        <w:t> </w:t>
      </w:r>
      <w:r>
        <w:rPr>
          <w:vertAlign w:val="baseline"/>
        </w:rPr>
        <w:t>limited</w:t>
      </w:r>
      <w:r>
        <w:rPr>
          <w:spacing w:val="-2"/>
          <w:vertAlign w:val="baseline"/>
        </w:rPr>
        <w:t> </w:t>
      </w:r>
      <w:r>
        <w:rPr>
          <w:vertAlign w:val="baseline"/>
        </w:rPr>
        <w:t>in</w:t>
      </w:r>
      <w:r>
        <w:rPr>
          <w:spacing w:val="-2"/>
          <w:vertAlign w:val="baseline"/>
        </w:rPr>
        <w:t> </w:t>
      </w:r>
      <w:r>
        <w:rPr>
          <w:vertAlign w:val="baseline"/>
        </w:rPr>
        <w:t>modern</w:t>
      </w:r>
      <w:r>
        <w:rPr>
          <w:spacing w:val="-2"/>
          <w:vertAlign w:val="baseline"/>
        </w:rPr>
        <w:t> </w:t>
      </w:r>
      <w:r>
        <w:rPr>
          <w:vertAlign w:val="baseline"/>
        </w:rPr>
        <w:t>law.</w:t>
      </w:r>
      <w:r>
        <w:rPr>
          <w:spacing w:val="-2"/>
          <w:vertAlign w:val="baseline"/>
        </w:rPr>
        <w:t> </w:t>
      </w:r>
      <w:r>
        <w:rPr>
          <w:vertAlign w:val="baseline"/>
        </w:rPr>
        <w:t>First,</w:t>
      </w:r>
      <w:r>
        <w:rPr>
          <w:spacing w:val="-2"/>
          <w:vertAlign w:val="baseline"/>
        </w:rPr>
        <w:t> </w:t>
      </w:r>
      <w:r>
        <w:rPr>
          <w:vertAlign w:val="baseline"/>
        </w:rPr>
        <w:t>it</w:t>
      </w:r>
      <w:r>
        <w:rPr>
          <w:spacing w:val="-2"/>
          <w:vertAlign w:val="baseline"/>
        </w:rPr>
        <w:t> </w:t>
      </w:r>
      <w:r>
        <w:rPr>
          <w:vertAlign w:val="baseline"/>
        </w:rPr>
        <w:t>only</w:t>
      </w:r>
      <w:r>
        <w:rPr>
          <w:spacing w:val="-2"/>
          <w:vertAlign w:val="baseline"/>
        </w:rPr>
        <w:t> </w:t>
      </w:r>
      <w:r>
        <w:rPr>
          <w:vertAlign w:val="baseline"/>
        </w:rPr>
        <w:t>applies</w:t>
      </w:r>
      <w:r>
        <w:rPr>
          <w:spacing w:val="-2"/>
          <w:vertAlign w:val="baseline"/>
        </w:rPr>
        <w:t> </w:t>
      </w:r>
      <w:r>
        <w:rPr>
          <w:vertAlign w:val="baseline"/>
        </w:rPr>
        <w:t>between</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deed and those claiming through them. </w:t>
      </w:r>
      <w:r>
        <w:rPr>
          <w:color w:val="005DA1"/>
          <w:u w:val="single" w:color="005DA1"/>
          <w:vertAlign w:val="superscript"/>
        </w:rPr>
        <w:t>973</w:t>
      </w:r>
      <w:r>
        <w:rPr>
          <w:color w:val="005DA1"/>
          <w:vertAlign w:val="baseline"/>
        </w:rPr>
        <w:t> </w:t>
      </w:r>
      <w:r>
        <w:rPr>
          <w:vertAlign w:val="baseline"/>
        </w:rPr>
        <w:t>Secondly, it only applies when an action is brought to </w:t>
      </w:r>
      <w:r>
        <w:rPr>
          <w:vertAlign w:val="baseline"/>
        </w:rPr>
        <w:t>enforce rights arising out of the deed and not collateral to it. </w:t>
      </w:r>
      <w:r>
        <w:rPr>
          <w:color w:val="005DA1"/>
          <w:u w:val="single" w:color="005DA1"/>
          <w:vertAlign w:val="superscript"/>
        </w:rPr>
        <w:t>974</w:t>
      </w:r>
      <w:r>
        <w:rPr>
          <w:color w:val="005DA1"/>
          <w:vertAlign w:val="baseline"/>
        </w:rPr>
        <w:t> </w:t>
      </w:r>
      <w:r>
        <w:rPr>
          <w:vertAlign w:val="baseline"/>
        </w:rPr>
        <w:t>Thirdly, it only applies if the statement is clear and unambiguous. </w:t>
      </w:r>
      <w:r>
        <w:rPr>
          <w:color w:val="005DA1"/>
          <w:u w:val="single" w:color="005DA1"/>
          <w:vertAlign w:val="superscript"/>
        </w:rPr>
        <w:t>975</w:t>
      </w:r>
      <w:r>
        <w:rPr>
          <w:color w:val="005DA1"/>
          <w:vertAlign w:val="baseline"/>
        </w:rPr>
        <w:t> </w:t>
      </w:r>
      <w:r>
        <w:rPr>
          <w:vertAlign w:val="baseline"/>
        </w:rPr>
        <w:t>Fourthly, it does not prevent a party from relying on defences such as non est factum, fraud, illegality or incapacity. In such cases the facts may be pleaded in order to defeat the deed,</w:t>
      </w:r>
      <w:r>
        <w:rPr>
          <w:spacing w:val="-3"/>
          <w:vertAlign w:val="baseline"/>
        </w:rPr>
        <w:t> </w:t>
      </w:r>
      <w:r>
        <w:rPr>
          <w:vertAlign w:val="baseline"/>
        </w:rPr>
        <w:t>even</w:t>
      </w:r>
      <w:r>
        <w:rPr>
          <w:spacing w:val="-3"/>
          <w:vertAlign w:val="baseline"/>
        </w:rPr>
        <w:t> </w:t>
      </w:r>
      <w:r>
        <w:rPr>
          <w:vertAlign w:val="baseline"/>
        </w:rPr>
        <w:t>though</w:t>
      </w:r>
      <w:r>
        <w:rPr>
          <w:spacing w:val="-3"/>
          <w:vertAlign w:val="baseline"/>
        </w:rPr>
        <w:t> </w:t>
      </w:r>
      <w:r>
        <w:rPr>
          <w:vertAlign w:val="baseline"/>
        </w:rPr>
        <w:t>they</w:t>
      </w:r>
      <w:r>
        <w:rPr>
          <w:spacing w:val="-3"/>
          <w:vertAlign w:val="baseline"/>
        </w:rPr>
        <w:t> </w:t>
      </w:r>
      <w:r>
        <w:rPr>
          <w:vertAlign w:val="baseline"/>
        </w:rPr>
        <w:t>may</w:t>
      </w:r>
      <w:r>
        <w:rPr>
          <w:spacing w:val="-3"/>
          <w:vertAlign w:val="baseline"/>
        </w:rPr>
        <w:t> </w:t>
      </w:r>
      <w:r>
        <w:rPr>
          <w:vertAlign w:val="baseline"/>
        </w:rPr>
        <w:t>contradict</w:t>
      </w:r>
      <w:r>
        <w:rPr>
          <w:spacing w:val="-3"/>
          <w:vertAlign w:val="baseline"/>
        </w:rPr>
        <w:t> </w:t>
      </w:r>
      <w:r>
        <w:rPr>
          <w:vertAlign w:val="baseline"/>
        </w:rPr>
        <w:t>statements</w:t>
      </w:r>
      <w:r>
        <w:rPr>
          <w:spacing w:val="-3"/>
          <w:vertAlign w:val="baseline"/>
        </w:rPr>
        <w:t> </w:t>
      </w:r>
      <w:r>
        <w:rPr>
          <w:vertAlign w:val="baseline"/>
        </w:rPr>
        <w:t>made</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face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deed.</w:t>
      </w:r>
      <w:r>
        <w:rPr>
          <w:spacing w:val="-4"/>
          <w:vertAlign w:val="baseline"/>
        </w:rPr>
        <w:t> </w:t>
      </w:r>
      <w:r>
        <w:rPr>
          <w:color w:val="005DA1"/>
          <w:u w:val="single" w:color="005DA1"/>
          <w:vertAlign w:val="superscript"/>
        </w:rPr>
        <w:t>976</w:t>
      </w:r>
      <w:r>
        <w:rPr>
          <w:color w:val="005DA1"/>
          <w:spacing w:val="-3"/>
          <w:vertAlign w:val="baseline"/>
        </w:rPr>
        <w:t> </w:t>
      </w:r>
      <w:r>
        <w:rPr>
          <w:vertAlign w:val="baseline"/>
        </w:rPr>
        <w:t>And</w:t>
      </w:r>
      <w:r>
        <w:rPr>
          <w:spacing w:val="-3"/>
          <w:vertAlign w:val="baseline"/>
        </w:rPr>
        <w:t> </w:t>
      </w:r>
      <w:r>
        <w:rPr>
          <w:vertAlign w:val="baseline"/>
        </w:rPr>
        <w:t>so,</w:t>
      </w:r>
      <w:r>
        <w:rPr>
          <w:spacing w:val="-3"/>
          <w:vertAlign w:val="baseline"/>
        </w:rPr>
        <w:t> </w:t>
      </w:r>
      <w:r>
        <w:rPr>
          <w:vertAlign w:val="baseline"/>
        </w:rPr>
        <w:t>although a party to a deed may be estopped from denying facts which are stated in it, he is not estopped from saying that, on the facts so stated, the deed is void in law. </w:t>
      </w:r>
      <w:r>
        <w:rPr>
          <w:color w:val="005DA1"/>
          <w:u w:val="single" w:color="005DA1"/>
          <w:vertAlign w:val="superscript"/>
        </w:rPr>
        <w:t>977</w:t>
      </w:r>
      <w:r>
        <w:rPr>
          <w:color w:val="005DA1"/>
          <w:vertAlign w:val="baseline"/>
        </w:rPr>
        <w:t> </w:t>
      </w:r>
      <w:r>
        <w:rPr>
          <w:vertAlign w:val="baseline"/>
        </w:rPr>
        <w:t>Fifthly, where a deed is rectifiable (that is to say, ought to be rectified), the doctrine of estoppel by deed will not bind the parties to it. </w:t>
      </w:r>
      <w:r>
        <w:rPr>
          <w:color w:val="005DA1"/>
          <w:u w:val="single" w:color="005DA1"/>
          <w:vertAlign w:val="superscript"/>
        </w:rPr>
        <w:t>978</w:t>
      </w:r>
      <w:r>
        <w:rPr>
          <w:color w:val="005DA1"/>
          <w:vertAlign w:val="baseline"/>
        </w:rPr>
        <w:t> </w:t>
      </w:r>
      <w:r>
        <w:rPr>
          <w:vertAlign w:val="baseline"/>
        </w:rPr>
        <w:t>However, it may be going too far to say that there is, given these restrictions, little point in preserving</w:t>
      </w:r>
      <w:r>
        <w:rPr>
          <w:spacing w:val="40"/>
          <w:vertAlign w:val="baseline"/>
        </w:rPr>
        <w:t> </w:t>
      </w:r>
      <w:r>
        <w:rPr>
          <w:vertAlign w:val="baseline"/>
        </w:rPr>
        <w:t>a separate category of estoppel by deed on the basis that it appears to be covered by estoppel representation or by convention. As Lord Toulson has observed:</w:t>
      </w:r>
    </w:p>
    <w:p>
      <w:pPr>
        <w:pStyle w:val="BodyText"/>
      </w:pPr>
    </w:p>
    <w:p>
      <w:pPr>
        <w:pStyle w:val="BodyText"/>
        <w:spacing w:before="120"/>
      </w:pPr>
    </w:p>
    <w:p>
      <w:pPr>
        <w:pStyle w:val="BodyText"/>
        <w:spacing w:line="235" w:lineRule="auto"/>
        <w:ind w:left="1245"/>
      </w:pPr>
      <w:r>
        <w:rPr/>
        <w:t>“For one thing, convention may be contractual or non-contractual. Consideration is </w:t>
      </w:r>
      <w:r>
        <w:rPr/>
        <w:t>still</w:t>
      </w:r>
      <w:r>
        <w:rPr>
          <w:spacing w:val="80"/>
        </w:rPr>
        <w:t> </w:t>
      </w:r>
      <w:r>
        <w:rPr/>
        <w:t>ordinarily</w:t>
      </w:r>
      <w:r>
        <w:rPr>
          <w:spacing w:val="6"/>
        </w:rPr>
        <w:t> </w:t>
      </w:r>
      <w:r>
        <w:rPr/>
        <w:t>a</w:t>
      </w:r>
      <w:r>
        <w:rPr>
          <w:spacing w:val="7"/>
        </w:rPr>
        <w:t> </w:t>
      </w:r>
      <w:r>
        <w:rPr/>
        <w:t>requirement</w:t>
      </w:r>
      <w:r>
        <w:rPr>
          <w:spacing w:val="6"/>
        </w:rPr>
        <w:t> </w:t>
      </w:r>
      <w:r>
        <w:rPr/>
        <w:t>of</w:t>
      </w:r>
      <w:r>
        <w:rPr>
          <w:spacing w:val="7"/>
        </w:rPr>
        <w:t> </w:t>
      </w:r>
      <w:r>
        <w:rPr/>
        <w:t>a</w:t>
      </w:r>
      <w:r>
        <w:rPr>
          <w:spacing w:val="7"/>
        </w:rPr>
        <w:t> </w:t>
      </w:r>
      <w:r>
        <w:rPr/>
        <w:t>contract.</w:t>
      </w:r>
      <w:r>
        <w:rPr>
          <w:spacing w:val="6"/>
        </w:rPr>
        <w:t> </w:t>
      </w:r>
      <w:r>
        <w:rPr/>
        <w:t>In</w:t>
      </w:r>
      <w:r>
        <w:rPr>
          <w:spacing w:val="7"/>
        </w:rPr>
        <w:t> </w:t>
      </w:r>
      <w:r>
        <w:rPr>
          <w:rFonts w:ascii="Arial" w:hAnsi="Arial"/>
          <w:i/>
        </w:rPr>
        <w:t>Johnson</w:t>
      </w:r>
      <w:r>
        <w:rPr>
          <w:rFonts w:ascii="Arial" w:hAnsi="Arial"/>
          <w:i/>
          <w:spacing w:val="6"/>
        </w:rPr>
        <w:t> </w:t>
      </w:r>
      <w:r>
        <w:rPr>
          <w:rFonts w:ascii="Arial" w:hAnsi="Arial"/>
          <w:i/>
        </w:rPr>
        <w:t>v</w:t>
      </w:r>
      <w:r>
        <w:rPr>
          <w:rFonts w:ascii="Arial" w:hAnsi="Arial"/>
          <w:i/>
          <w:spacing w:val="7"/>
        </w:rPr>
        <w:t> </w:t>
      </w:r>
      <w:r>
        <w:rPr>
          <w:rFonts w:ascii="Arial" w:hAnsi="Arial"/>
          <w:i/>
        </w:rPr>
        <w:t>Gore</w:t>
      </w:r>
      <w:r>
        <w:rPr>
          <w:rFonts w:ascii="Arial" w:hAnsi="Arial"/>
          <w:i/>
          <w:spacing w:val="7"/>
        </w:rPr>
        <w:t> </w:t>
      </w:r>
      <w:r>
        <w:rPr>
          <w:rFonts w:ascii="Arial" w:hAnsi="Arial"/>
          <w:i/>
        </w:rPr>
        <w:t>Wood</w:t>
      </w:r>
      <w:r>
        <w:rPr/>
        <w:t>[</w:t>
      </w:r>
      <w:r>
        <w:rPr>
          <w:spacing w:val="6"/>
        </w:rPr>
        <w:t> </w:t>
      </w:r>
      <w:r>
        <w:rPr>
          <w:color w:val="005DA1"/>
          <w:u w:val="single" w:color="005DA1"/>
          <w:vertAlign w:val="superscript"/>
        </w:rPr>
        <w:t>979</w:t>
      </w:r>
      <w:r>
        <w:rPr>
          <w:vertAlign w:val="baseline"/>
        </w:rPr>
        <w:t>]</w:t>
      </w:r>
      <w:r>
        <w:rPr>
          <w:spacing w:val="7"/>
          <w:vertAlign w:val="baseline"/>
        </w:rPr>
        <w:t> </w:t>
      </w:r>
      <w:r>
        <w:rPr>
          <w:vertAlign w:val="baseline"/>
        </w:rPr>
        <w:t>Lord</w:t>
      </w:r>
      <w:r>
        <w:rPr>
          <w:spacing w:val="7"/>
          <w:vertAlign w:val="baseline"/>
        </w:rPr>
        <w:t> </w:t>
      </w:r>
      <w:r>
        <w:rPr>
          <w:vertAlign w:val="baseline"/>
        </w:rPr>
        <w:t>Goff</w:t>
      </w:r>
      <w:r>
        <w:rPr>
          <w:spacing w:val="6"/>
          <w:vertAlign w:val="baseline"/>
        </w:rPr>
        <w:t> </w:t>
      </w:r>
      <w:r>
        <w:rPr>
          <w:spacing w:val="-2"/>
          <w:vertAlign w:val="baseline"/>
        </w:rPr>
        <w:t>expressed</w:t>
      </w:r>
    </w:p>
    <w:p>
      <w:pPr>
        <w:pStyle w:val="BodyText"/>
        <w:spacing w:after="0" w:line="235" w:lineRule="auto"/>
        <w:sectPr>
          <w:pgSz w:w="11900" w:h="16840"/>
          <w:pgMar w:header="971" w:footer="0" w:top="1300" w:bottom="280" w:left="1275" w:right="1275"/>
        </w:sectPr>
      </w:pPr>
    </w:p>
    <w:p>
      <w:pPr>
        <w:pStyle w:val="BodyText"/>
        <w:spacing w:line="235" w:lineRule="auto" w:before="170"/>
        <w:ind w:left="1245" w:right="167"/>
        <w:jc w:val="both"/>
      </w:pPr>
      <w:r>
        <w:rPr/>
        <w:t>reservation about attempting to encapsulate the many circumstances capable of </w:t>
      </w:r>
      <w:r>
        <w:rPr/>
        <w:t>giving rise to an estoppel within a single formula, in part because consideration remains a fundamental principle of the law of contract and is not to be reduced out of existence by the law of estoppel. A particular characteristic of a deed is that consideration is not ordinarily required for it to be effective as between the parties…. However, where there is a contractual convention, it makes no difference in principle whether or not the contract is embodied in a deed.” </w:t>
      </w:r>
      <w:r>
        <w:rPr>
          <w:color w:val="005DA1"/>
          <w:u w:val="single" w:color="005DA1"/>
          <w:vertAlign w:val="superscript"/>
        </w:rPr>
        <w:t>980</w:t>
      </w:r>
    </w:p>
    <w:p>
      <w:pPr>
        <w:pStyle w:val="BodyText"/>
      </w:pPr>
    </w:p>
    <w:p>
      <w:pPr>
        <w:pStyle w:val="BodyText"/>
      </w:pPr>
    </w:p>
    <w:p>
      <w:pPr>
        <w:pStyle w:val="BodyText"/>
        <w:spacing w:before="153"/>
      </w:pPr>
    </w:p>
    <w:p>
      <w:pPr>
        <w:spacing w:before="0"/>
        <w:ind w:left="165" w:right="0" w:firstLine="0"/>
        <w:jc w:val="left"/>
        <w:rPr>
          <w:rFonts w:ascii="Arial"/>
          <w:b/>
          <w:sz w:val="18"/>
        </w:rPr>
      </w:pPr>
      <w:r>
        <w:rPr>
          <w:rFonts w:ascii="Arial"/>
          <w:b/>
          <w:spacing w:val="-2"/>
          <w:sz w:val="18"/>
        </w:rPr>
        <w:t>Merger</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141</w:t>
      </w:r>
    </w:p>
    <w:p>
      <w:pPr>
        <w:pStyle w:val="BodyText"/>
        <w:spacing w:line="225" w:lineRule="auto" w:before="210"/>
        <w:ind w:left="165" w:right="167"/>
        <w:jc w:val="both"/>
        <w:rPr>
          <w:sz w:val="12"/>
        </w:rPr>
      </w:pPr>
      <w:r>
        <w:rPr/>
        <w:t>A deed is an instrument of a higher nature than a simple contract. A security created by simple contract will be merged in and extinguished by a specialty security if it secures the same obligation.</w:t>
      </w:r>
      <w:r>
        <w:rPr>
          <w:spacing w:val="40"/>
        </w:rPr>
        <w:t> </w:t>
      </w:r>
      <w:r>
        <w:rPr>
          <w:color w:val="005DA1"/>
          <w:u w:val="single" w:color="005DA1"/>
          <w:vertAlign w:val="superscript"/>
        </w:rPr>
        <w:t>981</w:t>
      </w:r>
      <w:r>
        <w:rPr>
          <w:color w:val="005DA1"/>
          <w:vertAlign w:val="baseline"/>
        </w:rPr>
        <w:t> </w:t>
      </w:r>
      <w:r>
        <w:rPr>
          <w:vertAlign w:val="baseline"/>
        </w:rPr>
        <w:t>A simple contract may also be merged in a deed, e.g. a conveyance, if so intended by the parties. </w:t>
      </w:r>
      <w:r>
        <w:rPr>
          <w:color w:val="005DA1"/>
          <w:spacing w:val="-4"/>
          <w:sz w:val="12"/>
          <w:u w:val="single" w:color="005DA1"/>
          <w:vertAlign w:val="baseline"/>
        </w:rPr>
        <w:t>982</w:t>
      </w:r>
    </w:p>
    <w:p>
      <w:pPr>
        <w:pStyle w:val="BodyText"/>
      </w:pPr>
    </w:p>
    <w:p>
      <w:pPr>
        <w:pStyle w:val="BodyText"/>
        <w:spacing w:before="153"/>
      </w:pPr>
    </w:p>
    <w:p>
      <w:pPr>
        <w:spacing w:before="0"/>
        <w:ind w:left="165" w:right="0" w:firstLine="0"/>
        <w:jc w:val="left"/>
        <w:rPr>
          <w:rFonts w:ascii="Arial"/>
          <w:b/>
          <w:sz w:val="18"/>
        </w:rPr>
      </w:pPr>
      <w:r>
        <w:rPr>
          <w:rFonts w:ascii="Arial"/>
          <w:b/>
          <w:sz w:val="18"/>
        </w:rPr>
        <w:t>Alteration of </w:t>
      </w:r>
      <w:r>
        <w:rPr>
          <w:rFonts w:ascii="Arial"/>
          <w:b/>
          <w:spacing w:val="-2"/>
          <w:sz w:val="18"/>
        </w:rPr>
        <w:t>deeds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142</w:t>
      </w:r>
    </w:p>
    <w:p>
      <w:pPr>
        <w:pStyle w:val="BodyText"/>
        <w:spacing w:line="235" w:lineRule="auto" w:before="202"/>
        <w:ind w:left="165" w:right="159"/>
      </w:pPr>
      <w:r>
        <w:rPr/>
        <w:t>Where</w:t>
      </w:r>
      <w:r>
        <w:rPr>
          <w:spacing w:val="-2"/>
        </w:rPr>
        <w:t> </w:t>
      </w:r>
      <w:r>
        <w:rPr/>
        <w:t>a</w:t>
      </w:r>
      <w:r>
        <w:rPr>
          <w:spacing w:val="-2"/>
        </w:rPr>
        <w:t> </w:t>
      </w:r>
      <w:r>
        <w:rPr/>
        <w:t>deed</w:t>
      </w:r>
      <w:r>
        <w:rPr>
          <w:spacing w:val="-2"/>
        </w:rPr>
        <w:t> </w:t>
      </w:r>
      <w:r>
        <w:rPr/>
        <w:t>is</w:t>
      </w:r>
      <w:r>
        <w:rPr>
          <w:spacing w:val="-2"/>
        </w:rPr>
        <w:t> </w:t>
      </w:r>
      <w:r>
        <w:rPr/>
        <w:t>altered</w:t>
      </w:r>
      <w:r>
        <w:rPr>
          <w:spacing w:val="-2"/>
        </w:rPr>
        <w:t> </w:t>
      </w:r>
      <w:r>
        <w:rPr/>
        <w:t>in</w:t>
      </w:r>
      <w:r>
        <w:rPr>
          <w:spacing w:val="-2"/>
        </w:rPr>
        <w:t> </w:t>
      </w:r>
      <w:r>
        <w:rPr/>
        <w:t>a</w:t>
      </w:r>
      <w:r>
        <w:rPr>
          <w:spacing w:val="-2"/>
        </w:rPr>
        <w:t> </w:t>
      </w:r>
      <w:r>
        <w:rPr/>
        <w:t>material</w:t>
      </w:r>
      <w:r>
        <w:rPr>
          <w:spacing w:val="-2"/>
        </w:rPr>
        <w:t> </w:t>
      </w:r>
      <w:r>
        <w:rPr/>
        <w:t>way</w:t>
      </w:r>
      <w:r>
        <w:rPr>
          <w:spacing w:val="-2"/>
        </w:rPr>
        <w:t> </w:t>
      </w:r>
      <w:r>
        <w:rPr/>
        <w:t>either</w:t>
      </w:r>
      <w:r>
        <w:rPr>
          <w:spacing w:val="-2"/>
        </w:rPr>
        <w:t> </w:t>
      </w:r>
      <w:r>
        <w:rPr/>
        <w:t>by</w:t>
      </w:r>
      <w:r>
        <w:rPr>
          <w:spacing w:val="-2"/>
        </w:rPr>
        <w:t> </w:t>
      </w:r>
      <w:r>
        <w:rPr/>
        <w:t>a</w:t>
      </w:r>
      <w:r>
        <w:rPr>
          <w:spacing w:val="-2"/>
        </w:rPr>
        <w:t> </w:t>
      </w:r>
      <w:r>
        <w:rPr/>
        <w:t>party</w:t>
      </w:r>
      <w:r>
        <w:rPr>
          <w:spacing w:val="-2"/>
        </w:rPr>
        <w:t> </w:t>
      </w:r>
      <w:r>
        <w:rPr/>
        <w:t>in</w:t>
      </w:r>
      <w:r>
        <w:rPr>
          <w:spacing w:val="-2"/>
        </w:rPr>
        <w:t> </w:t>
      </w:r>
      <w:r>
        <w:rPr/>
        <w:t>whose</w:t>
      </w:r>
      <w:r>
        <w:rPr>
          <w:spacing w:val="-2"/>
        </w:rPr>
        <w:t> </w:t>
      </w:r>
      <w:r>
        <w:rPr/>
        <w:t>custody</w:t>
      </w:r>
      <w:r>
        <w:rPr>
          <w:spacing w:val="-2"/>
        </w:rPr>
        <w:t> </w:t>
      </w:r>
      <w:r>
        <w:rPr/>
        <w:t>it</w:t>
      </w:r>
      <w:r>
        <w:rPr>
          <w:spacing w:val="-2"/>
        </w:rPr>
        <w:t> </w:t>
      </w:r>
      <w:r>
        <w:rPr/>
        <w:t>is</w:t>
      </w:r>
      <w:r>
        <w:rPr>
          <w:spacing w:val="-2"/>
        </w:rPr>
        <w:t> </w:t>
      </w:r>
      <w:r>
        <w:rPr/>
        <w:t>kept</w:t>
      </w:r>
      <w:r>
        <w:rPr>
          <w:spacing w:val="-2"/>
        </w:rPr>
        <w:t> </w:t>
      </w:r>
      <w:r>
        <w:rPr/>
        <w:t>or</w:t>
      </w:r>
      <w:r>
        <w:rPr>
          <w:spacing w:val="-2"/>
        </w:rPr>
        <w:t> </w:t>
      </w:r>
      <w:r>
        <w:rPr/>
        <w:t>by</w:t>
      </w:r>
      <w:r>
        <w:rPr>
          <w:spacing w:val="-2"/>
        </w:rPr>
        <w:t> </w:t>
      </w:r>
      <w:r>
        <w:rPr/>
        <w:t>a</w:t>
      </w:r>
      <w:r>
        <w:rPr>
          <w:spacing w:val="-2"/>
        </w:rPr>
        <w:t> </w:t>
      </w:r>
      <w:r>
        <w:rPr/>
        <w:t>stranger to</w:t>
      </w:r>
      <w:r>
        <w:rPr>
          <w:spacing w:val="15"/>
        </w:rPr>
        <w:t> </w:t>
      </w:r>
      <w:r>
        <w:rPr/>
        <w:t>the</w:t>
      </w:r>
      <w:r>
        <w:rPr>
          <w:spacing w:val="15"/>
        </w:rPr>
        <w:t> </w:t>
      </w:r>
      <w:r>
        <w:rPr/>
        <w:t>transaction,</w:t>
      </w:r>
      <w:r>
        <w:rPr>
          <w:spacing w:val="15"/>
        </w:rPr>
        <w:t> </w:t>
      </w:r>
      <w:r>
        <w:rPr/>
        <w:t>it</w:t>
      </w:r>
      <w:r>
        <w:rPr>
          <w:spacing w:val="15"/>
        </w:rPr>
        <w:t> </w:t>
      </w:r>
      <w:r>
        <w:rPr/>
        <w:t>becomes</w:t>
      </w:r>
      <w:r>
        <w:rPr>
          <w:spacing w:val="15"/>
        </w:rPr>
        <w:t> </w:t>
      </w:r>
      <w:r>
        <w:rPr/>
        <w:t>void,</w:t>
      </w:r>
      <w:r>
        <w:rPr>
          <w:spacing w:val="15"/>
        </w:rPr>
        <w:t> </w:t>
      </w:r>
      <w:r>
        <w:rPr/>
        <w:t>but</w:t>
      </w:r>
      <w:r>
        <w:rPr>
          <w:spacing w:val="15"/>
        </w:rPr>
        <w:t> </w:t>
      </w:r>
      <w:r>
        <w:rPr/>
        <w:t>where</w:t>
      </w:r>
      <w:r>
        <w:rPr>
          <w:spacing w:val="15"/>
        </w:rPr>
        <w:t> </w:t>
      </w:r>
      <w:r>
        <w:rPr/>
        <w:t>the</w:t>
      </w:r>
      <w:r>
        <w:rPr>
          <w:spacing w:val="15"/>
        </w:rPr>
        <w:t> </w:t>
      </w:r>
      <w:r>
        <w:rPr/>
        <w:t>alteration</w:t>
      </w:r>
      <w:r>
        <w:rPr>
          <w:spacing w:val="15"/>
        </w:rPr>
        <w:t> </w:t>
      </w:r>
      <w:r>
        <w:rPr/>
        <w:t>is</w:t>
      </w:r>
      <w:r>
        <w:rPr>
          <w:spacing w:val="15"/>
        </w:rPr>
        <w:t> </w:t>
      </w:r>
      <w:r>
        <w:rPr/>
        <w:t>not</w:t>
      </w:r>
      <w:r>
        <w:rPr>
          <w:spacing w:val="15"/>
        </w:rPr>
        <w:t> </w:t>
      </w:r>
      <w:r>
        <w:rPr/>
        <w:t>material</w:t>
      </w:r>
      <w:r>
        <w:rPr>
          <w:spacing w:val="15"/>
        </w:rPr>
        <w:t> </w:t>
      </w:r>
      <w:r>
        <w:rPr/>
        <w:t>it</w:t>
      </w:r>
      <w:r>
        <w:rPr>
          <w:spacing w:val="15"/>
        </w:rPr>
        <w:t> </w:t>
      </w:r>
      <w:r>
        <w:rPr/>
        <w:t>does</w:t>
      </w:r>
      <w:r>
        <w:rPr>
          <w:spacing w:val="15"/>
        </w:rPr>
        <w:t> </w:t>
      </w:r>
      <w:r>
        <w:rPr/>
        <w:t>not</w:t>
      </w:r>
      <w:r>
        <w:rPr>
          <w:spacing w:val="15"/>
        </w:rPr>
        <w:t> </w:t>
      </w:r>
      <w:r>
        <w:rPr/>
        <w:t>become</w:t>
      </w:r>
      <w:r>
        <w:rPr>
          <w:spacing w:val="15"/>
        </w:rPr>
        <w:t> </w:t>
      </w:r>
      <w:r>
        <w:rPr>
          <w:spacing w:val="-2"/>
        </w:rPr>
        <w:t>void.</w:t>
      </w:r>
    </w:p>
    <w:p>
      <w:pPr>
        <w:pStyle w:val="BodyText"/>
        <w:spacing w:line="223" w:lineRule="exact"/>
        <w:ind w:left="165"/>
      </w:pPr>
      <w:r>
        <w:rPr>
          <w:color w:val="005DA1"/>
          <w:u w:val="single" w:color="005DA1"/>
          <w:vertAlign w:val="superscript"/>
        </w:rPr>
        <w:t>983</w:t>
      </w:r>
      <w:r>
        <w:rPr>
          <w:color w:val="005DA1"/>
          <w:spacing w:val="1"/>
          <w:vertAlign w:val="baseline"/>
        </w:rPr>
        <w:t> </w:t>
      </w:r>
      <w:r>
        <w:rPr>
          <w:vertAlign w:val="baseline"/>
        </w:rPr>
        <w:t>This</w:t>
      </w:r>
      <w:r>
        <w:rPr>
          <w:spacing w:val="2"/>
          <w:vertAlign w:val="baseline"/>
        </w:rPr>
        <w:t> </w:t>
      </w:r>
      <w:r>
        <w:rPr>
          <w:vertAlign w:val="baseline"/>
        </w:rPr>
        <w:t>rule</w:t>
      </w:r>
      <w:r>
        <w:rPr>
          <w:spacing w:val="2"/>
          <w:vertAlign w:val="baseline"/>
        </w:rPr>
        <w:t> </w:t>
      </w:r>
      <w:r>
        <w:rPr>
          <w:vertAlign w:val="baseline"/>
        </w:rPr>
        <w:t>applicable</w:t>
      </w:r>
      <w:r>
        <w:rPr>
          <w:spacing w:val="2"/>
          <w:vertAlign w:val="baseline"/>
        </w:rPr>
        <w:t> </w:t>
      </w:r>
      <w:r>
        <w:rPr>
          <w:vertAlign w:val="baseline"/>
        </w:rPr>
        <w:t>to</w:t>
      </w:r>
      <w:r>
        <w:rPr>
          <w:spacing w:val="2"/>
          <w:vertAlign w:val="baseline"/>
        </w:rPr>
        <w:t> </w:t>
      </w:r>
      <w:r>
        <w:rPr>
          <w:vertAlign w:val="baseline"/>
        </w:rPr>
        <w:t>deeds</w:t>
      </w:r>
      <w:r>
        <w:rPr>
          <w:spacing w:val="2"/>
          <w:vertAlign w:val="baseline"/>
        </w:rPr>
        <w:t> </w:t>
      </w:r>
      <w:r>
        <w:rPr>
          <w:vertAlign w:val="baseline"/>
        </w:rPr>
        <w:t>was</w:t>
      </w:r>
      <w:r>
        <w:rPr>
          <w:spacing w:val="2"/>
          <w:vertAlign w:val="baseline"/>
        </w:rPr>
        <w:t> </w:t>
      </w:r>
      <w:r>
        <w:rPr>
          <w:vertAlign w:val="baseline"/>
        </w:rPr>
        <w:t>extended</w:t>
      </w:r>
      <w:r>
        <w:rPr>
          <w:spacing w:val="2"/>
          <w:vertAlign w:val="baseline"/>
        </w:rPr>
        <w:t> </w:t>
      </w:r>
      <w:r>
        <w:rPr>
          <w:vertAlign w:val="baseline"/>
        </w:rPr>
        <w:t>in</w:t>
      </w:r>
      <w:r>
        <w:rPr>
          <w:spacing w:val="2"/>
          <w:vertAlign w:val="baseline"/>
        </w:rPr>
        <w:t> </w:t>
      </w:r>
      <w:r>
        <w:rPr>
          <w:vertAlign w:val="baseline"/>
        </w:rPr>
        <w:t>1791</w:t>
      </w:r>
      <w:r>
        <w:rPr>
          <w:spacing w:val="2"/>
          <w:vertAlign w:val="baseline"/>
        </w:rPr>
        <w:t> </w:t>
      </w:r>
      <w:r>
        <w:rPr>
          <w:vertAlign w:val="baseline"/>
        </w:rPr>
        <w:t>to</w:t>
      </w:r>
      <w:r>
        <w:rPr>
          <w:spacing w:val="2"/>
          <w:vertAlign w:val="baseline"/>
        </w:rPr>
        <w:t> </w:t>
      </w:r>
      <w:r>
        <w:rPr>
          <w:vertAlign w:val="baseline"/>
        </w:rPr>
        <w:t>contracts</w:t>
      </w:r>
      <w:r>
        <w:rPr>
          <w:spacing w:val="1"/>
          <w:vertAlign w:val="baseline"/>
        </w:rPr>
        <w:t> </w:t>
      </w:r>
      <w:r>
        <w:rPr>
          <w:vertAlign w:val="baseline"/>
        </w:rPr>
        <w:t>in</w:t>
      </w:r>
      <w:r>
        <w:rPr>
          <w:spacing w:val="2"/>
          <w:vertAlign w:val="baseline"/>
        </w:rPr>
        <w:t> </w:t>
      </w:r>
      <w:r>
        <w:rPr>
          <w:vertAlign w:val="baseline"/>
        </w:rPr>
        <w:t>written</w:t>
      </w:r>
      <w:r>
        <w:rPr>
          <w:spacing w:val="2"/>
          <w:vertAlign w:val="baseline"/>
        </w:rPr>
        <w:t> </w:t>
      </w:r>
      <w:r>
        <w:rPr>
          <w:vertAlign w:val="baseline"/>
        </w:rPr>
        <w:t>instruments</w:t>
      </w:r>
      <w:r>
        <w:rPr>
          <w:spacing w:val="2"/>
          <w:vertAlign w:val="baseline"/>
        </w:rPr>
        <w:t> </w:t>
      </w:r>
      <w:r>
        <w:rPr>
          <w:vertAlign w:val="baseline"/>
        </w:rPr>
        <w:t>generally</w:t>
      </w:r>
      <w:r>
        <w:rPr>
          <w:spacing w:val="1"/>
          <w:vertAlign w:val="baseline"/>
        </w:rPr>
        <w:t> </w:t>
      </w:r>
      <w:r>
        <w:rPr>
          <w:color w:val="005DA1"/>
          <w:spacing w:val="-5"/>
          <w:u w:val="single" w:color="005DA1"/>
          <w:vertAlign w:val="superscript"/>
        </w:rPr>
        <w:t>984</w:t>
      </w:r>
    </w:p>
    <w:p>
      <w:pPr>
        <w:pStyle w:val="BodyText"/>
        <w:spacing w:line="227" w:lineRule="exact"/>
        <w:ind w:left="165"/>
      </w:pPr>
      <w:r>
        <w:rPr/>
        <w:t>and is discussed further in Ch.25.</w:t>
      </w:r>
      <w:r>
        <w:rPr>
          <w:spacing w:val="-1"/>
        </w:rPr>
        <w:t> </w:t>
      </w:r>
      <w:r>
        <w:rPr>
          <w:color w:val="005DA1"/>
          <w:spacing w:val="-5"/>
          <w:u w:val="single" w:color="005DA1"/>
          <w:vertAlign w:val="superscript"/>
        </w:rPr>
        <w:t>985</w:t>
      </w:r>
    </w:p>
    <w:p>
      <w:pPr>
        <w:pStyle w:val="BodyText"/>
      </w:pPr>
    </w:p>
    <w:p>
      <w:pPr>
        <w:pStyle w:val="BodyText"/>
        <w:spacing w:before="38"/>
      </w:pPr>
    </w:p>
    <w:p>
      <w:pPr>
        <w:spacing w:before="0"/>
        <w:ind w:left="165" w:right="0" w:firstLine="0"/>
        <w:jc w:val="left"/>
        <w:rPr>
          <w:rFonts w:ascii="Arial"/>
          <w:b/>
          <w:sz w:val="18"/>
        </w:rPr>
      </w:pPr>
      <w:r>
        <w:rPr>
          <w:rFonts w:ascii="Arial"/>
          <w:b/>
          <w:sz w:val="18"/>
        </w:rPr>
        <w:t>Variation or </w:t>
      </w:r>
      <w:r>
        <w:rPr>
          <w:rFonts w:ascii="Arial"/>
          <w:b/>
          <w:spacing w:val="-2"/>
          <w:sz w:val="18"/>
        </w:rPr>
        <w:t>discharge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143</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At common law, an attribute of a contract contained in a deed was that it could only be varied or discharged by another contract contained in a deed, and not by a contract under hand or by word of mouth</w:t>
      </w:r>
      <w:r>
        <w:rPr>
          <w:spacing w:val="29"/>
        </w:rPr>
        <w:t> </w:t>
      </w:r>
      <w:r>
        <w:rPr>
          <w:color w:val="005DA1"/>
          <w:u w:val="single" w:color="005DA1"/>
          <w:vertAlign w:val="superscript"/>
        </w:rPr>
        <w:t>986</w:t>
      </w:r>
      <w:r>
        <w:rPr>
          <w:vertAlign w:val="baseline"/>
        </w:rPr>
        <w:t>;</w:t>
      </w:r>
      <w:r>
        <w:rPr>
          <w:spacing w:val="29"/>
          <w:vertAlign w:val="baseline"/>
        </w:rPr>
        <w:t> </w:t>
      </w:r>
      <w:r>
        <w:rPr>
          <w:vertAlign w:val="baseline"/>
        </w:rPr>
        <w:t>but</w:t>
      </w:r>
      <w:r>
        <w:rPr>
          <w:spacing w:val="29"/>
          <w:vertAlign w:val="baseline"/>
        </w:rPr>
        <w:t> </w:t>
      </w:r>
      <w:r>
        <w:rPr>
          <w:vertAlign w:val="baseline"/>
        </w:rPr>
        <w:t>in</w:t>
      </w:r>
      <w:r>
        <w:rPr>
          <w:spacing w:val="29"/>
          <w:vertAlign w:val="baseline"/>
        </w:rPr>
        <w:t> </w:t>
      </w:r>
      <w:r>
        <w:rPr>
          <w:vertAlign w:val="baseline"/>
        </w:rPr>
        <w:t>equity</w:t>
      </w:r>
      <w:r>
        <w:rPr>
          <w:spacing w:val="29"/>
          <w:vertAlign w:val="baseline"/>
        </w:rPr>
        <w:t> </w:t>
      </w:r>
      <w:r>
        <w:rPr>
          <w:vertAlign w:val="baseline"/>
        </w:rPr>
        <w:t>such</w:t>
      </w:r>
      <w:r>
        <w:rPr>
          <w:spacing w:val="29"/>
          <w:vertAlign w:val="baseline"/>
        </w:rPr>
        <w:t> </w:t>
      </w:r>
      <w:r>
        <w:rPr>
          <w:vertAlign w:val="baseline"/>
        </w:rPr>
        <w:t>contracts</w:t>
      </w:r>
      <w:r>
        <w:rPr>
          <w:spacing w:val="29"/>
          <w:vertAlign w:val="baseline"/>
        </w:rPr>
        <w:t> </w:t>
      </w:r>
      <w:r>
        <w:rPr>
          <w:vertAlign w:val="baseline"/>
        </w:rPr>
        <w:t>could</w:t>
      </w:r>
      <w:r>
        <w:rPr>
          <w:spacing w:val="29"/>
          <w:vertAlign w:val="baseline"/>
        </w:rPr>
        <w:t> </w:t>
      </w:r>
      <w:r>
        <w:rPr>
          <w:vertAlign w:val="baseline"/>
        </w:rPr>
        <w:t>be</w:t>
      </w:r>
      <w:r>
        <w:rPr>
          <w:spacing w:val="29"/>
          <w:vertAlign w:val="baseline"/>
        </w:rPr>
        <w:t> </w:t>
      </w:r>
      <w:r>
        <w:rPr>
          <w:vertAlign w:val="baseline"/>
        </w:rPr>
        <w:t>varied</w:t>
      </w:r>
      <w:r>
        <w:rPr>
          <w:spacing w:val="29"/>
          <w:vertAlign w:val="baseline"/>
        </w:rPr>
        <w:t> </w:t>
      </w:r>
      <w:r>
        <w:rPr>
          <w:vertAlign w:val="baseline"/>
        </w:rPr>
        <w:t>or</w:t>
      </w:r>
      <w:r>
        <w:rPr>
          <w:spacing w:val="29"/>
          <w:vertAlign w:val="baseline"/>
        </w:rPr>
        <w:t> </w:t>
      </w:r>
      <w:r>
        <w:rPr>
          <w:vertAlign w:val="baseline"/>
        </w:rPr>
        <w:t>discharged</w:t>
      </w:r>
      <w:r>
        <w:rPr>
          <w:spacing w:val="29"/>
          <w:vertAlign w:val="baseline"/>
        </w:rPr>
        <w:t> </w:t>
      </w:r>
      <w:r>
        <w:rPr>
          <w:vertAlign w:val="baseline"/>
        </w:rPr>
        <w:t>by</w:t>
      </w:r>
      <w:r>
        <w:rPr>
          <w:spacing w:val="29"/>
          <w:vertAlign w:val="baseline"/>
        </w:rPr>
        <w:t> </w:t>
      </w:r>
      <w:r>
        <w:rPr>
          <w:vertAlign w:val="baseline"/>
        </w:rPr>
        <w:t>parol,</w:t>
      </w:r>
      <w:r>
        <w:rPr>
          <w:spacing w:val="28"/>
          <w:vertAlign w:val="baseline"/>
        </w:rPr>
        <w:t> </w:t>
      </w:r>
      <w:r>
        <w:rPr>
          <w:color w:val="005DA1"/>
          <w:u w:val="single" w:color="005DA1"/>
          <w:vertAlign w:val="superscript"/>
        </w:rPr>
        <w:t>987</w:t>
      </w:r>
      <w:r>
        <w:rPr>
          <w:color w:val="005DA1"/>
          <w:spacing w:val="29"/>
          <w:vertAlign w:val="baseline"/>
        </w:rPr>
        <w:t> </w:t>
      </w:r>
      <w:r>
        <w:rPr>
          <w:vertAlign w:val="baseline"/>
        </w:rPr>
        <w:t>and</w:t>
      </w:r>
      <w:r>
        <w:rPr>
          <w:spacing w:val="29"/>
          <w:vertAlign w:val="baseline"/>
        </w:rPr>
        <w:t> </w:t>
      </w:r>
      <w:r>
        <w:rPr>
          <w:vertAlign w:val="baseline"/>
        </w:rPr>
        <w:t>the</w:t>
      </w:r>
      <w:r>
        <w:rPr>
          <w:spacing w:val="29"/>
          <w:vertAlign w:val="baseline"/>
        </w:rPr>
        <w:t> </w:t>
      </w:r>
      <w:r>
        <w:rPr>
          <w:vertAlign w:val="baseline"/>
        </w:rPr>
        <w:t>rule</w:t>
      </w:r>
      <w:r>
        <w:rPr>
          <w:spacing w:val="29"/>
          <w:vertAlign w:val="baseline"/>
        </w:rPr>
        <w:t> </w:t>
      </w:r>
      <w:r>
        <w:rPr>
          <w:spacing w:val="-5"/>
          <w:vertAlign w:val="baseline"/>
        </w:rPr>
        <w:t>of</w:t>
      </w:r>
    </w:p>
    <w:p>
      <w:pPr>
        <w:pStyle w:val="BodyText"/>
        <w:spacing w:before="115"/>
        <w:ind w:left="165"/>
        <w:jc w:val="both"/>
        <w:rPr>
          <w:position w:val="-2"/>
        </w:rPr>
      </w:pPr>
      <w:r>
        <w:rPr/>
        <w:t>equity now prevails. </w:t>
      </w:r>
      <w:r>
        <w:rPr>
          <w:color w:val="005DA1"/>
          <w:u w:val="single" w:color="005DA1"/>
          <w:vertAlign w:val="superscript"/>
        </w:rPr>
        <w:t>988</w:t>
      </w:r>
      <w:r>
        <w:rPr>
          <w:color w:val="005DA1"/>
          <w:spacing w:val="80"/>
          <w:w w:val="150"/>
          <w:vertAlign w:val="baseline"/>
        </w:rPr>
        <w:t> </w:t>
      </w:r>
      <w:r>
        <w:rPr>
          <w:color w:val="005DA1"/>
          <w:position w:val="-2"/>
          <w:vertAlign w:val="baseline"/>
        </w:rPr>
        <w:drawing>
          <wp:inline distT="0" distB="0" distL="0" distR="0">
            <wp:extent cx="107988" cy="107988"/>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Period of </w:t>
      </w:r>
      <w:r>
        <w:rPr>
          <w:rFonts w:ascii="Arial"/>
          <w:b/>
          <w:spacing w:val="-2"/>
          <w:sz w:val="18"/>
        </w:rPr>
        <w:t>limitation</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144</w:t>
      </w:r>
    </w:p>
    <w:p>
      <w:pPr>
        <w:pStyle w:val="BodyText"/>
        <w:spacing w:line="235" w:lineRule="auto" w:before="202"/>
        <w:ind w:left="165" w:right="200"/>
      </w:pPr>
      <w:r>
        <w:rPr/>
        <w:t>The period of limitation for an action for a breach of contract is 12 years if the contract is contained in a deed, whereas it is only six years in the case of a simple contract. </w:t>
      </w:r>
      <w:r>
        <w:rPr>
          <w:color w:val="005DA1"/>
          <w:u w:val="single" w:color="005DA1"/>
          <w:vertAlign w:val="superscript"/>
        </w:rPr>
        <w:t>989</w:t>
      </w:r>
    </w:p>
    <w:p>
      <w:pPr>
        <w:pStyle w:val="BodyText"/>
      </w:pPr>
    </w:p>
    <w:p>
      <w:pPr>
        <w:pStyle w:val="BodyText"/>
        <w:spacing w:before="39"/>
      </w:pPr>
      <w:r>
        <w:rPr/>
        <mc:AlternateContent>
          <mc:Choice Requires="wps">
            <w:drawing>
              <wp:anchor distT="0" distB="0" distL="0" distR="0" allowOverlap="1" layoutInCell="1" locked="0" behindDoc="1" simplePos="0" relativeHeight="487687168">
                <wp:simplePos x="0" y="0"/>
                <wp:positionH relativeFrom="page">
                  <wp:posOffset>914400</wp:posOffset>
                </wp:positionH>
                <wp:positionV relativeFrom="paragraph">
                  <wp:posOffset>186401</wp:posOffset>
                </wp:positionV>
                <wp:extent cx="5724525" cy="1270"/>
                <wp:effectExtent l="0" t="0" r="0" b="0"/>
                <wp:wrapTopAndBottom/>
                <wp:docPr id="426" name="Graphic 426"/>
                <wp:cNvGraphicFramePr>
                  <a:graphicFrameLocks/>
                </wp:cNvGraphicFramePr>
                <a:graphic>
                  <a:graphicData uri="http://schemas.microsoft.com/office/word/2010/wordprocessingShape">
                    <wps:wsp>
                      <wps:cNvPr id="426" name="Graphic 42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7246pt;width:450.75pt;height:.1pt;mso-position-horizontal-relative:page;mso-position-vertical-relative:paragraph;z-index:-15629312;mso-wrap-distance-left:0;mso-wrap-distance-right:0" id="docshape67" coordorigin="1440,294" coordsize="9015,0" path="m1440,294l10454,294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1810" w:id="1812"/>
      <w:bookmarkEnd w:id="1812"/>
      <w:r>
        <w:rPr/>
      </w:r>
      <w:hyperlink w:history="true" w:anchor="_bookmark1792">
        <w:r>
          <w:rPr>
            <w:color w:val="005DA1"/>
            <w:position w:val="5"/>
            <w:sz w:val="14"/>
            <w:u w:val="single" w:color="005DA1"/>
          </w:rPr>
          <w:t>951</w:t>
        </w:r>
      </w:hyperlink>
      <w:r>
        <w:rPr>
          <w:position w:val="5"/>
          <w:sz w:val="14"/>
        </w:rPr>
        <w:t>.</w:t>
      </w:r>
      <w:r>
        <w:rPr>
          <w:spacing w:val="40"/>
          <w:position w:val="5"/>
          <w:sz w:val="14"/>
        </w:rPr>
        <w:t>  </w:t>
      </w:r>
      <w:r>
        <w:rPr>
          <w:rFonts w:ascii="Arial" w:hAnsi="Arial"/>
          <w:i/>
          <w:sz w:val="20"/>
        </w:rPr>
        <w:t>Scudamore v Vandenstene (1587) 2 Co.Inst. 673</w:t>
      </w:r>
      <w:r>
        <w:rPr>
          <w:sz w:val="20"/>
        </w:rPr>
        <w:t>; </w:t>
      </w:r>
      <w:r>
        <w:rPr>
          <w:rFonts w:ascii="Arial" w:hAnsi="Arial"/>
          <w:i/>
          <w:sz w:val="20"/>
        </w:rPr>
        <w:t>Berkeley v Hardy (1826) 5 B. &amp; C. 355</w:t>
      </w:r>
      <w:r>
        <w:rPr>
          <w:sz w:val="20"/>
        </w:rPr>
        <w:t>;</w:t>
      </w:r>
      <w:r>
        <w:rPr>
          <w:spacing w:val="40"/>
          <w:sz w:val="20"/>
        </w:rPr>
        <w:t> </w:t>
      </w:r>
      <w:r>
        <w:rPr>
          <w:rFonts w:ascii="Arial" w:hAnsi="Arial"/>
          <w:i/>
          <w:sz w:val="20"/>
        </w:rPr>
        <w:t>Forster v Elvet Colliery Co Ltd [1908] 1 K.B. 629, 639</w:t>
      </w:r>
      <w:r>
        <w:rPr>
          <w:sz w:val="20"/>
        </w:rPr>
        <w:t>, affirmed sub nom. </w:t>
      </w:r>
      <w:r>
        <w:rPr>
          <w:rFonts w:ascii="Arial" w:hAnsi="Arial"/>
          <w:i/>
          <w:sz w:val="20"/>
        </w:rPr>
        <w:t>Dyson v Forster</w:t>
      </w:r>
      <w:r>
        <w:rPr>
          <w:rFonts w:ascii="Arial" w:hAnsi="Arial"/>
          <w:i/>
          <w:spacing w:val="40"/>
          <w:sz w:val="20"/>
        </w:rPr>
        <w:t> </w:t>
      </w:r>
      <w:r>
        <w:rPr>
          <w:rFonts w:ascii="Arial" w:hAnsi="Arial"/>
          <w:i/>
          <w:sz w:val="20"/>
        </w:rPr>
        <w:t>[1909] A.C. 98</w:t>
      </w:r>
      <w:r>
        <w:rPr>
          <w:sz w:val="20"/>
        </w:rPr>
        <w:t>. (An “indenture” is a deed executed by more than one party, whereas a “deed poll” is one executed by only one party.) cf. </w:t>
      </w:r>
      <w:r>
        <w:rPr>
          <w:rFonts w:ascii="Arial" w:hAnsi="Arial"/>
          <w:i/>
          <w:sz w:val="20"/>
        </w:rPr>
        <w:t>Moody v Condor Insurance Ltd [2006] EWHC 100, [2006] 1 W.L.R. 1847</w:t>
      </w:r>
      <w:r>
        <w:rPr>
          <w:sz w:val="20"/>
        </w:rPr>
        <w:t>, where it was held that the mere fact that a deed was executed by a guarantor and a principal debtor and expressed as being made “between” them did </w:t>
      </w:r>
      <w:r>
        <w:rPr>
          <w:sz w:val="20"/>
        </w:rPr>
        <w:t>not conclude the issue whether the document was a deed poll or a deed inter partes, as it was “necessary to examine what the parties … set out to do by it”: at [18], per Park J.</w:t>
      </w:r>
    </w:p>
    <w:p>
      <w:pPr>
        <w:spacing w:after="0" w:line="235" w:lineRule="auto"/>
        <w:jc w:val="both"/>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793">
        <w:r>
          <w:rPr>
            <w:color w:val="005DA1"/>
            <w:spacing w:val="-4"/>
            <w:position w:val="5"/>
            <w:sz w:val="14"/>
            <w:u w:val="single" w:color="005DA1"/>
          </w:rPr>
          <w:t>952</w:t>
        </w:r>
      </w:hyperlink>
      <w:r>
        <w:rPr>
          <w:spacing w:val="-4"/>
          <w:position w:val="5"/>
          <w:sz w:val="14"/>
        </w:rPr>
        <w:t>.</w:t>
      </w:r>
      <w:r>
        <w:rPr>
          <w:position w:val="5"/>
          <w:sz w:val="14"/>
        </w:rPr>
        <w:tab/>
      </w:r>
      <w:r>
        <w:rPr>
          <w:rFonts w:ascii="Arial"/>
          <w:i/>
          <w:sz w:val="20"/>
        </w:rPr>
        <w:t>Kelsey</w:t>
      </w:r>
      <w:r>
        <w:rPr>
          <w:rFonts w:ascii="Arial"/>
          <w:i/>
          <w:spacing w:val="-1"/>
          <w:sz w:val="20"/>
        </w:rPr>
        <w:t> </w:t>
      </w:r>
      <w:r>
        <w:rPr>
          <w:rFonts w:ascii="Arial"/>
          <w:i/>
          <w:sz w:val="20"/>
        </w:rPr>
        <w:t>v Dodd (1881) 52 L.J.Ch. 34, 39</w:t>
      </w:r>
      <w:r>
        <w:rPr>
          <w:sz w:val="20"/>
        </w:rPr>
        <w:t>; </w:t>
      </w:r>
      <w:r>
        <w:rPr>
          <w:rFonts w:ascii="Arial"/>
          <w:i/>
          <w:sz w:val="20"/>
        </w:rPr>
        <w:t>Forster v Elvet Colliery Co Ltd [1908] 1 K.B. </w:t>
      </w:r>
      <w:r>
        <w:rPr>
          <w:rFonts w:ascii="Arial"/>
          <w:i/>
          <w:spacing w:val="-4"/>
          <w:sz w:val="20"/>
        </w:rPr>
        <w:t>629</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1811" w:id="1813"/>
      <w:bookmarkEnd w:id="1813"/>
      <w:r>
        <w:rPr/>
      </w:r>
      <w:hyperlink w:history="true" w:anchor="_bookmark1794">
        <w:r>
          <w:rPr>
            <w:color w:val="005DA1"/>
            <w:spacing w:val="-4"/>
            <w:position w:val="5"/>
            <w:sz w:val="14"/>
            <w:u w:val="single" w:color="005DA1"/>
          </w:rPr>
          <w:t>953</w:t>
        </w:r>
      </w:hyperlink>
      <w:r>
        <w:rPr>
          <w:spacing w:val="-4"/>
          <w:position w:val="5"/>
          <w:sz w:val="14"/>
        </w:rPr>
        <w:t>.</w:t>
      </w:r>
      <w:r>
        <w:rPr>
          <w:position w:val="5"/>
          <w:sz w:val="14"/>
        </w:rPr>
        <w:tab/>
      </w:r>
      <w:r>
        <w:rPr/>
        <w:t>“Property”</w:t>
      </w:r>
      <w:r>
        <w:rPr>
          <w:spacing w:val="40"/>
        </w:rPr>
        <w:t> </w:t>
      </w:r>
      <w:r>
        <w:rPr/>
        <w:t>is</w:t>
      </w:r>
      <w:r>
        <w:rPr>
          <w:spacing w:val="40"/>
        </w:rPr>
        <w:t> </w:t>
      </w:r>
      <w:r>
        <w:rPr/>
        <w:t>defined</w:t>
      </w:r>
      <w:r>
        <w:rPr>
          <w:spacing w:val="40"/>
        </w:rPr>
        <w:t> </w:t>
      </w:r>
      <w:r>
        <w:rPr/>
        <w:t>in</w:t>
      </w:r>
      <w:r>
        <w:rPr>
          <w:spacing w:val="40"/>
        </w:rPr>
        <w:t> </w:t>
      </w:r>
      <w:r>
        <w:rPr/>
        <w:t>s.205(1)(xx).</w:t>
      </w:r>
      <w:r>
        <w:rPr>
          <w:spacing w:val="40"/>
        </w:rPr>
        <w:t> </w:t>
      </w:r>
      <w:r>
        <w:rPr/>
        <w:t>See</w:t>
      </w:r>
      <w:r>
        <w:rPr>
          <w:spacing w:val="40"/>
        </w:rPr>
        <w:t> </w:t>
      </w:r>
      <w:r>
        <w:rPr/>
        <w:t>also</w:t>
      </w:r>
      <w:r>
        <w:rPr>
          <w:spacing w:val="40"/>
        </w:rPr>
        <w:t> </w:t>
      </w:r>
      <w:r>
        <w:rPr/>
        <w:t>Law</w:t>
      </w:r>
      <w:r>
        <w:rPr>
          <w:spacing w:val="40"/>
        </w:rPr>
        <w:t> </w:t>
      </w:r>
      <w:r>
        <w:rPr/>
        <w:t>of</w:t>
      </w:r>
      <w:r>
        <w:rPr>
          <w:spacing w:val="40"/>
        </w:rPr>
        <w:t> </w:t>
      </w:r>
      <w:r>
        <w:rPr/>
        <w:t>Property</w:t>
      </w:r>
      <w:r>
        <w:rPr>
          <w:spacing w:val="40"/>
        </w:rPr>
        <w:t> </w:t>
      </w:r>
      <w:r>
        <w:rPr/>
        <w:t>Act</w:t>
      </w:r>
      <w:r>
        <w:rPr>
          <w:spacing w:val="40"/>
        </w:rPr>
        <w:t> </w:t>
      </w:r>
      <w:r>
        <w:rPr/>
        <w:t>s.78,</w:t>
      </w:r>
      <w:r>
        <w:rPr>
          <w:spacing w:val="40"/>
        </w:rPr>
        <w:t> </w:t>
      </w:r>
      <w:r>
        <w:rPr/>
        <w:t>re-enacting</w:t>
      </w:r>
      <w:r>
        <w:rPr>
          <w:spacing w:val="40"/>
        </w:rPr>
        <w:t> </w:t>
      </w:r>
      <w:r>
        <w:rPr/>
        <w:t>with modifications Conveyancing Act 1881 s.58.</w:t>
      </w:r>
    </w:p>
    <w:p>
      <w:pPr>
        <w:pStyle w:val="BodyText"/>
        <w:spacing w:before="6"/>
      </w:pPr>
    </w:p>
    <w:p>
      <w:pPr>
        <w:tabs>
          <w:tab w:pos="705" w:val="left" w:leader="none"/>
        </w:tabs>
        <w:spacing w:line="227" w:lineRule="exact" w:before="0"/>
        <w:ind w:left="165" w:right="0" w:firstLine="0"/>
        <w:jc w:val="left"/>
        <w:rPr>
          <w:sz w:val="20"/>
        </w:rPr>
      </w:pPr>
      <w:bookmarkStart w:name="_bookmark1812" w:id="1814"/>
      <w:bookmarkEnd w:id="1814"/>
      <w:r>
        <w:rPr/>
      </w:r>
      <w:hyperlink w:history="true" w:anchor="_bookmark1795">
        <w:r>
          <w:rPr>
            <w:color w:val="005DA1"/>
            <w:spacing w:val="-4"/>
            <w:position w:val="5"/>
            <w:sz w:val="14"/>
            <w:u w:val="single" w:color="005DA1"/>
          </w:rPr>
          <w:t>954</w:t>
        </w:r>
      </w:hyperlink>
      <w:r>
        <w:rPr>
          <w:spacing w:val="-4"/>
          <w:position w:val="5"/>
          <w:sz w:val="14"/>
        </w:rPr>
        <w:t>.</w:t>
      </w:r>
      <w:r>
        <w:rPr>
          <w:position w:val="5"/>
          <w:sz w:val="14"/>
        </w:rPr>
        <w:tab/>
      </w:r>
      <w:r>
        <w:rPr>
          <w:rFonts w:ascii="Arial"/>
          <w:i/>
          <w:sz w:val="20"/>
        </w:rPr>
        <w:t>Beswick</w:t>
      </w:r>
      <w:r>
        <w:rPr>
          <w:rFonts w:ascii="Arial"/>
          <w:i/>
          <w:spacing w:val="20"/>
          <w:sz w:val="20"/>
        </w:rPr>
        <w:t> </w:t>
      </w:r>
      <w:r>
        <w:rPr>
          <w:rFonts w:ascii="Arial"/>
          <w:i/>
          <w:sz w:val="20"/>
        </w:rPr>
        <w:t>v</w:t>
      </w:r>
      <w:r>
        <w:rPr>
          <w:rFonts w:ascii="Arial"/>
          <w:i/>
          <w:spacing w:val="23"/>
          <w:sz w:val="20"/>
        </w:rPr>
        <w:t> </w:t>
      </w:r>
      <w:r>
        <w:rPr>
          <w:rFonts w:ascii="Arial"/>
          <w:i/>
          <w:sz w:val="20"/>
        </w:rPr>
        <w:t>Beswick</w:t>
      </w:r>
      <w:r>
        <w:rPr>
          <w:rFonts w:ascii="Arial"/>
          <w:i/>
          <w:spacing w:val="23"/>
          <w:sz w:val="20"/>
        </w:rPr>
        <w:t> </w:t>
      </w:r>
      <w:r>
        <w:rPr>
          <w:rFonts w:ascii="Arial"/>
          <w:i/>
          <w:sz w:val="20"/>
        </w:rPr>
        <w:t>[1968]</w:t>
      </w:r>
      <w:r>
        <w:rPr>
          <w:rFonts w:ascii="Arial"/>
          <w:i/>
          <w:spacing w:val="23"/>
          <w:sz w:val="20"/>
        </w:rPr>
        <w:t> </w:t>
      </w:r>
      <w:r>
        <w:rPr>
          <w:rFonts w:ascii="Arial"/>
          <w:i/>
          <w:sz w:val="20"/>
        </w:rPr>
        <w:t>A.C.</w:t>
      </w:r>
      <w:r>
        <w:rPr>
          <w:rFonts w:ascii="Arial"/>
          <w:i/>
          <w:spacing w:val="23"/>
          <w:sz w:val="20"/>
        </w:rPr>
        <w:t> </w:t>
      </w:r>
      <w:r>
        <w:rPr>
          <w:rFonts w:ascii="Arial"/>
          <w:i/>
          <w:sz w:val="20"/>
        </w:rPr>
        <w:t>58</w:t>
      </w:r>
      <w:r>
        <w:rPr>
          <w:sz w:val="20"/>
        </w:rPr>
        <w:t>;</w:t>
      </w:r>
      <w:r>
        <w:rPr>
          <w:spacing w:val="23"/>
          <w:sz w:val="20"/>
        </w:rPr>
        <w:t> </w:t>
      </w:r>
      <w:r>
        <w:rPr>
          <w:sz w:val="20"/>
        </w:rPr>
        <w:t>Elliott</w:t>
      </w:r>
      <w:r>
        <w:rPr>
          <w:spacing w:val="23"/>
          <w:sz w:val="20"/>
        </w:rPr>
        <w:t> </w:t>
      </w:r>
      <w:r>
        <w:rPr>
          <w:sz w:val="20"/>
        </w:rPr>
        <w:t>(1956)</w:t>
      </w:r>
      <w:r>
        <w:rPr>
          <w:spacing w:val="23"/>
          <w:sz w:val="20"/>
        </w:rPr>
        <w:t> </w:t>
      </w:r>
      <w:r>
        <w:rPr>
          <w:sz w:val="20"/>
        </w:rPr>
        <w:t>20</w:t>
      </w:r>
      <w:r>
        <w:rPr>
          <w:spacing w:val="23"/>
          <w:sz w:val="20"/>
        </w:rPr>
        <w:t> </w:t>
      </w:r>
      <w:r>
        <w:rPr>
          <w:sz w:val="20"/>
        </w:rPr>
        <w:t>Conv.(N.S.)</w:t>
      </w:r>
      <w:r>
        <w:rPr>
          <w:spacing w:val="23"/>
          <w:sz w:val="20"/>
        </w:rPr>
        <w:t> </w:t>
      </w:r>
      <w:r>
        <w:rPr>
          <w:sz w:val="20"/>
        </w:rPr>
        <w:t>43,</w:t>
      </w:r>
      <w:r>
        <w:rPr>
          <w:spacing w:val="23"/>
          <w:sz w:val="20"/>
        </w:rPr>
        <w:t> </w:t>
      </w:r>
      <w:r>
        <w:rPr>
          <w:sz w:val="20"/>
        </w:rPr>
        <w:t>114;</w:t>
      </w:r>
      <w:r>
        <w:rPr>
          <w:spacing w:val="23"/>
          <w:sz w:val="20"/>
        </w:rPr>
        <w:t> </w:t>
      </w:r>
      <w:r>
        <w:rPr>
          <w:sz w:val="20"/>
        </w:rPr>
        <w:t>Andrews</w:t>
      </w:r>
      <w:r>
        <w:rPr>
          <w:spacing w:val="23"/>
          <w:sz w:val="20"/>
        </w:rPr>
        <w:t> </w:t>
      </w:r>
      <w:r>
        <w:rPr>
          <w:sz w:val="20"/>
        </w:rPr>
        <w:t>(1959)</w:t>
      </w:r>
      <w:r>
        <w:rPr>
          <w:spacing w:val="23"/>
          <w:sz w:val="20"/>
        </w:rPr>
        <w:t> </w:t>
      </w:r>
      <w:r>
        <w:rPr>
          <w:spacing w:val="-5"/>
          <w:sz w:val="20"/>
        </w:rPr>
        <w:t>23</w:t>
      </w:r>
    </w:p>
    <w:p>
      <w:pPr>
        <w:pStyle w:val="BodyText"/>
        <w:spacing w:line="227" w:lineRule="exact"/>
        <w:ind w:left="705"/>
      </w:pPr>
      <w:r>
        <w:rPr/>
        <w:t>Conv.(N.S.) 179; Ellinger (1963) 26 M.L.R. 396; below, para.18-</w:t>
      </w:r>
      <w:r>
        <w:rPr>
          <w:spacing w:val="-4"/>
        </w:rPr>
        <w:t>022.</w:t>
      </w:r>
    </w:p>
    <w:p>
      <w:pPr>
        <w:pStyle w:val="BodyText"/>
        <w:spacing w:before="5"/>
      </w:pPr>
    </w:p>
    <w:p>
      <w:pPr>
        <w:tabs>
          <w:tab w:pos="705" w:val="left" w:leader="none"/>
        </w:tabs>
        <w:spacing w:before="0"/>
        <w:ind w:left="165" w:right="0" w:firstLine="0"/>
        <w:jc w:val="left"/>
        <w:rPr>
          <w:sz w:val="20"/>
        </w:rPr>
      </w:pPr>
      <w:bookmarkStart w:name="_bookmark1813" w:id="1815"/>
      <w:bookmarkEnd w:id="1815"/>
      <w:r>
        <w:rPr/>
      </w:r>
      <w:hyperlink w:history="true" w:anchor="_bookmark1796">
        <w:r>
          <w:rPr>
            <w:color w:val="005DA1"/>
            <w:spacing w:val="-4"/>
            <w:position w:val="5"/>
            <w:sz w:val="14"/>
            <w:u w:val="single" w:color="005DA1"/>
          </w:rPr>
          <w:t>955</w:t>
        </w:r>
      </w:hyperlink>
      <w:r>
        <w:rPr>
          <w:spacing w:val="-4"/>
          <w:position w:val="5"/>
          <w:sz w:val="14"/>
        </w:rPr>
        <w:t>.</w:t>
      </w:r>
      <w:r>
        <w:rPr>
          <w:position w:val="5"/>
          <w:sz w:val="14"/>
        </w:rPr>
        <w:tab/>
      </w:r>
      <w:r>
        <w:rPr>
          <w:rFonts w:ascii="Arial"/>
          <w:i/>
          <w:sz w:val="20"/>
        </w:rPr>
        <w:t>Beswick v Beswick [1968] A.C. </w:t>
      </w:r>
      <w:r>
        <w:rPr>
          <w:rFonts w:ascii="Arial"/>
          <w:i/>
          <w:spacing w:val="-5"/>
          <w:sz w:val="20"/>
        </w:rPr>
        <w:t>58</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814" w:id="1816"/>
      <w:bookmarkEnd w:id="1816"/>
      <w:r>
        <w:rPr/>
      </w:r>
      <w:hyperlink w:history="true" w:anchor="_bookmark1797">
        <w:r>
          <w:rPr>
            <w:color w:val="005DA1"/>
            <w:spacing w:val="-4"/>
            <w:position w:val="5"/>
            <w:sz w:val="14"/>
            <w:u w:val="single" w:color="005DA1"/>
          </w:rPr>
          <w:t>956</w:t>
        </w:r>
      </w:hyperlink>
      <w:r>
        <w:rPr>
          <w:spacing w:val="-4"/>
          <w:position w:val="5"/>
          <w:sz w:val="14"/>
        </w:rPr>
        <w:t>.</w:t>
      </w:r>
      <w:r>
        <w:rPr>
          <w:position w:val="5"/>
          <w:sz w:val="14"/>
        </w:rPr>
        <w:tab/>
      </w:r>
      <w:r>
        <w:rPr>
          <w:rFonts w:ascii="Arial"/>
          <w:i/>
          <w:sz w:val="20"/>
        </w:rPr>
        <w:t>[1968] A.C. 58, 77, 81, </w:t>
      </w:r>
      <w:r>
        <w:rPr>
          <w:rFonts w:ascii="Arial"/>
          <w:i/>
          <w:spacing w:val="-5"/>
          <w:sz w:val="20"/>
        </w:rPr>
        <w:t>87</w:t>
      </w:r>
      <w:r>
        <w:rPr>
          <w:spacing w:val="-5"/>
          <w:sz w:val="20"/>
        </w:rPr>
        <w:t>.</w:t>
      </w:r>
    </w:p>
    <w:p>
      <w:pPr>
        <w:pStyle w:val="BodyText"/>
        <w:spacing w:before="8"/>
      </w:pPr>
    </w:p>
    <w:p>
      <w:pPr>
        <w:pStyle w:val="BodyText"/>
        <w:spacing w:line="235" w:lineRule="auto" w:before="1"/>
        <w:ind w:left="705" w:right="167" w:hanging="541"/>
        <w:jc w:val="both"/>
      </w:pPr>
      <w:bookmarkStart w:name="_bookmark1815" w:id="1817"/>
      <w:bookmarkEnd w:id="1817"/>
      <w:r>
        <w:rPr/>
      </w:r>
      <w:hyperlink w:history="true" w:anchor="_bookmark1798">
        <w:r>
          <w:rPr>
            <w:color w:val="005DA1"/>
            <w:position w:val="5"/>
            <w:sz w:val="14"/>
            <w:u w:val="single" w:color="005DA1"/>
          </w:rPr>
          <w:t>957</w:t>
        </w:r>
      </w:hyperlink>
      <w:r>
        <w:rPr>
          <w:position w:val="5"/>
          <w:sz w:val="14"/>
        </w:rPr>
        <w:t>.</w:t>
      </w:r>
      <w:r>
        <w:rPr>
          <w:spacing w:val="80"/>
          <w:position w:val="5"/>
          <w:sz w:val="14"/>
        </w:rPr>
        <w:t>  </w:t>
      </w:r>
      <w:r>
        <w:rPr>
          <w:rFonts w:ascii="Arial" w:hAnsi="Arial"/>
          <w:i/>
        </w:rPr>
        <w:t>[1968] A.C. 58 </w:t>
      </w:r>
      <w:r>
        <w:rPr/>
        <w:t>at [105]–[107]. See also Lord Pearce at [94]. The reference to sealing must be read in the light of the effect of the Law of Property (Miscellaneous Provisions) Act 1989 </w:t>
      </w:r>
      <w:r>
        <w:rPr/>
        <w:t>s.1, above, para.1-113.</w:t>
      </w:r>
    </w:p>
    <w:p>
      <w:pPr>
        <w:pStyle w:val="BodyText"/>
        <w:spacing w:before="5"/>
      </w:pPr>
    </w:p>
    <w:p>
      <w:pPr>
        <w:pStyle w:val="BodyText"/>
        <w:tabs>
          <w:tab w:pos="705" w:val="left" w:leader="none"/>
        </w:tabs>
        <w:ind w:left="165"/>
      </w:pPr>
      <w:bookmarkStart w:name="_bookmark1816" w:id="1818"/>
      <w:bookmarkEnd w:id="1818"/>
      <w:r>
        <w:rPr/>
      </w:r>
      <w:hyperlink w:history="true" w:anchor="_bookmark1799">
        <w:r>
          <w:rPr>
            <w:color w:val="005DA1"/>
            <w:spacing w:val="-4"/>
            <w:position w:val="5"/>
            <w:sz w:val="14"/>
            <w:u w:val="single" w:color="005DA1"/>
          </w:rPr>
          <w:t>958</w:t>
        </w:r>
      </w:hyperlink>
      <w:r>
        <w:rPr>
          <w:spacing w:val="-4"/>
          <w:position w:val="5"/>
          <w:sz w:val="14"/>
        </w:rPr>
        <w:t>.</w:t>
      </w:r>
      <w:r>
        <w:rPr>
          <w:position w:val="5"/>
          <w:sz w:val="14"/>
        </w:rPr>
        <w:tab/>
      </w:r>
      <w:r>
        <w:rPr/>
        <w:t>Contract (Rights of Third Parties) Act 1999 s.1 and see generally, below, paras 18-090 et </w:t>
      </w:r>
      <w:r>
        <w:rPr>
          <w:spacing w:val="-4"/>
        </w:rPr>
        <w:t>seq.</w:t>
      </w:r>
    </w:p>
    <w:p>
      <w:pPr>
        <w:pStyle w:val="BodyText"/>
        <w:spacing w:before="5"/>
      </w:pPr>
    </w:p>
    <w:p>
      <w:pPr>
        <w:pStyle w:val="BodyText"/>
        <w:tabs>
          <w:tab w:pos="705" w:val="left" w:leader="none"/>
        </w:tabs>
        <w:ind w:left="165"/>
      </w:pPr>
      <w:bookmarkStart w:name="_bookmark1817" w:id="1819"/>
      <w:bookmarkEnd w:id="1819"/>
      <w:r>
        <w:rPr/>
      </w:r>
      <w:hyperlink w:history="true" w:anchor="_bookmark1800">
        <w:r>
          <w:rPr>
            <w:color w:val="005DA1"/>
            <w:spacing w:val="-4"/>
            <w:position w:val="5"/>
            <w:sz w:val="14"/>
            <w:u w:val="single" w:color="005DA1"/>
          </w:rPr>
          <w:t>959</w:t>
        </w:r>
      </w:hyperlink>
      <w:r>
        <w:rPr>
          <w:spacing w:val="-4"/>
          <w:position w:val="5"/>
          <w:sz w:val="14"/>
        </w:rPr>
        <w:t>.</w:t>
      </w:r>
      <w:r>
        <w:rPr>
          <w:position w:val="5"/>
          <w:sz w:val="14"/>
        </w:rPr>
        <w:tab/>
      </w:r>
      <w:r>
        <w:rPr/>
        <w:t>Contracts (Rights of Third Parties) Act 1999 </w:t>
      </w:r>
      <w:r>
        <w:rPr>
          <w:spacing w:val="-2"/>
        </w:rPr>
        <w:t>s.7(3).</w:t>
      </w:r>
    </w:p>
    <w:p>
      <w:pPr>
        <w:pStyle w:val="BodyText"/>
        <w:spacing w:before="5"/>
      </w:pPr>
    </w:p>
    <w:p>
      <w:pPr>
        <w:pStyle w:val="BodyText"/>
        <w:tabs>
          <w:tab w:pos="705" w:val="left" w:leader="none"/>
        </w:tabs>
        <w:ind w:left="165"/>
      </w:pPr>
      <w:bookmarkStart w:name="_bookmark1818" w:id="1820"/>
      <w:bookmarkEnd w:id="1820"/>
      <w:r>
        <w:rPr/>
      </w:r>
      <w:hyperlink w:history="true" w:anchor="_bookmark1801">
        <w:r>
          <w:rPr>
            <w:color w:val="005DA1"/>
            <w:spacing w:val="-4"/>
            <w:position w:val="5"/>
            <w:sz w:val="14"/>
            <w:u w:val="single" w:color="005DA1"/>
          </w:rPr>
          <w:t>960</w:t>
        </w:r>
      </w:hyperlink>
      <w:r>
        <w:rPr>
          <w:spacing w:val="-4"/>
          <w:position w:val="5"/>
          <w:sz w:val="14"/>
        </w:rPr>
        <w:t>.</w:t>
      </w:r>
      <w:r>
        <w:rPr>
          <w:position w:val="5"/>
          <w:sz w:val="14"/>
        </w:rPr>
        <w:tab/>
      </w:r>
      <w:r>
        <w:rPr/>
        <w:t>See</w:t>
      </w:r>
      <w:r>
        <w:rPr>
          <w:spacing w:val="-2"/>
        </w:rPr>
        <w:t> </w:t>
      </w:r>
      <w:r>
        <w:rPr/>
        <w:t>above, para.1-</w:t>
      </w:r>
      <w:r>
        <w:rPr>
          <w:spacing w:val="-4"/>
        </w:rPr>
        <w:t>016.</w:t>
      </w:r>
    </w:p>
    <w:p>
      <w:pPr>
        <w:pStyle w:val="BodyText"/>
        <w:spacing w:before="5"/>
      </w:pPr>
    </w:p>
    <w:p>
      <w:pPr>
        <w:pStyle w:val="BodyText"/>
        <w:tabs>
          <w:tab w:pos="705" w:val="left" w:leader="none"/>
        </w:tabs>
        <w:ind w:left="165"/>
      </w:pPr>
      <w:bookmarkStart w:name="_bookmark1819" w:id="1821"/>
      <w:bookmarkEnd w:id="1821"/>
      <w:r>
        <w:rPr/>
      </w:r>
      <w:hyperlink w:history="true" w:anchor="_bookmark1802">
        <w:r>
          <w:rPr>
            <w:color w:val="005DA1"/>
            <w:spacing w:val="-4"/>
            <w:position w:val="5"/>
            <w:sz w:val="14"/>
            <w:u w:val="single" w:color="005DA1"/>
          </w:rPr>
          <w:t>961</w:t>
        </w:r>
      </w:hyperlink>
      <w:r>
        <w:rPr>
          <w:spacing w:val="-4"/>
          <w:position w:val="5"/>
          <w:sz w:val="14"/>
        </w:rPr>
        <w:t>.</w:t>
      </w:r>
      <w:r>
        <w:rPr>
          <w:position w:val="5"/>
          <w:sz w:val="14"/>
        </w:rPr>
        <w:tab/>
      </w:r>
      <w:r>
        <w:rPr/>
        <w:t>Contract</w:t>
      </w:r>
      <w:r>
        <w:rPr>
          <w:spacing w:val="-2"/>
        </w:rPr>
        <w:t> </w:t>
      </w:r>
      <w:r>
        <w:rPr/>
        <w:t>(Rights of Third Parties) Act 1999 s.1(2) which refers to the intention of the</w:t>
      </w:r>
      <w:r>
        <w:rPr>
          <w:spacing w:val="-1"/>
        </w:rPr>
        <w:t> </w:t>
      </w:r>
      <w:r>
        <w:rPr>
          <w:rFonts w:ascii="Arial"/>
          <w:i/>
          <w:spacing w:val="-2"/>
        </w:rPr>
        <w:t>parties</w:t>
      </w:r>
      <w:r>
        <w:rPr>
          <w:spacing w:val="-2"/>
        </w:rPr>
        <w:t>.</w:t>
      </w:r>
    </w:p>
    <w:p>
      <w:pPr>
        <w:pStyle w:val="BodyText"/>
        <w:spacing w:before="5"/>
      </w:pPr>
    </w:p>
    <w:p>
      <w:pPr>
        <w:pStyle w:val="BodyText"/>
        <w:tabs>
          <w:tab w:pos="705" w:val="left" w:leader="none"/>
        </w:tabs>
        <w:spacing w:line="227" w:lineRule="exact"/>
        <w:ind w:left="165"/>
      </w:pPr>
      <w:bookmarkStart w:name="_bookmark1820" w:id="1822"/>
      <w:bookmarkEnd w:id="1822"/>
      <w:r>
        <w:rPr/>
      </w:r>
      <w:hyperlink w:history="true" w:anchor="_bookmark1803">
        <w:r>
          <w:rPr>
            <w:color w:val="005DA1"/>
            <w:spacing w:val="-4"/>
            <w:position w:val="5"/>
            <w:sz w:val="14"/>
            <w:u w:val="single" w:color="005DA1"/>
          </w:rPr>
          <w:t>962</w:t>
        </w:r>
      </w:hyperlink>
      <w:r>
        <w:rPr>
          <w:spacing w:val="-4"/>
          <w:position w:val="5"/>
          <w:sz w:val="14"/>
        </w:rPr>
        <w:t>.</w:t>
      </w:r>
      <w:r>
        <w:rPr>
          <w:position w:val="5"/>
          <w:sz w:val="14"/>
        </w:rPr>
        <w:tab/>
      </w:r>
      <w:r>
        <w:rPr/>
        <w:t>Law</w:t>
      </w:r>
      <w:r>
        <w:rPr>
          <w:spacing w:val="41"/>
        </w:rPr>
        <w:t> </w:t>
      </w:r>
      <w:r>
        <w:rPr/>
        <w:t>Commission,</w:t>
      </w:r>
      <w:r>
        <w:rPr>
          <w:spacing w:val="43"/>
        </w:rPr>
        <w:t> </w:t>
      </w:r>
      <w:r>
        <w:rPr/>
        <w:t>Privity</w:t>
      </w:r>
      <w:r>
        <w:rPr>
          <w:spacing w:val="43"/>
        </w:rPr>
        <w:t> </w:t>
      </w:r>
      <w:r>
        <w:rPr/>
        <w:t>of</w:t>
      </w:r>
      <w:r>
        <w:rPr>
          <w:spacing w:val="43"/>
        </w:rPr>
        <w:t> </w:t>
      </w:r>
      <w:r>
        <w:rPr/>
        <w:t>Contract:</w:t>
      </w:r>
      <w:r>
        <w:rPr>
          <w:spacing w:val="43"/>
        </w:rPr>
        <w:t> </w:t>
      </w:r>
      <w:r>
        <w:rPr/>
        <w:t>Contracts</w:t>
      </w:r>
      <w:r>
        <w:rPr>
          <w:spacing w:val="43"/>
        </w:rPr>
        <w:t> </w:t>
      </w:r>
      <w:r>
        <w:rPr/>
        <w:t>for</w:t>
      </w:r>
      <w:r>
        <w:rPr>
          <w:spacing w:val="43"/>
        </w:rPr>
        <w:t> </w:t>
      </w:r>
      <w:r>
        <w:rPr/>
        <w:t>the</w:t>
      </w:r>
      <w:r>
        <w:rPr>
          <w:spacing w:val="43"/>
        </w:rPr>
        <w:t> </w:t>
      </w:r>
      <w:r>
        <w:rPr/>
        <w:t>Benefit</w:t>
      </w:r>
      <w:r>
        <w:rPr>
          <w:spacing w:val="43"/>
        </w:rPr>
        <w:t> </w:t>
      </w:r>
      <w:r>
        <w:rPr/>
        <w:t>of</w:t>
      </w:r>
      <w:r>
        <w:rPr>
          <w:spacing w:val="43"/>
        </w:rPr>
        <w:t> </w:t>
      </w:r>
      <w:r>
        <w:rPr/>
        <w:t>Third</w:t>
      </w:r>
      <w:r>
        <w:rPr>
          <w:spacing w:val="43"/>
        </w:rPr>
        <w:t> </w:t>
      </w:r>
      <w:r>
        <w:rPr/>
        <w:t>Parties,</w:t>
      </w:r>
      <w:r>
        <w:rPr>
          <w:spacing w:val="43"/>
        </w:rPr>
        <w:t> </w:t>
      </w:r>
      <w:r>
        <w:rPr/>
        <w:t>Law</w:t>
      </w:r>
      <w:r>
        <w:rPr>
          <w:spacing w:val="43"/>
        </w:rPr>
        <w:t> </w:t>
      </w:r>
      <w:r>
        <w:rPr>
          <w:spacing w:val="-4"/>
        </w:rPr>
        <w:t>Com.</w:t>
      </w:r>
    </w:p>
    <w:p>
      <w:pPr>
        <w:pStyle w:val="BodyText"/>
        <w:spacing w:line="227" w:lineRule="exact"/>
        <w:ind w:left="705"/>
      </w:pPr>
      <w:r>
        <w:rPr/>
        <w:t>No.242 (1996) Pt </w:t>
      </w:r>
      <w:r>
        <w:rPr>
          <w:spacing w:val="-5"/>
        </w:rPr>
        <w:t>VI.</w:t>
      </w:r>
    </w:p>
    <w:p>
      <w:pPr>
        <w:pStyle w:val="BodyText"/>
        <w:spacing w:before="5"/>
      </w:pPr>
    </w:p>
    <w:p>
      <w:pPr>
        <w:pStyle w:val="BodyText"/>
        <w:tabs>
          <w:tab w:pos="705" w:val="left" w:leader="none"/>
        </w:tabs>
        <w:ind w:left="165"/>
      </w:pPr>
      <w:bookmarkStart w:name="_bookmark1821" w:id="1823"/>
      <w:bookmarkEnd w:id="1823"/>
      <w:r>
        <w:rPr/>
      </w:r>
      <w:hyperlink w:history="true" w:anchor="_bookmark1804">
        <w:r>
          <w:rPr>
            <w:color w:val="005DA1"/>
            <w:spacing w:val="-4"/>
            <w:position w:val="5"/>
            <w:sz w:val="14"/>
            <w:u w:val="single" w:color="005DA1"/>
          </w:rPr>
          <w:t>963</w:t>
        </w:r>
      </w:hyperlink>
      <w:r>
        <w:rPr>
          <w:spacing w:val="-4"/>
          <w:position w:val="5"/>
          <w:sz w:val="14"/>
        </w:rPr>
        <w:t>.</w:t>
      </w:r>
      <w:r>
        <w:rPr>
          <w:position w:val="5"/>
          <w:sz w:val="14"/>
        </w:rPr>
        <w:tab/>
      </w:r>
      <w:r>
        <w:rPr/>
        <w:t>Privity of Contract, Law Com. No.242, para.6.4 (emphasis </w:t>
      </w:r>
      <w:r>
        <w:rPr>
          <w:spacing w:val="-2"/>
        </w:rPr>
        <w:t>added).</w:t>
      </w:r>
    </w:p>
    <w:p>
      <w:pPr>
        <w:pStyle w:val="BodyText"/>
        <w:spacing w:before="5"/>
      </w:pPr>
    </w:p>
    <w:p>
      <w:pPr>
        <w:tabs>
          <w:tab w:pos="705" w:val="left" w:leader="none"/>
        </w:tabs>
        <w:spacing w:before="0"/>
        <w:ind w:left="165" w:right="0" w:firstLine="0"/>
        <w:jc w:val="left"/>
        <w:rPr>
          <w:sz w:val="20"/>
        </w:rPr>
      </w:pPr>
      <w:bookmarkStart w:name="_bookmark1822" w:id="1824"/>
      <w:bookmarkEnd w:id="1824"/>
      <w:r>
        <w:rPr/>
      </w:r>
      <w:hyperlink w:history="true" w:anchor="_bookmark1805">
        <w:r>
          <w:rPr>
            <w:color w:val="005DA1"/>
            <w:spacing w:val="-4"/>
            <w:position w:val="5"/>
            <w:sz w:val="14"/>
            <w:u w:val="single" w:color="005DA1"/>
          </w:rPr>
          <w:t>964</w:t>
        </w:r>
      </w:hyperlink>
      <w:r>
        <w:rPr>
          <w:spacing w:val="-4"/>
          <w:position w:val="5"/>
          <w:sz w:val="14"/>
        </w:rPr>
        <w:t>.</w:t>
      </w:r>
      <w:r>
        <w:rPr>
          <w:position w:val="5"/>
          <w:sz w:val="14"/>
        </w:rPr>
        <w:tab/>
      </w:r>
      <w:r>
        <w:rPr>
          <w:rFonts w:ascii="Arial"/>
          <w:i/>
          <w:sz w:val="20"/>
        </w:rPr>
        <w:t>Wilson v First County Trust Ltd (No.2) [2003] UKHL 40, [2003] 3 W.L.R. 568</w:t>
      </w:r>
      <w:r>
        <w:rPr>
          <w:rFonts w:ascii="Arial"/>
          <w:i/>
          <w:spacing w:val="-1"/>
          <w:sz w:val="20"/>
        </w:rPr>
        <w:t> </w:t>
      </w:r>
      <w:r>
        <w:rPr>
          <w:sz w:val="20"/>
        </w:rPr>
        <w:t>at </w:t>
      </w:r>
      <w:r>
        <w:rPr>
          <w:spacing w:val="-2"/>
          <w:sz w:val="20"/>
        </w:rPr>
        <w:t>[56].</w:t>
      </w:r>
    </w:p>
    <w:p>
      <w:pPr>
        <w:pStyle w:val="BodyText"/>
        <w:spacing w:before="9"/>
      </w:pPr>
    </w:p>
    <w:p>
      <w:pPr>
        <w:pStyle w:val="BodyText"/>
        <w:spacing w:line="235" w:lineRule="auto"/>
        <w:ind w:left="705" w:right="167" w:hanging="541"/>
        <w:jc w:val="both"/>
      </w:pPr>
      <w:bookmarkStart w:name="_bookmark1823" w:id="1825"/>
      <w:bookmarkEnd w:id="1825"/>
      <w:r>
        <w:rPr/>
      </w:r>
      <w:hyperlink w:history="true" w:anchor="_bookmark1806">
        <w:r>
          <w:rPr>
            <w:color w:val="005DA1"/>
            <w:position w:val="5"/>
            <w:sz w:val="14"/>
            <w:u w:val="single" w:color="005DA1"/>
          </w:rPr>
          <w:t>965</w:t>
        </w:r>
      </w:hyperlink>
      <w:r>
        <w:rPr>
          <w:position w:val="5"/>
          <w:sz w:val="14"/>
        </w:rPr>
        <w:t>.</w:t>
      </w:r>
      <w:r>
        <w:rPr>
          <w:spacing w:val="80"/>
          <w:position w:val="5"/>
          <w:sz w:val="14"/>
        </w:rPr>
        <w:t>  </w:t>
      </w:r>
      <w:r>
        <w:rPr/>
        <w:t>In </w:t>
      </w:r>
      <w:r>
        <w:rPr>
          <w:rFonts w:ascii="Arial" w:hAnsi="Arial"/>
          <w:i/>
        </w:rPr>
        <w:t>Prudential Assurance Co Ltd v Ayres [2008] EWCA Civ 52, [2008] L. &amp; T.R. 30 </w:t>
      </w:r>
      <w:r>
        <w:rPr/>
        <w:t>at [33]–[42] </w:t>
      </w:r>
      <w:r>
        <w:rPr/>
        <w:t>it was assumed that a third party could take a right under a deed under the Contracts (Rights of Third Parties) Act 1999, although on the facts the Court of Appeal held that as a matter of construction the parties did not intend to do so (landlord’s undertaking by deed that liability for rent owed by partnership assignees of a lease should not extend to their personal assets held not</w:t>
      </w:r>
      <w:r>
        <w:rPr>
          <w:spacing w:val="-1"/>
        </w:rPr>
        <w:t> </w:t>
      </w:r>
      <w:r>
        <w:rPr/>
        <w:t>intended</w:t>
      </w:r>
      <w:r>
        <w:rPr>
          <w:spacing w:val="-1"/>
        </w:rPr>
        <w:t> </w:t>
      </w:r>
      <w:r>
        <w:rPr/>
        <w:t>to</w:t>
      </w:r>
      <w:r>
        <w:rPr>
          <w:spacing w:val="-1"/>
        </w:rPr>
        <w:t> </w:t>
      </w:r>
      <w:r>
        <w:rPr/>
        <w:t>create</w:t>
      </w:r>
      <w:r>
        <w:rPr>
          <w:spacing w:val="-1"/>
        </w:rPr>
        <w:t> </w:t>
      </w:r>
      <w:r>
        <w:rPr/>
        <w:t>a</w:t>
      </w:r>
      <w:r>
        <w:rPr>
          <w:spacing w:val="-1"/>
        </w:rPr>
        <w:t> </w:t>
      </w:r>
      <w:r>
        <w:rPr/>
        <w:t>right</w:t>
      </w:r>
      <w:r>
        <w:rPr>
          <w:spacing w:val="-1"/>
        </w:rPr>
        <w:t> </w:t>
      </w:r>
      <w:r>
        <w:rPr/>
        <w:t>in</w:t>
      </w:r>
      <w:r>
        <w:rPr>
          <w:spacing w:val="-1"/>
        </w:rPr>
        <w:t> </w:t>
      </w:r>
      <w:r>
        <w:rPr/>
        <w:t>the</w:t>
      </w:r>
      <w:r>
        <w:rPr>
          <w:spacing w:val="-1"/>
        </w:rPr>
        <w:t> </w:t>
      </w:r>
      <w:r>
        <w:rPr/>
        <w:t>former</w:t>
      </w:r>
      <w:r>
        <w:rPr>
          <w:spacing w:val="-1"/>
        </w:rPr>
        <w:t> </w:t>
      </w:r>
      <w:r>
        <w:rPr/>
        <w:t>tenant,</w:t>
      </w:r>
      <w:r>
        <w:rPr>
          <w:spacing w:val="-1"/>
        </w:rPr>
        <w:t> </w:t>
      </w:r>
      <w:r>
        <w:rPr/>
        <w:t>guarantor</w:t>
      </w:r>
      <w:r>
        <w:rPr>
          <w:spacing w:val="-1"/>
        </w:rPr>
        <w:t> </w:t>
      </w:r>
      <w:r>
        <w:rPr/>
        <w:t>of</w:t>
      </w:r>
      <w:r>
        <w:rPr>
          <w:spacing w:val="-1"/>
        </w:rPr>
        <w:t> </w:t>
      </w:r>
      <w:r>
        <w:rPr/>
        <w:t>that</w:t>
      </w:r>
      <w:r>
        <w:rPr>
          <w:spacing w:val="-1"/>
        </w:rPr>
        <w:t> </w:t>
      </w:r>
      <w:r>
        <w:rPr/>
        <w:t>rental</w:t>
      </w:r>
      <w:r>
        <w:rPr>
          <w:spacing w:val="-1"/>
        </w:rPr>
        <w:t> </w:t>
      </w:r>
      <w:r>
        <w:rPr/>
        <w:t>liability).</w:t>
      </w:r>
      <w:r>
        <w:rPr>
          <w:spacing w:val="-1"/>
        </w:rPr>
        <w:t> </w:t>
      </w:r>
      <w:r>
        <w:rPr/>
        <w:t>On</w:t>
      </w:r>
      <w:r>
        <w:rPr>
          <w:spacing w:val="-1"/>
        </w:rPr>
        <w:t> </w:t>
      </w:r>
      <w:r>
        <w:rPr/>
        <w:t>the</w:t>
      </w:r>
      <w:r>
        <w:rPr>
          <w:spacing w:val="-1"/>
        </w:rPr>
        <w:t> </w:t>
      </w:r>
      <w:r>
        <w:rPr/>
        <w:t>facts, however, there was consideration moving to the promisors (the landlords) under the deed, which was expressed as supplemental to the lease.</w:t>
      </w:r>
    </w:p>
    <w:p>
      <w:pPr>
        <w:pStyle w:val="BodyText"/>
        <w:spacing w:before="7"/>
      </w:pPr>
    </w:p>
    <w:p>
      <w:pPr>
        <w:tabs>
          <w:tab w:pos="705" w:val="left" w:leader="none"/>
        </w:tabs>
        <w:spacing w:line="235" w:lineRule="auto" w:before="0"/>
        <w:ind w:left="705" w:right="168" w:hanging="541"/>
        <w:jc w:val="left"/>
        <w:rPr>
          <w:sz w:val="20"/>
        </w:rPr>
      </w:pPr>
      <w:bookmarkStart w:name="_bookmark1824" w:id="1826"/>
      <w:bookmarkEnd w:id="1826"/>
      <w:r>
        <w:rPr/>
      </w:r>
      <w:hyperlink w:history="true" w:anchor="_bookmark1807">
        <w:r>
          <w:rPr>
            <w:color w:val="005DA1"/>
            <w:spacing w:val="-4"/>
            <w:position w:val="5"/>
            <w:sz w:val="14"/>
            <w:u w:val="single" w:color="005DA1"/>
          </w:rPr>
          <w:t>966</w:t>
        </w:r>
      </w:hyperlink>
      <w:r>
        <w:rPr>
          <w:spacing w:val="-4"/>
          <w:position w:val="5"/>
          <w:sz w:val="14"/>
        </w:rPr>
        <w:t>.</w:t>
      </w:r>
      <w:r>
        <w:rPr>
          <w:position w:val="5"/>
          <w:sz w:val="14"/>
        </w:rPr>
        <w:tab/>
      </w:r>
      <w:r>
        <w:rPr>
          <w:rFonts w:ascii="Arial" w:hAnsi="Arial"/>
          <w:i/>
          <w:sz w:val="20"/>
        </w:rPr>
        <w:t>Thoroughgood’s Case (1584) 2 Co. Rep. 9a</w:t>
      </w:r>
      <w:r>
        <w:rPr>
          <w:sz w:val="20"/>
        </w:rPr>
        <w:t>. But the doctrine was much older than that case:</w:t>
      </w:r>
      <w:r>
        <w:rPr>
          <w:spacing w:val="40"/>
          <w:sz w:val="20"/>
        </w:rPr>
        <w:t> </w:t>
      </w:r>
      <w:r>
        <w:rPr>
          <w:sz w:val="20"/>
        </w:rPr>
        <w:t>see Holdsworth, </w:t>
      </w:r>
      <w:r>
        <w:rPr>
          <w:rFonts w:ascii="Arial" w:hAnsi="Arial"/>
          <w:i/>
          <w:sz w:val="20"/>
        </w:rPr>
        <w:t>History of English Law</w:t>
      </w:r>
      <w:r>
        <w:rPr>
          <w:sz w:val="20"/>
        </w:rPr>
        <w:t>, Vol.8, p.50.</w:t>
      </w:r>
    </w:p>
    <w:p>
      <w:pPr>
        <w:pStyle w:val="BodyText"/>
        <w:spacing w:before="5"/>
      </w:pPr>
    </w:p>
    <w:p>
      <w:pPr>
        <w:pStyle w:val="BodyText"/>
        <w:tabs>
          <w:tab w:pos="705" w:val="left" w:leader="none"/>
        </w:tabs>
        <w:ind w:left="165"/>
      </w:pPr>
      <w:bookmarkStart w:name="_bookmark1825" w:id="1827"/>
      <w:bookmarkEnd w:id="1827"/>
      <w:r>
        <w:rPr/>
      </w:r>
      <w:hyperlink w:history="true" w:anchor="_bookmark1808">
        <w:r>
          <w:rPr>
            <w:color w:val="005DA1"/>
            <w:spacing w:val="-4"/>
            <w:position w:val="5"/>
            <w:sz w:val="14"/>
            <w:u w:val="single" w:color="005DA1"/>
          </w:rPr>
          <w:t>967</w:t>
        </w:r>
      </w:hyperlink>
      <w:r>
        <w:rPr>
          <w:spacing w:val="-4"/>
          <w:position w:val="5"/>
          <w:sz w:val="14"/>
        </w:rPr>
        <w:t>.</w:t>
      </w:r>
      <w:r>
        <w:rPr>
          <w:position w:val="5"/>
          <w:sz w:val="14"/>
        </w:rPr>
        <w:tab/>
      </w:r>
      <w:r>
        <w:rPr/>
        <w:t>See below, paras 3-049 et </w:t>
      </w:r>
      <w:r>
        <w:rPr>
          <w:spacing w:val="-4"/>
        </w:rPr>
        <w:t>seq.</w:t>
      </w:r>
    </w:p>
    <w:p>
      <w:pPr>
        <w:pStyle w:val="BodyText"/>
        <w:spacing w:before="5"/>
      </w:pPr>
    </w:p>
    <w:p>
      <w:pPr>
        <w:pStyle w:val="BodyText"/>
        <w:tabs>
          <w:tab w:pos="705" w:val="left" w:leader="none"/>
        </w:tabs>
        <w:ind w:left="165"/>
      </w:pPr>
      <w:bookmarkStart w:name="_bookmark1826" w:id="1828"/>
      <w:bookmarkEnd w:id="1828"/>
      <w:r>
        <w:rPr/>
      </w:r>
      <w:hyperlink w:history="true" w:anchor="_bookmark1809">
        <w:r>
          <w:rPr>
            <w:color w:val="005DA1"/>
            <w:spacing w:val="-4"/>
            <w:position w:val="5"/>
            <w:sz w:val="14"/>
            <w:u w:val="single" w:color="005DA1"/>
          </w:rPr>
          <w:t>968</w:t>
        </w:r>
      </w:hyperlink>
      <w:r>
        <w:rPr>
          <w:spacing w:val="-4"/>
          <w:position w:val="5"/>
          <w:sz w:val="14"/>
        </w:rPr>
        <w:t>.</w:t>
      </w:r>
      <w:r>
        <w:rPr>
          <w:position w:val="5"/>
          <w:sz w:val="14"/>
        </w:rPr>
        <w:tab/>
      </w:r>
      <w:r>
        <w:rPr/>
        <w:t>See</w:t>
      </w:r>
      <w:r>
        <w:rPr>
          <w:spacing w:val="-2"/>
        </w:rPr>
        <w:t> </w:t>
      </w:r>
      <w:r>
        <w:rPr/>
        <w:t>below, para.3-</w:t>
      </w:r>
      <w:r>
        <w:rPr>
          <w:spacing w:val="-4"/>
        </w:rPr>
        <w:t>049.</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color w:val="005DA1"/>
          <w:spacing w:val="-4"/>
          <w:sz w:val="14"/>
          <w:u w:val="single" w:color="005DA1"/>
        </w:rPr>
        <w:t>969</w:t>
      </w:r>
      <w:r>
        <w:rPr>
          <w:spacing w:val="-4"/>
          <w:sz w:val="14"/>
        </w:rPr>
        <w:t>.</w:t>
      </w:r>
    </w:p>
    <w:p>
      <w:pPr>
        <w:spacing w:line="227" w:lineRule="exact" w:before="208"/>
        <w:ind w:left="335" w:right="0" w:firstLine="0"/>
        <w:jc w:val="left"/>
        <w:rPr>
          <w:rFonts w:ascii="Arial"/>
          <w:i/>
          <w:sz w:val="20"/>
        </w:rPr>
      </w:pPr>
      <w:r>
        <w:rPr/>
        <w:br w:type="column"/>
      </w:r>
      <w:r>
        <w:rPr>
          <w:rFonts w:ascii="Arial"/>
          <w:i/>
          <w:sz w:val="20"/>
        </w:rPr>
        <w:t>Pitt</w:t>
      </w:r>
      <w:r>
        <w:rPr>
          <w:rFonts w:ascii="Arial"/>
          <w:i/>
          <w:spacing w:val="32"/>
          <w:sz w:val="20"/>
        </w:rPr>
        <w:t> </w:t>
      </w:r>
      <w:r>
        <w:rPr>
          <w:rFonts w:ascii="Arial"/>
          <w:i/>
          <w:sz w:val="20"/>
        </w:rPr>
        <w:t>v</w:t>
      </w:r>
      <w:r>
        <w:rPr>
          <w:rFonts w:ascii="Arial"/>
          <w:i/>
          <w:spacing w:val="32"/>
          <w:sz w:val="20"/>
        </w:rPr>
        <w:t> </w:t>
      </w:r>
      <w:r>
        <w:rPr>
          <w:rFonts w:ascii="Arial"/>
          <w:i/>
          <w:sz w:val="20"/>
        </w:rPr>
        <w:t>Holt</w:t>
      </w:r>
      <w:r>
        <w:rPr>
          <w:rFonts w:ascii="Arial"/>
          <w:i/>
          <w:spacing w:val="32"/>
          <w:sz w:val="20"/>
        </w:rPr>
        <w:t> </w:t>
      </w:r>
      <w:r>
        <w:rPr>
          <w:rFonts w:ascii="Arial"/>
          <w:i/>
          <w:sz w:val="20"/>
        </w:rPr>
        <w:t>[2013]</w:t>
      </w:r>
      <w:r>
        <w:rPr>
          <w:rFonts w:ascii="Arial"/>
          <w:i/>
          <w:spacing w:val="32"/>
          <w:sz w:val="20"/>
        </w:rPr>
        <w:t> </w:t>
      </w:r>
      <w:r>
        <w:rPr>
          <w:rFonts w:ascii="Arial"/>
          <w:i/>
          <w:sz w:val="20"/>
        </w:rPr>
        <w:t>UKSC</w:t>
      </w:r>
      <w:r>
        <w:rPr>
          <w:rFonts w:ascii="Arial"/>
          <w:i/>
          <w:spacing w:val="32"/>
          <w:sz w:val="20"/>
        </w:rPr>
        <w:t> </w:t>
      </w:r>
      <w:r>
        <w:rPr>
          <w:rFonts w:ascii="Arial"/>
          <w:i/>
          <w:sz w:val="20"/>
        </w:rPr>
        <w:t>26,</w:t>
      </w:r>
      <w:r>
        <w:rPr>
          <w:rFonts w:ascii="Arial"/>
          <w:i/>
          <w:spacing w:val="32"/>
          <w:sz w:val="20"/>
        </w:rPr>
        <w:t> </w:t>
      </w:r>
      <w:r>
        <w:rPr>
          <w:rFonts w:ascii="Arial"/>
          <w:i/>
          <w:sz w:val="20"/>
        </w:rPr>
        <w:t>[2013]</w:t>
      </w:r>
      <w:r>
        <w:rPr>
          <w:rFonts w:ascii="Arial"/>
          <w:i/>
          <w:spacing w:val="32"/>
          <w:sz w:val="20"/>
        </w:rPr>
        <w:t> </w:t>
      </w:r>
      <w:r>
        <w:rPr>
          <w:rFonts w:ascii="Arial"/>
          <w:i/>
          <w:sz w:val="20"/>
        </w:rPr>
        <w:t>2</w:t>
      </w:r>
      <w:r>
        <w:rPr>
          <w:rFonts w:ascii="Arial"/>
          <w:i/>
          <w:spacing w:val="32"/>
          <w:sz w:val="20"/>
        </w:rPr>
        <w:t> </w:t>
      </w:r>
      <w:r>
        <w:rPr>
          <w:rFonts w:ascii="Arial"/>
          <w:i/>
          <w:sz w:val="20"/>
        </w:rPr>
        <w:t>A.C.</w:t>
      </w:r>
      <w:r>
        <w:rPr>
          <w:rFonts w:ascii="Arial"/>
          <w:i/>
          <w:spacing w:val="32"/>
          <w:sz w:val="20"/>
        </w:rPr>
        <w:t> </w:t>
      </w:r>
      <w:r>
        <w:rPr>
          <w:rFonts w:ascii="Arial"/>
          <w:i/>
          <w:sz w:val="20"/>
        </w:rPr>
        <w:t>108</w:t>
      </w:r>
      <w:r>
        <w:rPr>
          <w:rFonts w:ascii="Arial"/>
          <w:i/>
          <w:spacing w:val="31"/>
          <w:sz w:val="20"/>
        </w:rPr>
        <w:t> </w:t>
      </w:r>
      <w:r>
        <w:rPr>
          <w:sz w:val="20"/>
        </w:rPr>
        <w:t>esp.</w:t>
      </w:r>
      <w:r>
        <w:rPr>
          <w:spacing w:val="32"/>
          <w:sz w:val="20"/>
        </w:rPr>
        <w:t> </w:t>
      </w:r>
      <w:r>
        <w:rPr>
          <w:sz w:val="20"/>
        </w:rPr>
        <w:t>at</w:t>
      </w:r>
      <w:r>
        <w:rPr>
          <w:spacing w:val="32"/>
          <w:sz w:val="20"/>
        </w:rPr>
        <w:t> </w:t>
      </w:r>
      <w:r>
        <w:rPr>
          <w:sz w:val="20"/>
        </w:rPr>
        <w:t>[115];</w:t>
      </w:r>
      <w:r>
        <w:rPr>
          <w:spacing w:val="32"/>
          <w:sz w:val="20"/>
        </w:rPr>
        <w:t> </w:t>
      </w:r>
      <w:r>
        <w:rPr>
          <w:sz w:val="20"/>
        </w:rPr>
        <w:t>applied</w:t>
      </w:r>
      <w:r>
        <w:rPr>
          <w:spacing w:val="32"/>
          <w:sz w:val="20"/>
        </w:rPr>
        <w:t> </w:t>
      </w:r>
      <w:r>
        <w:rPr>
          <w:sz w:val="20"/>
        </w:rPr>
        <w:t>in</w:t>
      </w:r>
      <w:r>
        <w:rPr>
          <w:spacing w:val="31"/>
          <w:sz w:val="20"/>
        </w:rPr>
        <w:t> </w:t>
      </w:r>
      <w:r>
        <w:rPr>
          <w:rFonts w:ascii="Arial"/>
          <w:i/>
          <w:sz w:val="20"/>
        </w:rPr>
        <w:t>Van</w:t>
      </w:r>
      <w:r>
        <w:rPr>
          <w:rFonts w:ascii="Arial"/>
          <w:i/>
          <w:spacing w:val="32"/>
          <w:sz w:val="20"/>
        </w:rPr>
        <w:t> </w:t>
      </w:r>
      <w:r>
        <w:rPr>
          <w:rFonts w:ascii="Arial"/>
          <w:i/>
          <w:sz w:val="20"/>
        </w:rPr>
        <w:t>der</w:t>
      </w:r>
      <w:r>
        <w:rPr>
          <w:rFonts w:ascii="Arial"/>
          <w:i/>
          <w:spacing w:val="32"/>
          <w:sz w:val="20"/>
        </w:rPr>
        <w:t> </w:t>
      </w:r>
      <w:r>
        <w:rPr>
          <w:rFonts w:ascii="Arial"/>
          <w:i/>
          <w:sz w:val="20"/>
        </w:rPr>
        <w:t>Merwe</w:t>
      </w:r>
      <w:r>
        <w:rPr>
          <w:rFonts w:ascii="Arial"/>
          <w:i/>
          <w:spacing w:val="32"/>
          <w:sz w:val="20"/>
        </w:rPr>
        <w:t> </w:t>
      </w:r>
      <w:r>
        <w:rPr>
          <w:rFonts w:ascii="Arial"/>
          <w:i/>
          <w:spacing w:val="-10"/>
          <w:sz w:val="20"/>
        </w:rPr>
        <w:t>v</w:t>
      </w:r>
    </w:p>
    <w:p>
      <w:pPr>
        <w:spacing w:line="235" w:lineRule="auto" w:before="2"/>
        <w:ind w:left="165" w:right="0" w:firstLine="0"/>
        <w:jc w:val="left"/>
        <w:rPr>
          <w:sz w:val="20"/>
        </w:rPr>
      </w:pPr>
      <w:r>
        <w:rPr>
          <w:sz w:val="20"/>
        </w:rPr>
        <w:drawing>
          <wp:anchor distT="0" distB="0" distL="0" distR="0" allowOverlap="1" layoutInCell="1" locked="0" behindDoc="0" simplePos="0" relativeHeight="15828480">
            <wp:simplePos x="0" y="0"/>
            <wp:positionH relativeFrom="page">
              <wp:posOffset>1257846</wp:posOffset>
            </wp:positionH>
            <wp:positionV relativeFrom="paragraph">
              <wp:posOffset>-116111</wp:posOffset>
            </wp:positionV>
            <wp:extent cx="107988" cy="107988"/>
            <wp:effectExtent l="0" t="0" r="0" b="0"/>
            <wp:wrapNone/>
            <wp:docPr id="427" name="Image 427"/>
            <wp:cNvGraphicFramePr>
              <a:graphicFrameLocks/>
            </wp:cNvGraphicFramePr>
            <a:graphic>
              <a:graphicData uri="http://schemas.openxmlformats.org/drawingml/2006/picture">
                <pic:pic>
                  <pic:nvPicPr>
                    <pic:cNvPr id="427" name="Image 42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Goldman</w:t>
      </w:r>
      <w:r>
        <w:rPr>
          <w:rFonts w:ascii="Arial" w:hAnsi="Arial"/>
          <w:i/>
          <w:spacing w:val="19"/>
          <w:sz w:val="20"/>
        </w:rPr>
        <w:t> </w:t>
      </w:r>
      <w:r>
        <w:rPr>
          <w:rFonts w:ascii="Arial" w:hAnsi="Arial"/>
          <w:i/>
          <w:sz w:val="20"/>
        </w:rPr>
        <w:t>[2016]</w:t>
      </w:r>
      <w:r>
        <w:rPr>
          <w:rFonts w:ascii="Arial" w:hAnsi="Arial"/>
          <w:i/>
          <w:spacing w:val="19"/>
          <w:sz w:val="20"/>
        </w:rPr>
        <w:t> </w:t>
      </w:r>
      <w:r>
        <w:rPr>
          <w:rFonts w:ascii="Arial" w:hAnsi="Arial"/>
          <w:i/>
          <w:sz w:val="20"/>
        </w:rPr>
        <w:t>EWHC</w:t>
      </w:r>
      <w:r>
        <w:rPr>
          <w:rFonts w:ascii="Arial" w:hAnsi="Arial"/>
          <w:i/>
          <w:spacing w:val="19"/>
          <w:sz w:val="20"/>
        </w:rPr>
        <w:t> </w:t>
      </w:r>
      <w:r>
        <w:rPr>
          <w:rFonts w:ascii="Arial" w:hAnsi="Arial"/>
          <w:i/>
          <w:sz w:val="20"/>
        </w:rPr>
        <w:t>790</w:t>
      </w:r>
      <w:r>
        <w:rPr>
          <w:rFonts w:ascii="Arial" w:hAnsi="Arial"/>
          <w:i/>
          <w:spacing w:val="19"/>
          <w:sz w:val="20"/>
        </w:rPr>
        <w:t> </w:t>
      </w:r>
      <w:r>
        <w:rPr>
          <w:rFonts w:ascii="Arial" w:hAnsi="Arial"/>
          <w:i/>
          <w:sz w:val="20"/>
        </w:rPr>
        <w:t>(Ch),</w:t>
      </w:r>
      <w:r>
        <w:rPr>
          <w:rFonts w:ascii="Arial" w:hAnsi="Arial"/>
          <w:i/>
          <w:spacing w:val="19"/>
          <w:sz w:val="20"/>
        </w:rPr>
        <w:t> </w:t>
      </w:r>
      <w:r>
        <w:rPr>
          <w:rFonts w:ascii="Arial" w:hAnsi="Arial"/>
          <w:i/>
          <w:sz w:val="20"/>
        </w:rPr>
        <w:t>[2016]</w:t>
      </w:r>
      <w:r>
        <w:rPr>
          <w:rFonts w:ascii="Arial" w:hAnsi="Arial"/>
          <w:i/>
          <w:spacing w:val="19"/>
          <w:sz w:val="20"/>
        </w:rPr>
        <w:t> </w:t>
      </w:r>
      <w:r>
        <w:rPr>
          <w:rFonts w:ascii="Arial" w:hAnsi="Arial"/>
          <w:i/>
          <w:sz w:val="20"/>
        </w:rPr>
        <w:t>4</w:t>
      </w:r>
      <w:r>
        <w:rPr>
          <w:rFonts w:ascii="Arial" w:hAnsi="Arial"/>
          <w:i/>
          <w:spacing w:val="19"/>
          <w:sz w:val="20"/>
        </w:rPr>
        <w:t> </w:t>
      </w:r>
      <w:r>
        <w:rPr>
          <w:rFonts w:ascii="Arial" w:hAnsi="Arial"/>
          <w:i/>
          <w:sz w:val="20"/>
        </w:rPr>
        <w:t>W.L.R.</w:t>
      </w:r>
      <w:r>
        <w:rPr>
          <w:rFonts w:ascii="Arial" w:hAnsi="Arial"/>
          <w:i/>
          <w:spacing w:val="19"/>
          <w:sz w:val="20"/>
        </w:rPr>
        <w:t> </w:t>
      </w:r>
      <w:r>
        <w:rPr>
          <w:rFonts w:ascii="Arial" w:hAnsi="Arial"/>
          <w:i/>
          <w:sz w:val="20"/>
        </w:rPr>
        <w:t>71</w:t>
      </w:r>
      <w:r>
        <w:rPr>
          <w:rFonts w:ascii="Arial" w:hAnsi="Arial"/>
          <w:i/>
          <w:spacing w:val="19"/>
          <w:sz w:val="20"/>
        </w:rPr>
        <w:t> </w:t>
      </w:r>
      <w:r>
        <w:rPr>
          <w:sz w:val="20"/>
        </w:rPr>
        <w:t>at</w:t>
      </w:r>
      <w:r>
        <w:rPr>
          <w:spacing w:val="19"/>
          <w:sz w:val="20"/>
        </w:rPr>
        <w:t> </w:t>
      </w:r>
      <w:r>
        <w:rPr>
          <w:sz w:val="20"/>
        </w:rPr>
        <w:t>[26]–[32].</w:t>
      </w:r>
      <w:r>
        <w:rPr>
          <w:spacing w:val="19"/>
          <w:sz w:val="20"/>
        </w:rPr>
        <w:t> </w:t>
      </w:r>
      <w:r>
        <w:rPr>
          <w:sz w:val="20"/>
        </w:rPr>
        <w:t>On</w:t>
      </w:r>
      <w:r>
        <w:rPr>
          <w:spacing w:val="19"/>
          <w:sz w:val="20"/>
        </w:rPr>
        <w:t> </w:t>
      </w:r>
      <w:r>
        <w:rPr>
          <w:sz w:val="20"/>
        </w:rPr>
        <w:t>the</w:t>
      </w:r>
      <w:r>
        <w:rPr>
          <w:spacing w:val="19"/>
          <w:sz w:val="20"/>
        </w:rPr>
        <w:t> </w:t>
      </w:r>
      <w:r>
        <w:rPr>
          <w:sz w:val="20"/>
        </w:rPr>
        <w:t>common</w:t>
      </w:r>
      <w:r>
        <w:rPr>
          <w:spacing w:val="19"/>
          <w:sz w:val="20"/>
        </w:rPr>
        <w:t> </w:t>
      </w:r>
      <w:r>
        <w:rPr>
          <w:sz w:val="20"/>
        </w:rPr>
        <w:t>law</w:t>
      </w:r>
      <w:r>
        <w:rPr>
          <w:spacing w:val="19"/>
          <w:sz w:val="20"/>
        </w:rPr>
        <w:t> </w:t>
      </w:r>
      <w:r>
        <w:rPr>
          <w:sz w:val="20"/>
        </w:rPr>
        <w:t>rules applicable to mistakes in contracts, see Vol.I, Chs 3 and 6.</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line="227" w:lineRule="exact" w:before="0"/>
        <w:ind w:left="165" w:right="0" w:firstLine="0"/>
        <w:jc w:val="left"/>
        <w:rPr>
          <w:rFonts w:ascii="Arial"/>
          <w:i/>
          <w:sz w:val="20"/>
        </w:rPr>
      </w:pPr>
      <w:r>
        <w:rPr>
          <w:color w:val="005DA1"/>
          <w:spacing w:val="-4"/>
          <w:position w:val="5"/>
          <w:sz w:val="14"/>
          <w:u w:val="single" w:color="005DA1"/>
        </w:rPr>
        <w:t>970</w:t>
      </w:r>
      <w:r>
        <w:rPr>
          <w:spacing w:val="-4"/>
          <w:position w:val="5"/>
          <w:sz w:val="14"/>
        </w:rPr>
        <w:t>.</w:t>
      </w:r>
      <w:r>
        <w:rPr>
          <w:position w:val="5"/>
          <w:sz w:val="14"/>
        </w:rPr>
        <w:tab/>
      </w:r>
      <w:r>
        <w:rPr>
          <w:rFonts w:ascii="Arial"/>
          <w:i/>
          <w:sz w:val="20"/>
        </w:rPr>
        <w:t>Baker</w:t>
      </w:r>
      <w:r>
        <w:rPr>
          <w:rFonts w:ascii="Arial"/>
          <w:i/>
          <w:spacing w:val="11"/>
          <w:sz w:val="20"/>
        </w:rPr>
        <w:t> </w:t>
      </w:r>
      <w:r>
        <w:rPr>
          <w:rFonts w:ascii="Arial"/>
          <w:i/>
          <w:sz w:val="20"/>
        </w:rPr>
        <w:t>v</w:t>
      </w:r>
      <w:r>
        <w:rPr>
          <w:rFonts w:ascii="Arial"/>
          <w:i/>
          <w:spacing w:val="12"/>
          <w:sz w:val="20"/>
        </w:rPr>
        <w:t> </w:t>
      </w:r>
      <w:r>
        <w:rPr>
          <w:rFonts w:ascii="Arial"/>
          <w:i/>
          <w:sz w:val="20"/>
        </w:rPr>
        <w:t>Dewey</w:t>
      </w:r>
      <w:r>
        <w:rPr>
          <w:rFonts w:ascii="Arial"/>
          <w:i/>
          <w:spacing w:val="12"/>
          <w:sz w:val="20"/>
        </w:rPr>
        <w:t> </w:t>
      </w:r>
      <w:r>
        <w:rPr>
          <w:rFonts w:ascii="Arial"/>
          <w:i/>
          <w:sz w:val="20"/>
        </w:rPr>
        <w:t>(1823)</w:t>
      </w:r>
      <w:r>
        <w:rPr>
          <w:rFonts w:ascii="Arial"/>
          <w:i/>
          <w:spacing w:val="12"/>
          <w:sz w:val="20"/>
        </w:rPr>
        <w:t> </w:t>
      </w:r>
      <w:r>
        <w:rPr>
          <w:rFonts w:ascii="Arial"/>
          <w:i/>
          <w:sz w:val="20"/>
        </w:rPr>
        <w:t>1</w:t>
      </w:r>
      <w:r>
        <w:rPr>
          <w:rFonts w:ascii="Arial"/>
          <w:i/>
          <w:spacing w:val="12"/>
          <w:sz w:val="20"/>
        </w:rPr>
        <w:t> </w:t>
      </w:r>
      <w:r>
        <w:rPr>
          <w:rFonts w:ascii="Arial"/>
          <w:i/>
          <w:sz w:val="20"/>
        </w:rPr>
        <w:t>B.</w:t>
      </w:r>
      <w:r>
        <w:rPr>
          <w:rFonts w:ascii="Arial"/>
          <w:i/>
          <w:spacing w:val="12"/>
          <w:sz w:val="20"/>
        </w:rPr>
        <w:t> </w:t>
      </w:r>
      <w:r>
        <w:rPr>
          <w:rFonts w:ascii="Arial"/>
          <w:i/>
          <w:sz w:val="20"/>
        </w:rPr>
        <w:t>&amp;</w:t>
      </w:r>
      <w:r>
        <w:rPr>
          <w:rFonts w:ascii="Arial"/>
          <w:i/>
          <w:spacing w:val="12"/>
          <w:sz w:val="20"/>
        </w:rPr>
        <w:t> </w:t>
      </w:r>
      <w:r>
        <w:rPr>
          <w:rFonts w:ascii="Arial"/>
          <w:i/>
          <w:sz w:val="20"/>
        </w:rPr>
        <w:t>C.</w:t>
      </w:r>
      <w:r>
        <w:rPr>
          <w:rFonts w:ascii="Arial"/>
          <w:i/>
          <w:spacing w:val="12"/>
          <w:sz w:val="20"/>
        </w:rPr>
        <w:t> </w:t>
      </w:r>
      <w:r>
        <w:rPr>
          <w:rFonts w:ascii="Arial"/>
          <w:i/>
          <w:sz w:val="20"/>
        </w:rPr>
        <w:t>704,</w:t>
      </w:r>
      <w:r>
        <w:rPr>
          <w:rFonts w:ascii="Arial"/>
          <w:i/>
          <w:spacing w:val="12"/>
          <w:sz w:val="20"/>
        </w:rPr>
        <w:t> </w:t>
      </w:r>
      <w:r>
        <w:rPr>
          <w:rFonts w:ascii="Arial"/>
          <w:i/>
          <w:sz w:val="20"/>
        </w:rPr>
        <w:t>707</w:t>
      </w:r>
      <w:r>
        <w:rPr>
          <w:sz w:val="20"/>
        </w:rPr>
        <w:t>.</w:t>
      </w:r>
      <w:r>
        <w:rPr>
          <w:spacing w:val="12"/>
          <w:sz w:val="20"/>
        </w:rPr>
        <w:t> </w:t>
      </w:r>
      <w:r>
        <w:rPr>
          <w:sz w:val="20"/>
        </w:rPr>
        <w:t>See</w:t>
      </w:r>
      <w:r>
        <w:rPr>
          <w:spacing w:val="12"/>
          <w:sz w:val="20"/>
        </w:rPr>
        <w:t> </w:t>
      </w:r>
      <w:r>
        <w:rPr>
          <w:sz w:val="20"/>
        </w:rPr>
        <w:t>also</w:t>
      </w:r>
      <w:r>
        <w:rPr>
          <w:spacing w:val="12"/>
          <w:sz w:val="20"/>
        </w:rPr>
        <w:t> </w:t>
      </w:r>
      <w:r>
        <w:rPr>
          <w:rFonts w:ascii="Arial"/>
          <w:i/>
          <w:sz w:val="20"/>
        </w:rPr>
        <w:t>Hayne</w:t>
      </w:r>
      <w:r>
        <w:rPr>
          <w:rFonts w:ascii="Arial"/>
          <w:i/>
          <w:spacing w:val="12"/>
          <w:sz w:val="20"/>
        </w:rPr>
        <w:t> </w:t>
      </w:r>
      <w:r>
        <w:rPr>
          <w:rFonts w:ascii="Arial"/>
          <w:i/>
          <w:sz w:val="20"/>
        </w:rPr>
        <w:t>v</w:t>
      </w:r>
      <w:r>
        <w:rPr>
          <w:rFonts w:ascii="Arial"/>
          <w:i/>
          <w:spacing w:val="12"/>
          <w:sz w:val="20"/>
        </w:rPr>
        <w:t> </w:t>
      </w:r>
      <w:r>
        <w:rPr>
          <w:rFonts w:ascii="Arial"/>
          <w:i/>
          <w:sz w:val="20"/>
        </w:rPr>
        <w:t>Maltby</w:t>
      </w:r>
      <w:r>
        <w:rPr>
          <w:rFonts w:ascii="Arial"/>
          <w:i/>
          <w:spacing w:val="12"/>
          <w:sz w:val="20"/>
        </w:rPr>
        <w:t> </w:t>
      </w:r>
      <w:r>
        <w:rPr>
          <w:rFonts w:ascii="Arial"/>
          <w:i/>
          <w:sz w:val="20"/>
        </w:rPr>
        <w:t>(1789)</w:t>
      </w:r>
      <w:r>
        <w:rPr>
          <w:rFonts w:ascii="Arial"/>
          <w:i/>
          <w:spacing w:val="12"/>
          <w:sz w:val="20"/>
        </w:rPr>
        <w:t> </w:t>
      </w:r>
      <w:r>
        <w:rPr>
          <w:rFonts w:ascii="Arial"/>
          <w:i/>
          <w:sz w:val="20"/>
        </w:rPr>
        <w:t>3</w:t>
      </w:r>
      <w:r>
        <w:rPr>
          <w:rFonts w:ascii="Arial"/>
          <w:i/>
          <w:spacing w:val="12"/>
          <w:sz w:val="20"/>
        </w:rPr>
        <w:t> </w:t>
      </w:r>
      <w:r>
        <w:rPr>
          <w:rFonts w:ascii="Arial"/>
          <w:i/>
          <w:sz w:val="20"/>
        </w:rPr>
        <w:t>Term</w:t>
      </w:r>
      <w:r>
        <w:rPr>
          <w:rFonts w:ascii="Arial"/>
          <w:i/>
          <w:spacing w:val="12"/>
          <w:sz w:val="20"/>
        </w:rPr>
        <w:t> </w:t>
      </w:r>
      <w:r>
        <w:rPr>
          <w:rFonts w:ascii="Arial"/>
          <w:i/>
          <w:sz w:val="20"/>
        </w:rPr>
        <w:t>Rep.</w:t>
      </w:r>
      <w:r>
        <w:rPr>
          <w:rFonts w:ascii="Arial"/>
          <w:i/>
          <w:spacing w:val="12"/>
          <w:sz w:val="20"/>
        </w:rPr>
        <w:t> </w:t>
      </w:r>
      <w:r>
        <w:rPr>
          <w:rFonts w:ascii="Arial"/>
          <w:i/>
          <w:spacing w:val="-4"/>
          <w:sz w:val="20"/>
        </w:rPr>
        <w:t>438,</w:t>
      </w:r>
    </w:p>
    <w:p>
      <w:pPr>
        <w:spacing w:line="227" w:lineRule="exact" w:before="0"/>
        <w:ind w:left="705" w:right="0" w:firstLine="0"/>
        <w:jc w:val="left"/>
        <w:rPr>
          <w:sz w:val="20"/>
        </w:rPr>
      </w:pPr>
      <w:r>
        <w:rPr>
          <w:rFonts w:ascii="Arial"/>
          <w:i/>
          <w:sz w:val="20"/>
        </w:rPr>
        <w:t>441</w:t>
      </w:r>
      <w:r>
        <w:rPr>
          <w:sz w:val="20"/>
        </w:rPr>
        <w:t>;</w:t>
      </w:r>
      <w:r>
        <w:rPr>
          <w:spacing w:val="-1"/>
          <w:sz w:val="20"/>
        </w:rPr>
        <w:t> </w:t>
      </w:r>
      <w:r>
        <w:rPr>
          <w:rFonts w:ascii="Arial"/>
          <w:i/>
          <w:sz w:val="20"/>
        </w:rPr>
        <w:t>Potts v Nixon (1870) I.R. 5 C.L. </w:t>
      </w:r>
      <w:r>
        <w:rPr>
          <w:rFonts w:ascii="Arial"/>
          <w:i/>
          <w:spacing w:val="-5"/>
          <w:sz w:val="20"/>
        </w:rPr>
        <w:t>45</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i/>
          <w:sz w:val="20"/>
        </w:rPr>
      </w:pPr>
      <w:r>
        <w:rPr>
          <w:color w:val="005DA1"/>
          <w:spacing w:val="-4"/>
          <w:position w:val="5"/>
          <w:sz w:val="14"/>
          <w:u w:val="single" w:color="005DA1"/>
        </w:rPr>
        <w:t>971</w:t>
      </w:r>
      <w:r>
        <w:rPr>
          <w:spacing w:val="-4"/>
          <w:position w:val="5"/>
          <w:sz w:val="14"/>
        </w:rPr>
        <w:t>.</w:t>
      </w:r>
      <w:r>
        <w:rPr>
          <w:position w:val="5"/>
          <w:sz w:val="14"/>
        </w:rPr>
        <w:tab/>
      </w:r>
      <w:r>
        <w:rPr>
          <w:rFonts w:ascii="Arial"/>
          <w:i/>
          <w:sz w:val="20"/>
        </w:rPr>
        <w:t>Lainson</w:t>
      </w:r>
      <w:r>
        <w:rPr>
          <w:rFonts w:ascii="Arial"/>
          <w:i/>
          <w:spacing w:val="10"/>
          <w:sz w:val="20"/>
        </w:rPr>
        <w:t> </w:t>
      </w:r>
      <w:r>
        <w:rPr>
          <w:rFonts w:ascii="Arial"/>
          <w:i/>
          <w:sz w:val="20"/>
        </w:rPr>
        <w:t>v</w:t>
      </w:r>
      <w:r>
        <w:rPr>
          <w:rFonts w:ascii="Arial"/>
          <w:i/>
          <w:spacing w:val="13"/>
          <w:sz w:val="20"/>
        </w:rPr>
        <w:t> </w:t>
      </w:r>
      <w:r>
        <w:rPr>
          <w:rFonts w:ascii="Arial"/>
          <w:i/>
          <w:sz w:val="20"/>
        </w:rPr>
        <w:t>Tremere</w:t>
      </w:r>
      <w:r>
        <w:rPr>
          <w:rFonts w:ascii="Arial"/>
          <w:i/>
          <w:spacing w:val="13"/>
          <w:sz w:val="20"/>
        </w:rPr>
        <w:t> </w:t>
      </w:r>
      <w:r>
        <w:rPr>
          <w:rFonts w:ascii="Arial"/>
          <w:i/>
          <w:sz w:val="20"/>
        </w:rPr>
        <w:t>(1834)</w:t>
      </w:r>
      <w:r>
        <w:rPr>
          <w:rFonts w:ascii="Arial"/>
          <w:i/>
          <w:spacing w:val="13"/>
          <w:sz w:val="20"/>
        </w:rPr>
        <w:t> </w:t>
      </w:r>
      <w:r>
        <w:rPr>
          <w:rFonts w:ascii="Arial"/>
          <w:i/>
          <w:sz w:val="20"/>
        </w:rPr>
        <w:t>1</w:t>
      </w:r>
      <w:r>
        <w:rPr>
          <w:rFonts w:ascii="Arial"/>
          <w:i/>
          <w:spacing w:val="13"/>
          <w:sz w:val="20"/>
        </w:rPr>
        <w:t> </w:t>
      </w:r>
      <w:r>
        <w:rPr>
          <w:rFonts w:ascii="Arial"/>
          <w:i/>
          <w:sz w:val="20"/>
        </w:rPr>
        <w:t>Ad.</w:t>
      </w:r>
      <w:r>
        <w:rPr>
          <w:rFonts w:ascii="Arial"/>
          <w:i/>
          <w:spacing w:val="13"/>
          <w:sz w:val="20"/>
        </w:rPr>
        <w:t> </w:t>
      </w:r>
      <w:r>
        <w:rPr>
          <w:rFonts w:ascii="Arial"/>
          <w:i/>
          <w:sz w:val="20"/>
        </w:rPr>
        <w:t>&amp;</w:t>
      </w:r>
      <w:r>
        <w:rPr>
          <w:rFonts w:ascii="Arial"/>
          <w:i/>
          <w:spacing w:val="13"/>
          <w:sz w:val="20"/>
        </w:rPr>
        <w:t> </w:t>
      </w:r>
      <w:r>
        <w:rPr>
          <w:rFonts w:ascii="Arial"/>
          <w:i/>
          <w:sz w:val="20"/>
        </w:rPr>
        <w:t>El.</w:t>
      </w:r>
      <w:r>
        <w:rPr>
          <w:rFonts w:ascii="Arial"/>
          <w:i/>
          <w:spacing w:val="13"/>
          <w:sz w:val="20"/>
        </w:rPr>
        <w:t> </w:t>
      </w:r>
      <w:r>
        <w:rPr>
          <w:rFonts w:ascii="Arial"/>
          <w:i/>
          <w:sz w:val="20"/>
        </w:rPr>
        <w:t>792</w:t>
      </w:r>
      <w:r>
        <w:rPr>
          <w:sz w:val="20"/>
        </w:rPr>
        <w:t>;</w:t>
      </w:r>
      <w:r>
        <w:rPr>
          <w:spacing w:val="13"/>
          <w:sz w:val="20"/>
        </w:rPr>
        <w:t> </w:t>
      </w:r>
      <w:r>
        <w:rPr>
          <w:rFonts w:ascii="Arial"/>
          <w:i/>
          <w:sz w:val="20"/>
        </w:rPr>
        <w:t>Bowman</w:t>
      </w:r>
      <w:r>
        <w:rPr>
          <w:rFonts w:ascii="Arial"/>
          <w:i/>
          <w:spacing w:val="12"/>
          <w:sz w:val="20"/>
        </w:rPr>
        <w:t> </w:t>
      </w:r>
      <w:r>
        <w:rPr>
          <w:rFonts w:ascii="Arial"/>
          <w:i/>
          <w:sz w:val="20"/>
        </w:rPr>
        <w:t>v</w:t>
      </w:r>
      <w:r>
        <w:rPr>
          <w:rFonts w:ascii="Arial"/>
          <w:i/>
          <w:spacing w:val="13"/>
          <w:sz w:val="20"/>
        </w:rPr>
        <w:t> </w:t>
      </w:r>
      <w:r>
        <w:rPr>
          <w:rFonts w:ascii="Arial"/>
          <w:i/>
          <w:sz w:val="20"/>
        </w:rPr>
        <w:t>Taylor</w:t>
      </w:r>
      <w:r>
        <w:rPr>
          <w:rFonts w:ascii="Arial"/>
          <w:i/>
          <w:spacing w:val="13"/>
          <w:sz w:val="20"/>
        </w:rPr>
        <w:t> </w:t>
      </w:r>
      <w:r>
        <w:rPr>
          <w:rFonts w:ascii="Arial"/>
          <w:i/>
          <w:sz w:val="20"/>
        </w:rPr>
        <w:t>(1834)</w:t>
      </w:r>
      <w:r>
        <w:rPr>
          <w:rFonts w:ascii="Arial"/>
          <w:i/>
          <w:spacing w:val="13"/>
          <w:sz w:val="20"/>
        </w:rPr>
        <w:t> </w:t>
      </w:r>
      <w:r>
        <w:rPr>
          <w:rFonts w:ascii="Arial"/>
          <w:i/>
          <w:sz w:val="20"/>
        </w:rPr>
        <w:t>2</w:t>
      </w:r>
      <w:r>
        <w:rPr>
          <w:rFonts w:ascii="Arial"/>
          <w:i/>
          <w:spacing w:val="13"/>
          <w:sz w:val="20"/>
        </w:rPr>
        <w:t> </w:t>
      </w:r>
      <w:r>
        <w:rPr>
          <w:rFonts w:ascii="Arial"/>
          <w:i/>
          <w:sz w:val="20"/>
        </w:rPr>
        <w:t>Ad.</w:t>
      </w:r>
      <w:r>
        <w:rPr>
          <w:rFonts w:ascii="Arial"/>
          <w:i/>
          <w:spacing w:val="13"/>
          <w:sz w:val="20"/>
        </w:rPr>
        <w:t> </w:t>
      </w:r>
      <w:r>
        <w:rPr>
          <w:rFonts w:ascii="Arial"/>
          <w:i/>
          <w:sz w:val="20"/>
        </w:rPr>
        <w:t>&amp;</w:t>
      </w:r>
      <w:r>
        <w:rPr>
          <w:rFonts w:ascii="Arial"/>
          <w:i/>
          <w:spacing w:val="13"/>
          <w:sz w:val="20"/>
        </w:rPr>
        <w:t> </w:t>
      </w:r>
      <w:r>
        <w:rPr>
          <w:rFonts w:ascii="Arial"/>
          <w:i/>
          <w:sz w:val="20"/>
        </w:rPr>
        <w:t>El.</w:t>
      </w:r>
      <w:r>
        <w:rPr>
          <w:rFonts w:ascii="Arial"/>
          <w:i/>
          <w:spacing w:val="13"/>
          <w:sz w:val="20"/>
        </w:rPr>
        <w:t> </w:t>
      </w:r>
      <w:r>
        <w:rPr>
          <w:rFonts w:ascii="Arial"/>
          <w:i/>
          <w:sz w:val="20"/>
        </w:rPr>
        <w:t>278</w:t>
      </w:r>
      <w:r>
        <w:rPr>
          <w:sz w:val="20"/>
        </w:rPr>
        <w:t>;</w:t>
      </w:r>
      <w:r>
        <w:rPr>
          <w:spacing w:val="13"/>
          <w:sz w:val="20"/>
        </w:rPr>
        <w:t> </w:t>
      </w:r>
      <w:r>
        <w:rPr>
          <w:rFonts w:ascii="Arial"/>
          <w:i/>
          <w:sz w:val="20"/>
        </w:rPr>
        <w:t>Young</w:t>
      </w:r>
      <w:r>
        <w:rPr>
          <w:rFonts w:ascii="Arial"/>
          <w:i/>
          <w:spacing w:val="13"/>
          <w:sz w:val="20"/>
        </w:rPr>
        <w:t> </w:t>
      </w:r>
      <w:r>
        <w:rPr>
          <w:rFonts w:ascii="Arial"/>
          <w:i/>
          <w:spacing w:val="-10"/>
          <w:sz w:val="20"/>
        </w:rPr>
        <w:t>v</w:t>
      </w:r>
    </w:p>
    <w:p>
      <w:pPr>
        <w:spacing w:line="227" w:lineRule="exact" w:before="0"/>
        <w:ind w:left="705" w:right="0" w:firstLine="0"/>
        <w:jc w:val="left"/>
        <w:rPr>
          <w:sz w:val="20"/>
        </w:rPr>
      </w:pPr>
      <w:r>
        <w:rPr>
          <w:rFonts w:ascii="Arial"/>
          <w:i/>
          <w:sz w:val="20"/>
        </w:rPr>
        <w:t>Raincock (1849) 7 C.B. 310, </w:t>
      </w:r>
      <w:r>
        <w:rPr>
          <w:rFonts w:ascii="Arial"/>
          <w:i/>
          <w:spacing w:val="-4"/>
          <w:sz w:val="20"/>
        </w:rPr>
        <w:t>338</w:t>
      </w:r>
      <w:r>
        <w:rPr>
          <w:spacing w:val="-4"/>
          <w:sz w:val="20"/>
        </w:rPr>
        <w:t>.</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972</w:t>
      </w:r>
      <w:r>
        <w:rPr>
          <w:spacing w:val="-4"/>
          <w:position w:val="5"/>
          <w:sz w:val="14"/>
        </w:rPr>
        <w:t>.</w:t>
      </w:r>
      <w:r>
        <w:rPr>
          <w:position w:val="5"/>
          <w:sz w:val="14"/>
        </w:rPr>
        <w:tab/>
      </w:r>
      <w:r>
        <w:rPr>
          <w:rFonts w:ascii="Arial" w:hAnsi="Arial"/>
          <w:i/>
          <w:sz w:val="20"/>
        </w:rPr>
        <w:t>Stroughill</w:t>
      </w:r>
      <w:r>
        <w:rPr>
          <w:rFonts w:ascii="Arial" w:hAnsi="Arial"/>
          <w:i/>
          <w:spacing w:val="-3"/>
          <w:sz w:val="20"/>
        </w:rPr>
        <w:t> </w:t>
      </w:r>
      <w:r>
        <w:rPr>
          <w:rFonts w:ascii="Arial" w:hAnsi="Arial"/>
          <w:i/>
          <w:sz w:val="20"/>
        </w:rPr>
        <w:t>v Buck (1850) 14 Q.B. 781, 787</w:t>
      </w:r>
      <w:r>
        <w:rPr>
          <w:sz w:val="20"/>
        </w:rPr>
        <w:t>; cf. </w:t>
      </w:r>
      <w:r>
        <w:rPr>
          <w:rFonts w:ascii="Arial" w:hAnsi="Arial"/>
          <w:i/>
          <w:sz w:val="20"/>
        </w:rPr>
        <w:t>Greer v Kettle [1938] A.C. 156, </w:t>
      </w:r>
      <w:r>
        <w:rPr>
          <w:rFonts w:ascii="Arial" w:hAnsi="Arial"/>
          <w:i/>
          <w:spacing w:val="-2"/>
          <w:sz w:val="20"/>
        </w:rPr>
        <w:t>168–171</w:t>
      </w:r>
      <w:r>
        <w:rPr>
          <w:spacing w:val="-2"/>
          <w:sz w:val="20"/>
        </w:rPr>
        <w:t>.</w:t>
      </w:r>
    </w:p>
    <w:p>
      <w:pPr>
        <w:spacing w:after="0"/>
        <w:jc w:val="left"/>
        <w:rPr>
          <w:sz w:val="20"/>
        </w:rPr>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r>
        <w:rPr>
          <w:color w:val="005DA1"/>
          <w:spacing w:val="-4"/>
          <w:position w:val="5"/>
          <w:sz w:val="14"/>
          <w:u w:val="single" w:color="005DA1"/>
        </w:rPr>
        <w:t>973</w:t>
      </w:r>
      <w:r>
        <w:rPr>
          <w:spacing w:val="-4"/>
          <w:position w:val="5"/>
          <w:sz w:val="14"/>
        </w:rPr>
        <w:t>.</w:t>
      </w:r>
      <w:r>
        <w:rPr>
          <w:position w:val="5"/>
          <w:sz w:val="14"/>
        </w:rPr>
        <w:tab/>
      </w:r>
      <w:r>
        <w:rPr>
          <w:rFonts w:ascii="Arial"/>
          <w:i/>
          <w:sz w:val="20"/>
        </w:rPr>
        <w:t>Carpenter v Buller (1841) 8 M. &amp; W. 209, </w:t>
      </w:r>
      <w:r>
        <w:rPr>
          <w:rFonts w:ascii="Arial"/>
          <w:i/>
          <w:spacing w:val="-4"/>
          <w:sz w:val="20"/>
        </w:rPr>
        <w:t>212</w:t>
      </w:r>
      <w:r>
        <w:rPr>
          <w:spacing w:val="-4"/>
          <w:sz w:val="20"/>
        </w:rPr>
        <w:t>.</w:t>
      </w:r>
    </w:p>
    <w:p>
      <w:pPr>
        <w:pStyle w:val="BodyText"/>
        <w:spacing w:before="5"/>
      </w:pPr>
    </w:p>
    <w:p>
      <w:pPr>
        <w:tabs>
          <w:tab w:pos="705" w:val="left" w:leader="none"/>
        </w:tabs>
        <w:spacing w:line="227" w:lineRule="exact" w:before="1"/>
        <w:ind w:left="165" w:right="0" w:firstLine="0"/>
        <w:jc w:val="left"/>
        <w:rPr>
          <w:sz w:val="20"/>
        </w:rPr>
      </w:pPr>
      <w:r>
        <w:rPr>
          <w:color w:val="005DA1"/>
          <w:spacing w:val="-4"/>
          <w:position w:val="5"/>
          <w:sz w:val="14"/>
          <w:u w:val="single" w:color="005DA1"/>
        </w:rPr>
        <w:t>974</w:t>
      </w:r>
      <w:r>
        <w:rPr>
          <w:spacing w:val="-4"/>
          <w:position w:val="5"/>
          <w:sz w:val="14"/>
        </w:rPr>
        <w:t>.</w:t>
      </w:r>
      <w:r>
        <w:rPr>
          <w:position w:val="5"/>
          <w:sz w:val="14"/>
        </w:rPr>
        <w:tab/>
      </w:r>
      <w:r>
        <w:rPr>
          <w:rFonts w:ascii="Arial"/>
          <w:i/>
          <w:sz w:val="20"/>
        </w:rPr>
        <w:t>Carpenter</w:t>
      </w:r>
      <w:r>
        <w:rPr>
          <w:rFonts w:ascii="Arial"/>
          <w:i/>
          <w:spacing w:val="9"/>
          <w:sz w:val="20"/>
        </w:rPr>
        <w:t> </w:t>
      </w:r>
      <w:r>
        <w:rPr>
          <w:rFonts w:ascii="Arial"/>
          <w:i/>
          <w:sz w:val="20"/>
        </w:rPr>
        <w:t>v</w:t>
      </w:r>
      <w:r>
        <w:rPr>
          <w:rFonts w:ascii="Arial"/>
          <w:i/>
          <w:spacing w:val="9"/>
          <w:sz w:val="20"/>
        </w:rPr>
        <w:t> </w:t>
      </w:r>
      <w:r>
        <w:rPr>
          <w:rFonts w:ascii="Arial"/>
          <w:i/>
          <w:sz w:val="20"/>
        </w:rPr>
        <w:t>Buller</w:t>
      </w:r>
      <w:r>
        <w:rPr>
          <w:rFonts w:ascii="Arial"/>
          <w:i/>
          <w:spacing w:val="9"/>
          <w:sz w:val="20"/>
        </w:rPr>
        <w:t> </w:t>
      </w:r>
      <w:r>
        <w:rPr>
          <w:rFonts w:ascii="Arial"/>
          <w:i/>
          <w:sz w:val="20"/>
        </w:rPr>
        <w:t>(1841)</w:t>
      </w:r>
      <w:r>
        <w:rPr>
          <w:rFonts w:ascii="Arial"/>
          <w:i/>
          <w:spacing w:val="9"/>
          <w:sz w:val="20"/>
        </w:rPr>
        <w:t> </w:t>
      </w:r>
      <w:r>
        <w:rPr>
          <w:rFonts w:ascii="Arial"/>
          <w:i/>
          <w:sz w:val="20"/>
        </w:rPr>
        <w:t>8</w:t>
      </w:r>
      <w:r>
        <w:rPr>
          <w:rFonts w:ascii="Arial"/>
          <w:i/>
          <w:spacing w:val="9"/>
          <w:sz w:val="20"/>
        </w:rPr>
        <w:t> </w:t>
      </w:r>
      <w:r>
        <w:rPr>
          <w:rFonts w:ascii="Arial"/>
          <w:i/>
          <w:sz w:val="20"/>
        </w:rPr>
        <w:t>M.</w:t>
      </w:r>
      <w:r>
        <w:rPr>
          <w:rFonts w:ascii="Arial"/>
          <w:i/>
          <w:spacing w:val="9"/>
          <w:sz w:val="20"/>
        </w:rPr>
        <w:t> </w:t>
      </w:r>
      <w:r>
        <w:rPr>
          <w:rFonts w:ascii="Arial"/>
          <w:i/>
          <w:sz w:val="20"/>
        </w:rPr>
        <w:t>&amp;</w:t>
      </w:r>
      <w:r>
        <w:rPr>
          <w:rFonts w:ascii="Arial"/>
          <w:i/>
          <w:spacing w:val="9"/>
          <w:sz w:val="20"/>
        </w:rPr>
        <w:t> </w:t>
      </w:r>
      <w:r>
        <w:rPr>
          <w:rFonts w:ascii="Arial"/>
          <w:i/>
          <w:sz w:val="20"/>
        </w:rPr>
        <w:t>W.</w:t>
      </w:r>
      <w:r>
        <w:rPr>
          <w:rFonts w:ascii="Arial"/>
          <w:i/>
          <w:spacing w:val="9"/>
          <w:sz w:val="20"/>
        </w:rPr>
        <w:t> </w:t>
      </w:r>
      <w:r>
        <w:rPr>
          <w:rFonts w:ascii="Arial"/>
          <w:i/>
          <w:sz w:val="20"/>
        </w:rPr>
        <w:t>209</w:t>
      </w:r>
      <w:r>
        <w:rPr>
          <w:rFonts w:ascii="Arial"/>
          <w:i/>
          <w:spacing w:val="9"/>
          <w:sz w:val="20"/>
        </w:rPr>
        <w:t> </w:t>
      </w:r>
      <w:r>
        <w:rPr>
          <w:sz w:val="20"/>
        </w:rPr>
        <w:t>at</w:t>
      </w:r>
      <w:r>
        <w:rPr>
          <w:spacing w:val="9"/>
          <w:sz w:val="20"/>
        </w:rPr>
        <w:t> </w:t>
      </w:r>
      <w:r>
        <w:rPr>
          <w:sz w:val="20"/>
        </w:rPr>
        <w:t>[213];</w:t>
      </w:r>
      <w:r>
        <w:rPr>
          <w:spacing w:val="9"/>
          <w:sz w:val="20"/>
        </w:rPr>
        <w:t> </w:t>
      </w:r>
      <w:r>
        <w:rPr>
          <w:rFonts w:ascii="Arial"/>
          <w:i/>
          <w:sz w:val="20"/>
        </w:rPr>
        <w:t>Wiles</w:t>
      </w:r>
      <w:r>
        <w:rPr>
          <w:rFonts w:ascii="Arial"/>
          <w:i/>
          <w:spacing w:val="9"/>
          <w:sz w:val="20"/>
        </w:rPr>
        <w:t> </w:t>
      </w:r>
      <w:r>
        <w:rPr>
          <w:rFonts w:ascii="Arial"/>
          <w:i/>
          <w:sz w:val="20"/>
        </w:rPr>
        <w:t>v</w:t>
      </w:r>
      <w:r>
        <w:rPr>
          <w:rFonts w:ascii="Arial"/>
          <w:i/>
          <w:spacing w:val="9"/>
          <w:sz w:val="20"/>
        </w:rPr>
        <w:t> </w:t>
      </w:r>
      <w:r>
        <w:rPr>
          <w:rFonts w:ascii="Arial"/>
          <w:i/>
          <w:sz w:val="20"/>
        </w:rPr>
        <w:t>Woodward</w:t>
      </w:r>
      <w:r>
        <w:rPr>
          <w:rFonts w:ascii="Arial"/>
          <w:i/>
          <w:spacing w:val="9"/>
          <w:sz w:val="20"/>
        </w:rPr>
        <w:t> </w:t>
      </w:r>
      <w:r>
        <w:rPr>
          <w:rFonts w:ascii="Arial"/>
          <w:i/>
          <w:sz w:val="20"/>
        </w:rPr>
        <w:t>(1850)</w:t>
      </w:r>
      <w:r>
        <w:rPr>
          <w:rFonts w:ascii="Arial"/>
          <w:i/>
          <w:spacing w:val="9"/>
          <w:sz w:val="20"/>
        </w:rPr>
        <w:t> </w:t>
      </w:r>
      <w:r>
        <w:rPr>
          <w:rFonts w:ascii="Arial"/>
          <w:i/>
          <w:sz w:val="20"/>
        </w:rPr>
        <w:t>5</w:t>
      </w:r>
      <w:r>
        <w:rPr>
          <w:rFonts w:ascii="Arial"/>
          <w:i/>
          <w:spacing w:val="9"/>
          <w:sz w:val="20"/>
        </w:rPr>
        <w:t> </w:t>
      </w:r>
      <w:r>
        <w:rPr>
          <w:rFonts w:ascii="Arial"/>
          <w:i/>
          <w:sz w:val="20"/>
        </w:rPr>
        <w:t>Exch.</w:t>
      </w:r>
      <w:r>
        <w:rPr>
          <w:rFonts w:ascii="Arial"/>
          <w:i/>
          <w:spacing w:val="9"/>
          <w:sz w:val="20"/>
        </w:rPr>
        <w:t> </w:t>
      </w:r>
      <w:r>
        <w:rPr>
          <w:rFonts w:ascii="Arial"/>
          <w:i/>
          <w:sz w:val="20"/>
        </w:rPr>
        <w:t>557,</w:t>
      </w:r>
      <w:r>
        <w:rPr>
          <w:rFonts w:ascii="Arial"/>
          <w:i/>
          <w:spacing w:val="9"/>
          <w:sz w:val="20"/>
        </w:rPr>
        <w:t> </w:t>
      </w:r>
      <w:r>
        <w:rPr>
          <w:rFonts w:ascii="Arial"/>
          <w:i/>
          <w:spacing w:val="-4"/>
          <w:sz w:val="20"/>
        </w:rPr>
        <w:t>563</w:t>
      </w:r>
      <w:r>
        <w:rPr>
          <w:spacing w:val="-4"/>
          <w:sz w:val="20"/>
        </w:rPr>
        <w:t>;</w:t>
      </w:r>
    </w:p>
    <w:p>
      <w:pPr>
        <w:spacing w:line="227" w:lineRule="exact" w:before="0"/>
        <w:ind w:left="705" w:right="0" w:firstLine="0"/>
        <w:jc w:val="left"/>
        <w:rPr>
          <w:sz w:val="20"/>
        </w:rPr>
      </w:pPr>
      <w:r>
        <w:rPr>
          <w:rFonts w:ascii="Arial"/>
          <w:i/>
          <w:sz w:val="20"/>
        </w:rPr>
        <w:t>Ex p. Morgan (1875) 2 Ch. D. </w:t>
      </w:r>
      <w:r>
        <w:rPr>
          <w:rFonts w:ascii="Arial"/>
          <w:i/>
          <w:spacing w:val="-5"/>
          <w:sz w:val="20"/>
        </w:rPr>
        <w:t>72</w:t>
      </w:r>
      <w:r>
        <w:rPr>
          <w:spacing w:val="-5"/>
          <w:sz w:val="20"/>
        </w:rPr>
        <w:t>.</w:t>
      </w:r>
    </w:p>
    <w:p>
      <w:pPr>
        <w:pStyle w:val="BodyText"/>
        <w:spacing w:before="8"/>
      </w:pPr>
    </w:p>
    <w:p>
      <w:pPr>
        <w:spacing w:line="235" w:lineRule="auto" w:before="0"/>
        <w:ind w:left="705" w:right="168" w:hanging="541"/>
        <w:jc w:val="both"/>
        <w:rPr>
          <w:sz w:val="20"/>
        </w:rPr>
      </w:pPr>
      <w:r>
        <w:rPr>
          <w:color w:val="005DA1"/>
          <w:position w:val="5"/>
          <w:sz w:val="14"/>
          <w:u w:val="single" w:color="005DA1"/>
        </w:rPr>
        <w:t>975</w:t>
      </w:r>
      <w:r>
        <w:rPr>
          <w:position w:val="5"/>
          <w:sz w:val="14"/>
        </w:rPr>
        <w:t>.</w:t>
      </w:r>
      <w:r>
        <w:rPr>
          <w:spacing w:val="40"/>
          <w:position w:val="5"/>
          <w:sz w:val="14"/>
        </w:rPr>
        <w:t>  </w:t>
      </w:r>
      <w:r>
        <w:rPr>
          <w:rFonts w:ascii="Arial"/>
          <w:i/>
          <w:sz w:val="20"/>
        </w:rPr>
        <w:t>Bensley v Burdon (1830) 8 L.J.(O.S.) Ch. 85, 87</w:t>
      </w:r>
      <w:r>
        <w:rPr>
          <w:sz w:val="20"/>
        </w:rPr>
        <w:t>; </w:t>
      </w:r>
      <w:r>
        <w:rPr>
          <w:rFonts w:ascii="Arial"/>
          <w:i/>
          <w:sz w:val="20"/>
        </w:rPr>
        <w:t>Right v Bucknell (1831) 2 B. &amp; Ad. 278, 282</w:t>
      </w:r>
      <w:r>
        <w:rPr>
          <w:sz w:val="20"/>
        </w:rPr>
        <w:t>; </w:t>
      </w:r>
      <w:r>
        <w:rPr>
          <w:rFonts w:ascii="Arial"/>
          <w:i/>
          <w:sz w:val="20"/>
        </w:rPr>
        <w:t>Heath v Crealock (1874) L.R. 10 Ch. App. 22</w:t>
      </w:r>
      <w:r>
        <w:rPr>
          <w:sz w:val="20"/>
        </w:rPr>
        <w:t>; </w:t>
      </w:r>
      <w:r>
        <w:rPr>
          <w:rFonts w:ascii="Arial"/>
          <w:i/>
          <w:sz w:val="20"/>
        </w:rPr>
        <w:t>General Finance, etc., Co v Liberator, etc., Building</w:t>
      </w:r>
      <w:r>
        <w:rPr>
          <w:rFonts w:ascii="Arial"/>
          <w:i/>
          <w:spacing w:val="32"/>
          <w:sz w:val="20"/>
        </w:rPr>
        <w:t> </w:t>
      </w:r>
      <w:r>
        <w:rPr>
          <w:rFonts w:ascii="Arial"/>
          <w:i/>
          <w:sz w:val="20"/>
        </w:rPr>
        <w:t>Society</w:t>
      </w:r>
      <w:r>
        <w:rPr>
          <w:rFonts w:ascii="Arial"/>
          <w:i/>
          <w:spacing w:val="35"/>
          <w:sz w:val="20"/>
        </w:rPr>
        <w:t> </w:t>
      </w:r>
      <w:r>
        <w:rPr>
          <w:rFonts w:ascii="Arial"/>
          <w:i/>
          <w:sz w:val="20"/>
        </w:rPr>
        <w:t>(1879)</w:t>
      </w:r>
      <w:r>
        <w:rPr>
          <w:rFonts w:ascii="Arial"/>
          <w:i/>
          <w:spacing w:val="35"/>
          <w:sz w:val="20"/>
        </w:rPr>
        <w:t> </w:t>
      </w:r>
      <w:r>
        <w:rPr>
          <w:rFonts w:ascii="Arial"/>
          <w:i/>
          <w:sz w:val="20"/>
        </w:rPr>
        <w:t>10</w:t>
      </w:r>
      <w:r>
        <w:rPr>
          <w:rFonts w:ascii="Arial"/>
          <w:i/>
          <w:spacing w:val="35"/>
          <w:sz w:val="20"/>
        </w:rPr>
        <w:t> </w:t>
      </w:r>
      <w:r>
        <w:rPr>
          <w:rFonts w:ascii="Arial"/>
          <w:i/>
          <w:sz w:val="20"/>
        </w:rPr>
        <w:t>Ch.</w:t>
      </w:r>
      <w:r>
        <w:rPr>
          <w:rFonts w:ascii="Arial"/>
          <w:i/>
          <w:spacing w:val="35"/>
          <w:sz w:val="20"/>
        </w:rPr>
        <w:t> </w:t>
      </w:r>
      <w:r>
        <w:rPr>
          <w:rFonts w:ascii="Arial"/>
          <w:i/>
          <w:sz w:val="20"/>
        </w:rPr>
        <w:t>D.</w:t>
      </w:r>
      <w:r>
        <w:rPr>
          <w:rFonts w:ascii="Arial"/>
          <w:i/>
          <w:spacing w:val="35"/>
          <w:sz w:val="20"/>
        </w:rPr>
        <w:t> </w:t>
      </w:r>
      <w:r>
        <w:rPr>
          <w:rFonts w:ascii="Arial"/>
          <w:i/>
          <w:sz w:val="20"/>
        </w:rPr>
        <w:t>15</w:t>
      </w:r>
      <w:r>
        <w:rPr>
          <w:sz w:val="20"/>
        </w:rPr>
        <w:t>;</w:t>
      </w:r>
      <w:r>
        <w:rPr>
          <w:spacing w:val="35"/>
          <w:sz w:val="20"/>
        </w:rPr>
        <w:t> </w:t>
      </w:r>
      <w:r>
        <w:rPr>
          <w:rFonts w:ascii="Arial"/>
          <w:i/>
          <w:sz w:val="20"/>
        </w:rPr>
        <w:t>Onward</w:t>
      </w:r>
      <w:r>
        <w:rPr>
          <w:rFonts w:ascii="Arial"/>
          <w:i/>
          <w:spacing w:val="35"/>
          <w:sz w:val="20"/>
        </w:rPr>
        <w:t> </w:t>
      </w:r>
      <w:r>
        <w:rPr>
          <w:rFonts w:ascii="Arial"/>
          <w:i/>
          <w:sz w:val="20"/>
        </w:rPr>
        <w:t>Building</w:t>
      </w:r>
      <w:r>
        <w:rPr>
          <w:rFonts w:ascii="Arial"/>
          <w:i/>
          <w:spacing w:val="35"/>
          <w:sz w:val="20"/>
        </w:rPr>
        <w:t> </w:t>
      </w:r>
      <w:r>
        <w:rPr>
          <w:rFonts w:ascii="Arial"/>
          <w:i/>
          <w:sz w:val="20"/>
        </w:rPr>
        <w:t>Society</w:t>
      </w:r>
      <w:r>
        <w:rPr>
          <w:rFonts w:ascii="Arial"/>
          <w:i/>
          <w:spacing w:val="35"/>
          <w:sz w:val="20"/>
        </w:rPr>
        <w:t> </w:t>
      </w:r>
      <w:r>
        <w:rPr>
          <w:rFonts w:ascii="Arial"/>
          <w:i/>
          <w:sz w:val="20"/>
        </w:rPr>
        <w:t>v</w:t>
      </w:r>
      <w:r>
        <w:rPr>
          <w:rFonts w:ascii="Arial"/>
          <w:i/>
          <w:spacing w:val="35"/>
          <w:sz w:val="20"/>
        </w:rPr>
        <w:t> </w:t>
      </w:r>
      <w:r>
        <w:rPr>
          <w:rFonts w:ascii="Arial"/>
          <w:i/>
          <w:sz w:val="20"/>
        </w:rPr>
        <w:t>Smithson</w:t>
      </w:r>
      <w:r>
        <w:rPr>
          <w:rFonts w:ascii="Arial"/>
          <w:i/>
          <w:spacing w:val="35"/>
          <w:sz w:val="20"/>
        </w:rPr>
        <w:t> </w:t>
      </w:r>
      <w:r>
        <w:rPr>
          <w:rFonts w:ascii="Arial"/>
          <w:i/>
          <w:sz w:val="20"/>
        </w:rPr>
        <w:t>[1893]</w:t>
      </w:r>
      <w:r>
        <w:rPr>
          <w:rFonts w:ascii="Arial"/>
          <w:i/>
          <w:spacing w:val="35"/>
          <w:sz w:val="20"/>
        </w:rPr>
        <w:t> </w:t>
      </w:r>
      <w:r>
        <w:rPr>
          <w:rFonts w:ascii="Arial"/>
          <w:i/>
          <w:sz w:val="20"/>
        </w:rPr>
        <w:t>1</w:t>
      </w:r>
      <w:r>
        <w:rPr>
          <w:rFonts w:ascii="Arial"/>
          <w:i/>
          <w:spacing w:val="35"/>
          <w:sz w:val="20"/>
        </w:rPr>
        <w:t> </w:t>
      </w:r>
      <w:r>
        <w:rPr>
          <w:rFonts w:ascii="Arial"/>
          <w:i/>
          <w:sz w:val="20"/>
        </w:rPr>
        <w:t>Ch.</w:t>
      </w:r>
      <w:r>
        <w:rPr>
          <w:rFonts w:ascii="Arial"/>
          <w:i/>
          <w:spacing w:val="35"/>
          <w:sz w:val="20"/>
        </w:rPr>
        <w:t> </w:t>
      </w:r>
      <w:r>
        <w:rPr>
          <w:rFonts w:ascii="Arial"/>
          <w:i/>
          <w:spacing w:val="-7"/>
          <w:sz w:val="20"/>
        </w:rPr>
        <w:t>1</w:t>
      </w:r>
      <w:r>
        <w:rPr>
          <w:spacing w:val="-7"/>
          <w:sz w:val="20"/>
        </w:rPr>
        <w:t>;</w:t>
      </w:r>
    </w:p>
    <w:p>
      <w:pPr>
        <w:spacing w:line="225" w:lineRule="exact" w:before="0"/>
        <w:ind w:left="705" w:right="0" w:firstLine="0"/>
        <w:jc w:val="both"/>
        <w:rPr>
          <w:sz w:val="20"/>
        </w:rPr>
      </w:pPr>
      <w:r>
        <w:rPr>
          <w:rFonts w:ascii="Arial"/>
          <w:i/>
          <w:sz w:val="20"/>
        </w:rPr>
        <w:t>Poulton</w:t>
      </w:r>
      <w:r>
        <w:rPr>
          <w:rFonts w:ascii="Arial"/>
          <w:i/>
          <w:spacing w:val="-1"/>
          <w:sz w:val="20"/>
        </w:rPr>
        <w:t> </w:t>
      </w:r>
      <w:r>
        <w:rPr>
          <w:rFonts w:ascii="Arial"/>
          <w:i/>
          <w:sz w:val="20"/>
        </w:rPr>
        <w:t>v Moore [1915] 1 K.B. 400</w:t>
      </w:r>
      <w:r>
        <w:rPr>
          <w:sz w:val="20"/>
        </w:rPr>
        <w:t>; cf. </w:t>
      </w:r>
      <w:r>
        <w:rPr>
          <w:rFonts w:ascii="Arial"/>
          <w:i/>
          <w:sz w:val="20"/>
        </w:rPr>
        <w:t>Trinidad Asphalte Co v Coryat [1896] A.C. </w:t>
      </w:r>
      <w:r>
        <w:rPr>
          <w:rFonts w:ascii="Arial"/>
          <w:i/>
          <w:spacing w:val="-4"/>
          <w:sz w:val="20"/>
        </w:rPr>
        <w:t>587</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r>
        <w:rPr>
          <w:color w:val="005DA1"/>
          <w:spacing w:val="-4"/>
          <w:position w:val="5"/>
          <w:sz w:val="14"/>
          <w:u w:val="single" w:color="005DA1"/>
        </w:rPr>
        <w:t>976</w:t>
      </w:r>
      <w:r>
        <w:rPr>
          <w:spacing w:val="-4"/>
          <w:position w:val="5"/>
          <w:sz w:val="14"/>
        </w:rPr>
        <w:t>.</w:t>
      </w:r>
      <w:r>
        <w:rPr>
          <w:position w:val="5"/>
          <w:sz w:val="14"/>
        </w:rPr>
        <w:tab/>
      </w:r>
      <w:r>
        <w:rPr>
          <w:rFonts w:ascii="Arial"/>
          <w:i/>
          <w:sz w:val="20"/>
        </w:rPr>
        <w:t>Collins</w:t>
      </w:r>
      <w:r>
        <w:rPr>
          <w:rFonts w:ascii="Arial"/>
          <w:i/>
          <w:spacing w:val="32"/>
          <w:sz w:val="20"/>
        </w:rPr>
        <w:t> </w:t>
      </w:r>
      <w:r>
        <w:rPr>
          <w:rFonts w:ascii="Arial"/>
          <w:i/>
          <w:sz w:val="20"/>
        </w:rPr>
        <w:t>v</w:t>
      </w:r>
      <w:r>
        <w:rPr>
          <w:rFonts w:ascii="Arial"/>
          <w:i/>
          <w:spacing w:val="32"/>
          <w:sz w:val="20"/>
        </w:rPr>
        <w:t> </w:t>
      </w:r>
      <w:r>
        <w:rPr>
          <w:rFonts w:ascii="Arial"/>
          <w:i/>
          <w:sz w:val="20"/>
        </w:rPr>
        <w:t>Blantern</w:t>
      </w:r>
      <w:r>
        <w:rPr>
          <w:rFonts w:ascii="Arial"/>
          <w:i/>
          <w:spacing w:val="32"/>
          <w:sz w:val="20"/>
        </w:rPr>
        <w:t> </w:t>
      </w:r>
      <w:r>
        <w:rPr>
          <w:rFonts w:ascii="Arial"/>
          <w:i/>
          <w:sz w:val="20"/>
        </w:rPr>
        <w:t>(1767)</w:t>
      </w:r>
      <w:r>
        <w:rPr>
          <w:rFonts w:ascii="Arial"/>
          <w:i/>
          <w:spacing w:val="32"/>
          <w:sz w:val="20"/>
        </w:rPr>
        <w:t> </w:t>
      </w:r>
      <w:r>
        <w:rPr>
          <w:rFonts w:ascii="Arial"/>
          <w:i/>
          <w:sz w:val="20"/>
        </w:rPr>
        <w:t>2</w:t>
      </w:r>
      <w:r>
        <w:rPr>
          <w:rFonts w:ascii="Arial"/>
          <w:i/>
          <w:spacing w:val="32"/>
          <w:sz w:val="20"/>
        </w:rPr>
        <w:t> </w:t>
      </w:r>
      <w:r>
        <w:rPr>
          <w:rFonts w:ascii="Arial"/>
          <w:i/>
          <w:sz w:val="20"/>
        </w:rPr>
        <w:t>Wils.</w:t>
      </w:r>
      <w:r>
        <w:rPr>
          <w:rFonts w:ascii="Arial"/>
          <w:i/>
          <w:spacing w:val="32"/>
          <w:sz w:val="20"/>
        </w:rPr>
        <w:t> </w:t>
      </w:r>
      <w:r>
        <w:rPr>
          <w:rFonts w:ascii="Arial"/>
          <w:i/>
          <w:sz w:val="20"/>
        </w:rPr>
        <w:t>K.B.</w:t>
      </w:r>
      <w:r>
        <w:rPr>
          <w:rFonts w:ascii="Arial"/>
          <w:i/>
          <w:spacing w:val="32"/>
          <w:sz w:val="20"/>
        </w:rPr>
        <w:t> </w:t>
      </w:r>
      <w:r>
        <w:rPr>
          <w:rFonts w:ascii="Arial"/>
          <w:i/>
          <w:sz w:val="20"/>
        </w:rPr>
        <w:t>341</w:t>
      </w:r>
      <w:r>
        <w:rPr>
          <w:sz w:val="20"/>
        </w:rPr>
        <w:t>;</w:t>
      </w:r>
      <w:r>
        <w:rPr>
          <w:spacing w:val="32"/>
          <w:sz w:val="20"/>
        </w:rPr>
        <w:t> </w:t>
      </w:r>
      <w:r>
        <w:rPr>
          <w:rFonts w:ascii="Arial"/>
          <w:i/>
          <w:sz w:val="20"/>
        </w:rPr>
        <w:t>Hayne</w:t>
      </w:r>
      <w:r>
        <w:rPr>
          <w:rFonts w:ascii="Arial"/>
          <w:i/>
          <w:spacing w:val="32"/>
          <w:sz w:val="20"/>
        </w:rPr>
        <w:t> </w:t>
      </w:r>
      <w:r>
        <w:rPr>
          <w:rFonts w:ascii="Arial"/>
          <w:i/>
          <w:sz w:val="20"/>
        </w:rPr>
        <w:t>v</w:t>
      </w:r>
      <w:r>
        <w:rPr>
          <w:rFonts w:ascii="Arial"/>
          <w:i/>
          <w:spacing w:val="32"/>
          <w:sz w:val="20"/>
        </w:rPr>
        <w:t> </w:t>
      </w:r>
      <w:r>
        <w:rPr>
          <w:rFonts w:ascii="Arial"/>
          <w:i/>
          <w:sz w:val="20"/>
        </w:rPr>
        <w:t>Maltby</w:t>
      </w:r>
      <w:r>
        <w:rPr>
          <w:rFonts w:ascii="Arial"/>
          <w:i/>
          <w:spacing w:val="32"/>
          <w:sz w:val="20"/>
        </w:rPr>
        <w:t> </w:t>
      </w:r>
      <w:r>
        <w:rPr>
          <w:rFonts w:ascii="Arial"/>
          <w:i/>
          <w:sz w:val="20"/>
        </w:rPr>
        <w:t>(1789)</w:t>
      </w:r>
      <w:r>
        <w:rPr>
          <w:rFonts w:ascii="Arial"/>
          <w:i/>
          <w:spacing w:val="32"/>
          <w:sz w:val="20"/>
        </w:rPr>
        <w:t> </w:t>
      </w:r>
      <w:r>
        <w:rPr>
          <w:rFonts w:ascii="Arial"/>
          <w:i/>
          <w:sz w:val="20"/>
        </w:rPr>
        <w:t>3</w:t>
      </w:r>
      <w:r>
        <w:rPr>
          <w:rFonts w:ascii="Arial"/>
          <w:i/>
          <w:spacing w:val="32"/>
          <w:sz w:val="20"/>
        </w:rPr>
        <w:t> </w:t>
      </w:r>
      <w:r>
        <w:rPr>
          <w:rFonts w:ascii="Arial"/>
          <w:i/>
          <w:sz w:val="20"/>
        </w:rPr>
        <w:t>Term</w:t>
      </w:r>
      <w:r>
        <w:rPr>
          <w:rFonts w:ascii="Arial"/>
          <w:i/>
          <w:spacing w:val="32"/>
          <w:sz w:val="20"/>
        </w:rPr>
        <w:t> </w:t>
      </w:r>
      <w:r>
        <w:rPr>
          <w:rFonts w:ascii="Arial"/>
          <w:i/>
          <w:sz w:val="20"/>
        </w:rPr>
        <w:t>Rep.</w:t>
      </w:r>
      <w:r>
        <w:rPr>
          <w:rFonts w:ascii="Arial"/>
          <w:i/>
          <w:spacing w:val="32"/>
          <w:sz w:val="20"/>
        </w:rPr>
        <w:t> </w:t>
      </w:r>
      <w:r>
        <w:rPr>
          <w:rFonts w:ascii="Arial"/>
          <w:i/>
          <w:sz w:val="20"/>
        </w:rPr>
        <w:t>438</w:t>
      </w:r>
      <w:r>
        <w:rPr>
          <w:sz w:val="20"/>
        </w:rPr>
        <w:t>;</w:t>
      </w:r>
      <w:r>
        <w:rPr>
          <w:spacing w:val="32"/>
          <w:sz w:val="20"/>
        </w:rPr>
        <w:t> </w:t>
      </w:r>
      <w:r>
        <w:rPr>
          <w:rFonts w:ascii="Arial"/>
          <w:i/>
          <w:sz w:val="20"/>
        </w:rPr>
        <w:t>Hill</w:t>
      </w:r>
      <w:r>
        <w:rPr>
          <w:rFonts w:ascii="Arial"/>
          <w:i/>
          <w:spacing w:val="32"/>
          <w:sz w:val="20"/>
        </w:rPr>
        <w:t> </w:t>
      </w:r>
      <w:r>
        <w:rPr>
          <w:rFonts w:ascii="Arial"/>
          <w:i/>
          <w:sz w:val="20"/>
        </w:rPr>
        <w:t>v Manchester and Salford Waterworks Co (1831) 2 B. &amp; Ad. 544</w:t>
      </w:r>
      <w:r>
        <w:rPr>
          <w:sz w:val="20"/>
        </w:rPr>
        <w:t>.</w:t>
      </w:r>
    </w:p>
    <w:p>
      <w:pPr>
        <w:pStyle w:val="BodyText"/>
        <w:spacing w:before="5"/>
      </w:pPr>
    </w:p>
    <w:p>
      <w:pPr>
        <w:tabs>
          <w:tab w:pos="705" w:val="left" w:leader="none"/>
        </w:tabs>
        <w:spacing w:line="227" w:lineRule="exact" w:before="1"/>
        <w:ind w:left="165" w:right="0" w:firstLine="0"/>
        <w:jc w:val="left"/>
        <w:rPr>
          <w:rFonts w:ascii="Arial"/>
          <w:i/>
          <w:sz w:val="20"/>
        </w:rPr>
      </w:pPr>
      <w:r>
        <w:rPr>
          <w:color w:val="005DA1"/>
          <w:spacing w:val="-4"/>
          <w:position w:val="5"/>
          <w:sz w:val="14"/>
          <w:u w:val="single" w:color="005DA1"/>
        </w:rPr>
        <w:t>977</w:t>
      </w:r>
      <w:r>
        <w:rPr>
          <w:spacing w:val="-4"/>
          <w:position w:val="5"/>
          <w:sz w:val="14"/>
        </w:rPr>
        <w:t>.</w:t>
      </w:r>
      <w:r>
        <w:rPr>
          <w:position w:val="5"/>
          <w:sz w:val="14"/>
        </w:rPr>
        <w:tab/>
      </w:r>
      <w:r>
        <w:rPr>
          <w:rFonts w:ascii="Arial"/>
          <w:i/>
          <w:sz w:val="20"/>
        </w:rPr>
        <w:t>Doe</w:t>
      </w:r>
      <w:r>
        <w:rPr>
          <w:rFonts w:ascii="Arial"/>
          <w:i/>
          <w:spacing w:val="5"/>
          <w:sz w:val="20"/>
        </w:rPr>
        <w:t> </w:t>
      </w:r>
      <w:r>
        <w:rPr>
          <w:rFonts w:ascii="Arial"/>
          <w:i/>
          <w:sz w:val="20"/>
        </w:rPr>
        <w:t>d.</w:t>
      </w:r>
      <w:r>
        <w:rPr>
          <w:rFonts w:ascii="Arial"/>
          <w:i/>
          <w:spacing w:val="8"/>
          <w:sz w:val="20"/>
        </w:rPr>
        <w:t> </w:t>
      </w:r>
      <w:r>
        <w:rPr>
          <w:rFonts w:ascii="Arial"/>
          <w:i/>
          <w:sz w:val="20"/>
        </w:rPr>
        <w:t>Preece</w:t>
      </w:r>
      <w:r>
        <w:rPr>
          <w:rFonts w:ascii="Arial"/>
          <w:i/>
          <w:spacing w:val="8"/>
          <w:sz w:val="20"/>
        </w:rPr>
        <w:t> </w:t>
      </w:r>
      <w:r>
        <w:rPr>
          <w:rFonts w:ascii="Arial"/>
          <w:i/>
          <w:sz w:val="20"/>
        </w:rPr>
        <w:t>v</w:t>
      </w:r>
      <w:r>
        <w:rPr>
          <w:rFonts w:ascii="Arial"/>
          <w:i/>
          <w:spacing w:val="8"/>
          <w:sz w:val="20"/>
        </w:rPr>
        <w:t> </w:t>
      </w:r>
      <w:r>
        <w:rPr>
          <w:rFonts w:ascii="Arial"/>
          <w:i/>
          <w:sz w:val="20"/>
        </w:rPr>
        <w:t>Howells</w:t>
      </w:r>
      <w:r>
        <w:rPr>
          <w:rFonts w:ascii="Arial"/>
          <w:i/>
          <w:spacing w:val="8"/>
          <w:sz w:val="20"/>
        </w:rPr>
        <w:t> </w:t>
      </w:r>
      <w:r>
        <w:rPr>
          <w:rFonts w:ascii="Arial"/>
          <w:i/>
          <w:sz w:val="20"/>
        </w:rPr>
        <w:t>(1831)</w:t>
      </w:r>
      <w:r>
        <w:rPr>
          <w:rFonts w:ascii="Arial"/>
          <w:i/>
          <w:spacing w:val="8"/>
          <w:sz w:val="20"/>
        </w:rPr>
        <w:t> </w:t>
      </w:r>
      <w:r>
        <w:rPr>
          <w:rFonts w:ascii="Arial"/>
          <w:i/>
          <w:sz w:val="20"/>
        </w:rPr>
        <w:t>2</w:t>
      </w:r>
      <w:r>
        <w:rPr>
          <w:rFonts w:ascii="Arial"/>
          <w:i/>
          <w:spacing w:val="8"/>
          <w:sz w:val="20"/>
        </w:rPr>
        <w:t> </w:t>
      </w:r>
      <w:r>
        <w:rPr>
          <w:rFonts w:ascii="Arial"/>
          <w:i/>
          <w:sz w:val="20"/>
        </w:rPr>
        <w:t>B.</w:t>
      </w:r>
      <w:r>
        <w:rPr>
          <w:rFonts w:ascii="Arial"/>
          <w:i/>
          <w:spacing w:val="8"/>
          <w:sz w:val="20"/>
        </w:rPr>
        <w:t> </w:t>
      </w:r>
      <w:r>
        <w:rPr>
          <w:rFonts w:ascii="Arial"/>
          <w:i/>
          <w:sz w:val="20"/>
        </w:rPr>
        <w:t>&amp;</w:t>
      </w:r>
      <w:r>
        <w:rPr>
          <w:rFonts w:ascii="Arial"/>
          <w:i/>
          <w:spacing w:val="8"/>
          <w:sz w:val="20"/>
        </w:rPr>
        <w:t> </w:t>
      </w:r>
      <w:r>
        <w:rPr>
          <w:rFonts w:ascii="Arial"/>
          <w:i/>
          <w:sz w:val="20"/>
        </w:rPr>
        <w:t>Ad.</w:t>
      </w:r>
      <w:r>
        <w:rPr>
          <w:rFonts w:ascii="Arial"/>
          <w:i/>
          <w:spacing w:val="8"/>
          <w:sz w:val="20"/>
        </w:rPr>
        <w:t> </w:t>
      </w:r>
      <w:r>
        <w:rPr>
          <w:rFonts w:ascii="Arial"/>
          <w:i/>
          <w:sz w:val="20"/>
        </w:rPr>
        <w:t>744</w:t>
      </w:r>
      <w:r>
        <w:rPr>
          <w:sz w:val="20"/>
        </w:rPr>
        <w:t>,</w:t>
      </w:r>
      <w:r>
        <w:rPr>
          <w:spacing w:val="8"/>
          <w:sz w:val="20"/>
        </w:rPr>
        <w:t> </w:t>
      </w:r>
      <w:r>
        <w:rPr>
          <w:sz w:val="20"/>
        </w:rPr>
        <w:t>and</w:t>
      </w:r>
      <w:r>
        <w:rPr>
          <w:spacing w:val="8"/>
          <w:sz w:val="20"/>
        </w:rPr>
        <w:t> </w:t>
      </w:r>
      <w:r>
        <w:rPr>
          <w:sz w:val="20"/>
        </w:rPr>
        <w:t>see</w:t>
      </w:r>
      <w:r>
        <w:rPr>
          <w:spacing w:val="8"/>
          <w:sz w:val="20"/>
        </w:rPr>
        <w:t> </w:t>
      </w:r>
      <w:r>
        <w:rPr>
          <w:rFonts w:ascii="Arial"/>
          <w:i/>
          <w:sz w:val="20"/>
        </w:rPr>
        <w:t>Re</w:t>
      </w:r>
      <w:r>
        <w:rPr>
          <w:rFonts w:ascii="Arial"/>
          <w:i/>
          <w:spacing w:val="8"/>
          <w:sz w:val="20"/>
        </w:rPr>
        <w:t> </w:t>
      </w:r>
      <w:r>
        <w:rPr>
          <w:rFonts w:ascii="Arial"/>
          <w:i/>
          <w:sz w:val="20"/>
        </w:rPr>
        <w:t>A</w:t>
      </w:r>
      <w:r>
        <w:rPr>
          <w:rFonts w:ascii="Arial"/>
          <w:i/>
          <w:spacing w:val="8"/>
          <w:sz w:val="20"/>
        </w:rPr>
        <w:t> </w:t>
      </w:r>
      <w:r>
        <w:rPr>
          <w:rFonts w:ascii="Arial"/>
          <w:i/>
          <w:sz w:val="20"/>
        </w:rPr>
        <w:t>Bankruptcy</w:t>
      </w:r>
      <w:r>
        <w:rPr>
          <w:rFonts w:ascii="Arial"/>
          <w:i/>
          <w:spacing w:val="8"/>
          <w:sz w:val="20"/>
        </w:rPr>
        <w:t> </w:t>
      </w:r>
      <w:r>
        <w:rPr>
          <w:rFonts w:ascii="Arial"/>
          <w:i/>
          <w:sz w:val="20"/>
        </w:rPr>
        <w:t>Notice</w:t>
      </w:r>
      <w:r>
        <w:rPr>
          <w:rFonts w:ascii="Arial"/>
          <w:i/>
          <w:spacing w:val="8"/>
          <w:sz w:val="20"/>
        </w:rPr>
        <w:t> </w:t>
      </w:r>
      <w:r>
        <w:rPr>
          <w:rFonts w:ascii="Arial"/>
          <w:i/>
          <w:sz w:val="20"/>
        </w:rPr>
        <w:t>[1924]</w:t>
      </w:r>
      <w:r>
        <w:rPr>
          <w:rFonts w:ascii="Arial"/>
          <w:i/>
          <w:spacing w:val="8"/>
          <w:sz w:val="20"/>
        </w:rPr>
        <w:t> </w:t>
      </w:r>
      <w:r>
        <w:rPr>
          <w:rFonts w:ascii="Arial"/>
          <w:i/>
          <w:sz w:val="20"/>
        </w:rPr>
        <w:t>2</w:t>
      </w:r>
      <w:r>
        <w:rPr>
          <w:rFonts w:ascii="Arial"/>
          <w:i/>
          <w:spacing w:val="8"/>
          <w:sz w:val="20"/>
        </w:rPr>
        <w:t> </w:t>
      </w:r>
      <w:r>
        <w:rPr>
          <w:rFonts w:ascii="Arial"/>
          <w:i/>
          <w:spacing w:val="-5"/>
          <w:sz w:val="20"/>
        </w:rPr>
        <w:t>Ch.</w:t>
      </w:r>
    </w:p>
    <w:p>
      <w:pPr>
        <w:spacing w:line="227" w:lineRule="exact" w:before="0"/>
        <w:ind w:left="705" w:right="0" w:firstLine="0"/>
        <w:jc w:val="left"/>
        <w:rPr>
          <w:sz w:val="20"/>
        </w:rPr>
      </w:pPr>
      <w:r>
        <w:rPr>
          <w:rFonts w:ascii="Arial"/>
          <w:i/>
          <w:spacing w:val="-5"/>
          <w:sz w:val="20"/>
        </w:rPr>
        <w:t>76</w:t>
      </w:r>
      <w:r>
        <w:rPr>
          <w:spacing w:val="-5"/>
          <w:sz w:val="20"/>
        </w:rPr>
        <w:t>.</w:t>
      </w:r>
    </w:p>
    <w:p>
      <w:pPr>
        <w:pStyle w:val="BodyText"/>
        <w:spacing w:before="8"/>
      </w:pPr>
    </w:p>
    <w:p>
      <w:pPr>
        <w:tabs>
          <w:tab w:pos="705" w:val="left" w:leader="none"/>
        </w:tabs>
        <w:spacing w:line="235" w:lineRule="auto" w:before="0"/>
        <w:ind w:left="705" w:right="168" w:hanging="541"/>
        <w:jc w:val="left"/>
        <w:rPr>
          <w:sz w:val="20"/>
        </w:rPr>
      </w:pPr>
      <w:r>
        <w:rPr>
          <w:color w:val="005DA1"/>
          <w:spacing w:val="-4"/>
          <w:position w:val="5"/>
          <w:sz w:val="14"/>
          <w:u w:val="single" w:color="005DA1"/>
        </w:rPr>
        <w:t>978</w:t>
      </w:r>
      <w:r>
        <w:rPr>
          <w:spacing w:val="-4"/>
          <w:position w:val="5"/>
          <w:sz w:val="14"/>
        </w:rPr>
        <w:t>.</w:t>
      </w:r>
      <w:r>
        <w:rPr>
          <w:position w:val="5"/>
          <w:sz w:val="14"/>
        </w:rPr>
        <w:tab/>
      </w:r>
      <w:r>
        <w:rPr>
          <w:rFonts w:ascii="Arial"/>
          <w:i/>
          <w:sz w:val="20"/>
        </w:rPr>
        <w:t>Greer v Kettle [1938] A.C. 156, 171</w:t>
      </w:r>
      <w:r>
        <w:rPr>
          <w:sz w:val="20"/>
        </w:rPr>
        <w:t>; </w:t>
      </w:r>
      <w:r>
        <w:rPr>
          <w:rFonts w:ascii="Arial"/>
          <w:i/>
          <w:sz w:val="20"/>
        </w:rPr>
        <w:t>Wilson v Wilson [1969] 1 W.L.R. 1470</w:t>
      </w:r>
      <w:r>
        <w:rPr>
          <w:sz w:val="20"/>
        </w:rPr>
        <w:t>; </w:t>
      </w:r>
      <w:r>
        <w:rPr>
          <w:rFonts w:ascii="Arial"/>
          <w:i/>
          <w:sz w:val="20"/>
        </w:rPr>
        <w:t>OTV Birwelco Ltd v Technical &amp; General Guarantee Co Ltd [2002] 4 All E.R. 668</w:t>
      </w:r>
      <w:r>
        <w:rPr>
          <w:sz w:val="20"/>
        </w:rPr>
        <w:t>.</w:t>
      </w:r>
    </w:p>
    <w:p>
      <w:pPr>
        <w:pStyle w:val="BodyText"/>
        <w:spacing w:before="6"/>
      </w:pPr>
    </w:p>
    <w:p>
      <w:pPr>
        <w:tabs>
          <w:tab w:pos="705" w:val="left" w:leader="none"/>
        </w:tabs>
        <w:spacing w:before="0"/>
        <w:ind w:left="165" w:right="0" w:firstLine="0"/>
        <w:jc w:val="left"/>
        <w:rPr>
          <w:sz w:val="20"/>
        </w:rPr>
      </w:pPr>
      <w:r>
        <w:rPr>
          <w:color w:val="005DA1"/>
          <w:spacing w:val="-4"/>
          <w:position w:val="5"/>
          <w:sz w:val="14"/>
          <w:u w:val="single" w:color="005DA1"/>
        </w:rPr>
        <w:t>979</w:t>
      </w:r>
      <w:r>
        <w:rPr>
          <w:spacing w:val="-4"/>
          <w:position w:val="5"/>
          <w:sz w:val="14"/>
        </w:rPr>
        <w:t>.</w:t>
      </w:r>
      <w:r>
        <w:rPr>
          <w:position w:val="5"/>
          <w:sz w:val="14"/>
        </w:rPr>
        <w:tab/>
      </w:r>
      <w:r>
        <w:rPr>
          <w:rFonts w:ascii="Arial" w:hAnsi="Arial"/>
          <w:i/>
          <w:sz w:val="20"/>
        </w:rPr>
        <w:t>[2002] 2 AC 1, </w:t>
      </w:r>
      <w:r>
        <w:rPr>
          <w:rFonts w:ascii="Arial" w:hAnsi="Arial"/>
          <w:i/>
          <w:spacing w:val="-2"/>
          <w:sz w:val="20"/>
        </w:rPr>
        <w:t>39–40</w:t>
      </w:r>
      <w:r>
        <w:rPr>
          <w:spacing w:val="-2"/>
          <w:sz w:val="20"/>
        </w:rPr>
        <w:t>.</w:t>
      </w:r>
    </w:p>
    <w:p>
      <w:pPr>
        <w:pStyle w:val="BodyText"/>
        <w:spacing w:before="9"/>
      </w:pPr>
    </w:p>
    <w:p>
      <w:pPr>
        <w:tabs>
          <w:tab w:pos="705" w:val="left" w:leader="none"/>
        </w:tabs>
        <w:spacing w:line="235" w:lineRule="auto" w:before="0"/>
        <w:ind w:left="705" w:right="168" w:hanging="541"/>
        <w:jc w:val="left"/>
        <w:rPr>
          <w:sz w:val="20"/>
        </w:rPr>
      </w:pPr>
      <w:r>
        <w:rPr>
          <w:color w:val="005DA1"/>
          <w:spacing w:val="-4"/>
          <w:position w:val="5"/>
          <w:sz w:val="14"/>
          <w:u w:val="single" w:color="005DA1"/>
        </w:rPr>
        <w:t>980</w:t>
      </w:r>
      <w:r>
        <w:rPr>
          <w:spacing w:val="-4"/>
          <w:position w:val="5"/>
          <w:sz w:val="14"/>
        </w:rPr>
        <w:t>.</w:t>
      </w:r>
      <w:r>
        <w:rPr>
          <w:position w:val="5"/>
          <w:sz w:val="14"/>
        </w:rPr>
        <w:tab/>
      </w:r>
      <w:r>
        <w:rPr>
          <w:rFonts w:ascii="Arial"/>
          <w:i/>
          <w:sz w:val="20"/>
        </w:rPr>
        <w:t>Prime</w:t>
      </w:r>
      <w:r>
        <w:rPr>
          <w:rFonts w:ascii="Arial"/>
          <w:i/>
          <w:spacing w:val="37"/>
          <w:sz w:val="20"/>
        </w:rPr>
        <w:t> </w:t>
      </w:r>
      <w:r>
        <w:rPr>
          <w:rFonts w:ascii="Arial"/>
          <w:i/>
          <w:sz w:val="20"/>
        </w:rPr>
        <w:t>Sight</w:t>
      </w:r>
      <w:r>
        <w:rPr>
          <w:rFonts w:ascii="Arial"/>
          <w:i/>
          <w:spacing w:val="37"/>
          <w:sz w:val="20"/>
        </w:rPr>
        <w:t> </w:t>
      </w:r>
      <w:r>
        <w:rPr>
          <w:rFonts w:ascii="Arial"/>
          <w:i/>
          <w:sz w:val="20"/>
        </w:rPr>
        <w:t>Ltd</w:t>
      </w:r>
      <w:r>
        <w:rPr>
          <w:rFonts w:ascii="Arial"/>
          <w:i/>
          <w:spacing w:val="37"/>
          <w:sz w:val="20"/>
        </w:rPr>
        <w:t> </w:t>
      </w:r>
      <w:r>
        <w:rPr>
          <w:rFonts w:ascii="Arial"/>
          <w:i/>
          <w:sz w:val="20"/>
        </w:rPr>
        <w:t>v</w:t>
      </w:r>
      <w:r>
        <w:rPr>
          <w:rFonts w:ascii="Arial"/>
          <w:i/>
          <w:spacing w:val="37"/>
          <w:sz w:val="20"/>
        </w:rPr>
        <w:t> </w:t>
      </w:r>
      <w:r>
        <w:rPr>
          <w:rFonts w:ascii="Arial"/>
          <w:i/>
          <w:sz w:val="20"/>
        </w:rPr>
        <w:t>Lavarello</w:t>
      </w:r>
      <w:r>
        <w:rPr>
          <w:rFonts w:ascii="Arial"/>
          <w:i/>
          <w:spacing w:val="37"/>
          <w:sz w:val="20"/>
        </w:rPr>
        <w:t> </w:t>
      </w:r>
      <w:r>
        <w:rPr>
          <w:rFonts w:ascii="Arial"/>
          <w:i/>
          <w:sz w:val="20"/>
        </w:rPr>
        <w:t>(Official</w:t>
      </w:r>
      <w:r>
        <w:rPr>
          <w:rFonts w:ascii="Arial"/>
          <w:i/>
          <w:spacing w:val="37"/>
          <w:sz w:val="20"/>
        </w:rPr>
        <w:t> </w:t>
      </w:r>
      <w:r>
        <w:rPr>
          <w:rFonts w:ascii="Arial"/>
          <w:i/>
          <w:sz w:val="20"/>
        </w:rPr>
        <w:t>Trustee)</w:t>
      </w:r>
      <w:r>
        <w:rPr>
          <w:rFonts w:ascii="Arial"/>
          <w:i/>
          <w:spacing w:val="37"/>
          <w:sz w:val="20"/>
        </w:rPr>
        <w:t> </w:t>
      </w:r>
      <w:r>
        <w:rPr>
          <w:rFonts w:ascii="Arial"/>
          <w:i/>
          <w:sz w:val="20"/>
        </w:rPr>
        <w:t>[2013]</w:t>
      </w:r>
      <w:r>
        <w:rPr>
          <w:rFonts w:ascii="Arial"/>
          <w:i/>
          <w:spacing w:val="37"/>
          <w:sz w:val="20"/>
        </w:rPr>
        <w:t> </w:t>
      </w:r>
      <w:r>
        <w:rPr>
          <w:rFonts w:ascii="Arial"/>
          <w:i/>
          <w:sz w:val="20"/>
        </w:rPr>
        <w:t>UKPC</w:t>
      </w:r>
      <w:r>
        <w:rPr>
          <w:rFonts w:ascii="Arial"/>
          <w:i/>
          <w:spacing w:val="37"/>
          <w:sz w:val="20"/>
        </w:rPr>
        <w:t> </w:t>
      </w:r>
      <w:r>
        <w:rPr>
          <w:rFonts w:ascii="Arial"/>
          <w:i/>
          <w:sz w:val="20"/>
        </w:rPr>
        <w:t>22,</w:t>
      </w:r>
      <w:r>
        <w:rPr>
          <w:rFonts w:ascii="Arial"/>
          <w:i/>
          <w:spacing w:val="37"/>
          <w:sz w:val="20"/>
        </w:rPr>
        <w:t> </w:t>
      </w:r>
      <w:r>
        <w:rPr>
          <w:rFonts w:ascii="Arial"/>
          <w:i/>
          <w:sz w:val="20"/>
        </w:rPr>
        <w:t>[2014]</w:t>
      </w:r>
      <w:r>
        <w:rPr>
          <w:rFonts w:ascii="Arial"/>
          <w:i/>
          <w:spacing w:val="37"/>
          <w:sz w:val="20"/>
        </w:rPr>
        <w:t> </w:t>
      </w:r>
      <w:r>
        <w:rPr>
          <w:rFonts w:ascii="Arial"/>
          <w:i/>
          <w:sz w:val="20"/>
        </w:rPr>
        <w:t>A.C.</w:t>
      </w:r>
      <w:r>
        <w:rPr>
          <w:rFonts w:ascii="Arial"/>
          <w:i/>
          <w:spacing w:val="37"/>
          <w:sz w:val="20"/>
        </w:rPr>
        <w:t> </w:t>
      </w:r>
      <w:r>
        <w:rPr>
          <w:rFonts w:ascii="Arial"/>
          <w:i/>
          <w:sz w:val="20"/>
        </w:rPr>
        <w:t>436</w:t>
      </w:r>
      <w:r>
        <w:rPr>
          <w:rFonts w:ascii="Arial"/>
          <w:i/>
          <w:spacing w:val="37"/>
          <w:sz w:val="20"/>
        </w:rPr>
        <w:t> </w:t>
      </w:r>
      <w:r>
        <w:rPr>
          <w:sz w:val="20"/>
        </w:rPr>
        <w:t>at</w:t>
      </w:r>
      <w:r>
        <w:rPr>
          <w:spacing w:val="37"/>
          <w:sz w:val="20"/>
        </w:rPr>
        <w:t> </w:t>
      </w:r>
      <w:r>
        <w:rPr>
          <w:sz w:val="20"/>
        </w:rPr>
        <w:t>[30]</w:t>
      </w:r>
      <w:r>
        <w:rPr>
          <w:spacing w:val="37"/>
          <w:sz w:val="20"/>
        </w:rPr>
        <w:t> </w:t>
      </w:r>
      <w:r>
        <w:rPr>
          <w:sz w:val="20"/>
        </w:rPr>
        <w:t>(on behalf of the Privy Council).</w:t>
      </w:r>
    </w:p>
    <w:p>
      <w:pPr>
        <w:pStyle w:val="BodyText"/>
        <w:spacing w:before="5"/>
      </w:pPr>
    </w:p>
    <w:p>
      <w:pPr>
        <w:pStyle w:val="BodyText"/>
        <w:tabs>
          <w:tab w:pos="705" w:val="left" w:leader="none"/>
        </w:tabs>
        <w:ind w:left="165"/>
      </w:pPr>
      <w:r>
        <w:rPr>
          <w:color w:val="005DA1"/>
          <w:spacing w:val="-4"/>
          <w:position w:val="5"/>
          <w:sz w:val="14"/>
          <w:u w:val="single" w:color="005DA1"/>
        </w:rPr>
        <w:t>981</w:t>
      </w:r>
      <w:r>
        <w:rPr>
          <w:spacing w:val="-4"/>
          <w:position w:val="5"/>
          <w:sz w:val="14"/>
        </w:rPr>
        <w:t>.</w:t>
      </w:r>
      <w:r>
        <w:rPr>
          <w:position w:val="5"/>
          <w:sz w:val="14"/>
        </w:rPr>
        <w:tab/>
      </w:r>
      <w:r>
        <w:rPr/>
        <w:t>See below, paras 25-001 et </w:t>
      </w:r>
      <w:r>
        <w:rPr>
          <w:spacing w:val="-4"/>
        </w:rPr>
        <w:t>seq.</w:t>
      </w:r>
    </w:p>
    <w:p>
      <w:pPr>
        <w:pStyle w:val="BodyText"/>
        <w:spacing w:before="5"/>
      </w:pPr>
    </w:p>
    <w:p>
      <w:pPr>
        <w:pStyle w:val="BodyText"/>
        <w:tabs>
          <w:tab w:pos="705" w:val="left" w:leader="none"/>
        </w:tabs>
        <w:ind w:left="165"/>
      </w:pPr>
      <w:r>
        <w:rPr>
          <w:color w:val="005DA1"/>
          <w:spacing w:val="-4"/>
          <w:position w:val="5"/>
          <w:sz w:val="14"/>
          <w:u w:val="single" w:color="005DA1"/>
        </w:rPr>
        <w:t>982</w:t>
      </w:r>
      <w:r>
        <w:rPr>
          <w:spacing w:val="-4"/>
          <w:position w:val="5"/>
          <w:sz w:val="14"/>
        </w:rPr>
        <w:t>.</w:t>
      </w:r>
      <w:r>
        <w:rPr>
          <w:position w:val="5"/>
          <w:sz w:val="14"/>
        </w:rPr>
        <w:tab/>
      </w:r>
      <w:r>
        <w:rPr/>
        <w:t>See</w:t>
      </w:r>
      <w:r>
        <w:rPr>
          <w:spacing w:val="-2"/>
        </w:rPr>
        <w:t> </w:t>
      </w:r>
      <w:r>
        <w:rPr/>
        <w:t>below, para.25-</w:t>
      </w:r>
      <w:r>
        <w:rPr>
          <w:spacing w:val="-4"/>
        </w:rPr>
        <w:t>003.</w:t>
      </w:r>
    </w:p>
    <w:p>
      <w:pPr>
        <w:pStyle w:val="BodyText"/>
        <w:spacing w:before="9"/>
      </w:pPr>
    </w:p>
    <w:p>
      <w:pPr>
        <w:tabs>
          <w:tab w:pos="705" w:val="left" w:leader="none"/>
        </w:tabs>
        <w:spacing w:line="235" w:lineRule="auto" w:before="0"/>
        <w:ind w:left="705" w:right="168" w:hanging="541"/>
        <w:jc w:val="left"/>
        <w:rPr>
          <w:sz w:val="20"/>
        </w:rPr>
      </w:pPr>
      <w:r>
        <w:rPr>
          <w:color w:val="005DA1"/>
          <w:spacing w:val="-4"/>
          <w:position w:val="5"/>
          <w:sz w:val="14"/>
          <w:u w:val="single" w:color="005DA1"/>
        </w:rPr>
        <w:t>983</w:t>
      </w:r>
      <w:r>
        <w:rPr>
          <w:spacing w:val="-4"/>
          <w:position w:val="5"/>
          <w:sz w:val="14"/>
        </w:rPr>
        <w:t>.</w:t>
      </w:r>
      <w:r>
        <w:rPr>
          <w:position w:val="5"/>
          <w:sz w:val="14"/>
        </w:rPr>
        <w:tab/>
      </w:r>
      <w:r>
        <w:rPr>
          <w:rFonts w:ascii="Arial" w:hAnsi="Arial"/>
          <w:i/>
          <w:sz w:val="20"/>
        </w:rPr>
        <w:t>Pigot’s</w:t>
      </w:r>
      <w:r>
        <w:rPr>
          <w:rFonts w:ascii="Arial" w:hAnsi="Arial"/>
          <w:i/>
          <w:spacing w:val="22"/>
          <w:sz w:val="20"/>
        </w:rPr>
        <w:t> </w:t>
      </w:r>
      <w:r>
        <w:rPr>
          <w:rFonts w:ascii="Arial" w:hAnsi="Arial"/>
          <w:i/>
          <w:sz w:val="20"/>
        </w:rPr>
        <w:t>Case</w:t>
      </w:r>
      <w:r>
        <w:rPr>
          <w:rFonts w:ascii="Arial" w:hAnsi="Arial"/>
          <w:i/>
          <w:spacing w:val="22"/>
          <w:sz w:val="20"/>
        </w:rPr>
        <w:t> </w:t>
      </w:r>
      <w:r>
        <w:rPr>
          <w:rFonts w:ascii="Arial" w:hAnsi="Arial"/>
          <w:i/>
          <w:sz w:val="20"/>
        </w:rPr>
        <w:t>(1614)</w:t>
      </w:r>
      <w:r>
        <w:rPr>
          <w:rFonts w:ascii="Arial" w:hAnsi="Arial"/>
          <w:i/>
          <w:spacing w:val="22"/>
          <w:sz w:val="20"/>
        </w:rPr>
        <w:t> </w:t>
      </w:r>
      <w:r>
        <w:rPr>
          <w:rFonts w:ascii="Arial" w:hAnsi="Arial"/>
          <w:i/>
          <w:sz w:val="20"/>
        </w:rPr>
        <w:t>11</w:t>
      </w:r>
      <w:r>
        <w:rPr>
          <w:rFonts w:ascii="Arial" w:hAnsi="Arial"/>
          <w:i/>
          <w:spacing w:val="22"/>
          <w:sz w:val="20"/>
        </w:rPr>
        <w:t> </w:t>
      </w:r>
      <w:r>
        <w:rPr>
          <w:rFonts w:ascii="Arial" w:hAnsi="Arial"/>
          <w:i/>
          <w:sz w:val="20"/>
        </w:rPr>
        <w:t>Co.</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26B,</w:t>
      </w:r>
      <w:r>
        <w:rPr>
          <w:rFonts w:ascii="Arial" w:hAnsi="Arial"/>
          <w:i/>
          <w:spacing w:val="22"/>
          <w:sz w:val="20"/>
        </w:rPr>
        <w:t> </w:t>
      </w:r>
      <w:r>
        <w:rPr>
          <w:rFonts w:ascii="Arial" w:hAnsi="Arial"/>
          <w:i/>
          <w:sz w:val="20"/>
        </w:rPr>
        <w:t>27A</w:t>
      </w:r>
      <w:r>
        <w:rPr>
          <w:sz w:val="20"/>
        </w:rPr>
        <w:t>;</w:t>
      </w:r>
      <w:r>
        <w:rPr>
          <w:spacing w:val="22"/>
          <w:sz w:val="20"/>
        </w:rPr>
        <w:t> </w:t>
      </w:r>
      <w:r>
        <w:rPr>
          <w:rFonts w:ascii="Arial" w:hAnsi="Arial"/>
          <w:i/>
          <w:sz w:val="20"/>
        </w:rPr>
        <w:t>Aldous’s</w:t>
      </w:r>
      <w:r>
        <w:rPr>
          <w:rFonts w:ascii="Arial" w:hAnsi="Arial"/>
          <w:i/>
          <w:spacing w:val="22"/>
          <w:sz w:val="20"/>
        </w:rPr>
        <w:t> </w:t>
      </w:r>
      <w:r>
        <w:rPr>
          <w:rFonts w:ascii="Arial" w:hAnsi="Arial"/>
          <w:i/>
          <w:sz w:val="20"/>
        </w:rPr>
        <w:t>Case</w:t>
      </w:r>
      <w:r>
        <w:rPr>
          <w:rFonts w:ascii="Arial" w:hAnsi="Arial"/>
          <w:i/>
          <w:spacing w:val="22"/>
          <w:sz w:val="20"/>
        </w:rPr>
        <w:t> </w:t>
      </w:r>
      <w:r>
        <w:rPr>
          <w:rFonts w:ascii="Arial" w:hAnsi="Arial"/>
          <w:i/>
          <w:sz w:val="20"/>
        </w:rPr>
        <w:t>(1868)</w:t>
      </w:r>
      <w:r>
        <w:rPr>
          <w:rFonts w:ascii="Arial" w:hAnsi="Arial"/>
          <w:i/>
          <w:spacing w:val="22"/>
          <w:sz w:val="20"/>
        </w:rPr>
        <w:t> </w:t>
      </w:r>
      <w:r>
        <w:rPr>
          <w:rFonts w:ascii="Arial" w:hAnsi="Arial"/>
          <w:i/>
          <w:sz w:val="20"/>
        </w:rPr>
        <w:t>L.R.</w:t>
      </w:r>
      <w:r>
        <w:rPr>
          <w:rFonts w:ascii="Arial" w:hAnsi="Arial"/>
          <w:i/>
          <w:spacing w:val="22"/>
          <w:sz w:val="20"/>
        </w:rPr>
        <w:t> </w:t>
      </w:r>
      <w:r>
        <w:rPr>
          <w:rFonts w:ascii="Arial" w:hAnsi="Arial"/>
          <w:i/>
          <w:sz w:val="20"/>
        </w:rPr>
        <w:t>3</w:t>
      </w:r>
      <w:r>
        <w:rPr>
          <w:rFonts w:ascii="Arial" w:hAnsi="Arial"/>
          <w:i/>
          <w:spacing w:val="22"/>
          <w:sz w:val="20"/>
        </w:rPr>
        <w:t> </w:t>
      </w:r>
      <w:r>
        <w:rPr>
          <w:rFonts w:ascii="Arial" w:hAnsi="Arial"/>
          <w:i/>
          <w:sz w:val="20"/>
        </w:rPr>
        <w:t>Q.B.</w:t>
      </w:r>
      <w:r>
        <w:rPr>
          <w:rFonts w:ascii="Arial" w:hAnsi="Arial"/>
          <w:i/>
          <w:spacing w:val="22"/>
          <w:sz w:val="20"/>
        </w:rPr>
        <w:t> </w:t>
      </w:r>
      <w:r>
        <w:rPr>
          <w:rFonts w:ascii="Arial" w:hAnsi="Arial"/>
          <w:i/>
          <w:sz w:val="20"/>
        </w:rPr>
        <w:t>753</w:t>
      </w:r>
      <w:r>
        <w:rPr>
          <w:sz w:val="20"/>
        </w:rPr>
        <w:t>;</w:t>
      </w:r>
      <w:r>
        <w:rPr>
          <w:spacing w:val="22"/>
          <w:sz w:val="20"/>
        </w:rPr>
        <w:t> </w:t>
      </w:r>
      <w:r>
        <w:rPr>
          <w:rFonts w:ascii="Arial" w:hAnsi="Arial"/>
          <w:i/>
          <w:sz w:val="20"/>
        </w:rPr>
        <w:t>Northern Bank Ltd v Laverty [2001] N.I. 315</w:t>
      </w:r>
      <w:r>
        <w:rPr>
          <w:sz w:val="20"/>
        </w:rPr>
        <w:t>.</w:t>
      </w:r>
    </w:p>
    <w:p>
      <w:pPr>
        <w:pStyle w:val="BodyText"/>
        <w:spacing w:before="5"/>
      </w:pPr>
    </w:p>
    <w:p>
      <w:pPr>
        <w:tabs>
          <w:tab w:pos="705" w:val="left" w:leader="none"/>
        </w:tabs>
        <w:spacing w:before="1"/>
        <w:ind w:left="165" w:right="0" w:firstLine="0"/>
        <w:jc w:val="left"/>
        <w:rPr>
          <w:sz w:val="20"/>
        </w:rPr>
      </w:pPr>
      <w:r>
        <w:rPr>
          <w:color w:val="005DA1"/>
          <w:spacing w:val="-4"/>
          <w:position w:val="5"/>
          <w:sz w:val="14"/>
          <w:u w:val="single" w:color="005DA1"/>
        </w:rPr>
        <w:t>984</w:t>
      </w:r>
      <w:r>
        <w:rPr>
          <w:spacing w:val="-4"/>
          <w:position w:val="5"/>
          <w:sz w:val="14"/>
        </w:rPr>
        <w:t>.</w:t>
      </w:r>
      <w:r>
        <w:rPr>
          <w:position w:val="5"/>
          <w:sz w:val="14"/>
        </w:rPr>
        <w:tab/>
      </w:r>
      <w:r>
        <w:rPr>
          <w:rFonts w:ascii="Arial"/>
          <w:i/>
          <w:sz w:val="20"/>
        </w:rPr>
        <w:t>Master v Millar (1791) 14 T.R. </w:t>
      </w:r>
      <w:r>
        <w:rPr>
          <w:rFonts w:ascii="Arial"/>
          <w:i/>
          <w:spacing w:val="-4"/>
          <w:sz w:val="20"/>
        </w:rPr>
        <w:t>320</w:t>
      </w:r>
      <w:r>
        <w:rPr>
          <w:spacing w:val="-4"/>
          <w:sz w:val="20"/>
        </w:rPr>
        <w:t>.</w:t>
      </w:r>
    </w:p>
    <w:p>
      <w:pPr>
        <w:pStyle w:val="BodyText"/>
        <w:spacing w:before="4"/>
      </w:pPr>
    </w:p>
    <w:p>
      <w:pPr>
        <w:pStyle w:val="BodyText"/>
        <w:tabs>
          <w:tab w:pos="705" w:val="left" w:leader="none"/>
        </w:tabs>
        <w:spacing w:before="1"/>
        <w:ind w:left="165"/>
      </w:pPr>
      <w:r>
        <w:rPr>
          <w:color w:val="005DA1"/>
          <w:spacing w:val="-4"/>
          <w:position w:val="5"/>
          <w:sz w:val="14"/>
          <w:u w:val="single" w:color="005DA1"/>
        </w:rPr>
        <w:t>985</w:t>
      </w:r>
      <w:r>
        <w:rPr>
          <w:spacing w:val="-4"/>
          <w:position w:val="5"/>
          <w:sz w:val="14"/>
        </w:rPr>
        <w:t>.</w:t>
      </w:r>
      <w:r>
        <w:rPr>
          <w:position w:val="5"/>
          <w:sz w:val="14"/>
        </w:rPr>
        <w:tab/>
      </w:r>
      <w:r>
        <w:rPr/>
        <w:t>See below, paras 25-020 et </w:t>
      </w:r>
      <w:r>
        <w:rPr>
          <w:spacing w:val="-4"/>
        </w:rPr>
        <w:t>seq.</w:t>
      </w:r>
    </w:p>
    <w:p>
      <w:pPr>
        <w:pStyle w:val="BodyText"/>
        <w:spacing w:before="8"/>
      </w:pPr>
    </w:p>
    <w:p>
      <w:pPr>
        <w:tabs>
          <w:tab w:pos="705" w:val="left" w:leader="none"/>
        </w:tabs>
        <w:spacing w:line="235" w:lineRule="auto" w:before="0"/>
        <w:ind w:left="705" w:right="168" w:hanging="541"/>
        <w:jc w:val="left"/>
        <w:rPr>
          <w:sz w:val="20"/>
        </w:rPr>
      </w:pPr>
      <w:r>
        <w:rPr>
          <w:color w:val="005DA1"/>
          <w:spacing w:val="-4"/>
          <w:position w:val="5"/>
          <w:sz w:val="14"/>
          <w:u w:val="single" w:color="005DA1"/>
        </w:rPr>
        <w:t>986</w:t>
      </w:r>
      <w:r>
        <w:rPr>
          <w:spacing w:val="-4"/>
          <w:position w:val="5"/>
          <w:sz w:val="14"/>
        </w:rPr>
        <w:t>.</w:t>
      </w:r>
      <w:r>
        <w:rPr>
          <w:position w:val="5"/>
          <w:sz w:val="14"/>
        </w:rPr>
        <w:tab/>
      </w:r>
      <w:r>
        <w:rPr>
          <w:rFonts w:ascii="Arial"/>
          <w:i/>
          <w:sz w:val="20"/>
        </w:rPr>
        <w:t>Kaye v Waghorn (1809) 1 Taunt. 428</w:t>
      </w:r>
      <w:r>
        <w:rPr>
          <w:sz w:val="20"/>
        </w:rPr>
        <w:t>; cf. </w:t>
      </w:r>
      <w:r>
        <w:rPr>
          <w:rFonts w:ascii="Arial"/>
          <w:i/>
          <w:sz w:val="20"/>
        </w:rPr>
        <w:t>Ex p. Morgan (1875) 2 Ch. D. 72 </w:t>
      </w:r>
      <w:r>
        <w:rPr>
          <w:sz w:val="20"/>
        </w:rPr>
        <w:t>at 89 and see the</w:t>
      </w:r>
      <w:r>
        <w:rPr>
          <w:spacing w:val="80"/>
          <w:w w:val="150"/>
          <w:sz w:val="20"/>
        </w:rPr>
        <w:t> </w:t>
      </w:r>
      <w:r>
        <w:rPr>
          <w:sz w:val="20"/>
        </w:rPr>
        <w:t>rule recognised but infringed in </w:t>
      </w:r>
      <w:r>
        <w:rPr>
          <w:rFonts w:ascii="Arial"/>
          <w:i/>
          <w:sz w:val="20"/>
        </w:rPr>
        <w:t>Nash v Armstrong (1861) 10 C.B.(N.S.) 259</w:t>
      </w:r>
      <w:r>
        <w:rPr>
          <w:sz w:val="20"/>
        </w:rPr>
        <w:t>.</w:t>
      </w:r>
    </w:p>
    <w:p>
      <w:pPr>
        <w:pStyle w:val="BodyText"/>
        <w:spacing w:before="6"/>
      </w:pPr>
    </w:p>
    <w:p>
      <w:pPr>
        <w:tabs>
          <w:tab w:pos="705" w:val="left" w:leader="none"/>
        </w:tabs>
        <w:spacing w:before="0"/>
        <w:ind w:left="165" w:right="0" w:firstLine="0"/>
        <w:jc w:val="left"/>
        <w:rPr>
          <w:sz w:val="20"/>
        </w:rPr>
      </w:pPr>
      <w:r>
        <w:rPr>
          <w:color w:val="005DA1"/>
          <w:spacing w:val="-4"/>
          <w:position w:val="5"/>
          <w:sz w:val="14"/>
          <w:u w:val="single" w:color="005DA1"/>
        </w:rPr>
        <w:t>987</w:t>
      </w:r>
      <w:r>
        <w:rPr>
          <w:spacing w:val="-4"/>
          <w:position w:val="5"/>
          <w:sz w:val="14"/>
        </w:rPr>
        <w:t>.</w:t>
      </w:r>
      <w:r>
        <w:rPr>
          <w:position w:val="5"/>
          <w:sz w:val="14"/>
        </w:rPr>
        <w:tab/>
      </w:r>
      <w:r>
        <w:rPr>
          <w:rFonts w:ascii="Arial"/>
          <w:i/>
          <w:sz w:val="20"/>
        </w:rPr>
        <w:t>Webb v Hewitt (1857) 3 K. &amp; J. </w:t>
      </w:r>
      <w:r>
        <w:rPr>
          <w:rFonts w:ascii="Arial"/>
          <w:i/>
          <w:spacing w:val="-4"/>
          <w:sz w:val="20"/>
        </w:rPr>
        <w:t>438</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color w:val="005DA1"/>
          <w:spacing w:val="-4"/>
          <w:sz w:val="14"/>
          <w:u w:val="single" w:color="005DA1"/>
        </w:rPr>
        <w:t>988</w:t>
      </w:r>
      <w:r>
        <w:rPr>
          <w:spacing w:val="-4"/>
          <w:sz w:val="14"/>
        </w:rPr>
        <w:t>.</w:t>
      </w:r>
    </w:p>
    <w:p>
      <w:pPr>
        <w:spacing w:line="227" w:lineRule="exact" w:before="209"/>
        <w:ind w:left="335" w:right="0" w:firstLine="0"/>
        <w:jc w:val="left"/>
        <w:rPr>
          <w:rFonts w:ascii="Arial"/>
          <w:i/>
          <w:sz w:val="20"/>
        </w:rPr>
      </w:pPr>
      <w:r>
        <w:rPr/>
        <w:br w:type="column"/>
      </w:r>
      <w:r>
        <w:rPr>
          <w:sz w:val="20"/>
        </w:rPr>
        <w:t>Senior</w:t>
      </w:r>
      <w:r>
        <w:rPr>
          <w:spacing w:val="12"/>
          <w:sz w:val="20"/>
        </w:rPr>
        <w:t> </w:t>
      </w:r>
      <w:r>
        <w:rPr>
          <w:sz w:val="20"/>
        </w:rPr>
        <w:t>Courts</w:t>
      </w:r>
      <w:r>
        <w:rPr>
          <w:spacing w:val="13"/>
          <w:sz w:val="20"/>
        </w:rPr>
        <w:t> </w:t>
      </w:r>
      <w:r>
        <w:rPr>
          <w:sz w:val="20"/>
        </w:rPr>
        <w:t>Act</w:t>
      </w:r>
      <w:r>
        <w:rPr>
          <w:spacing w:val="13"/>
          <w:sz w:val="20"/>
        </w:rPr>
        <w:t> </w:t>
      </w:r>
      <w:r>
        <w:rPr>
          <w:sz w:val="20"/>
        </w:rPr>
        <w:t>1981</w:t>
      </w:r>
      <w:r>
        <w:rPr>
          <w:spacing w:val="13"/>
          <w:sz w:val="20"/>
        </w:rPr>
        <w:t> </w:t>
      </w:r>
      <w:r>
        <w:rPr>
          <w:sz w:val="20"/>
        </w:rPr>
        <w:t>s.49;</w:t>
      </w:r>
      <w:r>
        <w:rPr>
          <w:spacing w:val="13"/>
          <w:sz w:val="20"/>
        </w:rPr>
        <w:t> </w:t>
      </w:r>
      <w:r>
        <w:rPr>
          <w:rFonts w:ascii="Arial"/>
          <w:i/>
          <w:sz w:val="20"/>
        </w:rPr>
        <w:t>Steeds</w:t>
      </w:r>
      <w:r>
        <w:rPr>
          <w:rFonts w:ascii="Arial"/>
          <w:i/>
          <w:spacing w:val="13"/>
          <w:sz w:val="20"/>
        </w:rPr>
        <w:t> </w:t>
      </w:r>
      <w:r>
        <w:rPr>
          <w:rFonts w:ascii="Arial"/>
          <w:i/>
          <w:sz w:val="20"/>
        </w:rPr>
        <w:t>v</w:t>
      </w:r>
      <w:r>
        <w:rPr>
          <w:rFonts w:ascii="Arial"/>
          <w:i/>
          <w:spacing w:val="13"/>
          <w:sz w:val="20"/>
        </w:rPr>
        <w:t> </w:t>
      </w:r>
      <w:r>
        <w:rPr>
          <w:rFonts w:ascii="Arial"/>
          <w:i/>
          <w:sz w:val="20"/>
        </w:rPr>
        <w:t>Steeds</w:t>
      </w:r>
      <w:r>
        <w:rPr>
          <w:rFonts w:ascii="Arial"/>
          <w:i/>
          <w:spacing w:val="13"/>
          <w:sz w:val="20"/>
        </w:rPr>
        <w:t> </w:t>
      </w:r>
      <w:r>
        <w:rPr>
          <w:rFonts w:ascii="Arial"/>
          <w:i/>
          <w:sz w:val="20"/>
        </w:rPr>
        <w:t>(1889)</w:t>
      </w:r>
      <w:r>
        <w:rPr>
          <w:rFonts w:ascii="Arial"/>
          <w:i/>
          <w:spacing w:val="13"/>
          <w:sz w:val="20"/>
        </w:rPr>
        <w:t> </w:t>
      </w:r>
      <w:r>
        <w:rPr>
          <w:rFonts w:ascii="Arial"/>
          <w:i/>
          <w:sz w:val="20"/>
        </w:rPr>
        <w:t>22</w:t>
      </w:r>
      <w:r>
        <w:rPr>
          <w:rFonts w:ascii="Arial"/>
          <w:i/>
          <w:spacing w:val="13"/>
          <w:sz w:val="20"/>
        </w:rPr>
        <w:t> </w:t>
      </w:r>
      <w:r>
        <w:rPr>
          <w:rFonts w:ascii="Arial"/>
          <w:i/>
          <w:sz w:val="20"/>
        </w:rPr>
        <w:t>Q.B.D.</w:t>
      </w:r>
      <w:r>
        <w:rPr>
          <w:rFonts w:ascii="Arial"/>
          <w:i/>
          <w:spacing w:val="13"/>
          <w:sz w:val="20"/>
        </w:rPr>
        <w:t> </w:t>
      </w:r>
      <w:r>
        <w:rPr>
          <w:rFonts w:ascii="Arial"/>
          <w:i/>
          <w:sz w:val="20"/>
        </w:rPr>
        <w:t>537</w:t>
      </w:r>
      <w:r>
        <w:rPr>
          <w:sz w:val="20"/>
        </w:rPr>
        <w:t>;</w:t>
      </w:r>
      <w:r>
        <w:rPr>
          <w:spacing w:val="13"/>
          <w:sz w:val="20"/>
        </w:rPr>
        <w:t> </w:t>
      </w:r>
      <w:r>
        <w:rPr>
          <w:rFonts w:ascii="Arial"/>
          <w:i/>
          <w:sz w:val="20"/>
        </w:rPr>
        <w:t>Berry</w:t>
      </w:r>
      <w:r>
        <w:rPr>
          <w:rFonts w:ascii="Arial"/>
          <w:i/>
          <w:spacing w:val="13"/>
          <w:sz w:val="20"/>
        </w:rPr>
        <w:t> </w:t>
      </w:r>
      <w:r>
        <w:rPr>
          <w:rFonts w:ascii="Arial"/>
          <w:i/>
          <w:sz w:val="20"/>
        </w:rPr>
        <w:t>v</w:t>
      </w:r>
      <w:r>
        <w:rPr>
          <w:rFonts w:ascii="Arial"/>
          <w:i/>
          <w:spacing w:val="13"/>
          <w:sz w:val="20"/>
        </w:rPr>
        <w:t> </w:t>
      </w:r>
      <w:r>
        <w:rPr>
          <w:rFonts w:ascii="Arial"/>
          <w:i/>
          <w:sz w:val="20"/>
        </w:rPr>
        <w:t>Berry</w:t>
      </w:r>
      <w:r>
        <w:rPr>
          <w:rFonts w:ascii="Arial"/>
          <w:i/>
          <w:spacing w:val="13"/>
          <w:sz w:val="20"/>
        </w:rPr>
        <w:t> </w:t>
      </w:r>
      <w:r>
        <w:rPr>
          <w:rFonts w:ascii="Arial"/>
          <w:i/>
          <w:sz w:val="20"/>
        </w:rPr>
        <w:t>[1929]</w:t>
      </w:r>
      <w:r>
        <w:rPr>
          <w:rFonts w:ascii="Arial"/>
          <w:i/>
          <w:spacing w:val="13"/>
          <w:sz w:val="20"/>
        </w:rPr>
        <w:t> </w:t>
      </w:r>
      <w:r>
        <w:rPr>
          <w:rFonts w:ascii="Arial"/>
          <w:i/>
          <w:spacing w:val="-10"/>
          <w:sz w:val="20"/>
        </w:rPr>
        <w:t>2</w:t>
      </w:r>
    </w:p>
    <w:p>
      <w:pPr>
        <w:spacing w:line="235" w:lineRule="auto" w:before="1"/>
        <w:ind w:left="165" w:right="167" w:firstLine="0"/>
        <w:jc w:val="both"/>
        <w:rPr>
          <w:rFonts w:ascii="Arial" w:hAnsi="Arial"/>
          <w:i/>
          <w:sz w:val="20"/>
        </w:rPr>
      </w:pPr>
      <w:r>
        <w:rPr>
          <w:rFonts w:ascii="Arial" w:hAnsi="Arial"/>
          <w:i/>
          <w:sz w:val="20"/>
        </w:rPr>
        <w:drawing>
          <wp:anchor distT="0" distB="0" distL="0" distR="0" allowOverlap="1" layoutInCell="1" locked="0" behindDoc="0" simplePos="0" relativeHeight="15828992">
            <wp:simplePos x="0" y="0"/>
            <wp:positionH relativeFrom="page">
              <wp:posOffset>1257846</wp:posOffset>
            </wp:positionH>
            <wp:positionV relativeFrom="paragraph">
              <wp:posOffset>-116391</wp:posOffset>
            </wp:positionV>
            <wp:extent cx="107988" cy="107988"/>
            <wp:effectExtent l="0" t="0" r="0" b="0"/>
            <wp:wrapNone/>
            <wp:docPr id="428" name="Image 428"/>
            <wp:cNvGraphicFramePr>
              <a:graphicFrameLocks/>
            </wp:cNvGraphicFramePr>
            <a:graphic>
              <a:graphicData uri="http://schemas.openxmlformats.org/drawingml/2006/picture">
                <pic:pic>
                  <pic:nvPicPr>
                    <pic:cNvPr id="428" name="Image 42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K.B. 316</w:t>
      </w:r>
      <w:r>
        <w:rPr>
          <w:sz w:val="20"/>
        </w:rPr>
        <w:t>; </w:t>
      </w:r>
      <w:r>
        <w:rPr>
          <w:rFonts w:ascii="Arial" w:hAnsi="Arial"/>
          <w:i/>
          <w:sz w:val="20"/>
        </w:rPr>
        <w:t>Mitas v Hyams [1951] 2 T.L.R. 1215</w:t>
      </w:r>
      <w:r>
        <w:rPr>
          <w:sz w:val="20"/>
        </w:rPr>
        <w:t>; </w:t>
      </w:r>
      <w:r>
        <w:rPr>
          <w:rFonts w:ascii="Arial" w:hAnsi="Arial"/>
          <w:i/>
          <w:sz w:val="20"/>
        </w:rPr>
        <w:t>Plymouth Corp v Harvey [1971] 1 W.L.R. 549</w:t>
      </w:r>
      <w:r>
        <w:rPr>
          <w:sz w:val="20"/>
        </w:rPr>
        <w:t>. The parties to a contract contained in a deed (as in the case of a simple contract) may vary or discharge that contract by simple contract despite its containing an “anti-oral variation clause”</w:t>
      </w:r>
      <w:r>
        <w:rPr>
          <w:spacing w:val="40"/>
          <w:sz w:val="20"/>
        </w:rPr>
        <w:t> </w:t>
      </w:r>
      <w:r>
        <w:rPr>
          <w:sz w:val="20"/>
        </w:rPr>
        <w:t>by which, for example, any variation may be effected only by deed or only in signed writing: </w:t>
      </w:r>
      <w:r>
        <w:rPr>
          <w:rFonts w:ascii="Arial" w:hAnsi="Arial"/>
          <w:i/>
          <w:sz w:val="20"/>
        </w:rPr>
        <w:t>MWB</w:t>
      </w:r>
      <w:r>
        <w:rPr>
          <w:rFonts w:ascii="Arial" w:hAnsi="Arial"/>
          <w:i/>
          <w:spacing w:val="27"/>
          <w:sz w:val="20"/>
        </w:rPr>
        <w:t> </w:t>
      </w:r>
      <w:r>
        <w:rPr>
          <w:rFonts w:ascii="Arial" w:hAnsi="Arial"/>
          <w:i/>
          <w:sz w:val="20"/>
        </w:rPr>
        <w:t>Business</w:t>
      </w:r>
      <w:r>
        <w:rPr>
          <w:rFonts w:ascii="Arial" w:hAnsi="Arial"/>
          <w:i/>
          <w:spacing w:val="27"/>
          <w:sz w:val="20"/>
        </w:rPr>
        <w:t> </w:t>
      </w:r>
      <w:r>
        <w:rPr>
          <w:rFonts w:ascii="Arial" w:hAnsi="Arial"/>
          <w:i/>
          <w:sz w:val="20"/>
        </w:rPr>
        <w:t>Exchange</w:t>
      </w:r>
      <w:r>
        <w:rPr>
          <w:rFonts w:ascii="Arial" w:hAnsi="Arial"/>
          <w:i/>
          <w:spacing w:val="27"/>
          <w:sz w:val="20"/>
        </w:rPr>
        <w:t> </w:t>
      </w:r>
      <w:r>
        <w:rPr>
          <w:rFonts w:ascii="Arial" w:hAnsi="Arial"/>
          <w:i/>
          <w:sz w:val="20"/>
        </w:rPr>
        <w:t>Centres</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Rock</w:t>
      </w:r>
      <w:r>
        <w:rPr>
          <w:rFonts w:ascii="Arial" w:hAnsi="Arial"/>
          <w:i/>
          <w:spacing w:val="27"/>
          <w:sz w:val="20"/>
        </w:rPr>
        <w:t> </w:t>
      </w:r>
      <w:r>
        <w:rPr>
          <w:rFonts w:ascii="Arial" w:hAnsi="Arial"/>
          <w:i/>
          <w:sz w:val="20"/>
        </w:rPr>
        <w:t>Advertising</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[2016]</w:t>
      </w:r>
      <w:r>
        <w:rPr>
          <w:rFonts w:ascii="Arial" w:hAnsi="Arial"/>
          <w:i/>
          <w:spacing w:val="27"/>
          <w:sz w:val="20"/>
        </w:rPr>
        <w:t> </w:t>
      </w:r>
      <w:r>
        <w:rPr>
          <w:rFonts w:ascii="Arial" w:hAnsi="Arial"/>
          <w:i/>
          <w:sz w:val="20"/>
        </w:rPr>
        <w:t>EWCA</w:t>
      </w:r>
      <w:r>
        <w:rPr>
          <w:rFonts w:ascii="Arial" w:hAnsi="Arial"/>
          <w:i/>
          <w:spacing w:val="27"/>
          <w:sz w:val="20"/>
        </w:rPr>
        <w:t> </w:t>
      </w:r>
      <w:r>
        <w:rPr>
          <w:rFonts w:ascii="Arial" w:hAnsi="Arial"/>
          <w:i/>
          <w:sz w:val="20"/>
        </w:rPr>
        <w:t>Civ</w:t>
      </w:r>
      <w:r>
        <w:rPr>
          <w:rFonts w:ascii="Arial" w:hAnsi="Arial"/>
          <w:i/>
          <w:spacing w:val="27"/>
          <w:sz w:val="20"/>
        </w:rPr>
        <w:t> </w:t>
      </w:r>
      <w:r>
        <w:rPr>
          <w:rFonts w:ascii="Arial" w:hAnsi="Arial"/>
          <w:i/>
          <w:sz w:val="20"/>
        </w:rPr>
        <w:t>553,</w:t>
      </w:r>
      <w:r>
        <w:rPr>
          <w:rFonts w:ascii="Arial" w:hAnsi="Arial"/>
          <w:i/>
          <w:spacing w:val="27"/>
          <w:sz w:val="20"/>
        </w:rPr>
        <w:t> </w:t>
      </w:r>
      <w:r>
        <w:rPr>
          <w:rFonts w:ascii="Arial" w:hAnsi="Arial"/>
          <w:i/>
          <w:spacing w:val="-2"/>
          <w:sz w:val="20"/>
        </w:rPr>
        <w:t>[2017]</w:t>
      </w:r>
    </w:p>
    <w:p>
      <w:pPr>
        <w:spacing w:line="235" w:lineRule="auto" w:before="0"/>
        <w:ind w:left="165" w:right="168" w:firstLine="0"/>
        <w:jc w:val="both"/>
        <w:rPr>
          <w:sz w:val="20"/>
        </w:rPr>
      </w:pPr>
      <w:r>
        <w:rPr>
          <w:rFonts w:ascii="Arial" w:hAnsi="Arial"/>
          <w:i/>
          <w:sz w:val="20"/>
        </w:rPr>
        <w:t>Q.B. 604 </w:t>
      </w:r>
      <w:r>
        <w:rPr>
          <w:sz w:val="20"/>
        </w:rPr>
        <w:t>at [19]–[34], following dicta in </w:t>
      </w:r>
      <w:r>
        <w:rPr>
          <w:rFonts w:ascii="Arial" w:hAnsi="Arial"/>
          <w:i/>
          <w:sz w:val="20"/>
        </w:rPr>
        <w:t>Globe Motors Inc v TRW Lucas Varity Electric </w:t>
      </w:r>
      <w:r>
        <w:rPr>
          <w:rFonts w:ascii="Arial" w:hAnsi="Arial"/>
          <w:i/>
          <w:sz w:val="20"/>
        </w:rPr>
        <w:t>Steering Ltd [2016] EWCA Civ 396, [2017] 1 All E.R. (Comm) 601 </w:t>
      </w:r>
      <w:r>
        <w:rPr>
          <w:sz w:val="20"/>
        </w:rPr>
        <w:t>esp. at [100] and [119], and reviewing earlier conflicting authorities.</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7"/>
      </w:pPr>
    </w:p>
    <w:p>
      <w:pPr>
        <w:tabs>
          <w:tab w:pos="705" w:val="left" w:leader="none"/>
        </w:tabs>
        <w:spacing w:line="235" w:lineRule="auto" w:before="0"/>
        <w:ind w:left="705" w:right="168" w:hanging="541"/>
        <w:jc w:val="left"/>
        <w:rPr>
          <w:sz w:val="20"/>
        </w:rPr>
      </w:pPr>
      <w:r>
        <w:rPr>
          <w:color w:val="005DA1"/>
          <w:spacing w:val="-4"/>
          <w:position w:val="5"/>
          <w:sz w:val="14"/>
          <w:u w:val="single" w:color="005DA1"/>
        </w:rPr>
        <w:t>989</w:t>
      </w:r>
      <w:r>
        <w:rPr>
          <w:spacing w:val="-4"/>
          <w:position w:val="5"/>
          <w:sz w:val="14"/>
        </w:rPr>
        <w:t>.</w:t>
      </w:r>
      <w:r>
        <w:rPr>
          <w:position w:val="5"/>
          <w:sz w:val="14"/>
        </w:rPr>
        <w:tab/>
      </w:r>
      <w:r>
        <w:rPr>
          <w:sz w:val="20"/>
        </w:rPr>
        <w:t>Limitation Act 1980 s.8(1) (but subject to s.8(2)). See, e.g. </w:t>
      </w:r>
      <w:r>
        <w:rPr>
          <w:rFonts w:ascii="Arial"/>
          <w:i/>
          <w:sz w:val="20"/>
        </w:rPr>
        <w:t>Aiken v Stewart Wrightson </w:t>
      </w:r>
      <w:r>
        <w:rPr>
          <w:rFonts w:ascii="Arial"/>
          <w:i/>
          <w:sz w:val="20"/>
        </w:rPr>
        <w:t>Members Agency Ltd [1995] 1 W.L.R. 1281, 1292</w:t>
      </w:r>
      <w:r>
        <w:rPr>
          <w:sz w:val="20"/>
        </w:rPr>
        <w:t>. See below, paras 28-002, 28-003.</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7. - The Relationship between Contract and </w:t>
      </w:r>
      <w:r>
        <w:rPr>
          <w:rFonts w:ascii="Arial"/>
          <w:b/>
          <w:spacing w:val="-4"/>
          <w:sz w:val="24"/>
        </w:rPr>
        <w:t>Tort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Introduction</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1-</w:t>
      </w:r>
      <w:r>
        <w:rPr>
          <w:rFonts w:ascii="Arial"/>
          <w:b/>
          <w:spacing w:val="-5"/>
          <w:sz w:val="24"/>
        </w:rPr>
        <w:t>145</w:t>
      </w:r>
    </w:p>
    <w:p>
      <w:pPr>
        <w:pStyle w:val="BodyText"/>
        <w:spacing w:line="235" w:lineRule="auto" w:before="202"/>
        <w:ind w:left="164" w:right="167"/>
        <w:jc w:val="both"/>
      </w:pPr>
      <w:r>
        <w:rPr/>
        <w:t>The proper relationship between contract and tort has caused considerable difficulty and </w:t>
      </w:r>
      <w:r>
        <w:rPr/>
        <w:t>justifies some discussion of its history as well as an examination of the modern law. </w:t>
      </w:r>
      <w:r>
        <w:rPr>
          <w:color w:val="005DA1"/>
          <w:u w:val="single" w:color="005DA1"/>
          <w:vertAlign w:val="superscript"/>
        </w:rPr>
        <w:t>990</w:t>
      </w:r>
      <w:r>
        <w:rPr>
          <w:color w:val="005DA1"/>
          <w:vertAlign w:val="baseline"/>
        </w:rPr>
        <w:t> </w:t>
      </w:r>
      <w:r>
        <w:rPr>
          <w:vertAlign w:val="baseline"/>
        </w:rPr>
        <w:t>As a matter of history, the first problem for the common law was to decide whether a particular form of action which it</w:t>
      </w:r>
      <w:r>
        <w:rPr>
          <w:spacing w:val="40"/>
          <w:vertAlign w:val="baseline"/>
        </w:rPr>
        <w:t> </w:t>
      </w:r>
      <w:r>
        <w:rPr>
          <w:vertAlign w:val="baseline"/>
        </w:rPr>
        <w:t>granted ought to be considered as founded on tort or on contract, a problem of the classification of actions. </w:t>
      </w:r>
      <w:r>
        <w:rPr>
          <w:color w:val="005DA1"/>
          <w:u w:val="single" w:color="005DA1"/>
          <w:vertAlign w:val="superscript"/>
        </w:rPr>
        <w:t>991</w:t>
      </w:r>
      <w:r>
        <w:rPr>
          <w:color w:val="005DA1"/>
          <w:vertAlign w:val="baseline"/>
        </w:rPr>
        <w:t> </w:t>
      </w:r>
      <w:r>
        <w:rPr>
          <w:vertAlign w:val="baseline"/>
        </w:rPr>
        <w:t>Secondly, it is clear that there are considerable differences between the typical cases of liability in tort and contract: contractual obligations are voluntary and particular to the parties, whereas liability in tort is imposed by law as a matter of policy and affects persons generally. </w:t>
      </w:r>
      <w:r>
        <w:rPr>
          <w:color w:val="005DA1"/>
          <w:u w:val="single" w:color="005DA1"/>
          <w:vertAlign w:val="superscript"/>
        </w:rPr>
        <w:t>992</w:t>
      </w:r>
      <w:r>
        <w:rPr>
          <w:color w:val="005DA1"/>
          <w:vertAlign w:val="baseline"/>
        </w:rPr>
        <w:t> </w:t>
      </w:r>
      <w:r>
        <w:rPr>
          <w:vertAlign w:val="baseline"/>
        </w:rPr>
        <w:t>Moreover, the distinction between the two liabilities is reflected in differences of rule which govern not merely their existence but also their incidents. </w:t>
      </w:r>
      <w:r>
        <w:rPr>
          <w:color w:val="005DA1"/>
          <w:u w:val="single" w:color="005DA1"/>
          <w:vertAlign w:val="superscript"/>
        </w:rPr>
        <w:t>993</w:t>
      </w:r>
      <w:r>
        <w:rPr>
          <w:color w:val="005DA1"/>
          <w:vertAlign w:val="baseline"/>
        </w:rPr>
        <w:t> </w:t>
      </w:r>
      <w:r>
        <w:rPr>
          <w:vertAlign w:val="baseline"/>
        </w:rPr>
        <w:t>Thirdly, given these differences of regime between contract and tort, the question arises whether a party to a contract may choose to sue the other party in tort where the constituent elements of a tort can be made out and, if so, with what effects. </w:t>
      </w:r>
      <w:r>
        <w:rPr>
          <w:color w:val="005DA1"/>
          <w:u w:val="single" w:color="005DA1"/>
          <w:vertAlign w:val="superscript"/>
        </w:rPr>
        <w:t>994</w:t>
      </w:r>
      <w:r>
        <w:rPr>
          <w:color w:val="005DA1"/>
          <w:vertAlign w:val="baseline"/>
        </w:rPr>
        <w:t> </w:t>
      </w:r>
      <w:r>
        <w:rPr>
          <w:vertAlign w:val="baseline"/>
        </w:rPr>
        <w:t>Again, where the existence</w:t>
      </w:r>
      <w:r>
        <w:rPr>
          <w:spacing w:val="-2"/>
          <w:vertAlign w:val="baseline"/>
        </w:rPr>
        <w:t> </w:t>
      </w:r>
      <w:r>
        <w:rPr>
          <w:vertAlign w:val="baseline"/>
        </w:rPr>
        <w:t>of</w:t>
      </w:r>
      <w:r>
        <w:rPr>
          <w:spacing w:val="-2"/>
          <w:vertAlign w:val="baseline"/>
        </w:rPr>
        <w:t> </w:t>
      </w:r>
      <w:r>
        <w:rPr>
          <w:vertAlign w:val="baseline"/>
        </w:rPr>
        <w:t>liability</w:t>
      </w:r>
      <w:r>
        <w:rPr>
          <w:spacing w:val="-2"/>
          <w:vertAlign w:val="baseline"/>
        </w:rPr>
        <w:t> </w:t>
      </w:r>
      <w:r>
        <w:rPr>
          <w:vertAlign w:val="baseline"/>
        </w:rPr>
        <w:t>in</w:t>
      </w:r>
      <w:r>
        <w:rPr>
          <w:spacing w:val="-2"/>
          <w:vertAlign w:val="baseline"/>
        </w:rPr>
        <w:t> </w:t>
      </w:r>
      <w:r>
        <w:rPr>
          <w:vertAlign w:val="baseline"/>
        </w:rPr>
        <w:t>tort</w:t>
      </w:r>
      <w:r>
        <w:rPr>
          <w:spacing w:val="-2"/>
          <w:vertAlign w:val="baseline"/>
        </w:rPr>
        <w:t> </w:t>
      </w:r>
      <w:r>
        <w:rPr>
          <w:vertAlign w:val="baseline"/>
        </w:rPr>
        <w:t>is</w:t>
      </w:r>
      <w:r>
        <w:rPr>
          <w:spacing w:val="-2"/>
          <w:vertAlign w:val="baseline"/>
        </w:rPr>
        <w:t> </w:t>
      </w:r>
      <w:r>
        <w:rPr>
          <w:vertAlign w:val="baseline"/>
        </w:rPr>
        <w:t>doubtful,</w:t>
      </w:r>
      <w:r>
        <w:rPr>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arises</w:t>
      </w:r>
      <w:r>
        <w:rPr>
          <w:spacing w:val="-2"/>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existence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between the parties is a reason in favour of the recognition of such a tortious duty or a reason against it, a question which has arisen in particular in the context of recovery of pure economic loss in the tort of negligence. </w:t>
      </w:r>
      <w:r>
        <w:rPr>
          <w:color w:val="005DA1"/>
          <w:u w:val="single" w:color="005DA1"/>
          <w:vertAlign w:val="superscript"/>
        </w:rPr>
        <w:t>995</w:t>
      </w:r>
      <w:r>
        <w:rPr>
          <w:color w:val="005DA1"/>
          <w:vertAlign w:val="baseline"/>
        </w:rPr>
        <w:t> </w:t>
      </w:r>
      <w:r>
        <w:rPr>
          <w:vertAlign w:val="baseline"/>
        </w:rPr>
        <w:t>Finally, the question is posed whether or to what extent the existence of a contractual obligation owed by A to B under a contract affects any liability in A to C, who is not party to that contract or, conversely, liability in C to A: do contracts affect torts beyond privity? </w:t>
      </w:r>
      <w:r>
        <w:rPr>
          <w:color w:val="005DA1"/>
          <w:u w:val="single" w:color="005DA1"/>
          <w:vertAlign w:val="superscript"/>
        </w:rPr>
        <w:t>996</w:t>
      </w:r>
    </w:p>
    <w:p>
      <w:pPr>
        <w:pStyle w:val="BodyText"/>
      </w:pPr>
    </w:p>
    <w:p>
      <w:pPr>
        <w:pStyle w:val="BodyText"/>
        <w:spacing w:before="33"/>
      </w:pPr>
      <w:r>
        <w:rPr/>
        <mc:AlternateContent>
          <mc:Choice Requires="wps">
            <w:drawing>
              <wp:anchor distT="0" distB="0" distL="0" distR="0" allowOverlap="1" layoutInCell="1" locked="0" behindDoc="1" simplePos="0" relativeHeight="487688704">
                <wp:simplePos x="0" y="0"/>
                <wp:positionH relativeFrom="page">
                  <wp:posOffset>914400</wp:posOffset>
                </wp:positionH>
                <wp:positionV relativeFrom="paragraph">
                  <wp:posOffset>182837</wp:posOffset>
                </wp:positionV>
                <wp:extent cx="5724525" cy="1270"/>
                <wp:effectExtent l="0" t="0" r="0" b="0"/>
                <wp:wrapTopAndBottom/>
                <wp:docPr id="430" name="Graphic 430"/>
                <wp:cNvGraphicFramePr>
                  <a:graphicFrameLocks/>
                </wp:cNvGraphicFramePr>
                <a:graphic>
                  <a:graphicData uri="http://schemas.microsoft.com/office/word/2010/wordprocessingShape">
                    <wps:wsp>
                      <wps:cNvPr id="430" name="Graphic 43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96668pt;width:450.75pt;height:.1pt;mso-position-horizontal-relative:page;mso-position-vertical-relative:paragraph;z-index:-15627776;mso-wrap-distance-left:0;mso-wrap-distance-right:0" id="docshape69" coordorigin="1440,288" coordsize="9015,0" path="m1440,288l10454,288e" filled="false" stroked="true" strokeweight="1pt" strokecolor="#000000">
                <v:path arrowok="t"/>
                <v:stroke dashstyle="solid"/>
                <w10:wrap type="topAndBottom"/>
              </v:shape>
            </w:pict>
          </mc:Fallback>
        </mc:AlternateContent>
      </w:r>
    </w:p>
    <w:p>
      <w:pPr>
        <w:pStyle w:val="BodyText"/>
        <w:spacing w:before="97"/>
      </w:pPr>
    </w:p>
    <w:p>
      <w:pPr>
        <w:tabs>
          <w:tab w:pos="540" w:val="left" w:leader="none"/>
        </w:tabs>
        <w:spacing w:line="227" w:lineRule="exact" w:before="0"/>
        <w:ind w:left="0" w:right="168" w:firstLine="0"/>
        <w:jc w:val="right"/>
        <w:rPr>
          <w:sz w:val="20"/>
        </w:rPr>
      </w:pPr>
      <w:r>
        <w:rPr>
          <w:color w:val="005DA1"/>
          <w:spacing w:val="-4"/>
          <w:position w:val="5"/>
          <w:sz w:val="14"/>
          <w:u w:val="single" w:color="005DA1"/>
        </w:rPr>
        <w:t>990</w:t>
      </w:r>
      <w:r>
        <w:rPr>
          <w:spacing w:val="-4"/>
          <w:position w:val="5"/>
          <w:sz w:val="14"/>
        </w:rPr>
        <w:t>.</w:t>
      </w:r>
      <w:r>
        <w:rPr>
          <w:position w:val="5"/>
          <w:sz w:val="14"/>
        </w:rPr>
        <w:tab/>
      </w:r>
      <w:r>
        <w:rPr>
          <w:sz w:val="20"/>
        </w:rPr>
        <w:t>See</w:t>
      </w:r>
      <w:r>
        <w:rPr>
          <w:spacing w:val="11"/>
          <w:sz w:val="20"/>
        </w:rPr>
        <w:t> </w:t>
      </w:r>
      <w:r>
        <w:rPr>
          <w:sz w:val="20"/>
        </w:rPr>
        <w:t>Prosser,</w:t>
      </w:r>
      <w:r>
        <w:rPr>
          <w:spacing w:val="11"/>
          <w:sz w:val="20"/>
        </w:rPr>
        <w:t> </w:t>
      </w:r>
      <w:r>
        <w:rPr>
          <w:rFonts w:ascii="Arial"/>
          <w:i/>
          <w:sz w:val="20"/>
        </w:rPr>
        <w:t>Selected</w:t>
      </w:r>
      <w:r>
        <w:rPr>
          <w:rFonts w:ascii="Arial"/>
          <w:i/>
          <w:spacing w:val="11"/>
          <w:sz w:val="20"/>
        </w:rPr>
        <w:t> </w:t>
      </w:r>
      <w:r>
        <w:rPr>
          <w:rFonts w:ascii="Arial"/>
          <w:i/>
          <w:sz w:val="20"/>
        </w:rPr>
        <w:t>Topics</w:t>
      </w:r>
      <w:r>
        <w:rPr>
          <w:rFonts w:ascii="Arial"/>
          <w:i/>
          <w:spacing w:val="11"/>
          <w:sz w:val="20"/>
        </w:rPr>
        <w:t> </w:t>
      </w:r>
      <w:r>
        <w:rPr>
          <w:rFonts w:ascii="Arial"/>
          <w:i/>
          <w:sz w:val="20"/>
        </w:rPr>
        <w:t>on</w:t>
      </w:r>
      <w:r>
        <w:rPr>
          <w:rFonts w:ascii="Arial"/>
          <w:i/>
          <w:spacing w:val="11"/>
          <w:sz w:val="20"/>
        </w:rPr>
        <w:t> </w:t>
      </w:r>
      <w:r>
        <w:rPr>
          <w:rFonts w:ascii="Arial"/>
          <w:i/>
          <w:sz w:val="20"/>
        </w:rPr>
        <w:t>the</w:t>
      </w:r>
      <w:r>
        <w:rPr>
          <w:rFonts w:ascii="Arial"/>
          <w:i/>
          <w:spacing w:val="11"/>
          <w:sz w:val="20"/>
        </w:rPr>
        <w:t> </w:t>
      </w:r>
      <w:r>
        <w:rPr>
          <w:rFonts w:ascii="Arial"/>
          <w:i/>
          <w:sz w:val="20"/>
        </w:rPr>
        <w:t>Law</w:t>
      </w:r>
      <w:r>
        <w:rPr>
          <w:rFonts w:ascii="Arial"/>
          <w:i/>
          <w:spacing w:val="11"/>
          <w:sz w:val="20"/>
        </w:rPr>
        <w:t> </w:t>
      </w:r>
      <w:r>
        <w:rPr>
          <w:rFonts w:ascii="Arial"/>
          <w:i/>
          <w:sz w:val="20"/>
        </w:rPr>
        <w:t>of</w:t>
      </w:r>
      <w:r>
        <w:rPr>
          <w:rFonts w:ascii="Arial"/>
          <w:i/>
          <w:spacing w:val="11"/>
          <w:sz w:val="20"/>
        </w:rPr>
        <w:t> </w:t>
      </w:r>
      <w:r>
        <w:rPr>
          <w:rFonts w:ascii="Arial"/>
          <w:i/>
          <w:sz w:val="20"/>
        </w:rPr>
        <w:t>Torts</w:t>
      </w:r>
      <w:r>
        <w:rPr>
          <w:rFonts w:ascii="Arial"/>
          <w:i/>
          <w:spacing w:val="11"/>
          <w:sz w:val="20"/>
        </w:rPr>
        <w:t> </w:t>
      </w:r>
      <w:r>
        <w:rPr>
          <w:sz w:val="20"/>
        </w:rPr>
        <w:t>(1953),</w:t>
      </w:r>
      <w:r>
        <w:rPr>
          <w:spacing w:val="11"/>
          <w:sz w:val="20"/>
        </w:rPr>
        <w:t> </w:t>
      </w:r>
      <w:r>
        <w:rPr>
          <w:sz w:val="20"/>
        </w:rPr>
        <w:t>p.380;</w:t>
      </w:r>
      <w:r>
        <w:rPr>
          <w:spacing w:val="11"/>
          <w:sz w:val="20"/>
        </w:rPr>
        <w:t> </w:t>
      </w:r>
      <w:r>
        <w:rPr>
          <w:sz w:val="20"/>
        </w:rPr>
        <w:t>Guest</w:t>
      </w:r>
      <w:r>
        <w:rPr>
          <w:spacing w:val="11"/>
          <w:sz w:val="20"/>
        </w:rPr>
        <w:t> </w:t>
      </w:r>
      <w:r>
        <w:rPr>
          <w:sz w:val="20"/>
        </w:rPr>
        <w:t>(1961)</w:t>
      </w:r>
      <w:r>
        <w:rPr>
          <w:spacing w:val="11"/>
          <w:sz w:val="20"/>
        </w:rPr>
        <w:t> </w:t>
      </w:r>
      <w:r>
        <w:rPr>
          <w:sz w:val="20"/>
        </w:rPr>
        <w:t>3</w:t>
      </w:r>
      <w:r>
        <w:rPr>
          <w:spacing w:val="11"/>
          <w:sz w:val="20"/>
        </w:rPr>
        <w:t> </w:t>
      </w:r>
      <w:r>
        <w:rPr>
          <w:sz w:val="20"/>
        </w:rPr>
        <w:t>Univ.</w:t>
      </w:r>
      <w:r>
        <w:rPr>
          <w:spacing w:val="11"/>
          <w:sz w:val="20"/>
        </w:rPr>
        <w:t> </w:t>
      </w:r>
      <w:r>
        <w:rPr>
          <w:spacing w:val="-2"/>
          <w:sz w:val="20"/>
        </w:rPr>
        <w:t>Malaya</w:t>
      </w:r>
    </w:p>
    <w:p>
      <w:pPr>
        <w:pStyle w:val="BodyText"/>
        <w:spacing w:line="225" w:lineRule="exact"/>
        <w:ind w:right="167"/>
        <w:jc w:val="right"/>
      </w:pPr>
      <w:r>
        <w:rPr/>
        <w:t>L.R.</w:t>
      </w:r>
      <w:r>
        <w:rPr>
          <w:spacing w:val="1"/>
        </w:rPr>
        <w:t> </w:t>
      </w:r>
      <w:r>
        <w:rPr/>
        <w:t>191;</w:t>
      </w:r>
      <w:r>
        <w:rPr>
          <w:spacing w:val="1"/>
        </w:rPr>
        <w:t> </w:t>
      </w:r>
      <w:r>
        <w:rPr/>
        <w:t>Poulton</w:t>
      </w:r>
      <w:r>
        <w:rPr>
          <w:spacing w:val="1"/>
        </w:rPr>
        <w:t> </w:t>
      </w:r>
      <w:r>
        <w:rPr/>
        <w:t>(1966)</w:t>
      </w:r>
      <w:r>
        <w:rPr>
          <w:spacing w:val="1"/>
        </w:rPr>
        <w:t> </w:t>
      </w:r>
      <w:r>
        <w:rPr/>
        <w:t>82</w:t>
      </w:r>
      <w:r>
        <w:rPr>
          <w:spacing w:val="1"/>
        </w:rPr>
        <w:t> </w:t>
      </w:r>
      <w:r>
        <w:rPr/>
        <w:t>L.Q.R.</w:t>
      </w:r>
      <w:r>
        <w:rPr>
          <w:spacing w:val="1"/>
        </w:rPr>
        <w:t> </w:t>
      </w:r>
      <w:r>
        <w:rPr/>
        <w:t>346;</w:t>
      </w:r>
      <w:r>
        <w:rPr>
          <w:spacing w:val="1"/>
        </w:rPr>
        <w:t> </w:t>
      </w:r>
      <w:r>
        <w:rPr/>
        <w:t>Fridman</w:t>
      </w:r>
      <w:r>
        <w:rPr>
          <w:spacing w:val="1"/>
        </w:rPr>
        <w:t> </w:t>
      </w:r>
      <w:r>
        <w:rPr/>
        <w:t>(1977)</w:t>
      </w:r>
      <w:r>
        <w:rPr>
          <w:spacing w:val="1"/>
        </w:rPr>
        <w:t> </w:t>
      </w:r>
      <w:r>
        <w:rPr/>
        <w:t>93</w:t>
      </w:r>
      <w:r>
        <w:rPr>
          <w:spacing w:val="1"/>
        </w:rPr>
        <w:t> </w:t>
      </w:r>
      <w:r>
        <w:rPr/>
        <w:t>L.Q.R.</w:t>
      </w:r>
      <w:r>
        <w:rPr>
          <w:spacing w:val="1"/>
        </w:rPr>
        <w:t> </w:t>
      </w:r>
      <w:r>
        <w:rPr/>
        <w:t>422;</w:t>
      </w:r>
      <w:r>
        <w:rPr>
          <w:spacing w:val="1"/>
        </w:rPr>
        <w:t> </w:t>
      </w:r>
      <w:r>
        <w:rPr/>
        <w:t>Duncan</w:t>
      </w:r>
      <w:r>
        <w:rPr>
          <w:spacing w:val="1"/>
        </w:rPr>
        <w:t> </w:t>
      </w:r>
      <w:r>
        <w:rPr/>
        <w:t>Wallace</w:t>
      </w:r>
      <w:r>
        <w:rPr>
          <w:spacing w:val="1"/>
        </w:rPr>
        <w:t> </w:t>
      </w:r>
      <w:r>
        <w:rPr>
          <w:spacing w:val="-2"/>
        </w:rPr>
        <w:t>(1978)</w:t>
      </w:r>
    </w:p>
    <w:p>
      <w:pPr>
        <w:pStyle w:val="BodyText"/>
        <w:spacing w:line="225" w:lineRule="exact"/>
        <w:ind w:right="168"/>
        <w:jc w:val="right"/>
      </w:pPr>
      <w:r>
        <w:rPr/>
        <w:t>L.Q.R.</w:t>
      </w:r>
      <w:r>
        <w:rPr>
          <w:spacing w:val="11"/>
        </w:rPr>
        <w:t> </w:t>
      </w:r>
      <w:r>
        <w:rPr/>
        <w:t>60;</w:t>
      </w:r>
      <w:r>
        <w:rPr>
          <w:spacing w:val="11"/>
        </w:rPr>
        <w:t> </w:t>
      </w:r>
      <w:r>
        <w:rPr/>
        <w:t>Burrows</w:t>
      </w:r>
      <w:r>
        <w:rPr>
          <w:spacing w:val="11"/>
        </w:rPr>
        <w:t> </w:t>
      </w:r>
      <w:r>
        <w:rPr/>
        <w:t>(1983)</w:t>
      </w:r>
      <w:r>
        <w:rPr>
          <w:spacing w:val="11"/>
        </w:rPr>
        <w:t> </w:t>
      </w:r>
      <w:r>
        <w:rPr/>
        <w:t>99</w:t>
      </w:r>
      <w:r>
        <w:rPr>
          <w:spacing w:val="11"/>
        </w:rPr>
        <w:t> </w:t>
      </w:r>
      <w:r>
        <w:rPr/>
        <w:t>L.Q.R.</w:t>
      </w:r>
      <w:r>
        <w:rPr>
          <w:spacing w:val="11"/>
        </w:rPr>
        <w:t> </w:t>
      </w:r>
      <w:r>
        <w:rPr/>
        <w:t>217;</w:t>
      </w:r>
      <w:r>
        <w:rPr>
          <w:spacing w:val="11"/>
        </w:rPr>
        <w:t> </w:t>
      </w:r>
      <w:r>
        <w:rPr/>
        <w:t>Smith</w:t>
      </w:r>
      <w:r>
        <w:rPr>
          <w:spacing w:val="11"/>
        </w:rPr>
        <w:t> </w:t>
      </w:r>
      <w:r>
        <w:rPr/>
        <w:t>(1984)</w:t>
      </w:r>
      <w:r>
        <w:rPr>
          <w:spacing w:val="11"/>
        </w:rPr>
        <w:t> </w:t>
      </w:r>
      <w:r>
        <w:rPr/>
        <w:t>U.B.C.L.</w:t>
      </w:r>
      <w:r>
        <w:rPr>
          <w:spacing w:val="11"/>
        </w:rPr>
        <w:t> </w:t>
      </w:r>
      <w:r>
        <w:rPr/>
        <w:t>Rev.</w:t>
      </w:r>
      <w:r>
        <w:rPr>
          <w:spacing w:val="11"/>
        </w:rPr>
        <w:t> </w:t>
      </w:r>
      <w:r>
        <w:rPr/>
        <w:t>95;</w:t>
      </w:r>
      <w:r>
        <w:rPr>
          <w:spacing w:val="11"/>
        </w:rPr>
        <w:t> </w:t>
      </w:r>
      <w:r>
        <w:rPr/>
        <w:t>Jaffey</w:t>
      </w:r>
      <w:r>
        <w:rPr>
          <w:spacing w:val="11"/>
        </w:rPr>
        <w:t> </w:t>
      </w:r>
      <w:r>
        <w:rPr/>
        <w:t>(1985)</w:t>
      </w:r>
      <w:r>
        <w:rPr>
          <w:spacing w:val="11"/>
        </w:rPr>
        <w:t> </w:t>
      </w:r>
      <w:r>
        <w:rPr/>
        <w:t>5</w:t>
      </w:r>
      <w:r>
        <w:rPr>
          <w:spacing w:val="11"/>
        </w:rPr>
        <w:t> </w:t>
      </w:r>
      <w:r>
        <w:rPr>
          <w:spacing w:val="-4"/>
        </w:rPr>
        <w:t>L.S.</w:t>
      </w:r>
    </w:p>
    <w:p>
      <w:pPr>
        <w:spacing w:line="235" w:lineRule="auto" w:before="1"/>
        <w:ind w:left="705" w:right="167" w:firstLine="0"/>
        <w:jc w:val="both"/>
        <w:rPr>
          <w:sz w:val="20"/>
        </w:rPr>
      </w:pPr>
      <w:r>
        <w:rPr>
          <w:sz w:val="20"/>
        </w:rPr>
        <w:t>77; Reynolds (1985) 11 N.Z. Univ. Law Rev. 215; Atiyah, </w:t>
      </w:r>
      <w:r>
        <w:rPr>
          <w:rFonts w:ascii="Arial" w:hAnsi="Arial"/>
          <w:i/>
          <w:sz w:val="20"/>
        </w:rPr>
        <w:t>Law &amp; Contemporary Problems </w:t>
      </w:r>
      <w:r>
        <w:rPr>
          <w:sz w:val="20"/>
        </w:rPr>
        <w:t>287; Cane, </w:t>
      </w:r>
      <w:r>
        <w:rPr>
          <w:rFonts w:ascii="Arial" w:hAnsi="Arial"/>
          <w:i/>
          <w:sz w:val="20"/>
        </w:rPr>
        <w:t>The Law of Torts </w:t>
      </w:r>
      <w:r>
        <w:rPr>
          <w:sz w:val="20"/>
        </w:rPr>
        <w:t>(1986), Ch.6; Cane, </w:t>
      </w:r>
      <w:r>
        <w:rPr>
          <w:rFonts w:ascii="Arial" w:hAnsi="Arial"/>
          <w:i/>
          <w:sz w:val="20"/>
        </w:rPr>
        <w:t>Tort Law and Economic Interests</w:t>
      </w:r>
      <w:r>
        <w:rPr>
          <w:sz w:val="20"/>
        </w:rPr>
        <w:t>, 2nd edn (1996), pp.129–149,</w:t>
      </w:r>
      <w:r>
        <w:rPr>
          <w:spacing w:val="18"/>
          <w:sz w:val="20"/>
        </w:rPr>
        <w:t> </w:t>
      </w:r>
      <w:r>
        <w:rPr>
          <w:sz w:val="20"/>
        </w:rPr>
        <w:t>307–343;</w:t>
      </w:r>
      <w:r>
        <w:rPr>
          <w:spacing w:val="18"/>
          <w:sz w:val="20"/>
        </w:rPr>
        <w:t> </w:t>
      </w:r>
      <w:r>
        <w:rPr>
          <w:sz w:val="20"/>
        </w:rPr>
        <w:t>McLaren</w:t>
      </w:r>
      <w:r>
        <w:rPr>
          <w:spacing w:val="18"/>
          <w:sz w:val="20"/>
        </w:rPr>
        <w:t> </w:t>
      </w:r>
      <w:r>
        <w:rPr>
          <w:sz w:val="20"/>
        </w:rPr>
        <w:t>(1989)</w:t>
      </w:r>
      <w:r>
        <w:rPr>
          <w:spacing w:val="18"/>
          <w:sz w:val="20"/>
        </w:rPr>
        <w:t> </w:t>
      </w:r>
      <w:r>
        <w:rPr>
          <w:sz w:val="20"/>
        </w:rPr>
        <w:t>68</w:t>
      </w:r>
      <w:r>
        <w:rPr>
          <w:spacing w:val="18"/>
          <w:sz w:val="20"/>
        </w:rPr>
        <w:t> </w:t>
      </w:r>
      <w:r>
        <w:rPr>
          <w:sz w:val="20"/>
        </w:rPr>
        <w:t>Can.</w:t>
      </w:r>
      <w:r>
        <w:rPr>
          <w:spacing w:val="18"/>
          <w:sz w:val="20"/>
        </w:rPr>
        <w:t> </w:t>
      </w:r>
      <w:r>
        <w:rPr>
          <w:sz w:val="20"/>
        </w:rPr>
        <w:t>Bar</w:t>
      </w:r>
      <w:r>
        <w:rPr>
          <w:spacing w:val="18"/>
          <w:sz w:val="20"/>
        </w:rPr>
        <w:t> </w:t>
      </w:r>
      <w:r>
        <w:rPr>
          <w:sz w:val="20"/>
        </w:rPr>
        <w:t>Rev.</w:t>
      </w:r>
      <w:r>
        <w:rPr>
          <w:spacing w:val="18"/>
          <w:sz w:val="20"/>
        </w:rPr>
        <w:t> </w:t>
      </w:r>
      <w:r>
        <w:rPr>
          <w:sz w:val="20"/>
        </w:rPr>
        <w:t>30;</w:t>
      </w:r>
      <w:r>
        <w:rPr>
          <w:spacing w:val="18"/>
          <w:sz w:val="20"/>
        </w:rPr>
        <w:t> </w:t>
      </w:r>
      <w:r>
        <w:rPr>
          <w:sz w:val="20"/>
        </w:rPr>
        <w:t>Adams</w:t>
      </w:r>
      <w:r>
        <w:rPr>
          <w:spacing w:val="18"/>
          <w:sz w:val="20"/>
        </w:rPr>
        <w:t> </w:t>
      </w:r>
      <w:r>
        <w:rPr>
          <w:sz w:val="20"/>
        </w:rPr>
        <w:t>and</w:t>
      </w:r>
      <w:r>
        <w:rPr>
          <w:spacing w:val="18"/>
          <w:sz w:val="20"/>
        </w:rPr>
        <w:t> </w:t>
      </w:r>
      <w:r>
        <w:rPr>
          <w:sz w:val="20"/>
        </w:rPr>
        <w:t>Brownsword</w:t>
      </w:r>
      <w:r>
        <w:rPr>
          <w:spacing w:val="18"/>
          <w:sz w:val="20"/>
        </w:rPr>
        <w:t> </w:t>
      </w:r>
      <w:r>
        <w:rPr>
          <w:spacing w:val="-2"/>
          <w:sz w:val="20"/>
        </w:rPr>
        <w:t>(1991)</w:t>
      </w:r>
    </w:p>
    <w:p>
      <w:pPr>
        <w:spacing w:line="223" w:lineRule="exact" w:before="0"/>
        <w:ind w:left="705" w:right="0" w:firstLine="0"/>
        <w:jc w:val="both"/>
        <w:rPr>
          <w:sz w:val="20"/>
        </w:rPr>
      </w:pPr>
      <w:r>
        <w:rPr>
          <w:sz w:val="20"/>
        </w:rPr>
        <w:t>55</w:t>
      </w:r>
      <w:r>
        <w:rPr>
          <w:spacing w:val="32"/>
          <w:sz w:val="20"/>
        </w:rPr>
        <w:t> </w:t>
      </w:r>
      <w:r>
        <w:rPr>
          <w:sz w:val="20"/>
        </w:rPr>
        <w:t>Sask.</w:t>
      </w:r>
      <w:r>
        <w:rPr>
          <w:spacing w:val="32"/>
          <w:sz w:val="20"/>
        </w:rPr>
        <w:t> </w:t>
      </w:r>
      <w:r>
        <w:rPr>
          <w:sz w:val="20"/>
        </w:rPr>
        <w:t>L.</w:t>
      </w:r>
      <w:r>
        <w:rPr>
          <w:spacing w:val="32"/>
          <w:sz w:val="20"/>
        </w:rPr>
        <w:t> </w:t>
      </w:r>
      <w:r>
        <w:rPr>
          <w:sz w:val="20"/>
        </w:rPr>
        <w:t>Rev.</w:t>
      </w:r>
      <w:r>
        <w:rPr>
          <w:spacing w:val="32"/>
          <w:sz w:val="20"/>
        </w:rPr>
        <w:t> </w:t>
      </w:r>
      <w:r>
        <w:rPr>
          <w:sz w:val="20"/>
        </w:rPr>
        <w:t>441;</w:t>
      </w:r>
      <w:r>
        <w:rPr>
          <w:spacing w:val="32"/>
          <w:sz w:val="20"/>
        </w:rPr>
        <w:t> </w:t>
      </w:r>
      <w:r>
        <w:rPr>
          <w:sz w:val="20"/>
        </w:rPr>
        <w:t>Burrows</w:t>
      </w:r>
      <w:r>
        <w:rPr>
          <w:spacing w:val="32"/>
          <w:sz w:val="20"/>
        </w:rPr>
        <w:t> </w:t>
      </w:r>
      <w:r>
        <w:rPr>
          <w:sz w:val="20"/>
        </w:rPr>
        <w:t>(1995)</w:t>
      </w:r>
      <w:r>
        <w:rPr>
          <w:spacing w:val="32"/>
          <w:sz w:val="20"/>
        </w:rPr>
        <w:t> </w:t>
      </w:r>
      <w:r>
        <w:rPr>
          <w:sz w:val="20"/>
        </w:rPr>
        <w:t>C.L.P.</w:t>
      </w:r>
      <w:r>
        <w:rPr>
          <w:spacing w:val="32"/>
          <w:sz w:val="20"/>
        </w:rPr>
        <w:t> </w:t>
      </w:r>
      <w:r>
        <w:rPr>
          <w:sz w:val="20"/>
        </w:rPr>
        <w:t>103;</w:t>
      </w:r>
      <w:r>
        <w:rPr>
          <w:spacing w:val="32"/>
          <w:sz w:val="20"/>
        </w:rPr>
        <w:t> </w:t>
      </w:r>
      <w:r>
        <w:rPr>
          <w:sz w:val="20"/>
        </w:rPr>
        <w:t>Cane,</w:t>
      </w:r>
      <w:r>
        <w:rPr>
          <w:spacing w:val="32"/>
          <w:sz w:val="20"/>
        </w:rPr>
        <w:t> </w:t>
      </w:r>
      <w:r>
        <w:rPr>
          <w:rFonts w:ascii="Arial"/>
          <w:i/>
          <w:sz w:val="20"/>
        </w:rPr>
        <w:t>Consensus</w:t>
      </w:r>
      <w:r>
        <w:rPr>
          <w:rFonts w:ascii="Arial"/>
          <w:i/>
          <w:spacing w:val="32"/>
          <w:sz w:val="20"/>
        </w:rPr>
        <w:t> </w:t>
      </w:r>
      <w:r>
        <w:rPr>
          <w:rFonts w:ascii="Arial"/>
          <w:i/>
          <w:sz w:val="20"/>
        </w:rPr>
        <w:t>ad</w:t>
      </w:r>
      <w:r>
        <w:rPr>
          <w:rFonts w:ascii="Arial"/>
          <w:i/>
          <w:spacing w:val="32"/>
          <w:sz w:val="20"/>
        </w:rPr>
        <w:t> </w:t>
      </w:r>
      <w:r>
        <w:rPr>
          <w:rFonts w:ascii="Arial"/>
          <w:i/>
          <w:sz w:val="20"/>
        </w:rPr>
        <w:t>Idem</w:t>
      </w:r>
      <w:r>
        <w:rPr>
          <w:rFonts w:ascii="Arial"/>
          <w:i/>
          <w:spacing w:val="32"/>
          <w:sz w:val="20"/>
        </w:rPr>
        <w:t> </w:t>
      </w:r>
      <w:r>
        <w:rPr>
          <w:sz w:val="20"/>
        </w:rPr>
        <w:t>(1996),</w:t>
      </w:r>
      <w:r>
        <w:rPr>
          <w:spacing w:val="32"/>
          <w:sz w:val="20"/>
        </w:rPr>
        <w:t> </w:t>
      </w:r>
      <w:r>
        <w:rPr>
          <w:spacing w:val="-2"/>
          <w:sz w:val="20"/>
        </w:rPr>
        <w:t>p.96;</w:t>
      </w:r>
    </w:p>
    <w:p>
      <w:pPr>
        <w:pStyle w:val="BodyText"/>
        <w:spacing w:line="235" w:lineRule="auto" w:before="2"/>
        <w:ind w:left="705" w:right="167"/>
        <w:jc w:val="both"/>
      </w:pPr>
      <w:r>
        <w:rPr/>
        <w:t>Whittaker (1996) 16 O.J.L.S. 191; Whittaker (1997) 17 Legal Studies 169. For an </w:t>
      </w:r>
      <w:r>
        <w:rPr/>
        <w:t>economic analysis see Bishop (1983) 12 L.S. 241. For comparative studies see Weir, </w:t>
      </w:r>
      <w:r>
        <w:rPr>
          <w:rFonts w:ascii="Arial" w:hAnsi="Arial"/>
          <w:i/>
        </w:rPr>
        <w:t>International Encyclopedia of Comparative Law </w:t>
      </w:r>
      <w:r>
        <w:rPr/>
        <w:t>(1976), Vol.XI, “Torts” Ch.12; Markesinis (1987) 103 L.Q.R. </w:t>
      </w:r>
      <w:r>
        <w:rPr>
          <w:spacing w:val="-4"/>
        </w:rPr>
        <w:t>354.</w:t>
      </w:r>
    </w:p>
    <w:p>
      <w:pPr>
        <w:pStyle w:val="BodyText"/>
        <w:spacing w:before="4"/>
      </w:pPr>
    </w:p>
    <w:p>
      <w:pPr>
        <w:pStyle w:val="BodyText"/>
        <w:tabs>
          <w:tab w:pos="705" w:val="left" w:leader="none"/>
        </w:tabs>
        <w:ind w:left="165"/>
      </w:pPr>
      <w:r>
        <w:rPr>
          <w:color w:val="005DA1"/>
          <w:spacing w:val="-4"/>
          <w:position w:val="5"/>
          <w:sz w:val="14"/>
          <w:u w:val="single" w:color="005DA1"/>
        </w:rPr>
        <w:t>991</w:t>
      </w:r>
      <w:r>
        <w:rPr>
          <w:spacing w:val="-4"/>
          <w:position w:val="5"/>
          <w:sz w:val="14"/>
        </w:rPr>
        <w:t>.</w:t>
      </w:r>
      <w:r>
        <w:rPr>
          <w:position w:val="5"/>
          <w:sz w:val="14"/>
        </w:rPr>
        <w:tab/>
      </w:r>
      <w:r>
        <w:rPr/>
        <w:t>See</w:t>
      </w:r>
      <w:r>
        <w:rPr>
          <w:spacing w:val="-2"/>
        </w:rPr>
        <w:t> </w:t>
      </w:r>
      <w:r>
        <w:rPr/>
        <w:t>below, para.1-</w:t>
      </w:r>
      <w:r>
        <w:rPr>
          <w:spacing w:val="-4"/>
        </w:rPr>
        <w:t>146.</w:t>
      </w:r>
    </w:p>
    <w:p>
      <w:pPr>
        <w:pStyle w:val="BodyText"/>
        <w:spacing w:before="5"/>
      </w:pPr>
    </w:p>
    <w:p>
      <w:pPr>
        <w:pStyle w:val="BodyText"/>
        <w:tabs>
          <w:tab w:pos="705" w:val="left" w:leader="none"/>
        </w:tabs>
        <w:ind w:left="165"/>
      </w:pPr>
      <w:r>
        <w:rPr>
          <w:color w:val="005DA1"/>
          <w:spacing w:val="-4"/>
          <w:position w:val="5"/>
          <w:sz w:val="14"/>
          <w:u w:val="single" w:color="005DA1"/>
        </w:rPr>
        <w:t>992</w:t>
      </w:r>
      <w:r>
        <w:rPr>
          <w:spacing w:val="-4"/>
          <w:position w:val="5"/>
          <w:sz w:val="14"/>
        </w:rPr>
        <w:t>.</w:t>
      </w:r>
      <w:r>
        <w:rPr>
          <w:position w:val="5"/>
          <w:sz w:val="14"/>
        </w:rPr>
        <w:tab/>
      </w:r>
      <w:r>
        <w:rPr/>
        <w:t>See below, paras 1-147—1-</w:t>
      </w:r>
      <w:r>
        <w:rPr>
          <w:spacing w:val="-4"/>
        </w:rPr>
        <w:t>149.</w:t>
      </w:r>
    </w:p>
    <w:p>
      <w:pPr>
        <w:pStyle w:val="BodyText"/>
        <w:spacing w:before="5"/>
      </w:pPr>
    </w:p>
    <w:p>
      <w:pPr>
        <w:pStyle w:val="BodyText"/>
        <w:tabs>
          <w:tab w:pos="705" w:val="left" w:leader="none"/>
        </w:tabs>
        <w:ind w:left="165"/>
      </w:pPr>
      <w:r>
        <w:rPr>
          <w:color w:val="005DA1"/>
          <w:spacing w:val="-4"/>
          <w:position w:val="5"/>
          <w:sz w:val="14"/>
          <w:u w:val="single" w:color="005DA1"/>
        </w:rPr>
        <w:t>993</w:t>
      </w:r>
      <w:r>
        <w:rPr>
          <w:spacing w:val="-4"/>
          <w:position w:val="5"/>
          <w:sz w:val="14"/>
        </w:rPr>
        <w:t>.</w:t>
      </w:r>
      <w:r>
        <w:rPr>
          <w:position w:val="5"/>
          <w:sz w:val="14"/>
        </w:rPr>
        <w:tab/>
      </w:r>
      <w:r>
        <w:rPr/>
        <w:t>See below, paras 1-150—1-</w:t>
      </w:r>
      <w:r>
        <w:rPr>
          <w:spacing w:val="-4"/>
        </w:rPr>
        <w:t>153.</w:t>
      </w:r>
    </w:p>
    <w:p>
      <w:pPr>
        <w:pStyle w:val="BodyText"/>
        <w:spacing w:before="5"/>
      </w:pPr>
    </w:p>
    <w:p>
      <w:pPr>
        <w:pStyle w:val="BodyText"/>
        <w:tabs>
          <w:tab w:pos="705" w:val="left" w:leader="none"/>
        </w:tabs>
        <w:spacing w:before="1"/>
        <w:ind w:left="165"/>
      </w:pPr>
      <w:r>
        <w:rPr>
          <w:color w:val="005DA1"/>
          <w:spacing w:val="-4"/>
          <w:position w:val="5"/>
          <w:sz w:val="14"/>
          <w:u w:val="single" w:color="005DA1"/>
        </w:rPr>
        <w:t>994</w:t>
      </w:r>
      <w:r>
        <w:rPr>
          <w:spacing w:val="-4"/>
          <w:position w:val="5"/>
          <w:sz w:val="14"/>
        </w:rPr>
        <w:t>.</w:t>
      </w:r>
      <w:r>
        <w:rPr>
          <w:position w:val="5"/>
          <w:sz w:val="14"/>
        </w:rPr>
        <w:tab/>
      </w:r>
      <w:r>
        <w:rPr/>
        <w:t>See below, paras 1-154 et </w:t>
      </w:r>
      <w:r>
        <w:rPr>
          <w:spacing w:val="-4"/>
        </w:rPr>
        <w:t>seq.</w:t>
      </w:r>
    </w:p>
    <w:p>
      <w:pPr>
        <w:pStyle w:val="BodyText"/>
        <w:spacing w:before="4"/>
      </w:pPr>
    </w:p>
    <w:p>
      <w:pPr>
        <w:pStyle w:val="BodyText"/>
        <w:tabs>
          <w:tab w:pos="705" w:val="left" w:leader="none"/>
        </w:tabs>
        <w:spacing w:before="1"/>
        <w:ind w:left="165"/>
      </w:pPr>
      <w:bookmarkStart w:name="_bookmark1827" w:id="1829"/>
      <w:bookmarkEnd w:id="1829"/>
      <w:r>
        <w:rPr/>
      </w:r>
      <w:r>
        <w:rPr>
          <w:color w:val="005DA1"/>
          <w:spacing w:val="-4"/>
          <w:position w:val="5"/>
          <w:sz w:val="14"/>
          <w:u w:val="single" w:color="005DA1"/>
        </w:rPr>
        <w:t>995</w:t>
      </w:r>
      <w:r>
        <w:rPr>
          <w:spacing w:val="-4"/>
          <w:position w:val="5"/>
          <w:sz w:val="14"/>
        </w:rPr>
        <w:t>.</w:t>
      </w:r>
      <w:r>
        <w:rPr>
          <w:position w:val="5"/>
          <w:sz w:val="14"/>
        </w:rPr>
        <w:tab/>
      </w:r>
      <w:r>
        <w:rPr/>
        <w:t>See below, paras 1-165 et </w:t>
      </w:r>
      <w:r>
        <w:rPr>
          <w:spacing w:val="-4"/>
        </w:rPr>
        <w:t>seq.</w:t>
      </w:r>
    </w:p>
    <w:p>
      <w:pPr>
        <w:pStyle w:val="BodyText"/>
        <w:spacing w:after="0"/>
        <w:sectPr>
          <w:headerReference w:type="default" r:id="rId42"/>
          <w:pgSz w:w="11900" w:h="16840"/>
          <w:pgMar w:header="971" w:footer="0" w:top="1300" w:bottom="280" w:left="1275" w:right="1275"/>
          <w:pgNumType w:start="1"/>
        </w:sectPr>
      </w:pPr>
    </w:p>
    <w:p>
      <w:pPr>
        <w:pStyle w:val="BodyText"/>
        <w:tabs>
          <w:tab w:pos="705" w:val="left" w:leader="none"/>
        </w:tabs>
        <w:spacing w:before="166"/>
        <w:ind w:left="165"/>
      </w:pPr>
      <w:r>
        <w:rPr>
          <w:color w:val="005DA1"/>
          <w:spacing w:val="-4"/>
          <w:position w:val="5"/>
          <w:sz w:val="14"/>
          <w:u w:val="single" w:color="005DA1"/>
        </w:rPr>
        <w:t>996</w:t>
      </w:r>
      <w:r>
        <w:rPr>
          <w:spacing w:val="-4"/>
          <w:position w:val="5"/>
          <w:sz w:val="14"/>
        </w:rPr>
        <w:t>.</w:t>
      </w:r>
      <w:r>
        <w:rPr>
          <w:position w:val="5"/>
          <w:sz w:val="14"/>
        </w:rPr>
        <w:tab/>
      </w:r>
      <w:r>
        <w:rPr/>
        <w:t>See below, paras 1-201 et </w:t>
      </w:r>
      <w:r>
        <w:rPr>
          <w:spacing w:val="-4"/>
        </w:rPr>
        <w:t>seq.</w:t>
      </w:r>
    </w:p>
    <w:p>
      <w:pPr>
        <w:pStyle w:val="BodyText"/>
        <w:rPr>
          <w:sz w:val="14"/>
        </w:rPr>
      </w:pPr>
    </w:p>
    <w:p>
      <w:pPr>
        <w:pStyle w:val="BodyText"/>
        <w:spacing w:before="101"/>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7. - The Relationship between Contract and </w:t>
      </w:r>
      <w:r>
        <w:rPr>
          <w:rFonts w:ascii="Arial"/>
          <w:b/>
          <w:spacing w:val="-4"/>
          <w:sz w:val="24"/>
        </w:rPr>
        <w:t>Tort</w:t>
      </w:r>
    </w:p>
    <w:p>
      <w:pPr>
        <w:pStyle w:val="ListParagraph"/>
        <w:numPr>
          <w:ilvl w:val="0"/>
          <w:numId w:val="11"/>
        </w:numPr>
        <w:tabs>
          <w:tab w:pos="1478" w:val="left" w:leader="none"/>
        </w:tabs>
        <w:spacing w:line="240" w:lineRule="auto" w:before="194" w:after="0"/>
        <w:ind w:left="1478" w:right="0" w:hanging="360"/>
        <w:jc w:val="left"/>
        <w:rPr>
          <w:b/>
          <w:sz w:val="24"/>
        </w:rPr>
      </w:pPr>
      <w:r>
        <w:rPr>
          <w:b/>
          <w:sz w:val="24"/>
        </w:rPr>
        <w:t>- The Classification of the Forms of Action at Common </w:t>
      </w:r>
      <w:r>
        <w:rPr>
          <w:b/>
          <w:spacing w:val="-5"/>
          <w:sz w:val="24"/>
        </w:rPr>
        <w:t>Law</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Forms of </w:t>
      </w:r>
      <w:r>
        <w:rPr>
          <w:rFonts w:ascii="Arial"/>
          <w:b/>
          <w:spacing w:val="-2"/>
          <w:sz w:val="18"/>
        </w:rPr>
        <w:t>action</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146</w:t>
      </w:r>
    </w:p>
    <w:p>
      <w:pPr>
        <w:pStyle w:val="BodyText"/>
        <w:spacing w:line="235" w:lineRule="auto" w:before="202"/>
        <w:ind w:left="164" w:right="167"/>
        <w:jc w:val="both"/>
      </w:pPr>
      <w:r>
        <w:rPr/>
        <w:t>For a long time, the common law did not require formally to distinguish between actions in </w:t>
      </w:r>
      <w:r>
        <w:rPr/>
        <w:t>contract and in tort. </w:t>
      </w:r>
      <w:r>
        <w:rPr>
          <w:color w:val="005DA1"/>
          <w:u w:val="single" w:color="005DA1"/>
          <w:vertAlign w:val="superscript"/>
        </w:rPr>
        <w:t>997</w:t>
      </w:r>
      <w:r>
        <w:rPr>
          <w:color w:val="005DA1"/>
          <w:vertAlign w:val="baseline"/>
        </w:rPr>
        <w:t> </w:t>
      </w:r>
      <w:r>
        <w:rPr>
          <w:vertAlign w:val="baseline"/>
        </w:rPr>
        <w:t>Until the late seventeenth century, only Bracton used a Roman legal framework for the treating</w:t>
      </w:r>
      <w:r>
        <w:rPr>
          <w:spacing w:val="-2"/>
          <w:vertAlign w:val="baseline"/>
        </w:rPr>
        <w:t> </w:t>
      </w:r>
      <w:r>
        <w:rPr>
          <w:vertAlign w:val="baseline"/>
        </w:rPr>
        <w:t>of</w:t>
      </w:r>
      <w:r>
        <w:rPr>
          <w:spacing w:val="-2"/>
          <w:vertAlign w:val="baseline"/>
        </w:rPr>
        <w:t> </w:t>
      </w:r>
      <w:r>
        <w:rPr>
          <w:vertAlign w:val="baseline"/>
        </w:rPr>
        <w:t>common</w:t>
      </w:r>
      <w:r>
        <w:rPr>
          <w:spacing w:val="-2"/>
          <w:vertAlign w:val="baseline"/>
        </w:rPr>
        <w:t> </w:t>
      </w:r>
      <w:r>
        <w:rPr>
          <w:vertAlign w:val="baseline"/>
        </w:rPr>
        <w:t>law</w:t>
      </w:r>
      <w:r>
        <w:rPr>
          <w:spacing w:val="-2"/>
          <w:vertAlign w:val="baseline"/>
        </w:rPr>
        <w:t> </w:t>
      </w:r>
      <w:r>
        <w:rPr>
          <w:vertAlign w:val="baseline"/>
        </w:rPr>
        <w:t>material,</w:t>
      </w:r>
      <w:r>
        <w:rPr>
          <w:spacing w:val="-2"/>
          <w:vertAlign w:val="baseline"/>
        </w:rPr>
        <w:t> </w:t>
      </w:r>
      <w:r>
        <w:rPr>
          <w:vertAlign w:val="baseline"/>
        </w:rPr>
        <w:t>including</w:t>
      </w:r>
      <w:r>
        <w:rPr>
          <w:spacing w:val="-2"/>
          <w:vertAlign w:val="baseline"/>
        </w:rPr>
        <w:t> </w:t>
      </w:r>
      <w:r>
        <w:rPr>
          <w:vertAlign w:val="baseline"/>
        </w:rPr>
        <w:t>the</w:t>
      </w:r>
      <w:r>
        <w:rPr>
          <w:spacing w:val="-2"/>
          <w:vertAlign w:val="baseline"/>
        </w:rPr>
        <w:t> </w:t>
      </w:r>
      <w:r>
        <w:rPr>
          <w:vertAlign w:val="baseline"/>
        </w:rPr>
        <w:t>distinction</w:t>
      </w:r>
      <w:r>
        <w:rPr>
          <w:spacing w:val="-2"/>
          <w:vertAlign w:val="baseline"/>
        </w:rPr>
        <w:t> </w:t>
      </w:r>
      <w:r>
        <w:rPr>
          <w:vertAlign w:val="baseline"/>
        </w:rPr>
        <w:t>between</w:t>
      </w:r>
      <w:r>
        <w:rPr>
          <w:spacing w:val="-2"/>
          <w:vertAlign w:val="baseline"/>
        </w:rPr>
        <w:t> </w:t>
      </w:r>
      <w:r>
        <w:rPr>
          <w:vertAlign w:val="baseline"/>
        </w:rPr>
        <w:t>actions</w:t>
      </w:r>
      <w:r>
        <w:rPr>
          <w:spacing w:val="-2"/>
          <w:vertAlign w:val="baseline"/>
        </w:rPr>
        <w:t> </w:t>
      </w:r>
      <w:r>
        <w:rPr>
          <w:vertAlign w:val="baseline"/>
        </w:rPr>
        <w:t>ex</w:t>
      </w:r>
      <w:r>
        <w:rPr>
          <w:spacing w:val="-2"/>
          <w:vertAlign w:val="baseline"/>
        </w:rPr>
        <w:t> </w:t>
      </w:r>
      <w:r>
        <w:rPr>
          <w:vertAlign w:val="baseline"/>
        </w:rPr>
        <w:t>delicto</w:t>
      </w:r>
      <w:r>
        <w:rPr>
          <w:spacing w:val="-2"/>
          <w:vertAlign w:val="baseline"/>
        </w:rPr>
        <w:t> </w:t>
      </w:r>
      <w:r>
        <w:rPr>
          <w:vertAlign w:val="baseline"/>
        </w:rPr>
        <w:t>and</w:t>
      </w:r>
      <w:r>
        <w:rPr>
          <w:spacing w:val="-2"/>
          <w:vertAlign w:val="baseline"/>
        </w:rPr>
        <w:t> </w:t>
      </w:r>
      <w:r>
        <w:rPr>
          <w:vertAlign w:val="baseline"/>
        </w:rPr>
        <w:t>ex</w:t>
      </w:r>
      <w:r>
        <w:rPr>
          <w:spacing w:val="-2"/>
          <w:vertAlign w:val="baseline"/>
        </w:rPr>
        <w:t> </w:t>
      </w:r>
      <w:r>
        <w:rPr>
          <w:vertAlign w:val="baseline"/>
        </w:rPr>
        <w:t>contractu, and even he did not make this distinction central to his exposition. </w:t>
      </w:r>
      <w:r>
        <w:rPr>
          <w:color w:val="005DA1"/>
          <w:u w:val="single" w:color="005DA1"/>
          <w:vertAlign w:val="superscript"/>
        </w:rPr>
        <w:t>998</w:t>
      </w:r>
      <w:r>
        <w:rPr>
          <w:color w:val="005DA1"/>
          <w:vertAlign w:val="baseline"/>
        </w:rPr>
        <w:t> </w:t>
      </w:r>
      <w:r>
        <w:rPr>
          <w:vertAlign w:val="baseline"/>
        </w:rPr>
        <w:t>Moreover, while some early decisions appear to turn on such a distinction, care should be taken not to read into these cases, which turned on differences of individual writs, disputes as to a classification unfamiliar and irrelevant to contemporary legal thought </w:t>
      </w:r>
      <w:r>
        <w:rPr>
          <w:color w:val="005DA1"/>
          <w:u w:val="single" w:color="005DA1"/>
          <w:vertAlign w:val="superscript"/>
        </w:rPr>
        <w:t>999</w:t>
      </w:r>
      <w:r>
        <w:rPr>
          <w:vertAlign w:val="baseline"/>
        </w:rPr>
        <w:t>: indeed, the action which became the main sanction of breach of contract (</w:t>
      </w:r>
      <w:r>
        <w:rPr>
          <w:rFonts w:ascii="Arial" w:hAnsi="Arial"/>
          <w:i/>
          <w:vertAlign w:val="baseline"/>
        </w:rPr>
        <w:t>assumpsit</w:t>
      </w:r>
      <w:r>
        <w:rPr>
          <w:vertAlign w:val="baseline"/>
        </w:rPr>
        <w:t>) and the modern torts both grew out of the action of trespass. </w:t>
      </w:r>
      <w:r>
        <w:rPr>
          <w:color w:val="005DA1"/>
          <w:u w:val="single" w:color="005DA1"/>
          <w:vertAlign w:val="superscript"/>
        </w:rPr>
        <w:t>1000</w:t>
      </w:r>
      <w:r>
        <w:rPr>
          <w:color w:val="005DA1"/>
          <w:vertAlign w:val="baseline"/>
        </w:rPr>
        <w:t> </w:t>
      </w:r>
      <w:r>
        <w:rPr>
          <w:vertAlign w:val="baseline"/>
        </w:rPr>
        <w:t>However, from the late seventeenth century, the courts did distinguish between actions in contract (</w:t>
      </w:r>
      <w:r>
        <w:rPr>
          <w:rFonts w:ascii="Arial" w:hAnsi="Arial"/>
          <w:i/>
          <w:vertAlign w:val="baseline"/>
        </w:rPr>
        <w:t>assumpsit</w:t>
      </w:r>
      <w:r>
        <w:rPr>
          <w:vertAlign w:val="baseline"/>
        </w:rPr>
        <w:t>, covenant</w:t>
      </w:r>
      <w:r>
        <w:rPr>
          <w:spacing w:val="-1"/>
          <w:vertAlign w:val="baseline"/>
        </w:rPr>
        <w:t> </w:t>
      </w:r>
      <w:r>
        <w:rPr>
          <w:vertAlign w:val="baseline"/>
        </w:rPr>
        <w:t>and</w:t>
      </w:r>
      <w:r>
        <w:rPr>
          <w:spacing w:val="-1"/>
          <w:vertAlign w:val="baseline"/>
        </w:rPr>
        <w:t> </w:t>
      </w:r>
      <w:r>
        <w:rPr>
          <w:vertAlign w:val="baseline"/>
        </w:rPr>
        <w:t>account)</w:t>
      </w:r>
      <w:r>
        <w:rPr>
          <w:spacing w:val="-1"/>
          <w:vertAlign w:val="baseline"/>
        </w:rPr>
        <w:t> </w:t>
      </w:r>
      <w:r>
        <w:rPr>
          <w:vertAlign w:val="baseline"/>
        </w:rPr>
        <w:t>and</w:t>
      </w:r>
      <w:r>
        <w:rPr>
          <w:spacing w:val="-1"/>
          <w:vertAlign w:val="baseline"/>
        </w:rPr>
        <w:t> </w:t>
      </w:r>
      <w:r>
        <w:rPr>
          <w:vertAlign w:val="baseline"/>
        </w:rPr>
        <w:t>actions</w:t>
      </w:r>
      <w:r>
        <w:rPr>
          <w:spacing w:val="-1"/>
          <w:vertAlign w:val="baseline"/>
        </w:rPr>
        <w:t> </w:t>
      </w:r>
      <w:r>
        <w:rPr>
          <w:vertAlign w:val="baseline"/>
        </w:rPr>
        <w:t>in</w:t>
      </w:r>
      <w:r>
        <w:rPr>
          <w:spacing w:val="-1"/>
          <w:vertAlign w:val="baseline"/>
        </w:rPr>
        <w:t> </w:t>
      </w:r>
      <w:r>
        <w:rPr>
          <w:vertAlign w:val="baseline"/>
        </w:rPr>
        <w:t>tort</w:t>
      </w:r>
      <w:r>
        <w:rPr>
          <w:spacing w:val="-1"/>
          <w:vertAlign w:val="baseline"/>
        </w:rPr>
        <w:t> </w:t>
      </w:r>
      <w:r>
        <w:rPr>
          <w:vertAlign w:val="baseline"/>
        </w:rPr>
        <w:t>(which</w:t>
      </w:r>
      <w:r>
        <w:rPr>
          <w:spacing w:val="-1"/>
          <w:vertAlign w:val="baseline"/>
        </w:rPr>
        <w:t> </w:t>
      </w:r>
      <w:r>
        <w:rPr>
          <w:vertAlign w:val="baseline"/>
        </w:rPr>
        <w:t>included</w:t>
      </w:r>
      <w:r>
        <w:rPr>
          <w:spacing w:val="-1"/>
          <w:vertAlign w:val="baseline"/>
        </w:rPr>
        <w:t> </w:t>
      </w:r>
      <w:r>
        <w:rPr>
          <w:vertAlign w:val="baseline"/>
        </w:rPr>
        <w:t>trespass,</w:t>
      </w:r>
      <w:r>
        <w:rPr>
          <w:spacing w:val="-1"/>
          <w:vertAlign w:val="baseline"/>
        </w:rPr>
        <w:t> </w:t>
      </w:r>
      <w:r>
        <w:rPr>
          <w:vertAlign w:val="baseline"/>
        </w:rPr>
        <w:t>trover</w:t>
      </w:r>
      <w:r>
        <w:rPr>
          <w:spacing w:val="-1"/>
          <w:vertAlign w:val="baseline"/>
        </w:rPr>
        <w:t> </w:t>
      </w:r>
      <w:r>
        <w:rPr>
          <w:vertAlign w:val="baseline"/>
        </w:rPr>
        <w:t>and</w:t>
      </w:r>
      <w:r>
        <w:rPr>
          <w:spacing w:val="-1"/>
          <w:vertAlign w:val="baseline"/>
        </w:rPr>
        <w:t> </w:t>
      </w:r>
      <w:r>
        <w:rPr>
          <w:vertAlign w:val="baseline"/>
        </w:rPr>
        <w:t>nuisance).</w:t>
      </w:r>
      <w:r>
        <w:rPr>
          <w:spacing w:val="-1"/>
          <w:vertAlign w:val="baseline"/>
        </w:rPr>
        <w:t> </w:t>
      </w:r>
      <w:r>
        <w:rPr>
          <w:vertAlign w:val="baseline"/>
        </w:rPr>
        <w:t>They</w:t>
      </w:r>
      <w:r>
        <w:rPr>
          <w:spacing w:val="-1"/>
          <w:vertAlign w:val="baseline"/>
        </w:rPr>
        <w:t> </w:t>
      </w:r>
      <w:r>
        <w:rPr>
          <w:vertAlign w:val="baseline"/>
        </w:rPr>
        <w:t>did</w:t>
      </w:r>
      <w:r>
        <w:rPr>
          <w:spacing w:val="-1"/>
          <w:vertAlign w:val="baseline"/>
        </w:rPr>
        <w:t> </w:t>
      </w:r>
      <w:r>
        <w:rPr>
          <w:vertAlign w:val="baseline"/>
        </w:rPr>
        <w:t>so for the purposes of rules governing transmissibility of actions on death </w:t>
      </w:r>
      <w:r>
        <w:rPr>
          <w:color w:val="005DA1"/>
          <w:u w:val="single" w:color="005DA1"/>
          <w:vertAlign w:val="superscript"/>
        </w:rPr>
        <w:t>1001</w:t>
      </w:r>
      <w:r>
        <w:rPr>
          <w:color w:val="005DA1"/>
          <w:vertAlign w:val="baseline"/>
        </w:rPr>
        <w:t> </w:t>
      </w:r>
      <w:r>
        <w:rPr>
          <w:vertAlign w:val="baseline"/>
        </w:rPr>
        <w:t>and capacity, </w:t>
      </w:r>
      <w:r>
        <w:rPr>
          <w:color w:val="005DA1"/>
          <w:u w:val="single" w:color="005DA1"/>
          <w:vertAlign w:val="superscript"/>
        </w:rPr>
        <w:t>1002</w:t>
      </w:r>
      <w:r>
        <w:rPr>
          <w:color w:val="005DA1"/>
          <w:vertAlign w:val="baseline"/>
        </w:rPr>
        <w:t> </w:t>
      </w:r>
      <w:r>
        <w:rPr>
          <w:vertAlign w:val="baseline"/>
        </w:rPr>
        <w:t>but the principal purposes were procedural and in particular the rules as to joinder of actions in the same declaration and joinder of parties to proceedings were said to turn on whether the action was in a</w:t>
      </w:r>
      <w:r>
        <w:rPr>
          <w:spacing w:val="80"/>
          <w:vertAlign w:val="baseline"/>
        </w:rPr>
        <w:t> </w:t>
      </w:r>
      <w:r>
        <w:rPr>
          <w:vertAlign w:val="baseline"/>
        </w:rPr>
        <w:t>form ex contractu or a form ex delicto. </w:t>
      </w:r>
      <w:r>
        <w:rPr>
          <w:color w:val="005DA1"/>
          <w:u w:val="single" w:color="005DA1"/>
          <w:vertAlign w:val="superscript"/>
        </w:rPr>
        <w:t>1003</w:t>
      </w:r>
      <w:r>
        <w:rPr>
          <w:color w:val="005DA1"/>
          <w:vertAlign w:val="baseline"/>
        </w:rPr>
        <w:t> </w:t>
      </w:r>
      <w:r>
        <w:rPr>
          <w:vertAlign w:val="baseline"/>
        </w:rPr>
        <w:t>Even so, it was not until the nineteenth century that this distinction was used as a general basis of exposition of the common law material, </w:t>
      </w:r>
      <w:r>
        <w:rPr>
          <w:color w:val="005DA1"/>
          <w:u w:val="single" w:color="005DA1"/>
          <w:vertAlign w:val="superscript"/>
        </w:rPr>
        <w:t>1004</w:t>
      </w:r>
      <w:r>
        <w:rPr>
          <w:color w:val="005DA1"/>
          <w:vertAlign w:val="baseline"/>
        </w:rPr>
        <w:t> </w:t>
      </w:r>
      <w:r>
        <w:rPr>
          <w:vertAlign w:val="baseline"/>
        </w:rPr>
        <w:t>though it had been mentioned in earlier works. </w:t>
      </w:r>
      <w:r>
        <w:rPr>
          <w:color w:val="005DA1"/>
          <w:u w:val="single" w:color="005DA1"/>
          <w:vertAlign w:val="superscript"/>
        </w:rPr>
        <w:t>1005</w:t>
      </w:r>
      <w:r>
        <w:rPr>
          <w:color w:val="005DA1"/>
          <w:vertAlign w:val="baseline"/>
        </w:rPr>
        <w:t> </w:t>
      </w:r>
      <w:r>
        <w:rPr>
          <w:vertAlign w:val="baseline"/>
        </w:rPr>
        <w:t>However, since the abolition in the mid-nineteenth century of many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procedural</w:t>
      </w:r>
      <w:r>
        <w:rPr>
          <w:spacing w:val="-1"/>
          <w:vertAlign w:val="baseline"/>
        </w:rPr>
        <w:t> </w:t>
      </w:r>
      <w:r>
        <w:rPr>
          <w:vertAlign w:val="baseline"/>
        </w:rPr>
        <w:t>differences</w:t>
      </w:r>
      <w:r>
        <w:rPr>
          <w:spacing w:val="-1"/>
          <w:vertAlign w:val="baseline"/>
        </w:rPr>
        <w:t> </w:t>
      </w:r>
      <w:r>
        <w:rPr>
          <w:vertAlign w:val="baseline"/>
        </w:rPr>
        <w:t>between</w:t>
      </w:r>
      <w:r>
        <w:rPr>
          <w:spacing w:val="-1"/>
          <w:vertAlign w:val="baseline"/>
        </w:rPr>
        <w:t> </w:t>
      </w:r>
      <w:r>
        <w:rPr>
          <w:vertAlign w:val="baseline"/>
        </w:rPr>
        <w:t>the</w:t>
      </w:r>
      <w:r>
        <w:rPr>
          <w:spacing w:val="-1"/>
          <w:vertAlign w:val="baseline"/>
        </w:rPr>
        <w:t> </w:t>
      </w:r>
      <w:r>
        <w:rPr>
          <w:vertAlign w:val="baseline"/>
        </w:rPr>
        <w:t>two</w:t>
      </w:r>
      <w:r>
        <w:rPr>
          <w:spacing w:val="-1"/>
          <w:vertAlign w:val="baseline"/>
        </w:rPr>
        <w:t> </w:t>
      </w:r>
      <w:r>
        <w:rPr>
          <w:vertAlign w:val="baseline"/>
        </w:rPr>
        <w:t>types</w:t>
      </w:r>
      <w:r>
        <w:rPr>
          <w:spacing w:val="-1"/>
          <w:vertAlign w:val="baseline"/>
        </w:rPr>
        <w:t> </w:t>
      </w:r>
      <w:r>
        <w:rPr>
          <w:vertAlign w:val="baseline"/>
        </w:rPr>
        <w:t>of</w:t>
      </w:r>
      <w:r>
        <w:rPr>
          <w:spacing w:val="-1"/>
          <w:vertAlign w:val="baseline"/>
        </w:rPr>
        <w:t> </w:t>
      </w:r>
      <w:r>
        <w:rPr>
          <w:vertAlign w:val="baseline"/>
        </w:rPr>
        <w:t>action,</w:t>
      </w:r>
      <w:r>
        <w:rPr>
          <w:spacing w:val="-2"/>
          <w:vertAlign w:val="baseline"/>
        </w:rPr>
        <w:t> </w:t>
      </w:r>
      <w:r>
        <w:rPr>
          <w:color w:val="005DA1"/>
          <w:u w:val="single" w:color="005DA1"/>
          <w:vertAlign w:val="superscript"/>
        </w:rPr>
        <w:t>1006</w:t>
      </w:r>
      <w:r>
        <w:rPr>
          <w:color w:val="005DA1"/>
          <w:spacing w:val="-1"/>
          <w:vertAlign w:val="baseline"/>
        </w:rPr>
        <w:t> </w:t>
      </w:r>
      <w:r>
        <w:rPr>
          <w:vertAlign w:val="baseline"/>
        </w:rPr>
        <w:t>these</w:t>
      </w:r>
      <w:r>
        <w:rPr>
          <w:spacing w:val="-1"/>
          <w:vertAlign w:val="baseline"/>
        </w:rPr>
        <w:t> </w:t>
      </w:r>
      <w:r>
        <w:rPr>
          <w:vertAlign w:val="baseline"/>
        </w:rPr>
        <w:t>disputes</w:t>
      </w:r>
      <w:r>
        <w:rPr>
          <w:spacing w:val="-1"/>
          <w:vertAlign w:val="baseline"/>
        </w:rPr>
        <w:t> </w:t>
      </w:r>
      <w:r>
        <w:rPr>
          <w:vertAlign w:val="baseline"/>
        </w:rPr>
        <w:t>could</w:t>
      </w:r>
      <w:r>
        <w:rPr>
          <w:spacing w:val="-1"/>
          <w:vertAlign w:val="baseline"/>
        </w:rPr>
        <w:t> </w:t>
      </w:r>
      <w:r>
        <w:rPr>
          <w:vertAlign w:val="baseline"/>
        </w:rPr>
        <w:t>be</w:t>
      </w:r>
      <w:r>
        <w:rPr>
          <w:spacing w:val="-1"/>
          <w:vertAlign w:val="baseline"/>
        </w:rPr>
        <w:t> </w:t>
      </w:r>
      <w:r>
        <w:rPr>
          <w:vertAlign w:val="baseline"/>
        </w:rPr>
        <w:t>seen as “useless, and worse than useless learning”. </w:t>
      </w:r>
      <w:r>
        <w:rPr>
          <w:color w:val="005DA1"/>
          <w:u w:val="single" w:color="005DA1"/>
          <w:vertAlign w:val="superscript"/>
        </w:rPr>
        <w:t>1007</w:t>
      </w:r>
      <w:r>
        <w:rPr>
          <w:color w:val="005DA1"/>
          <w:vertAlign w:val="baseline"/>
        </w:rPr>
        <w:t> </w:t>
      </w:r>
      <w:r>
        <w:rPr>
          <w:vertAlign w:val="baseline"/>
        </w:rPr>
        <w:t>Where, therefore, after these reforms a court has had to classify a particular </w:t>
      </w:r>
      <w:r>
        <w:rPr>
          <w:rFonts w:ascii="Arial" w:hAnsi="Arial"/>
          <w:i/>
          <w:vertAlign w:val="baseline"/>
        </w:rPr>
        <w:t>type </w:t>
      </w:r>
      <w:r>
        <w:rPr>
          <w:vertAlign w:val="baseline"/>
        </w:rPr>
        <w:t>of claim by a claimant as contractual or tortious, for example for the purposes of the jurisdiction of a court of limited jurisdiction, it has done so on the basis of what it considered was the substance rather than the form of action. </w:t>
      </w:r>
      <w:r>
        <w:rPr>
          <w:color w:val="005DA1"/>
          <w:u w:val="single" w:color="005DA1"/>
          <w:vertAlign w:val="superscript"/>
        </w:rPr>
        <w:t>1008</w:t>
      </w:r>
    </w:p>
    <w:p>
      <w:pPr>
        <w:pStyle w:val="BodyText"/>
      </w:pPr>
    </w:p>
    <w:p>
      <w:pPr>
        <w:pStyle w:val="BodyText"/>
        <w:spacing w:before="32"/>
      </w:pPr>
      <w:r>
        <w:rPr/>
        <mc:AlternateContent>
          <mc:Choice Requires="wps">
            <w:drawing>
              <wp:anchor distT="0" distB="0" distL="0" distR="0" allowOverlap="1" layoutInCell="1" locked="0" behindDoc="1" simplePos="0" relativeHeight="487689216">
                <wp:simplePos x="0" y="0"/>
                <wp:positionH relativeFrom="page">
                  <wp:posOffset>914400</wp:posOffset>
                </wp:positionH>
                <wp:positionV relativeFrom="paragraph">
                  <wp:posOffset>181885</wp:posOffset>
                </wp:positionV>
                <wp:extent cx="5724525" cy="1270"/>
                <wp:effectExtent l="0" t="0" r="0" b="0"/>
                <wp:wrapTopAndBottom/>
                <wp:docPr id="432" name="Graphic 432"/>
                <wp:cNvGraphicFramePr>
                  <a:graphicFrameLocks/>
                </wp:cNvGraphicFramePr>
                <a:graphic>
                  <a:graphicData uri="http://schemas.microsoft.com/office/word/2010/wordprocessingShape">
                    <wps:wsp>
                      <wps:cNvPr id="432" name="Graphic 43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21668pt;width:450.75pt;height:.1pt;mso-position-horizontal-relative:page;mso-position-vertical-relative:paragraph;z-index:-15627264;mso-wrap-distance-left:0;mso-wrap-distance-right:0" id="docshape71" coordorigin="1440,286" coordsize="9015,0" path="m1440,286l10454,286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left="0" w:right="121"/>
              <w:rPr>
                <w:sz w:val="14"/>
              </w:rPr>
            </w:pPr>
            <w:r>
              <w:rPr>
                <w:color w:val="005DA1"/>
                <w:spacing w:val="-4"/>
                <w:sz w:val="14"/>
                <w:u w:val="single" w:color="005DA1"/>
              </w:rPr>
              <w:t>997</w:t>
            </w:r>
            <w:r>
              <w:rPr>
                <w:spacing w:val="-4"/>
                <w:sz w:val="14"/>
              </w:rPr>
              <w:t>.</w:t>
            </w:r>
          </w:p>
        </w:tc>
        <w:tc>
          <w:tcPr>
            <w:tcW w:w="8620" w:type="dxa"/>
          </w:tcPr>
          <w:p>
            <w:pPr>
              <w:pStyle w:val="TableParagraph"/>
              <w:spacing w:line="223" w:lineRule="exact" w:before="0"/>
              <w:jc w:val="left"/>
              <w:rPr>
                <w:sz w:val="20"/>
              </w:rPr>
            </w:pPr>
            <w:r>
              <w:rPr>
                <w:sz w:val="20"/>
              </w:rPr>
              <w:t>Maitland,</w:t>
            </w:r>
            <w:r>
              <w:rPr>
                <w:spacing w:val="-1"/>
                <w:sz w:val="20"/>
              </w:rPr>
              <w:t> </w:t>
            </w:r>
            <w:r>
              <w:rPr>
                <w:sz w:val="20"/>
              </w:rPr>
              <w:t>Appendix A to Pollock,</w:t>
            </w:r>
            <w:r>
              <w:rPr>
                <w:spacing w:val="-1"/>
                <w:sz w:val="20"/>
              </w:rPr>
              <w:t> </w:t>
            </w:r>
            <w:r>
              <w:rPr>
                <w:rFonts w:ascii="Arial"/>
                <w:i/>
                <w:sz w:val="20"/>
              </w:rPr>
              <w:t>The Law of Torts</w:t>
            </w:r>
            <w:r>
              <w:rPr>
                <w:sz w:val="20"/>
              </w:rPr>
              <w:t>, 1st edn (1887), p.467, </w:t>
            </w:r>
            <w:r>
              <w:rPr>
                <w:spacing w:val="-2"/>
                <w:sz w:val="20"/>
              </w:rPr>
              <w:t>p.468.</w:t>
            </w:r>
          </w:p>
        </w:tc>
      </w:tr>
      <w:tr>
        <w:trPr>
          <w:trHeight w:val="465" w:hRule="atLeast"/>
        </w:trPr>
        <w:tc>
          <w:tcPr>
            <w:tcW w:w="496" w:type="dxa"/>
          </w:tcPr>
          <w:p>
            <w:pPr>
              <w:pStyle w:val="TableParagraph"/>
              <w:ind w:left="0" w:right="121"/>
              <w:rPr>
                <w:sz w:val="14"/>
              </w:rPr>
            </w:pPr>
            <w:r>
              <w:rPr>
                <w:color w:val="005DA1"/>
                <w:spacing w:val="-4"/>
                <w:sz w:val="14"/>
                <w:u w:val="single" w:color="005DA1"/>
              </w:rPr>
              <w:t>998</w:t>
            </w:r>
            <w:r>
              <w:rPr>
                <w:spacing w:val="-4"/>
                <w:sz w:val="14"/>
              </w:rPr>
              <w:t>.</w:t>
            </w:r>
          </w:p>
        </w:tc>
        <w:tc>
          <w:tcPr>
            <w:tcW w:w="8620" w:type="dxa"/>
          </w:tcPr>
          <w:p>
            <w:pPr>
              <w:pStyle w:val="TableParagraph"/>
              <w:spacing w:before="114"/>
              <w:jc w:val="left"/>
              <w:rPr>
                <w:sz w:val="20"/>
              </w:rPr>
            </w:pPr>
            <w:r>
              <w:rPr>
                <w:sz w:val="20"/>
              </w:rPr>
              <w:t>Maitland,</w:t>
            </w:r>
            <w:r>
              <w:rPr>
                <w:spacing w:val="-1"/>
                <w:sz w:val="20"/>
              </w:rPr>
              <w:t> </w:t>
            </w:r>
            <w:r>
              <w:rPr>
                <w:sz w:val="20"/>
              </w:rPr>
              <w:t>Appendix A to Pollock,</w:t>
            </w:r>
            <w:r>
              <w:rPr>
                <w:spacing w:val="-1"/>
                <w:sz w:val="20"/>
              </w:rPr>
              <w:t> </w:t>
            </w:r>
            <w:r>
              <w:rPr>
                <w:rFonts w:ascii="Arial"/>
                <w:i/>
                <w:sz w:val="20"/>
              </w:rPr>
              <w:t>The Law of Torts</w:t>
            </w:r>
            <w:r>
              <w:rPr>
                <w:sz w:val="20"/>
              </w:rPr>
              <w:t>, </w:t>
            </w:r>
            <w:r>
              <w:rPr>
                <w:spacing w:val="-2"/>
                <w:sz w:val="20"/>
              </w:rPr>
              <w:t>p.468.</w:t>
            </w:r>
          </w:p>
        </w:tc>
      </w:tr>
      <w:tr>
        <w:trPr>
          <w:trHeight w:val="465" w:hRule="atLeast"/>
        </w:trPr>
        <w:tc>
          <w:tcPr>
            <w:tcW w:w="496" w:type="dxa"/>
          </w:tcPr>
          <w:p>
            <w:pPr>
              <w:pStyle w:val="TableParagraph"/>
              <w:ind w:left="0" w:right="121"/>
              <w:rPr>
                <w:sz w:val="14"/>
              </w:rPr>
            </w:pPr>
            <w:r>
              <w:rPr>
                <w:color w:val="005DA1"/>
                <w:spacing w:val="-4"/>
                <w:sz w:val="14"/>
                <w:u w:val="single" w:color="005DA1"/>
              </w:rPr>
              <w:t>999</w:t>
            </w:r>
            <w:r>
              <w:rPr>
                <w:spacing w:val="-4"/>
                <w:sz w:val="14"/>
              </w:rPr>
              <w:t>.</w:t>
            </w:r>
          </w:p>
        </w:tc>
        <w:tc>
          <w:tcPr>
            <w:tcW w:w="8620" w:type="dxa"/>
          </w:tcPr>
          <w:p>
            <w:pPr>
              <w:pStyle w:val="TableParagraph"/>
              <w:spacing w:before="114"/>
              <w:jc w:val="left"/>
              <w:rPr>
                <w:sz w:val="20"/>
              </w:rPr>
            </w:pPr>
            <w:r>
              <w:rPr>
                <w:sz w:val="20"/>
              </w:rPr>
              <w:t>Prosser above, n.920, at </w:t>
            </w:r>
            <w:r>
              <w:rPr>
                <w:spacing w:val="-2"/>
                <w:sz w:val="20"/>
              </w:rPr>
              <w:t>pp.380–381.</w:t>
            </w:r>
          </w:p>
        </w:tc>
      </w:tr>
      <w:tr>
        <w:trPr>
          <w:trHeight w:val="690" w:hRule="atLeast"/>
        </w:trPr>
        <w:tc>
          <w:tcPr>
            <w:tcW w:w="496" w:type="dxa"/>
          </w:tcPr>
          <w:p>
            <w:pPr>
              <w:pStyle w:val="TableParagraph"/>
              <w:ind w:left="0" w:right="43"/>
              <w:rPr>
                <w:sz w:val="14"/>
              </w:rPr>
            </w:pPr>
            <w:r>
              <w:rPr>
                <w:color w:val="005DA1"/>
                <w:spacing w:val="-2"/>
                <w:sz w:val="14"/>
                <w:u w:val="single" w:color="005DA1"/>
              </w:rPr>
              <w:t>1000</w:t>
            </w:r>
            <w:r>
              <w:rPr>
                <w:spacing w:val="-2"/>
                <w:sz w:val="14"/>
              </w:rPr>
              <w:t>.</w:t>
            </w:r>
          </w:p>
        </w:tc>
        <w:tc>
          <w:tcPr>
            <w:tcW w:w="8620" w:type="dxa"/>
          </w:tcPr>
          <w:p>
            <w:pPr>
              <w:pStyle w:val="TableParagraph"/>
              <w:spacing w:line="235" w:lineRule="auto" w:before="118"/>
              <w:jc w:val="left"/>
              <w:rPr>
                <w:sz w:val="20"/>
              </w:rPr>
            </w:pPr>
            <w:r>
              <w:rPr>
                <w:sz w:val="20"/>
              </w:rPr>
              <w:t>Simpson,</w:t>
            </w:r>
            <w:r>
              <w:rPr>
                <w:spacing w:val="68"/>
                <w:sz w:val="20"/>
              </w:rPr>
              <w:t> </w:t>
            </w:r>
            <w:r>
              <w:rPr>
                <w:rFonts w:ascii="Arial"/>
                <w:i/>
                <w:sz w:val="20"/>
              </w:rPr>
              <w:t>A</w:t>
            </w:r>
            <w:r>
              <w:rPr>
                <w:rFonts w:ascii="Arial"/>
                <w:i/>
                <w:spacing w:val="69"/>
                <w:sz w:val="20"/>
              </w:rPr>
              <w:t> </w:t>
            </w:r>
            <w:r>
              <w:rPr>
                <w:rFonts w:ascii="Arial"/>
                <w:i/>
                <w:sz w:val="20"/>
              </w:rPr>
              <w:t>History</w:t>
            </w:r>
            <w:r>
              <w:rPr>
                <w:rFonts w:ascii="Arial"/>
                <w:i/>
                <w:spacing w:val="69"/>
                <w:sz w:val="20"/>
              </w:rPr>
              <w:t> </w:t>
            </w:r>
            <w:r>
              <w:rPr>
                <w:rFonts w:ascii="Arial"/>
                <w:i/>
                <w:sz w:val="20"/>
              </w:rPr>
              <w:t>of</w:t>
            </w:r>
            <w:r>
              <w:rPr>
                <w:rFonts w:ascii="Arial"/>
                <w:i/>
                <w:spacing w:val="69"/>
                <w:sz w:val="20"/>
              </w:rPr>
              <w:t> </w:t>
            </w:r>
            <w:r>
              <w:rPr>
                <w:rFonts w:ascii="Arial"/>
                <w:i/>
                <w:sz w:val="20"/>
              </w:rPr>
              <w:t>the</w:t>
            </w:r>
            <w:r>
              <w:rPr>
                <w:rFonts w:ascii="Arial"/>
                <w:i/>
                <w:spacing w:val="69"/>
                <w:sz w:val="20"/>
              </w:rPr>
              <w:t> </w:t>
            </w:r>
            <w:r>
              <w:rPr>
                <w:rFonts w:ascii="Arial"/>
                <w:i/>
                <w:sz w:val="20"/>
              </w:rPr>
              <w:t>Common</w:t>
            </w:r>
            <w:r>
              <w:rPr>
                <w:rFonts w:ascii="Arial"/>
                <w:i/>
                <w:spacing w:val="69"/>
                <w:sz w:val="20"/>
              </w:rPr>
              <w:t> </w:t>
            </w:r>
            <w:r>
              <w:rPr>
                <w:rFonts w:ascii="Arial"/>
                <w:i/>
                <w:sz w:val="20"/>
              </w:rPr>
              <w:t>Law</w:t>
            </w:r>
            <w:r>
              <w:rPr>
                <w:rFonts w:ascii="Arial"/>
                <w:i/>
                <w:spacing w:val="69"/>
                <w:sz w:val="20"/>
              </w:rPr>
              <w:t> </w:t>
            </w:r>
            <w:r>
              <w:rPr>
                <w:rFonts w:ascii="Arial"/>
                <w:i/>
                <w:sz w:val="20"/>
              </w:rPr>
              <w:t>of</w:t>
            </w:r>
            <w:r>
              <w:rPr>
                <w:rFonts w:ascii="Arial"/>
                <w:i/>
                <w:spacing w:val="69"/>
                <w:sz w:val="20"/>
              </w:rPr>
              <w:t> </w:t>
            </w:r>
            <w:r>
              <w:rPr>
                <w:rFonts w:ascii="Arial"/>
                <w:i/>
                <w:sz w:val="20"/>
              </w:rPr>
              <w:t>Contracts</w:t>
            </w:r>
            <w:r>
              <w:rPr>
                <w:rFonts w:ascii="Arial"/>
                <w:i/>
                <w:spacing w:val="68"/>
                <w:sz w:val="20"/>
              </w:rPr>
              <w:t> </w:t>
            </w:r>
            <w:r>
              <w:rPr>
                <w:sz w:val="20"/>
              </w:rPr>
              <w:t>(1975),</w:t>
            </w:r>
            <w:r>
              <w:rPr>
                <w:spacing w:val="69"/>
                <w:sz w:val="20"/>
              </w:rPr>
              <w:t> </w:t>
            </w:r>
            <w:r>
              <w:rPr>
                <w:sz w:val="20"/>
              </w:rPr>
              <w:t>p.199;</w:t>
            </w:r>
            <w:r>
              <w:rPr>
                <w:spacing w:val="69"/>
                <w:sz w:val="20"/>
              </w:rPr>
              <w:t> </w:t>
            </w:r>
            <w:r>
              <w:rPr>
                <w:sz w:val="20"/>
              </w:rPr>
              <w:t>Milsom,</w:t>
            </w:r>
            <w:r>
              <w:rPr>
                <w:spacing w:val="68"/>
                <w:sz w:val="20"/>
              </w:rPr>
              <w:t> </w:t>
            </w:r>
            <w:r>
              <w:rPr>
                <w:rFonts w:ascii="Arial"/>
                <w:i/>
                <w:sz w:val="20"/>
              </w:rPr>
              <w:t>Historical Foundations of the Common Law</w:t>
            </w:r>
            <w:r>
              <w:rPr>
                <w:sz w:val="20"/>
              </w:rPr>
              <w:t>, 2nd edn (1981), Ch.12; Fridman (1977) 93 L.Q.R. 422.</w:t>
            </w:r>
          </w:p>
        </w:tc>
      </w:tr>
      <w:tr>
        <w:trPr>
          <w:trHeight w:val="465" w:hRule="atLeast"/>
        </w:trPr>
        <w:tc>
          <w:tcPr>
            <w:tcW w:w="496" w:type="dxa"/>
          </w:tcPr>
          <w:p>
            <w:pPr>
              <w:pStyle w:val="TableParagraph"/>
              <w:ind w:left="0" w:right="43"/>
              <w:rPr>
                <w:sz w:val="14"/>
              </w:rPr>
            </w:pPr>
            <w:r>
              <w:rPr>
                <w:color w:val="005DA1"/>
                <w:spacing w:val="-2"/>
                <w:sz w:val="14"/>
                <w:u w:val="single" w:color="005DA1"/>
              </w:rPr>
              <w:t>1001</w:t>
            </w:r>
            <w:r>
              <w:rPr>
                <w:spacing w:val="-2"/>
                <w:sz w:val="14"/>
              </w:rPr>
              <w:t>.</w:t>
            </w:r>
          </w:p>
        </w:tc>
        <w:tc>
          <w:tcPr>
            <w:tcW w:w="8620" w:type="dxa"/>
          </w:tcPr>
          <w:p>
            <w:pPr>
              <w:pStyle w:val="TableParagraph"/>
              <w:spacing w:before="114"/>
              <w:jc w:val="left"/>
              <w:rPr>
                <w:sz w:val="20"/>
              </w:rPr>
            </w:pPr>
            <w:r>
              <w:rPr>
                <w:rFonts w:ascii="Arial" w:hAnsi="Arial"/>
                <w:i/>
                <w:sz w:val="20"/>
              </w:rPr>
              <w:t>Pinchon’s</w:t>
            </w:r>
            <w:r>
              <w:rPr>
                <w:rFonts w:ascii="Arial" w:hAnsi="Arial"/>
                <w:i/>
                <w:spacing w:val="-1"/>
                <w:sz w:val="20"/>
              </w:rPr>
              <w:t> </w:t>
            </w:r>
            <w:r>
              <w:rPr>
                <w:rFonts w:ascii="Arial" w:hAnsi="Arial"/>
                <w:i/>
                <w:sz w:val="20"/>
              </w:rPr>
              <w:t>Case (1608) 9 Col. Rep. 86b</w:t>
            </w:r>
            <w:r>
              <w:rPr>
                <w:sz w:val="20"/>
              </w:rPr>
              <w:t>; </w:t>
            </w:r>
            <w:r>
              <w:rPr>
                <w:rFonts w:ascii="Arial" w:hAnsi="Arial"/>
                <w:i/>
                <w:sz w:val="20"/>
              </w:rPr>
              <w:t>Hambly v Trott (1776) 1 Cowp. </w:t>
            </w:r>
            <w:r>
              <w:rPr>
                <w:rFonts w:ascii="Arial" w:hAnsi="Arial"/>
                <w:i/>
                <w:spacing w:val="-4"/>
                <w:sz w:val="20"/>
              </w:rPr>
              <w:t>371</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1002</w:t>
            </w:r>
            <w:r>
              <w:rPr>
                <w:spacing w:val="-2"/>
                <w:sz w:val="14"/>
              </w:rPr>
              <w:t>.</w:t>
            </w:r>
          </w:p>
        </w:tc>
        <w:tc>
          <w:tcPr>
            <w:tcW w:w="8620" w:type="dxa"/>
          </w:tcPr>
          <w:p>
            <w:pPr>
              <w:pStyle w:val="TableParagraph"/>
              <w:spacing w:before="114"/>
              <w:jc w:val="left"/>
              <w:rPr>
                <w:sz w:val="20"/>
              </w:rPr>
            </w:pPr>
            <w:r>
              <w:rPr>
                <w:rFonts w:ascii="Arial"/>
                <w:i/>
                <w:sz w:val="20"/>
              </w:rPr>
              <w:t>Johnson</w:t>
            </w:r>
            <w:r>
              <w:rPr>
                <w:rFonts w:ascii="Arial"/>
                <w:i/>
                <w:spacing w:val="-1"/>
                <w:sz w:val="20"/>
              </w:rPr>
              <w:t> </w:t>
            </w:r>
            <w:r>
              <w:rPr>
                <w:rFonts w:ascii="Arial"/>
                <w:i/>
                <w:sz w:val="20"/>
              </w:rPr>
              <w:t>v Pye (1666) 1 Sid. 258, 1 Keb. 913</w:t>
            </w:r>
            <w:r>
              <w:rPr>
                <w:sz w:val="20"/>
              </w:rPr>
              <w:t>; </w:t>
            </w:r>
            <w:r>
              <w:rPr>
                <w:rFonts w:ascii="Arial"/>
                <w:i/>
                <w:sz w:val="20"/>
              </w:rPr>
              <w:t>Bristow v Eastman (1794) 1 especially </w:t>
            </w:r>
            <w:r>
              <w:rPr>
                <w:rFonts w:ascii="Arial"/>
                <w:i/>
                <w:spacing w:val="-4"/>
                <w:sz w:val="20"/>
              </w:rPr>
              <w:t>172</w:t>
            </w:r>
            <w:r>
              <w:rPr>
                <w:spacing w:val="-4"/>
                <w:sz w:val="20"/>
              </w:rPr>
              <w:t>.</w:t>
            </w:r>
          </w:p>
        </w:tc>
      </w:tr>
      <w:tr>
        <w:trPr>
          <w:trHeight w:val="569" w:hRule="atLeast"/>
        </w:trPr>
        <w:tc>
          <w:tcPr>
            <w:tcW w:w="496" w:type="dxa"/>
          </w:tcPr>
          <w:p>
            <w:pPr>
              <w:pStyle w:val="TableParagraph"/>
              <w:ind w:left="0" w:right="43"/>
              <w:rPr>
                <w:sz w:val="14"/>
              </w:rPr>
            </w:pPr>
            <w:r>
              <w:rPr>
                <w:color w:val="005DA1"/>
                <w:spacing w:val="-2"/>
                <w:sz w:val="14"/>
                <w:u w:val="single" w:color="005DA1"/>
              </w:rPr>
              <w:t>1003</w:t>
            </w:r>
            <w:r>
              <w:rPr>
                <w:spacing w:val="-2"/>
                <w:sz w:val="14"/>
              </w:rPr>
              <w:t>.</w:t>
            </w:r>
          </w:p>
        </w:tc>
        <w:tc>
          <w:tcPr>
            <w:tcW w:w="8620" w:type="dxa"/>
          </w:tcPr>
          <w:p>
            <w:pPr>
              <w:pStyle w:val="TableParagraph"/>
              <w:spacing w:line="226" w:lineRule="exact" w:before="97"/>
              <w:jc w:val="left"/>
              <w:rPr>
                <w:sz w:val="20"/>
              </w:rPr>
            </w:pPr>
            <w:r>
              <w:rPr>
                <w:rFonts w:ascii="Arial"/>
                <w:i/>
                <w:sz w:val="20"/>
              </w:rPr>
              <w:t>Denison v Ralphson (1682) 1 Vent. 365</w:t>
            </w:r>
            <w:r>
              <w:rPr>
                <w:sz w:val="20"/>
              </w:rPr>
              <w:t>; </w:t>
            </w:r>
            <w:r>
              <w:rPr>
                <w:rFonts w:ascii="Arial"/>
                <w:i/>
                <w:sz w:val="20"/>
              </w:rPr>
              <w:t>Bosun v Sandford (1691) 2 Salk. 440</w:t>
            </w:r>
            <w:r>
              <w:rPr>
                <w:sz w:val="20"/>
              </w:rPr>
              <w:t>. In this respect, there</w:t>
            </w:r>
            <w:r>
              <w:rPr>
                <w:spacing w:val="11"/>
                <w:sz w:val="20"/>
              </w:rPr>
              <w:t> </w:t>
            </w:r>
            <w:r>
              <w:rPr>
                <w:sz w:val="20"/>
              </w:rPr>
              <w:t>was</w:t>
            </w:r>
            <w:r>
              <w:rPr>
                <w:spacing w:val="11"/>
                <w:sz w:val="20"/>
              </w:rPr>
              <w:t> </w:t>
            </w:r>
            <w:r>
              <w:rPr>
                <w:sz w:val="20"/>
              </w:rPr>
              <w:t>something</w:t>
            </w:r>
            <w:r>
              <w:rPr>
                <w:spacing w:val="11"/>
                <w:sz w:val="20"/>
              </w:rPr>
              <w:t> </w:t>
            </w:r>
            <w:r>
              <w:rPr>
                <w:sz w:val="20"/>
              </w:rPr>
              <w:t>of</w:t>
            </w:r>
            <w:r>
              <w:rPr>
                <w:spacing w:val="11"/>
                <w:sz w:val="20"/>
              </w:rPr>
              <w:t> </w:t>
            </w:r>
            <w:r>
              <w:rPr>
                <w:sz w:val="20"/>
              </w:rPr>
              <w:t>a</w:t>
            </w:r>
            <w:r>
              <w:rPr>
                <w:spacing w:val="11"/>
                <w:sz w:val="20"/>
              </w:rPr>
              <w:t> </w:t>
            </w:r>
            <w:r>
              <w:rPr>
                <w:sz w:val="20"/>
              </w:rPr>
              <w:t>dispute</w:t>
            </w:r>
            <w:r>
              <w:rPr>
                <w:spacing w:val="11"/>
                <w:sz w:val="20"/>
              </w:rPr>
              <w:t> </w:t>
            </w:r>
            <w:r>
              <w:rPr>
                <w:sz w:val="20"/>
              </w:rPr>
              <w:t>as</w:t>
            </w:r>
            <w:r>
              <w:rPr>
                <w:spacing w:val="11"/>
                <w:sz w:val="20"/>
              </w:rPr>
              <w:t> </w:t>
            </w:r>
            <w:r>
              <w:rPr>
                <w:sz w:val="20"/>
              </w:rPr>
              <w:t>to</w:t>
            </w:r>
            <w:r>
              <w:rPr>
                <w:spacing w:val="11"/>
                <w:sz w:val="20"/>
              </w:rPr>
              <w:t> </w:t>
            </w:r>
            <w:r>
              <w:rPr>
                <w:sz w:val="20"/>
              </w:rPr>
              <w:t>the</w:t>
            </w:r>
            <w:r>
              <w:rPr>
                <w:spacing w:val="11"/>
                <w:sz w:val="20"/>
              </w:rPr>
              <w:t> </w:t>
            </w:r>
            <w:r>
              <w:rPr>
                <w:sz w:val="20"/>
              </w:rPr>
              <w:t>form</w:t>
            </w:r>
            <w:r>
              <w:rPr>
                <w:spacing w:val="11"/>
                <w:sz w:val="20"/>
              </w:rPr>
              <w:t> </w:t>
            </w:r>
            <w:r>
              <w:rPr>
                <w:sz w:val="20"/>
              </w:rPr>
              <w:t>in</w:t>
            </w:r>
            <w:r>
              <w:rPr>
                <w:spacing w:val="11"/>
                <w:sz w:val="20"/>
              </w:rPr>
              <w:t> </w:t>
            </w:r>
            <w:r>
              <w:rPr>
                <w:sz w:val="20"/>
              </w:rPr>
              <w:t>which</w:t>
            </w:r>
            <w:r>
              <w:rPr>
                <w:spacing w:val="11"/>
                <w:sz w:val="20"/>
              </w:rPr>
              <w:t> </w:t>
            </w:r>
            <w:r>
              <w:rPr>
                <w:sz w:val="20"/>
              </w:rPr>
              <w:t>the</w:t>
            </w:r>
            <w:r>
              <w:rPr>
                <w:spacing w:val="11"/>
                <w:sz w:val="20"/>
              </w:rPr>
              <w:t> </w:t>
            </w:r>
            <w:r>
              <w:rPr>
                <w:sz w:val="20"/>
              </w:rPr>
              <w:t>action</w:t>
            </w:r>
            <w:r>
              <w:rPr>
                <w:spacing w:val="11"/>
                <w:sz w:val="20"/>
              </w:rPr>
              <w:t> </w:t>
            </w:r>
            <w:r>
              <w:rPr>
                <w:sz w:val="20"/>
              </w:rPr>
              <w:t>of</w:t>
            </w:r>
            <w:r>
              <w:rPr>
                <w:spacing w:val="11"/>
                <w:sz w:val="20"/>
              </w:rPr>
              <w:t> </w:t>
            </w:r>
            <w:r>
              <w:rPr>
                <w:sz w:val="20"/>
              </w:rPr>
              <w:t>detinue</w:t>
            </w:r>
            <w:r>
              <w:rPr>
                <w:spacing w:val="11"/>
                <w:sz w:val="20"/>
              </w:rPr>
              <w:t> </w:t>
            </w:r>
            <w:r>
              <w:rPr>
                <w:sz w:val="20"/>
              </w:rPr>
              <w:t>was</w:t>
            </w:r>
            <w:r>
              <w:rPr>
                <w:spacing w:val="11"/>
                <w:sz w:val="20"/>
              </w:rPr>
              <w:t> </w:t>
            </w:r>
            <w:r>
              <w:rPr>
                <w:sz w:val="20"/>
              </w:rPr>
              <w:t>properly</w:t>
            </w:r>
            <w:r>
              <w:rPr>
                <w:spacing w:val="11"/>
                <w:sz w:val="20"/>
              </w:rPr>
              <w:t> </w:t>
            </w:r>
            <w:r>
              <w:rPr>
                <w:spacing w:val="-5"/>
                <w:sz w:val="20"/>
              </w:rPr>
              <w:t>to</w:t>
            </w:r>
          </w:p>
        </w:tc>
      </w:tr>
    </w:tbl>
    <w:p>
      <w:pPr>
        <w:pStyle w:val="TableParagraph"/>
        <w:spacing w:after="0" w:line="226" w:lineRule="exact"/>
        <w:jc w:val="left"/>
        <w:rPr>
          <w:sz w:val="20"/>
        </w:rPr>
        <w:sectPr>
          <w:headerReference w:type="default" r:id="rId43"/>
          <w:pgSz w:w="11900" w:h="16840"/>
          <w:pgMar w:header="971" w:footer="0" w:top="1300" w:bottom="280" w:left="1275" w:right="1275"/>
          <w:pgNumType w:start="1"/>
        </w:sectPr>
      </w:pPr>
    </w:p>
    <w:p>
      <w:pPr>
        <w:spacing w:line="235" w:lineRule="auto" w:before="110"/>
        <w:ind w:left="705" w:right="168" w:firstLine="0"/>
        <w:jc w:val="both"/>
        <w:rPr>
          <w:sz w:val="20"/>
        </w:rPr>
      </w:pPr>
      <w:r>
        <w:rPr>
          <w:sz w:val="20"/>
        </w:rPr>
        <w:t>be classified: see Chitty, </w:t>
      </w:r>
      <w:r>
        <w:rPr>
          <w:rFonts w:ascii="Arial"/>
          <w:i/>
          <w:sz w:val="20"/>
        </w:rPr>
        <w:t>A Practical Treatise on Pleading </w:t>
      </w:r>
      <w:r>
        <w:rPr>
          <w:sz w:val="20"/>
        </w:rPr>
        <w:t>(1809), Vol.II, p.399; </w:t>
      </w:r>
      <w:r>
        <w:rPr>
          <w:rFonts w:ascii="Arial"/>
          <w:i/>
          <w:sz w:val="20"/>
        </w:rPr>
        <w:t>Cooper v </w:t>
      </w:r>
      <w:r>
        <w:rPr>
          <w:rFonts w:ascii="Arial"/>
          <w:i/>
          <w:sz w:val="20"/>
        </w:rPr>
        <w:t>Chitty (1756) 1 Burr. 20, 31</w:t>
      </w:r>
      <w:r>
        <w:rPr>
          <w:sz w:val="20"/>
        </w:rPr>
        <w:t>; </w:t>
      </w:r>
      <w:r>
        <w:rPr>
          <w:rFonts w:ascii="Arial"/>
          <w:i/>
          <w:sz w:val="20"/>
        </w:rPr>
        <w:t>Gledstane v Hewitt (1831) 1 C. &amp; J. 566</w:t>
      </w:r>
      <w:r>
        <w:rPr>
          <w:sz w:val="20"/>
        </w:rPr>
        <w:t>; Manning, note to </w:t>
      </w:r>
      <w:r>
        <w:rPr>
          <w:rFonts w:ascii="Arial"/>
          <w:i/>
          <w:sz w:val="20"/>
        </w:rPr>
        <w:t>Walker v Needham (1841) 3 Man. &amp; Gr. 561</w:t>
      </w:r>
      <w:r>
        <w:rPr>
          <w:sz w:val="20"/>
        </w:rPr>
        <w:t>. This dispute appears particularly strange given the clearly proprietary function of the action.</w:t>
      </w:r>
    </w:p>
    <w:p>
      <w:pPr>
        <w:pStyle w:val="BodyText"/>
        <w:spacing w:before="5"/>
      </w:pPr>
    </w:p>
    <w:p>
      <w:pPr>
        <w:pStyle w:val="BodyText"/>
        <w:ind w:left="165"/>
      </w:pPr>
      <w:r>
        <w:rPr>
          <w:color w:val="005DA1"/>
          <w:position w:val="5"/>
          <w:sz w:val="14"/>
          <w:u w:val="single" w:color="005DA1"/>
        </w:rPr>
        <w:t>1004</w:t>
      </w:r>
      <w:r>
        <w:rPr>
          <w:position w:val="5"/>
          <w:sz w:val="14"/>
        </w:rPr>
        <w:t>.</w:t>
      </w:r>
      <w:r>
        <w:rPr>
          <w:spacing w:val="55"/>
          <w:position w:val="5"/>
          <w:sz w:val="14"/>
        </w:rPr>
        <w:t>  </w:t>
      </w:r>
      <w:r>
        <w:rPr/>
        <w:t>Chitty,</w:t>
      </w:r>
      <w:r>
        <w:rPr>
          <w:spacing w:val="1"/>
        </w:rPr>
        <w:t> </w:t>
      </w:r>
      <w:r>
        <w:rPr/>
        <w:t>above, n.933 Vol.I, Chs 1 and </w:t>
      </w:r>
      <w:r>
        <w:rPr>
          <w:spacing w:val="-5"/>
        </w:rPr>
        <w:t>2.</w:t>
      </w:r>
    </w:p>
    <w:p>
      <w:pPr>
        <w:pStyle w:val="BodyText"/>
        <w:spacing w:before="9"/>
      </w:pPr>
    </w:p>
    <w:p>
      <w:pPr>
        <w:spacing w:line="235" w:lineRule="auto" w:before="0"/>
        <w:ind w:left="705" w:right="168" w:hanging="541"/>
        <w:jc w:val="both"/>
        <w:rPr>
          <w:sz w:val="20"/>
        </w:rPr>
      </w:pPr>
      <w:r>
        <w:rPr>
          <w:color w:val="005DA1"/>
          <w:position w:val="5"/>
          <w:sz w:val="14"/>
          <w:u w:val="single" w:color="005DA1"/>
        </w:rPr>
        <w:t>1005</w:t>
      </w:r>
      <w:r>
        <w:rPr>
          <w:position w:val="5"/>
          <w:sz w:val="14"/>
        </w:rPr>
        <w:t>.</w:t>
      </w:r>
      <w:r>
        <w:rPr>
          <w:spacing w:val="80"/>
          <w:position w:val="5"/>
          <w:sz w:val="14"/>
        </w:rPr>
        <w:t> </w:t>
      </w:r>
      <w:r>
        <w:rPr>
          <w:sz w:val="20"/>
        </w:rPr>
        <w:t>Bracton, Fol. 102; Bacon, </w:t>
      </w:r>
      <w:r>
        <w:rPr>
          <w:rFonts w:ascii="Arial" w:hAnsi="Arial"/>
          <w:i/>
          <w:sz w:val="20"/>
        </w:rPr>
        <w:t>A New Abridgement of the Law </w:t>
      </w:r>
      <w:r>
        <w:rPr>
          <w:sz w:val="20"/>
        </w:rPr>
        <w:t>(1736) “Actions in General (A) Of the different</w:t>
      </w:r>
      <w:r>
        <w:rPr>
          <w:spacing w:val="-1"/>
          <w:sz w:val="20"/>
        </w:rPr>
        <w:t> </w:t>
      </w:r>
      <w:r>
        <w:rPr>
          <w:sz w:val="20"/>
        </w:rPr>
        <w:t>Kinds</w:t>
      </w:r>
      <w:r>
        <w:rPr>
          <w:spacing w:val="-1"/>
          <w:sz w:val="20"/>
        </w:rPr>
        <w:t> </w:t>
      </w:r>
      <w:r>
        <w:rPr>
          <w:sz w:val="20"/>
        </w:rPr>
        <w:t>of</w:t>
      </w:r>
      <w:r>
        <w:rPr>
          <w:spacing w:val="-1"/>
          <w:sz w:val="20"/>
        </w:rPr>
        <w:t> </w:t>
      </w:r>
      <w:r>
        <w:rPr>
          <w:sz w:val="20"/>
        </w:rPr>
        <w:t>Actions”;</w:t>
      </w:r>
      <w:r>
        <w:rPr>
          <w:spacing w:val="-1"/>
          <w:sz w:val="20"/>
        </w:rPr>
        <w:t> </w:t>
      </w:r>
      <w:r>
        <w:rPr>
          <w:sz w:val="20"/>
        </w:rPr>
        <w:t>Comyns,</w:t>
      </w:r>
      <w:r>
        <w:rPr>
          <w:spacing w:val="-1"/>
          <w:sz w:val="20"/>
        </w:rPr>
        <w:t> </w:t>
      </w:r>
      <w:r>
        <w:rPr>
          <w:rFonts w:ascii="Arial" w:hAnsi="Arial"/>
          <w:i/>
          <w:sz w:val="20"/>
        </w:rPr>
        <w:t>A</w:t>
      </w:r>
      <w:r>
        <w:rPr>
          <w:rFonts w:ascii="Arial" w:hAnsi="Arial"/>
          <w:i/>
          <w:spacing w:val="-1"/>
          <w:sz w:val="20"/>
        </w:rPr>
        <w:t> </w:t>
      </w:r>
      <w:r>
        <w:rPr>
          <w:rFonts w:ascii="Arial" w:hAnsi="Arial"/>
          <w:i/>
          <w:sz w:val="20"/>
        </w:rPr>
        <w:t>Digest</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Laws</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England</w:t>
      </w:r>
      <w:r>
        <w:rPr>
          <w:sz w:val="20"/>
        </w:rPr>
        <w:t>,</w:t>
      </w:r>
      <w:r>
        <w:rPr>
          <w:spacing w:val="-1"/>
          <w:sz w:val="20"/>
        </w:rPr>
        <w:t> </w:t>
      </w:r>
      <w:r>
        <w:rPr>
          <w:sz w:val="20"/>
        </w:rPr>
        <w:t>1st</w:t>
      </w:r>
      <w:r>
        <w:rPr>
          <w:spacing w:val="-1"/>
          <w:sz w:val="20"/>
        </w:rPr>
        <w:t> </w:t>
      </w:r>
      <w:r>
        <w:rPr>
          <w:sz w:val="20"/>
        </w:rPr>
        <w:t>edn</w:t>
      </w:r>
      <w:r>
        <w:rPr>
          <w:spacing w:val="-1"/>
          <w:sz w:val="20"/>
        </w:rPr>
        <w:t> </w:t>
      </w:r>
      <w:r>
        <w:rPr>
          <w:sz w:val="20"/>
        </w:rPr>
        <w:t>(1762–67),</w:t>
      </w:r>
      <w:r>
        <w:rPr>
          <w:spacing w:val="-1"/>
          <w:sz w:val="20"/>
        </w:rPr>
        <w:t> </w:t>
      </w:r>
      <w:r>
        <w:rPr>
          <w:sz w:val="20"/>
        </w:rPr>
        <w:t>Vol.1, p.120; Blackstone, </w:t>
      </w:r>
      <w:r>
        <w:rPr>
          <w:rFonts w:ascii="Arial" w:hAnsi="Arial"/>
          <w:i/>
          <w:sz w:val="20"/>
        </w:rPr>
        <w:t>Commentaries</w:t>
      </w:r>
      <w:r>
        <w:rPr>
          <w:sz w:val="20"/>
        </w:rPr>
        <w:t>, III, Ch.VIII.</w:t>
      </w:r>
    </w:p>
    <w:p>
      <w:pPr>
        <w:pStyle w:val="BodyText"/>
        <w:spacing w:before="5"/>
      </w:pPr>
    </w:p>
    <w:p>
      <w:pPr>
        <w:pStyle w:val="BodyText"/>
        <w:ind w:left="165"/>
      </w:pPr>
      <w:r>
        <w:rPr>
          <w:color w:val="005DA1"/>
          <w:position w:val="5"/>
          <w:sz w:val="14"/>
          <w:u w:val="single" w:color="005DA1"/>
        </w:rPr>
        <w:t>1006</w:t>
      </w:r>
      <w:r>
        <w:rPr>
          <w:position w:val="5"/>
          <w:sz w:val="14"/>
        </w:rPr>
        <w:t>.</w:t>
      </w:r>
      <w:r>
        <w:rPr>
          <w:spacing w:val="55"/>
          <w:position w:val="5"/>
          <w:sz w:val="14"/>
        </w:rPr>
        <w:t>  </w:t>
      </w:r>
      <w:r>
        <w:rPr/>
        <w:t>Common</w:t>
      </w:r>
      <w:r>
        <w:rPr>
          <w:spacing w:val="1"/>
        </w:rPr>
        <w:t> </w:t>
      </w:r>
      <w:r>
        <w:rPr/>
        <w:t>Law Procedure Act 1852 ss.34, 35, 41, </w:t>
      </w:r>
      <w:r>
        <w:rPr>
          <w:spacing w:val="-5"/>
        </w:rPr>
        <w:t>74.</w:t>
      </w:r>
    </w:p>
    <w:p>
      <w:pPr>
        <w:pStyle w:val="BodyText"/>
        <w:spacing w:before="8"/>
      </w:pPr>
    </w:p>
    <w:p>
      <w:pPr>
        <w:spacing w:line="235" w:lineRule="auto" w:before="1"/>
        <w:ind w:left="705" w:right="0" w:hanging="541"/>
        <w:jc w:val="left"/>
        <w:rPr>
          <w:sz w:val="20"/>
        </w:rPr>
      </w:pPr>
      <w:r>
        <w:rPr>
          <w:color w:val="005DA1"/>
          <w:position w:val="5"/>
          <w:sz w:val="14"/>
          <w:u w:val="single" w:color="005DA1"/>
        </w:rPr>
        <w:t>1007</w:t>
      </w:r>
      <w:r>
        <w:rPr>
          <w:position w:val="5"/>
          <w:sz w:val="14"/>
        </w:rPr>
        <w:t>.</w:t>
      </w:r>
      <w:r>
        <w:rPr>
          <w:spacing w:val="40"/>
          <w:position w:val="5"/>
          <w:sz w:val="14"/>
        </w:rPr>
        <w:t>  </w:t>
      </w:r>
      <w:r>
        <w:rPr>
          <w:rFonts w:ascii="Arial"/>
          <w:i/>
          <w:sz w:val="20"/>
        </w:rPr>
        <w:t>Bryant</w:t>
      </w:r>
      <w:r>
        <w:rPr>
          <w:rFonts w:ascii="Arial"/>
          <w:i/>
          <w:spacing w:val="19"/>
          <w:sz w:val="20"/>
        </w:rPr>
        <w:t> </w:t>
      </w:r>
      <w:r>
        <w:rPr>
          <w:rFonts w:ascii="Arial"/>
          <w:i/>
          <w:sz w:val="20"/>
        </w:rPr>
        <w:t>v</w:t>
      </w:r>
      <w:r>
        <w:rPr>
          <w:rFonts w:ascii="Arial"/>
          <w:i/>
          <w:spacing w:val="19"/>
          <w:sz w:val="20"/>
        </w:rPr>
        <w:t> </w:t>
      </w:r>
      <w:r>
        <w:rPr>
          <w:rFonts w:ascii="Arial"/>
          <w:i/>
          <w:sz w:val="20"/>
        </w:rPr>
        <w:t>Herbert</w:t>
      </w:r>
      <w:r>
        <w:rPr>
          <w:rFonts w:ascii="Arial"/>
          <w:i/>
          <w:spacing w:val="19"/>
          <w:sz w:val="20"/>
        </w:rPr>
        <w:t> </w:t>
      </w:r>
      <w:r>
        <w:rPr>
          <w:rFonts w:ascii="Arial"/>
          <w:i/>
          <w:sz w:val="20"/>
        </w:rPr>
        <w:t>(1878)</w:t>
      </w:r>
      <w:r>
        <w:rPr>
          <w:rFonts w:ascii="Arial"/>
          <w:i/>
          <w:spacing w:val="19"/>
          <w:sz w:val="20"/>
        </w:rPr>
        <w:t> </w:t>
      </w:r>
      <w:r>
        <w:rPr>
          <w:rFonts w:ascii="Arial"/>
          <w:i/>
          <w:sz w:val="20"/>
        </w:rPr>
        <w:t>3</w:t>
      </w:r>
      <w:r>
        <w:rPr>
          <w:rFonts w:ascii="Arial"/>
          <w:i/>
          <w:spacing w:val="19"/>
          <w:sz w:val="20"/>
        </w:rPr>
        <w:t> </w:t>
      </w:r>
      <w:r>
        <w:rPr>
          <w:rFonts w:ascii="Arial"/>
          <w:i/>
          <w:sz w:val="20"/>
        </w:rPr>
        <w:t>C.P.D.</w:t>
      </w:r>
      <w:r>
        <w:rPr>
          <w:rFonts w:ascii="Arial"/>
          <w:i/>
          <w:spacing w:val="19"/>
          <w:sz w:val="20"/>
        </w:rPr>
        <w:t> </w:t>
      </w:r>
      <w:r>
        <w:rPr>
          <w:rFonts w:ascii="Arial"/>
          <w:i/>
          <w:sz w:val="20"/>
        </w:rPr>
        <w:t>389,</w:t>
      </w:r>
      <w:r>
        <w:rPr>
          <w:rFonts w:ascii="Arial"/>
          <w:i/>
          <w:spacing w:val="19"/>
          <w:sz w:val="20"/>
        </w:rPr>
        <w:t> </w:t>
      </w:r>
      <w:r>
        <w:rPr>
          <w:rFonts w:ascii="Arial"/>
          <w:i/>
          <w:sz w:val="20"/>
        </w:rPr>
        <w:t>392</w:t>
      </w:r>
      <w:r>
        <w:rPr>
          <w:sz w:val="20"/>
        </w:rPr>
        <w:t>,</w:t>
      </w:r>
      <w:r>
        <w:rPr>
          <w:spacing w:val="19"/>
          <w:sz w:val="20"/>
        </w:rPr>
        <w:t> </w:t>
      </w:r>
      <w:r>
        <w:rPr>
          <w:sz w:val="20"/>
        </w:rPr>
        <w:t>per</w:t>
      </w:r>
      <w:r>
        <w:rPr>
          <w:spacing w:val="19"/>
          <w:sz w:val="20"/>
        </w:rPr>
        <w:t> </w:t>
      </w:r>
      <w:r>
        <w:rPr>
          <w:sz w:val="20"/>
        </w:rPr>
        <w:t>Bramwell</w:t>
      </w:r>
      <w:r>
        <w:rPr>
          <w:spacing w:val="19"/>
          <w:sz w:val="20"/>
        </w:rPr>
        <w:t> </w:t>
      </w:r>
      <w:r>
        <w:rPr>
          <w:sz w:val="20"/>
        </w:rPr>
        <w:t>L.J.,</w:t>
      </w:r>
      <w:r>
        <w:rPr>
          <w:spacing w:val="19"/>
          <w:sz w:val="20"/>
        </w:rPr>
        <w:t> </w:t>
      </w:r>
      <w:r>
        <w:rPr>
          <w:sz w:val="20"/>
        </w:rPr>
        <w:t>referring</w:t>
      </w:r>
      <w:r>
        <w:rPr>
          <w:spacing w:val="19"/>
          <w:sz w:val="20"/>
        </w:rPr>
        <w:t> </w:t>
      </w:r>
      <w:r>
        <w:rPr>
          <w:sz w:val="20"/>
        </w:rPr>
        <w:t>to</w:t>
      </w:r>
      <w:r>
        <w:rPr>
          <w:spacing w:val="19"/>
          <w:sz w:val="20"/>
        </w:rPr>
        <w:t> </w:t>
      </w:r>
      <w:r>
        <w:rPr>
          <w:sz w:val="20"/>
        </w:rPr>
        <w:t>the</w:t>
      </w:r>
      <w:r>
        <w:rPr>
          <w:spacing w:val="19"/>
          <w:sz w:val="20"/>
        </w:rPr>
        <w:t> </w:t>
      </w:r>
      <w:r>
        <w:rPr>
          <w:sz w:val="20"/>
        </w:rPr>
        <w:t>problem</w:t>
      </w:r>
      <w:r>
        <w:rPr>
          <w:spacing w:val="19"/>
          <w:sz w:val="20"/>
        </w:rPr>
        <w:t> </w:t>
      </w:r>
      <w:r>
        <w:rPr>
          <w:sz w:val="20"/>
        </w:rPr>
        <w:t>of</w:t>
      </w:r>
      <w:r>
        <w:rPr>
          <w:spacing w:val="19"/>
          <w:sz w:val="20"/>
        </w:rPr>
        <w:t> </w:t>
      </w:r>
      <w:r>
        <w:rPr>
          <w:sz w:val="20"/>
        </w:rPr>
        <w:t>the classification of detinue, on which see above n.933.</w:t>
      </w:r>
    </w:p>
    <w:p>
      <w:pPr>
        <w:pStyle w:val="BodyText"/>
        <w:spacing w:before="9"/>
      </w:pPr>
    </w:p>
    <w:p>
      <w:pPr>
        <w:pStyle w:val="BodyText"/>
        <w:spacing w:line="235" w:lineRule="auto"/>
        <w:ind w:left="705" w:right="167" w:hanging="541"/>
        <w:jc w:val="both"/>
      </w:pPr>
      <w:r>
        <w:rPr>
          <w:color w:val="005DA1"/>
          <w:position w:val="5"/>
          <w:sz w:val="14"/>
          <w:u w:val="single" w:color="005DA1"/>
        </w:rPr>
        <w:t>1008</w:t>
      </w:r>
      <w:r>
        <w:rPr>
          <w:position w:val="5"/>
          <w:sz w:val="14"/>
        </w:rPr>
        <w:t>.</w:t>
      </w:r>
      <w:r>
        <w:rPr>
          <w:spacing w:val="80"/>
          <w:w w:val="150"/>
          <w:position w:val="5"/>
          <w:sz w:val="14"/>
        </w:rPr>
        <w:t> </w:t>
      </w:r>
      <w:r>
        <w:rPr>
          <w:rFonts w:ascii="Arial" w:hAnsi="Arial"/>
          <w:i/>
        </w:rPr>
        <w:t>Bryant v Herbert (1878) 3 C.P.D. 389</w:t>
      </w:r>
      <w:r>
        <w:rPr/>
        <w:t>; </w:t>
      </w:r>
      <w:r>
        <w:rPr>
          <w:rFonts w:ascii="Arial" w:hAnsi="Arial"/>
          <w:i/>
        </w:rPr>
        <w:t>Legge v Tucker (1856) 1 H. &amp; N. 500</w:t>
      </w:r>
      <w:r>
        <w:rPr/>
        <w:t>. In theory, this</w:t>
      </w:r>
      <w:r>
        <w:rPr>
          <w:spacing w:val="80"/>
        </w:rPr>
        <w:t> </w:t>
      </w:r>
      <w:r>
        <w:rPr/>
        <w:t>issue of the classification of a particular type of claim is distinct from the issue whether in </w:t>
      </w:r>
      <w:r>
        <w:rPr/>
        <w:t>cases of concurrence of actions the claimant may choose the basis of his claim. Thus, in </w:t>
      </w:r>
      <w:r>
        <w:rPr>
          <w:rFonts w:ascii="Arial" w:hAnsi="Arial"/>
          <w:i/>
        </w:rPr>
        <w:t>Att-Gen v Canter [1939] 1 K.B. 318 </w:t>
      </w:r>
      <w:r>
        <w:rPr/>
        <w:t>the question arose whether a claim by the Crown for a penalty imposed on a taxpayer for fraud transmitted against the latter’s estate under s.1 of the Law Reform (Miscellaneous Provisions) Act 1934, and if so, whether it ought to be considered a “cause of action in tort” for the purposes of s.1(3) of the same Act which imposed time restrictions as to the accrual of such a transmitted claim. At first instance, Lawrence J. held that the claim was “one for a debt created by the statute” under which the penalty was imposed and did transmit against the estate, but was not a “cause of action in tort”: at 321. The Court of Appeal confirmed this decision, though only the principle of transmissibility was addressed. However, the courts have also looked to the substance of a plaintiff’s claim as being contract rather than tort in cases of concurrence, to prevent the plaintiff’s choice of form of action from governing the procedural rule applicable: see </w:t>
      </w:r>
      <w:r>
        <w:rPr>
          <w:rFonts w:ascii="Arial" w:hAnsi="Arial"/>
          <w:i/>
        </w:rPr>
        <w:t>Legge v Tucker</w:t>
      </w:r>
      <w:r>
        <w:rPr/>
        <w:t>, above, though the court denied the “independence” of the tort from the contractual duty: at 502; </w:t>
      </w:r>
      <w:r>
        <w:rPr>
          <w:rFonts w:ascii="Arial" w:hAnsi="Arial"/>
          <w:i/>
        </w:rPr>
        <w:t>Kelly v Metropolitan Ry Co [1895] 1 Q.B. 944</w:t>
      </w:r>
      <w:r>
        <w:rPr/>
        <w:t>; </w:t>
      </w:r>
      <w:r>
        <w:rPr>
          <w:rFonts w:ascii="Arial" w:hAnsi="Arial"/>
          <w:i/>
        </w:rPr>
        <w:t>Edwards v Mallen [1908] 1 K.B. 1002</w:t>
      </w:r>
      <w:r>
        <w:rPr/>
        <w:t>.</w:t>
      </w:r>
    </w:p>
    <w:p>
      <w:pPr>
        <w:pStyle w:val="BodyText"/>
        <w:spacing w:before="187"/>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7. - The Relationship between Contract and </w:t>
      </w:r>
      <w:r>
        <w:rPr>
          <w:rFonts w:ascii="Arial"/>
          <w:b/>
          <w:spacing w:val="-4"/>
          <w:sz w:val="24"/>
        </w:rPr>
        <w:t>Tort</w:t>
      </w:r>
    </w:p>
    <w:p>
      <w:pPr>
        <w:pStyle w:val="ListParagraph"/>
        <w:numPr>
          <w:ilvl w:val="0"/>
          <w:numId w:val="11"/>
        </w:numPr>
        <w:tabs>
          <w:tab w:pos="1791" w:val="left" w:leader="none"/>
        </w:tabs>
        <w:spacing w:line="240" w:lineRule="auto" w:before="194" w:after="0"/>
        <w:ind w:left="1791" w:right="0" w:hanging="373"/>
        <w:jc w:val="left"/>
        <w:rPr>
          <w:b/>
          <w:sz w:val="24"/>
        </w:rPr>
      </w:pPr>
      <w:r>
        <w:rPr>
          <w:b/>
          <w:sz w:val="24"/>
        </w:rPr>
        <w:t>- Differences of Substance between Contract and </w:t>
      </w:r>
      <w:r>
        <w:rPr>
          <w:b/>
          <w:spacing w:val="-4"/>
          <w:sz w:val="24"/>
        </w:rPr>
        <w:t>Tort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General</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147</w:t>
      </w:r>
    </w:p>
    <w:p>
      <w:pPr>
        <w:pStyle w:val="BodyText"/>
        <w:spacing w:line="235" w:lineRule="auto" w:before="202"/>
        <w:ind w:left="165" w:right="167"/>
        <w:jc w:val="both"/>
      </w:pPr>
      <w:r>
        <w:rPr/>
        <w:t>Publication in the mid-nineteenth century of the great systematising textbooks of Addison, </w:t>
      </w:r>
      <w:r>
        <w:rPr>
          <w:color w:val="005DA1"/>
          <w:u w:val="single" w:color="005DA1"/>
          <w:vertAlign w:val="superscript"/>
        </w:rPr>
        <w:t>1009</w:t>
      </w:r>
      <w:r>
        <w:rPr>
          <w:color w:val="005DA1"/>
          <w:vertAlign w:val="baseline"/>
        </w:rPr>
        <w:t> </w:t>
      </w:r>
      <w:r>
        <w:rPr>
          <w:vertAlign w:val="baseline"/>
        </w:rPr>
        <w:t>Underhill </w:t>
      </w:r>
      <w:r>
        <w:rPr>
          <w:color w:val="005DA1"/>
          <w:u w:val="single" w:color="005DA1"/>
          <w:vertAlign w:val="superscript"/>
        </w:rPr>
        <w:t>1010</w:t>
      </w:r>
      <w:r>
        <w:rPr>
          <w:color w:val="005DA1"/>
          <w:vertAlign w:val="baseline"/>
        </w:rPr>
        <w:t> </w:t>
      </w:r>
      <w:r>
        <w:rPr>
          <w:vertAlign w:val="baseline"/>
        </w:rPr>
        <w:t>and Pollock </w:t>
      </w:r>
      <w:r>
        <w:rPr>
          <w:color w:val="005DA1"/>
          <w:u w:val="single" w:color="005DA1"/>
          <w:vertAlign w:val="superscript"/>
        </w:rPr>
        <w:t>1011</w:t>
      </w:r>
      <w:r>
        <w:rPr>
          <w:color w:val="005DA1"/>
          <w:vertAlign w:val="baseline"/>
        </w:rPr>
        <w:t> </w:t>
      </w:r>
      <w:r>
        <w:rPr>
          <w:vertAlign w:val="baseline"/>
        </w:rPr>
        <w:t>saw a change in understanding of the distinction between contract and tort from one of form to one of substance. This change resulted, not only from the sweeping away of the old procedural differences between the two types of action, but also from the acceptance by English lawyers of the “will theory” of contractual obligation, </w:t>
      </w:r>
      <w:r>
        <w:rPr>
          <w:color w:val="005DA1"/>
          <w:u w:val="single" w:color="005DA1"/>
          <w:vertAlign w:val="superscript"/>
        </w:rPr>
        <w:t>1012</w:t>
      </w:r>
      <w:r>
        <w:rPr>
          <w:color w:val="005DA1"/>
          <w:vertAlign w:val="baseline"/>
        </w:rPr>
        <w:t> </w:t>
      </w:r>
      <w:r>
        <w:rPr>
          <w:vertAlign w:val="baseline"/>
        </w:rPr>
        <w:t>a theory which pointed to the special voluntary nature of contractual obligations, in contrast to duties in tort which were not. </w:t>
      </w:r>
      <w:r>
        <w:rPr>
          <w:color w:val="005DA1"/>
          <w:u w:val="single" w:color="005DA1"/>
          <w:vertAlign w:val="superscript"/>
        </w:rPr>
        <w:t>1013</w:t>
      </w:r>
      <w:r>
        <w:rPr>
          <w:color w:val="005DA1"/>
          <w:vertAlign w:val="baseline"/>
        </w:rPr>
        <w:t> </w:t>
      </w:r>
      <w:r>
        <w:rPr>
          <w:vertAlign w:val="baseline"/>
        </w:rPr>
        <w:t>This contrast lies behind part of the generally accepted modern distinction between contract and tort.</w:t>
      </w:r>
      <w:r>
        <w:rPr>
          <w:spacing w:val="80"/>
          <w:vertAlign w:val="baseline"/>
        </w:rPr>
        <w:t> </w:t>
      </w:r>
      <w:r>
        <w:rPr>
          <w:vertAlign w:val="baseline"/>
        </w:rPr>
        <w:t>Thus, according to Winfield, </w:t>
      </w:r>
      <w:r>
        <w:rPr>
          <w:color w:val="005DA1"/>
          <w:u w:val="single" w:color="005DA1"/>
          <w:vertAlign w:val="superscript"/>
        </w:rPr>
        <w:t>1014</w:t>
      </w:r>
      <w:r>
        <w:rPr>
          <w:color w:val="005DA1"/>
          <w:vertAlign w:val="baseline"/>
        </w:rPr>
        <w:t> </w:t>
      </w:r>
      <w:r>
        <w:rPr>
          <w:vertAlign w:val="baseline"/>
        </w:rPr>
        <w:t>liability for breach of contract is distinguished from liability in tort in </w:t>
      </w:r>
      <w:r>
        <w:rPr>
          <w:spacing w:val="-2"/>
          <w:vertAlign w:val="baseline"/>
        </w:rPr>
        <w:t>that:</w:t>
      </w:r>
    </w:p>
    <w:p>
      <w:pPr>
        <w:pStyle w:val="BodyText"/>
      </w:pPr>
    </w:p>
    <w:p>
      <w:pPr>
        <w:pStyle w:val="BodyText"/>
      </w:pPr>
    </w:p>
    <w:p>
      <w:pPr>
        <w:pStyle w:val="BodyText"/>
      </w:pPr>
    </w:p>
    <w:p>
      <w:pPr>
        <w:pStyle w:val="BodyText"/>
        <w:spacing w:before="93"/>
      </w:pPr>
    </w:p>
    <w:p>
      <w:pPr>
        <w:pStyle w:val="BodyText"/>
        <w:ind w:left="1245"/>
      </w:pPr>
      <w:r>
        <w:rPr>
          <w:spacing w:val="-4"/>
        </w:rPr>
        <w:t>“(i)</w:t>
      </w:r>
    </w:p>
    <w:p>
      <w:pPr>
        <w:pStyle w:val="BodyText"/>
        <w:spacing w:line="235" w:lineRule="auto" w:before="114"/>
        <w:ind w:left="1725"/>
      </w:pPr>
      <w:r>
        <w:rPr/>
        <w:t>the duties in tort are primarily fixed by the law while in contract they are fixed by the parties themselves; and</w:t>
      </w:r>
    </w:p>
    <w:p>
      <w:pPr>
        <w:pStyle w:val="BodyText"/>
      </w:pPr>
    </w:p>
    <w:p>
      <w:pPr>
        <w:pStyle w:val="BodyText"/>
        <w:spacing w:before="35"/>
      </w:pPr>
    </w:p>
    <w:p>
      <w:pPr>
        <w:pStyle w:val="BodyText"/>
        <w:ind w:left="1245"/>
      </w:pPr>
      <w:r>
        <w:rPr>
          <w:spacing w:val="-4"/>
        </w:rPr>
        <w:t>(ii)</w:t>
      </w:r>
    </w:p>
    <w:p>
      <w:pPr>
        <w:pStyle w:val="BodyText"/>
        <w:spacing w:line="235" w:lineRule="auto" w:before="114"/>
        <w:ind w:left="1725"/>
      </w:pPr>
      <w:r>
        <w:rPr/>
        <w:t>in tort the duty is towards persons generally while in contract it is towards a </w:t>
      </w:r>
      <w:r>
        <w:rPr/>
        <w:t>specific person or persons.”</w:t>
      </w:r>
    </w:p>
    <w:p>
      <w:pPr>
        <w:pStyle w:val="BodyText"/>
      </w:pPr>
    </w:p>
    <w:p>
      <w:pPr>
        <w:pStyle w:val="BodyText"/>
        <w:spacing w:before="96"/>
      </w:pPr>
    </w:p>
    <w:p>
      <w:pPr>
        <w:pStyle w:val="BodyText"/>
        <w:ind w:left="165"/>
        <w:jc w:val="both"/>
      </w:pPr>
      <w:r>
        <w:rPr/>
        <w:t>Both propositions still hold good, at least as a starting point. So, Jackson L.J has observed </w:t>
      </w:r>
      <w:r>
        <w:rPr>
          <w:spacing w:val="-2"/>
        </w:rPr>
        <w:t>that:</w:t>
      </w:r>
    </w:p>
    <w:p>
      <w:pPr>
        <w:pStyle w:val="BodyText"/>
      </w:pPr>
    </w:p>
    <w:p>
      <w:pPr>
        <w:pStyle w:val="BodyText"/>
        <w:spacing w:before="125"/>
      </w:pPr>
    </w:p>
    <w:p>
      <w:pPr>
        <w:pStyle w:val="BodyText"/>
        <w:spacing w:line="235" w:lineRule="auto"/>
        <w:ind w:left="1245" w:right="167"/>
        <w:jc w:val="both"/>
      </w:pPr>
      <w:r>
        <w:rPr/>
        <w:t>“Contractual obligations are negotiated by the parties and then enforced by law because the performance of contracts is vital to the functioning of society. Tortious duties </w:t>
      </w:r>
      <w:r>
        <w:rPr/>
        <w:t>are imposed by law (without any need for agreement by the parties) because society demands certain standards of conduct.” </w:t>
      </w:r>
      <w:r>
        <w:rPr>
          <w:color w:val="005DA1"/>
          <w:u w:val="single" w:color="005DA1"/>
          <w:vertAlign w:val="superscript"/>
        </w:rPr>
        <w:t>1015</w:t>
      </w:r>
    </w:p>
    <w:p>
      <w:pPr>
        <w:pStyle w:val="BodyText"/>
      </w:pPr>
    </w:p>
    <w:p>
      <w:pPr>
        <w:pStyle w:val="BodyText"/>
        <w:spacing w:before="205"/>
      </w:pPr>
    </w:p>
    <w:p>
      <w:pPr>
        <w:pStyle w:val="BodyText"/>
        <w:spacing w:line="235" w:lineRule="auto" w:before="1"/>
        <w:ind w:left="165" w:right="167"/>
        <w:jc w:val="both"/>
      </w:pPr>
      <w:r>
        <w:rPr/>
        <w:t>Moreover, there is a further real, general distinction: for torts can be said to make the claimant’s (existing) position worse, whereas a breach of contract often consists of failing to make the claimant’s position better, better, that is, from the claimant’s pre-contractual position and as defined by the other party’s</w:t>
      </w:r>
      <w:r>
        <w:rPr>
          <w:spacing w:val="25"/>
        </w:rPr>
        <w:t> </w:t>
      </w:r>
      <w:r>
        <w:rPr/>
        <w:t>obligations</w:t>
      </w:r>
      <w:r>
        <w:rPr>
          <w:spacing w:val="25"/>
        </w:rPr>
        <w:t> </w:t>
      </w:r>
      <w:r>
        <w:rPr/>
        <w:t>under</w:t>
      </w:r>
      <w:r>
        <w:rPr>
          <w:spacing w:val="25"/>
        </w:rPr>
        <w:t> </w:t>
      </w:r>
      <w:r>
        <w:rPr/>
        <w:t>the</w:t>
      </w:r>
      <w:r>
        <w:rPr>
          <w:spacing w:val="25"/>
        </w:rPr>
        <w:t> </w:t>
      </w:r>
      <w:r>
        <w:rPr/>
        <w:t>contract.</w:t>
      </w:r>
      <w:r>
        <w:rPr>
          <w:spacing w:val="26"/>
        </w:rPr>
        <w:t> </w:t>
      </w:r>
      <w:r>
        <w:rPr>
          <w:color w:val="005DA1"/>
          <w:u w:val="single" w:color="005DA1"/>
          <w:vertAlign w:val="superscript"/>
        </w:rPr>
        <w:t>1016</w:t>
      </w:r>
      <w:r>
        <w:rPr>
          <w:color w:val="005DA1"/>
          <w:spacing w:val="25"/>
          <w:vertAlign w:val="baseline"/>
        </w:rPr>
        <w:t> </w:t>
      </w:r>
      <w:r>
        <w:rPr>
          <w:vertAlign w:val="baseline"/>
        </w:rPr>
        <w:t>However,</w:t>
      </w:r>
      <w:r>
        <w:rPr>
          <w:spacing w:val="25"/>
          <w:vertAlign w:val="baseline"/>
        </w:rPr>
        <w:t> </w:t>
      </w:r>
      <w:r>
        <w:rPr>
          <w:vertAlign w:val="baseline"/>
        </w:rPr>
        <w:t>developments</w:t>
      </w:r>
      <w:r>
        <w:rPr>
          <w:spacing w:val="25"/>
          <w:vertAlign w:val="baseline"/>
        </w:rPr>
        <w:t> </w:t>
      </w:r>
      <w:r>
        <w:rPr>
          <w:vertAlign w:val="baseline"/>
        </w:rPr>
        <w:t>in</w:t>
      </w:r>
      <w:r>
        <w:rPr>
          <w:spacing w:val="25"/>
          <w:vertAlign w:val="baseline"/>
        </w:rPr>
        <w:t> </w:t>
      </w:r>
      <w:r>
        <w:rPr>
          <w:vertAlign w:val="baseline"/>
        </w:rPr>
        <w:t>the</w:t>
      </w:r>
      <w:r>
        <w:rPr>
          <w:spacing w:val="26"/>
          <w:vertAlign w:val="baseline"/>
        </w:rPr>
        <w:t> </w:t>
      </w:r>
      <w:r>
        <w:rPr>
          <w:vertAlign w:val="baseline"/>
        </w:rPr>
        <w:t>modern</w:t>
      </w:r>
      <w:r>
        <w:rPr>
          <w:spacing w:val="25"/>
          <w:vertAlign w:val="baseline"/>
        </w:rPr>
        <w:t> </w:t>
      </w:r>
      <w:r>
        <w:rPr>
          <w:vertAlign w:val="baseline"/>
        </w:rPr>
        <w:t>law</w:t>
      </w:r>
      <w:r>
        <w:rPr>
          <w:spacing w:val="25"/>
          <w:vertAlign w:val="baseline"/>
        </w:rPr>
        <w:t> </w:t>
      </w:r>
      <w:r>
        <w:rPr>
          <w:vertAlign w:val="baseline"/>
        </w:rPr>
        <w:t>have</w:t>
      </w:r>
      <w:r>
        <w:rPr>
          <w:spacing w:val="25"/>
          <w:vertAlign w:val="baseline"/>
        </w:rPr>
        <w:t> </w:t>
      </w:r>
      <w:r>
        <w:rPr>
          <w:spacing w:val="-2"/>
          <w:vertAlign w:val="baseline"/>
        </w:rPr>
        <w:t>blurred</w:t>
      </w:r>
    </w:p>
    <w:p>
      <w:pPr>
        <w:pStyle w:val="BodyText"/>
        <w:spacing w:after="0" w:line="235" w:lineRule="auto"/>
        <w:jc w:val="both"/>
        <w:sectPr>
          <w:headerReference w:type="default" r:id="rId44"/>
          <w:pgSz w:w="11900" w:h="16840"/>
          <w:pgMar w:header="971" w:footer="0" w:top="1300" w:bottom="280" w:left="1275" w:right="1275"/>
          <w:pgNumType w:start="1"/>
        </w:sectPr>
      </w:pPr>
    </w:p>
    <w:p>
      <w:pPr>
        <w:pStyle w:val="BodyText"/>
        <w:spacing w:line="235" w:lineRule="auto" w:before="170"/>
        <w:ind w:left="164" w:right="167"/>
        <w:jc w:val="both"/>
      </w:pPr>
      <w:r>
        <w:rPr/>
        <w:t>these contrasts. First, as has already been remarked, many of the incidents of modern contracts are not fixed by the parties: the courts </w:t>
      </w:r>
      <w:r>
        <w:rPr>
          <w:color w:val="005DA1"/>
          <w:u w:val="single" w:color="005DA1"/>
          <w:vertAlign w:val="superscript"/>
        </w:rPr>
        <w:t>1017</w:t>
      </w:r>
      <w:r>
        <w:rPr>
          <w:color w:val="005DA1"/>
          <w:vertAlign w:val="baseline"/>
        </w:rPr>
        <w:t> </w:t>
      </w:r>
      <w:r>
        <w:rPr>
          <w:vertAlign w:val="baseline"/>
        </w:rPr>
        <w:t>and the legislature have regulated the relationships of many contractors. Moreover, even where this regulation is effected by the implication of a term, some terms are not susceptible to express exclusion or alteration by the parties. </w:t>
      </w:r>
      <w:r>
        <w:rPr>
          <w:color w:val="005DA1"/>
          <w:u w:val="single" w:color="005DA1"/>
          <w:vertAlign w:val="superscript"/>
        </w:rPr>
        <w:t>1018</w:t>
      </w:r>
      <w:r>
        <w:rPr>
          <w:color w:val="005DA1"/>
          <w:vertAlign w:val="baseline"/>
        </w:rPr>
        <w:t> </w:t>
      </w:r>
      <w:r>
        <w:rPr>
          <w:vertAlign w:val="baseline"/>
        </w:rPr>
        <w:t>Indeed, in some types of contracts legislative regulation has reached a level where the “voluntary element” is reduced to a simple choice whether or not to enter the relationship. </w:t>
      </w:r>
      <w:r>
        <w:rPr>
          <w:color w:val="005DA1"/>
          <w:u w:val="single" w:color="005DA1"/>
          <w:vertAlign w:val="superscript"/>
        </w:rPr>
        <w:t>1019</w:t>
      </w:r>
      <w:r>
        <w:rPr>
          <w:color w:val="005DA1"/>
          <w:vertAlign w:val="baseline"/>
        </w:rPr>
        <w:t> </w:t>
      </w:r>
      <w:r>
        <w:rPr>
          <w:vertAlign w:val="baseline"/>
        </w:rPr>
        <w:t>Furthermore, in general common law or statute, rather than the parties, specify what legal consequences arise on the failure to perform </w:t>
      </w:r>
      <w:r>
        <w:rPr>
          <w:vertAlign w:val="baseline"/>
        </w:rPr>
        <w:t>a contract, whether this is considered a matter of breach </w:t>
      </w:r>
      <w:r>
        <w:rPr>
          <w:color w:val="005DA1"/>
          <w:u w:val="single" w:color="005DA1"/>
          <w:vertAlign w:val="superscript"/>
        </w:rPr>
        <w:t>1020</w:t>
      </w:r>
      <w:r>
        <w:rPr>
          <w:color w:val="005DA1"/>
          <w:vertAlign w:val="baseline"/>
        </w:rPr>
        <w:t> </w:t>
      </w:r>
      <w:r>
        <w:rPr>
          <w:vertAlign w:val="baseline"/>
        </w:rPr>
        <w:t>or frustration. </w:t>
      </w:r>
      <w:r>
        <w:rPr>
          <w:color w:val="005DA1"/>
          <w:u w:val="single" w:color="005DA1"/>
          <w:vertAlign w:val="superscript"/>
        </w:rPr>
        <w:t>1021</w:t>
      </w:r>
      <w:r>
        <w:rPr>
          <w:color w:val="005DA1"/>
          <w:vertAlign w:val="baseline"/>
        </w:rPr>
        <w:t> </w:t>
      </w:r>
      <w:r>
        <w:rPr>
          <w:vertAlign w:val="baseline"/>
        </w:rPr>
        <w:t>It is the law itself which provides</w:t>
      </w:r>
      <w:r>
        <w:rPr>
          <w:spacing w:val="-1"/>
          <w:vertAlign w:val="baseline"/>
        </w:rPr>
        <w:t> </w:t>
      </w:r>
      <w:r>
        <w:rPr>
          <w:vertAlign w:val="baseline"/>
        </w:rPr>
        <w:t>and</w:t>
      </w:r>
      <w:r>
        <w:rPr>
          <w:spacing w:val="-1"/>
          <w:vertAlign w:val="baseline"/>
        </w:rPr>
        <w:t> </w:t>
      </w:r>
      <w:r>
        <w:rPr>
          <w:vertAlign w:val="baseline"/>
        </w:rPr>
        <w:t>delineates</w:t>
      </w:r>
      <w:r>
        <w:rPr>
          <w:spacing w:val="-1"/>
          <w:vertAlign w:val="baseline"/>
        </w:rPr>
        <w:t> </w:t>
      </w:r>
      <w:r>
        <w:rPr>
          <w:vertAlign w:val="baseline"/>
        </w:rPr>
        <w:t>the</w:t>
      </w:r>
      <w:r>
        <w:rPr>
          <w:spacing w:val="-1"/>
          <w:vertAlign w:val="baseline"/>
        </w:rPr>
        <w:t> </w:t>
      </w:r>
      <w:r>
        <w:rPr>
          <w:vertAlign w:val="baseline"/>
        </w:rPr>
        <w:t>remedies</w:t>
      </w:r>
      <w:r>
        <w:rPr>
          <w:spacing w:val="-1"/>
          <w:vertAlign w:val="baseline"/>
        </w:rPr>
        <w:t> </w:t>
      </w:r>
      <w:r>
        <w:rPr>
          <w:vertAlign w:val="baseline"/>
        </w:rPr>
        <w:t>of</w:t>
      </w:r>
      <w:r>
        <w:rPr>
          <w:spacing w:val="-1"/>
          <w:vertAlign w:val="baseline"/>
        </w:rPr>
        <w:t> </w:t>
      </w:r>
      <w:r>
        <w:rPr>
          <w:vertAlign w:val="baseline"/>
        </w:rPr>
        <w:t>damages,</w:t>
      </w:r>
      <w:r>
        <w:rPr>
          <w:spacing w:val="-1"/>
          <w:vertAlign w:val="baseline"/>
        </w:rPr>
        <w:t> </w:t>
      </w:r>
      <w:r>
        <w:rPr>
          <w:vertAlign w:val="baseline"/>
        </w:rPr>
        <w:t>termination</w:t>
      </w:r>
      <w:r>
        <w:rPr>
          <w:spacing w:val="-1"/>
          <w:vertAlign w:val="baseline"/>
        </w:rPr>
        <w:t> </w:t>
      </w:r>
      <w:r>
        <w:rPr>
          <w:vertAlign w:val="baseline"/>
        </w:rPr>
        <w:t>for</w:t>
      </w:r>
      <w:r>
        <w:rPr>
          <w:spacing w:val="-1"/>
          <w:vertAlign w:val="baseline"/>
        </w:rPr>
        <w:t> </w:t>
      </w:r>
      <w:r>
        <w:rPr>
          <w:vertAlign w:val="baseline"/>
        </w:rPr>
        <w:t>major</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contract</w:t>
      </w:r>
      <w:r>
        <w:rPr>
          <w:spacing w:val="-1"/>
          <w:vertAlign w:val="baseline"/>
        </w:rPr>
        <w:t> </w:t>
      </w:r>
      <w:r>
        <w:rPr>
          <w:vertAlign w:val="baseline"/>
        </w:rPr>
        <w:t>or</w:t>
      </w:r>
      <w:r>
        <w:rPr>
          <w:spacing w:val="-1"/>
          <w:vertAlign w:val="baseline"/>
        </w:rPr>
        <w:t> </w:t>
      </w:r>
      <w:r>
        <w:rPr>
          <w:vertAlign w:val="baseline"/>
        </w:rPr>
        <w:t>specific performance, and the role of the parties’ agreement here is not to create but at most to modify the rules already provided by the law. </w:t>
      </w:r>
      <w:r>
        <w:rPr>
          <w:color w:val="005DA1"/>
          <w:u w:val="single" w:color="005DA1"/>
          <w:vertAlign w:val="superscript"/>
        </w:rPr>
        <w:t>1022</w:t>
      </w:r>
      <w:r>
        <w:rPr>
          <w:color w:val="005DA1"/>
          <w:vertAlign w:val="baseline"/>
        </w:rPr>
        <w:t> </w:t>
      </w:r>
      <w:r>
        <w:rPr>
          <w:vertAlign w:val="baseline"/>
        </w:rPr>
        <w:t>Conversely, “voluntariness” can be relevant to the imposition of liability in tort: positively, where “voluntariness” or consent on the part of the </w:t>
      </w:r>
      <w:r>
        <w:rPr>
          <w:rFonts w:ascii="Arial" w:hAnsi="Arial"/>
          <w:i/>
          <w:vertAlign w:val="baseline"/>
        </w:rPr>
        <w:t>defendant </w:t>
      </w:r>
      <w:r>
        <w:rPr>
          <w:vertAlign w:val="baseline"/>
        </w:rPr>
        <w:t>is a factor in the imposition of liability, for example, in relation to occupier’s liability, </w:t>
      </w:r>
      <w:r>
        <w:rPr>
          <w:color w:val="005DA1"/>
          <w:u w:val="single" w:color="005DA1"/>
          <w:vertAlign w:val="superscript"/>
        </w:rPr>
        <w:t>1023</w:t>
      </w:r>
      <w:r>
        <w:rPr>
          <w:color w:val="005DA1"/>
          <w:vertAlign w:val="baseline"/>
        </w:rPr>
        <w:t> </w:t>
      </w:r>
      <w:r>
        <w:rPr>
          <w:vertAlign w:val="baseline"/>
        </w:rPr>
        <w:t>liability for omissions </w:t>
      </w:r>
      <w:r>
        <w:rPr>
          <w:color w:val="005DA1"/>
          <w:u w:val="single" w:color="005DA1"/>
          <w:vertAlign w:val="superscript"/>
        </w:rPr>
        <w:t>1024</w:t>
      </w:r>
      <w:r>
        <w:rPr>
          <w:color w:val="005DA1"/>
          <w:vertAlign w:val="baseline"/>
        </w:rPr>
        <w:t> </w:t>
      </w:r>
      <w:r>
        <w:rPr>
          <w:vertAlign w:val="baseline"/>
        </w:rPr>
        <w:t>or under the principle established by </w:t>
      </w:r>
      <w:r>
        <w:rPr>
          <w:rFonts w:ascii="Arial" w:hAnsi="Arial"/>
          <w:i/>
          <w:vertAlign w:val="baseline"/>
        </w:rPr>
        <w:t>Hedley Byrne &amp; Co Ltd v Heller &amp; Partners Ltd</w:t>
      </w:r>
      <w:r>
        <w:rPr>
          <w:vertAlign w:val="baseline"/>
        </w:rPr>
        <w:t>. </w:t>
      </w:r>
      <w:r>
        <w:rPr>
          <w:color w:val="005DA1"/>
          <w:u w:val="single" w:color="005DA1"/>
          <w:vertAlign w:val="superscript"/>
        </w:rPr>
        <w:t>1025</w:t>
      </w:r>
      <w:r>
        <w:rPr>
          <w:color w:val="005DA1"/>
          <w:vertAlign w:val="baseline"/>
        </w:rPr>
        <w:t> </w:t>
      </w:r>
      <w:r>
        <w:rPr>
          <w:vertAlign w:val="baseline"/>
        </w:rPr>
        <w:t>Negatively, however, the consent of a </w:t>
      </w:r>
      <w:r>
        <w:rPr>
          <w:rFonts w:ascii="Arial" w:hAnsi="Arial"/>
          <w:i/>
          <w:vertAlign w:val="baseline"/>
        </w:rPr>
        <w:t>claimant </w:t>
      </w:r>
      <w:r>
        <w:rPr>
          <w:vertAlign w:val="baseline"/>
        </w:rPr>
        <w:t>may prevent liability from arising in tort: thus, consent to medical treatment </w:t>
      </w:r>
      <w:r>
        <w:rPr>
          <w:color w:val="005DA1"/>
          <w:u w:val="single" w:color="005DA1"/>
          <w:vertAlign w:val="superscript"/>
        </w:rPr>
        <w:t>1026</w:t>
      </w:r>
      <w:r>
        <w:rPr>
          <w:color w:val="005DA1"/>
          <w:vertAlign w:val="baseline"/>
        </w:rPr>
        <w:t> </w:t>
      </w:r>
      <w:r>
        <w:rPr>
          <w:vertAlign w:val="baseline"/>
        </w:rPr>
        <w:t>or to a risk of injury in sport </w:t>
      </w:r>
      <w:r>
        <w:rPr>
          <w:color w:val="005DA1"/>
          <w:u w:val="single" w:color="005DA1"/>
          <w:vertAlign w:val="superscript"/>
        </w:rPr>
        <w:t>1027</w:t>
      </w:r>
      <w:r>
        <w:rPr>
          <w:color w:val="005DA1"/>
          <w:vertAlign w:val="baseline"/>
        </w:rPr>
        <w:t> </w:t>
      </w:r>
      <w:r>
        <w:rPr>
          <w:vertAlign w:val="baseline"/>
        </w:rPr>
        <w:t>may exclude liability in tort by operation of the maxim volenti non fit injuria, as may a contractual agreement by the parties excluding liability, whether in tort or in contract. </w:t>
      </w:r>
      <w:r>
        <w:rPr>
          <w:color w:val="005DA1"/>
          <w:u w:val="single" w:color="005DA1"/>
          <w:vertAlign w:val="superscript"/>
        </w:rPr>
        <w:t>1028</w:t>
      </w:r>
    </w:p>
    <w:p>
      <w:pPr>
        <w:pStyle w:val="BodyText"/>
        <w:spacing w:before="75"/>
      </w:pPr>
    </w:p>
    <w:p>
      <w:pPr>
        <w:spacing w:before="0"/>
        <w:ind w:left="165" w:right="0" w:firstLine="0"/>
        <w:jc w:val="left"/>
        <w:rPr>
          <w:rFonts w:ascii="Arial"/>
          <w:b/>
          <w:sz w:val="24"/>
        </w:rPr>
      </w:pPr>
      <w:r>
        <w:rPr>
          <w:rFonts w:ascii="Arial"/>
          <w:b/>
          <w:sz w:val="24"/>
        </w:rPr>
        <w:t>1-</w:t>
      </w:r>
      <w:r>
        <w:rPr>
          <w:rFonts w:ascii="Arial"/>
          <w:b/>
          <w:spacing w:val="-5"/>
          <w:sz w:val="24"/>
        </w:rPr>
        <w:t>148</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5"/>
        </w:rPr>
        <w:t> </w:t>
      </w:r>
      <w:r>
        <w:rPr/>
        <w:t>Some writers have stressed the special protection of expectations created by a contract, </w:t>
      </w:r>
      <w:r>
        <w:rPr/>
        <w:t>reflected in the nature of the damages awarded on its breach and the lack of protection of expectations by the law of torts. </w:t>
      </w:r>
      <w:r>
        <w:rPr>
          <w:color w:val="005DA1"/>
          <w:u w:val="single" w:color="005DA1"/>
          <w:vertAlign w:val="superscript"/>
        </w:rPr>
        <w:t>1029</w:t>
      </w:r>
      <w:r>
        <w:rPr>
          <w:color w:val="005DA1"/>
          <w:vertAlign w:val="baseline"/>
        </w:rPr>
        <w:t> </w:t>
      </w:r>
      <w:r>
        <w:rPr>
          <w:vertAlign w:val="baseline"/>
        </w:rPr>
        <w:t>Others have disagreed, </w:t>
      </w:r>
      <w:r>
        <w:rPr>
          <w:color w:val="005DA1"/>
          <w:u w:val="single" w:color="005DA1"/>
          <w:vertAlign w:val="superscript"/>
        </w:rPr>
        <w:t>1030</w:t>
      </w:r>
      <w:r>
        <w:rPr>
          <w:color w:val="005DA1"/>
          <w:vertAlign w:val="baseline"/>
        </w:rPr>
        <w:t> </w:t>
      </w:r>
      <w:r>
        <w:rPr>
          <w:vertAlign w:val="baseline"/>
        </w:rPr>
        <w:t>arguing that this obscures the importance of awards of damages in contract based on the claimant’s “reliance interest”, which is similar to that protected generally in tort. </w:t>
      </w:r>
      <w:r>
        <w:rPr>
          <w:color w:val="005DA1"/>
          <w:u w:val="single" w:color="005DA1"/>
          <w:vertAlign w:val="superscript"/>
        </w:rPr>
        <w:t>1031</w:t>
      </w:r>
      <w:r>
        <w:rPr>
          <w:color w:val="005DA1"/>
          <w:vertAlign w:val="baseline"/>
        </w:rPr>
        <w:t> </w:t>
      </w:r>
      <w:r>
        <w:rPr>
          <w:vertAlign w:val="baseline"/>
        </w:rPr>
        <w:t>Conversely, damages in tort can compensate the injured party’s disappointed expectations,</w:t>
      </w:r>
      <w:r>
        <w:rPr>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his</w:t>
      </w:r>
      <w:r>
        <w:rPr>
          <w:spacing w:val="-1"/>
          <w:vertAlign w:val="baseline"/>
        </w:rPr>
        <w:t> </w:t>
      </w:r>
      <w:r>
        <w:rPr>
          <w:vertAlign w:val="baseline"/>
        </w:rPr>
        <w:t>expectation</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able</w:t>
      </w:r>
      <w:r>
        <w:rPr>
          <w:spacing w:val="-1"/>
          <w:vertAlign w:val="baseline"/>
        </w:rPr>
        <w:t> </w:t>
      </w:r>
      <w:r>
        <w:rPr>
          <w:vertAlign w:val="baseline"/>
        </w:rPr>
        <w:t>to</w:t>
      </w:r>
      <w:r>
        <w:rPr>
          <w:spacing w:val="-1"/>
          <w:vertAlign w:val="baseline"/>
        </w:rPr>
        <w:t> </w:t>
      </w:r>
      <w:r>
        <w:rPr>
          <w:vertAlign w:val="baseline"/>
        </w:rPr>
        <w:t>earn</w:t>
      </w:r>
      <w:r>
        <w:rPr>
          <w:spacing w:val="-1"/>
          <w:vertAlign w:val="baseline"/>
        </w:rPr>
        <w:t> </w:t>
      </w:r>
      <w:r>
        <w:rPr>
          <w:vertAlign w:val="baseline"/>
        </w:rPr>
        <w:t>a</w:t>
      </w:r>
      <w:r>
        <w:rPr>
          <w:spacing w:val="-1"/>
          <w:vertAlign w:val="baseline"/>
        </w:rPr>
        <w:t> </w:t>
      </w:r>
      <w:r>
        <w:rPr>
          <w:vertAlign w:val="baseline"/>
        </w:rPr>
        <w:t>living,</w:t>
      </w:r>
      <w:r>
        <w:rPr>
          <w:spacing w:val="-2"/>
          <w:vertAlign w:val="baseline"/>
        </w:rPr>
        <w:t> </w:t>
      </w:r>
      <w:r>
        <w:rPr>
          <w:color w:val="005DA1"/>
          <w:u w:val="single" w:color="005DA1"/>
          <w:vertAlign w:val="superscript"/>
        </w:rPr>
        <w:t>1032</w:t>
      </w:r>
      <w:r>
        <w:rPr>
          <w:color w:val="005DA1"/>
          <w:spacing w:val="-1"/>
          <w:vertAlign w:val="baseline"/>
        </w:rPr>
        <w:t> </w:t>
      </w:r>
      <w:r>
        <w:rPr>
          <w:vertAlign w:val="baseline"/>
        </w:rPr>
        <w:t>although</w:t>
      </w:r>
      <w:r>
        <w:rPr>
          <w:spacing w:val="-1"/>
          <w:vertAlign w:val="baseline"/>
        </w:rPr>
        <w:t> </w:t>
      </w:r>
      <w:r>
        <w:rPr>
          <w:vertAlign w:val="baseline"/>
        </w:rPr>
        <w:t>it</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pointed out</w:t>
      </w:r>
      <w:r>
        <w:rPr>
          <w:spacing w:val="11"/>
          <w:vertAlign w:val="baseline"/>
        </w:rPr>
        <w:t> </w:t>
      </w:r>
      <w:r>
        <w:rPr>
          <w:vertAlign w:val="baseline"/>
        </w:rPr>
        <w:t>that</w:t>
      </w:r>
      <w:r>
        <w:rPr>
          <w:spacing w:val="11"/>
          <w:vertAlign w:val="baseline"/>
        </w:rPr>
        <w:t> </w:t>
      </w:r>
      <w:r>
        <w:rPr>
          <w:vertAlign w:val="baseline"/>
        </w:rPr>
        <w:t>this</w:t>
      </w:r>
      <w:r>
        <w:rPr>
          <w:spacing w:val="11"/>
          <w:vertAlign w:val="baseline"/>
        </w:rPr>
        <w:t> </w:t>
      </w:r>
      <w:r>
        <w:rPr>
          <w:vertAlign w:val="baseline"/>
        </w:rPr>
        <w:t>expectation</w:t>
      </w:r>
      <w:r>
        <w:rPr>
          <w:spacing w:val="11"/>
          <w:vertAlign w:val="baseline"/>
        </w:rPr>
        <w:t> </w:t>
      </w:r>
      <w:r>
        <w:rPr>
          <w:vertAlign w:val="baseline"/>
        </w:rPr>
        <w:t>is</w:t>
      </w:r>
      <w:r>
        <w:rPr>
          <w:spacing w:val="11"/>
          <w:vertAlign w:val="baseline"/>
        </w:rPr>
        <w:t> </w:t>
      </w:r>
      <w:r>
        <w:rPr>
          <w:vertAlign w:val="baseline"/>
        </w:rPr>
        <w:t>general,</w:t>
      </w:r>
      <w:r>
        <w:rPr>
          <w:spacing w:val="11"/>
          <w:vertAlign w:val="baseline"/>
        </w:rPr>
        <w:t> </w:t>
      </w:r>
      <w:r>
        <w:rPr>
          <w:vertAlign w:val="baseline"/>
        </w:rPr>
        <w:t>unlike</w:t>
      </w:r>
      <w:r>
        <w:rPr>
          <w:spacing w:val="11"/>
          <w:vertAlign w:val="baseline"/>
        </w:rPr>
        <w:t> </w:t>
      </w:r>
      <w:r>
        <w:rPr>
          <w:vertAlign w:val="baseline"/>
        </w:rPr>
        <w:t>contractual</w:t>
      </w:r>
      <w:r>
        <w:rPr>
          <w:spacing w:val="11"/>
          <w:vertAlign w:val="baseline"/>
        </w:rPr>
        <w:t> </w:t>
      </w:r>
      <w:r>
        <w:rPr>
          <w:vertAlign w:val="baseline"/>
        </w:rPr>
        <w:t>expectations</w:t>
      </w:r>
      <w:r>
        <w:rPr>
          <w:spacing w:val="11"/>
          <w:vertAlign w:val="baseline"/>
        </w:rPr>
        <w:t> </w:t>
      </w:r>
      <w:r>
        <w:rPr>
          <w:vertAlign w:val="baseline"/>
        </w:rPr>
        <w:t>which</w:t>
      </w:r>
      <w:r>
        <w:rPr>
          <w:spacing w:val="11"/>
          <w:vertAlign w:val="baseline"/>
        </w:rPr>
        <w:t> </w:t>
      </w:r>
      <w:r>
        <w:rPr>
          <w:vertAlign w:val="baseline"/>
        </w:rPr>
        <w:t>are</w:t>
      </w:r>
      <w:r>
        <w:rPr>
          <w:spacing w:val="11"/>
          <w:vertAlign w:val="baseline"/>
        </w:rPr>
        <w:t> </w:t>
      </w:r>
      <w:r>
        <w:rPr>
          <w:vertAlign w:val="baseline"/>
        </w:rPr>
        <w:t>induced</w:t>
      </w:r>
      <w:r>
        <w:rPr>
          <w:spacing w:val="11"/>
          <w:vertAlign w:val="baseline"/>
        </w:rPr>
        <w:t> </w:t>
      </w:r>
      <w:r>
        <w:rPr>
          <w:vertAlign w:val="baseline"/>
        </w:rPr>
        <w:t>by</w:t>
      </w:r>
      <w:r>
        <w:rPr>
          <w:spacing w:val="11"/>
          <w:vertAlign w:val="baseline"/>
        </w:rPr>
        <w:t> </w:t>
      </w:r>
      <w:r>
        <w:rPr>
          <w:vertAlign w:val="baseline"/>
        </w:rPr>
        <w:t>making</w:t>
      </w:r>
      <w:r>
        <w:rPr>
          <w:spacing w:val="11"/>
          <w:vertAlign w:val="baseline"/>
        </w:rPr>
        <w:t> </w:t>
      </w:r>
      <w:r>
        <w:rPr>
          <w:spacing w:val="-5"/>
          <w:vertAlign w:val="baseline"/>
        </w:rPr>
        <w:t>the</w:t>
      </w:r>
    </w:p>
    <w:p>
      <w:pPr>
        <w:pStyle w:val="BodyText"/>
        <w:spacing w:line="235" w:lineRule="auto" w:before="118"/>
        <w:ind w:left="165" w:right="167"/>
        <w:jc w:val="both"/>
      </w:pPr>
      <w:r>
        <w:rPr/>
        <w:t>contract.</w:t>
      </w:r>
      <w:r>
        <w:rPr>
          <w:spacing w:val="-2"/>
        </w:rPr>
        <w:t> </w:t>
      </w:r>
      <w:r>
        <w:rPr>
          <w:color w:val="005DA1"/>
          <w:u w:val="single" w:color="005DA1"/>
          <w:vertAlign w:val="superscript"/>
        </w:rPr>
        <w:t>1033</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hand,</w:t>
      </w:r>
      <w:r>
        <w:rPr>
          <w:spacing w:val="-2"/>
          <w:vertAlign w:val="baseline"/>
        </w:rPr>
        <w:t> </w:t>
      </w:r>
      <w:r>
        <w:rPr>
          <w:vertAlign w:val="baseline"/>
        </w:rPr>
        <w:t>while</w:t>
      </w:r>
      <w:r>
        <w:rPr>
          <w:spacing w:val="-2"/>
          <w:vertAlign w:val="baseline"/>
        </w:rPr>
        <w:t> </w:t>
      </w:r>
      <w:r>
        <w:rPr>
          <w:vertAlign w:val="baseline"/>
        </w:rPr>
        <w:t>traditionally</w:t>
      </w:r>
      <w:r>
        <w:rPr>
          <w:spacing w:val="-2"/>
          <w:vertAlign w:val="baseline"/>
        </w:rPr>
        <w:t> </w:t>
      </w:r>
      <w:r>
        <w:rPr>
          <w:vertAlign w:val="baseline"/>
        </w:rPr>
        <w:t>it</w:t>
      </w:r>
      <w:r>
        <w:rPr>
          <w:spacing w:val="-2"/>
          <w:vertAlign w:val="baseline"/>
        </w:rPr>
        <w:t> </w:t>
      </w:r>
      <w:r>
        <w:rPr>
          <w:vertAlign w:val="baseline"/>
        </w:rPr>
        <w:t>could</w:t>
      </w:r>
      <w:r>
        <w:rPr>
          <w:spacing w:val="-2"/>
          <w:vertAlign w:val="baseline"/>
        </w:rPr>
        <w:t> </w:t>
      </w:r>
      <w:r>
        <w:rPr>
          <w:vertAlign w:val="baseline"/>
        </w:rPr>
        <w:t>be</w:t>
      </w:r>
      <w:r>
        <w:rPr>
          <w:spacing w:val="-2"/>
          <w:vertAlign w:val="baseline"/>
        </w:rPr>
        <w:t> </w:t>
      </w:r>
      <w:r>
        <w:rPr>
          <w:vertAlign w:val="baseline"/>
        </w:rPr>
        <w:t>said</w:t>
      </w:r>
      <w:r>
        <w:rPr>
          <w:spacing w:val="-2"/>
          <w:vertAlign w:val="baseline"/>
        </w:rPr>
        <w:t> </w:t>
      </w:r>
      <w:r>
        <w:rPr>
          <w:vertAlign w:val="baseline"/>
        </w:rPr>
        <w:t>that</w:t>
      </w:r>
      <w:r>
        <w:rPr>
          <w:spacing w:val="-2"/>
          <w:vertAlign w:val="baseline"/>
        </w:rPr>
        <w:t> </w:t>
      </w:r>
      <w:r>
        <w:rPr>
          <w:vertAlign w:val="baseline"/>
        </w:rPr>
        <w:t>recovery</w:t>
      </w:r>
      <w:r>
        <w:rPr>
          <w:spacing w:val="-2"/>
          <w:vertAlign w:val="baseline"/>
        </w:rPr>
        <w:t> </w:t>
      </w:r>
      <w:r>
        <w:rPr>
          <w:vertAlign w:val="baseline"/>
        </w:rPr>
        <w:t>for</w:t>
      </w:r>
      <w:r>
        <w:rPr>
          <w:spacing w:val="-2"/>
          <w:vertAlign w:val="baseline"/>
        </w:rPr>
        <w:t> </w:t>
      </w:r>
      <w:r>
        <w:rPr>
          <w:vertAlign w:val="baseline"/>
        </w:rPr>
        <w:t>non-intentional pure economic loss was generally irrecoverable in tort, while being recoverable in contract, </w:t>
      </w:r>
      <w:r>
        <w:rPr>
          <w:vertAlign w:val="baseline"/>
        </w:rPr>
        <w:t>this position has been significantly qualified by the House of Lords’ application of the principle of “assumption of responsibility” of </w:t>
      </w:r>
      <w:r>
        <w:rPr>
          <w:rFonts w:ascii="Arial" w:hAnsi="Arial"/>
          <w:i/>
          <w:vertAlign w:val="baseline"/>
        </w:rPr>
        <w:t>Hedley Byrne &amp; Co Ltd v Heller &amp; Partners </w:t>
      </w:r>
      <w:r>
        <w:rPr>
          <w:color w:val="005DA1"/>
          <w:u w:val="single" w:color="005DA1"/>
          <w:vertAlign w:val="superscript"/>
        </w:rPr>
        <w:t>1034</w:t>
      </w:r>
      <w:r>
        <w:rPr>
          <w:color w:val="005DA1"/>
          <w:vertAlign w:val="baseline"/>
        </w:rPr>
        <w:t> </w:t>
      </w:r>
      <w:r>
        <w:rPr>
          <w:vertAlign w:val="baseline"/>
        </w:rPr>
        <w:t>to cases of the negligent performance of services. </w:t>
      </w:r>
      <w:r>
        <w:rPr>
          <w:color w:val="005DA1"/>
          <w:u w:val="single" w:color="005DA1"/>
          <w:vertAlign w:val="superscript"/>
        </w:rPr>
        <w:t>1035</w:t>
      </w:r>
    </w:p>
    <w:p>
      <w:pPr>
        <w:pStyle w:val="BodyText"/>
        <w:spacing w:before="79"/>
      </w:pPr>
    </w:p>
    <w:p>
      <w:pPr>
        <w:spacing w:before="0"/>
        <w:ind w:left="165" w:right="0" w:firstLine="0"/>
        <w:jc w:val="left"/>
        <w:rPr>
          <w:rFonts w:ascii="Arial"/>
          <w:b/>
          <w:sz w:val="24"/>
        </w:rPr>
      </w:pPr>
      <w:r>
        <w:rPr>
          <w:rFonts w:ascii="Arial"/>
          <w:b/>
          <w:sz w:val="24"/>
        </w:rPr>
        <w:t>1-</w:t>
      </w:r>
      <w:r>
        <w:rPr>
          <w:rFonts w:ascii="Arial"/>
          <w:b/>
          <w:spacing w:val="-5"/>
          <w:sz w:val="24"/>
        </w:rPr>
        <w:t>149</w:t>
      </w:r>
    </w:p>
    <w:p>
      <w:pPr>
        <w:pStyle w:val="BodyText"/>
        <w:spacing w:line="235" w:lineRule="auto" w:before="203"/>
        <w:ind w:left="165" w:right="167"/>
        <w:jc w:val="both"/>
      </w:pPr>
      <w:r>
        <w:rPr/>
        <w:t>More radical criticism of the division between contract and tort argues that it, together with </w:t>
      </w:r>
      <w:r>
        <w:rPr/>
        <w:t>other</w:t>
      </w:r>
      <w:r>
        <w:rPr>
          <w:spacing w:val="80"/>
        </w:rPr>
        <w:t> </w:t>
      </w:r>
      <w:r>
        <w:rPr/>
        <w:t>broad conceptual distinctions in the law, at times helps to obscure similarities of factual situation</w:t>
      </w:r>
      <w:r>
        <w:rPr>
          <w:spacing w:val="40"/>
        </w:rPr>
        <w:t> </w:t>
      </w:r>
      <w:r>
        <w:rPr/>
        <w:t>which cut across it and at others to group together situations which have practically nothing in common. </w:t>
      </w:r>
      <w:r>
        <w:rPr>
          <w:color w:val="005DA1"/>
          <w:u w:val="single" w:color="005DA1"/>
          <w:vertAlign w:val="superscript"/>
        </w:rPr>
        <w:t>1036</w:t>
      </w:r>
      <w:r>
        <w:rPr>
          <w:color w:val="005DA1"/>
          <w:vertAlign w:val="baseline"/>
        </w:rPr>
        <w:t> </w:t>
      </w:r>
      <w:r>
        <w:rPr>
          <w:vertAlign w:val="baseline"/>
        </w:rPr>
        <w:t>Instead, it has been suggested, private law should be reclassified according to the nature of the interest of the claimant to be protected. </w:t>
      </w:r>
      <w:r>
        <w:rPr>
          <w:color w:val="005DA1"/>
          <w:u w:val="single" w:color="005DA1"/>
          <w:vertAlign w:val="superscript"/>
        </w:rPr>
        <w:t>1037</w:t>
      </w:r>
      <w:r>
        <w:rPr>
          <w:color w:val="005DA1"/>
          <w:vertAlign w:val="baseline"/>
        </w:rPr>
        <w:t> </w:t>
      </w:r>
      <w:r>
        <w:rPr>
          <w:vertAlign w:val="baseline"/>
        </w:rPr>
        <w:t>However, this type of suggestion has not been generally accepted and the distinction between contract and tort remains fundamental.</w:t>
      </w:r>
    </w:p>
    <w:p>
      <w:pPr>
        <w:pStyle w:val="BodyText"/>
      </w:pPr>
    </w:p>
    <w:p>
      <w:pPr>
        <w:pStyle w:val="BodyText"/>
        <w:spacing w:before="36"/>
      </w:pPr>
    </w:p>
    <w:p>
      <w:pPr>
        <w:spacing w:before="0"/>
        <w:ind w:left="165" w:right="0" w:firstLine="0"/>
        <w:jc w:val="left"/>
        <w:rPr>
          <w:rFonts w:ascii="Arial"/>
          <w:b/>
          <w:sz w:val="18"/>
        </w:rPr>
      </w:pPr>
      <w:r>
        <w:rPr>
          <w:rFonts w:ascii="Arial"/>
          <w:b/>
          <w:sz w:val="18"/>
        </w:rPr>
        <w:t>Differences of regime between contract and tort: </w:t>
      </w:r>
      <w:r>
        <w:rPr>
          <w:rFonts w:ascii="Arial"/>
          <w:b/>
          <w:spacing w:val="-2"/>
          <w:sz w:val="18"/>
        </w:rPr>
        <w:t>damages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150</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Some legal incidents of liability differ according to whether the claimant’s claim is based on </w:t>
      </w:r>
      <w:r>
        <w:rPr/>
        <w:t>a breach of contract or a tort. Thus, there are important differences between the damages recoverable in contract and in tort. </w:t>
      </w:r>
      <w:r>
        <w:rPr>
          <w:color w:val="005DA1"/>
          <w:u w:val="single" w:color="005DA1"/>
          <w:vertAlign w:val="superscript"/>
        </w:rPr>
        <w:t>1038</w:t>
      </w:r>
      <w:r>
        <w:rPr>
          <w:color w:val="005DA1"/>
          <w:vertAlign w:val="baseline"/>
        </w:rPr>
        <w:t> </w:t>
      </w:r>
      <w:r>
        <w:rPr>
          <w:vertAlign w:val="baseline"/>
        </w:rPr>
        <w:t>As has been noted, the most basic difference remains that the function of damages in contract is primarily to put the injured party as far as possible in the position in which he would have been had the contract been performed, </w:t>
      </w:r>
      <w:r>
        <w:rPr>
          <w:color w:val="005DA1"/>
          <w:u w:val="single" w:color="005DA1"/>
          <w:vertAlign w:val="superscript"/>
        </w:rPr>
        <w:t>1039</w:t>
      </w:r>
      <w:r>
        <w:rPr>
          <w:color w:val="005DA1"/>
          <w:vertAlign w:val="baseline"/>
        </w:rPr>
        <w:t> </w:t>
      </w:r>
      <w:r>
        <w:rPr>
          <w:vertAlign w:val="baseline"/>
        </w:rPr>
        <w:t>whereas the function of damages in tort is to put the injured party in the position in which he would have been if the tort had not been committed. </w:t>
      </w:r>
      <w:r>
        <w:rPr>
          <w:color w:val="005DA1"/>
          <w:u w:val="single" w:color="005DA1"/>
          <w:vertAlign w:val="superscript"/>
        </w:rPr>
        <w:t>1040</w:t>
      </w:r>
      <w:r>
        <w:rPr>
          <w:color w:val="005DA1"/>
          <w:spacing w:val="44"/>
          <w:vertAlign w:val="baseline"/>
        </w:rPr>
        <w:t> </w:t>
      </w:r>
      <w:r>
        <w:rPr>
          <w:vertAlign w:val="baseline"/>
        </w:rPr>
        <w:t>Thus,</w:t>
      </w:r>
      <w:r>
        <w:rPr>
          <w:spacing w:val="45"/>
          <w:vertAlign w:val="baseline"/>
        </w:rPr>
        <w:t> </w:t>
      </w:r>
      <w:r>
        <w:rPr>
          <w:vertAlign w:val="baseline"/>
        </w:rPr>
        <w:t>damages</w:t>
      </w:r>
      <w:r>
        <w:rPr>
          <w:spacing w:val="45"/>
          <w:vertAlign w:val="baseline"/>
        </w:rPr>
        <w:t> </w:t>
      </w:r>
      <w:r>
        <w:rPr>
          <w:vertAlign w:val="baseline"/>
        </w:rPr>
        <w:t>for</w:t>
      </w:r>
      <w:r>
        <w:rPr>
          <w:spacing w:val="45"/>
          <w:vertAlign w:val="baseline"/>
        </w:rPr>
        <w:t> </w:t>
      </w:r>
      <w:r>
        <w:rPr>
          <w:vertAlign w:val="baseline"/>
        </w:rPr>
        <w:t>breach</w:t>
      </w:r>
      <w:r>
        <w:rPr>
          <w:spacing w:val="45"/>
          <w:vertAlign w:val="baseline"/>
        </w:rPr>
        <w:t> </w:t>
      </w:r>
      <w:r>
        <w:rPr>
          <w:vertAlign w:val="baseline"/>
        </w:rPr>
        <w:t>of</w:t>
      </w:r>
      <w:r>
        <w:rPr>
          <w:spacing w:val="45"/>
          <w:vertAlign w:val="baseline"/>
        </w:rPr>
        <w:t> </w:t>
      </w:r>
      <w:r>
        <w:rPr>
          <w:vertAlign w:val="baseline"/>
        </w:rPr>
        <w:t>warranty</w:t>
      </w:r>
      <w:r>
        <w:rPr>
          <w:spacing w:val="45"/>
          <w:vertAlign w:val="baseline"/>
        </w:rPr>
        <w:t> </w:t>
      </w:r>
      <w:r>
        <w:rPr>
          <w:vertAlign w:val="baseline"/>
        </w:rPr>
        <w:t>may</w:t>
      </w:r>
      <w:r>
        <w:rPr>
          <w:spacing w:val="45"/>
          <w:vertAlign w:val="baseline"/>
        </w:rPr>
        <w:t> </w:t>
      </w:r>
      <w:r>
        <w:rPr>
          <w:vertAlign w:val="baseline"/>
        </w:rPr>
        <w:t>give</w:t>
      </w:r>
      <w:r>
        <w:rPr>
          <w:spacing w:val="45"/>
          <w:vertAlign w:val="baseline"/>
        </w:rPr>
        <w:t> </w:t>
      </w:r>
      <w:r>
        <w:rPr>
          <w:vertAlign w:val="baseline"/>
        </w:rPr>
        <w:t>the</w:t>
      </w:r>
      <w:r>
        <w:rPr>
          <w:spacing w:val="45"/>
          <w:vertAlign w:val="baseline"/>
        </w:rPr>
        <w:t> </w:t>
      </w:r>
      <w:r>
        <w:rPr>
          <w:vertAlign w:val="baseline"/>
        </w:rPr>
        <w:t>claimant</w:t>
      </w:r>
      <w:r>
        <w:rPr>
          <w:spacing w:val="45"/>
          <w:vertAlign w:val="baseline"/>
        </w:rPr>
        <w:t> </w:t>
      </w:r>
      <w:r>
        <w:rPr>
          <w:vertAlign w:val="baseline"/>
        </w:rPr>
        <w:t>his</w:t>
      </w:r>
      <w:r>
        <w:rPr>
          <w:spacing w:val="44"/>
          <w:vertAlign w:val="baseline"/>
        </w:rPr>
        <w:t> </w:t>
      </w:r>
      <w:r>
        <w:rPr>
          <w:vertAlign w:val="baseline"/>
        </w:rPr>
        <w:t>lost</w:t>
      </w:r>
      <w:r>
        <w:rPr>
          <w:spacing w:val="45"/>
          <w:vertAlign w:val="baseline"/>
        </w:rPr>
        <w:t> </w:t>
      </w:r>
      <w:r>
        <w:rPr>
          <w:vertAlign w:val="baseline"/>
        </w:rPr>
        <w:t>bargain,</w:t>
      </w:r>
      <w:r>
        <w:rPr>
          <w:spacing w:val="44"/>
          <w:vertAlign w:val="baseline"/>
        </w:rPr>
        <w:t> </w:t>
      </w:r>
      <w:r>
        <w:rPr>
          <w:color w:val="005DA1"/>
          <w:u w:val="single" w:color="005DA1"/>
          <w:vertAlign w:val="superscript"/>
        </w:rPr>
        <w:t>1041</w:t>
      </w:r>
      <w:r>
        <w:rPr>
          <w:color w:val="005DA1"/>
          <w:spacing w:val="45"/>
          <w:vertAlign w:val="baseline"/>
        </w:rPr>
        <w:t> </w:t>
      </w:r>
      <w:r>
        <w:rPr>
          <w:spacing w:val="-2"/>
          <w:vertAlign w:val="baseline"/>
        </w:rPr>
        <w:t>whereas</w:t>
      </w:r>
    </w:p>
    <w:p>
      <w:pPr>
        <w:pStyle w:val="BodyText"/>
        <w:spacing w:line="235" w:lineRule="auto" w:before="118"/>
        <w:ind w:left="165" w:right="168"/>
        <w:jc w:val="both"/>
      </w:pPr>
      <w:r>
        <w:rPr/>
        <w:t>damages in the tort of deceit, </w:t>
      </w:r>
      <w:r>
        <w:rPr>
          <w:color w:val="005DA1"/>
          <w:u w:val="single" w:color="005DA1"/>
          <w:vertAlign w:val="superscript"/>
        </w:rPr>
        <w:t>1042</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31"/>
          <w:vertAlign w:val="baseline"/>
        </w:rPr>
        <w:t> </w:t>
      </w:r>
      <w:r>
        <w:rPr>
          <w:vertAlign w:val="baseline"/>
        </w:rPr>
        <w:t>negligent misstatement, </w:t>
      </w:r>
      <w:r>
        <w:rPr>
          <w:color w:val="005DA1"/>
          <w:u w:val="single" w:color="005DA1"/>
          <w:vertAlign w:val="superscript"/>
        </w:rPr>
        <w:t>1043</w:t>
      </w:r>
      <w:r>
        <w:rPr>
          <w:color w:val="005DA1"/>
          <w:vertAlign w:val="baseline"/>
        </w:rPr>
        <w:t> </w:t>
      </w:r>
      <w:r>
        <w:rPr>
          <w:vertAlign w:val="baseline"/>
        </w:rPr>
        <w:t>under s.2 of the </w:t>
      </w:r>
      <w:r>
        <w:rPr>
          <w:vertAlign w:val="baseline"/>
        </w:rPr>
        <w:t>Misrepresentation Act</w:t>
      </w:r>
      <w:r>
        <w:rPr>
          <w:spacing w:val="-2"/>
          <w:vertAlign w:val="baseline"/>
        </w:rPr>
        <w:t> </w:t>
      </w:r>
      <w:r>
        <w:rPr>
          <w:vertAlign w:val="baseline"/>
        </w:rPr>
        <w:t>1967</w:t>
      </w:r>
      <w:r>
        <w:rPr>
          <w:spacing w:val="-2"/>
          <w:vertAlign w:val="baseline"/>
        </w:rPr>
        <w:t> </w:t>
      </w:r>
      <w:r>
        <w:rPr>
          <w:color w:val="005DA1"/>
          <w:u w:val="single" w:color="005DA1"/>
          <w:vertAlign w:val="superscript"/>
        </w:rPr>
        <w:t>1044</w:t>
      </w:r>
      <w:r>
        <w:rPr>
          <w:color w:val="005DA1"/>
          <w:spacing w:val="-2"/>
          <w:vertAlign w:val="baseline"/>
        </w:rPr>
        <w:t> </w:t>
      </w:r>
      <w:r>
        <w:rPr>
          <w:vertAlign w:val="baseline"/>
        </w:rPr>
        <w:t>and</w:t>
      </w:r>
      <w:r>
        <w:rPr>
          <w:spacing w:val="-2"/>
          <w:vertAlign w:val="baseline"/>
        </w:rPr>
        <w:t> </w:t>
      </w:r>
      <w:r>
        <w:rPr>
          <w:vertAlign w:val="baseline"/>
        </w:rPr>
        <w:t>in</w:t>
      </w:r>
      <w:r>
        <w:rPr>
          <w:spacing w:val="-2"/>
          <w:vertAlign w:val="baseline"/>
        </w:rPr>
        <w:t> </w:t>
      </w:r>
      <w:r>
        <w:rPr>
          <w:vertAlign w:val="baseline"/>
        </w:rPr>
        <w:t>respect</w:t>
      </w:r>
      <w:r>
        <w:rPr>
          <w:spacing w:val="-2"/>
          <w:vertAlign w:val="baseline"/>
        </w:rPr>
        <w:t> </w:t>
      </w:r>
      <w:r>
        <w:rPr>
          <w:vertAlign w:val="baseline"/>
        </w:rPr>
        <w:t>of</w:t>
      </w:r>
      <w:r>
        <w:rPr>
          <w:spacing w:val="-2"/>
          <w:vertAlign w:val="baseline"/>
        </w:rPr>
        <w:t> </w:t>
      </w:r>
      <w:r>
        <w:rPr>
          <w:vertAlign w:val="baseline"/>
        </w:rPr>
        <w:t>“misleading</w:t>
      </w:r>
      <w:r>
        <w:rPr>
          <w:spacing w:val="-2"/>
          <w:vertAlign w:val="baseline"/>
        </w:rPr>
        <w:t> </w:t>
      </w:r>
      <w:r>
        <w:rPr>
          <w:vertAlign w:val="baseline"/>
        </w:rPr>
        <w:t>actions”</w:t>
      </w:r>
      <w:r>
        <w:rPr>
          <w:spacing w:val="-2"/>
          <w:vertAlign w:val="baseline"/>
        </w:rPr>
        <w:t> </w:t>
      </w:r>
      <w:r>
        <w:rPr>
          <w:vertAlign w:val="baseline"/>
        </w:rPr>
        <w:t>or</w:t>
      </w:r>
      <w:r>
        <w:rPr>
          <w:spacing w:val="-2"/>
          <w:vertAlign w:val="baseline"/>
        </w:rPr>
        <w:t> </w:t>
      </w:r>
      <w:r>
        <w:rPr>
          <w:vertAlign w:val="baseline"/>
        </w:rPr>
        <w:t>“aggressive</w:t>
      </w:r>
      <w:r>
        <w:rPr>
          <w:spacing w:val="-2"/>
          <w:vertAlign w:val="baseline"/>
        </w:rPr>
        <w:t> </w:t>
      </w:r>
      <w:r>
        <w:rPr>
          <w:vertAlign w:val="baseline"/>
        </w:rPr>
        <w:t>commercial</w:t>
      </w:r>
      <w:r>
        <w:rPr>
          <w:spacing w:val="-2"/>
          <w:vertAlign w:val="baseline"/>
        </w:rPr>
        <w:t> </w:t>
      </w:r>
      <w:r>
        <w:rPr>
          <w:vertAlign w:val="baseline"/>
        </w:rPr>
        <w:t>practices”</w:t>
      </w:r>
      <w:r>
        <w:rPr>
          <w:spacing w:val="-2"/>
          <w:vertAlign w:val="baseline"/>
        </w:rPr>
        <w:t> </w:t>
      </w:r>
      <w:r>
        <w:rPr>
          <w:color w:val="005DA1"/>
          <w:u w:val="single" w:color="005DA1"/>
          <w:vertAlign w:val="superscript"/>
        </w:rPr>
        <w:t>1045</w:t>
      </w:r>
      <w:r>
        <w:rPr>
          <w:color w:val="005DA1"/>
          <w:spacing w:val="-2"/>
          <w:vertAlign w:val="baseline"/>
        </w:rPr>
        <w:t> </w:t>
      </w:r>
      <w:r>
        <w:rPr>
          <w:vertAlign w:val="baseline"/>
        </w:rPr>
        <w:t>may</w:t>
      </w:r>
      <w:r>
        <w:rPr>
          <w:spacing w:val="-2"/>
          <w:vertAlign w:val="baseline"/>
        </w:rPr>
        <w:t> </w:t>
      </w:r>
      <w:r>
        <w:rPr>
          <w:vertAlign w:val="baseline"/>
        </w:rPr>
        <w:t>not, being</w:t>
      </w:r>
      <w:r>
        <w:rPr>
          <w:spacing w:val="15"/>
          <w:vertAlign w:val="baseline"/>
        </w:rPr>
        <w:t> </w:t>
      </w:r>
      <w:r>
        <w:rPr>
          <w:vertAlign w:val="baseline"/>
        </w:rPr>
        <w:t>instead</w:t>
      </w:r>
      <w:r>
        <w:rPr>
          <w:spacing w:val="15"/>
          <w:vertAlign w:val="baseline"/>
        </w:rPr>
        <w:t> </w:t>
      </w:r>
      <w:r>
        <w:rPr>
          <w:vertAlign w:val="baseline"/>
        </w:rPr>
        <w:t>restricted</w:t>
      </w:r>
      <w:r>
        <w:rPr>
          <w:spacing w:val="16"/>
          <w:vertAlign w:val="baseline"/>
        </w:rPr>
        <w:t> </w:t>
      </w:r>
      <w:r>
        <w:rPr>
          <w:vertAlign w:val="baseline"/>
        </w:rPr>
        <w:t>to</w:t>
      </w:r>
      <w:r>
        <w:rPr>
          <w:spacing w:val="15"/>
          <w:vertAlign w:val="baseline"/>
        </w:rPr>
        <w:t> </w:t>
      </w:r>
      <w:r>
        <w:rPr>
          <w:vertAlign w:val="baseline"/>
        </w:rPr>
        <w:t>what</w:t>
      </w:r>
      <w:r>
        <w:rPr>
          <w:spacing w:val="16"/>
          <w:vertAlign w:val="baseline"/>
        </w:rPr>
        <w:t> </w:t>
      </w:r>
      <w:r>
        <w:rPr>
          <w:vertAlign w:val="baseline"/>
        </w:rPr>
        <w:t>has</w:t>
      </w:r>
      <w:r>
        <w:rPr>
          <w:spacing w:val="15"/>
          <w:vertAlign w:val="baseline"/>
        </w:rPr>
        <w:t> </w:t>
      </w:r>
      <w:r>
        <w:rPr>
          <w:vertAlign w:val="baseline"/>
        </w:rPr>
        <w:t>been</w:t>
      </w:r>
      <w:r>
        <w:rPr>
          <w:spacing w:val="16"/>
          <w:vertAlign w:val="baseline"/>
        </w:rPr>
        <w:t> </w:t>
      </w:r>
      <w:r>
        <w:rPr>
          <w:vertAlign w:val="baseline"/>
        </w:rPr>
        <w:t>termed</w:t>
      </w:r>
      <w:r>
        <w:rPr>
          <w:spacing w:val="15"/>
          <w:vertAlign w:val="baseline"/>
        </w:rPr>
        <w:t> </w:t>
      </w:r>
      <w:r>
        <w:rPr>
          <w:vertAlign w:val="baseline"/>
        </w:rPr>
        <w:t>compensation</w:t>
      </w:r>
      <w:r>
        <w:rPr>
          <w:spacing w:val="16"/>
          <w:vertAlign w:val="baseline"/>
        </w:rPr>
        <w:t> </w:t>
      </w:r>
      <w:r>
        <w:rPr>
          <w:vertAlign w:val="baseline"/>
        </w:rPr>
        <w:t>of</w:t>
      </w:r>
      <w:r>
        <w:rPr>
          <w:spacing w:val="15"/>
          <w:vertAlign w:val="baseline"/>
        </w:rPr>
        <w:t> </w:t>
      </w:r>
      <w:r>
        <w:rPr>
          <w:vertAlign w:val="baseline"/>
        </w:rPr>
        <w:t>his</w:t>
      </w:r>
      <w:r>
        <w:rPr>
          <w:spacing w:val="15"/>
          <w:vertAlign w:val="baseline"/>
        </w:rPr>
        <w:t> </w:t>
      </w:r>
      <w:r>
        <w:rPr>
          <w:vertAlign w:val="baseline"/>
        </w:rPr>
        <w:t>“status</w:t>
      </w:r>
      <w:r>
        <w:rPr>
          <w:spacing w:val="16"/>
          <w:vertAlign w:val="baseline"/>
        </w:rPr>
        <w:t> </w:t>
      </w:r>
      <w:r>
        <w:rPr>
          <w:vertAlign w:val="baseline"/>
        </w:rPr>
        <w:t>quo</w:t>
      </w:r>
      <w:r>
        <w:rPr>
          <w:spacing w:val="15"/>
          <w:vertAlign w:val="baseline"/>
        </w:rPr>
        <w:t> </w:t>
      </w:r>
      <w:r>
        <w:rPr>
          <w:vertAlign w:val="baseline"/>
        </w:rPr>
        <w:t>interest”.</w:t>
      </w:r>
      <w:r>
        <w:rPr>
          <w:spacing w:val="14"/>
          <w:vertAlign w:val="baseline"/>
        </w:rPr>
        <w:t> </w:t>
      </w:r>
      <w:r>
        <w:rPr>
          <w:color w:val="005DA1"/>
          <w:u w:val="single" w:color="005DA1"/>
          <w:vertAlign w:val="superscript"/>
        </w:rPr>
        <w:t>1046</w:t>
      </w:r>
      <w:r>
        <w:rPr>
          <w:color w:val="005DA1"/>
          <w:spacing w:val="14"/>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t>tests of remoteness of damage in contract and in tort are apparently different </w:t>
      </w:r>
      <w:r>
        <w:rPr>
          <w:color w:val="005DA1"/>
          <w:u w:val="single" w:color="005DA1"/>
          <w:vertAlign w:val="superscript"/>
        </w:rPr>
        <w:t>1047</w:t>
      </w:r>
      <w:r>
        <w:rPr>
          <w:color w:val="005DA1"/>
          <w:vertAlign w:val="baseline"/>
        </w:rPr>
        <w:t> </w:t>
      </w:r>
      <w:r>
        <w:rPr>
          <w:vertAlign w:val="baseline"/>
        </w:rPr>
        <w:t>and in general the defence of contributory negligence does not apply to claims in contract, though it is now </w:t>
      </w:r>
      <w:r>
        <w:rPr>
          <w:vertAlign w:val="baseline"/>
        </w:rPr>
        <w:t>established that the court may reduce a claimant’s damages for breach of contract on this ground if his claim is based on breach of a contractual duty to take reasonable care, concurrent with liability in the tort of negligence. </w:t>
      </w:r>
      <w:r>
        <w:rPr>
          <w:color w:val="005DA1"/>
          <w:u w:val="single" w:color="005DA1"/>
          <w:vertAlign w:val="superscript"/>
        </w:rPr>
        <w:t>1048</w:t>
      </w:r>
    </w:p>
    <w:p>
      <w:pPr>
        <w:pStyle w:val="BodyText"/>
        <w:spacing w:before="80"/>
      </w:pPr>
    </w:p>
    <w:p>
      <w:pPr>
        <w:spacing w:before="0"/>
        <w:ind w:left="165" w:right="0" w:firstLine="0"/>
        <w:jc w:val="left"/>
        <w:rPr>
          <w:rFonts w:ascii="Arial"/>
          <w:b/>
          <w:sz w:val="24"/>
        </w:rPr>
      </w:pPr>
      <w:r>
        <w:rPr>
          <w:rFonts w:ascii="Arial"/>
          <w:b/>
          <w:sz w:val="24"/>
        </w:rPr>
        <w:t>1-</w:t>
      </w:r>
      <w:r>
        <w:rPr>
          <w:rFonts w:ascii="Arial"/>
          <w:b/>
          <w:spacing w:val="-5"/>
          <w:sz w:val="24"/>
        </w:rPr>
        <w:t>151</w:t>
      </w:r>
    </w:p>
    <w:p>
      <w:pPr>
        <w:pStyle w:val="BodyText"/>
        <w:spacing w:line="235" w:lineRule="auto" w:before="202"/>
        <w:ind w:left="164" w:right="166"/>
        <w:jc w:val="both"/>
      </w:pPr>
      <w:r>
        <w:rPr/>
        <w:t>Other differences in the heads of damages available in contract and in tort are often to be based on circumstances other than the mere classification of the liability in issue. Thus, whereas </w:t>
      </w:r>
      <w:r>
        <w:rPr/>
        <w:t>nominal damages are always possible in an award in contract, it would appear that they are only available in tort if it is actionable per se. </w:t>
      </w:r>
      <w:r>
        <w:rPr>
          <w:color w:val="005DA1"/>
          <w:u w:val="single" w:color="005DA1"/>
          <w:vertAlign w:val="superscript"/>
        </w:rPr>
        <w:t>1049</w:t>
      </w:r>
      <w:r>
        <w:rPr>
          <w:color w:val="005DA1"/>
          <w:vertAlign w:val="baseline"/>
        </w:rPr>
        <w:t> </w:t>
      </w:r>
      <w:r>
        <w:rPr>
          <w:vertAlign w:val="baseline"/>
        </w:rPr>
        <w:t>Punitive or exemplary damages are sometimes said to be possible in tort, but not in contract, </w:t>
      </w:r>
      <w:r>
        <w:rPr>
          <w:color w:val="005DA1"/>
          <w:u w:val="single" w:color="005DA1"/>
          <w:vertAlign w:val="superscript"/>
        </w:rPr>
        <w:t>1050</w:t>
      </w:r>
      <w:r>
        <w:rPr>
          <w:color w:val="005DA1"/>
          <w:vertAlign w:val="baseline"/>
        </w:rPr>
        <w:t> </w:t>
      </w:r>
      <w:r>
        <w:rPr>
          <w:vertAlign w:val="baseline"/>
        </w:rPr>
        <w:t>though the exceptional circumstances in which they are permitted in tort are usually inapplicable to the contractual context. </w:t>
      </w:r>
      <w:r>
        <w:rPr>
          <w:color w:val="005DA1"/>
          <w:u w:val="single" w:color="005DA1"/>
          <w:vertAlign w:val="superscript"/>
        </w:rPr>
        <w:t>1051</w:t>
      </w:r>
      <w:r>
        <w:rPr>
          <w:color w:val="005DA1"/>
          <w:vertAlign w:val="baseline"/>
        </w:rPr>
        <w:t> </w:t>
      </w:r>
      <w:r>
        <w:rPr>
          <w:vertAlign w:val="baseline"/>
        </w:rPr>
        <w:t>Similarly, damages for injured feelings or mental distress not consequential on the claimant’s own physical injury are very closely, if differently, circumscribed both in tort </w:t>
      </w:r>
      <w:r>
        <w:rPr>
          <w:color w:val="005DA1"/>
          <w:u w:val="single" w:color="005DA1"/>
          <w:vertAlign w:val="superscript"/>
        </w:rPr>
        <w:t>1052</w:t>
      </w:r>
      <w:r>
        <w:rPr>
          <w:color w:val="005DA1"/>
          <w:vertAlign w:val="baseline"/>
        </w:rPr>
        <w:t> </w:t>
      </w:r>
      <w:r>
        <w:rPr>
          <w:vertAlign w:val="baseline"/>
        </w:rPr>
        <w:t>and in contract, </w:t>
      </w:r>
      <w:r>
        <w:rPr>
          <w:color w:val="005DA1"/>
          <w:u w:val="single" w:color="005DA1"/>
          <w:vertAlign w:val="superscript"/>
        </w:rPr>
        <w:t>1053</w:t>
      </w:r>
      <w:r>
        <w:rPr>
          <w:color w:val="005DA1"/>
          <w:vertAlign w:val="baseline"/>
        </w:rPr>
        <w:t> </w:t>
      </w:r>
      <w:r>
        <w:rPr>
          <w:vertAlign w:val="baseline"/>
        </w:rPr>
        <w:t>though there remains some authority which excludes them entirely from liability in contract. </w:t>
      </w:r>
      <w:r>
        <w:rPr>
          <w:color w:val="005DA1"/>
          <w:u w:val="single" w:color="005DA1"/>
          <w:vertAlign w:val="superscript"/>
        </w:rPr>
        <w:t>1054</w:t>
      </w:r>
      <w:r>
        <w:rPr>
          <w:color w:val="005DA1"/>
          <w:vertAlign w:val="baseline"/>
        </w:rPr>
        <w:t> </w:t>
      </w:r>
      <w:r>
        <w:rPr>
          <w:vertAlign w:val="baseline"/>
        </w:rPr>
        <w:t>Traditionally, it was sometimes said that damages for loss of reputation are not available in contract in contrast to tort, </w:t>
      </w:r>
      <w:r>
        <w:rPr>
          <w:color w:val="005DA1"/>
          <w:u w:val="single" w:color="005DA1"/>
          <w:vertAlign w:val="superscript"/>
        </w:rPr>
        <w:t>1055</w:t>
      </w:r>
      <w:r>
        <w:rPr>
          <w:color w:val="005DA1"/>
          <w:vertAlign w:val="baseline"/>
        </w:rPr>
        <w:t> </w:t>
      </w:r>
      <w:r>
        <w:rPr>
          <w:vertAlign w:val="baseline"/>
        </w:rPr>
        <w:t>but there were conflicting decisions on this point, </w:t>
      </w:r>
      <w:r>
        <w:rPr>
          <w:color w:val="005DA1"/>
          <w:u w:val="single" w:color="005DA1"/>
          <w:vertAlign w:val="superscript"/>
        </w:rPr>
        <w:t>1056</w:t>
      </w:r>
      <w:r>
        <w:rPr>
          <w:color w:val="005DA1"/>
          <w:vertAlign w:val="baseline"/>
        </w:rPr>
        <w:t> </w:t>
      </w:r>
      <w:r>
        <w:rPr>
          <w:vertAlign w:val="baseline"/>
        </w:rPr>
        <w:t>and some cases clearly recognised such a recovery in contract in appropriate cases, such as injury to a trader whose business reputation is affected by the breach </w:t>
      </w:r>
      <w:r>
        <w:rPr>
          <w:color w:val="005DA1"/>
          <w:u w:val="single" w:color="005DA1"/>
          <w:vertAlign w:val="superscript"/>
        </w:rPr>
        <w:t>1057</w:t>
      </w:r>
      <w:r>
        <w:rPr>
          <w:color w:val="005DA1"/>
          <w:vertAlign w:val="baseline"/>
        </w:rPr>
        <w:t> </w:t>
      </w:r>
      <w:r>
        <w:rPr>
          <w:vertAlign w:val="baseline"/>
        </w:rPr>
        <w:t>and where the contract can be said to be for the maintenance or promotion of the claimant’s reputation. </w:t>
      </w:r>
      <w:r>
        <w:rPr>
          <w:color w:val="005DA1"/>
          <w:u w:val="single" w:color="005DA1"/>
          <w:vertAlign w:val="superscript"/>
        </w:rPr>
        <w:t>1058</w:t>
      </w:r>
      <w:r>
        <w:rPr>
          <w:color w:val="005DA1"/>
          <w:vertAlign w:val="baseline"/>
        </w:rPr>
        <w:t> </w:t>
      </w:r>
      <w:r>
        <w:rPr>
          <w:vertAlign w:val="baseline"/>
        </w:rPr>
        <w:t>Moreover, in </w:t>
      </w:r>
      <w:r>
        <w:rPr>
          <w:rFonts w:ascii="Arial" w:hAnsi="Arial"/>
          <w:i/>
          <w:vertAlign w:val="baseline"/>
        </w:rPr>
        <w:t>Mahmud v Bank of Credit and Commerce International SA (In Liquidation)</w:t>
      </w:r>
      <w:r>
        <w:rPr>
          <w:vertAlign w:val="baseline"/>
        </w:rPr>
        <w:t>, </w:t>
      </w:r>
      <w:r>
        <w:rPr>
          <w:color w:val="005DA1"/>
          <w:u w:val="single" w:color="005DA1"/>
          <w:vertAlign w:val="superscript"/>
        </w:rPr>
        <w:t>1059</w:t>
      </w:r>
      <w:r>
        <w:rPr>
          <w:color w:val="005DA1"/>
          <w:vertAlign w:val="baseline"/>
        </w:rPr>
        <w:t> </w:t>
      </w:r>
      <w:r>
        <w:rPr>
          <w:vertAlign w:val="baseline"/>
        </w:rPr>
        <w:t>the House of Lords allowed recovery by two former employees for damage to their employment prospects by breach of their employer’s obligation not to damage the relationship of trust between employer and employee, seeing this as an example of the general rule allowing recovery for financial harm caused by breach of contract (as opposed to caused by the manner in which the contract was breached). </w:t>
      </w:r>
      <w:r>
        <w:rPr>
          <w:color w:val="005DA1"/>
          <w:u w:val="single" w:color="005DA1"/>
          <w:vertAlign w:val="superscript"/>
        </w:rPr>
        <w:t>1060</w:t>
      </w:r>
    </w:p>
    <w:p>
      <w:pPr>
        <w:pStyle w:val="BodyText"/>
      </w:pPr>
    </w:p>
    <w:p>
      <w:pPr>
        <w:pStyle w:val="BodyText"/>
        <w:spacing w:before="32"/>
      </w:pPr>
    </w:p>
    <w:p>
      <w:pPr>
        <w:spacing w:before="0"/>
        <w:ind w:left="165" w:right="0" w:firstLine="0"/>
        <w:jc w:val="left"/>
        <w:rPr>
          <w:rFonts w:ascii="Arial"/>
          <w:b/>
          <w:sz w:val="18"/>
        </w:rPr>
      </w:pPr>
      <w:r>
        <w:rPr>
          <w:rFonts w:ascii="Arial"/>
          <w:b/>
          <w:sz w:val="18"/>
        </w:rPr>
        <w:t>Limitation of </w:t>
      </w:r>
      <w:r>
        <w:rPr>
          <w:rFonts w:ascii="Arial"/>
          <w:b/>
          <w:spacing w:val="-2"/>
          <w:sz w:val="18"/>
        </w:rPr>
        <w:t>actions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152</w:t>
      </w:r>
    </w:p>
    <w:p>
      <w:pPr>
        <w:pStyle w:val="BodyText"/>
        <w:spacing w:line="235" w:lineRule="auto" w:before="203"/>
        <w:ind w:left="165" w:right="167"/>
        <w:jc w:val="both"/>
      </w:pPr>
      <w:r>
        <w:rPr/>
        <w:t>Although the Limitation Act 1980 </w:t>
      </w:r>
      <w:r>
        <w:rPr>
          <w:color w:val="005DA1"/>
          <w:u w:val="single" w:color="005DA1"/>
          <w:vertAlign w:val="superscript"/>
        </w:rPr>
        <w:t>1061</w:t>
      </w:r>
      <w:r>
        <w:rPr>
          <w:color w:val="005DA1"/>
          <w:vertAlign w:val="baseline"/>
        </w:rPr>
        <w:t> </w:t>
      </w:r>
      <w:r>
        <w:rPr>
          <w:vertAlign w:val="baseline"/>
        </w:rPr>
        <w:t>provides an identical period of six years </w:t>
      </w:r>
      <w:r>
        <w:rPr>
          <w:color w:val="005DA1"/>
          <w:u w:val="single" w:color="005DA1"/>
          <w:vertAlign w:val="superscript"/>
        </w:rPr>
        <w:t>1062</w:t>
      </w:r>
      <w:r>
        <w:rPr>
          <w:color w:val="005DA1"/>
          <w:vertAlign w:val="baseline"/>
        </w:rPr>
        <w:t> </w:t>
      </w:r>
      <w:r>
        <w:rPr>
          <w:vertAlign w:val="baseline"/>
        </w:rPr>
        <w:t>for actions </w:t>
      </w:r>
      <w:r>
        <w:rPr>
          <w:vertAlign w:val="baseline"/>
        </w:rPr>
        <w:t>founded on simple contract or on tort, the period begins to run “from the date on which the cause of action accrued”. </w:t>
      </w:r>
      <w:r>
        <w:rPr>
          <w:color w:val="005DA1"/>
          <w:u w:val="single" w:color="005DA1"/>
          <w:vertAlign w:val="superscript"/>
        </w:rPr>
        <w:t>1063</w:t>
      </w:r>
      <w:r>
        <w:rPr>
          <w:color w:val="005DA1"/>
          <w:vertAlign w:val="baseline"/>
        </w:rPr>
        <w:t> </w:t>
      </w:r>
      <w:r>
        <w:rPr>
          <w:vertAlign w:val="baseline"/>
        </w:rPr>
        <w:t>This may vary according to whether the action is framed in tort, contract or restitution. </w:t>
      </w:r>
      <w:r>
        <w:rPr>
          <w:color w:val="005DA1"/>
          <w:u w:val="single" w:color="005DA1"/>
          <w:vertAlign w:val="superscript"/>
        </w:rPr>
        <w:t>1064</w:t>
      </w:r>
      <w:r>
        <w:rPr>
          <w:color w:val="005DA1"/>
          <w:vertAlign w:val="baseline"/>
        </w:rPr>
        <w:t> </w:t>
      </w:r>
      <w:r>
        <w:rPr>
          <w:vertAlign w:val="baseline"/>
        </w:rPr>
        <w:t>For example, in contract the cause of action accrues when the breach of contract takes place, not when the damage occurs or is discovered. </w:t>
      </w:r>
      <w:r>
        <w:rPr>
          <w:color w:val="005DA1"/>
          <w:u w:val="single" w:color="005DA1"/>
          <w:vertAlign w:val="superscript"/>
        </w:rPr>
        <w:t>1065</w:t>
      </w:r>
      <w:r>
        <w:rPr>
          <w:color w:val="005DA1"/>
          <w:vertAlign w:val="baseline"/>
        </w:rPr>
        <w:t> </w:t>
      </w:r>
      <w:r>
        <w:rPr>
          <w:vertAlign w:val="baseline"/>
        </w:rPr>
        <w:t>But, in the tort of negligence, the cause of action accrues when damage occurs, and not at the time of the act or default giving rise to the claim. </w:t>
      </w:r>
      <w:r>
        <w:rPr>
          <w:color w:val="005DA1"/>
          <w:u w:val="single" w:color="005DA1"/>
          <w:vertAlign w:val="superscript"/>
        </w:rPr>
        <w:t>1066</w:t>
      </w:r>
      <w:r>
        <w:rPr>
          <w:color w:val="005DA1"/>
          <w:vertAlign w:val="baseline"/>
        </w:rPr>
        <w:t> </w:t>
      </w:r>
      <w:r>
        <w:rPr>
          <w:vertAlign w:val="baseline"/>
        </w:rPr>
        <w:t>However, the practical effect of this rule was reduced by the provision of the Latent Damage Act</w:t>
      </w:r>
      <w:r>
        <w:rPr>
          <w:spacing w:val="40"/>
          <w:vertAlign w:val="baseline"/>
        </w:rPr>
        <w:t> </w:t>
      </w:r>
      <w:r>
        <w:rPr>
          <w:vertAlign w:val="baseline"/>
        </w:rPr>
        <w:t>1986, which provides </w:t>
      </w:r>
      <w:r>
        <w:rPr>
          <w:color w:val="005DA1"/>
          <w:u w:val="single" w:color="005DA1"/>
          <w:vertAlign w:val="superscript"/>
        </w:rPr>
        <w:t>1067</w:t>
      </w:r>
      <w:r>
        <w:rPr>
          <w:color w:val="005DA1"/>
          <w:vertAlign w:val="baseline"/>
        </w:rPr>
        <w:t> </w:t>
      </w:r>
      <w:r>
        <w:rPr>
          <w:vertAlign w:val="baseline"/>
        </w:rPr>
        <w:t>that:</w:t>
      </w:r>
    </w:p>
    <w:p>
      <w:pPr>
        <w:pStyle w:val="BodyText"/>
      </w:pPr>
    </w:p>
    <w:p>
      <w:pPr>
        <w:pStyle w:val="BodyText"/>
        <w:spacing w:before="123"/>
      </w:pPr>
    </w:p>
    <w:p>
      <w:pPr>
        <w:pStyle w:val="BodyText"/>
        <w:spacing w:line="235" w:lineRule="auto"/>
        <w:ind w:left="1245" w:right="167"/>
        <w:jc w:val="both"/>
      </w:pPr>
      <w:r>
        <w:rPr/>
        <w:t>“… actions for damages for negligence in respect of latent damage not involving </w:t>
      </w:r>
      <w:r>
        <w:rPr/>
        <w:t>personal injuries may be brought for a period of three years after the discovery of the damage by the plaintiff even if this is after six years after accrual of the cause of action.”</w:t>
      </w:r>
    </w:p>
    <w:p>
      <w:pPr>
        <w:pStyle w:val="BodyText"/>
        <w:spacing w:before="116"/>
      </w:pPr>
    </w:p>
    <w:p>
      <w:pPr>
        <w:pStyle w:val="BodyText"/>
        <w:spacing w:line="235" w:lineRule="auto"/>
        <w:ind w:left="165" w:right="167"/>
        <w:jc w:val="both"/>
      </w:pPr>
      <w:r>
        <w:rPr/>
        <w:t>This provision has created its own distinction between claims in contract and in tort, as it has </w:t>
      </w:r>
      <w:r>
        <w:rPr/>
        <w:t>been held that the term </w:t>
      </w:r>
      <w:r>
        <w:rPr>
          <w:rFonts w:ascii="Arial"/>
          <w:i/>
        </w:rPr>
        <w:t>"negligence actions"</w:t>
      </w:r>
      <w:r>
        <w:rPr>
          <w:rFonts w:ascii="Arial"/>
          <w:i/>
          <w:spacing w:val="40"/>
        </w:rPr>
        <w:t> </w:t>
      </w:r>
      <w:r>
        <w:rPr/>
        <w:t>for this purpose does not include actions for breach of a contractual obligation to take reasonable care, even where this is concurrent with an action for</w:t>
      </w:r>
      <w:r>
        <w:rPr>
          <w:spacing w:val="40"/>
        </w:rPr>
        <w:t> </w:t>
      </w:r>
      <w:r>
        <w:rPr/>
        <w:t>tortious negligence. </w:t>
      </w:r>
      <w:r>
        <w:rPr>
          <w:color w:val="005DA1"/>
          <w:u w:val="single" w:color="005DA1"/>
          <w:vertAlign w:val="superscript"/>
        </w:rPr>
        <w:t>1068</w:t>
      </w:r>
    </w:p>
    <w:p>
      <w:pPr>
        <w:pStyle w:val="BodyText"/>
      </w:pPr>
    </w:p>
    <w:p>
      <w:pPr>
        <w:pStyle w:val="BodyText"/>
        <w:spacing w:before="37"/>
      </w:pPr>
    </w:p>
    <w:p>
      <w:pPr>
        <w:spacing w:before="0"/>
        <w:ind w:left="165" w:right="0" w:firstLine="0"/>
        <w:jc w:val="left"/>
        <w:rPr>
          <w:rFonts w:ascii="Arial"/>
          <w:b/>
          <w:sz w:val="18"/>
        </w:rPr>
      </w:pPr>
      <w:r>
        <w:rPr>
          <w:rFonts w:ascii="Arial"/>
          <w:b/>
          <w:sz w:val="18"/>
        </w:rPr>
        <w:t>Other </w:t>
      </w:r>
      <w:r>
        <w:rPr>
          <w:rFonts w:ascii="Arial"/>
          <w:b/>
          <w:spacing w:val="-2"/>
          <w:sz w:val="18"/>
        </w:rPr>
        <w:t>differences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153</w:t>
      </w:r>
    </w:p>
    <w:p>
      <w:pPr>
        <w:pStyle w:val="BodyText"/>
        <w:spacing w:line="235" w:lineRule="auto" w:before="202"/>
        <w:ind w:left="165" w:right="167"/>
        <w:jc w:val="both"/>
      </w:pPr>
      <w:r>
        <w:rPr/>
        <w:t>A contractual right, for example, to a certain sum due under a contract, can generally be assigned,</w:t>
      </w:r>
      <w:r>
        <w:rPr>
          <w:spacing w:val="80"/>
        </w:rPr>
        <w:t> </w:t>
      </w:r>
      <w:r>
        <w:rPr/>
        <w:t>but</w:t>
      </w:r>
      <w:r>
        <w:rPr>
          <w:spacing w:val="35"/>
        </w:rPr>
        <w:t> </w:t>
      </w:r>
      <w:r>
        <w:rPr/>
        <w:t>a</w:t>
      </w:r>
      <w:r>
        <w:rPr>
          <w:spacing w:val="36"/>
        </w:rPr>
        <w:t> </w:t>
      </w:r>
      <w:r>
        <w:rPr/>
        <w:t>right</w:t>
      </w:r>
      <w:r>
        <w:rPr>
          <w:spacing w:val="36"/>
        </w:rPr>
        <w:t> </w:t>
      </w:r>
      <w:r>
        <w:rPr/>
        <w:t>of</w:t>
      </w:r>
      <w:r>
        <w:rPr>
          <w:spacing w:val="35"/>
        </w:rPr>
        <w:t> </w:t>
      </w:r>
      <w:r>
        <w:rPr/>
        <w:t>action</w:t>
      </w:r>
      <w:r>
        <w:rPr>
          <w:spacing w:val="36"/>
        </w:rPr>
        <w:t> </w:t>
      </w:r>
      <w:r>
        <w:rPr/>
        <w:t>in</w:t>
      </w:r>
      <w:r>
        <w:rPr>
          <w:spacing w:val="36"/>
        </w:rPr>
        <w:t> </w:t>
      </w:r>
      <w:r>
        <w:rPr/>
        <w:t>tort</w:t>
      </w:r>
      <w:r>
        <w:rPr>
          <w:spacing w:val="36"/>
        </w:rPr>
        <w:t> </w:t>
      </w:r>
      <w:r>
        <w:rPr/>
        <w:t>generally</w:t>
      </w:r>
      <w:r>
        <w:rPr>
          <w:spacing w:val="35"/>
        </w:rPr>
        <w:t> </w:t>
      </w:r>
      <w:r>
        <w:rPr/>
        <w:t>cannot.</w:t>
      </w:r>
      <w:r>
        <w:rPr>
          <w:spacing w:val="35"/>
        </w:rPr>
        <w:t> </w:t>
      </w:r>
      <w:r>
        <w:rPr>
          <w:color w:val="005DA1"/>
          <w:u w:val="single" w:color="005DA1"/>
          <w:vertAlign w:val="superscript"/>
        </w:rPr>
        <w:t>1069</w:t>
      </w:r>
      <w:r>
        <w:rPr>
          <w:color w:val="005DA1"/>
          <w:spacing w:val="35"/>
          <w:vertAlign w:val="baseline"/>
        </w:rPr>
        <w:t> </w:t>
      </w:r>
      <w:r>
        <w:rPr>
          <w:vertAlign w:val="baseline"/>
        </w:rPr>
        <w:t>The</w:t>
      </w:r>
      <w:r>
        <w:rPr>
          <w:spacing w:val="35"/>
          <w:vertAlign w:val="baseline"/>
        </w:rPr>
        <w:t> </w:t>
      </w:r>
      <w:r>
        <w:rPr>
          <w:vertAlign w:val="baseline"/>
        </w:rPr>
        <w:t>rules</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conflict</w:t>
      </w:r>
      <w:r>
        <w:rPr>
          <w:spacing w:val="35"/>
          <w:vertAlign w:val="baseline"/>
        </w:rPr>
        <w:t> </w:t>
      </w:r>
      <w:r>
        <w:rPr>
          <w:vertAlign w:val="baseline"/>
        </w:rPr>
        <w:t>of</w:t>
      </w:r>
      <w:r>
        <w:rPr>
          <w:spacing w:val="36"/>
          <w:vertAlign w:val="baseline"/>
        </w:rPr>
        <w:t> </w:t>
      </w:r>
      <w:r>
        <w:rPr>
          <w:vertAlign w:val="baseline"/>
        </w:rPr>
        <w:t>laws</w:t>
      </w:r>
      <w:r>
        <w:rPr>
          <w:spacing w:val="36"/>
          <w:vertAlign w:val="baseline"/>
        </w:rPr>
        <w:t> </w:t>
      </w:r>
      <w:r>
        <w:rPr>
          <w:vertAlign w:val="baseline"/>
        </w:rPr>
        <w:t>governing</w:t>
      </w:r>
      <w:r>
        <w:rPr>
          <w:spacing w:val="35"/>
          <w:vertAlign w:val="baseline"/>
        </w:rPr>
        <w:t> </w:t>
      </w:r>
      <w:r>
        <w:rPr>
          <w:spacing w:val="-4"/>
          <w:vertAlign w:val="baseline"/>
        </w:rPr>
        <w:t>both</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1828" w:id="1830"/>
      <w:bookmarkEnd w:id="1830"/>
      <w:r>
        <w:rPr/>
      </w:r>
      <w:r>
        <w:rPr/>
        <w:t>jurisdiction </w:t>
      </w:r>
      <w:r>
        <w:rPr>
          <w:color w:val="005DA1"/>
          <w:u w:val="single" w:color="005DA1"/>
          <w:vertAlign w:val="superscript"/>
        </w:rPr>
        <w:t>1070</w:t>
      </w:r>
      <w:r>
        <w:rPr>
          <w:color w:val="005DA1"/>
          <w:vertAlign w:val="baseline"/>
        </w:rPr>
        <w:t> </w:t>
      </w:r>
      <w:r>
        <w:rPr>
          <w:vertAlign w:val="baseline"/>
        </w:rPr>
        <w:t>and applicable law are different in matters relating to tort and to contract. </w:t>
      </w:r>
      <w:r>
        <w:rPr>
          <w:color w:val="005DA1"/>
          <w:u w:val="single" w:color="005DA1"/>
          <w:vertAlign w:val="superscript"/>
        </w:rPr>
        <w:t>1071</w:t>
      </w:r>
      <w:r>
        <w:rPr>
          <w:color w:val="005DA1"/>
          <w:vertAlign w:val="baseline"/>
        </w:rPr>
        <w:t> </w:t>
      </w:r>
      <w:r>
        <w:rPr>
          <w:vertAlign w:val="baseline"/>
        </w:rPr>
        <w:t>The law governing the capacity of parties may be different: so, for example, a minor is in principle liable for </w:t>
      </w:r>
      <w:r>
        <w:rPr>
          <w:vertAlign w:val="baseline"/>
        </w:rPr>
        <w:t>his torts, but only to a limited extent on his contracts. </w:t>
      </w:r>
      <w:r>
        <w:rPr>
          <w:color w:val="005DA1"/>
          <w:u w:val="single" w:color="005DA1"/>
          <w:vertAlign w:val="superscript"/>
        </w:rPr>
        <w:t>1072</w:t>
      </w:r>
      <w:r>
        <w:rPr>
          <w:color w:val="005DA1"/>
          <w:vertAlign w:val="baseline"/>
        </w:rPr>
        <w:t> </w:t>
      </w:r>
      <w:r>
        <w:rPr>
          <w:vertAlign w:val="baseline"/>
        </w:rPr>
        <w:t>Statutory provisions sometimes distinguish according to rights arising out of a contract, and other rights (which would include tort) though this appears to be a diminishing practice. </w:t>
      </w:r>
      <w:r>
        <w:rPr>
          <w:color w:val="005DA1"/>
          <w:u w:val="single" w:color="005DA1"/>
          <w:vertAlign w:val="superscript"/>
        </w:rPr>
        <w:t>1073</w:t>
      </w:r>
    </w:p>
    <w:p>
      <w:pPr>
        <w:pStyle w:val="BodyText"/>
      </w:pPr>
    </w:p>
    <w:p>
      <w:pPr>
        <w:pStyle w:val="BodyText"/>
        <w:spacing w:before="38"/>
      </w:pPr>
      <w:r>
        <w:rPr/>
        <mc:AlternateContent>
          <mc:Choice Requires="wps">
            <w:drawing>
              <wp:anchor distT="0" distB="0" distL="0" distR="0" allowOverlap="1" layoutInCell="1" locked="0" behindDoc="1" simplePos="0" relativeHeight="487689728">
                <wp:simplePos x="0" y="0"/>
                <wp:positionH relativeFrom="page">
                  <wp:posOffset>914400</wp:posOffset>
                </wp:positionH>
                <wp:positionV relativeFrom="paragraph">
                  <wp:posOffset>185729</wp:posOffset>
                </wp:positionV>
                <wp:extent cx="5724525" cy="1270"/>
                <wp:effectExtent l="0" t="0" r="0" b="0"/>
                <wp:wrapTopAndBottom/>
                <wp:docPr id="438" name="Graphic 438"/>
                <wp:cNvGraphicFramePr>
                  <a:graphicFrameLocks/>
                </wp:cNvGraphicFramePr>
                <a:graphic>
                  <a:graphicData uri="http://schemas.microsoft.com/office/word/2010/wordprocessingShape">
                    <wps:wsp>
                      <wps:cNvPr id="438" name="Graphic 43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4402pt;width:450.75pt;height:.1pt;mso-position-horizontal-relative:page;mso-position-vertical-relative:paragraph;z-index:-15626752;mso-wrap-distance-left:0;mso-wrap-distance-right:0" id="docshape73" coordorigin="1440,292" coordsize="9015,0" path="m1440,292l10454,292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344" w:hRule="atLeast"/>
        </w:trPr>
        <w:tc>
          <w:tcPr>
            <w:tcW w:w="496" w:type="dxa"/>
          </w:tcPr>
          <w:p>
            <w:pPr>
              <w:pStyle w:val="TableParagraph"/>
              <w:spacing w:before="0"/>
              <w:ind w:left="0" w:right="43"/>
              <w:rPr>
                <w:sz w:val="14"/>
              </w:rPr>
            </w:pPr>
            <w:r>
              <w:rPr>
                <w:color w:val="005DA1"/>
                <w:spacing w:val="-2"/>
                <w:sz w:val="14"/>
                <w:u w:val="single" w:color="005DA1"/>
              </w:rPr>
              <w:t>1009</w:t>
            </w:r>
            <w:r>
              <w:rPr>
                <w:spacing w:val="-2"/>
                <w:sz w:val="14"/>
              </w:rPr>
              <w:t>.</w:t>
            </w:r>
          </w:p>
        </w:tc>
        <w:tc>
          <w:tcPr>
            <w:tcW w:w="8621" w:type="dxa"/>
          </w:tcPr>
          <w:p>
            <w:pPr>
              <w:pStyle w:val="TableParagraph"/>
              <w:spacing w:line="223" w:lineRule="exact" w:before="0"/>
              <w:jc w:val="left"/>
              <w:rPr>
                <w:sz w:val="20"/>
              </w:rPr>
            </w:pPr>
            <w:r>
              <w:rPr>
                <w:sz w:val="20"/>
              </w:rPr>
              <w:t>Addison,</w:t>
            </w:r>
            <w:r>
              <w:rPr>
                <w:spacing w:val="-2"/>
                <w:sz w:val="20"/>
              </w:rPr>
              <w:t> </w:t>
            </w:r>
            <w:r>
              <w:rPr>
                <w:rFonts w:ascii="Arial"/>
                <w:i/>
                <w:sz w:val="20"/>
              </w:rPr>
              <w:t>Contracts</w:t>
            </w:r>
            <w:r>
              <w:rPr>
                <w:sz w:val="20"/>
              </w:rPr>
              <w:t>, 1st edn </w:t>
            </w:r>
            <w:r>
              <w:rPr>
                <w:spacing w:val="-2"/>
                <w:sz w:val="20"/>
              </w:rPr>
              <w:t>(1845).</w:t>
            </w:r>
          </w:p>
        </w:tc>
      </w:tr>
      <w:tr>
        <w:trPr>
          <w:trHeight w:val="465" w:hRule="atLeast"/>
        </w:trPr>
        <w:tc>
          <w:tcPr>
            <w:tcW w:w="496" w:type="dxa"/>
          </w:tcPr>
          <w:p>
            <w:pPr>
              <w:pStyle w:val="TableParagraph"/>
              <w:ind w:left="0" w:right="43"/>
              <w:rPr>
                <w:sz w:val="14"/>
              </w:rPr>
            </w:pPr>
            <w:r>
              <w:rPr>
                <w:color w:val="005DA1"/>
                <w:spacing w:val="-2"/>
                <w:sz w:val="14"/>
                <w:u w:val="single" w:color="005DA1"/>
              </w:rPr>
              <w:t>1010</w:t>
            </w:r>
            <w:r>
              <w:rPr>
                <w:spacing w:val="-2"/>
                <w:sz w:val="14"/>
              </w:rPr>
              <w:t>.</w:t>
            </w:r>
          </w:p>
        </w:tc>
        <w:tc>
          <w:tcPr>
            <w:tcW w:w="8621" w:type="dxa"/>
          </w:tcPr>
          <w:p>
            <w:pPr>
              <w:pStyle w:val="TableParagraph"/>
              <w:spacing w:before="114"/>
              <w:jc w:val="left"/>
              <w:rPr>
                <w:sz w:val="20"/>
              </w:rPr>
            </w:pPr>
            <w:r>
              <w:rPr>
                <w:sz w:val="20"/>
              </w:rPr>
              <w:t>Underhill,</w:t>
            </w:r>
            <w:r>
              <w:rPr>
                <w:spacing w:val="-2"/>
                <w:sz w:val="20"/>
              </w:rPr>
              <w:t> </w:t>
            </w:r>
            <w:r>
              <w:rPr>
                <w:rFonts w:ascii="Arial"/>
                <w:i/>
                <w:sz w:val="20"/>
              </w:rPr>
              <w:t>A Summary of the Law of Torts or Wrongs Independent of Contract</w:t>
            </w:r>
            <w:r>
              <w:rPr>
                <w:sz w:val="20"/>
              </w:rPr>
              <w:t>, 1st edn </w:t>
            </w:r>
            <w:r>
              <w:rPr>
                <w:spacing w:val="-2"/>
                <w:sz w:val="20"/>
              </w:rPr>
              <w:t>(1873).</w:t>
            </w:r>
          </w:p>
        </w:tc>
      </w:tr>
      <w:tr>
        <w:trPr>
          <w:trHeight w:val="690" w:hRule="atLeast"/>
        </w:trPr>
        <w:tc>
          <w:tcPr>
            <w:tcW w:w="496" w:type="dxa"/>
          </w:tcPr>
          <w:p>
            <w:pPr>
              <w:pStyle w:val="TableParagraph"/>
              <w:ind w:left="0" w:right="43"/>
              <w:rPr>
                <w:sz w:val="14"/>
              </w:rPr>
            </w:pPr>
            <w:r>
              <w:rPr>
                <w:color w:val="005DA1"/>
                <w:spacing w:val="-2"/>
                <w:sz w:val="14"/>
                <w:u w:val="single" w:color="005DA1"/>
              </w:rPr>
              <w:t>1011</w:t>
            </w:r>
            <w:r>
              <w:rPr>
                <w:spacing w:val="-2"/>
                <w:sz w:val="14"/>
              </w:rPr>
              <w:t>.</w:t>
            </w:r>
          </w:p>
        </w:tc>
        <w:tc>
          <w:tcPr>
            <w:tcW w:w="8621" w:type="dxa"/>
          </w:tcPr>
          <w:p>
            <w:pPr>
              <w:pStyle w:val="TableParagraph"/>
              <w:spacing w:line="235" w:lineRule="auto" w:before="118"/>
              <w:jc w:val="left"/>
              <w:rPr>
                <w:sz w:val="20"/>
              </w:rPr>
            </w:pPr>
            <w:r>
              <w:rPr>
                <w:sz w:val="20"/>
              </w:rPr>
              <w:t>Pollock, </w:t>
            </w:r>
            <w:r>
              <w:rPr>
                <w:rFonts w:ascii="Arial"/>
                <w:i/>
                <w:sz w:val="20"/>
              </w:rPr>
              <w:t>Principles of Contract at Law and in Equity</w:t>
            </w:r>
            <w:r>
              <w:rPr>
                <w:sz w:val="20"/>
              </w:rPr>
              <w:t>, 1st edn (1876); The Law of Torts, 1st edn </w:t>
            </w:r>
            <w:r>
              <w:rPr>
                <w:spacing w:val="-2"/>
                <w:sz w:val="20"/>
              </w:rPr>
              <w:t>(1887).</w:t>
            </w:r>
          </w:p>
        </w:tc>
      </w:tr>
      <w:tr>
        <w:trPr>
          <w:trHeight w:val="465" w:hRule="atLeast"/>
        </w:trPr>
        <w:tc>
          <w:tcPr>
            <w:tcW w:w="496" w:type="dxa"/>
          </w:tcPr>
          <w:p>
            <w:pPr>
              <w:pStyle w:val="TableParagraph"/>
              <w:ind w:left="0" w:right="43"/>
              <w:rPr>
                <w:sz w:val="14"/>
              </w:rPr>
            </w:pPr>
            <w:r>
              <w:rPr>
                <w:color w:val="005DA1"/>
                <w:spacing w:val="-2"/>
                <w:sz w:val="14"/>
                <w:u w:val="single" w:color="005DA1"/>
              </w:rPr>
              <w:t>1012</w:t>
            </w:r>
            <w:r>
              <w:rPr>
                <w:spacing w:val="-2"/>
                <w:sz w:val="14"/>
              </w:rPr>
              <w:t>.</w:t>
            </w:r>
          </w:p>
        </w:tc>
        <w:tc>
          <w:tcPr>
            <w:tcW w:w="8621" w:type="dxa"/>
          </w:tcPr>
          <w:p>
            <w:pPr>
              <w:pStyle w:val="TableParagraph"/>
              <w:spacing w:before="114"/>
              <w:jc w:val="left"/>
              <w:rPr>
                <w:sz w:val="20"/>
              </w:rPr>
            </w:pPr>
            <w:r>
              <w:rPr>
                <w:sz w:val="20"/>
              </w:rPr>
              <w:t>See Gordley,</w:t>
            </w:r>
            <w:r>
              <w:rPr>
                <w:spacing w:val="-1"/>
                <w:sz w:val="20"/>
              </w:rPr>
              <w:t> </w:t>
            </w:r>
            <w:r>
              <w:rPr>
                <w:rFonts w:ascii="Arial"/>
                <w:i/>
                <w:sz w:val="20"/>
              </w:rPr>
              <w:t>The Philosophical Origins of Modern Contract Doctrine</w:t>
            </w:r>
            <w:r>
              <w:rPr>
                <w:rFonts w:ascii="Arial"/>
                <w:i/>
                <w:spacing w:val="-1"/>
                <w:sz w:val="20"/>
              </w:rPr>
              <w:t> </w:t>
            </w:r>
            <w:r>
              <w:rPr>
                <w:sz w:val="20"/>
              </w:rPr>
              <w:t>(1991), </w:t>
            </w:r>
            <w:r>
              <w:rPr>
                <w:spacing w:val="-2"/>
                <w:sz w:val="20"/>
              </w:rPr>
              <w:t>Ch.6.</w:t>
            </w:r>
          </w:p>
        </w:tc>
      </w:tr>
      <w:tr>
        <w:trPr>
          <w:trHeight w:val="465" w:hRule="atLeast"/>
        </w:trPr>
        <w:tc>
          <w:tcPr>
            <w:tcW w:w="496" w:type="dxa"/>
          </w:tcPr>
          <w:p>
            <w:pPr>
              <w:pStyle w:val="TableParagraph"/>
              <w:ind w:left="0" w:right="43"/>
              <w:rPr>
                <w:sz w:val="14"/>
              </w:rPr>
            </w:pPr>
            <w:r>
              <w:rPr>
                <w:color w:val="005DA1"/>
                <w:spacing w:val="-2"/>
                <w:sz w:val="14"/>
                <w:u w:val="single" w:color="005DA1"/>
              </w:rPr>
              <w:t>1013</w:t>
            </w:r>
            <w:r>
              <w:rPr>
                <w:spacing w:val="-2"/>
                <w:sz w:val="14"/>
              </w:rPr>
              <w:t>.</w:t>
            </w:r>
          </w:p>
        </w:tc>
        <w:tc>
          <w:tcPr>
            <w:tcW w:w="8621" w:type="dxa"/>
          </w:tcPr>
          <w:p>
            <w:pPr>
              <w:pStyle w:val="TableParagraph"/>
              <w:spacing w:before="114"/>
              <w:jc w:val="left"/>
              <w:rPr>
                <w:sz w:val="20"/>
              </w:rPr>
            </w:pPr>
            <w:r>
              <w:rPr>
                <w:sz w:val="20"/>
              </w:rPr>
              <w:t>Atiyah, </w:t>
            </w:r>
            <w:r>
              <w:rPr>
                <w:rFonts w:ascii="Arial"/>
                <w:i/>
                <w:sz w:val="20"/>
              </w:rPr>
              <w:t>The Rise and Fall of Freedom of Contract</w:t>
            </w:r>
            <w:r>
              <w:rPr>
                <w:rFonts w:ascii="Arial"/>
                <w:i/>
                <w:spacing w:val="-1"/>
                <w:sz w:val="20"/>
              </w:rPr>
              <w:t> </w:t>
            </w:r>
            <w:r>
              <w:rPr>
                <w:sz w:val="20"/>
              </w:rPr>
              <w:t>(1979), </w:t>
            </w:r>
            <w:r>
              <w:rPr>
                <w:spacing w:val="-2"/>
                <w:sz w:val="20"/>
              </w:rPr>
              <w:t>p.408.</w:t>
            </w:r>
          </w:p>
        </w:tc>
      </w:tr>
      <w:tr>
        <w:trPr>
          <w:trHeight w:val="465" w:hRule="atLeast"/>
        </w:trPr>
        <w:tc>
          <w:tcPr>
            <w:tcW w:w="496" w:type="dxa"/>
          </w:tcPr>
          <w:p>
            <w:pPr>
              <w:pStyle w:val="TableParagraph"/>
              <w:ind w:left="0" w:right="43"/>
              <w:rPr>
                <w:sz w:val="14"/>
              </w:rPr>
            </w:pPr>
            <w:r>
              <w:rPr>
                <w:color w:val="005DA1"/>
                <w:spacing w:val="-2"/>
                <w:sz w:val="14"/>
                <w:u w:val="single" w:color="005DA1"/>
              </w:rPr>
              <w:t>1014</w:t>
            </w:r>
            <w:r>
              <w:rPr>
                <w:spacing w:val="-2"/>
                <w:sz w:val="14"/>
              </w:rPr>
              <w:t>.</w:t>
            </w:r>
          </w:p>
        </w:tc>
        <w:tc>
          <w:tcPr>
            <w:tcW w:w="8621" w:type="dxa"/>
          </w:tcPr>
          <w:p>
            <w:pPr>
              <w:pStyle w:val="TableParagraph"/>
              <w:spacing w:before="114"/>
              <w:jc w:val="left"/>
              <w:rPr>
                <w:sz w:val="20"/>
              </w:rPr>
            </w:pPr>
            <w:r>
              <w:rPr>
                <w:sz w:val="20"/>
              </w:rPr>
              <w:t>Winfield,</w:t>
            </w:r>
            <w:r>
              <w:rPr>
                <w:spacing w:val="-1"/>
                <w:sz w:val="20"/>
              </w:rPr>
              <w:t> </w:t>
            </w:r>
            <w:r>
              <w:rPr>
                <w:rFonts w:ascii="Arial"/>
                <w:i/>
                <w:sz w:val="20"/>
              </w:rPr>
              <w:t>Province of the Law of Tort</w:t>
            </w:r>
            <w:r>
              <w:rPr>
                <w:rFonts w:ascii="Arial"/>
                <w:i/>
                <w:spacing w:val="-1"/>
                <w:sz w:val="20"/>
              </w:rPr>
              <w:t> </w:t>
            </w:r>
            <w:r>
              <w:rPr>
                <w:sz w:val="20"/>
              </w:rPr>
              <w:t>(1931), </w:t>
            </w:r>
            <w:r>
              <w:rPr>
                <w:spacing w:val="-2"/>
                <w:sz w:val="20"/>
              </w:rPr>
              <w:t>p.380.</w:t>
            </w:r>
          </w:p>
        </w:tc>
      </w:tr>
      <w:tr>
        <w:trPr>
          <w:trHeight w:val="690" w:hRule="atLeast"/>
        </w:trPr>
        <w:tc>
          <w:tcPr>
            <w:tcW w:w="496" w:type="dxa"/>
          </w:tcPr>
          <w:p>
            <w:pPr>
              <w:pStyle w:val="TableParagraph"/>
              <w:ind w:left="0" w:right="43"/>
              <w:rPr>
                <w:sz w:val="14"/>
              </w:rPr>
            </w:pPr>
            <w:r>
              <w:rPr>
                <w:color w:val="005DA1"/>
                <w:spacing w:val="-2"/>
                <w:sz w:val="14"/>
                <w:u w:val="single" w:color="005DA1"/>
              </w:rPr>
              <w:t>1015</w:t>
            </w:r>
            <w:r>
              <w:rPr>
                <w:spacing w:val="-2"/>
                <w:sz w:val="14"/>
              </w:rPr>
              <w:t>.</w:t>
            </w:r>
          </w:p>
        </w:tc>
        <w:tc>
          <w:tcPr>
            <w:tcW w:w="8621" w:type="dxa"/>
          </w:tcPr>
          <w:p>
            <w:pPr>
              <w:pStyle w:val="TableParagraph"/>
              <w:spacing w:line="235" w:lineRule="auto" w:before="118"/>
              <w:jc w:val="left"/>
              <w:rPr>
                <w:sz w:val="20"/>
              </w:rPr>
            </w:pPr>
            <w:r>
              <w:rPr>
                <w:rFonts w:ascii="Arial"/>
                <w:i/>
                <w:sz w:val="20"/>
              </w:rPr>
              <w:t>Robinson</w:t>
            </w:r>
            <w:r>
              <w:rPr>
                <w:rFonts w:ascii="Arial"/>
                <w:i/>
                <w:spacing w:val="21"/>
                <w:sz w:val="20"/>
              </w:rPr>
              <w:t> </w:t>
            </w:r>
            <w:r>
              <w:rPr>
                <w:rFonts w:ascii="Arial"/>
                <w:i/>
                <w:sz w:val="20"/>
              </w:rPr>
              <w:t>v</w:t>
            </w:r>
            <w:r>
              <w:rPr>
                <w:rFonts w:ascii="Arial"/>
                <w:i/>
                <w:spacing w:val="21"/>
                <w:sz w:val="20"/>
              </w:rPr>
              <w:t> </w:t>
            </w:r>
            <w:r>
              <w:rPr>
                <w:rFonts w:ascii="Arial"/>
                <w:i/>
                <w:sz w:val="20"/>
              </w:rPr>
              <w:t>P.E.</w:t>
            </w:r>
            <w:r>
              <w:rPr>
                <w:rFonts w:ascii="Arial"/>
                <w:i/>
                <w:spacing w:val="21"/>
                <w:sz w:val="20"/>
              </w:rPr>
              <w:t> </w:t>
            </w:r>
            <w:r>
              <w:rPr>
                <w:rFonts w:ascii="Arial"/>
                <w:i/>
                <w:sz w:val="20"/>
              </w:rPr>
              <w:t>Jones</w:t>
            </w:r>
            <w:r>
              <w:rPr>
                <w:rFonts w:ascii="Arial"/>
                <w:i/>
                <w:spacing w:val="21"/>
                <w:sz w:val="20"/>
              </w:rPr>
              <w:t> </w:t>
            </w:r>
            <w:r>
              <w:rPr>
                <w:rFonts w:ascii="Arial"/>
                <w:i/>
                <w:sz w:val="20"/>
              </w:rPr>
              <w:t>(Contractors)</w:t>
            </w:r>
            <w:r>
              <w:rPr>
                <w:rFonts w:ascii="Arial"/>
                <w:i/>
                <w:spacing w:val="21"/>
                <w:sz w:val="20"/>
              </w:rPr>
              <w:t> </w:t>
            </w:r>
            <w:r>
              <w:rPr>
                <w:rFonts w:ascii="Arial"/>
                <w:i/>
                <w:sz w:val="20"/>
              </w:rPr>
              <w:t>Ltd</w:t>
            </w:r>
            <w:r>
              <w:rPr>
                <w:rFonts w:ascii="Arial"/>
                <w:i/>
                <w:spacing w:val="21"/>
                <w:sz w:val="20"/>
              </w:rPr>
              <w:t> </w:t>
            </w:r>
            <w:r>
              <w:rPr>
                <w:rFonts w:ascii="Arial"/>
                <w:i/>
                <w:sz w:val="20"/>
              </w:rPr>
              <w:t>[2011]</w:t>
            </w:r>
            <w:r>
              <w:rPr>
                <w:rFonts w:ascii="Arial"/>
                <w:i/>
                <w:spacing w:val="21"/>
                <w:sz w:val="20"/>
              </w:rPr>
              <w:t> </w:t>
            </w:r>
            <w:r>
              <w:rPr>
                <w:rFonts w:ascii="Arial"/>
                <w:i/>
                <w:sz w:val="20"/>
              </w:rPr>
              <w:t>EWCA</w:t>
            </w:r>
            <w:r>
              <w:rPr>
                <w:rFonts w:ascii="Arial"/>
                <w:i/>
                <w:spacing w:val="21"/>
                <w:sz w:val="20"/>
              </w:rPr>
              <w:t> </w:t>
            </w:r>
            <w:r>
              <w:rPr>
                <w:rFonts w:ascii="Arial"/>
                <w:i/>
                <w:sz w:val="20"/>
              </w:rPr>
              <w:t>Civ</w:t>
            </w:r>
            <w:r>
              <w:rPr>
                <w:rFonts w:ascii="Arial"/>
                <w:i/>
                <w:spacing w:val="21"/>
                <w:sz w:val="20"/>
              </w:rPr>
              <w:t> </w:t>
            </w:r>
            <w:r>
              <w:rPr>
                <w:rFonts w:ascii="Arial"/>
                <w:i/>
                <w:sz w:val="20"/>
              </w:rPr>
              <w:t>9,</w:t>
            </w:r>
            <w:r>
              <w:rPr>
                <w:rFonts w:ascii="Arial"/>
                <w:i/>
                <w:spacing w:val="21"/>
                <w:sz w:val="20"/>
              </w:rPr>
              <w:t> </w:t>
            </w:r>
            <w:r>
              <w:rPr>
                <w:rFonts w:ascii="Arial"/>
                <w:i/>
                <w:sz w:val="20"/>
              </w:rPr>
              <w:t>[2011]</w:t>
            </w:r>
            <w:r>
              <w:rPr>
                <w:rFonts w:ascii="Arial"/>
                <w:i/>
                <w:spacing w:val="21"/>
                <w:sz w:val="20"/>
              </w:rPr>
              <w:t> </w:t>
            </w:r>
            <w:r>
              <w:rPr>
                <w:rFonts w:ascii="Arial"/>
                <w:i/>
                <w:sz w:val="20"/>
              </w:rPr>
              <w:t>B.L.R.</w:t>
            </w:r>
            <w:r>
              <w:rPr>
                <w:rFonts w:ascii="Arial"/>
                <w:i/>
                <w:spacing w:val="21"/>
                <w:sz w:val="20"/>
              </w:rPr>
              <w:t> </w:t>
            </w:r>
            <w:r>
              <w:rPr>
                <w:rFonts w:ascii="Arial"/>
                <w:i/>
                <w:sz w:val="20"/>
              </w:rPr>
              <w:t>206</w:t>
            </w:r>
            <w:r>
              <w:rPr>
                <w:rFonts w:ascii="Arial"/>
                <w:i/>
                <w:spacing w:val="21"/>
                <w:sz w:val="20"/>
              </w:rPr>
              <w:t> </w:t>
            </w:r>
            <w:r>
              <w:rPr>
                <w:sz w:val="20"/>
              </w:rPr>
              <w:t>at</w:t>
            </w:r>
            <w:r>
              <w:rPr>
                <w:spacing w:val="21"/>
                <w:sz w:val="20"/>
              </w:rPr>
              <w:t> </w:t>
            </w:r>
            <w:r>
              <w:rPr>
                <w:sz w:val="20"/>
              </w:rPr>
              <w:t>[79]</w:t>
            </w:r>
            <w:r>
              <w:rPr>
                <w:spacing w:val="21"/>
                <w:sz w:val="20"/>
              </w:rPr>
              <w:t> </w:t>
            </w:r>
            <w:r>
              <w:rPr>
                <w:sz w:val="20"/>
              </w:rPr>
              <w:t>(with whom Stanley Burnton and Maurice Kay L.JJ. agreed).</w:t>
            </w:r>
          </w:p>
        </w:tc>
      </w:tr>
      <w:tr>
        <w:trPr>
          <w:trHeight w:val="690" w:hRule="atLeast"/>
        </w:trPr>
        <w:tc>
          <w:tcPr>
            <w:tcW w:w="496" w:type="dxa"/>
          </w:tcPr>
          <w:p>
            <w:pPr>
              <w:pStyle w:val="TableParagraph"/>
              <w:ind w:left="0" w:right="43"/>
              <w:rPr>
                <w:sz w:val="14"/>
              </w:rPr>
            </w:pPr>
            <w:r>
              <w:rPr>
                <w:color w:val="005DA1"/>
                <w:spacing w:val="-2"/>
                <w:sz w:val="14"/>
                <w:u w:val="single" w:color="005DA1"/>
              </w:rPr>
              <w:t>1016</w:t>
            </w:r>
            <w:r>
              <w:rPr>
                <w:spacing w:val="-2"/>
                <w:sz w:val="14"/>
              </w:rPr>
              <w:t>.</w:t>
            </w:r>
          </w:p>
        </w:tc>
        <w:tc>
          <w:tcPr>
            <w:tcW w:w="8621" w:type="dxa"/>
          </w:tcPr>
          <w:p>
            <w:pPr>
              <w:pStyle w:val="TableParagraph"/>
              <w:spacing w:line="235" w:lineRule="auto" w:before="118"/>
              <w:jc w:val="left"/>
              <w:rPr>
                <w:sz w:val="20"/>
              </w:rPr>
            </w:pPr>
            <w:r>
              <w:rPr>
                <w:sz w:val="20"/>
              </w:rPr>
              <w:t>cf.</w:t>
            </w:r>
            <w:r>
              <w:rPr>
                <w:spacing w:val="36"/>
                <w:sz w:val="20"/>
              </w:rPr>
              <w:t> </w:t>
            </w:r>
            <w:r>
              <w:rPr>
                <w:sz w:val="20"/>
              </w:rPr>
              <w:t>Weir,</w:t>
            </w:r>
            <w:r>
              <w:rPr>
                <w:spacing w:val="36"/>
                <w:sz w:val="20"/>
              </w:rPr>
              <w:t> </w:t>
            </w:r>
            <w:r>
              <w:rPr>
                <w:rFonts w:ascii="Arial" w:hAnsi="Arial"/>
                <w:i/>
                <w:sz w:val="20"/>
              </w:rPr>
              <w:t>International</w:t>
            </w:r>
            <w:r>
              <w:rPr>
                <w:rFonts w:ascii="Arial" w:hAnsi="Arial"/>
                <w:i/>
                <w:spacing w:val="36"/>
                <w:sz w:val="20"/>
              </w:rPr>
              <w:t> </w:t>
            </w:r>
            <w:r>
              <w:rPr>
                <w:rFonts w:ascii="Arial" w:hAnsi="Arial"/>
                <w:i/>
                <w:sz w:val="20"/>
              </w:rPr>
              <w:t>Encyclopedia</w:t>
            </w:r>
            <w:r>
              <w:rPr>
                <w:rFonts w:ascii="Arial" w:hAnsi="Arial"/>
                <w:i/>
                <w:spacing w:val="36"/>
                <w:sz w:val="20"/>
              </w:rPr>
              <w:t> </w:t>
            </w:r>
            <w:r>
              <w:rPr>
                <w:rFonts w:ascii="Arial" w:hAnsi="Arial"/>
                <w:i/>
                <w:sz w:val="20"/>
              </w:rPr>
              <w:t>of</w:t>
            </w:r>
            <w:r>
              <w:rPr>
                <w:rFonts w:ascii="Arial" w:hAnsi="Arial"/>
                <w:i/>
                <w:spacing w:val="36"/>
                <w:sz w:val="20"/>
              </w:rPr>
              <w:t> </w:t>
            </w:r>
            <w:r>
              <w:rPr>
                <w:rFonts w:ascii="Arial" w:hAnsi="Arial"/>
                <w:i/>
                <w:sz w:val="20"/>
              </w:rPr>
              <w:t>Comparative</w:t>
            </w:r>
            <w:r>
              <w:rPr>
                <w:rFonts w:ascii="Arial" w:hAnsi="Arial"/>
                <w:i/>
                <w:spacing w:val="36"/>
                <w:sz w:val="20"/>
              </w:rPr>
              <w:t> </w:t>
            </w:r>
            <w:r>
              <w:rPr>
                <w:rFonts w:ascii="Arial" w:hAnsi="Arial"/>
                <w:i/>
                <w:sz w:val="20"/>
              </w:rPr>
              <w:t>Law</w:t>
            </w:r>
            <w:r>
              <w:rPr>
                <w:rFonts w:ascii="Arial" w:hAnsi="Arial"/>
                <w:i/>
                <w:spacing w:val="35"/>
                <w:sz w:val="20"/>
              </w:rPr>
              <w:t> </w:t>
            </w:r>
            <w:r>
              <w:rPr>
                <w:sz w:val="20"/>
              </w:rPr>
              <w:t>(1976),</w:t>
            </w:r>
            <w:r>
              <w:rPr>
                <w:spacing w:val="36"/>
                <w:sz w:val="20"/>
              </w:rPr>
              <w:t> </w:t>
            </w:r>
            <w:r>
              <w:rPr>
                <w:sz w:val="20"/>
              </w:rPr>
              <w:t>Vol.XI,</w:t>
            </w:r>
            <w:r>
              <w:rPr>
                <w:spacing w:val="36"/>
                <w:sz w:val="20"/>
              </w:rPr>
              <w:t> </w:t>
            </w:r>
            <w:r>
              <w:rPr>
                <w:sz w:val="20"/>
              </w:rPr>
              <w:t>“Torts”,</w:t>
            </w:r>
            <w:r>
              <w:rPr>
                <w:spacing w:val="36"/>
                <w:sz w:val="20"/>
              </w:rPr>
              <w:t> </w:t>
            </w:r>
            <w:r>
              <w:rPr>
                <w:sz w:val="20"/>
              </w:rPr>
              <w:t>Ch.12,</w:t>
            </w:r>
            <w:r>
              <w:rPr>
                <w:spacing w:val="36"/>
                <w:sz w:val="20"/>
              </w:rPr>
              <w:t> </w:t>
            </w:r>
            <w:r>
              <w:rPr>
                <w:sz w:val="20"/>
              </w:rPr>
              <w:t>p.5; Whittaker (1996) 16 O.J.L.S. 191, 207 et seq. cf. below, para.1-150.</w:t>
            </w:r>
          </w:p>
        </w:tc>
      </w:tr>
      <w:tr>
        <w:trPr>
          <w:trHeight w:val="465" w:hRule="atLeast"/>
        </w:trPr>
        <w:tc>
          <w:tcPr>
            <w:tcW w:w="496" w:type="dxa"/>
          </w:tcPr>
          <w:p>
            <w:pPr>
              <w:pStyle w:val="TableParagraph"/>
              <w:ind w:left="0" w:right="43"/>
              <w:rPr>
                <w:sz w:val="14"/>
              </w:rPr>
            </w:pPr>
            <w:r>
              <w:rPr>
                <w:color w:val="005DA1"/>
                <w:spacing w:val="-2"/>
                <w:sz w:val="14"/>
                <w:u w:val="single" w:color="005DA1"/>
              </w:rPr>
              <w:t>1017</w:t>
            </w:r>
            <w:r>
              <w:rPr>
                <w:spacing w:val="-2"/>
                <w:sz w:val="14"/>
              </w:rPr>
              <w:t>.</w:t>
            </w:r>
          </w:p>
        </w:tc>
        <w:tc>
          <w:tcPr>
            <w:tcW w:w="8621" w:type="dxa"/>
          </w:tcPr>
          <w:p>
            <w:pPr>
              <w:pStyle w:val="TableParagraph"/>
              <w:spacing w:before="114"/>
              <w:jc w:val="left"/>
              <w:rPr>
                <w:sz w:val="20"/>
              </w:rPr>
            </w:pPr>
            <w:r>
              <w:rPr>
                <w:sz w:val="20"/>
              </w:rPr>
              <w:t>See above, para.1-034; below, </w:t>
            </w:r>
            <w:r>
              <w:rPr>
                <w:spacing w:val="-2"/>
                <w:sz w:val="20"/>
              </w:rPr>
              <w:t>Ch.14.</w:t>
            </w:r>
          </w:p>
        </w:tc>
      </w:tr>
      <w:tr>
        <w:trPr>
          <w:trHeight w:val="915" w:hRule="atLeast"/>
        </w:trPr>
        <w:tc>
          <w:tcPr>
            <w:tcW w:w="496" w:type="dxa"/>
          </w:tcPr>
          <w:p>
            <w:pPr>
              <w:pStyle w:val="TableParagraph"/>
              <w:ind w:left="0" w:right="43"/>
              <w:rPr>
                <w:sz w:val="14"/>
              </w:rPr>
            </w:pPr>
            <w:r>
              <w:rPr>
                <w:color w:val="005DA1"/>
                <w:spacing w:val="-2"/>
                <w:sz w:val="14"/>
                <w:u w:val="single" w:color="005DA1"/>
              </w:rPr>
              <w:t>1018</w:t>
            </w:r>
            <w:r>
              <w:rPr>
                <w:spacing w:val="-2"/>
                <w:sz w:val="14"/>
              </w:rPr>
              <w:t>.</w:t>
            </w:r>
          </w:p>
        </w:tc>
        <w:tc>
          <w:tcPr>
            <w:tcW w:w="8621" w:type="dxa"/>
          </w:tcPr>
          <w:p>
            <w:pPr>
              <w:pStyle w:val="TableParagraph"/>
              <w:spacing w:line="235" w:lineRule="auto" w:before="118"/>
              <w:ind w:right="49"/>
              <w:jc w:val="both"/>
              <w:rPr>
                <w:sz w:val="20"/>
              </w:rPr>
            </w:pPr>
            <w:r>
              <w:rPr>
                <w:sz w:val="20"/>
              </w:rPr>
              <w:t>See, e.g. Sale of Goods Act 1979 s.14; Unfair Contract Terms Act 1977 s.6; and (on its coming into</w:t>
            </w:r>
            <w:r>
              <w:rPr>
                <w:spacing w:val="-1"/>
                <w:sz w:val="20"/>
              </w:rPr>
              <w:t> </w:t>
            </w:r>
            <w:r>
              <w:rPr>
                <w:sz w:val="20"/>
              </w:rPr>
              <w:t>force)</w:t>
            </w:r>
            <w:r>
              <w:rPr>
                <w:spacing w:val="-1"/>
                <w:sz w:val="20"/>
              </w:rPr>
              <w:t> </w:t>
            </w:r>
            <w:r>
              <w:rPr>
                <w:sz w:val="20"/>
              </w:rPr>
              <w:t>Consumer</w:t>
            </w:r>
            <w:r>
              <w:rPr>
                <w:spacing w:val="-1"/>
                <w:sz w:val="20"/>
              </w:rPr>
              <w:t> </w:t>
            </w:r>
            <w:r>
              <w:rPr>
                <w:sz w:val="20"/>
              </w:rPr>
              <w:t>Rights</w:t>
            </w:r>
            <w:r>
              <w:rPr>
                <w:spacing w:val="-1"/>
                <w:sz w:val="20"/>
              </w:rPr>
              <w:t> </w:t>
            </w:r>
            <w:r>
              <w:rPr>
                <w:sz w:val="20"/>
              </w:rPr>
              <w:t>Act</w:t>
            </w:r>
            <w:r>
              <w:rPr>
                <w:spacing w:val="-1"/>
                <w:sz w:val="20"/>
              </w:rPr>
              <w:t> </w:t>
            </w:r>
            <w:r>
              <w:rPr>
                <w:sz w:val="20"/>
              </w:rPr>
              <w:t>2015</w:t>
            </w:r>
            <w:r>
              <w:rPr>
                <w:spacing w:val="-1"/>
                <w:sz w:val="20"/>
              </w:rPr>
              <w:t> </w:t>
            </w:r>
            <w:r>
              <w:rPr>
                <w:sz w:val="20"/>
              </w:rPr>
              <w:t>ss.9–10;</w:t>
            </w:r>
            <w:r>
              <w:rPr>
                <w:spacing w:val="-1"/>
                <w:sz w:val="20"/>
              </w:rPr>
              <w:t> </w:t>
            </w:r>
            <w:r>
              <w:rPr>
                <w:sz w:val="20"/>
              </w:rPr>
              <w:t>31.</w:t>
            </w:r>
            <w:r>
              <w:rPr>
                <w:spacing w:val="-1"/>
                <w:sz w:val="20"/>
              </w:rPr>
              <w:t> </w:t>
            </w:r>
            <w:r>
              <w:rPr>
                <w:sz w:val="20"/>
              </w:rPr>
              <w:t>On</w:t>
            </w:r>
            <w:r>
              <w:rPr>
                <w:spacing w:val="-1"/>
                <w:sz w:val="20"/>
              </w:rPr>
              <w:t> </w:t>
            </w:r>
            <w:r>
              <w:rPr>
                <w:sz w:val="20"/>
              </w:rPr>
              <w:t>these</w:t>
            </w:r>
            <w:r>
              <w:rPr>
                <w:spacing w:val="-1"/>
                <w:sz w:val="20"/>
              </w:rPr>
              <w:t> </w:t>
            </w:r>
            <w:r>
              <w:rPr>
                <w:sz w:val="20"/>
              </w:rPr>
              <w:t>provisions</w:t>
            </w:r>
            <w:r>
              <w:rPr>
                <w:spacing w:val="-1"/>
                <w:sz w:val="20"/>
              </w:rPr>
              <w:t> </w:t>
            </w:r>
            <w:r>
              <w:rPr>
                <w:sz w:val="20"/>
              </w:rPr>
              <w:t>see</w:t>
            </w:r>
            <w:r>
              <w:rPr>
                <w:spacing w:val="-1"/>
                <w:sz w:val="20"/>
              </w:rPr>
              <w:t> </w:t>
            </w:r>
            <w:r>
              <w:rPr>
                <w:sz w:val="20"/>
              </w:rPr>
              <w:t>below,</w:t>
            </w:r>
            <w:r>
              <w:rPr>
                <w:spacing w:val="-1"/>
                <w:sz w:val="20"/>
              </w:rPr>
              <w:t> </w:t>
            </w:r>
            <w:r>
              <w:rPr>
                <w:sz w:val="20"/>
              </w:rPr>
              <w:t>para.15-093 and Vol.II, para.38-492.</w:t>
            </w:r>
          </w:p>
        </w:tc>
      </w:tr>
      <w:tr>
        <w:trPr>
          <w:trHeight w:val="465" w:hRule="atLeast"/>
        </w:trPr>
        <w:tc>
          <w:tcPr>
            <w:tcW w:w="496" w:type="dxa"/>
          </w:tcPr>
          <w:p>
            <w:pPr>
              <w:pStyle w:val="TableParagraph"/>
              <w:ind w:left="0" w:right="43"/>
              <w:rPr>
                <w:sz w:val="14"/>
              </w:rPr>
            </w:pPr>
            <w:r>
              <w:rPr>
                <w:color w:val="005DA1"/>
                <w:spacing w:val="-2"/>
                <w:sz w:val="14"/>
                <w:u w:val="single" w:color="005DA1"/>
              </w:rPr>
              <w:t>1019</w:t>
            </w:r>
            <w:r>
              <w:rPr>
                <w:spacing w:val="-2"/>
                <w:sz w:val="14"/>
              </w:rPr>
              <w:t>.</w:t>
            </w:r>
          </w:p>
        </w:tc>
        <w:tc>
          <w:tcPr>
            <w:tcW w:w="8621" w:type="dxa"/>
          </w:tcPr>
          <w:p>
            <w:pPr>
              <w:pStyle w:val="TableParagraph"/>
              <w:spacing w:before="114"/>
              <w:jc w:val="left"/>
              <w:rPr>
                <w:sz w:val="20"/>
              </w:rPr>
            </w:pPr>
            <w:r>
              <w:rPr>
                <w:sz w:val="20"/>
              </w:rPr>
              <w:t>Hepple (1986–1987) 36 King’s Counsel 11 and see above, para.1-</w:t>
            </w:r>
            <w:r>
              <w:rPr>
                <w:spacing w:val="-4"/>
                <w:sz w:val="20"/>
              </w:rPr>
              <w:t>034.</w:t>
            </w:r>
          </w:p>
        </w:tc>
      </w:tr>
      <w:tr>
        <w:trPr>
          <w:trHeight w:val="465" w:hRule="atLeast"/>
        </w:trPr>
        <w:tc>
          <w:tcPr>
            <w:tcW w:w="496" w:type="dxa"/>
          </w:tcPr>
          <w:p>
            <w:pPr>
              <w:pStyle w:val="TableParagraph"/>
              <w:ind w:left="0" w:right="43"/>
              <w:rPr>
                <w:sz w:val="14"/>
              </w:rPr>
            </w:pPr>
            <w:r>
              <w:rPr>
                <w:color w:val="005DA1"/>
                <w:spacing w:val="-2"/>
                <w:sz w:val="14"/>
                <w:u w:val="single" w:color="005DA1"/>
              </w:rPr>
              <w:t>1020</w:t>
            </w:r>
            <w:r>
              <w:rPr>
                <w:spacing w:val="-2"/>
                <w:sz w:val="14"/>
              </w:rPr>
              <w:t>.</w:t>
            </w:r>
          </w:p>
        </w:tc>
        <w:tc>
          <w:tcPr>
            <w:tcW w:w="8621" w:type="dxa"/>
          </w:tcPr>
          <w:p>
            <w:pPr>
              <w:pStyle w:val="TableParagraph"/>
              <w:spacing w:before="114"/>
              <w:jc w:val="left"/>
              <w:rPr>
                <w:sz w:val="20"/>
              </w:rPr>
            </w:pPr>
            <w:r>
              <w:rPr>
                <w:sz w:val="20"/>
              </w:rPr>
              <w:t>See below, Chs 24, 26, </w:t>
            </w:r>
            <w:r>
              <w:rPr>
                <w:spacing w:val="-5"/>
                <w:sz w:val="20"/>
              </w:rPr>
              <w:t>27.</w:t>
            </w:r>
          </w:p>
        </w:tc>
      </w:tr>
      <w:tr>
        <w:trPr>
          <w:trHeight w:val="465" w:hRule="atLeast"/>
        </w:trPr>
        <w:tc>
          <w:tcPr>
            <w:tcW w:w="496" w:type="dxa"/>
          </w:tcPr>
          <w:p>
            <w:pPr>
              <w:pStyle w:val="TableParagraph"/>
              <w:ind w:left="0" w:right="43"/>
              <w:rPr>
                <w:sz w:val="14"/>
              </w:rPr>
            </w:pPr>
            <w:r>
              <w:rPr>
                <w:color w:val="005DA1"/>
                <w:spacing w:val="-2"/>
                <w:sz w:val="14"/>
                <w:u w:val="single" w:color="005DA1"/>
              </w:rPr>
              <w:t>1021</w:t>
            </w:r>
            <w:r>
              <w:rPr>
                <w:spacing w:val="-2"/>
                <w:sz w:val="14"/>
              </w:rPr>
              <w:t>.</w:t>
            </w:r>
          </w:p>
        </w:tc>
        <w:tc>
          <w:tcPr>
            <w:tcW w:w="8621" w:type="dxa"/>
          </w:tcPr>
          <w:p>
            <w:pPr>
              <w:pStyle w:val="TableParagraph"/>
              <w:spacing w:before="114"/>
              <w:jc w:val="left"/>
              <w:rPr>
                <w:sz w:val="20"/>
              </w:rPr>
            </w:pPr>
            <w:r>
              <w:rPr>
                <w:sz w:val="20"/>
              </w:rPr>
              <w:t>See below, </w:t>
            </w:r>
            <w:r>
              <w:rPr>
                <w:spacing w:val="-2"/>
                <w:sz w:val="20"/>
              </w:rPr>
              <w:t>Ch.23.</w:t>
            </w:r>
          </w:p>
        </w:tc>
      </w:tr>
      <w:tr>
        <w:trPr>
          <w:trHeight w:val="1365" w:hRule="atLeast"/>
        </w:trPr>
        <w:tc>
          <w:tcPr>
            <w:tcW w:w="496" w:type="dxa"/>
          </w:tcPr>
          <w:p>
            <w:pPr>
              <w:pStyle w:val="TableParagraph"/>
              <w:ind w:left="0" w:right="43"/>
              <w:rPr>
                <w:sz w:val="14"/>
              </w:rPr>
            </w:pPr>
            <w:r>
              <w:rPr>
                <w:color w:val="005DA1"/>
                <w:spacing w:val="-2"/>
                <w:sz w:val="14"/>
                <w:u w:val="single" w:color="005DA1"/>
              </w:rPr>
              <w:t>1022</w:t>
            </w:r>
            <w:r>
              <w:rPr>
                <w:spacing w:val="-2"/>
                <w:sz w:val="14"/>
              </w:rPr>
              <w:t>.</w:t>
            </w:r>
          </w:p>
        </w:tc>
        <w:tc>
          <w:tcPr>
            <w:tcW w:w="8621" w:type="dxa"/>
          </w:tcPr>
          <w:p>
            <w:pPr>
              <w:pStyle w:val="TableParagraph"/>
              <w:spacing w:line="235" w:lineRule="auto" w:before="118"/>
              <w:ind w:right="49"/>
              <w:jc w:val="both"/>
              <w:rPr>
                <w:sz w:val="20"/>
              </w:rPr>
            </w:pPr>
            <w:r>
              <w:rPr>
                <w:sz w:val="20"/>
              </w:rPr>
              <w:t>For example, the law specifies what losses may be compensated by an action for damages </w:t>
            </w:r>
            <w:r>
              <w:rPr>
                <w:sz w:val="20"/>
              </w:rPr>
              <w:t>for breach of contract. In principle, the parties may specify the circumstances in which a right to terminate a contract on the ground of breach will arise (below, paras 13-019, 24-039) or can exclude or limit a party’s liability in damages, but they cannot resort to the use of “penalties”: below, paras 26-178 et seq.</w:t>
            </w:r>
          </w:p>
        </w:tc>
      </w:tr>
      <w:tr>
        <w:trPr>
          <w:trHeight w:val="915" w:hRule="atLeast"/>
        </w:trPr>
        <w:tc>
          <w:tcPr>
            <w:tcW w:w="496" w:type="dxa"/>
          </w:tcPr>
          <w:p>
            <w:pPr>
              <w:pStyle w:val="TableParagraph"/>
              <w:ind w:left="0" w:right="43"/>
              <w:rPr>
                <w:sz w:val="14"/>
              </w:rPr>
            </w:pPr>
            <w:r>
              <w:rPr>
                <w:color w:val="005DA1"/>
                <w:spacing w:val="-2"/>
                <w:sz w:val="14"/>
                <w:u w:val="single" w:color="005DA1"/>
              </w:rPr>
              <w:t>1023</w:t>
            </w:r>
            <w:r>
              <w:rPr>
                <w:spacing w:val="-2"/>
                <w:sz w:val="14"/>
              </w:rPr>
              <w:t>.</w:t>
            </w:r>
          </w:p>
        </w:tc>
        <w:tc>
          <w:tcPr>
            <w:tcW w:w="8621" w:type="dxa"/>
          </w:tcPr>
          <w:p>
            <w:pPr>
              <w:pStyle w:val="TableParagraph"/>
              <w:spacing w:line="235" w:lineRule="auto" w:before="118"/>
              <w:ind w:right="49"/>
              <w:jc w:val="both"/>
              <w:rPr>
                <w:sz w:val="20"/>
              </w:rPr>
            </w:pPr>
            <w:r>
              <w:rPr>
                <w:sz w:val="20"/>
              </w:rPr>
              <w:t>The</w:t>
            </w:r>
            <w:r>
              <w:rPr>
                <w:spacing w:val="-1"/>
                <w:sz w:val="20"/>
              </w:rPr>
              <w:t> </w:t>
            </w:r>
            <w:r>
              <w:rPr>
                <w:sz w:val="20"/>
              </w:rPr>
              <w:t>liability</w:t>
            </w:r>
            <w:r>
              <w:rPr>
                <w:spacing w:val="-1"/>
                <w:sz w:val="20"/>
              </w:rPr>
              <w:t> </w:t>
            </w:r>
            <w:r>
              <w:rPr>
                <w:sz w:val="20"/>
              </w:rPr>
              <w:t>of</w:t>
            </w:r>
            <w:r>
              <w:rPr>
                <w:spacing w:val="-1"/>
                <w:sz w:val="20"/>
              </w:rPr>
              <w:t> </w:t>
            </w:r>
            <w:r>
              <w:rPr>
                <w:sz w:val="20"/>
              </w:rPr>
              <w:t>an</w:t>
            </w:r>
            <w:r>
              <w:rPr>
                <w:spacing w:val="-1"/>
                <w:sz w:val="20"/>
              </w:rPr>
              <w:t> </w:t>
            </w:r>
            <w:r>
              <w:rPr>
                <w:sz w:val="20"/>
              </w:rPr>
              <w:t>occupier</w:t>
            </w:r>
            <w:r>
              <w:rPr>
                <w:spacing w:val="-1"/>
                <w:sz w:val="20"/>
              </w:rPr>
              <w:t> </w:t>
            </w:r>
            <w:r>
              <w:rPr>
                <w:sz w:val="20"/>
              </w:rPr>
              <w:t>to</w:t>
            </w:r>
            <w:r>
              <w:rPr>
                <w:spacing w:val="-1"/>
                <w:sz w:val="20"/>
              </w:rPr>
              <w:t> </w:t>
            </w:r>
            <w:r>
              <w:rPr>
                <w:sz w:val="20"/>
              </w:rPr>
              <w:t>someone</w:t>
            </w:r>
            <w:r>
              <w:rPr>
                <w:spacing w:val="-1"/>
                <w:sz w:val="20"/>
              </w:rPr>
              <w:t> </w:t>
            </w:r>
            <w:r>
              <w:rPr>
                <w:sz w:val="20"/>
              </w:rPr>
              <w:t>on</w:t>
            </w:r>
            <w:r>
              <w:rPr>
                <w:spacing w:val="-1"/>
                <w:sz w:val="20"/>
              </w:rPr>
              <w:t> </w:t>
            </w:r>
            <w:r>
              <w:rPr>
                <w:sz w:val="20"/>
              </w:rPr>
              <w:t>the</w:t>
            </w:r>
            <w:r>
              <w:rPr>
                <w:spacing w:val="-1"/>
                <w:sz w:val="20"/>
              </w:rPr>
              <w:t> </w:t>
            </w:r>
            <w:r>
              <w:rPr>
                <w:sz w:val="20"/>
              </w:rPr>
              <w:t>premises</w:t>
            </w:r>
            <w:r>
              <w:rPr>
                <w:spacing w:val="-1"/>
                <w:sz w:val="20"/>
              </w:rPr>
              <w:t> </w:t>
            </w:r>
            <w:r>
              <w:rPr>
                <w:sz w:val="20"/>
              </w:rPr>
              <w:t>for</w:t>
            </w:r>
            <w:r>
              <w:rPr>
                <w:spacing w:val="-1"/>
                <w:sz w:val="20"/>
              </w:rPr>
              <w:t> </w:t>
            </w:r>
            <w:r>
              <w:rPr>
                <w:sz w:val="20"/>
              </w:rPr>
              <w:t>injury</w:t>
            </w:r>
            <w:r>
              <w:rPr>
                <w:spacing w:val="-1"/>
                <w:sz w:val="20"/>
              </w:rPr>
              <w:t> </w:t>
            </w:r>
            <w:r>
              <w:rPr>
                <w:sz w:val="20"/>
              </w:rPr>
              <w:t>depends,</w:t>
            </w:r>
            <w:r>
              <w:rPr>
                <w:spacing w:val="-1"/>
                <w:sz w:val="20"/>
              </w:rPr>
              <w:t> </w:t>
            </w:r>
            <w:r>
              <w:rPr>
                <w:sz w:val="20"/>
              </w:rPr>
              <w:t>inter</w:t>
            </w:r>
            <w:r>
              <w:rPr>
                <w:spacing w:val="-1"/>
                <w:sz w:val="20"/>
              </w:rPr>
              <w:t> </w:t>
            </w:r>
            <w:r>
              <w:rPr>
                <w:sz w:val="20"/>
              </w:rPr>
              <w:t>alia</w:t>
            </w:r>
            <w:r>
              <w:rPr>
                <w:spacing w:val="-1"/>
                <w:sz w:val="20"/>
              </w:rPr>
              <w:t> </w:t>
            </w:r>
            <w:r>
              <w:rPr>
                <w:sz w:val="20"/>
              </w:rPr>
              <w:t>on</w:t>
            </w:r>
            <w:r>
              <w:rPr>
                <w:spacing w:val="-1"/>
                <w:sz w:val="20"/>
              </w:rPr>
              <w:t> </w:t>
            </w:r>
            <w:r>
              <w:rPr>
                <w:sz w:val="20"/>
              </w:rPr>
              <w:t>whether that person had permission to be there: see Occupiers’ Liability Act 1957 s.1(2) (visitors) </w:t>
            </w:r>
            <w:r>
              <w:rPr>
                <w:sz w:val="20"/>
              </w:rPr>
              <w:t>and Occupiers’ Liability Act 1984 s.1(1) (trespassers).</w:t>
            </w:r>
          </w:p>
        </w:tc>
      </w:tr>
      <w:tr>
        <w:trPr>
          <w:trHeight w:val="915" w:hRule="atLeast"/>
        </w:trPr>
        <w:tc>
          <w:tcPr>
            <w:tcW w:w="496" w:type="dxa"/>
          </w:tcPr>
          <w:p>
            <w:pPr>
              <w:pStyle w:val="TableParagraph"/>
              <w:ind w:left="0" w:right="43"/>
              <w:rPr>
                <w:sz w:val="14"/>
              </w:rPr>
            </w:pPr>
            <w:r>
              <w:rPr>
                <w:color w:val="005DA1"/>
                <w:spacing w:val="-2"/>
                <w:sz w:val="14"/>
                <w:u w:val="single" w:color="005DA1"/>
              </w:rPr>
              <w:t>1024</w:t>
            </w:r>
            <w:r>
              <w:rPr>
                <w:spacing w:val="-2"/>
                <w:sz w:val="14"/>
              </w:rPr>
              <w:t>.</w:t>
            </w:r>
          </w:p>
        </w:tc>
        <w:tc>
          <w:tcPr>
            <w:tcW w:w="8621" w:type="dxa"/>
          </w:tcPr>
          <w:p>
            <w:pPr>
              <w:pStyle w:val="TableParagraph"/>
              <w:spacing w:line="235" w:lineRule="auto" w:before="118"/>
              <w:ind w:right="49"/>
              <w:jc w:val="both"/>
              <w:rPr>
                <w:sz w:val="20"/>
              </w:rPr>
            </w:pPr>
            <w:r>
              <w:rPr>
                <w:sz w:val="20"/>
              </w:rPr>
              <w:t>Thus, liability in the tort of negligence will be imposed for a negligent “pure omission” where </w:t>
            </w:r>
            <w:r>
              <w:rPr>
                <w:sz w:val="20"/>
              </w:rPr>
              <w:t>the defendant</w:t>
            </w:r>
            <w:r>
              <w:rPr>
                <w:spacing w:val="23"/>
                <w:sz w:val="20"/>
              </w:rPr>
              <w:t> </w:t>
            </w:r>
            <w:r>
              <w:rPr>
                <w:sz w:val="20"/>
              </w:rPr>
              <w:t>has</w:t>
            </w:r>
            <w:r>
              <w:rPr>
                <w:spacing w:val="23"/>
                <w:sz w:val="20"/>
              </w:rPr>
              <w:t> </w:t>
            </w:r>
            <w:r>
              <w:rPr>
                <w:sz w:val="20"/>
              </w:rPr>
              <w:t>voluntarily</w:t>
            </w:r>
            <w:r>
              <w:rPr>
                <w:spacing w:val="23"/>
                <w:sz w:val="20"/>
              </w:rPr>
              <w:t> </w:t>
            </w:r>
            <w:r>
              <w:rPr>
                <w:sz w:val="20"/>
              </w:rPr>
              <w:t>accepted</w:t>
            </w:r>
            <w:r>
              <w:rPr>
                <w:spacing w:val="23"/>
                <w:sz w:val="20"/>
              </w:rPr>
              <w:t> </w:t>
            </w:r>
            <w:r>
              <w:rPr>
                <w:sz w:val="20"/>
              </w:rPr>
              <w:t>a</w:t>
            </w:r>
            <w:r>
              <w:rPr>
                <w:spacing w:val="23"/>
                <w:sz w:val="20"/>
              </w:rPr>
              <w:t> </w:t>
            </w:r>
            <w:r>
              <w:rPr>
                <w:sz w:val="20"/>
              </w:rPr>
              <w:t>duty:</w:t>
            </w:r>
            <w:r>
              <w:rPr>
                <w:spacing w:val="23"/>
                <w:sz w:val="20"/>
              </w:rPr>
              <w:t> </w:t>
            </w:r>
            <w:r>
              <w:rPr>
                <w:sz w:val="20"/>
              </w:rPr>
              <w:t>Clerk</w:t>
            </w:r>
            <w:r>
              <w:rPr>
                <w:spacing w:val="23"/>
                <w:sz w:val="20"/>
              </w:rPr>
              <w:t> </w:t>
            </w:r>
            <w:r>
              <w:rPr>
                <w:sz w:val="20"/>
              </w:rPr>
              <w:t>&amp;</w:t>
            </w:r>
            <w:r>
              <w:rPr>
                <w:spacing w:val="23"/>
                <w:sz w:val="20"/>
              </w:rPr>
              <w:t> </w:t>
            </w:r>
            <w:r>
              <w:rPr>
                <w:sz w:val="20"/>
              </w:rPr>
              <w:t>Lindsell</w:t>
            </w:r>
            <w:r>
              <w:rPr>
                <w:spacing w:val="23"/>
                <w:sz w:val="20"/>
              </w:rPr>
              <w:t> </w:t>
            </w:r>
            <w:r>
              <w:rPr>
                <w:sz w:val="20"/>
              </w:rPr>
              <w:t>on</w:t>
            </w:r>
            <w:r>
              <w:rPr>
                <w:spacing w:val="23"/>
                <w:sz w:val="20"/>
              </w:rPr>
              <w:t> </w:t>
            </w:r>
            <w:r>
              <w:rPr>
                <w:sz w:val="20"/>
              </w:rPr>
              <w:t>Torts,</w:t>
            </w:r>
            <w:r>
              <w:rPr>
                <w:spacing w:val="23"/>
                <w:sz w:val="20"/>
              </w:rPr>
              <w:t> </w:t>
            </w:r>
            <w:r>
              <w:rPr>
                <w:sz w:val="20"/>
              </w:rPr>
              <w:t>21st</w:t>
            </w:r>
            <w:r>
              <w:rPr>
                <w:spacing w:val="23"/>
                <w:sz w:val="20"/>
              </w:rPr>
              <w:t> </w:t>
            </w:r>
            <w:r>
              <w:rPr>
                <w:sz w:val="20"/>
              </w:rPr>
              <w:t>edn</w:t>
            </w:r>
            <w:r>
              <w:rPr>
                <w:spacing w:val="23"/>
                <w:sz w:val="20"/>
              </w:rPr>
              <w:t> </w:t>
            </w:r>
            <w:r>
              <w:rPr>
                <w:sz w:val="20"/>
              </w:rPr>
              <w:t>(2014),</w:t>
            </w:r>
            <w:r>
              <w:rPr>
                <w:spacing w:val="23"/>
                <w:sz w:val="20"/>
              </w:rPr>
              <w:t> </w:t>
            </w:r>
            <w:r>
              <w:rPr>
                <w:sz w:val="20"/>
              </w:rPr>
              <w:t>paras </w:t>
            </w:r>
            <w:r>
              <w:rPr>
                <w:spacing w:val="-2"/>
                <w:sz w:val="20"/>
              </w:rPr>
              <w:t>8-53—8-61.</w:t>
            </w:r>
          </w:p>
        </w:tc>
      </w:tr>
      <w:tr>
        <w:trPr>
          <w:trHeight w:val="1244" w:hRule="atLeast"/>
        </w:trPr>
        <w:tc>
          <w:tcPr>
            <w:tcW w:w="496" w:type="dxa"/>
          </w:tcPr>
          <w:p>
            <w:pPr>
              <w:pStyle w:val="TableParagraph"/>
              <w:ind w:left="0" w:right="43"/>
              <w:rPr>
                <w:sz w:val="14"/>
              </w:rPr>
            </w:pPr>
            <w:r>
              <w:rPr>
                <w:color w:val="005DA1"/>
                <w:spacing w:val="-2"/>
                <w:sz w:val="14"/>
                <w:u w:val="single" w:color="005DA1"/>
              </w:rPr>
              <w:t>1025</w:t>
            </w:r>
            <w:r>
              <w:rPr>
                <w:spacing w:val="-2"/>
                <w:sz w:val="14"/>
              </w:rPr>
              <w:t>.</w:t>
            </w:r>
          </w:p>
        </w:tc>
        <w:tc>
          <w:tcPr>
            <w:tcW w:w="8621" w:type="dxa"/>
          </w:tcPr>
          <w:p>
            <w:pPr>
              <w:pStyle w:val="TableParagraph"/>
              <w:spacing w:line="235" w:lineRule="auto" w:before="118"/>
              <w:ind w:right="50"/>
              <w:jc w:val="both"/>
              <w:rPr>
                <w:rFonts w:ascii="Arial"/>
                <w:i/>
                <w:sz w:val="20"/>
              </w:rPr>
            </w:pPr>
            <w:r>
              <w:rPr>
                <w:rFonts w:ascii="Arial"/>
                <w:i/>
                <w:sz w:val="20"/>
              </w:rPr>
              <w:t>[1964] A.C. 465</w:t>
            </w:r>
            <w:r>
              <w:rPr>
                <w:sz w:val="20"/>
              </w:rPr>
              <w:t>. See </w:t>
            </w:r>
            <w:r>
              <w:rPr>
                <w:rFonts w:ascii="Arial"/>
                <w:i/>
                <w:sz w:val="20"/>
              </w:rPr>
              <w:t>Spring v Guardian Assurance Co Ltd [1995] 2 A.C. 296</w:t>
            </w:r>
            <w:r>
              <w:rPr>
                <w:sz w:val="20"/>
              </w:rPr>
              <w:t>; </w:t>
            </w:r>
            <w:r>
              <w:rPr>
                <w:rFonts w:ascii="Arial"/>
                <w:i/>
                <w:sz w:val="20"/>
              </w:rPr>
              <w:t>Henderson </w:t>
            </w:r>
            <w:r>
              <w:rPr>
                <w:rFonts w:ascii="Arial"/>
                <w:i/>
                <w:sz w:val="20"/>
              </w:rPr>
              <w:t>v Merrett Syndicates Ltd [1995] 2 A.C. 145</w:t>
            </w:r>
            <w:r>
              <w:rPr>
                <w:sz w:val="20"/>
              </w:rPr>
              <w:t>; </w:t>
            </w:r>
            <w:r>
              <w:rPr>
                <w:rFonts w:ascii="Arial"/>
                <w:i/>
                <w:sz w:val="20"/>
              </w:rPr>
              <w:t>Williams v Natural Life Health Foods Ltd and Mistlin [1998]</w:t>
            </w:r>
            <w:r>
              <w:rPr>
                <w:rFonts w:ascii="Arial"/>
                <w:i/>
                <w:spacing w:val="17"/>
                <w:sz w:val="20"/>
              </w:rPr>
              <w:t> </w:t>
            </w:r>
            <w:r>
              <w:rPr>
                <w:rFonts w:ascii="Arial"/>
                <w:i/>
                <w:sz w:val="20"/>
              </w:rPr>
              <w:t>1</w:t>
            </w:r>
            <w:r>
              <w:rPr>
                <w:rFonts w:ascii="Arial"/>
                <w:i/>
                <w:spacing w:val="18"/>
                <w:sz w:val="20"/>
              </w:rPr>
              <w:t> </w:t>
            </w:r>
            <w:r>
              <w:rPr>
                <w:rFonts w:ascii="Arial"/>
                <w:i/>
                <w:sz w:val="20"/>
              </w:rPr>
              <w:t>W.L.R.</w:t>
            </w:r>
            <w:r>
              <w:rPr>
                <w:rFonts w:ascii="Arial"/>
                <w:i/>
                <w:spacing w:val="18"/>
                <w:sz w:val="20"/>
              </w:rPr>
              <w:t> </w:t>
            </w:r>
            <w:r>
              <w:rPr>
                <w:rFonts w:ascii="Arial"/>
                <w:i/>
                <w:sz w:val="20"/>
              </w:rPr>
              <w:t>830</w:t>
            </w:r>
            <w:r>
              <w:rPr>
                <w:sz w:val="20"/>
              </w:rPr>
              <w:t>.</w:t>
            </w:r>
            <w:r>
              <w:rPr>
                <w:spacing w:val="18"/>
                <w:sz w:val="20"/>
              </w:rPr>
              <w:t> </w:t>
            </w:r>
            <w:r>
              <w:rPr>
                <w:sz w:val="20"/>
              </w:rPr>
              <w:t>cf.</w:t>
            </w:r>
            <w:r>
              <w:rPr>
                <w:spacing w:val="18"/>
                <w:sz w:val="20"/>
              </w:rPr>
              <w:t> </w:t>
            </w:r>
            <w:r>
              <w:rPr>
                <w:rFonts w:ascii="Arial"/>
                <w:i/>
                <w:sz w:val="20"/>
              </w:rPr>
              <w:t>Smith</w:t>
            </w:r>
            <w:r>
              <w:rPr>
                <w:rFonts w:ascii="Arial"/>
                <w:i/>
                <w:spacing w:val="18"/>
                <w:sz w:val="20"/>
              </w:rPr>
              <w:t> </w:t>
            </w:r>
            <w:r>
              <w:rPr>
                <w:rFonts w:ascii="Arial"/>
                <w:i/>
                <w:sz w:val="20"/>
              </w:rPr>
              <w:t>v</w:t>
            </w:r>
            <w:r>
              <w:rPr>
                <w:rFonts w:ascii="Arial"/>
                <w:i/>
                <w:spacing w:val="18"/>
                <w:sz w:val="20"/>
              </w:rPr>
              <w:t> </w:t>
            </w:r>
            <w:r>
              <w:rPr>
                <w:rFonts w:ascii="Arial"/>
                <w:i/>
                <w:sz w:val="20"/>
              </w:rPr>
              <w:t>Eric</w:t>
            </w:r>
            <w:r>
              <w:rPr>
                <w:rFonts w:ascii="Arial"/>
                <w:i/>
                <w:spacing w:val="18"/>
                <w:sz w:val="20"/>
              </w:rPr>
              <w:t> </w:t>
            </w:r>
            <w:r>
              <w:rPr>
                <w:rFonts w:ascii="Arial"/>
                <w:i/>
                <w:sz w:val="20"/>
              </w:rPr>
              <w:t>S</w:t>
            </w:r>
            <w:r>
              <w:rPr>
                <w:rFonts w:ascii="Arial"/>
                <w:i/>
                <w:spacing w:val="18"/>
                <w:sz w:val="20"/>
              </w:rPr>
              <w:t> </w:t>
            </w:r>
            <w:r>
              <w:rPr>
                <w:rFonts w:ascii="Arial"/>
                <w:i/>
                <w:sz w:val="20"/>
              </w:rPr>
              <w:t>Bush</w:t>
            </w:r>
            <w:r>
              <w:rPr>
                <w:rFonts w:ascii="Arial"/>
                <w:i/>
                <w:spacing w:val="17"/>
                <w:sz w:val="20"/>
              </w:rPr>
              <w:t> </w:t>
            </w:r>
            <w:r>
              <w:rPr>
                <w:rFonts w:ascii="Arial"/>
                <w:i/>
                <w:sz w:val="20"/>
              </w:rPr>
              <w:t>[1990]</w:t>
            </w:r>
            <w:r>
              <w:rPr>
                <w:rFonts w:ascii="Arial"/>
                <w:i/>
                <w:spacing w:val="18"/>
                <w:sz w:val="20"/>
              </w:rPr>
              <w:t> </w:t>
            </w:r>
            <w:r>
              <w:rPr>
                <w:rFonts w:ascii="Arial"/>
                <w:i/>
                <w:sz w:val="20"/>
              </w:rPr>
              <w:t>1</w:t>
            </w:r>
            <w:r>
              <w:rPr>
                <w:rFonts w:ascii="Arial"/>
                <w:i/>
                <w:spacing w:val="18"/>
                <w:sz w:val="20"/>
              </w:rPr>
              <w:t> </w:t>
            </w:r>
            <w:r>
              <w:rPr>
                <w:rFonts w:ascii="Arial"/>
                <w:i/>
                <w:sz w:val="20"/>
              </w:rPr>
              <w:t>A.C.</w:t>
            </w:r>
            <w:r>
              <w:rPr>
                <w:rFonts w:ascii="Arial"/>
                <w:i/>
                <w:spacing w:val="18"/>
                <w:sz w:val="20"/>
              </w:rPr>
              <w:t> </w:t>
            </w:r>
            <w:r>
              <w:rPr>
                <w:rFonts w:ascii="Arial"/>
                <w:i/>
                <w:sz w:val="20"/>
              </w:rPr>
              <w:t>831</w:t>
            </w:r>
            <w:r>
              <w:rPr>
                <w:sz w:val="20"/>
              </w:rPr>
              <w:t>;</w:t>
            </w:r>
            <w:r>
              <w:rPr>
                <w:spacing w:val="18"/>
                <w:sz w:val="20"/>
              </w:rPr>
              <w:t> </w:t>
            </w:r>
            <w:r>
              <w:rPr>
                <w:rFonts w:ascii="Arial"/>
                <w:i/>
                <w:sz w:val="20"/>
              </w:rPr>
              <w:t>Harris</w:t>
            </w:r>
            <w:r>
              <w:rPr>
                <w:rFonts w:ascii="Arial"/>
                <w:i/>
                <w:spacing w:val="18"/>
                <w:sz w:val="20"/>
              </w:rPr>
              <w:t> </w:t>
            </w:r>
            <w:r>
              <w:rPr>
                <w:rFonts w:ascii="Arial"/>
                <w:i/>
                <w:sz w:val="20"/>
              </w:rPr>
              <w:t>v</w:t>
            </w:r>
            <w:r>
              <w:rPr>
                <w:rFonts w:ascii="Arial"/>
                <w:i/>
                <w:spacing w:val="18"/>
                <w:sz w:val="20"/>
              </w:rPr>
              <w:t> </w:t>
            </w:r>
            <w:r>
              <w:rPr>
                <w:rFonts w:ascii="Arial"/>
                <w:i/>
                <w:sz w:val="20"/>
              </w:rPr>
              <w:t>Wyre</w:t>
            </w:r>
            <w:r>
              <w:rPr>
                <w:rFonts w:ascii="Arial"/>
                <w:i/>
                <w:spacing w:val="18"/>
                <w:sz w:val="20"/>
              </w:rPr>
              <w:t> </w:t>
            </w:r>
            <w:r>
              <w:rPr>
                <w:rFonts w:ascii="Arial"/>
                <w:i/>
                <w:sz w:val="20"/>
              </w:rPr>
              <w:t>Forest</w:t>
            </w:r>
            <w:r>
              <w:rPr>
                <w:rFonts w:ascii="Arial"/>
                <w:i/>
                <w:spacing w:val="18"/>
                <w:sz w:val="20"/>
              </w:rPr>
              <w:t> </w:t>
            </w:r>
            <w:r>
              <w:rPr>
                <w:rFonts w:ascii="Arial"/>
                <w:i/>
                <w:spacing w:val="-2"/>
                <w:sz w:val="20"/>
              </w:rPr>
              <w:t>District</w:t>
            </w:r>
          </w:p>
          <w:p>
            <w:pPr>
              <w:pStyle w:val="TableParagraph"/>
              <w:spacing w:line="223" w:lineRule="exact" w:before="0"/>
              <w:jc w:val="both"/>
              <w:rPr>
                <w:sz w:val="20"/>
              </w:rPr>
            </w:pPr>
            <w:r>
              <w:rPr>
                <w:rFonts w:ascii="Arial"/>
                <w:i/>
                <w:sz w:val="20"/>
              </w:rPr>
              <w:t>Council</w:t>
            </w:r>
            <w:r>
              <w:rPr>
                <w:rFonts w:ascii="Arial"/>
                <w:i/>
                <w:spacing w:val="17"/>
                <w:sz w:val="20"/>
              </w:rPr>
              <w:t> </w:t>
            </w:r>
            <w:r>
              <w:rPr>
                <w:rFonts w:ascii="Arial"/>
                <w:i/>
                <w:sz w:val="20"/>
              </w:rPr>
              <w:t>[1990]</w:t>
            </w:r>
            <w:r>
              <w:rPr>
                <w:rFonts w:ascii="Arial"/>
                <w:i/>
                <w:spacing w:val="17"/>
                <w:sz w:val="20"/>
              </w:rPr>
              <w:t> </w:t>
            </w:r>
            <w:r>
              <w:rPr>
                <w:rFonts w:ascii="Arial"/>
                <w:i/>
                <w:sz w:val="20"/>
              </w:rPr>
              <w:t>1</w:t>
            </w:r>
            <w:r>
              <w:rPr>
                <w:rFonts w:ascii="Arial"/>
                <w:i/>
                <w:spacing w:val="17"/>
                <w:sz w:val="20"/>
              </w:rPr>
              <w:t> </w:t>
            </w:r>
            <w:r>
              <w:rPr>
                <w:rFonts w:ascii="Arial"/>
                <w:i/>
                <w:sz w:val="20"/>
              </w:rPr>
              <w:t>A.C.</w:t>
            </w:r>
            <w:r>
              <w:rPr>
                <w:rFonts w:ascii="Arial"/>
                <w:i/>
                <w:spacing w:val="17"/>
                <w:sz w:val="20"/>
              </w:rPr>
              <w:t> </w:t>
            </w:r>
            <w:r>
              <w:rPr>
                <w:rFonts w:ascii="Arial"/>
                <w:i/>
                <w:sz w:val="20"/>
              </w:rPr>
              <w:t>831</w:t>
            </w:r>
            <w:r>
              <w:rPr>
                <w:rFonts w:ascii="Arial"/>
                <w:i/>
                <w:spacing w:val="16"/>
                <w:sz w:val="20"/>
              </w:rPr>
              <w:t> </w:t>
            </w:r>
            <w:r>
              <w:rPr>
                <w:sz w:val="20"/>
              </w:rPr>
              <w:t>at</w:t>
            </w:r>
            <w:r>
              <w:rPr>
                <w:spacing w:val="17"/>
                <w:sz w:val="20"/>
              </w:rPr>
              <w:t> </w:t>
            </w:r>
            <w:r>
              <w:rPr>
                <w:sz w:val="20"/>
              </w:rPr>
              <w:t>862</w:t>
            </w:r>
            <w:r>
              <w:rPr>
                <w:spacing w:val="17"/>
                <w:sz w:val="20"/>
              </w:rPr>
              <w:t> </w:t>
            </w:r>
            <w:r>
              <w:rPr>
                <w:sz w:val="20"/>
              </w:rPr>
              <w:t>and</w:t>
            </w:r>
            <w:r>
              <w:rPr>
                <w:spacing w:val="17"/>
                <w:sz w:val="20"/>
              </w:rPr>
              <w:t> </w:t>
            </w:r>
            <w:r>
              <w:rPr>
                <w:sz w:val="20"/>
              </w:rPr>
              <w:t>see</w:t>
            </w:r>
            <w:r>
              <w:rPr>
                <w:spacing w:val="17"/>
                <w:sz w:val="20"/>
              </w:rPr>
              <w:t> </w:t>
            </w:r>
            <w:r>
              <w:rPr>
                <w:sz w:val="20"/>
              </w:rPr>
              <w:t>below,</w:t>
            </w:r>
            <w:r>
              <w:rPr>
                <w:spacing w:val="17"/>
                <w:sz w:val="20"/>
              </w:rPr>
              <w:t> </w:t>
            </w:r>
            <w:r>
              <w:rPr>
                <w:sz w:val="20"/>
              </w:rPr>
              <w:t>paras</w:t>
            </w:r>
            <w:r>
              <w:rPr>
                <w:spacing w:val="17"/>
                <w:sz w:val="20"/>
              </w:rPr>
              <w:t> </w:t>
            </w:r>
            <w:r>
              <w:rPr>
                <w:sz w:val="20"/>
              </w:rPr>
              <w:t>1-166</w:t>
            </w:r>
            <w:r>
              <w:rPr>
                <w:spacing w:val="17"/>
                <w:sz w:val="20"/>
              </w:rPr>
              <w:t> </w:t>
            </w:r>
            <w:r>
              <w:rPr>
                <w:sz w:val="20"/>
              </w:rPr>
              <w:t>et</w:t>
            </w:r>
            <w:r>
              <w:rPr>
                <w:spacing w:val="17"/>
                <w:sz w:val="20"/>
              </w:rPr>
              <w:t> </w:t>
            </w:r>
            <w:r>
              <w:rPr>
                <w:sz w:val="20"/>
              </w:rPr>
              <w:t>seq.</w:t>
            </w:r>
            <w:r>
              <w:rPr>
                <w:spacing w:val="17"/>
                <w:sz w:val="20"/>
              </w:rPr>
              <w:t> </w:t>
            </w:r>
            <w:r>
              <w:rPr>
                <w:sz w:val="20"/>
              </w:rPr>
              <w:t>See</w:t>
            </w:r>
            <w:r>
              <w:rPr>
                <w:spacing w:val="17"/>
                <w:sz w:val="20"/>
              </w:rPr>
              <w:t> </w:t>
            </w:r>
            <w:r>
              <w:rPr>
                <w:sz w:val="20"/>
              </w:rPr>
              <w:t>also</w:t>
            </w:r>
            <w:r>
              <w:rPr>
                <w:spacing w:val="17"/>
                <w:sz w:val="20"/>
              </w:rPr>
              <w:t> </w:t>
            </w:r>
            <w:r>
              <w:rPr>
                <w:sz w:val="20"/>
              </w:rPr>
              <w:t>Barker</w:t>
            </w:r>
            <w:r>
              <w:rPr>
                <w:spacing w:val="17"/>
                <w:sz w:val="20"/>
              </w:rPr>
              <w:t> </w:t>
            </w:r>
            <w:r>
              <w:rPr>
                <w:spacing w:val="-2"/>
                <w:sz w:val="20"/>
              </w:rPr>
              <w:t>(1993)</w:t>
            </w:r>
          </w:p>
          <w:p>
            <w:pPr>
              <w:pStyle w:val="TableParagraph"/>
              <w:spacing w:line="207" w:lineRule="exact" w:before="0"/>
              <w:jc w:val="both"/>
              <w:rPr>
                <w:sz w:val="20"/>
              </w:rPr>
            </w:pPr>
            <w:r>
              <w:rPr>
                <w:sz w:val="20"/>
              </w:rPr>
              <w:t>109 L.Q.R. 461; Whittaker (1997) 17 Legal Studies </w:t>
            </w:r>
            <w:r>
              <w:rPr>
                <w:spacing w:val="-4"/>
                <w:sz w:val="20"/>
              </w:rPr>
              <w:t>169.</w:t>
            </w:r>
          </w:p>
        </w:tc>
      </w:tr>
    </w:tbl>
    <w:p>
      <w:pPr>
        <w:pStyle w:val="TableParagraph"/>
        <w:spacing w:after="0" w:line="207" w:lineRule="exact"/>
        <w:jc w:val="both"/>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left="0" w:right="43"/>
              <w:rPr>
                <w:sz w:val="14"/>
              </w:rPr>
            </w:pPr>
            <w:r>
              <w:rPr>
                <w:color w:val="005DA1"/>
                <w:spacing w:val="-2"/>
                <w:sz w:val="14"/>
                <w:u w:val="single" w:color="005DA1"/>
              </w:rPr>
              <w:t>1026</w:t>
            </w:r>
            <w:r>
              <w:rPr>
                <w:spacing w:val="-2"/>
                <w:sz w:val="14"/>
              </w:rPr>
              <w:t>.</w:t>
            </w:r>
          </w:p>
        </w:tc>
        <w:tc>
          <w:tcPr>
            <w:tcW w:w="8620" w:type="dxa"/>
          </w:tcPr>
          <w:p>
            <w:pPr>
              <w:pStyle w:val="TableParagraph"/>
              <w:spacing w:line="223" w:lineRule="exact" w:before="0"/>
              <w:jc w:val="left"/>
              <w:rPr>
                <w:sz w:val="20"/>
              </w:rPr>
            </w:pPr>
            <w:r>
              <w:rPr>
                <w:rFonts w:ascii="Arial"/>
                <w:i/>
                <w:sz w:val="20"/>
              </w:rPr>
              <w:t>Montgomery v Lanarkshire Health Board [2015] UKSC 11, [2015] 2 W.L.R. </w:t>
            </w:r>
            <w:r>
              <w:rPr>
                <w:rFonts w:ascii="Arial"/>
                <w:i/>
                <w:spacing w:val="-4"/>
                <w:sz w:val="20"/>
              </w:rPr>
              <w:t>768</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1027</w:t>
            </w:r>
            <w:r>
              <w:rPr>
                <w:spacing w:val="-2"/>
                <w:sz w:val="14"/>
              </w:rPr>
              <w:t>.</w:t>
            </w:r>
          </w:p>
        </w:tc>
        <w:tc>
          <w:tcPr>
            <w:tcW w:w="8620" w:type="dxa"/>
          </w:tcPr>
          <w:p>
            <w:pPr>
              <w:pStyle w:val="TableParagraph"/>
              <w:spacing w:before="114"/>
              <w:jc w:val="left"/>
              <w:rPr>
                <w:sz w:val="20"/>
              </w:rPr>
            </w:pPr>
            <w:r>
              <w:rPr>
                <w:rFonts w:ascii="Arial"/>
                <w:i/>
                <w:sz w:val="20"/>
              </w:rPr>
              <w:t>Condon v Basi [1985] 1 W.L.R. </w:t>
            </w:r>
            <w:r>
              <w:rPr>
                <w:rFonts w:ascii="Arial"/>
                <w:i/>
                <w:spacing w:val="-4"/>
                <w:sz w:val="20"/>
              </w:rPr>
              <w:t>866</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1028</w:t>
            </w:r>
            <w:r>
              <w:rPr>
                <w:spacing w:val="-2"/>
                <w:sz w:val="14"/>
              </w:rPr>
              <w:t>.</w:t>
            </w:r>
          </w:p>
        </w:tc>
        <w:tc>
          <w:tcPr>
            <w:tcW w:w="8620" w:type="dxa"/>
          </w:tcPr>
          <w:p>
            <w:pPr>
              <w:pStyle w:val="TableParagraph"/>
              <w:spacing w:before="114"/>
              <w:jc w:val="left"/>
              <w:rPr>
                <w:sz w:val="20"/>
              </w:rPr>
            </w:pPr>
            <w:r>
              <w:rPr>
                <w:sz w:val="20"/>
              </w:rPr>
              <w:t>See below, para.1-</w:t>
            </w:r>
            <w:r>
              <w:rPr>
                <w:spacing w:val="-4"/>
                <w:sz w:val="20"/>
              </w:rPr>
              <w:t>181.</w:t>
            </w:r>
          </w:p>
        </w:tc>
      </w:tr>
      <w:tr>
        <w:trPr>
          <w:trHeight w:val="690" w:hRule="atLeast"/>
        </w:trPr>
        <w:tc>
          <w:tcPr>
            <w:tcW w:w="496" w:type="dxa"/>
          </w:tcPr>
          <w:p>
            <w:pPr>
              <w:pStyle w:val="TableParagraph"/>
              <w:ind w:left="0" w:right="43"/>
              <w:rPr>
                <w:sz w:val="14"/>
              </w:rPr>
            </w:pPr>
            <w:r>
              <w:rPr>
                <w:color w:val="005DA1"/>
                <w:spacing w:val="-2"/>
                <w:sz w:val="14"/>
                <w:u w:val="single" w:color="005DA1"/>
              </w:rPr>
              <w:t>1029</w:t>
            </w:r>
            <w:r>
              <w:rPr>
                <w:spacing w:val="-2"/>
                <w:sz w:val="14"/>
              </w:rPr>
              <w:t>.</w:t>
            </w:r>
          </w:p>
        </w:tc>
        <w:tc>
          <w:tcPr>
            <w:tcW w:w="8620" w:type="dxa"/>
          </w:tcPr>
          <w:p>
            <w:pPr>
              <w:pStyle w:val="TableParagraph"/>
              <w:spacing w:line="227" w:lineRule="exact" w:before="114"/>
              <w:jc w:val="left"/>
              <w:rPr>
                <w:sz w:val="20"/>
              </w:rPr>
            </w:pPr>
            <w:r>
              <w:rPr>
                <w:sz w:val="20"/>
              </w:rPr>
              <w:t>Burrows</w:t>
            </w:r>
            <w:r>
              <w:rPr>
                <w:spacing w:val="1"/>
                <w:sz w:val="20"/>
              </w:rPr>
              <w:t> </w:t>
            </w:r>
            <w:r>
              <w:rPr>
                <w:sz w:val="20"/>
              </w:rPr>
              <w:t>(1983)</w:t>
            </w:r>
            <w:r>
              <w:rPr>
                <w:spacing w:val="1"/>
                <w:sz w:val="20"/>
              </w:rPr>
              <w:t> </w:t>
            </w:r>
            <w:r>
              <w:rPr>
                <w:sz w:val="20"/>
              </w:rPr>
              <w:t>99</w:t>
            </w:r>
            <w:r>
              <w:rPr>
                <w:spacing w:val="1"/>
                <w:sz w:val="20"/>
              </w:rPr>
              <w:t> </w:t>
            </w:r>
            <w:r>
              <w:rPr>
                <w:sz w:val="20"/>
              </w:rPr>
              <w:t>L.Q.R.</w:t>
            </w:r>
            <w:r>
              <w:rPr>
                <w:spacing w:val="1"/>
                <w:sz w:val="20"/>
              </w:rPr>
              <w:t> </w:t>
            </w:r>
            <w:r>
              <w:rPr>
                <w:sz w:val="20"/>
              </w:rPr>
              <w:t>217;</w:t>
            </w:r>
            <w:r>
              <w:rPr>
                <w:spacing w:val="1"/>
                <w:sz w:val="20"/>
              </w:rPr>
              <w:t> </w:t>
            </w:r>
            <w:r>
              <w:rPr>
                <w:sz w:val="20"/>
              </w:rPr>
              <w:t>Taylor</w:t>
            </w:r>
            <w:r>
              <w:rPr>
                <w:spacing w:val="1"/>
                <w:sz w:val="20"/>
              </w:rPr>
              <w:t> </w:t>
            </w:r>
            <w:r>
              <w:rPr>
                <w:sz w:val="20"/>
              </w:rPr>
              <w:t>(1982)</w:t>
            </w:r>
            <w:r>
              <w:rPr>
                <w:spacing w:val="1"/>
                <w:sz w:val="20"/>
              </w:rPr>
              <w:t> </w:t>
            </w:r>
            <w:r>
              <w:rPr>
                <w:sz w:val="20"/>
              </w:rPr>
              <w:t>45</w:t>
            </w:r>
            <w:r>
              <w:rPr>
                <w:spacing w:val="1"/>
                <w:sz w:val="20"/>
              </w:rPr>
              <w:t> </w:t>
            </w:r>
            <w:r>
              <w:rPr>
                <w:sz w:val="20"/>
              </w:rPr>
              <w:t>M.L.R.</w:t>
            </w:r>
            <w:r>
              <w:rPr>
                <w:spacing w:val="1"/>
                <w:sz w:val="20"/>
              </w:rPr>
              <w:t> </w:t>
            </w:r>
            <w:r>
              <w:rPr>
                <w:sz w:val="20"/>
              </w:rPr>
              <w:t>139;</w:t>
            </w:r>
            <w:r>
              <w:rPr>
                <w:spacing w:val="1"/>
                <w:sz w:val="20"/>
              </w:rPr>
              <w:t> </w:t>
            </w:r>
            <w:r>
              <w:rPr>
                <w:sz w:val="20"/>
              </w:rPr>
              <w:t>Friedmann</w:t>
            </w:r>
            <w:r>
              <w:rPr>
                <w:spacing w:val="1"/>
                <w:sz w:val="20"/>
              </w:rPr>
              <w:t> </w:t>
            </w:r>
            <w:r>
              <w:rPr>
                <w:sz w:val="20"/>
              </w:rPr>
              <w:t>(1995)</w:t>
            </w:r>
            <w:r>
              <w:rPr>
                <w:spacing w:val="1"/>
                <w:sz w:val="20"/>
              </w:rPr>
              <w:t> </w:t>
            </w:r>
            <w:r>
              <w:rPr>
                <w:sz w:val="20"/>
              </w:rPr>
              <w:t>111</w:t>
            </w:r>
            <w:r>
              <w:rPr>
                <w:spacing w:val="1"/>
                <w:sz w:val="20"/>
              </w:rPr>
              <w:t> </w:t>
            </w:r>
            <w:r>
              <w:rPr>
                <w:sz w:val="20"/>
              </w:rPr>
              <w:t>L.Q.R.</w:t>
            </w:r>
            <w:r>
              <w:rPr>
                <w:spacing w:val="1"/>
                <w:sz w:val="20"/>
              </w:rPr>
              <w:t> </w:t>
            </w:r>
            <w:r>
              <w:rPr>
                <w:spacing w:val="-4"/>
                <w:sz w:val="20"/>
              </w:rPr>
              <w:t>628;</w:t>
            </w:r>
          </w:p>
          <w:p>
            <w:pPr>
              <w:pStyle w:val="TableParagraph"/>
              <w:spacing w:line="227" w:lineRule="exact" w:before="0"/>
              <w:jc w:val="left"/>
              <w:rPr>
                <w:sz w:val="20"/>
              </w:rPr>
            </w:pPr>
            <w:r>
              <w:rPr>
                <w:sz w:val="20"/>
              </w:rPr>
              <w:t>Whittaker (1996) 16 O.J.L.S. 191, 207 et seq. cf. Stapleton (1997) 113 L.Q.R. </w:t>
            </w:r>
            <w:r>
              <w:rPr>
                <w:spacing w:val="-4"/>
                <w:sz w:val="20"/>
              </w:rPr>
              <w:t>257.</w:t>
            </w:r>
          </w:p>
        </w:tc>
      </w:tr>
      <w:tr>
        <w:trPr>
          <w:trHeight w:val="465" w:hRule="atLeast"/>
        </w:trPr>
        <w:tc>
          <w:tcPr>
            <w:tcW w:w="496" w:type="dxa"/>
          </w:tcPr>
          <w:p>
            <w:pPr>
              <w:pStyle w:val="TableParagraph"/>
              <w:ind w:left="0" w:right="43"/>
              <w:rPr>
                <w:sz w:val="14"/>
              </w:rPr>
            </w:pPr>
            <w:r>
              <w:rPr>
                <w:color w:val="005DA1"/>
                <w:spacing w:val="-2"/>
                <w:sz w:val="14"/>
                <w:u w:val="single" w:color="005DA1"/>
              </w:rPr>
              <w:t>1030</w:t>
            </w:r>
            <w:r>
              <w:rPr>
                <w:spacing w:val="-2"/>
                <w:sz w:val="14"/>
              </w:rPr>
              <w:t>.</w:t>
            </w:r>
          </w:p>
        </w:tc>
        <w:tc>
          <w:tcPr>
            <w:tcW w:w="8620" w:type="dxa"/>
          </w:tcPr>
          <w:p>
            <w:pPr>
              <w:pStyle w:val="TableParagraph"/>
              <w:spacing w:before="114"/>
              <w:jc w:val="left"/>
              <w:rPr>
                <w:sz w:val="20"/>
              </w:rPr>
            </w:pPr>
            <w:r>
              <w:rPr>
                <w:sz w:val="20"/>
              </w:rPr>
              <w:t>Atiyah, </w:t>
            </w:r>
            <w:r>
              <w:rPr>
                <w:rFonts w:ascii="Arial"/>
                <w:i/>
                <w:sz w:val="20"/>
              </w:rPr>
              <w:t>Essays on Contract</w:t>
            </w:r>
            <w:r>
              <w:rPr>
                <w:rFonts w:ascii="Arial"/>
                <w:i/>
                <w:spacing w:val="-1"/>
                <w:sz w:val="20"/>
              </w:rPr>
              <w:t> </w:t>
            </w:r>
            <w:r>
              <w:rPr>
                <w:sz w:val="20"/>
              </w:rPr>
              <w:t>(1986), Essay 2; Hedley (1988) 9 L.S. </w:t>
            </w:r>
            <w:r>
              <w:rPr>
                <w:spacing w:val="-4"/>
                <w:sz w:val="20"/>
              </w:rPr>
              <w:t>137.</w:t>
            </w:r>
          </w:p>
        </w:tc>
      </w:tr>
      <w:tr>
        <w:trPr>
          <w:trHeight w:val="465" w:hRule="atLeast"/>
        </w:trPr>
        <w:tc>
          <w:tcPr>
            <w:tcW w:w="496" w:type="dxa"/>
          </w:tcPr>
          <w:p>
            <w:pPr>
              <w:pStyle w:val="TableParagraph"/>
              <w:ind w:left="0" w:right="43"/>
              <w:rPr>
                <w:sz w:val="14"/>
              </w:rPr>
            </w:pPr>
            <w:r>
              <w:rPr>
                <w:color w:val="005DA1"/>
                <w:spacing w:val="-2"/>
                <w:sz w:val="14"/>
                <w:u w:val="single" w:color="005DA1"/>
              </w:rPr>
              <w:t>1031</w:t>
            </w:r>
            <w:r>
              <w:rPr>
                <w:spacing w:val="-2"/>
                <w:sz w:val="14"/>
              </w:rPr>
              <w:t>.</w:t>
            </w:r>
          </w:p>
        </w:tc>
        <w:tc>
          <w:tcPr>
            <w:tcW w:w="8620" w:type="dxa"/>
          </w:tcPr>
          <w:p>
            <w:pPr>
              <w:pStyle w:val="TableParagraph"/>
              <w:spacing w:before="114"/>
              <w:jc w:val="left"/>
              <w:rPr>
                <w:sz w:val="20"/>
              </w:rPr>
            </w:pPr>
            <w:r>
              <w:rPr>
                <w:sz w:val="20"/>
              </w:rPr>
              <w:t>Fuller &amp; Purdue (1936–1937) 46 Yale L.J. 52 and </w:t>
            </w:r>
            <w:r>
              <w:rPr>
                <w:spacing w:val="-4"/>
                <w:sz w:val="20"/>
              </w:rPr>
              <w:t>373.</w:t>
            </w:r>
          </w:p>
        </w:tc>
      </w:tr>
      <w:tr>
        <w:trPr>
          <w:trHeight w:val="344" w:hRule="atLeast"/>
        </w:trPr>
        <w:tc>
          <w:tcPr>
            <w:tcW w:w="496" w:type="dxa"/>
          </w:tcPr>
          <w:p>
            <w:pPr>
              <w:pStyle w:val="TableParagraph"/>
              <w:ind w:left="0" w:right="43"/>
              <w:rPr>
                <w:sz w:val="14"/>
              </w:rPr>
            </w:pPr>
            <w:r>
              <w:rPr>
                <w:color w:val="005DA1"/>
                <w:spacing w:val="-2"/>
                <w:sz w:val="14"/>
                <w:u w:val="single" w:color="005DA1"/>
              </w:rPr>
              <w:t>1032</w:t>
            </w:r>
            <w:r>
              <w:rPr>
                <w:spacing w:val="-2"/>
                <w:sz w:val="14"/>
              </w:rPr>
              <w:t>.</w:t>
            </w:r>
          </w:p>
        </w:tc>
        <w:tc>
          <w:tcPr>
            <w:tcW w:w="8620" w:type="dxa"/>
          </w:tcPr>
          <w:p>
            <w:pPr>
              <w:pStyle w:val="TableParagraph"/>
              <w:spacing w:line="210" w:lineRule="exact" w:before="114"/>
              <w:jc w:val="left"/>
              <w:rPr>
                <w:sz w:val="20"/>
              </w:rPr>
            </w:pPr>
            <w:r>
              <w:rPr>
                <w:sz w:val="20"/>
              </w:rPr>
              <w:t>Atiyah, </w:t>
            </w:r>
            <w:r>
              <w:rPr>
                <w:rFonts w:ascii="Arial" w:hAnsi="Arial"/>
                <w:i/>
                <w:sz w:val="20"/>
              </w:rPr>
              <w:t>The Rise and Fall of Freedom of Contract</w:t>
            </w:r>
            <w:r>
              <w:rPr>
                <w:rFonts w:ascii="Arial" w:hAnsi="Arial"/>
                <w:i/>
                <w:spacing w:val="-1"/>
                <w:sz w:val="20"/>
              </w:rPr>
              <w:t> </w:t>
            </w:r>
            <w:r>
              <w:rPr>
                <w:sz w:val="20"/>
              </w:rPr>
              <w:t>(1979), </w:t>
            </w:r>
            <w:r>
              <w:rPr>
                <w:spacing w:val="-2"/>
                <w:sz w:val="20"/>
              </w:rPr>
              <w:t>pp.762–763.</w:t>
            </w:r>
          </w:p>
        </w:tc>
      </w:tr>
      <w:tr>
        <w:trPr>
          <w:trHeight w:val="585" w:hRule="atLeast"/>
        </w:trPr>
        <w:tc>
          <w:tcPr>
            <w:tcW w:w="496" w:type="dxa"/>
          </w:tcPr>
          <w:p>
            <w:pPr>
              <w:pStyle w:val="TableParagraph"/>
              <w:spacing w:before="81"/>
              <w:ind w:left="0"/>
              <w:jc w:val="left"/>
              <w:rPr>
                <w:sz w:val="14"/>
              </w:rPr>
            </w:pPr>
          </w:p>
          <w:p>
            <w:pPr>
              <w:pStyle w:val="TableParagraph"/>
              <w:spacing w:before="0"/>
              <w:ind w:left="0" w:right="43"/>
              <w:rPr>
                <w:sz w:val="14"/>
              </w:rPr>
            </w:pPr>
            <w:r>
              <w:rPr>
                <w:color w:val="005DA1"/>
                <w:spacing w:val="-2"/>
                <w:sz w:val="14"/>
                <w:u w:val="single" w:color="005DA1"/>
              </w:rPr>
              <w:t>1033</w:t>
            </w:r>
            <w:r>
              <w:rPr>
                <w:spacing w:val="-2"/>
                <w:sz w:val="14"/>
              </w:rPr>
              <w:t>.</w:t>
            </w:r>
          </w:p>
        </w:tc>
        <w:tc>
          <w:tcPr>
            <w:tcW w:w="8620" w:type="dxa"/>
          </w:tcPr>
          <w:p>
            <w:pPr>
              <w:pStyle w:val="TableParagraph"/>
              <w:spacing w:before="125"/>
              <w:ind w:left="0"/>
              <w:jc w:val="left"/>
              <w:rPr>
                <w:sz w:val="20"/>
              </w:rPr>
            </w:pPr>
          </w:p>
          <w:p>
            <w:pPr>
              <w:pStyle w:val="TableParagraph"/>
              <w:spacing w:line="210" w:lineRule="exact" w:before="0"/>
              <w:ind w:left="264"/>
              <w:jc w:val="left"/>
              <w:rPr>
                <w:sz w:val="20"/>
              </w:rPr>
            </w:pPr>
            <w:r>
              <w:rPr>
                <w:sz w:val="20"/>
              </w:rPr>
              <mc:AlternateContent>
                <mc:Choice Requires="wps">
                  <w:drawing>
                    <wp:anchor distT="0" distB="0" distL="0" distR="0" allowOverlap="1" layoutInCell="1" locked="0" behindDoc="1" simplePos="0" relativeHeight="480526336">
                      <wp:simplePos x="0" y="0"/>
                      <wp:positionH relativeFrom="column">
                        <wp:posOffset>60516</wp:posOffset>
                      </wp:positionH>
                      <wp:positionV relativeFrom="paragraph">
                        <wp:posOffset>27938</wp:posOffset>
                      </wp:positionV>
                      <wp:extent cx="108585" cy="108585"/>
                      <wp:effectExtent l="0" t="0" r="0" b="0"/>
                      <wp:wrapNone/>
                      <wp:docPr id="439" name="Group 439"/>
                      <wp:cNvGraphicFramePr>
                        <a:graphicFrameLocks/>
                      </wp:cNvGraphicFramePr>
                      <a:graphic>
                        <a:graphicData uri="http://schemas.microsoft.com/office/word/2010/wordprocessingGroup">
                          <wpg:wgp>
                            <wpg:cNvPr id="439" name="Group 439"/>
                            <wpg:cNvGrpSpPr/>
                            <wpg:grpSpPr>
                              <a:xfrm>
                                <a:off x="0" y="0"/>
                                <a:ext cx="108585" cy="108585"/>
                                <a:chExt cx="108585" cy="108585"/>
                              </a:xfrm>
                            </wpg:grpSpPr>
                            <pic:pic>
                              <pic:nvPicPr>
                                <pic:cNvPr id="440" name="Image 440"/>
                                <pic:cNvPicPr/>
                              </pic:nvPicPr>
                              <pic:blipFill>
                                <a:blip r:embed="rId6" cstate="print"/>
                                <a:stretch>
                                  <a:fillRect/>
                                </a:stretch>
                              </pic:blipFill>
                              <pic:spPr>
                                <a:xfrm>
                                  <a:off x="0" y="0"/>
                                  <a:ext cx="107988" cy="107988"/>
                                </a:xfrm>
                                <a:prstGeom prst="rect">
                                  <a:avLst/>
                                </a:prstGeom>
                              </pic:spPr>
                            </pic:pic>
                          </wpg:wgp>
                        </a:graphicData>
                      </a:graphic>
                    </wp:anchor>
                  </w:drawing>
                </mc:Choice>
                <mc:Fallback>
                  <w:pict>
                    <v:group style="position:absolute;margin-left:4.765088pt;margin-top:2.199883pt;width:8.550pt;height:8.550pt;mso-position-horizontal-relative:column;mso-position-vertical-relative:paragraph;z-index:-22790144" id="docshapegroup74" coordorigin="95,44" coordsize="171,171">
                      <v:shape style="position:absolute;left:95;top:44;width:171;height:171" type="#_x0000_t75" id="docshape75" stroked="false">
                        <v:imagedata r:id="rId6" o:title=""/>
                      </v:shape>
                      <w10:wrap type="none"/>
                    </v:group>
                  </w:pict>
                </mc:Fallback>
              </mc:AlternateContent>
            </w:r>
            <w:r>
              <w:rPr>
                <w:sz w:val="20"/>
              </w:rPr>
              <w:t>Peel,</w:t>
            </w:r>
            <w:r>
              <w:rPr>
                <w:spacing w:val="-2"/>
                <w:sz w:val="20"/>
              </w:rPr>
              <w:t> </w:t>
            </w:r>
            <w:r>
              <w:rPr>
                <w:rFonts w:ascii="Arial" w:hAnsi="Arial"/>
                <w:i/>
                <w:sz w:val="20"/>
              </w:rPr>
              <w:t>Treitel on The Law of Contract</w:t>
            </w:r>
            <w:r>
              <w:rPr>
                <w:sz w:val="20"/>
              </w:rPr>
              <w:t>, 14th edn (2015), </w:t>
            </w:r>
            <w:r>
              <w:rPr>
                <w:spacing w:val="-2"/>
                <w:sz w:val="20"/>
              </w:rPr>
              <w:t>para.20–021.</w:t>
            </w:r>
          </w:p>
        </w:tc>
      </w:tr>
      <w:tr>
        <w:trPr>
          <w:trHeight w:val="585" w:hRule="atLeast"/>
        </w:trPr>
        <w:tc>
          <w:tcPr>
            <w:tcW w:w="496" w:type="dxa"/>
          </w:tcPr>
          <w:p>
            <w:pPr>
              <w:pStyle w:val="TableParagraph"/>
              <w:spacing w:before="81"/>
              <w:ind w:left="0"/>
              <w:jc w:val="left"/>
              <w:rPr>
                <w:sz w:val="14"/>
              </w:rPr>
            </w:pPr>
          </w:p>
          <w:p>
            <w:pPr>
              <w:pStyle w:val="TableParagraph"/>
              <w:spacing w:before="0"/>
              <w:ind w:left="0" w:right="43"/>
              <w:rPr>
                <w:sz w:val="14"/>
              </w:rPr>
            </w:pPr>
            <w:r>
              <w:rPr>
                <w:color w:val="005DA1"/>
                <w:spacing w:val="-2"/>
                <w:sz w:val="14"/>
                <w:u w:val="single" w:color="005DA1"/>
              </w:rPr>
              <w:t>1034</w:t>
            </w:r>
            <w:r>
              <w:rPr>
                <w:spacing w:val="-2"/>
                <w:sz w:val="14"/>
              </w:rPr>
              <w:t>.</w:t>
            </w:r>
          </w:p>
        </w:tc>
        <w:tc>
          <w:tcPr>
            <w:tcW w:w="8620" w:type="dxa"/>
          </w:tcPr>
          <w:p>
            <w:pPr>
              <w:pStyle w:val="TableParagraph"/>
              <w:spacing w:before="5"/>
              <w:ind w:left="0"/>
              <w:jc w:val="left"/>
              <w:rPr>
                <w:sz w:val="20"/>
              </w:rPr>
            </w:pPr>
          </w:p>
          <w:p>
            <w:pPr>
              <w:pStyle w:val="TableParagraph"/>
              <w:spacing w:before="0"/>
              <w:jc w:val="left"/>
              <w:rPr>
                <w:sz w:val="20"/>
              </w:rPr>
            </w:pPr>
            <w:r>
              <w:rPr>
                <w:rFonts w:ascii="Arial"/>
                <w:i/>
                <w:sz w:val="20"/>
              </w:rPr>
              <w:t>[1964] A.C. </w:t>
            </w:r>
            <w:r>
              <w:rPr>
                <w:rFonts w:ascii="Arial"/>
                <w:i/>
                <w:spacing w:val="-4"/>
                <w:sz w:val="20"/>
              </w:rPr>
              <w:t>465</w:t>
            </w:r>
            <w:r>
              <w:rPr>
                <w:spacing w:val="-4"/>
                <w:sz w:val="20"/>
              </w:rPr>
              <w:t>.</w:t>
            </w:r>
          </w:p>
        </w:tc>
      </w:tr>
      <w:tr>
        <w:trPr>
          <w:trHeight w:val="690" w:hRule="atLeast"/>
        </w:trPr>
        <w:tc>
          <w:tcPr>
            <w:tcW w:w="496" w:type="dxa"/>
          </w:tcPr>
          <w:p>
            <w:pPr>
              <w:pStyle w:val="TableParagraph"/>
              <w:ind w:left="0" w:right="43"/>
              <w:rPr>
                <w:sz w:val="14"/>
              </w:rPr>
            </w:pPr>
            <w:r>
              <w:rPr>
                <w:color w:val="005DA1"/>
                <w:spacing w:val="-2"/>
                <w:sz w:val="14"/>
                <w:u w:val="single" w:color="005DA1"/>
              </w:rPr>
              <w:t>1035</w:t>
            </w:r>
            <w:r>
              <w:rPr>
                <w:spacing w:val="-2"/>
                <w:sz w:val="14"/>
              </w:rPr>
              <w:t>.</w:t>
            </w:r>
          </w:p>
        </w:tc>
        <w:tc>
          <w:tcPr>
            <w:tcW w:w="8620" w:type="dxa"/>
          </w:tcPr>
          <w:p>
            <w:pPr>
              <w:pStyle w:val="TableParagraph"/>
              <w:spacing w:line="235" w:lineRule="auto" w:before="118"/>
              <w:jc w:val="left"/>
              <w:rPr>
                <w:sz w:val="20"/>
              </w:rPr>
            </w:pPr>
            <w:r>
              <w:rPr>
                <w:sz w:val="20"/>
              </w:rPr>
              <w:t>See</w:t>
            </w:r>
            <w:r>
              <w:rPr>
                <w:spacing w:val="35"/>
                <w:sz w:val="20"/>
              </w:rPr>
              <w:t> </w:t>
            </w:r>
            <w:r>
              <w:rPr>
                <w:rFonts w:ascii="Arial" w:hAnsi="Arial"/>
                <w:i/>
                <w:sz w:val="20"/>
              </w:rPr>
              <w:t>Henderson</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Merrett</w:t>
            </w:r>
            <w:r>
              <w:rPr>
                <w:rFonts w:ascii="Arial" w:hAnsi="Arial"/>
                <w:i/>
                <w:spacing w:val="35"/>
                <w:sz w:val="20"/>
              </w:rPr>
              <w:t> </w:t>
            </w:r>
            <w:r>
              <w:rPr>
                <w:rFonts w:ascii="Arial" w:hAnsi="Arial"/>
                <w:i/>
                <w:sz w:val="20"/>
              </w:rPr>
              <w:t>Syndicates</w:t>
            </w:r>
            <w:r>
              <w:rPr>
                <w:rFonts w:ascii="Arial" w:hAnsi="Arial"/>
                <w:i/>
                <w:spacing w:val="35"/>
                <w:sz w:val="20"/>
              </w:rPr>
              <w:t> </w:t>
            </w:r>
            <w:r>
              <w:rPr>
                <w:rFonts w:ascii="Arial" w:hAnsi="Arial"/>
                <w:i/>
                <w:sz w:val="20"/>
              </w:rPr>
              <w:t>Ltd</w:t>
            </w:r>
            <w:r>
              <w:rPr>
                <w:rFonts w:ascii="Arial" w:hAnsi="Arial"/>
                <w:i/>
                <w:spacing w:val="35"/>
                <w:sz w:val="20"/>
              </w:rPr>
              <w:t> </w:t>
            </w:r>
            <w:r>
              <w:rPr>
                <w:rFonts w:ascii="Arial" w:hAnsi="Arial"/>
                <w:i/>
                <w:sz w:val="20"/>
              </w:rPr>
              <w:t>[1995]</w:t>
            </w:r>
            <w:r>
              <w:rPr>
                <w:rFonts w:ascii="Arial" w:hAnsi="Arial"/>
                <w:i/>
                <w:spacing w:val="35"/>
                <w:sz w:val="20"/>
              </w:rPr>
              <w:t> </w:t>
            </w:r>
            <w:r>
              <w:rPr>
                <w:rFonts w:ascii="Arial" w:hAnsi="Arial"/>
                <w:i/>
                <w:sz w:val="20"/>
              </w:rPr>
              <w:t>2</w:t>
            </w:r>
            <w:r>
              <w:rPr>
                <w:rFonts w:ascii="Arial" w:hAnsi="Arial"/>
                <w:i/>
                <w:spacing w:val="35"/>
                <w:sz w:val="20"/>
              </w:rPr>
              <w:t> </w:t>
            </w:r>
            <w:r>
              <w:rPr>
                <w:rFonts w:ascii="Arial" w:hAnsi="Arial"/>
                <w:i/>
                <w:sz w:val="20"/>
              </w:rPr>
              <w:t>A.C.</w:t>
            </w:r>
            <w:r>
              <w:rPr>
                <w:rFonts w:ascii="Arial" w:hAnsi="Arial"/>
                <w:i/>
                <w:spacing w:val="35"/>
                <w:sz w:val="20"/>
              </w:rPr>
              <w:t> </w:t>
            </w:r>
            <w:r>
              <w:rPr>
                <w:rFonts w:ascii="Arial" w:hAnsi="Arial"/>
                <w:i/>
                <w:sz w:val="20"/>
              </w:rPr>
              <w:t>145</w:t>
            </w:r>
            <w:r>
              <w:rPr>
                <w:sz w:val="20"/>
              </w:rPr>
              <w:t>;</w:t>
            </w:r>
            <w:r>
              <w:rPr>
                <w:spacing w:val="35"/>
                <w:sz w:val="20"/>
              </w:rPr>
              <w:t> </w:t>
            </w:r>
            <w:r>
              <w:rPr>
                <w:rFonts w:ascii="Arial" w:hAnsi="Arial"/>
                <w:i/>
                <w:sz w:val="20"/>
              </w:rPr>
              <w:t>Williams</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Natural</w:t>
            </w:r>
            <w:r>
              <w:rPr>
                <w:rFonts w:ascii="Arial" w:hAnsi="Arial"/>
                <w:i/>
                <w:spacing w:val="35"/>
                <w:sz w:val="20"/>
              </w:rPr>
              <w:t> </w:t>
            </w:r>
            <w:r>
              <w:rPr>
                <w:rFonts w:ascii="Arial" w:hAnsi="Arial"/>
                <w:i/>
                <w:sz w:val="20"/>
              </w:rPr>
              <w:t>Life</w:t>
            </w:r>
            <w:r>
              <w:rPr>
                <w:rFonts w:ascii="Arial" w:hAnsi="Arial"/>
                <w:i/>
                <w:spacing w:val="35"/>
                <w:sz w:val="20"/>
              </w:rPr>
              <w:t> </w:t>
            </w:r>
            <w:r>
              <w:rPr>
                <w:rFonts w:ascii="Arial" w:hAnsi="Arial"/>
                <w:i/>
                <w:sz w:val="20"/>
              </w:rPr>
              <w:t>Health Foods Ltd and Mistlin [1998] 1 W.L.R. 830 </w:t>
            </w:r>
            <w:r>
              <w:rPr>
                <w:sz w:val="20"/>
              </w:rPr>
              <w:t>and below, paras 1-166—1-173.</w:t>
            </w:r>
          </w:p>
        </w:tc>
      </w:tr>
      <w:tr>
        <w:trPr>
          <w:trHeight w:val="465" w:hRule="atLeast"/>
        </w:trPr>
        <w:tc>
          <w:tcPr>
            <w:tcW w:w="496" w:type="dxa"/>
          </w:tcPr>
          <w:p>
            <w:pPr>
              <w:pStyle w:val="TableParagraph"/>
              <w:ind w:left="0" w:right="43"/>
              <w:rPr>
                <w:sz w:val="14"/>
              </w:rPr>
            </w:pPr>
            <w:r>
              <w:rPr>
                <w:color w:val="005DA1"/>
                <w:spacing w:val="-2"/>
                <w:sz w:val="14"/>
                <w:u w:val="single" w:color="005DA1"/>
              </w:rPr>
              <w:t>1036</w:t>
            </w:r>
            <w:r>
              <w:rPr>
                <w:spacing w:val="-2"/>
                <w:sz w:val="14"/>
              </w:rPr>
              <w:t>.</w:t>
            </w:r>
          </w:p>
        </w:tc>
        <w:tc>
          <w:tcPr>
            <w:tcW w:w="8620" w:type="dxa"/>
          </w:tcPr>
          <w:p>
            <w:pPr>
              <w:pStyle w:val="TableParagraph"/>
              <w:spacing w:before="114"/>
              <w:jc w:val="left"/>
              <w:rPr>
                <w:sz w:val="20"/>
              </w:rPr>
            </w:pPr>
            <w:r>
              <w:rPr>
                <w:sz w:val="20"/>
              </w:rPr>
              <w:t>Atiyah, </w:t>
            </w:r>
            <w:r>
              <w:rPr>
                <w:rFonts w:ascii="Arial" w:hAnsi="Arial"/>
                <w:i/>
                <w:sz w:val="20"/>
              </w:rPr>
              <w:t>Essays on Contract</w:t>
            </w:r>
            <w:r>
              <w:rPr>
                <w:rFonts w:ascii="Arial" w:hAnsi="Arial"/>
                <w:i/>
                <w:spacing w:val="-1"/>
                <w:sz w:val="20"/>
              </w:rPr>
              <w:t> </w:t>
            </w:r>
            <w:r>
              <w:rPr>
                <w:sz w:val="20"/>
              </w:rPr>
              <w:t>(1986), pp.53–55. cf. Burrows (1983) 99 L.Q.R. </w:t>
            </w:r>
            <w:r>
              <w:rPr>
                <w:spacing w:val="-4"/>
                <w:sz w:val="20"/>
              </w:rPr>
              <w:t>217.</w:t>
            </w:r>
          </w:p>
        </w:tc>
      </w:tr>
      <w:tr>
        <w:trPr>
          <w:trHeight w:val="465" w:hRule="atLeast"/>
        </w:trPr>
        <w:tc>
          <w:tcPr>
            <w:tcW w:w="496" w:type="dxa"/>
          </w:tcPr>
          <w:p>
            <w:pPr>
              <w:pStyle w:val="TableParagraph"/>
              <w:ind w:left="0" w:right="43"/>
              <w:rPr>
                <w:sz w:val="14"/>
              </w:rPr>
            </w:pPr>
            <w:r>
              <w:rPr>
                <w:color w:val="005DA1"/>
                <w:spacing w:val="-2"/>
                <w:sz w:val="14"/>
                <w:u w:val="single" w:color="005DA1"/>
              </w:rPr>
              <w:t>1037</w:t>
            </w:r>
            <w:r>
              <w:rPr>
                <w:spacing w:val="-2"/>
                <w:sz w:val="14"/>
              </w:rPr>
              <w:t>.</w:t>
            </w:r>
          </w:p>
        </w:tc>
        <w:tc>
          <w:tcPr>
            <w:tcW w:w="8620" w:type="dxa"/>
          </w:tcPr>
          <w:p>
            <w:pPr>
              <w:pStyle w:val="TableParagraph"/>
              <w:spacing w:before="114"/>
              <w:jc w:val="left"/>
              <w:rPr>
                <w:sz w:val="20"/>
              </w:rPr>
            </w:pPr>
            <w:r>
              <w:rPr>
                <w:sz w:val="20"/>
              </w:rPr>
              <w:t>Atiyah at Essay 2; Hedley (1988) 8 L.S. </w:t>
            </w:r>
            <w:r>
              <w:rPr>
                <w:spacing w:val="-4"/>
                <w:sz w:val="20"/>
              </w:rPr>
              <w:t>137.</w:t>
            </w:r>
          </w:p>
        </w:tc>
      </w:tr>
      <w:tr>
        <w:trPr>
          <w:trHeight w:val="690" w:hRule="atLeast"/>
        </w:trPr>
        <w:tc>
          <w:tcPr>
            <w:tcW w:w="496" w:type="dxa"/>
          </w:tcPr>
          <w:p>
            <w:pPr>
              <w:pStyle w:val="TableParagraph"/>
              <w:ind w:left="0" w:right="43"/>
              <w:rPr>
                <w:sz w:val="14"/>
              </w:rPr>
            </w:pPr>
            <w:r>
              <w:rPr>
                <w:color w:val="005DA1"/>
                <w:spacing w:val="-2"/>
                <w:sz w:val="14"/>
                <w:u w:val="single" w:color="005DA1"/>
              </w:rPr>
              <w:t>1038</w:t>
            </w:r>
            <w:r>
              <w:rPr>
                <w:spacing w:val="-2"/>
                <w:sz w:val="14"/>
              </w:rPr>
              <w:t>.</w:t>
            </w:r>
          </w:p>
        </w:tc>
        <w:tc>
          <w:tcPr>
            <w:tcW w:w="8620" w:type="dxa"/>
          </w:tcPr>
          <w:p>
            <w:pPr>
              <w:pStyle w:val="TableParagraph"/>
              <w:spacing w:line="235" w:lineRule="auto" w:before="118"/>
              <w:ind w:right="46"/>
              <w:jc w:val="left"/>
              <w:rPr>
                <w:sz w:val="20"/>
              </w:rPr>
            </w:pPr>
            <w:r>
              <w:rPr>
                <w:sz w:val="20"/>
              </w:rPr>
              <w:t>McGregor on Damages, 19th edn (2014), paras 22-001 et seq.; Burrows, </w:t>
            </w:r>
            <w:r>
              <w:rPr>
                <w:rFonts w:ascii="Arial"/>
                <w:i/>
                <w:sz w:val="20"/>
              </w:rPr>
              <w:t>Remedies for Torts</w:t>
            </w:r>
            <w:r>
              <w:rPr>
                <w:rFonts w:ascii="Arial"/>
                <w:i/>
                <w:spacing w:val="80"/>
                <w:sz w:val="20"/>
              </w:rPr>
              <w:t> </w:t>
            </w:r>
            <w:r>
              <w:rPr>
                <w:rFonts w:ascii="Arial"/>
                <w:i/>
                <w:sz w:val="20"/>
              </w:rPr>
              <w:t>and Breach of Contract</w:t>
            </w:r>
            <w:r>
              <w:rPr>
                <w:sz w:val="20"/>
              </w:rPr>
              <w:t>, 3rd edn (2004), Ch.2.</w:t>
            </w:r>
          </w:p>
        </w:tc>
      </w:tr>
      <w:tr>
        <w:trPr>
          <w:trHeight w:val="915" w:hRule="atLeast"/>
        </w:trPr>
        <w:tc>
          <w:tcPr>
            <w:tcW w:w="496" w:type="dxa"/>
          </w:tcPr>
          <w:p>
            <w:pPr>
              <w:pStyle w:val="TableParagraph"/>
              <w:ind w:left="0" w:right="43"/>
              <w:rPr>
                <w:sz w:val="14"/>
              </w:rPr>
            </w:pPr>
            <w:r>
              <w:rPr>
                <w:color w:val="005DA1"/>
                <w:spacing w:val="-2"/>
                <w:sz w:val="14"/>
                <w:u w:val="single" w:color="005DA1"/>
              </w:rPr>
              <w:t>1039</w:t>
            </w:r>
            <w:r>
              <w:rPr>
                <w:spacing w:val="-2"/>
                <w:sz w:val="14"/>
              </w:rPr>
              <w:t>.</w:t>
            </w:r>
          </w:p>
        </w:tc>
        <w:tc>
          <w:tcPr>
            <w:tcW w:w="8620" w:type="dxa"/>
          </w:tcPr>
          <w:p>
            <w:pPr>
              <w:pStyle w:val="TableParagraph"/>
              <w:spacing w:line="227" w:lineRule="exact" w:before="114"/>
              <w:jc w:val="left"/>
              <w:rPr>
                <w:sz w:val="20"/>
              </w:rPr>
            </w:pPr>
            <w:r>
              <w:rPr>
                <w:rFonts w:ascii="Arial"/>
                <w:i/>
                <w:sz w:val="20"/>
              </w:rPr>
              <w:t>Robinson</w:t>
            </w:r>
            <w:r>
              <w:rPr>
                <w:rFonts w:ascii="Arial"/>
                <w:i/>
                <w:spacing w:val="10"/>
                <w:sz w:val="20"/>
              </w:rPr>
              <w:t> </w:t>
            </w:r>
            <w:r>
              <w:rPr>
                <w:rFonts w:ascii="Arial"/>
                <w:i/>
                <w:sz w:val="20"/>
              </w:rPr>
              <w:t>v</w:t>
            </w:r>
            <w:r>
              <w:rPr>
                <w:rFonts w:ascii="Arial"/>
                <w:i/>
                <w:spacing w:val="11"/>
                <w:sz w:val="20"/>
              </w:rPr>
              <w:t> </w:t>
            </w:r>
            <w:r>
              <w:rPr>
                <w:rFonts w:ascii="Arial"/>
                <w:i/>
                <w:sz w:val="20"/>
              </w:rPr>
              <w:t>Harman</w:t>
            </w:r>
            <w:r>
              <w:rPr>
                <w:rFonts w:ascii="Arial"/>
                <w:i/>
                <w:spacing w:val="11"/>
                <w:sz w:val="20"/>
              </w:rPr>
              <w:t> </w:t>
            </w:r>
            <w:r>
              <w:rPr>
                <w:rFonts w:ascii="Arial"/>
                <w:i/>
                <w:sz w:val="20"/>
              </w:rPr>
              <w:t>(1848)</w:t>
            </w:r>
            <w:r>
              <w:rPr>
                <w:rFonts w:ascii="Arial"/>
                <w:i/>
                <w:spacing w:val="11"/>
                <w:sz w:val="20"/>
              </w:rPr>
              <w:t> </w:t>
            </w:r>
            <w:r>
              <w:rPr>
                <w:rFonts w:ascii="Arial"/>
                <w:i/>
                <w:sz w:val="20"/>
              </w:rPr>
              <w:t>1</w:t>
            </w:r>
            <w:r>
              <w:rPr>
                <w:rFonts w:ascii="Arial"/>
                <w:i/>
                <w:spacing w:val="11"/>
                <w:sz w:val="20"/>
              </w:rPr>
              <w:t> </w:t>
            </w:r>
            <w:r>
              <w:rPr>
                <w:rFonts w:ascii="Arial"/>
                <w:i/>
                <w:sz w:val="20"/>
              </w:rPr>
              <w:t>Exch.</w:t>
            </w:r>
            <w:r>
              <w:rPr>
                <w:rFonts w:ascii="Arial"/>
                <w:i/>
                <w:spacing w:val="11"/>
                <w:sz w:val="20"/>
              </w:rPr>
              <w:t> </w:t>
            </w:r>
            <w:r>
              <w:rPr>
                <w:rFonts w:ascii="Arial"/>
                <w:i/>
                <w:sz w:val="20"/>
              </w:rPr>
              <w:t>850,</w:t>
            </w:r>
            <w:r>
              <w:rPr>
                <w:rFonts w:ascii="Arial"/>
                <w:i/>
                <w:spacing w:val="11"/>
                <w:sz w:val="20"/>
              </w:rPr>
              <w:t> </w:t>
            </w:r>
            <w:r>
              <w:rPr>
                <w:rFonts w:ascii="Arial"/>
                <w:i/>
                <w:sz w:val="20"/>
              </w:rPr>
              <w:t>855</w:t>
            </w:r>
            <w:r>
              <w:rPr>
                <w:sz w:val="20"/>
              </w:rPr>
              <w:t>;</w:t>
            </w:r>
            <w:r>
              <w:rPr>
                <w:spacing w:val="11"/>
                <w:sz w:val="20"/>
              </w:rPr>
              <w:t> </w:t>
            </w:r>
            <w:r>
              <w:rPr>
                <w:sz w:val="20"/>
              </w:rPr>
              <w:t>Burrows</w:t>
            </w:r>
            <w:r>
              <w:rPr>
                <w:spacing w:val="11"/>
                <w:sz w:val="20"/>
              </w:rPr>
              <w:t> </w:t>
            </w:r>
            <w:r>
              <w:rPr>
                <w:sz w:val="20"/>
              </w:rPr>
              <w:t>(1983)</w:t>
            </w:r>
            <w:r>
              <w:rPr>
                <w:spacing w:val="11"/>
                <w:sz w:val="20"/>
              </w:rPr>
              <w:t> </w:t>
            </w:r>
            <w:r>
              <w:rPr>
                <w:sz w:val="20"/>
              </w:rPr>
              <w:t>99</w:t>
            </w:r>
            <w:r>
              <w:rPr>
                <w:spacing w:val="11"/>
                <w:sz w:val="20"/>
              </w:rPr>
              <w:t> </w:t>
            </w:r>
            <w:r>
              <w:rPr>
                <w:sz w:val="20"/>
              </w:rPr>
              <w:t>L.Q.R.</w:t>
            </w:r>
            <w:r>
              <w:rPr>
                <w:spacing w:val="11"/>
                <w:sz w:val="20"/>
              </w:rPr>
              <w:t> </w:t>
            </w:r>
            <w:r>
              <w:rPr>
                <w:sz w:val="20"/>
              </w:rPr>
              <w:t>217.</w:t>
            </w:r>
            <w:r>
              <w:rPr>
                <w:spacing w:val="11"/>
                <w:sz w:val="20"/>
              </w:rPr>
              <w:t> </w:t>
            </w:r>
            <w:r>
              <w:rPr>
                <w:sz w:val="20"/>
              </w:rPr>
              <w:t>cf.</w:t>
            </w:r>
            <w:r>
              <w:rPr>
                <w:spacing w:val="11"/>
                <w:sz w:val="20"/>
              </w:rPr>
              <w:t> </w:t>
            </w:r>
            <w:r>
              <w:rPr>
                <w:sz w:val="20"/>
              </w:rPr>
              <w:t>Atiyah</w:t>
            </w:r>
            <w:r>
              <w:rPr>
                <w:spacing w:val="11"/>
                <w:sz w:val="20"/>
              </w:rPr>
              <w:t> </w:t>
            </w:r>
            <w:r>
              <w:rPr>
                <w:spacing w:val="-2"/>
                <w:sz w:val="20"/>
              </w:rPr>
              <w:t>(1978)</w:t>
            </w:r>
          </w:p>
          <w:p>
            <w:pPr>
              <w:pStyle w:val="TableParagraph"/>
              <w:spacing w:line="225" w:lineRule="exact" w:before="0"/>
              <w:jc w:val="left"/>
              <w:rPr>
                <w:sz w:val="20"/>
              </w:rPr>
            </w:pPr>
            <w:r>
              <w:rPr>
                <w:sz w:val="20"/>
              </w:rPr>
              <w:t>94</w:t>
            </w:r>
            <w:r>
              <w:rPr>
                <w:spacing w:val="19"/>
                <w:sz w:val="20"/>
              </w:rPr>
              <w:t> </w:t>
            </w:r>
            <w:r>
              <w:rPr>
                <w:sz w:val="20"/>
              </w:rPr>
              <w:t>L.Q.R.</w:t>
            </w:r>
            <w:r>
              <w:rPr>
                <w:spacing w:val="19"/>
                <w:sz w:val="20"/>
              </w:rPr>
              <w:t> </w:t>
            </w:r>
            <w:r>
              <w:rPr>
                <w:sz w:val="20"/>
              </w:rPr>
              <w:t>193</w:t>
            </w:r>
            <w:r>
              <w:rPr>
                <w:spacing w:val="19"/>
                <w:sz w:val="20"/>
              </w:rPr>
              <w:t> </w:t>
            </w:r>
            <w:r>
              <w:rPr>
                <w:sz w:val="20"/>
              </w:rPr>
              <w:t>and</w:t>
            </w:r>
            <w:r>
              <w:rPr>
                <w:spacing w:val="19"/>
                <w:sz w:val="20"/>
              </w:rPr>
              <w:t> </w:t>
            </w:r>
            <w:r>
              <w:rPr>
                <w:sz w:val="20"/>
              </w:rPr>
              <w:t>Essays</w:t>
            </w:r>
            <w:r>
              <w:rPr>
                <w:spacing w:val="19"/>
                <w:sz w:val="20"/>
              </w:rPr>
              <w:t> </w:t>
            </w:r>
            <w:r>
              <w:rPr>
                <w:sz w:val="20"/>
              </w:rPr>
              <w:t>on</w:t>
            </w:r>
            <w:r>
              <w:rPr>
                <w:spacing w:val="19"/>
                <w:sz w:val="20"/>
              </w:rPr>
              <w:t> </w:t>
            </w:r>
            <w:r>
              <w:rPr>
                <w:sz w:val="20"/>
              </w:rPr>
              <w:t>Contract</w:t>
            </w:r>
            <w:r>
              <w:rPr>
                <w:spacing w:val="19"/>
                <w:sz w:val="20"/>
              </w:rPr>
              <w:t> </w:t>
            </w:r>
            <w:r>
              <w:rPr>
                <w:sz w:val="20"/>
              </w:rPr>
              <w:t>(1986),</w:t>
            </w:r>
            <w:r>
              <w:rPr>
                <w:spacing w:val="19"/>
                <w:sz w:val="20"/>
              </w:rPr>
              <w:t> </w:t>
            </w:r>
            <w:r>
              <w:rPr>
                <w:sz w:val="20"/>
              </w:rPr>
              <w:t>Ch.2;</w:t>
            </w:r>
            <w:r>
              <w:rPr>
                <w:spacing w:val="19"/>
                <w:sz w:val="20"/>
              </w:rPr>
              <w:t> </w:t>
            </w:r>
            <w:r>
              <w:rPr>
                <w:sz w:val="20"/>
              </w:rPr>
              <w:t>Owen</w:t>
            </w:r>
            <w:r>
              <w:rPr>
                <w:spacing w:val="19"/>
                <w:sz w:val="20"/>
              </w:rPr>
              <w:t> </w:t>
            </w:r>
            <w:r>
              <w:rPr>
                <w:sz w:val="20"/>
              </w:rPr>
              <w:t>(1984)</w:t>
            </w:r>
            <w:r>
              <w:rPr>
                <w:spacing w:val="19"/>
                <w:sz w:val="20"/>
              </w:rPr>
              <w:t> </w:t>
            </w:r>
            <w:r>
              <w:rPr>
                <w:sz w:val="20"/>
              </w:rPr>
              <w:t>4</w:t>
            </w:r>
            <w:r>
              <w:rPr>
                <w:spacing w:val="19"/>
                <w:sz w:val="20"/>
              </w:rPr>
              <w:t> </w:t>
            </w:r>
            <w:r>
              <w:rPr>
                <w:sz w:val="20"/>
              </w:rPr>
              <w:t>O.J.L.S.</w:t>
            </w:r>
            <w:r>
              <w:rPr>
                <w:spacing w:val="19"/>
                <w:sz w:val="20"/>
              </w:rPr>
              <w:t> </w:t>
            </w:r>
            <w:r>
              <w:rPr>
                <w:sz w:val="20"/>
              </w:rPr>
              <w:t>393;</w:t>
            </w:r>
            <w:r>
              <w:rPr>
                <w:spacing w:val="19"/>
                <w:sz w:val="20"/>
              </w:rPr>
              <w:t> </w:t>
            </w:r>
            <w:r>
              <w:rPr>
                <w:spacing w:val="-2"/>
                <w:sz w:val="20"/>
              </w:rPr>
              <w:t>Waddams</w:t>
            </w:r>
          </w:p>
          <w:p>
            <w:pPr>
              <w:pStyle w:val="TableParagraph"/>
              <w:spacing w:line="227" w:lineRule="exact" w:before="0"/>
              <w:jc w:val="left"/>
              <w:rPr>
                <w:sz w:val="20"/>
              </w:rPr>
            </w:pPr>
            <w:r>
              <w:rPr>
                <w:sz w:val="20"/>
              </w:rPr>
              <w:t>(1983–84) 8 Can. Bus. L.J. 2; Friedmann (1995) 111 L.Q.R. </w:t>
            </w:r>
            <w:r>
              <w:rPr>
                <w:spacing w:val="-4"/>
                <w:sz w:val="20"/>
              </w:rPr>
              <w:t>628.</w:t>
            </w:r>
          </w:p>
        </w:tc>
      </w:tr>
      <w:tr>
        <w:trPr>
          <w:trHeight w:val="915" w:hRule="atLeast"/>
        </w:trPr>
        <w:tc>
          <w:tcPr>
            <w:tcW w:w="496" w:type="dxa"/>
          </w:tcPr>
          <w:p>
            <w:pPr>
              <w:pStyle w:val="TableParagraph"/>
              <w:ind w:left="0" w:right="43"/>
              <w:rPr>
                <w:sz w:val="14"/>
              </w:rPr>
            </w:pPr>
            <w:r>
              <w:rPr>
                <w:color w:val="005DA1"/>
                <w:spacing w:val="-2"/>
                <w:sz w:val="14"/>
                <w:u w:val="single" w:color="005DA1"/>
              </w:rPr>
              <w:t>1040</w:t>
            </w:r>
            <w:r>
              <w:rPr>
                <w:spacing w:val="-2"/>
                <w:sz w:val="14"/>
              </w:rPr>
              <w:t>.</w:t>
            </w:r>
          </w:p>
        </w:tc>
        <w:tc>
          <w:tcPr>
            <w:tcW w:w="8620" w:type="dxa"/>
          </w:tcPr>
          <w:p>
            <w:pPr>
              <w:pStyle w:val="TableParagraph"/>
              <w:spacing w:line="235" w:lineRule="auto" w:before="118"/>
              <w:ind w:right="49"/>
              <w:jc w:val="both"/>
              <w:rPr>
                <w:sz w:val="20"/>
              </w:rPr>
            </w:pPr>
            <w:r>
              <w:rPr>
                <w:rFonts w:ascii="Arial" w:hAnsi="Arial"/>
                <w:i/>
                <w:sz w:val="20"/>
              </w:rPr>
              <w:t>Livingstone v Raywards Coal Co (1880) 5 App. Cas. 25, 39</w:t>
            </w:r>
            <w:r>
              <w:rPr>
                <w:sz w:val="20"/>
              </w:rPr>
              <w:t>; </w:t>
            </w:r>
            <w:r>
              <w:rPr>
                <w:rFonts w:ascii="Arial" w:hAnsi="Arial"/>
                <w:i/>
                <w:sz w:val="20"/>
              </w:rPr>
              <w:t>Lim Poh Choo v Camden and Islington Area Health Authority [1980] A.C. 174, 186 et seq.</w:t>
            </w:r>
            <w:r>
              <w:rPr>
                <w:sz w:val="20"/>
              </w:rPr>
              <w:t>; </w:t>
            </w:r>
            <w:r>
              <w:rPr>
                <w:rFonts w:ascii="Arial" w:hAnsi="Arial"/>
                <w:i/>
                <w:sz w:val="20"/>
              </w:rPr>
              <w:t>Gates v City Mutual </w:t>
            </w:r>
            <w:r>
              <w:rPr>
                <w:rFonts w:ascii="Arial" w:hAnsi="Arial"/>
                <w:i/>
                <w:sz w:val="20"/>
              </w:rPr>
              <w:t>Life</w:t>
            </w:r>
            <w:r>
              <w:rPr>
                <w:rFonts w:ascii="Arial" w:hAnsi="Arial"/>
                <w:i/>
                <w:spacing w:val="40"/>
                <w:sz w:val="20"/>
              </w:rPr>
              <w:t> </w:t>
            </w:r>
            <w:r>
              <w:rPr>
                <w:rFonts w:ascii="Arial" w:hAnsi="Arial"/>
                <w:i/>
                <w:sz w:val="20"/>
              </w:rPr>
              <w:t>Assurance Society Ltd (1986) C.L.R. 1, 11–12</w:t>
            </w:r>
            <w:r>
              <w:rPr>
                <w:sz w:val="20"/>
              </w:rPr>
              <w:t>.</w:t>
            </w:r>
          </w:p>
        </w:tc>
      </w:tr>
      <w:tr>
        <w:trPr>
          <w:trHeight w:val="344" w:hRule="atLeast"/>
        </w:trPr>
        <w:tc>
          <w:tcPr>
            <w:tcW w:w="496" w:type="dxa"/>
          </w:tcPr>
          <w:p>
            <w:pPr>
              <w:pStyle w:val="TableParagraph"/>
              <w:ind w:left="0" w:right="43"/>
              <w:rPr>
                <w:sz w:val="14"/>
              </w:rPr>
            </w:pPr>
            <w:r>
              <w:rPr>
                <w:color w:val="005DA1"/>
                <w:spacing w:val="-2"/>
                <w:sz w:val="14"/>
                <w:u w:val="single" w:color="005DA1"/>
              </w:rPr>
              <w:t>1041</w:t>
            </w:r>
            <w:r>
              <w:rPr>
                <w:spacing w:val="-2"/>
                <w:sz w:val="14"/>
              </w:rPr>
              <w:t>.</w:t>
            </w:r>
          </w:p>
        </w:tc>
        <w:tc>
          <w:tcPr>
            <w:tcW w:w="8620" w:type="dxa"/>
          </w:tcPr>
          <w:p>
            <w:pPr>
              <w:pStyle w:val="TableParagraph"/>
              <w:spacing w:line="210" w:lineRule="exact" w:before="114"/>
              <w:jc w:val="left"/>
              <w:rPr>
                <w:sz w:val="20"/>
              </w:rPr>
            </w:pPr>
            <w:r>
              <w:rPr>
                <w:sz w:val="20"/>
              </w:rPr>
              <w:t>e.g. Sale of Goods Act 1979 </w:t>
            </w:r>
            <w:r>
              <w:rPr>
                <w:spacing w:val="-2"/>
                <w:sz w:val="20"/>
              </w:rPr>
              <w:t>s.53(3).</w:t>
            </w:r>
          </w:p>
        </w:tc>
      </w:tr>
    </w:tbl>
    <w:p>
      <w:pPr>
        <w:pStyle w:val="BodyText"/>
        <w:spacing w:before="82"/>
        <w:rPr>
          <w:sz w:val="14"/>
        </w:rPr>
      </w:pPr>
    </w:p>
    <w:p>
      <w:pPr>
        <w:spacing w:line="137" w:lineRule="exact" w:before="0"/>
        <w:ind w:left="165" w:right="0" w:firstLine="0"/>
        <w:jc w:val="left"/>
        <w:rPr>
          <w:sz w:val="14"/>
        </w:rPr>
      </w:pPr>
      <w:r>
        <w:rPr>
          <w:color w:val="005DA1"/>
          <w:spacing w:val="-2"/>
          <w:sz w:val="14"/>
          <w:u w:val="single" w:color="005DA1"/>
        </w:rPr>
        <w:t>1042</w:t>
      </w:r>
      <w:r>
        <w:rPr>
          <w:spacing w:val="-2"/>
          <w:sz w:val="14"/>
        </w:rPr>
        <w:t>.</w:t>
      </w:r>
    </w:p>
    <w:p>
      <w:pPr>
        <w:spacing w:line="203" w:lineRule="exact" w:before="0"/>
        <w:ind w:left="787" w:right="168" w:firstLine="0"/>
        <w:jc w:val="right"/>
        <w:rPr>
          <w:rFonts w:ascii="Arial"/>
          <w:i/>
          <w:sz w:val="20"/>
        </w:rPr>
      </w:pPr>
      <w:r>
        <w:rPr>
          <w:rFonts w:ascii="Arial"/>
          <w:i/>
          <w:sz w:val="20"/>
        </w:rPr>
        <w:drawing>
          <wp:anchor distT="0" distB="0" distL="0" distR="0" allowOverlap="1" layoutInCell="1" locked="0" behindDoc="0" simplePos="0" relativeHeight="15831552">
            <wp:simplePos x="0" y="0"/>
            <wp:positionH relativeFrom="page">
              <wp:posOffset>1257846</wp:posOffset>
            </wp:positionH>
            <wp:positionV relativeFrom="paragraph">
              <wp:posOffset>13064</wp:posOffset>
            </wp:positionV>
            <wp:extent cx="107988" cy="107988"/>
            <wp:effectExtent l="0" t="0" r="0" b="0"/>
            <wp:wrapNone/>
            <wp:docPr id="441" name="Image 441"/>
            <wp:cNvGraphicFramePr>
              <a:graphicFrameLocks/>
            </wp:cNvGraphicFramePr>
            <a:graphic>
              <a:graphicData uri="http://schemas.openxmlformats.org/drawingml/2006/picture">
                <pic:pic>
                  <pic:nvPicPr>
                    <pic:cNvPr id="441" name="Image 44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Peek</w:t>
      </w:r>
      <w:r>
        <w:rPr>
          <w:rFonts w:ascii="Arial"/>
          <w:i/>
          <w:spacing w:val="11"/>
          <w:sz w:val="20"/>
        </w:rPr>
        <w:t> </w:t>
      </w:r>
      <w:r>
        <w:rPr>
          <w:rFonts w:ascii="Arial"/>
          <w:i/>
          <w:sz w:val="20"/>
        </w:rPr>
        <w:t>v</w:t>
      </w:r>
      <w:r>
        <w:rPr>
          <w:rFonts w:ascii="Arial"/>
          <w:i/>
          <w:spacing w:val="12"/>
          <w:sz w:val="20"/>
        </w:rPr>
        <w:t> </w:t>
      </w:r>
      <w:r>
        <w:rPr>
          <w:rFonts w:ascii="Arial"/>
          <w:i/>
          <w:sz w:val="20"/>
        </w:rPr>
        <w:t>Derry</w:t>
      </w:r>
      <w:r>
        <w:rPr>
          <w:rFonts w:ascii="Arial"/>
          <w:i/>
          <w:spacing w:val="12"/>
          <w:sz w:val="20"/>
        </w:rPr>
        <w:t> </w:t>
      </w:r>
      <w:r>
        <w:rPr>
          <w:rFonts w:ascii="Arial"/>
          <w:i/>
          <w:sz w:val="20"/>
        </w:rPr>
        <w:t>(1887)</w:t>
      </w:r>
      <w:r>
        <w:rPr>
          <w:rFonts w:ascii="Arial"/>
          <w:i/>
          <w:spacing w:val="12"/>
          <w:sz w:val="20"/>
        </w:rPr>
        <w:t> </w:t>
      </w:r>
      <w:r>
        <w:rPr>
          <w:rFonts w:ascii="Arial"/>
          <w:i/>
          <w:sz w:val="20"/>
        </w:rPr>
        <w:t>37</w:t>
      </w:r>
      <w:r>
        <w:rPr>
          <w:rFonts w:ascii="Arial"/>
          <w:i/>
          <w:spacing w:val="12"/>
          <w:sz w:val="20"/>
        </w:rPr>
        <w:t> </w:t>
      </w:r>
      <w:r>
        <w:rPr>
          <w:rFonts w:ascii="Arial"/>
          <w:i/>
          <w:sz w:val="20"/>
        </w:rPr>
        <w:t>Ch.</w:t>
      </w:r>
      <w:r>
        <w:rPr>
          <w:rFonts w:ascii="Arial"/>
          <w:i/>
          <w:spacing w:val="12"/>
          <w:sz w:val="20"/>
        </w:rPr>
        <w:t> </w:t>
      </w:r>
      <w:r>
        <w:rPr>
          <w:rFonts w:ascii="Arial"/>
          <w:i/>
          <w:sz w:val="20"/>
        </w:rPr>
        <w:t>D.</w:t>
      </w:r>
      <w:r>
        <w:rPr>
          <w:rFonts w:ascii="Arial"/>
          <w:i/>
          <w:spacing w:val="12"/>
          <w:sz w:val="20"/>
        </w:rPr>
        <w:t> </w:t>
      </w:r>
      <w:r>
        <w:rPr>
          <w:rFonts w:ascii="Arial"/>
          <w:i/>
          <w:sz w:val="20"/>
        </w:rPr>
        <w:t>541,</w:t>
      </w:r>
      <w:r>
        <w:rPr>
          <w:rFonts w:ascii="Arial"/>
          <w:i/>
          <w:spacing w:val="12"/>
          <w:sz w:val="20"/>
        </w:rPr>
        <w:t> </w:t>
      </w:r>
      <w:r>
        <w:rPr>
          <w:rFonts w:ascii="Arial"/>
          <w:i/>
          <w:sz w:val="20"/>
        </w:rPr>
        <w:t>578</w:t>
      </w:r>
      <w:r>
        <w:rPr>
          <w:sz w:val="20"/>
        </w:rPr>
        <w:t>;</w:t>
      </w:r>
      <w:r>
        <w:rPr>
          <w:spacing w:val="12"/>
          <w:sz w:val="20"/>
        </w:rPr>
        <w:t> </w:t>
      </w:r>
      <w:r>
        <w:rPr>
          <w:rFonts w:ascii="Arial"/>
          <w:i/>
          <w:sz w:val="20"/>
        </w:rPr>
        <w:t>Doyle</w:t>
      </w:r>
      <w:r>
        <w:rPr>
          <w:rFonts w:ascii="Arial"/>
          <w:i/>
          <w:spacing w:val="12"/>
          <w:sz w:val="20"/>
        </w:rPr>
        <w:t> </w:t>
      </w:r>
      <w:r>
        <w:rPr>
          <w:rFonts w:ascii="Arial"/>
          <w:i/>
          <w:sz w:val="20"/>
        </w:rPr>
        <w:t>v</w:t>
      </w:r>
      <w:r>
        <w:rPr>
          <w:rFonts w:ascii="Arial"/>
          <w:i/>
          <w:spacing w:val="12"/>
          <w:sz w:val="20"/>
        </w:rPr>
        <w:t> </w:t>
      </w:r>
      <w:r>
        <w:rPr>
          <w:rFonts w:ascii="Arial"/>
          <w:i/>
          <w:sz w:val="20"/>
        </w:rPr>
        <w:t>Olby</w:t>
      </w:r>
      <w:r>
        <w:rPr>
          <w:rFonts w:ascii="Arial"/>
          <w:i/>
          <w:spacing w:val="12"/>
          <w:sz w:val="20"/>
        </w:rPr>
        <w:t> </w:t>
      </w:r>
      <w:r>
        <w:rPr>
          <w:rFonts w:ascii="Arial"/>
          <w:i/>
          <w:sz w:val="20"/>
        </w:rPr>
        <w:t>(Ironmongers)</w:t>
      </w:r>
      <w:r>
        <w:rPr>
          <w:rFonts w:ascii="Arial"/>
          <w:i/>
          <w:spacing w:val="12"/>
          <w:sz w:val="20"/>
        </w:rPr>
        <w:t> </w:t>
      </w:r>
      <w:r>
        <w:rPr>
          <w:rFonts w:ascii="Arial"/>
          <w:i/>
          <w:sz w:val="20"/>
        </w:rPr>
        <w:t>Ltd</w:t>
      </w:r>
      <w:r>
        <w:rPr>
          <w:rFonts w:ascii="Arial"/>
          <w:i/>
          <w:spacing w:val="12"/>
          <w:sz w:val="20"/>
        </w:rPr>
        <w:t> </w:t>
      </w:r>
      <w:r>
        <w:rPr>
          <w:rFonts w:ascii="Arial"/>
          <w:i/>
          <w:sz w:val="20"/>
        </w:rPr>
        <w:t>[1969]</w:t>
      </w:r>
      <w:r>
        <w:rPr>
          <w:rFonts w:ascii="Arial"/>
          <w:i/>
          <w:spacing w:val="12"/>
          <w:sz w:val="20"/>
        </w:rPr>
        <w:t> </w:t>
      </w:r>
      <w:r>
        <w:rPr>
          <w:rFonts w:ascii="Arial"/>
          <w:i/>
          <w:sz w:val="20"/>
        </w:rPr>
        <w:t>2</w:t>
      </w:r>
      <w:r>
        <w:rPr>
          <w:rFonts w:ascii="Arial"/>
          <w:i/>
          <w:spacing w:val="12"/>
          <w:sz w:val="20"/>
        </w:rPr>
        <w:t> </w:t>
      </w:r>
      <w:r>
        <w:rPr>
          <w:rFonts w:ascii="Arial"/>
          <w:i/>
          <w:sz w:val="20"/>
        </w:rPr>
        <w:t>Q.B.</w:t>
      </w:r>
      <w:r>
        <w:rPr>
          <w:rFonts w:ascii="Arial"/>
          <w:i/>
          <w:spacing w:val="12"/>
          <w:sz w:val="20"/>
        </w:rPr>
        <w:t> </w:t>
      </w:r>
      <w:r>
        <w:rPr>
          <w:rFonts w:ascii="Arial"/>
          <w:i/>
          <w:spacing w:val="-4"/>
          <w:sz w:val="20"/>
        </w:rPr>
        <w:t>158,</w:t>
      </w:r>
    </w:p>
    <w:p>
      <w:pPr>
        <w:spacing w:line="225" w:lineRule="exact" w:before="0"/>
        <w:ind w:left="0" w:right="167" w:firstLine="0"/>
        <w:jc w:val="right"/>
        <w:rPr>
          <w:rFonts w:ascii="Arial"/>
          <w:i/>
          <w:sz w:val="20"/>
        </w:rPr>
      </w:pPr>
      <w:r>
        <w:rPr>
          <w:rFonts w:ascii="Arial"/>
          <w:i/>
          <w:sz w:val="20"/>
        </w:rPr>
        <w:t>167</w:t>
      </w:r>
      <w:r>
        <w:rPr>
          <w:rFonts w:ascii="Arial"/>
          <w:i/>
          <w:spacing w:val="5"/>
          <w:sz w:val="20"/>
        </w:rPr>
        <w:t> </w:t>
      </w:r>
      <w:r>
        <w:rPr>
          <w:sz w:val="20"/>
        </w:rPr>
        <w:t>and</w:t>
      </w:r>
      <w:r>
        <w:rPr>
          <w:spacing w:val="5"/>
          <w:sz w:val="20"/>
        </w:rPr>
        <w:t> </w:t>
      </w:r>
      <w:r>
        <w:rPr>
          <w:sz w:val="20"/>
        </w:rPr>
        <w:t>see</w:t>
      </w:r>
      <w:r>
        <w:rPr>
          <w:spacing w:val="5"/>
          <w:sz w:val="20"/>
        </w:rPr>
        <w:t> </w:t>
      </w:r>
      <w:r>
        <w:rPr>
          <w:rFonts w:ascii="Arial"/>
          <w:i/>
          <w:sz w:val="20"/>
        </w:rPr>
        <w:t>Smith</w:t>
      </w:r>
      <w:r>
        <w:rPr>
          <w:rFonts w:ascii="Arial"/>
          <w:i/>
          <w:spacing w:val="5"/>
          <w:sz w:val="20"/>
        </w:rPr>
        <w:t> </w:t>
      </w:r>
      <w:r>
        <w:rPr>
          <w:rFonts w:ascii="Arial"/>
          <w:i/>
          <w:sz w:val="20"/>
        </w:rPr>
        <w:t>New</w:t>
      </w:r>
      <w:r>
        <w:rPr>
          <w:rFonts w:ascii="Arial"/>
          <w:i/>
          <w:spacing w:val="5"/>
          <w:sz w:val="20"/>
        </w:rPr>
        <w:t> </w:t>
      </w:r>
      <w:r>
        <w:rPr>
          <w:rFonts w:ascii="Arial"/>
          <w:i/>
          <w:sz w:val="20"/>
        </w:rPr>
        <w:t>Court</w:t>
      </w:r>
      <w:r>
        <w:rPr>
          <w:rFonts w:ascii="Arial"/>
          <w:i/>
          <w:spacing w:val="5"/>
          <w:sz w:val="20"/>
        </w:rPr>
        <w:t> </w:t>
      </w:r>
      <w:r>
        <w:rPr>
          <w:rFonts w:ascii="Arial"/>
          <w:i/>
          <w:sz w:val="20"/>
        </w:rPr>
        <w:t>Securities</w:t>
      </w:r>
      <w:r>
        <w:rPr>
          <w:rFonts w:ascii="Arial"/>
          <w:i/>
          <w:spacing w:val="5"/>
          <w:sz w:val="20"/>
        </w:rPr>
        <w:t> </w:t>
      </w:r>
      <w:r>
        <w:rPr>
          <w:rFonts w:ascii="Arial"/>
          <w:i/>
          <w:sz w:val="20"/>
        </w:rPr>
        <w:t>v</w:t>
      </w:r>
      <w:r>
        <w:rPr>
          <w:rFonts w:ascii="Arial"/>
          <w:i/>
          <w:spacing w:val="5"/>
          <w:sz w:val="20"/>
        </w:rPr>
        <w:t> </w:t>
      </w:r>
      <w:r>
        <w:rPr>
          <w:rFonts w:ascii="Arial"/>
          <w:i/>
          <w:sz w:val="20"/>
        </w:rPr>
        <w:t>Scrimgeour</w:t>
      </w:r>
      <w:r>
        <w:rPr>
          <w:rFonts w:ascii="Arial"/>
          <w:i/>
          <w:spacing w:val="5"/>
          <w:sz w:val="20"/>
        </w:rPr>
        <w:t> </w:t>
      </w:r>
      <w:r>
        <w:rPr>
          <w:rFonts w:ascii="Arial"/>
          <w:i/>
          <w:sz w:val="20"/>
        </w:rPr>
        <w:t>Vickers</w:t>
      </w:r>
      <w:r>
        <w:rPr>
          <w:rFonts w:ascii="Arial"/>
          <w:i/>
          <w:spacing w:val="5"/>
          <w:sz w:val="20"/>
        </w:rPr>
        <w:t> </w:t>
      </w:r>
      <w:r>
        <w:rPr>
          <w:rFonts w:ascii="Arial"/>
          <w:i/>
          <w:sz w:val="20"/>
        </w:rPr>
        <w:t>(Asset</w:t>
      </w:r>
      <w:r>
        <w:rPr>
          <w:rFonts w:ascii="Arial"/>
          <w:i/>
          <w:spacing w:val="5"/>
          <w:sz w:val="20"/>
        </w:rPr>
        <w:t> </w:t>
      </w:r>
      <w:r>
        <w:rPr>
          <w:rFonts w:ascii="Arial"/>
          <w:i/>
          <w:sz w:val="20"/>
        </w:rPr>
        <w:t>Management)</w:t>
      </w:r>
      <w:r>
        <w:rPr>
          <w:rFonts w:ascii="Arial"/>
          <w:i/>
          <w:spacing w:val="5"/>
          <w:sz w:val="20"/>
        </w:rPr>
        <w:t> </w:t>
      </w:r>
      <w:r>
        <w:rPr>
          <w:rFonts w:ascii="Arial"/>
          <w:i/>
          <w:sz w:val="20"/>
        </w:rPr>
        <w:t>Ltd</w:t>
      </w:r>
      <w:r>
        <w:rPr>
          <w:rFonts w:ascii="Arial"/>
          <w:i/>
          <w:spacing w:val="5"/>
          <w:sz w:val="20"/>
        </w:rPr>
        <w:t> </w:t>
      </w:r>
      <w:r>
        <w:rPr>
          <w:rFonts w:ascii="Arial"/>
          <w:i/>
          <w:spacing w:val="-2"/>
          <w:sz w:val="20"/>
        </w:rPr>
        <w:t>[1997]</w:t>
      </w:r>
    </w:p>
    <w:p>
      <w:pPr>
        <w:spacing w:line="235" w:lineRule="auto" w:before="2"/>
        <w:ind w:left="705" w:right="168" w:firstLine="0"/>
        <w:jc w:val="both"/>
        <w:rPr>
          <w:sz w:val="20"/>
        </w:rPr>
      </w:pPr>
      <w:r>
        <w:rPr>
          <w:rFonts w:ascii="Arial" w:hAnsi="Arial"/>
          <w:i/>
          <w:sz w:val="20"/>
        </w:rPr>
        <w:t>A.C. 254</w:t>
      </w:r>
      <w:r>
        <w:rPr>
          <w:sz w:val="20"/>
        </w:rPr>
        <w:t>; cf. </w:t>
      </w:r>
      <w:r>
        <w:rPr>
          <w:rFonts w:ascii="Arial" w:hAnsi="Arial"/>
          <w:i/>
          <w:sz w:val="20"/>
        </w:rPr>
        <w:t>Davidson v Tullock (1860) 3 Macq. 783</w:t>
      </w:r>
      <w:r>
        <w:rPr>
          <w:sz w:val="20"/>
        </w:rPr>
        <w:t>; </w:t>
      </w:r>
      <w:r>
        <w:rPr>
          <w:rFonts w:ascii="Arial" w:hAnsi="Arial"/>
          <w:i/>
          <w:sz w:val="20"/>
        </w:rPr>
        <w:t>East v Maurer [1991] 1 W.L.R. 461</w:t>
      </w:r>
      <w:r>
        <w:rPr>
          <w:sz w:val="20"/>
        </w:rPr>
        <w:t>; </w:t>
      </w:r>
      <w:r>
        <w:rPr>
          <w:rFonts w:ascii="Arial" w:hAnsi="Arial"/>
          <w:i/>
          <w:sz w:val="20"/>
        </w:rPr>
        <w:t>OMV Petrom SA v Glencore International AG [2016] EWCA Civ 778, [2017] 3 All E.R. 157 </w:t>
      </w:r>
      <w:r>
        <w:rPr>
          <w:sz w:val="20"/>
        </w:rPr>
        <w:t>and see below, paras 7-055, 7-058—7-059.</w:t>
      </w:r>
    </w:p>
    <w:p>
      <w:pPr>
        <w:pStyle w:val="BodyText"/>
        <w:spacing w:before="5"/>
      </w:pPr>
    </w:p>
    <w:p>
      <w:pPr>
        <w:spacing w:line="227" w:lineRule="exact" w:before="0"/>
        <w:ind w:left="165" w:right="0" w:firstLine="0"/>
        <w:jc w:val="left"/>
        <w:rPr>
          <w:rFonts w:ascii="Arial" w:hAnsi="Arial"/>
          <w:i/>
          <w:sz w:val="20"/>
        </w:rPr>
      </w:pPr>
      <w:r>
        <w:rPr>
          <w:color w:val="005DA1"/>
          <w:position w:val="5"/>
          <w:sz w:val="14"/>
          <w:u w:val="single" w:color="005DA1"/>
        </w:rPr>
        <w:t>1043</w:t>
      </w:r>
      <w:r>
        <w:rPr>
          <w:position w:val="5"/>
          <w:sz w:val="14"/>
        </w:rPr>
        <w:t>.</w:t>
      </w:r>
      <w:r>
        <w:rPr>
          <w:spacing w:val="55"/>
          <w:position w:val="5"/>
          <w:sz w:val="14"/>
        </w:rPr>
        <w:t>  </w:t>
      </w:r>
      <w:r>
        <w:rPr>
          <w:rFonts w:ascii="Arial" w:hAnsi="Arial"/>
          <w:i/>
          <w:sz w:val="20"/>
        </w:rPr>
        <w:t>Esso</w:t>
      </w:r>
      <w:r>
        <w:rPr>
          <w:rFonts w:ascii="Arial" w:hAnsi="Arial"/>
          <w:i/>
          <w:spacing w:val="12"/>
          <w:sz w:val="20"/>
        </w:rPr>
        <w:t> </w:t>
      </w:r>
      <w:r>
        <w:rPr>
          <w:rFonts w:ascii="Arial" w:hAnsi="Arial"/>
          <w:i/>
          <w:sz w:val="20"/>
        </w:rPr>
        <w:t>Petroleum</w:t>
      </w:r>
      <w:r>
        <w:rPr>
          <w:rFonts w:ascii="Arial" w:hAnsi="Arial"/>
          <w:i/>
          <w:spacing w:val="11"/>
          <w:sz w:val="20"/>
        </w:rPr>
        <w:t> </w:t>
      </w:r>
      <w:r>
        <w:rPr>
          <w:rFonts w:ascii="Arial" w:hAnsi="Arial"/>
          <w:i/>
          <w:sz w:val="20"/>
        </w:rPr>
        <w:t>Co</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Mardon</w:t>
      </w:r>
      <w:r>
        <w:rPr>
          <w:rFonts w:ascii="Arial" w:hAnsi="Arial"/>
          <w:i/>
          <w:spacing w:val="11"/>
          <w:sz w:val="20"/>
        </w:rPr>
        <w:t> </w:t>
      </w:r>
      <w:r>
        <w:rPr>
          <w:rFonts w:ascii="Arial" w:hAnsi="Arial"/>
          <w:i/>
          <w:sz w:val="20"/>
        </w:rPr>
        <w:t>[1976]</w:t>
      </w:r>
      <w:r>
        <w:rPr>
          <w:rFonts w:ascii="Arial" w:hAnsi="Arial"/>
          <w:i/>
          <w:spacing w:val="11"/>
          <w:sz w:val="20"/>
        </w:rPr>
        <w:t> </w:t>
      </w:r>
      <w:r>
        <w:rPr>
          <w:rFonts w:ascii="Arial" w:hAnsi="Arial"/>
          <w:i/>
          <w:sz w:val="20"/>
        </w:rPr>
        <w:t>Q.B.</w:t>
      </w:r>
      <w:r>
        <w:rPr>
          <w:rFonts w:ascii="Arial" w:hAnsi="Arial"/>
          <w:i/>
          <w:spacing w:val="10"/>
          <w:sz w:val="20"/>
        </w:rPr>
        <w:t> </w:t>
      </w:r>
      <w:r>
        <w:rPr>
          <w:rFonts w:ascii="Arial" w:hAnsi="Arial"/>
          <w:i/>
          <w:sz w:val="20"/>
        </w:rPr>
        <w:t>801,</w:t>
      </w:r>
      <w:r>
        <w:rPr>
          <w:rFonts w:ascii="Arial" w:hAnsi="Arial"/>
          <w:i/>
          <w:spacing w:val="11"/>
          <w:sz w:val="20"/>
        </w:rPr>
        <w:t> </w:t>
      </w:r>
      <w:r>
        <w:rPr>
          <w:rFonts w:ascii="Arial" w:hAnsi="Arial"/>
          <w:i/>
          <w:sz w:val="20"/>
        </w:rPr>
        <w:t>820–821</w:t>
      </w:r>
      <w:r>
        <w:rPr>
          <w:sz w:val="20"/>
        </w:rPr>
        <w:t>;</w:t>
      </w:r>
      <w:r>
        <w:rPr>
          <w:spacing w:val="12"/>
          <w:sz w:val="20"/>
        </w:rPr>
        <w:t> </w:t>
      </w:r>
      <w:r>
        <w:rPr>
          <w:rFonts w:ascii="Arial" w:hAnsi="Arial"/>
          <w:i/>
          <w:sz w:val="20"/>
        </w:rPr>
        <w:t>Box</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Midland</w:t>
      </w:r>
      <w:r>
        <w:rPr>
          <w:rFonts w:ascii="Arial" w:hAnsi="Arial"/>
          <w:i/>
          <w:spacing w:val="11"/>
          <w:sz w:val="20"/>
        </w:rPr>
        <w:t> </w:t>
      </w:r>
      <w:r>
        <w:rPr>
          <w:rFonts w:ascii="Arial" w:hAnsi="Arial"/>
          <w:i/>
          <w:sz w:val="20"/>
        </w:rPr>
        <w:t>Bank</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[1979]</w:t>
      </w:r>
      <w:r>
        <w:rPr>
          <w:rFonts w:ascii="Arial" w:hAnsi="Arial"/>
          <w:i/>
          <w:spacing w:val="11"/>
          <w:sz w:val="20"/>
        </w:rPr>
        <w:t> </w:t>
      </w:r>
      <w:r>
        <w:rPr>
          <w:rFonts w:ascii="Arial" w:hAnsi="Arial"/>
          <w:i/>
          <w:spacing w:val="-10"/>
          <w:sz w:val="20"/>
        </w:rPr>
        <w:t>2</w:t>
      </w:r>
    </w:p>
    <w:p>
      <w:pPr>
        <w:spacing w:line="227" w:lineRule="exact" w:before="0"/>
        <w:ind w:left="705"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w:t>
      </w:r>
      <w:r>
        <w:rPr>
          <w:rFonts w:ascii="Arial" w:hAnsi="Arial"/>
          <w:i/>
          <w:spacing w:val="-4"/>
          <w:sz w:val="20"/>
        </w:rPr>
        <w:t>391</w:t>
      </w:r>
      <w:r>
        <w:rPr>
          <w:spacing w:val="-4"/>
          <w:sz w:val="20"/>
        </w:rPr>
        <w:t>.</w:t>
      </w:r>
    </w:p>
    <w:p>
      <w:pPr>
        <w:pStyle w:val="BodyText"/>
        <w:spacing w:before="8"/>
      </w:pPr>
    </w:p>
    <w:p>
      <w:pPr>
        <w:spacing w:line="235" w:lineRule="auto" w:before="1"/>
        <w:ind w:left="705" w:right="168" w:hanging="541"/>
        <w:jc w:val="both"/>
        <w:rPr>
          <w:sz w:val="20"/>
        </w:rPr>
      </w:pPr>
      <w:r>
        <w:rPr>
          <w:color w:val="005DA1"/>
          <w:position w:val="5"/>
          <w:sz w:val="14"/>
          <w:u w:val="single" w:color="005DA1"/>
        </w:rPr>
        <w:t>1044</w:t>
      </w:r>
      <w:r>
        <w:rPr>
          <w:position w:val="5"/>
          <w:sz w:val="14"/>
        </w:rPr>
        <w:t>.</w:t>
      </w:r>
      <w:r>
        <w:rPr>
          <w:spacing w:val="80"/>
          <w:position w:val="5"/>
          <w:sz w:val="14"/>
        </w:rPr>
        <w:t> </w:t>
      </w:r>
      <w:r>
        <w:rPr>
          <w:rFonts w:ascii="Arial" w:hAnsi="Arial"/>
          <w:i/>
          <w:sz w:val="20"/>
        </w:rPr>
        <w:t>Andr&amp;eacute; &amp; Cie SA v Ets Michel Blanc et Fils [1977] 2 Lloyd’s Rep. 166, 181</w:t>
      </w:r>
      <w:r>
        <w:rPr>
          <w:sz w:val="20"/>
        </w:rPr>
        <w:t>; </w:t>
      </w:r>
      <w:r>
        <w:rPr>
          <w:rFonts w:ascii="Arial" w:hAnsi="Arial"/>
          <w:i/>
          <w:sz w:val="20"/>
        </w:rPr>
        <w:t>McNally v Welltrade</w:t>
      </w:r>
      <w:r>
        <w:rPr>
          <w:rFonts w:ascii="Arial" w:hAnsi="Arial"/>
          <w:i/>
          <w:spacing w:val="24"/>
          <w:sz w:val="20"/>
        </w:rPr>
        <w:t> </w:t>
      </w:r>
      <w:r>
        <w:rPr>
          <w:rFonts w:ascii="Arial" w:hAnsi="Arial"/>
          <w:i/>
          <w:sz w:val="20"/>
        </w:rPr>
        <w:t>International</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[1978]</w:t>
      </w:r>
      <w:r>
        <w:rPr>
          <w:rFonts w:ascii="Arial" w:hAnsi="Arial"/>
          <w:i/>
          <w:spacing w:val="27"/>
          <w:sz w:val="20"/>
        </w:rPr>
        <w:t> </w:t>
      </w:r>
      <w:r>
        <w:rPr>
          <w:rFonts w:ascii="Arial" w:hAnsi="Arial"/>
          <w:i/>
          <w:sz w:val="20"/>
        </w:rPr>
        <w:t>I.R.L.R.</w:t>
      </w:r>
      <w:r>
        <w:rPr>
          <w:rFonts w:ascii="Arial" w:hAnsi="Arial"/>
          <w:i/>
          <w:spacing w:val="27"/>
          <w:sz w:val="20"/>
        </w:rPr>
        <w:t> </w:t>
      </w:r>
      <w:r>
        <w:rPr>
          <w:rFonts w:ascii="Arial" w:hAnsi="Arial"/>
          <w:i/>
          <w:sz w:val="20"/>
        </w:rPr>
        <w:t>497,</w:t>
      </w:r>
      <w:r>
        <w:rPr>
          <w:rFonts w:ascii="Arial" w:hAnsi="Arial"/>
          <w:i/>
          <w:spacing w:val="27"/>
          <w:sz w:val="20"/>
        </w:rPr>
        <w:t> </w:t>
      </w:r>
      <w:r>
        <w:rPr>
          <w:rFonts w:ascii="Arial" w:hAnsi="Arial"/>
          <w:i/>
          <w:sz w:val="20"/>
        </w:rPr>
        <w:t>499</w:t>
      </w:r>
      <w:r>
        <w:rPr>
          <w:sz w:val="20"/>
        </w:rPr>
        <w:t>;</w:t>
      </w:r>
      <w:r>
        <w:rPr>
          <w:spacing w:val="27"/>
          <w:sz w:val="20"/>
        </w:rPr>
        <w:t> </w:t>
      </w:r>
      <w:r>
        <w:rPr>
          <w:sz w:val="20"/>
        </w:rPr>
        <w:t>Taylor</w:t>
      </w:r>
      <w:r>
        <w:rPr>
          <w:spacing w:val="27"/>
          <w:sz w:val="20"/>
        </w:rPr>
        <w:t> </w:t>
      </w:r>
      <w:r>
        <w:rPr>
          <w:sz w:val="20"/>
        </w:rPr>
        <w:t>(1982)</w:t>
      </w:r>
      <w:r>
        <w:rPr>
          <w:spacing w:val="27"/>
          <w:sz w:val="20"/>
        </w:rPr>
        <w:t> </w:t>
      </w:r>
      <w:r>
        <w:rPr>
          <w:sz w:val="20"/>
        </w:rPr>
        <w:t>45</w:t>
      </w:r>
      <w:r>
        <w:rPr>
          <w:spacing w:val="27"/>
          <w:sz w:val="20"/>
        </w:rPr>
        <w:t> </w:t>
      </w:r>
      <w:r>
        <w:rPr>
          <w:sz w:val="20"/>
        </w:rPr>
        <w:t>M.L.R.</w:t>
      </w:r>
      <w:r>
        <w:rPr>
          <w:spacing w:val="27"/>
          <w:sz w:val="20"/>
        </w:rPr>
        <w:t> </w:t>
      </w:r>
      <w:r>
        <w:rPr>
          <w:sz w:val="20"/>
        </w:rPr>
        <w:t>139;</w:t>
      </w:r>
      <w:r>
        <w:rPr>
          <w:spacing w:val="27"/>
          <w:sz w:val="20"/>
        </w:rPr>
        <w:t> </w:t>
      </w:r>
      <w:r>
        <w:rPr>
          <w:spacing w:val="-2"/>
          <w:sz w:val="20"/>
        </w:rPr>
        <w:t>Cartwright</w:t>
      </w:r>
    </w:p>
    <w:p>
      <w:pPr>
        <w:spacing w:line="235" w:lineRule="auto" w:before="0"/>
        <w:ind w:left="705" w:right="167" w:firstLine="0"/>
        <w:jc w:val="both"/>
        <w:rPr>
          <w:sz w:val="20"/>
        </w:rPr>
      </w:pPr>
      <w:r>
        <w:rPr>
          <w:sz w:val="20"/>
        </w:rPr>
        <w:t>(1987) 51 Conv. 423; </w:t>
      </w:r>
      <w:r>
        <w:rPr>
          <w:rFonts w:ascii="Arial"/>
          <w:i/>
          <w:sz w:val="20"/>
        </w:rPr>
        <w:t>Sharneyford Supplies Ltd v Edge Barrington &amp; Black [1986] Ch. 128, [1987] Ch. 305</w:t>
      </w:r>
      <w:r>
        <w:rPr>
          <w:sz w:val="20"/>
        </w:rPr>
        <w:t>, not following </w:t>
      </w:r>
      <w:r>
        <w:rPr>
          <w:rFonts w:ascii="Arial"/>
          <w:i/>
          <w:sz w:val="20"/>
        </w:rPr>
        <w:t>Watts v Spence [1976] Ch. 16</w:t>
      </w:r>
      <w:r>
        <w:rPr>
          <w:sz w:val="20"/>
        </w:rPr>
        <w:t>; </w:t>
      </w:r>
      <w:r>
        <w:rPr>
          <w:rFonts w:ascii="Arial"/>
          <w:i/>
          <w:sz w:val="20"/>
        </w:rPr>
        <w:t>Royscot Trust Ltd v Rogerson [1991] 2 Q.B. 297 </w:t>
      </w:r>
      <w:r>
        <w:rPr>
          <w:sz w:val="20"/>
        </w:rPr>
        <w:t>and see below, para.7-078.</w:t>
      </w:r>
    </w:p>
    <w:p>
      <w:pPr>
        <w:pStyle w:val="BodyText"/>
        <w:spacing w:before="7"/>
      </w:pPr>
    </w:p>
    <w:p>
      <w:pPr>
        <w:pStyle w:val="BodyText"/>
        <w:spacing w:line="235" w:lineRule="auto" w:before="1"/>
        <w:ind w:left="705" w:right="167" w:hanging="541"/>
        <w:jc w:val="both"/>
      </w:pPr>
      <w:r>
        <w:rPr>
          <w:color w:val="005DA1"/>
          <w:position w:val="5"/>
          <w:sz w:val="14"/>
          <w:u w:val="single" w:color="005DA1"/>
        </w:rPr>
        <w:t>1045</w:t>
      </w:r>
      <w:r>
        <w:rPr>
          <w:position w:val="5"/>
          <w:sz w:val="14"/>
        </w:rPr>
        <w:t>.</w:t>
      </w:r>
      <w:r>
        <w:rPr>
          <w:spacing w:val="80"/>
          <w:position w:val="5"/>
          <w:sz w:val="14"/>
        </w:rPr>
        <w:t> </w:t>
      </w:r>
      <w:r>
        <w:rPr/>
        <w:t>The right in a consumer to claim damages in respect of the “misleading action” or </w:t>
      </w:r>
      <w:r>
        <w:rPr/>
        <w:t>“aggressive practice” of a trader is contained in the Consumer Protection from Unfair Trading Regulations 2008 (SI 2008/1277) regs 5 and 7, 27A–27D, 27J (as amended by the Consumer Protection (Amendment) Regulations 2014 (SI 2014/870)). The measure of damages is set by reg.27J(1); </w:t>
      </w:r>
      <w:bookmarkStart w:name="_bookmark1829" w:id="1831"/>
      <w:bookmarkEnd w:id="1831"/>
      <w:r>
        <w:rPr/>
        <w:t>reg.27J(3)</w:t>
      </w:r>
      <w:r>
        <w:rPr>
          <w:spacing w:val="66"/>
        </w:rPr>
        <w:t> </w:t>
      </w:r>
      <w:r>
        <w:rPr/>
        <w:t>specifically</w:t>
      </w:r>
      <w:r>
        <w:rPr>
          <w:spacing w:val="66"/>
        </w:rPr>
        <w:t> </w:t>
      </w:r>
      <w:r>
        <w:rPr/>
        <w:t>excludes</w:t>
      </w:r>
      <w:r>
        <w:rPr>
          <w:spacing w:val="66"/>
        </w:rPr>
        <w:t> </w:t>
      </w:r>
      <w:r>
        <w:rPr/>
        <w:t>recovery</w:t>
      </w:r>
      <w:r>
        <w:rPr>
          <w:spacing w:val="66"/>
        </w:rPr>
        <w:t> </w:t>
      </w:r>
      <w:r>
        <w:rPr/>
        <w:t>of</w:t>
      </w:r>
      <w:r>
        <w:rPr>
          <w:spacing w:val="66"/>
        </w:rPr>
        <w:t> </w:t>
      </w:r>
      <w:r>
        <w:rPr/>
        <w:t>damages</w:t>
      </w:r>
      <w:r>
        <w:rPr>
          <w:spacing w:val="66"/>
        </w:rPr>
        <w:t> </w:t>
      </w:r>
      <w:r>
        <w:rPr/>
        <w:t>for</w:t>
      </w:r>
      <w:r>
        <w:rPr>
          <w:spacing w:val="66"/>
        </w:rPr>
        <w:t> </w:t>
      </w:r>
      <w:r>
        <w:rPr/>
        <w:t>financial</w:t>
      </w:r>
      <w:r>
        <w:rPr>
          <w:spacing w:val="66"/>
        </w:rPr>
        <w:t> </w:t>
      </w:r>
      <w:r>
        <w:rPr/>
        <w:t>loss</w:t>
      </w:r>
      <w:r>
        <w:rPr>
          <w:spacing w:val="66"/>
        </w:rPr>
        <w:t> </w:t>
      </w:r>
      <w:r>
        <w:rPr/>
        <w:t>in</w:t>
      </w:r>
      <w:r>
        <w:rPr>
          <w:spacing w:val="66"/>
        </w:rPr>
        <w:t> </w:t>
      </w:r>
      <w:r>
        <w:rPr/>
        <w:t>respect</w:t>
      </w:r>
      <w:r>
        <w:rPr>
          <w:spacing w:val="66"/>
        </w:rPr>
        <w:t> </w:t>
      </w:r>
      <w:r>
        <w:rPr/>
        <w:t>of</w:t>
      </w:r>
      <w:r>
        <w:rPr>
          <w:spacing w:val="66"/>
        </w:rPr>
        <w:t> </w:t>
      </w:r>
      <w:r>
        <w:rPr>
          <w:spacing w:val="-5"/>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70"/>
        <w:ind w:left="705" w:right="167"/>
        <w:jc w:val="both"/>
      </w:pPr>
      <w:r>
        <w:rPr/>
        <w:t>difference between the market price of a product (as specially defined) and the amount </w:t>
      </w:r>
      <w:r>
        <w:rPr/>
        <w:t>payable for</w:t>
      </w:r>
      <w:r>
        <w:rPr>
          <w:spacing w:val="-2"/>
        </w:rPr>
        <w:t> </w:t>
      </w:r>
      <w:r>
        <w:rPr/>
        <w:t>it</w:t>
      </w:r>
      <w:r>
        <w:rPr>
          <w:spacing w:val="-2"/>
        </w:rPr>
        <w:t> </w:t>
      </w:r>
      <w:r>
        <w:rPr/>
        <w:t>under</w:t>
      </w:r>
      <w:r>
        <w:rPr>
          <w:spacing w:val="-2"/>
        </w:rPr>
        <w:t> </w:t>
      </w:r>
      <w:r>
        <w:rPr/>
        <w:t>the</w:t>
      </w:r>
      <w:r>
        <w:rPr>
          <w:spacing w:val="-2"/>
        </w:rPr>
        <w:t> </w:t>
      </w:r>
      <w:r>
        <w:rPr/>
        <w:t>contract:</w:t>
      </w:r>
      <w:r>
        <w:rPr>
          <w:spacing w:val="-2"/>
        </w:rPr>
        <w:t> </w:t>
      </w:r>
      <w:r>
        <w:rPr/>
        <w:t>see</w:t>
      </w:r>
      <w:r>
        <w:rPr>
          <w:spacing w:val="-2"/>
        </w:rPr>
        <w:t> </w:t>
      </w:r>
      <w:r>
        <w:rPr/>
        <w:t>generally</w:t>
      </w:r>
      <w:r>
        <w:rPr>
          <w:spacing w:val="-2"/>
        </w:rPr>
        <w:t> </w:t>
      </w:r>
      <w:r>
        <w:rPr/>
        <w:t>Vol.II,</w:t>
      </w:r>
      <w:r>
        <w:rPr>
          <w:spacing w:val="-2"/>
        </w:rPr>
        <w:t> </w:t>
      </w:r>
      <w:r>
        <w:rPr/>
        <w:t>paras</w:t>
      </w:r>
      <w:r>
        <w:rPr>
          <w:spacing w:val="-2"/>
        </w:rPr>
        <w:t> </w:t>
      </w:r>
      <w:r>
        <w:rPr/>
        <w:t>38-160</w:t>
      </w:r>
      <w:r>
        <w:rPr>
          <w:spacing w:val="-2"/>
        </w:rPr>
        <w:t> </w:t>
      </w:r>
      <w:r>
        <w:rPr/>
        <w:t>et</w:t>
      </w:r>
      <w:r>
        <w:rPr>
          <w:spacing w:val="-2"/>
        </w:rPr>
        <w:t> </w:t>
      </w:r>
      <w:r>
        <w:rPr/>
        <w:t>seq.</w:t>
      </w:r>
      <w:r>
        <w:rPr>
          <w:spacing w:val="-2"/>
        </w:rPr>
        <w:t> </w:t>
      </w:r>
      <w:r>
        <w:rPr/>
        <w:t>and,</w:t>
      </w:r>
      <w:r>
        <w:rPr>
          <w:spacing w:val="-2"/>
        </w:rPr>
        <w:t> </w:t>
      </w:r>
      <w:r>
        <w:rPr/>
        <w:t>on</w:t>
      </w:r>
      <w:r>
        <w:rPr>
          <w:spacing w:val="-2"/>
        </w:rPr>
        <w:t> </w:t>
      </w:r>
      <w:r>
        <w:rPr/>
        <w:t>the</w:t>
      </w:r>
      <w:r>
        <w:rPr>
          <w:spacing w:val="-2"/>
        </w:rPr>
        <w:t> </w:t>
      </w:r>
      <w:r>
        <w:rPr/>
        <w:t>right</w:t>
      </w:r>
      <w:r>
        <w:rPr>
          <w:spacing w:val="-2"/>
        </w:rPr>
        <w:t> </w:t>
      </w:r>
      <w:r>
        <w:rPr/>
        <w:t>to</w:t>
      </w:r>
      <w:r>
        <w:rPr>
          <w:spacing w:val="-2"/>
        </w:rPr>
        <w:t> </w:t>
      </w:r>
      <w:r>
        <w:rPr/>
        <w:t>damages, paras 38-185—38-186.</w:t>
      </w:r>
    </w:p>
    <w:p>
      <w:pPr>
        <w:pStyle w:val="BodyText"/>
        <w:spacing w:before="9"/>
      </w:pPr>
    </w:p>
    <w:p>
      <w:pPr>
        <w:spacing w:line="235" w:lineRule="auto" w:before="0"/>
        <w:ind w:left="705" w:right="167" w:hanging="541"/>
        <w:jc w:val="both"/>
        <w:rPr>
          <w:sz w:val="20"/>
        </w:rPr>
      </w:pPr>
      <w:r>
        <w:rPr>
          <w:color w:val="005DA1"/>
          <w:position w:val="5"/>
          <w:sz w:val="14"/>
          <w:u w:val="single" w:color="005DA1"/>
        </w:rPr>
        <w:t>1046</w:t>
      </w:r>
      <w:r>
        <w:rPr>
          <w:position w:val="5"/>
          <w:sz w:val="14"/>
        </w:rPr>
        <w:t>.</w:t>
      </w:r>
      <w:r>
        <w:rPr>
          <w:spacing w:val="80"/>
          <w:position w:val="5"/>
          <w:sz w:val="14"/>
        </w:rPr>
        <w:t> </w:t>
      </w:r>
      <w:r>
        <w:rPr>
          <w:sz w:val="20"/>
        </w:rPr>
        <w:t>Burrows</w:t>
      </w:r>
      <w:r>
        <w:rPr>
          <w:spacing w:val="40"/>
          <w:sz w:val="20"/>
        </w:rPr>
        <w:t> </w:t>
      </w:r>
      <w:r>
        <w:rPr>
          <w:sz w:val="20"/>
        </w:rPr>
        <w:t>(1983)</w:t>
      </w:r>
      <w:r>
        <w:rPr>
          <w:spacing w:val="40"/>
          <w:sz w:val="20"/>
        </w:rPr>
        <w:t> </w:t>
      </w:r>
      <w:r>
        <w:rPr>
          <w:sz w:val="20"/>
        </w:rPr>
        <w:t>99</w:t>
      </w:r>
      <w:r>
        <w:rPr>
          <w:spacing w:val="40"/>
          <w:sz w:val="20"/>
        </w:rPr>
        <w:t> </w:t>
      </w:r>
      <w:r>
        <w:rPr>
          <w:sz w:val="20"/>
        </w:rPr>
        <w:t>L.Q.R.</w:t>
      </w:r>
      <w:r>
        <w:rPr>
          <w:spacing w:val="40"/>
          <w:sz w:val="20"/>
        </w:rPr>
        <w:t> </w:t>
      </w:r>
      <w:r>
        <w:rPr>
          <w:sz w:val="20"/>
        </w:rPr>
        <w:t>217,</w:t>
      </w:r>
      <w:r>
        <w:rPr>
          <w:spacing w:val="40"/>
          <w:sz w:val="20"/>
        </w:rPr>
        <w:t> </w:t>
      </w:r>
      <w:r>
        <w:rPr>
          <w:sz w:val="20"/>
        </w:rPr>
        <w:t>219–221.</w:t>
      </w:r>
      <w:r>
        <w:rPr>
          <w:spacing w:val="40"/>
          <w:sz w:val="20"/>
        </w:rPr>
        <w:t> </w:t>
      </w:r>
      <w:r>
        <w:rPr>
          <w:sz w:val="20"/>
        </w:rPr>
        <w:t>Damages</w:t>
      </w:r>
      <w:r>
        <w:rPr>
          <w:spacing w:val="40"/>
          <w:sz w:val="20"/>
        </w:rPr>
        <w:t> </w:t>
      </w:r>
      <w:r>
        <w:rPr>
          <w:sz w:val="20"/>
        </w:rPr>
        <w:t>in</w:t>
      </w:r>
      <w:r>
        <w:rPr>
          <w:spacing w:val="40"/>
          <w:sz w:val="20"/>
        </w:rPr>
        <w:t> </w:t>
      </w:r>
      <w:r>
        <w:rPr>
          <w:sz w:val="20"/>
        </w:rPr>
        <w:t>tort</w:t>
      </w:r>
      <w:r>
        <w:rPr>
          <w:spacing w:val="40"/>
          <w:sz w:val="20"/>
        </w:rPr>
        <w:t> </w:t>
      </w:r>
      <w:r>
        <w:rPr>
          <w:sz w:val="20"/>
        </w:rPr>
        <w:t>may</w:t>
      </w:r>
      <w:r>
        <w:rPr>
          <w:spacing w:val="40"/>
          <w:sz w:val="20"/>
        </w:rPr>
        <w:t> </w:t>
      </w:r>
      <w:r>
        <w:rPr>
          <w:sz w:val="20"/>
        </w:rPr>
        <w:t>include</w:t>
      </w:r>
      <w:r>
        <w:rPr>
          <w:spacing w:val="40"/>
          <w:sz w:val="20"/>
        </w:rPr>
        <w:t> </w:t>
      </w:r>
      <w:r>
        <w:rPr>
          <w:sz w:val="20"/>
        </w:rPr>
        <w:t>compensation</w:t>
      </w:r>
      <w:r>
        <w:rPr>
          <w:spacing w:val="40"/>
          <w:sz w:val="20"/>
        </w:rPr>
        <w:t> </w:t>
      </w:r>
      <w:r>
        <w:rPr>
          <w:sz w:val="20"/>
        </w:rPr>
        <w:t>for wasted expenditure and lost opportunities: </w:t>
      </w:r>
      <w:r>
        <w:rPr>
          <w:rFonts w:ascii="Arial" w:hAnsi="Arial"/>
          <w:i/>
          <w:sz w:val="20"/>
        </w:rPr>
        <w:t>East v Maurer [1991] 1 W.L.R. 461 </w:t>
      </w:r>
      <w:r>
        <w:rPr>
          <w:sz w:val="20"/>
        </w:rPr>
        <w:t>and see below, </w:t>
      </w:r>
      <w:r>
        <w:rPr>
          <w:spacing w:val="-2"/>
          <w:sz w:val="20"/>
        </w:rPr>
        <w:t>para.7-058.</w:t>
      </w:r>
    </w:p>
    <w:p>
      <w:pPr>
        <w:pStyle w:val="BodyText"/>
        <w:spacing w:before="5"/>
      </w:pPr>
    </w:p>
    <w:p>
      <w:pPr>
        <w:spacing w:line="227" w:lineRule="exact" w:before="0"/>
        <w:ind w:left="165" w:right="0" w:firstLine="0"/>
        <w:jc w:val="left"/>
        <w:rPr>
          <w:rFonts w:ascii="Arial"/>
          <w:i/>
          <w:sz w:val="20"/>
        </w:rPr>
      </w:pPr>
      <w:r>
        <w:rPr>
          <w:color w:val="005DA1"/>
          <w:position w:val="5"/>
          <w:sz w:val="14"/>
          <w:u w:val="single" w:color="005DA1"/>
        </w:rPr>
        <w:t>1047</w:t>
      </w:r>
      <w:r>
        <w:rPr>
          <w:position w:val="5"/>
          <w:sz w:val="14"/>
        </w:rPr>
        <w:t>.</w:t>
      </w:r>
      <w:r>
        <w:rPr>
          <w:spacing w:val="55"/>
          <w:position w:val="5"/>
          <w:sz w:val="14"/>
        </w:rPr>
        <w:t>  </w:t>
      </w:r>
      <w:r>
        <w:rPr>
          <w:rFonts w:ascii="Arial"/>
          <w:i/>
          <w:sz w:val="20"/>
        </w:rPr>
        <w:t>Koufos</w:t>
      </w:r>
      <w:r>
        <w:rPr>
          <w:rFonts w:ascii="Arial"/>
          <w:i/>
          <w:spacing w:val="20"/>
          <w:sz w:val="20"/>
        </w:rPr>
        <w:t> </w:t>
      </w:r>
      <w:r>
        <w:rPr>
          <w:rFonts w:ascii="Arial"/>
          <w:i/>
          <w:sz w:val="20"/>
        </w:rPr>
        <w:t>v</w:t>
      </w:r>
      <w:r>
        <w:rPr>
          <w:rFonts w:ascii="Arial"/>
          <w:i/>
          <w:spacing w:val="19"/>
          <w:sz w:val="20"/>
        </w:rPr>
        <w:t> </w:t>
      </w:r>
      <w:r>
        <w:rPr>
          <w:rFonts w:ascii="Arial"/>
          <w:i/>
          <w:sz w:val="20"/>
        </w:rPr>
        <w:t>Czarnikow</w:t>
      </w:r>
      <w:r>
        <w:rPr>
          <w:rFonts w:ascii="Arial"/>
          <w:i/>
          <w:spacing w:val="19"/>
          <w:sz w:val="20"/>
        </w:rPr>
        <w:t> </w:t>
      </w:r>
      <w:r>
        <w:rPr>
          <w:rFonts w:ascii="Arial"/>
          <w:i/>
          <w:sz w:val="20"/>
        </w:rPr>
        <w:t>Ltd</w:t>
      </w:r>
      <w:r>
        <w:rPr>
          <w:rFonts w:ascii="Arial"/>
          <w:i/>
          <w:spacing w:val="19"/>
          <w:sz w:val="20"/>
        </w:rPr>
        <w:t> </w:t>
      </w:r>
      <w:r>
        <w:rPr>
          <w:rFonts w:ascii="Arial"/>
          <w:i/>
          <w:sz w:val="20"/>
        </w:rPr>
        <w:t>[1969]</w:t>
      </w:r>
      <w:r>
        <w:rPr>
          <w:rFonts w:ascii="Arial"/>
          <w:i/>
          <w:spacing w:val="19"/>
          <w:sz w:val="20"/>
        </w:rPr>
        <w:t> </w:t>
      </w:r>
      <w:r>
        <w:rPr>
          <w:rFonts w:ascii="Arial"/>
          <w:i/>
          <w:sz w:val="20"/>
        </w:rPr>
        <w:t>1</w:t>
      </w:r>
      <w:r>
        <w:rPr>
          <w:rFonts w:ascii="Arial"/>
          <w:i/>
          <w:spacing w:val="19"/>
          <w:sz w:val="20"/>
        </w:rPr>
        <w:t> </w:t>
      </w:r>
      <w:r>
        <w:rPr>
          <w:rFonts w:ascii="Arial"/>
          <w:i/>
          <w:sz w:val="20"/>
        </w:rPr>
        <w:t>A.C.</w:t>
      </w:r>
      <w:r>
        <w:rPr>
          <w:rFonts w:ascii="Arial"/>
          <w:i/>
          <w:spacing w:val="18"/>
          <w:sz w:val="20"/>
        </w:rPr>
        <w:t> </w:t>
      </w:r>
      <w:r>
        <w:rPr>
          <w:rFonts w:ascii="Arial"/>
          <w:i/>
          <w:sz w:val="20"/>
        </w:rPr>
        <w:t>350</w:t>
      </w:r>
      <w:r>
        <w:rPr>
          <w:sz w:val="20"/>
        </w:rPr>
        <w:t>;</w:t>
      </w:r>
      <w:r>
        <w:rPr>
          <w:spacing w:val="19"/>
          <w:sz w:val="20"/>
        </w:rPr>
        <w:t> </w:t>
      </w:r>
      <w:r>
        <w:rPr>
          <w:rFonts w:ascii="Arial"/>
          <w:i/>
          <w:sz w:val="20"/>
        </w:rPr>
        <w:t>Yapp</w:t>
      </w:r>
      <w:r>
        <w:rPr>
          <w:rFonts w:ascii="Arial"/>
          <w:i/>
          <w:spacing w:val="19"/>
          <w:sz w:val="20"/>
        </w:rPr>
        <w:t> </w:t>
      </w:r>
      <w:r>
        <w:rPr>
          <w:rFonts w:ascii="Arial"/>
          <w:i/>
          <w:sz w:val="20"/>
        </w:rPr>
        <w:t>v</w:t>
      </w:r>
      <w:r>
        <w:rPr>
          <w:rFonts w:ascii="Arial"/>
          <w:i/>
          <w:spacing w:val="19"/>
          <w:sz w:val="20"/>
        </w:rPr>
        <w:t> </w:t>
      </w:r>
      <w:r>
        <w:rPr>
          <w:rFonts w:ascii="Arial"/>
          <w:i/>
          <w:sz w:val="20"/>
        </w:rPr>
        <w:t>Foreign</w:t>
      </w:r>
      <w:r>
        <w:rPr>
          <w:rFonts w:ascii="Arial"/>
          <w:i/>
          <w:spacing w:val="19"/>
          <w:sz w:val="20"/>
        </w:rPr>
        <w:t> </w:t>
      </w:r>
      <w:r>
        <w:rPr>
          <w:rFonts w:ascii="Arial"/>
          <w:i/>
          <w:sz w:val="20"/>
        </w:rPr>
        <w:t>and</w:t>
      </w:r>
      <w:r>
        <w:rPr>
          <w:rFonts w:ascii="Arial"/>
          <w:i/>
          <w:spacing w:val="19"/>
          <w:sz w:val="20"/>
        </w:rPr>
        <w:t> </w:t>
      </w:r>
      <w:r>
        <w:rPr>
          <w:rFonts w:ascii="Arial"/>
          <w:i/>
          <w:sz w:val="20"/>
        </w:rPr>
        <w:t>Commonwealth</w:t>
      </w:r>
      <w:r>
        <w:rPr>
          <w:rFonts w:ascii="Arial"/>
          <w:i/>
          <w:spacing w:val="19"/>
          <w:sz w:val="20"/>
        </w:rPr>
        <w:t> </w:t>
      </w:r>
      <w:r>
        <w:rPr>
          <w:rFonts w:ascii="Arial"/>
          <w:i/>
          <w:sz w:val="20"/>
        </w:rPr>
        <w:t>Office</w:t>
      </w:r>
      <w:r>
        <w:rPr>
          <w:rFonts w:ascii="Arial"/>
          <w:i/>
          <w:spacing w:val="19"/>
          <w:sz w:val="20"/>
        </w:rPr>
        <w:t> </w:t>
      </w:r>
      <w:r>
        <w:rPr>
          <w:rFonts w:ascii="Arial"/>
          <w:i/>
          <w:spacing w:val="-2"/>
          <w:sz w:val="20"/>
        </w:rPr>
        <w:t>[2014]</w:t>
      </w:r>
    </w:p>
    <w:p>
      <w:pPr>
        <w:spacing w:line="225" w:lineRule="exact" w:before="0"/>
        <w:ind w:left="705" w:right="0" w:firstLine="0"/>
        <w:jc w:val="both"/>
        <w:rPr>
          <w:sz w:val="20"/>
        </w:rPr>
      </w:pP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1512,</w:t>
      </w:r>
      <w:r>
        <w:rPr>
          <w:rFonts w:ascii="Arial" w:hAnsi="Arial"/>
          <w:i/>
          <w:spacing w:val="3"/>
          <w:sz w:val="20"/>
        </w:rPr>
        <w:t> </w:t>
      </w:r>
      <w:r>
        <w:rPr>
          <w:rFonts w:ascii="Arial" w:hAnsi="Arial"/>
          <w:i/>
          <w:sz w:val="20"/>
        </w:rPr>
        <w:t>[2015]</w:t>
      </w:r>
      <w:r>
        <w:rPr>
          <w:rFonts w:ascii="Arial" w:hAnsi="Arial"/>
          <w:i/>
          <w:spacing w:val="3"/>
          <w:sz w:val="20"/>
        </w:rPr>
        <w:t> </w:t>
      </w:r>
      <w:r>
        <w:rPr>
          <w:rFonts w:ascii="Arial" w:hAnsi="Arial"/>
          <w:i/>
          <w:sz w:val="20"/>
        </w:rPr>
        <w:t>I.R.L.R.</w:t>
      </w:r>
      <w:r>
        <w:rPr>
          <w:rFonts w:ascii="Arial" w:hAnsi="Arial"/>
          <w:i/>
          <w:spacing w:val="3"/>
          <w:sz w:val="20"/>
        </w:rPr>
        <w:t> </w:t>
      </w:r>
      <w:r>
        <w:rPr>
          <w:rFonts w:ascii="Arial" w:hAnsi="Arial"/>
          <w:i/>
          <w:sz w:val="20"/>
        </w:rPr>
        <w:t>112</w:t>
      </w:r>
      <w:r>
        <w:rPr>
          <w:rFonts w:ascii="Arial" w:hAnsi="Arial"/>
          <w:i/>
          <w:spacing w:val="3"/>
          <w:sz w:val="20"/>
        </w:rPr>
        <w:t> </w:t>
      </w:r>
      <w:r>
        <w:rPr>
          <w:sz w:val="20"/>
        </w:rPr>
        <w:t>at</w:t>
      </w:r>
      <w:r>
        <w:rPr>
          <w:spacing w:val="3"/>
          <w:sz w:val="20"/>
        </w:rPr>
        <w:t> </w:t>
      </w:r>
      <w:r>
        <w:rPr>
          <w:sz w:val="20"/>
        </w:rPr>
        <w:t>[119]–[122]</w:t>
      </w:r>
      <w:r>
        <w:rPr>
          <w:spacing w:val="3"/>
          <w:sz w:val="20"/>
        </w:rPr>
        <w:t> </w:t>
      </w:r>
      <w:r>
        <w:rPr>
          <w:sz w:val="20"/>
        </w:rPr>
        <w:t>and</w:t>
      </w:r>
      <w:r>
        <w:rPr>
          <w:spacing w:val="3"/>
          <w:sz w:val="20"/>
        </w:rPr>
        <w:t> </w:t>
      </w:r>
      <w:r>
        <w:rPr>
          <w:sz w:val="20"/>
        </w:rPr>
        <w:t>see</w:t>
      </w:r>
      <w:r>
        <w:rPr>
          <w:spacing w:val="3"/>
          <w:sz w:val="20"/>
        </w:rPr>
        <w:t> </w:t>
      </w:r>
      <w:r>
        <w:rPr>
          <w:sz w:val="20"/>
        </w:rPr>
        <w:t>below,</w:t>
      </w:r>
      <w:r>
        <w:rPr>
          <w:spacing w:val="3"/>
          <w:sz w:val="20"/>
        </w:rPr>
        <w:t> </w:t>
      </w:r>
      <w:r>
        <w:rPr>
          <w:sz w:val="20"/>
        </w:rPr>
        <w:t>paras</w:t>
      </w:r>
      <w:r>
        <w:rPr>
          <w:spacing w:val="3"/>
          <w:sz w:val="20"/>
        </w:rPr>
        <w:t> </w:t>
      </w:r>
      <w:r>
        <w:rPr>
          <w:sz w:val="20"/>
        </w:rPr>
        <w:t>26-116—26-118.</w:t>
      </w:r>
      <w:r>
        <w:rPr>
          <w:spacing w:val="3"/>
          <w:sz w:val="20"/>
        </w:rPr>
        <w:t> </w:t>
      </w:r>
      <w:r>
        <w:rPr>
          <w:spacing w:val="-5"/>
          <w:sz w:val="20"/>
        </w:rPr>
        <w:t>The</w:t>
      </w:r>
    </w:p>
    <w:p>
      <w:pPr>
        <w:spacing w:line="235" w:lineRule="auto" w:before="1"/>
        <w:ind w:left="705" w:right="167" w:firstLine="0"/>
        <w:jc w:val="both"/>
        <w:rPr>
          <w:sz w:val="20"/>
        </w:rPr>
      </w:pPr>
      <w:r>
        <w:rPr>
          <w:sz w:val="20"/>
        </w:rPr>
        <w:t>principles of causation, e.g. in relation to the effect of supervening causes, are said sometimes to be the same in contract as in tort: </w:t>
      </w:r>
      <w:r>
        <w:rPr>
          <w:rFonts w:ascii="Arial"/>
          <w:i/>
          <w:sz w:val="20"/>
        </w:rPr>
        <w:t>Beoco Ltd v Alfa Laval Co Ltd [1995] Q.B. 137</w:t>
      </w:r>
      <w:r>
        <w:rPr>
          <w:sz w:val="20"/>
        </w:rPr>
        <w:t>; cf. </w:t>
      </w:r>
      <w:r>
        <w:rPr>
          <w:rFonts w:ascii="Arial"/>
          <w:i/>
          <w:sz w:val="20"/>
        </w:rPr>
        <w:t>Galoo Ltd v Bright Grahame Murray [1994] 1 W.L.R. 1360</w:t>
      </w:r>
      <w:r>
        <w:rPr>
          <w:sz w:val="20"/>
        </w:rPr>
        <w:t>.</w:t>
      </w:r>
    </w:p>
    <w:p>
      <w:pPr>
        <w:pStyle w:val="BodyText"/>
        <w:spacing w:before="9"/>
      </w:pPr>
    </w:p>
    <w:p>
      <w:pPr>
        <w:spacing w:line="235" w:lineRule="auto" w:before="0"/>
        <w:ind w:left="705" w:right="168" w:hanging="541"/>
        <w:jc w:val="both"/>
        <w:rPr>
          <w:sz w:val="20"/>
        </w:rPr>
      </w:pPr>
      <w:r>
        <w:rPr>
          <w:color w:val="005DA1"/>
          <w:position w:val="5"/>
          <w:sz w:val="14"/>
          <w:u w:val="single" w:color="005DA1"/>
        </w:rPr>
        <w:t>1048</w:t>
      </w:r>
      <w:r>
        <w:rPr>
          <w:position w:val="5"/>
          <w:sz w:val="14"/>
        </w:rPr>
        <w:t>.</w:t>
      </w:r>
      <w:r>
        <w:rPr>
          <w:spacing w:val="40"/>
          <w:position w:val="5"/>
          <w:sz w:val="14"/>
        </w:rPr>
        <w:t> </w:t>
      </w:r>
      <w:r>
        <w:rPr>
          <w:sz w:val="20"/>
        </w:rPr>
        <w:t>Law Reform (Contributory Negligence) Act 1945; </w:t>
      </w:r>
      <w:r>
        <w:rPr>
          <w:rFonts w:ascii="Arial"/>
          <w:i/>
          <w:sz w:val="20"/>
        </w:rPr>
        <w:t>Forsikringsaktieselskapet Vesta v </w:t>
      </w:r>
      <w:r>
        <w:rPr>
          <w:rFonts w:ascii="Arial"/>
          <w:i/>
          <w:sz w:val="20"/>
        </w:rPr>
        <w:t>Butcher [1989] A.C. 852</w:t>
      </w:r>
      <w:r>
        <w:rPr>
          <w:sz w:val="20"/>
        </w:rPr>
        <w:t>; </w:t>
      </w:r>
      <w:r>
        <w:rPr>
          <w:rFonts w:ascii="Arial"/>
          <w:i/>
          <w:sz w:val="20"/>
        </w:rPr>
        <w:t>Barclays Bank Plc v Fairclough Building Ltd [1995] Q.B. 21</w:t>
      </w:r>
      <w:r>
        <w:rPr>
          <w:sz w:val="20"/>
        </w:rPr>
        <w:t>; </w:t>
      </w:r>
      <w:r>
        <w:rPr>
          <w:rFonts w:ascii="Arial"/>
          <w:i/>
          <w:sz w:val="20"/>
        </w:rPr>
        <w:t>Barclays Bank Plc v Fairclough Building Ltd (No.2) [1995] I.R.L.R. 605 </w:t>
      </w:r>
      <w:r>
        <w:rPr>
          <w:sz w:val="20"/>
        </w:rPr>
        <w:t>and see below, para.26-077.</w:t>
      </w:r>
    </w:p>
    <w:p>
      <w:pPr>
        <w:pStyle w:val="BodyText"/>
        <w:spacing w:before="5"/>
      </w:pPr>
    </w:p>
    <w:p>
      <w:pPr>
        <w:spacing w:before="0"/>
        <w:ind w:left="165" w:right="0" w:firstLine="0"/>
        <w:jc w:val="left"/>
        <w:rPr>
          <w:sz w:val="20"/>
        </w:rPr>
      </w:pPr>
      <w:r>
        <w:rPr>
          <w:color w:val="005DA1"/>
          <w:position w:val="5"/>
          <w:sz w:val="14"/>
          <w:u w:val="single" w:color="005DA1"/>
        </w:rPr>
        <w:t>1049</w:t>
      </w:r>
      <w:r>
        <w:rPr>
          <w:position w:val="5"/>
          <w:sz w:val="14"/>
        </w:rPr>
        <w:t>.</w:t>
      </w:r>
      <w:r>
        <w:rPr>
          <w:spacing w:val="55"/>
          <w:position w:val="5"/>
          <w:sz w:val="14"/>
        </w:rPr>
        <w:t>  </w:t>
      </w:r>
      <w:r>
        <w:rPr>
          <w:sz w:val="20"/>
        </w:rPr>
        <w:t>Ogus,</w:t>
      </w:r>
      <w:r>
        <w:rPr>
          <w:spacing w:val="1"/>
          <w:sz w:val="20"/>
        </w:rPr>
        <w:t> </w:t>
      </w:r>
      <w:r>
        <w:rPr>
          <w:rFonts w:ascii="Arial"/>
          <w:i/>
          <w:sz w:val="20"/>
        </w:rPr>
        <w:t>The Law of Damages</w:t>
      </w:r>
      <w:r>
        <w:rPr>
          <w:rFonts w:ascii="Arial"/>
          <w:i/>
          <w:spacing w:val="-1"/>
          <w:sz w:val="20"/>
        </w:rPr>
        <w:t> </w:t>
      </w:r>
      <w:r>
        <w:rPr>
          <w:sz w:val="20"/>
        </w:rPr>
        <w:t>(1973), pp.22 et seq. cf.</w:t>
      </w:r>
      <w:r>
        <w:rPr>
          <w:spacing w:val="-1"/>
          <w:sz w:val="20"/>
        </w:rPr>
        <w:t> </w:t>
      </w:r>
      <w:r>
        <w:rPr>
          <w:rFonts w:ascii="Arial"/>
          <w:i/>
          <w:sz w:val="20"/>
        </w:rPr>
        <w:t>Marzetti v Williams (1830) 1 B. &amp; Ad. </w:t>
      </w:r>
      <w:r>
        <w:rPr>
          <w:rFonts w:ascii="Arial"/>
          <w:i/>
          <w:spacing w:val="-4"/>
          <w:sz w:val="20"/>
        </w:rPr>
        <w:t>415</w:t>
      </w:r>
      <w:r>
        <w:rPr>
          <w:spacing w:val="-4"/>
          <w:sz w:val="20"/>
        </w:rPr>
        <w:t>.</w:t>
      </w:r>
    </w:p>
    <w:p>
      <w:pPr>
        <w:pStyle w:val="BodyText"/>
        <w:spacing w:before="5"/>
      </w:pPr>
    </w:p>
    <w:p>
      <w:pPr>
        <w:spacing w:line="227" w:lineRule="exact" w:before="1"/>
        <w:ind w:left="165" w:right="0" w:firstLine="0"/>
        <w:jc w:val="left"/>
        <w:rPr>
          <w:sz w:val="20"/>
        </w:rPr>
      </w:pPr>
      <w:r>
        <w:rPr>
          <w:color w:val="005DA1"/>
          <w:position w:val="5"/>
          <w:sz w:val="14"/>
          <w:u w:val="single" w:color="005DA1"/>
        </w:rPr>
        <w:t>1050</w:t>
      </w:r>
      <w:r>
        <w:rPr>
          <w:position w:val="5"/>
          <w:sz w:val="14"/>
        </w:rPr>
        <w:t>.</w:t>
      </w:r>
      <w:r>
        <w:rPr>
          <w:spacing w:val="55"/>
          <w:position w:val="5"/>
          <w:sz w:val="14"/>
        </w:rPr>
        <w:t>  </w:t>
      </w:r>
      <w:r>
        <w:rPr>
          <w:rFonts w:ascii="Arial"/>
          <w:i/>
          <w:sz w:val="20"/>
        </w:rPr>
        <w:t>Addis</w:t>
      </w:r>
      <w:r>
        <w:rPr>
          <w:rFonts w:ascii="Arial"/>
          <w:i/>
          <w:spacing w:val="35"/>
          <w:sz w:val="20"/>
        </w:rPr>
        <w:t> </w:t>
      </w:r>
      <w:r>
        <w:rPr>
          <w:rFonts w:ascii="Arial"/>
          <w:i/>
          <w:sz w:val="20"/>
        </w:rPr>
        <w:t>v</w:t>
      </w:r>
      <w:r>
        <w:rPr>
          <w:rFonts w:ascii="Arial"/>
          <w:i/>
          <w:spacing w:val="34"/>
          <w:sz w:val="20"/>
        </w:rPr>
        <w:t> </w:t>
      </w:r>
      <w:r>
        <w:rPr>
          <w:rFonts w:ascii="Arial"/>
          <w:i/>
          <w:sz w:val="20"/>
        </w:rPr>
        <w:t>Gramophone</w:t>
      </w:r>
      <w:r>
        <w:rPr>
          <w:rFonts w:ascii="Arial"/>
          <w:i/>
          <w:spacing w:val="34"/>
          <w:sz w:val="20"/>
        </w:rPr>
        <w:t> </w:t>
      </w:r>
      <w:r>
        <w:rPr>
          <w:rFonts w:ascii="Arial"/>
          <w:i/>
          <w:sz w:val="20"/>
        </w:rPr>
        <w:t>Co</w:t>
      </w:r>
      <w:r>
        <w:rPr>
          <w:rFonts w:ascii="Arial"/>
          <w:i/>
          <w:spacing w:val="34"/>
          <w:sz w:val="20"/>
        </w:rPr>
        <w:t> </w:t>
      </w:r>
      <w:r>
        <w:rPr>
          <w:rFonts w:ascii="Arial"/>
          <w:i/>
          <w:sz w:val="20"/>
        </w:rPr>
        <w:t>Ltd</w:t>
      </w:r>
      <w:r>
        <w:rPr>
          <w:rFonts w:ascii="Arial"/>
          <w:i/>
          <w:spacing w:val="33"/>
          <w:sz w:val="20"/>
        </w:rPr>
        <w:t> </w:t>
      </w:r>
      <w:r>
        <w:rPr>
          <w:rFonts w:ascii="Arial"/>
          <w:i/>
          <w:sz w:val="20"/>
        </w:rPr>
        <w:t>[1909]</w:t>
      </w:r>
      <w:r>
        <w:rPr>
          <w:rFonts w:ascii="Arial"/>
          <w:i/>
          <w:spacing w:val="34"/>
          <w:sz w:val="20"/>
        </w:rPr>
        <w:t> </w:t>
      </w:r>
      <w:r>
        <w:rPr>
          <w:rFonts w:ascii="Arial"/>
          <w:i/>
          <w:sz w:val="20"/>
        </w:rPr>
        <w:t>A.C.</w:t>
      </w:r>
      <w:r>
        <w:rPr>
          <w:rFonts w:ascii="Arial"/>
          <w:i/>
          <w:spacing w:val="34"/>
          <w:sz w:val="20"/>
        </w:rPr>
        <w:t> </w:t>
      </w:r>
      <w:r>
        <w:rPr>
          <w:rFonts w:ascii="Arial"/>
          <w:i/>
          <w:sz w:val="20"/>
        </w:rPr>
        <w:t>488</w:t>
      </w:r>
      <w:r>
        <w:rPr>
          <w:sz w:val="20"/>
        </w:rPr>
        <w:t>;</w:t>
      </w:r>
      <w:r>
        <w:rPr>
          <w:spacing w:val="34"/>
          <w:sz w:val="20"/>
        </w:rPr>
        <w:t> </w:t>
      </w:r>
      <w:r>
        <w:rPr>
          <w:rFonts w:ascii="Arial"/>
          <w:i/>
          <w:sz w:val="20"/>
        </w:rPr>
        <w:t>Perera</w:t>
      </w:r>
      <w:r>
        <w:rPr>
          <w:rFonts w:ascii="Arial"/>
          <w:i/>
          <w:spacing w:val="34"/>
          <w:sz w:val="20"/>
        </w:rPr>
        <w:t> </w:t>
      </w:r>
      <w:r>
        <w:rPr>
          <w:rFonts w:ascii="Arial"/>
          <w:i/>
          <w:sz w:val="20"/>
        </w:rPr>
        <w:t>v</w:t>
      </w:r>
      <w:r>
        <w:rPr>
          <w:rFonts w:ascii="Arial"/>
          <w:i/>
          <w:spacing w:val="33"/>
          <w:sz w:val="20"/>
        </w:rPr>
        <w:t> </w:t>
      </w:r>
      <w:r>
        <w:rPr>
          <w:rFonts w:ascii="Arial"/>
          <w:i/>
          <w:sz w:val="20"/>
        </w:rPr>
        <w:t>Vandiyar</w:t>
      </w:r>
      <w:r>
        <w:rPr>
          <w:rFonts w:ascii="Arial"/>
          <w:i/>
          <w:spacing w:val="34"/>
          <w:sz w:val="20"/>
        </w:rPr>
        <w:t> </w:t>
      </w:r>
      <w:r>
        <w:rPr>
          <w:rFonts w:ascii="Arial"/>
          <w:i/>
          <w:sz w:val="20"/>
        </w:rPr>
        <w:t>[1953]</w:t>
      </w:r>
      <w:r>
        <w:rPr>
          <w:rFonts w:ascii="Arial"/>
          <w:i/>
          <w:spacing w:val="34"/>
          <w:sz w:val="20"/>
        </w:rPr>
        <w:t> </w:t>
      </w:r>
      <w:r>
        <w:rPr>
          <w:rFonts w:ascii="Arial"/>
          <w:i/>
          <w:sz w:val="20"/>
        </w:rPr>
        <w:t>1</w:t>
      </w:r>
      <w:r>
        <w:rPr>
          <w:rFonts w:ascii="Arial"/>
          <w:i/>
          <w:spacing w:val="34"/>
          <w:sz w:val="20"/>
        </w:rPr>
        <w:t> </w:t>
      </w:r>
      <w:r>
        <w:rPr>
          <w:rFonts w:ascii="Arial"/>
          <w:i/>
          <w:sz w:val="20"/>
        </w:rPr>
        <w:t>W.L.R.</w:t>
      </w:r>
      <w:r>
        <w:rPr>
          <w:rFonts w:ascii="Arial"/>
          <w:i/>
          <w:spacing w:val="34"/>
          <w:sz w:val="20"/>
        </w:rPr>
        <w:t> </w:t>
      </w:r>
      <w:r>
        <w:rPr>
          <w:rFonts w:ascii="Arial"/>
          <w:i/>
          <w:sz w:val="20"/>
        </w:rPr>
        <w:t>672</w:t>
      </w:r>
      <w:r>
        <w:rPr>
          <w:sz w:val="20"/>
        </w:rPr>
        <w:t>,</w:t>
      </w:r>
      <w:r>
        <w:rPr>
          <w:spacing w:val="34"/>
          <w:sz w:val="20"/>
        </w:rPr>
        <w:t> </w:t>
      </w:r>
      <w:r>
        <w:rPr>
          <w:spacing w:val="-5"/>
          <w:sz w:val="20"/>
        </w:rPr>
        <w:t>see</w:t>
      </w:r>
    </w:p>
    <w:p>
      <w:pPr>
        <w:pStyle w:val="BodyText"/>
        <w:spacing w:line="227" w:lineRule="exact"/>
        <w:ind w:left="705"/>
      </w:pPr>
      <w:r>
        <w:rPr/>
        <w:t>below, paras 26-044—26-</w:t>
      </w:r>
      <w:r>
        <w:rPr>
          <w:spacing w:val="-4"/>
        </w:rPr>
        <w:t>045.</w:t>
      </w:r>
    </w:p>
    <w:p>
      <w:pPr>
        <w:pStyle w:val="BodyText"/>
        <w:spacing w:before="8"/>
      </w:pPr>
    </w:p>
    <w:p>
      <w:pPr>
        <w:spacing w:line="235" w:lineRule="auto" w:before="0"/>
        <w:ind w:left="705" w:right="167" w:hanging="541"/>
        <w:jc w:val="both"/>
        <w:rPr>
          <w:rFonts w:ascii="Arial" w:hAnsi="Arial"/>
          <w:i/>
          <w:sz w:val="20"/>
        </w:rPr>
      </w:pPr>
      <w:r>
        <w:rPr>
          <w:color w:val="005DA1"/>
          <w:position w:val="5"/>
          <w:sz w:val="14"/>
          <w:u w:val="single" w:color="005DA1"/>
        </w:rPr>
        <w:t>1051</w:t>
      </w:r>
      <w:r>
        <w:rPr>
          <w:position w:val="5"/>
          <w:sz w:val="14"/>
        </w:rPr>
        <w:t>.</w:t>
      </w:r>
      <w:r>
        <w:rPr>
          <w:spacing w:val="80"/>
          <w:position w:val="5"/>
          <w:sz w:val="14"/>
        </w:rPr>
        <w:t> </w:t>
      </w:r>
      <w:r>
        <w:rPr>
          <w:rFonts w:ascii="Arial" w:hAnsi="Arial"/>
          <w:i/>
          <w:sz w:val="20"/>
        </w:rPr>
        <w:t>Rookes v Barnard [1964] A.C. 1129</w:t>
      </w:r>
      <w:r>
        <w:rPr>
          <w:sz w:val="20"/>
        </w:rPr>
        <w:t>; </w:t>
      </w:r>
      <w:r>
        <w:rPr>
          <w:rFonts w:ascii="Arial" w:hAnsi="Arial"/>
          <w:i/>
          <w:sz w:val="20"/>
        </w:rPr>
        <w:t>Cassell &amp; Co Ltd v Broome [1972] A.C. 1027</w:t>
      </w:r>
      <w:r>
        <w:rPr>
          <w:sz w:val="20"/>
        </w:rPr>
        <w:t>. cf. below, para.7-070</w:t>
      </w:r>
      <w:r>
        <w:rPr>
          <w:spacing w:val="-2"/>
          <w:sz w:val="20"/>
        </w:rPr>
        <w:t> </w:t>
      </w:r>
      <w:r>
        <w:rPr>
          <w:sz w:val="20"/>
        </w:rPr>
        <w:t>(fraud).</w:t>
      </w:r>
      <w:r>
        <w:rPr>
          <w:spacing w:val="-2"/>
          <w:sz w:val="20"/>
        </w:rPr>
        <w:t> </w:t>
      </w:r>
      <w:r>
        <w:rPr>
          <w:sz w:val="20"/>
        </w:rPr>
        <w:t>The</w:t>
      </w:r>
      <w:r>
        <w:rPr>
          <w:spacing w:val="-2"/>
          <w:sz w:val="20"/>
        </w:rPr>
        <w:t> </w:t>
      </w:r>
      <w:r>
        <w:rPr>
          <w:sz w:val="20"/>
        </w:rPr>
        <w:t>exception</w:t>
      </w:r>
      <w:r>
        <w:rPr>
          <w:spacing w:val="-2"/>
          <w:sz w:val="20"/>
        </w:rPr>
        <w:t> </w:t>
      </w:r>
      <w:r>
        <w:rPr>
          <w:sz w:val="20"/>
        </w:rPr>
        <w:t>to</w:t>
      </w:r>
      <w:r>
        <w:rPr>
          <w:spacing w:val="-2"/>
          <w:sz w:val="20"/>
        </w:rPr>
        <w:t> </w:t>
      </w:r>
      <w:r>
        <w:rPr>
          <w:sz w:val="20"/>
        </w:rPr>
        <w:t>this</w:t>
      </w:r>
      <w:r>
        <w:rPr>
          <w:spacing w:val="-2"/>
          <w:sz w:val="20"/>
        </w:rPr>
        <w:t> </w:t>
      </w:r>
      <w:r>
        <w:rPr>
          <w:sz w:val="20"/>
        </w:rPr>
        <w:t>is</w:t>
      </w:r>
      <w:r>
        <w:rPr>
          <w:spacing w:val="-2"/>
          <w:sz w:val="20"/>
        </w:rPr>
        <w:t> </w:t>
      </w:r>
      <w:r>
        <w:rPr>
          <w:sz w:val="20"/>
        </w:rPr>
        <w:t>where</w:t>
      </w:r>
      <w:r>
        <w:rPr>
          <w:spacing w:val="-2"/>
          <w:sz w:val="20"/>
        </w:rPr>
        <w:t> </w:t>
      </w:r>
      <w:r>
        <w:rPr>
          <w:sz w:val="20"/>
        </w:rPr>
        <w:t>“the</w:t>
      </w:r>
      <w:r>
        <w:rPr>
          <w:spacing w:val="-2"/>
          <w:sz w:val="20"/>
        </w:rPr>
        <w:t> </w:t>
      </w:r>
      <w:r>
        <w:rPr>
          <w:sz w:val="20"/>
        </w:rPr>
        <w:t>defendant’s</w:t>
      </w:r>
      <w:r>
        <w:rPr>
          <w:spacing w:val="-2"/>
          <w:sz w:val="20"/>
        </w:rPr>
        <w:t> </w:t>
      </w:r>
      <w:r>
        <w:rPr>
          <w:sz w:val="20"/>
        </w:rPr>
        <w:t>conduct</w:t>
      </w:r>
      <w:r>
        <w:rPr>
          <w:spacing w:val="-2"/>
          <w:sz w:val="20"/>
        </w:rPr>
        <w:t> </w:t>
      </w:r>
      <w:r>
        <w:rPr>
          <w:sz w:val="20"/>
        </w:rPr>
        <w:t>had</w:t>
      </w:r>
      <w:r>
        <w:rPr>
          <w:spacing w:val="-2"/>
          <w:sz w:val="20"/>
        </w:rPr>
        <w:t> </w:t>
      </w:r>
      <w:r>
        <w:rPr>
          <w:sz w:val="20"/>
        </w:rPr>
        <w:t>been</w:t>
      </w:r>
      <w:r>
        <w:rPr>
          <w:spacing w:val="-2"/>
          <w:sz w:val="20"/>
        </w:rPr>
        <w:t> </w:t>
      </w:r>
      <w:r>
        <w:rPr>
          <w:sz w:val="20"/>
        </w:rPr>
        <w:t>calculated by him to make a profit for himself which may well exceed the compensation payable to the plaintiff”: </w:t>
      </w:r>
      <w:r>
        <w:rPr>
          <w:rFonts w:ascii="Arial" w:hAnsi="Arial"/>
          <w:i/>
          <w:sz w:val="20"/>
        </w:rPr>
        <w:t>Rookes v Barnard [1964] A.C. 1129, 1126–1127</w:t>
      </w:r>
      <w:r>
        <w:rPr>
          <w:sz w:val="20"/>
        </w:rPr>
        <w:t>. The traditional and general rule is that a party injured by a breach of contract cannot on this ground alone recover against the party</w:t>
      </w:r>
      <w:r>
        <w:rPr>
          <w:spacing w:val="-1"/>
          <w:sz w:val="20"/>
        </w:rPr>
        <w:t> </w:t>
      </w:r>
      <w:r>
        <w:rPr>
          <w:sz w:val="20"/>
        </w:rPr>
        <w:t>in</w:t>
      </w:r>
      <w:r>
        <w:rPr>
          <w:spacing w:val="-1"/>
          <w:sz w:val="20"/>
        </w:rPr>
        <w:t> </w:t>
      </w:r>
      <w:r>
        <w:rPr>
          <w:sz w:val="20"/>
        </w:rPr>
        <w:t>breach</w:t>
      </w:r>
      <w:r>
        <w:rPr>
          <w:spacing w:val="-1"/>
          <w:sz w:val="20"/>
        </w:rPr>
        <w:t> </w:t>
      </w:r>
      <w:r>
        <w:rPr>
          <w:sz w:val="20"/>
        </w:rPr>
        <w:t>for</w:t>
      </w:r>
      <w:r>
        <w:rPr>
          <w:spacing w:val="-1"/>
          <w:sz w:val="20"/>
        </w:rPr>
        <w:t> </w:t>
      </w:r>
      <w:r>
        <w:rPr>
          <w:sz w:val="20"/>
        </w:rPr>
        <w:t>profits</w:t>
      </w:r>
      <w:r>
        <w:rPr>
          <w:spacing w:val="-1"/>
          <w:sz w:val="20"/>
        </w:rPr>
        <w:t> </w:t>
      </w:r>
      <w:r>
        <w:rPr>
          <w:sz w:val="20"/>
        </w:rPr>
        <w:t>made</w:t>
      </w:r>
      <w:r>
        <w:rPr>
          <w:spacing w:val="-1"/>
          <w:sz w:val="20"/>
        </w:rPr>
        <w:t> </w:t>
      </w:r>
      <w:r>
        <w:rPr>
          <w:sz w:val="20"/>
        </w:rPr>
        <w:t>as</w:t>
      </w:r>
      <w:r>
        <w:rPr>
          <w:spacing w:val="-1"/>
          <w:sz w:val="20"/>
        </w:rPr>
        <w:t> </w:t>
      </w:r>
      <w:r>
        <w:rPr>
          <w:sz w:val="20"/>
        </w:rPr>
        <w:t>a</w:t>
      </w:r>
      <w:r>
        <w:rPr>
          <w:spacing w:val="-1"/>
          <w:sz w:val="20"/>
        </w:rPr>
        <w:t> </w:t>
      </w:r>
      <w:r>
        <w:rPr>
          <w:sz w:val="20"/>
        </w:rPr>
        <w:t>consequence</w:t>
      </w:r>
      <w:r>
        <w:rPr>
          <w:spacing w:val="-1"/>
          <w:sz w:val="20"/>
        </w:rPr>
        <w:t> </w:t>
      </w:r>
      <w:r>
        <w:rPr>
          <w:sz w:val="20"/>
        </w:rPr>
        <w:t>of</w:t>
      </w:r>
      <w:r>
        <w:rPr>
          <w:spacing w:val="-1"/>
          <w:sz w:val="20"/>
        </w:rPr>
        <w:t> </w:t>
      </w:r>
      <w:r>
        <w:rPr>
          <w:sz w:val="20"/>
        </w:rPr>
        <w:t>that</w:t>
      </w:r>
      <w:r>
        <w:rPr>
          <w:spacing w:val="-1"/>
          <w:sz w:val="20"/>
        </w:rPr>
        <w:t> </w:t>
      </w:r>
      <w:r>
        <w:rPr>
          <w:sz w:val="20"/>
        </w:rPr>
        <w:t>breach</w:t>
      </w:r>
      <w:r>
        <w:rPr>
          <w:spacing w:val="-1"/>
          <w:sz w:val="20"/>
        </w:rPr>
        <w:t> </w:t>
      </w:r>
      <w:r>
        <w:rPr>
          <w:sz w:val="20"/>
        </w:rPr>
        <w:t>as</w:t>
      </w:r>
      <w:r>
        <w:rPr>
          <w:spacing w:val="-1"/>
          <w:sz w:val="20"/>
        </w:rPr>
        <w:t> </w:t>
      </w:r>
      <w:r>
        <w:rPr>
          <w:sz w:val="20"/>
        </w:rPr>
        <w:t>distinct</w:t>
      </w:r>
      <w:r>
        <w:rPr>
          <w:spacing w:val="-1"/>
          <w:sz w:val="20"/>
        </w:rPr>
        <w:t> </w:t>
      </w:r>
      <w:r>
        <w:rPr>
          <w:sz w:val="20"/>
        </w:rPr>
        <w:t>from</w:t>
      </w:r>
      <w:r>
        <w:rPr>
          <w:spacing w:val="-1"/>
          <w:sz w:val="20"/>
        </w:rPr>
        <w:t> </w:t>
      </w:r>
      <w:r>
        <w:rPr>
          <w:sz w:val="20"/>
        </w:rPr>
        <w:t>losses</w:t>
      </w:r>
      <w:r>
        <w:rPr>
          <w:spacing w:val="-1"/>
          <w:sz w:val="20"/>
        </w:rPr>
        <w:t> </w:t>
      </w:r>
      <w:r>
        <w:rPr>
          <w:sz w:val="20"/>
        </w:rPr>
        <w:t>caused by</w:t>
      </w:r>
      <w:r>
        <w:rPr>
          <w:spacing w:val="20"/>
          <w:sz w:val="20"/>
        </w:rPr>
        <w:t> </w:t>
      </w:r>
      <w:r>
        <w:rPr>
          <w:sz w:val="20"/>
        </w:rPr>
        <w:t>that</w:t>
      </w:r>
      <w:r>
        <w:rPr>
          <w:spacing w:val="21"/>
          <w:sz w:val="20"/>
        </w:rPr>
        <w:t> </w:t>
      </w:r>
      <w:r>
        <w:rPr>
          <w:sz w:val="20"/>
        </w:rPr>
        <w:t>breach:</w:t>
      </w:r>
      <w:r>
        <w:rPr>
          <w:spacing w:val="21"/>
          <w:sz w:val="20"/>
        </w:rPr>
        <w:t> </w:t>
      </w:r>
      <w:r>
        <w:rPr>
          <w:rFonts w:ascii="Arial" w:hAnsi="Arial"/>
          <w:i/>
          <w:sz w:val="20"/>
        </w:rPr>
        <w:t>Teacher</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Calder</w:t>
      </w:r>
      <w:r>
        <w:rPr>
          <w:rFonts w:ascii="Arial" w:hAnsi="Arial"/>
          <w:i/>
          <w:spacing w:val="21"/>
          <w:sz w:val="20"/>
        </w:rPr>
        <w:t> </w:t>
      </w:r>
      <w:r>
        <w:rPr>
          <w:rFonts w:ascii="Arial" w:hAnsi="Arial"/>
          <w:i/>
          <w:sz w:val="20"/>
        </w:rPr>
        <w:t>[1899]</w:t>
      </w:r>
      <w:r>
        <w:rPr>
          <w:rFonts w:ascii="Arial" w:hAnsi="Arial"/>
          <w:i/>
          <w:spacing w:val="21"/>
          <w:sz w:val="20"/>
        </w:rPr>
        <w:t> </w:t>
      </w:r>
      <w:r>
        <w:rPr>
          <w:rFonts w:ascii="Arial" w:hAnsi="Arial"/>
          <w:i/>
          <w:sz w:val="20"/>
        </w:rPr>
        <w:t>A.C.</w:t>
      </w:r>
      <w:r>
        <w:rPr>
          <w:rFonts w:ascii="Arial" w:hAnsi="Arial"/>
          <w:i/>
          <w:spacing w:val="21"/>
          <w:sz w:val="20"/>
        </w:rPr>
        <w:t> </w:t>
      </w:r>
      <w:r>
        <w:rPr>
          <w:rFonts w:ascii="Arial" w:hAnsi="Arial"/>
          <w:i/>
          <w:sz w:val="20"/>
        </w:rPr>
        <w:t>451</w:t>
      </w:r>
      <w:r>
        <w:rPr>
          <w:sz w:val="20"/>
        </w:rPr>
        <w:t>;</w:t>
      </w:r>
      <w:r>
        <w:rPr>
          <w:spacing w:val="21"/>
          <w:sz w:val="20"/>
        </w:rPr>
        <w:t> </w:t>
      </w:r>
      <w:r>
        <w:rPr>
          <w:rFonts w:ascii="Arial" w:hAnsi="Arial"/>
          <w:i/>
          <w:sz w:val="20"/>
        </w:rPr>
        <w:t>Surrey</w:t>
      </w:r>
      <w:r>
        <w:rPr>
          <w:rFonts w:ascii="Arial" w:hAnsi="Arial"/>
          <w:i/>
          <w:spacing w:val="21"/>
          <w:sz w:val="20"/>
        </w:rPr>
        <w:t> </w:t>
      </w:r>
      <w:r>
        <w:rPr>
          <w:rFonts w:ascii="Arial" w:hAnsi="Arial"/>
          <w:i/>
          <w:sz w:val="20"/>
        </w:rPr>
        <w:t>CC</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Bredero</w:t>
      </w:r>
      <w:r>
        <w:rPr>
          <w:rFonts w:ascii="Arial" w:hAnsi="Arial"/>
          <w:i/>
          <w:spacing w:val="21"/>
          <w:sz w:val="20"/>
        </w:rPr>
        <w:t> </w:t>
      </w:r>
      <w:r>
        <w:rPr>
          <w:rFonts w:ascii="Arial" w:hAnsi="Arial"/>
          <w:i/>
          <w:sz w:val="20"/>
        </w:rPr>
        <w:t>Homes</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[1993]</w:t>
      </w:r>
      <w:r>
        <w:rPr>
          <w:rFonts w:ascii="Arial" w:hAnsi="Arial"/>
          <w:i/>
          <w:spacing w:val="21"/>
          <w:sz w:val="20"/>
        </w:rPr>
        <w:t> </w:t>
      </w:r>
      <w:r>
        <w:rPr>
          <w:rFonts w:ascii="Arial" w:hAnsi="Arial"/>
          <w:i/>
          <w:spacing w:val="-10"/>
          <w:sz w:val="20"/>
        </w:rPr>
        <w:t>3</w:t>
      </w:r>
    </w:p>
    <w:p>
      <w:pPr>
        <w:pStyle w:val="BodyText"/>
        <w:spacing w:line="235" w:lineRule="auto"/>
        <w:ind w:left="705" w:right="167"/>
        <w:jc w:val="both"/>
      </w:pPr>
      <w:r>
        <w:rPr>
          <w:rFonts w:ascii="Arial"/>
          <w:i/>
        </w:rPr>
        <w:t>W.L.R. 1361</w:t>
      </w:r>
      <w:r>
        <w:rPr/>
        <w:t>. However, in </w:t>
      </w:r>
      <w:r>
        <w:rPr>
          <w:rFonts w:ascii="Arial"/>
          <w:i/>
        </w:rPr>
        <w:t>Att-Gen v Blake [2001] 1 A.C. 268</w:t>
      </w:r>
      <w:r>
        <w:rPr/>
        <w:t>, the House of Lords held that exceptionally the courts possess a discretion to award an account of profits against a party </w:t>
      </w:r>
      <w:r>
        <w:rPr/>
        <w:t>in breach</w:t>
      </w:r>
      <w:r>
        <w:rPr>
          <w:spacing w:val="26"/>
        </w:rPr>
        <w:t> </w:t>
      </w:r>
      <w:r>
        <w:rPr/>
        <w:t>of</w:t>
      </w:r>
      <w:r>
        <w:rPr>
          <w:spacing w:val="26"/>
        </w:rPr>
        <w:t> </w:t>
      </w:r>
      <w:r>
        <w:rPr/>
        <w:t>contract,</w:t>
      </w:r>
      <w:r>
        <w:rPr>
          <w:spacing w:val="26"/>
        </w:rPr>
        <w:t> </w:t>
      </w:r>
      <w:r>
        <w:rPr/>
        <w:t>even</w:t>
      </w:r>
      <w:r>
        <w:rPr>
          <w:spacing w:val="26"/>
        </w:rPr>
        <w:t> </w:t>
      </w:r>
      <w:r>
        <w:rPr/>
        <w:t>where</w:t>
      </w:r>
      <w:r>
        <w:rPr>
          <w:spacing w:val="26"/>
        </w:rPr>
        <w:t> </w:t>
      </w:r>
      <w:r>
        <w:rPr/>
        <w:t>the</w:t>
      </w:r>
      <w:r>
        <w:rPr>
          <w:spacing w:val="26"/>
        </w:rPr>
        <w:t> </w:t>
      </w:r>
      <w:r>
        <w:rPr/>
        <w:t>injured</w:t>
      </w:r>
      <w:r>
        <w:rPr>
          <w:spacing w:val="26"/>
        </w:rPr>
        <w:t> </w:t>
      </w:r>
      <w:r>
        <w:rPr/>
        <w:t>party</w:t>
      </w:r>
      <w:r>
        <w:rPr>
          <w:spacing w:val="26"/>
        </w:rPr>
        <w:t> </w:t>
      </w:r>
      <w:r>
        <w:rPr/>
        <w:t>has</w:t>
      </w:r>
      <w:r>
        <w:rPr>
          <w:spacing w:val="26"/>
        </w:rPr>
        <w:t> </w:t>
      </w:r>
      <w:r>
        <w:rPr/>
        <w:t>suffered</w:t>
      </w:r>
      <w:r>
        <w:rPr>
          <w:spacing w:val="26"/>
        </w:rPr>
        <w:t> </w:t>
      </w:r>
      <w:r>
        <w:rPr/>
        <w:t>no</w:t>
      </w:r>
      <w:r>
        <w:rPr>
          <w:spacing w:val="26"/>
        </w:rPr>
        <w:t> </w:t>
      </w:r>
      <w:r>
        <w:rPr/>
        <w:t>loss</w:t>
      </w:r>
      <w:r>
        <w:rPr>
          <w:spacing w:val="26"/>
        </w:rPr>
        <w:t> </w:t>
      </w:r>
      <w:r>
        <w:rPr/>
        <w:t>and</w:t>
      </w:r>
      <w:r>
        <w:rPr>
          <w:spacing w:val="26"/>
        </w:rPr>
        <w:t> </w:t>
      </w:r>
      <w:r>
        <w:rPr/>
        <w:t>see</w:t>
      </w:r>
      <w:r>
        <w:rPr>
          <w:spacing w:val="26"/>
        </w:rPr>
        <w:t> </w:t>
      </w:r>
      <w:r>
        <w:rPr/>
        <w:t>below,</w:t>
      </w:r>
      <w:r>
        <w:rPr>
          <w:spacing w:val="26"/>
        </w:rPr>
        <w:t> </w:t>
      </w:r>
      <w:r>
        <w:rPr/>
        <w:t>paras 26-001, 26-046 et seq.</w:t>
      </w:r>
    </w:p>
    <w:p>
      <w:pPr>
        <w:pStyle w:val="BodyText"/>
        <w:spacing w:before="2"/>
      </w:pPr>
    </w:p>
    <w:p>
      <w:pPr>
        <w:spacing w:line="227" w:lineRule="exact" w:before="0"/>
        <w:ind w:left="165" w:right="0" w:firstLine="0"/>
        <w:jc w:val="left"/>
        <w:rPr>
          <w:rFonts w:ascii="Arial" w:hAnsi="Arial"/>
          <w:i/>
          <w:sz w:val="20"/>
        </w:rPr>
      </w:pPr>
      <w:r>
        <w:rPr>
          <w:color w:val="005DA1"/>
          <w:position w:val="5"/>
          <w:sz w:val="14"/>
          <w:u w:val="single" w:color="005DA1"/>
        </w:rPr>
        <w:t>1052</w:t>
      </w:r>
      <w:r>
        <w:rPr>
          <w:position w:val="5"/>
          <w:sz w:val="14"/>
        </w:rPr>
        <w:t>.</w:t>
      </w:r>
      <w:r>
        <w:rPr>
          <w:spacing w:val="55"/>
          <w:position w:val="5"/>
          <w:sz w:val="14"/>
        </w:rPr>
        <w:t>  </w:t>
      </w:r>
      <w:r>
        <w:rPr>
          <w:sz w:val="20"/>
        </w:rPr>
        <w:t>McGregor</w:t>
      </w:r>
      <w:r>
        <w:rPr>
          <w:spacing w:val="3"/>
          <w:sz w:val="20"/>
        </w:rPr>
        <w:t> </w:t>
      </w:r>
      <w:r>
        <w:rPr>
          <w:sz w:val="20"/>
        </w:rPr>
        <w:t>on</w:t>
      </w:r>
      <w:r>
        <w:rPr>
          <w:spacing w:val="2"/>
          <w:sz w:val="20"/>
        </w:rPr>
        <w:t> </w:t>
      </w:r>
      <w:r>
        <w:rPr>
          <w:sz w:val="20"/>
        </w:rPr>
        <w:t>Damages,</w:t>
      </w:r>
      <w:r>
        <w:rPr>
          <w:spacing w:val="2"/>
          <w:sz w:val="20"/>
        </w:rPr>
        <w:t> </w:t>
      </w:r>
      <w:r>
        <w:rPr>
          <w:sz w:val="20"/>
        </w:rPr>
        <w:t>19th</w:t>
      </w:r>
      <w:r>
        <w:rPr>
          <w:spacing w:val="2"/>
          <w:sz w:val="20"/>
        </w:rPr>
        <w:t> </w:t>
      </w:r>
      <w:r>
        <w:rPr>
          <w:sz w:val="20"/>
        </w:rPr>
        <w:t>edn</w:t>
      </w:r>
      <w:r>
        <w:rPr>
          <w:spacing w:val="2"/>
          <w:sz w:val="20"/>
        </w:rPr>
        <w:t> </w:t>
      </w:r>
      <w:r>
        <w:rPr>
          <w:sz w:val="20"/>
        </w:rPr>
        <w:t>(2014),</w:t>
      </w:r>
      <w:r>
        <w:rPr>
          <w:spacing w:val="2"/>
          <w:sz w:val="20"/>
        </w:rPr>
        <w:t> </w:t>
      </w:r>
      <w:r>
        <w:rPr>
          <w:sz w:val="20"/>
        </w:rPr>
        <w:t>paras</w:t>
      </w:r>
      <w:r>
        <w:rPr>
          <w:spacing w:val="2"/>
          <w:sz w:val="20"/>
        </w:rPr>
        <w:t> </w:t>
      </w:r>
      <w:r>
        <w:rPr>
          <w:sz w:val="20"/>
        </w:rPr>
        <w:t>5-012</w:t>
      </w:r>
      <w:r>
        <w:rPr>
          <w:spacing w:val="2"/>
          <w:sz w:val="20"/>
        </w:rPr>
        <w:t> </w:t>
      </w:r>
      <w:r>
        <w:rPr>
          <w:sz w:val="20"/>
        </w:rPr>
        <w:t>et</w:t>
      </w:r>
      <w:r>
        <w:rPr>
          <w:spacing w:val="2"/>
          <w:sz w:val="20"/>
        </w:rPr>
        <w:t> </w:t>
      </w:r>
      <w:r>
        <w:rPr>
          <w:sz w:val="20"/>
        </w:rPr>
        <w:t>seq.</w:t>
      </w:r>
      <w:r>
        <w:rPr>
          <w:spacing w:val="2"/>
          <w:sz w:val="20"/>
        </w:rPr>
        <w:t> </w:t>
      </w:r>
      <w:r>
        <w:rPr>
          <w:sz w:val="20"/>
        </w:rPr>
        <w:t>cf.</w:t>
      </w:r>
      <w:r>
        <w:rPr>
          <w:spacing w:val="1"/>
          <w:sz w:val="20"/>
        </w:rPr>
        <w:t> </w:t>
      </w:r>
      <w:r>
        <w:rPr>
          <w:rFonts w:ascii="Arial" w:hAnsi="Arial"/>
          <w:i/>
          <w:sz w:val="20"/>
        </w:rPr>
        <w:t>McLoughlin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O’Brien</w:t>
      </w:r>
      <w:r>
        <w:rPr>
          <w:rFonts w:ascii="Arial" w:hAnsi="Arial"/>
          <w:i/>
          <w:spacing w:val="2"/>
          <w:sz w:val="20"/>
        </w:rPr>
        <w:t> </w:t>
      </w:r>
      <w:r>
        <w:rPr>
          <w:rFonts w:ascii="Arial" w:hAnsi="Arial"/>
          <w:i/>
          <w:sz w:val="20"/>
        </w:rPr>
        <w:t>[1983]</w:t>
      </w:r>
      <w:r>
        <w:rPr>
          <w:rFonts w:ascii="Arial" w:hAnsi="Arial"/>
          <w:i/>
          <w:spacing w:val="2"/>
          <w:sz w:val="20"/>
        </w:rPr>
        <w:t> </w:t>
      </w:r>
      <w:r>
        <w:rPr>
          <w:rFonts w:ascii="Arial" w:hAnsi="Arial"/>
          <w:i/>
          <w:spacing w:val="-10"/>
          <w:sz w:val="20"/>
        </w:rPr>
        <w:t>1</w:t>
      </w:r>
    </w:p>
    <w:p>
      <w:pPr>
        <w:spacing w:line="235" w:lineRule="auto" w:before="2"/>
        <w:ind w:left="705" w:right="168" w:firstLine="0"/>
        <w:jc w:val="both"/>
        <w:rPr>
          <w:sz w:val="20"/>
        </w:rPr>
      </w:pPr>
      <w:r>
        <w:rPr>
          <w:rFonts w:ascii="Arial"/>
          <w:i/>
          <w:sz w:val="20"/>
        </w:rPr>
        <w:t>A.C. 785</w:t>
      </w:r>
      <w:r>
        <w:rPr>
          <w:sz w:val="20"/>
        </w:rPr>
        <w:t>; </w:t>
      </w:r>
      <w:r>
        <w:rPr>
          <w:rFonts w:ascii="Arial"/>
          <w:i/>
          <w:sz w:val="20"/>
        </w:rPr>
        <w:t>Alcock v Chief Constable of South Yorkshire Police [1992] 1 A.C. 310</w:t>
      </w:r>
      <w:r>
        <w:rPr>
          <w:sz w:val="20"/>
        </w:rPr>
        <w:t>; </w:t>
      </w:r>
      <w:r>
        <w:rPr>
          <w:rFonts w:ascii="Arial"/>
          <w:i/>
          <w:sz w:val="20"/>
        </w:rPr>
        <w:t>Page v </w:t>
      </w:r>
      <w:r>
        <w:rPr>
          <w:rFonts w:ascii="Arial"/>
          <w:i/>
          <w:sz w:val="20"/>
        </w:rPr>
        <w:t>Smith [1995] 2 W.L.R. 644</w:t>
      </w:r>
      <w:r>
        <w:rPr>
          <w:sz w:val="20"/>
        </w:rPr>
        <w:t>; </w:t>
      </w:r>
      <w:r>
        <w:rPr>
          <w:rFonts w:ascii="Arial"/>
          <w:i/>
          <w:sz w:val="20"/>
        </w:rPr>
        <w:t>White v Chief Constable of South Yorkshire [1998] 3 W.L.R. </w:t>
      </w:r>
      <w:r>
        <w:rPr>
          <w:rFonts w:ascii="Arial"/>
          <w:i/>
          <w:sz w:val="20"/>
        </w:rPr>
        <w:t>1509</w:t>
      </w:r>
      <w:r>
        <w:rPr>
          <w:sz w:val="20"/>
        </w:rPr>
        <w:t>; </w:t>
      </w:r>
      <w:r>
        <w:rPr>
          <w:rFonts w:ascii="Arial"/>
          <w:i/>
          <w:sz w:val="20"/>
        </w:rPr>
        <w:t>Rothwell v Chemical Insulating Co Ltd [2008] 1 A.C. 281</w:t>
      </w:r>
      <w:r>
        <w:rPr>
          <w:sz w:val="20"/>
        </w:rPr>
        <w:t>.</w:t>
      </w:r>
    </w:p>
    <w:p>
      <w:pPr>
        <w:pStyle w:val="BodyText"/>
        <w:spacing w:before="8"/>
      </w:pPr>
    </w:p>
    <w:p>
      <w:pPr>
        <w:spacing w:line="235" w:lineRule="auto" w:before="1"/>
        <w:ind w:left="705" w:right="0" w:hanging="541"/>
        <w:jc w:val="left"/>
        <w:rPr>
          <w:rFonts w:ascii="Arial" w:hAnsi="Arial"/>
          <w:i/>
          <w:sz w:val="20"/>
        </w:rPr>
      </w:pPr>
      <w:r>
        <w:rPr>
          <w:color w:val="005DA1"/>
          <w:position w:val="5"/>
          <w:sz w:val="14"/>
          <w:u w:val="single" w:color="005DA1"/>
        </w:rPr>
        <w:t>1053</w:t>
      </w:r>
      <w:r>
        <w:rPr>
          <w:position w:val="5"/>
          <w:sz w:val="14"/>
        </w:rPr>
        <w:t>.</w:t>
      </w:r>
      <w:r>
        <w:rPr>
          <w:spacing w:val="80"/>
          <w:w w:val="150"/>
          <w:position w:val="5"/>
          <w:sz w:val="14"/>
        </w:rPr>
        <w:t> </w:t>
      </w:r>
      <w:r>
        <w:rPr>
          <w:sz w:val="20"/>
        </w:rPr>
        <w:t>Below, paras 26-139—26-147 and see McGregor on Damages, 19th edn (2014) paras 5-023 et seq</w:t>
      </w:r>
      <w:r>
        <w:rPr>
          <w:rFonts w:ascii="Arial" w:hAnsi="Arial"/>
          <w:i/>
          <w:sz w:val="20"/>
        </w:rPr>
        <w:t>Cook</w:t>
      </w:r>
      <w:r>
        <w:rPr>
          <w:rFonts w:ascii="Arial" w:hAnsi="Arial"/>
          <w:i/>
          <w:spacing w:val="14"/>
          <w:sz w:val="20"/>
        </w:rPr>
        <w:t> </w:t>
      </w:r>
      <w:r>
        <w:rPr>
          <w:rFonts w:ascii="Arial" w:hAnsi="Arial"/>
          <w:i/>
          <w:sz w:val="20"/>
        </w:rPr>
        <w:t>v</w:t>
      </w:r>
      <w:r>
        <w:rPr>
          <w:rFonts w:ascii="Arial" w:hAnsi="Arial"/>
          <w:i/>
          <w:spacing w:val="15"/>
          <w:sz w:val="20"/>
        </w:rPr>
        <w:t> </w:t>
      </w:r>
      <w:r>
        <w:rPr>
          <w:rFonts w:ascii="Arial" w:hAnsi="Arial"/>
          <w:i/>
          <w:sz w:val="20"/>
        </w:rPr>
        <w:t>Swinfen</w:t>
      </w:r>
      <w:r>
        <w:rPr>
          <w:rFonts w:ascii="Arial" w:hAnsi="Arial"/>
          <w:i/>
          <w:spacing w:val="15"/>
          <w:sz w:val="20"/>
        </w:rPr>
        <w:t> </w:t>
      </w:r>
      <w:r>
        <w:rPr>
          <w:rFonts w:ascii="Arial" w:hAnsi="Arial"/>
          <w:i/>
          <w:sz w:val="20"/>
        </w:rPr>
        <w:t>[1967]</w:t>
      </w:r>
      <w:r>
        <w:rPr>
          <w:rFonts w:ascii="Arial" w:hAnsi="Arial"/>
          <w:i/>
          <w:spacing w:val="15"/>
          <w:sz w:val="20"/>
        </w:rPr>
        <w:t> </w:t>
      </w:r>
      <w:r>
        <w:rPr>
          <w:rFonts w:ascii="Arial" w:hAnsi="Arial"/>
          <w:i/>
          <w:sz w:val="20"/>
        </w:rPr>
        <w:t>1</w:t>
      </w:r>
      <w:r>
        <w:rPr>
          <w:rFonts w:ascii="Arial" w:hAnsi="Arial"/>
          <w:i/>
          <w:spacing w:val="15"/>
          <w:sz w:val="20"/>
        </w:rPr>
        <w:t> </w:t>
      </w:r>
      <w:r>
        <w:rPr>
          <w:rFonts w:ascii="Arial" w:hAnsi="Arial"/>
          <w:i/>
          <w:sz w:val="20"/>
        </w:rPr>
        <w:t>W.L.R.</w:t>
      </w:r>
      <w:r>
        <w:rPr>
          <w:rFonts w:ascii="Arial" w:hAnsi="Arial"/>
          <w:i/>
          <w:spacing w:val="14"/>
          <w:sz w:val="20"/>
        </w:rPr>
        <w:t> </w:t>
      </w:r>
      <w:r>
        <w:rPr>
          <w:rFonts w:ascii="Arial" w:hAnsi="Arial"/>
          <w:i/>
          <w:sz w:val="20"/>
        </w:rPr>
        <w:t>457</w:t>
      </w:r>
      <w:r>
        <w:rPr>
          <w:sz w:val="20"/>
        </w:rPr>
        <w:t>;</w:t>
      </w:r>
      <w:r>
        <w:rPr>
          <w:spacing w:val="15"/>
          <w:sz w:val="20"/>
        </w:rPr>
        <w:t> </w:t>
      </w:r>
      <w:r>
        <w:rPr>
          <w:rFonts w:ascii="Arial" w:hAnsi="Arial"/>
          <w:i/>
          <w:sz w:val="20"/>
        </w:rPr>
        <w:t>Jarvis</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Swann</w:t>
      </w:r>
      <w:r>
        <w:rPr>
          <w:rFonts w:ascii="Arial" w:hAnsi="Arial"/>
          <w:i/>
          <w:spacing w:val="15"/>
          <w:sz w:val="20"/>
        </w:rPr>
        <w:t> </w:t>
      </w:r>
      <w:r>
        <w:rPr>
          <w:rFonts w:ascii="Arial" w:hAnsi="Arial"/>
          <w:i/>
          <w:sz w:val="20"/>
        </w:rPr>
        <w:t>Tours</w:t>
      </w:r>
      <w:r>
        <w:rPr>
          <w:rFonts w:ascii="Arial" w:hAnsi="Arial"/>
          <w:i/>
          <w:spacing w:val="15"/>
          <w:sz w:val="20"/>
        </w:rPr>
        <w:t> </w:t>
      </w:r>
      <w:r>
        <w:rPr>
          <w:rFonts w:ascii="Arial" w:hAnsi="Arial"/>
          <w:i/>
          <w:sz w:val="20"/>
        </w:rPr>
        <w:t>Ltd</w:t>
      </w:r>
      <w:r>
        <w:rPr>
          <w:rFonts w:ascii="Arial" w:hAnsi="Arial"/>
          <w:i/>
          <w:spacing w:val="14"/>
          <w:sz w:val="20"/>
        </w:rPr>
        <w:t> </w:t>
      </w:r>
      <w:r>
        <w:rPr>
          <w:rFonts w:ascii="Arial" w:hAnsi="Arial"/>
          <w:i/>
          <w:sz w:val="20"/>
        </w:rPr>
        <w:t>[1973]</w:t>
      </w:r>
      <w:r>
        <w:rPr>
          <w:rFonts w:ascii="Arial" w:hAnsi="Arial"/>
          <w:i/>
          <w:spacing w:val="15"/>
          <w:sz w:val="20"/>
        </w:rPr>
        <w:t> </w:t>
      </w:r>
      <w:r>
        <w:rPr>
          <w:rFonts w:ascii="Arial" w:hAnsi="Arial"/>
          <w:i/>
          <w:sz w:val="20"/>
        </w:rPr>
        <w:t>1</w:t>
      </w:r>
      <w:r>
        <w:rPr>
          <w:rFonts w:ascii="Arial" w:hAnsi="Arial"/>
          <w:i/>
          <w:spacing w:val="15"/>
          <w:sz w:val="20"/>
        </w:rPr>
        <w:t> </w:t>
      </w:r>
      <w:r>
        <w:rPr>
          <w:rFonts w:ascii="Arial" w:hAnsi="Arial"/>
          <w:i/>
          <w:sz w:val="20"/>
        </w:rPr>
        <w:t>Q.B.</w:t>
      </w:r>
      <w:r>
        <w:rPr>
          <w:rFonts w:ascii="Arial" w:hAnsi="Arial"/>
          <w:i/>
          <w:spacing w:val="15"/>
          <w:sz w:val="20"/>
        </w:rPr>
        <w:t> </w:t>
      </w:r>
      <w:r>
        <w:rPr>
          <w:rFonts w:ascii="Arial" w:hAnsi="Arial"/>
          <w:i/>
          <w:sz w:val="20"/>
        </w:rPr>
        <w:t>233</w:t>
      </w:r>
      <w:r>
        <w:rPr>
          <w:sz w:val="20"/>
        </w:rPr>
        <w:t>;</w:t>
      </w:r>
      <w:r>
        <w:rPr>
          <w:spacing w:val="15"/>
          <w:sz w:val="20"/>
        </w:rPr>
        <w:t> </w:t>
      </w:r>
      <w:r>
        <w:rPr>
          <w:rFonts w:ascii="Arial" w:hAnsi="Arial"/>
          <w:i/>
          <w:sz w:val="20"/>
        </w:rPr>
        <w:t>Bliss</w:t>
      </w:r>
      <w:r>
        <w:rPr>
          <w:rFonts w:ascii="Arial" w:hAnsi="Arial"/>
          <w:i/>
          <w:spacing w:val="15"/>
          <w:sz w:val="20"/>
        </w:rPr>
        <w:t> </w:t>
      </w:r>
      <w:r>
        <w:rPr>
          <w:rFonts w:ascii="Arial" w:hAnsi="Arial"/>
          <w:i/>
          <w:spacing w:val="-10"/>
          <w:sz w:val="20"/>
        </w:rPr>
        <w:t>v</w:t>
      </w:r>
    </w:p>
    <w:p>
      <w:pPr>
        <w:spacing w:line="235" w:lineRule="auto" w:before="0"/>
        <w:ind w:left="705" w:right="168" w:firstLine="0"/>
        <w:jc w:val="both"/>
        <w:rPr>
          <w:rFonts w:ascii="Arial"/>
          <w:i/>
          <w:sz w:val="20"/>
        </w:rPr>
      </w:pPr>
      <w:r>
        <w:rPr>
          <w:rFonts w:ascii="Arial"/>
          <w:i/>
          <w:sz w:val="20"/>
        </w:rPr>
        <w:t>S.E. Thames Regional Health Authority [1985] I.R.L.R. 308</w:t>
      </w:r>
      <w:r>
        <w:rPr>
          <w:sz w:val="20"/>
        </w:rPr>
        <w:t>; </w:t>
      </w:r>
      <w:r>
        <w:rPr>
          <w:rFonts w:ascii="Arial"/>
          <w:i/>
          <w:sz w:val="20"/>
        </w:rPr>
        <w:t>Hayes v James &amp; Charles Dodd </w:t>
      </w:r>
      <w:r>
        <w:rPr>
          <w:rFonts w:ascii="Arial"/>
          <w:i/>
          <w:sz w:val="20"/>
        </w:rPr>
        <w:t>(A Firm)</w:t>
      </w:r>
      <w:r>
        <w:rPr>
          <w:rFonts w:ascii="Arial"/>
          <w:i/>
          <w:spacing w:val="-1"/>
          <w:sz w:val="20"/>
        </w:rPr>
        <w:t> </w:t>
      </w:r>
      <w:r>
        <w:rPr>
          <w:rFonts w:ascii="Arial"/>
          <w:i/>
          <w:sz w:val="20"/>
        </w:rPr>
        <w:t>[1990]</w:t>
      </w:r>
      <w:r>
        <w:rPr>
          <w:rFonts w:ascii="Arial"/>
          <w:i/>
          <w:spacing w:val="2"/>
          <w:sz w:val="20"/>
        </w:rPr>
        <w:t> </w:t>
      </w:r>
      <w:r>
        <w:rPr>
          <w:rFonts w:ascii="Arial"/>
          <w:i/>
          <w:sz w:val="20"/>
        </w:rPr>
        <w:t>2</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815,</w:t>
      </w:r>
      <w:r>
        <w:rPr>
          <w:rFonts w:ascii="Arial"/>
          <w:i/>
          <w:spacing w:val="2"/>
          <w:sz w:val="20"/>
        </w:rPr>
        <w:t> </w:t>
      </w:r>
      <w:r>
        <w:rPr>
          <w:rFonts w:ascii="Arial"/>
          <w:i/>
          <w:sz w:val="20"/>
        </w:rPr>
        <w:t>824</w:t>
      </w:r>
      <w:r>
        <w:rPr>
          <w:sz w:val="20"/>
        </w:rPr>
        <w:t>;</w:t>
      </w:r>
      <w:r>
        <w:rPr>
          <w:spacing w:val="2"/>
          <w:sz w:val="20"/>
        </w:rPr>
        <w:t> </w:t>
      </w:r>
      <w:r>
        <w:rPr>
          <w:rFonts w:ascii="Arial"/>
          <w:i/>
          <w:sz w:val="20"/>
        </w:rPr>
        <w:t>McLeish</w:t>
      </w:r>
      <w:r>
        <w:rPr>
          <w:rFonts w:ascii="Arial"/>
          <w:i/>
          <w:spacing w:val="2"/>
          <w:sz w:val="20"/>
        </w:rPr>
        <w:t> </w:t>
      </w:r>
      <w:r>
        <w:rPr>
          <w:rFonts w:ascii="Arial"/>
          <w:i/>
          <w:sz w:val="20"/>
        </w:rPr>
        <w:t>v</w:t>
      </w:r>
      <w:r>
        <w:rPr>
          <w:rFonts w:ascii="Arial"/>
          <w:i/>
          <w:spacing w:val="2"/>
          <w:sz w:val="20"/>
        </w:rPr>
        <w:t> </w:t>
      </w:r>
      <w:r>
        <w:rPr>
          <w:rFonts w:ascii="Arial"/>
          <w:i/>
          <w:sz w:val="20"/>
        </w:rPr>
        <w:t>Amoo-Gottfried</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The</w:t>
      </w:r>
      <w:r>
        <w:rPr>
          <w:rFonts w:ascii="Arial"/>
          <w:i/>
          <w:spacing w:val="2"/>
          <w:sz w:val="20"/>
        </w:rPr>
        <w:t> </w:t>
      </w:r>
      <w:r>
        <w:rPr>
          <w:rFonts w:ascii="Arial"/>
          <w:i/>
          <w:sz w:val="20"/>
        </w:rPr>
        <w:t>Times,</w:t>
      </w:r>
      <w:r>
        <w:rPr>
          <w:rFonts w:ascii="Arial"/>
          <w:i/>
          <w:spacing w:val="2"/>
          <w:sz w:val="20"/>
        </w:rPr>
        <w:t> </w:t>
      </w:r>
      <w:r>
        <w:rPr>
          <w:rFonts w:ascii="Arial"/>
          <w:i/>
          <w:sz w:val="20"/>
        </w:rPr>
        <w:t>October</w:t>
      </w:r>
      <w:r>
        <w:rPr>
          <w:rFonts w:ascii="Arial"/>
          <w:i/>
          <w:spacing w:val="2"/>
          <w:sz w:val="20"/>
        </w:rPr>
        <w:t> </w:t>
      </w:r>
      <w:r>
        <w:rPr>
          <w:rFonts w:ascii="Arial"/>
          <w:i/>
          <w:sz w:val="20"/>
        </w:rPr>
        <w:t>13,</w:t>
      </w:r>
      <w:r>
        <w:rPr>
          <w:rFonts w:ascii="Arial"/>
          <w:i/>
          <w:spacing w:val="2"/>
          <w:sz w:val="20"/>
        </w:rPr>
        <w:t> </w:t>
      </w:r>
      <w:r>
        <w:rPr>
          <w:rFonts w:ascii="Arial"/>
          <w:i/>
          <w:spacing w:val="-4"/>
          <w:sz w:val="20"/>
        </w:rPr>
        <w:t>199</w:t>
      </w:r>
      <w:r>
        <w:rPr>
          <w:rFonts w:ascii="Arial"/>
          <w:i/>
          <w:spacing w:val="-4"/>
          <w:sz w:val="20"/>
        </w:rPr>
        <w:t>3</w:t>
      </w:r>
    </w:p>
    <w:p>
      <w:pPr>
        <w:spacing w:line="235" w:lineRule="auto" w:before="0"/>
        <w:ind w:left="705" w:right="167" w:firstLine="0"/>
        <w:jc w:val="both"/>
        <w:rPr>
          <w:rFonts w:ascii="Arial"/>
          <w:i/>
          <w:sz w:val="20"/>
        </w:rPr>
      </w:pPr>
      <w:r>
        <w:rPr>
          <w:sz w:val="20"/>
        </w:rPr>
        <w:t>; </w:t>
      </w:r>
      <w:r>
        <w:rPr>
          <w:rFonts w:ascii="Arial"/>
          <w:i/>
          <w:sz w:val="20"/>
        </w:rPr>
        <w:t>Watts v Morrow [1991] 1 W.L.R. 1421</w:t>
      </w:r>
      <w:r>
        <w:rPr>
          <w:sz w:val="20"/>
        </w:rPr>
        <w:t>; </w:t>
      </w:r>
      <w:r>
        <w:rPr>
          <w:rFonts w:ascii="Arial"/>
          <w:i/>
          <w:sz w:val="20"/>
        </w:rPr>
        <w:t>Knott v Bolton [1995] E.G.C.S. 59</w:t>
      </w:r>
      <w:r>
        <w:rPr>
          <w:sz w:val="20"/>
        </w:rPr>
        <w:t>; </w:t>
      </w:r>
      <w:r>
        <w:rPr>
          <w:rFonts w:ascii="Arial"/>
          <w:i/>
          <w:sz w:val="20"/>
        </w:rPr>
        <w:t>Mahmud v Bank of Credit and Commerce International SA (In Liquidation) [1998] A.C. 20</w:t>
      </w:r>
      <w:r>
        <w:rPr>
          <w:sz w:val="20"/>
        </w:rPr>
        <w:t>; </w:t>
      </w:r>
      <w:r>
        <w:rPr>
          <w:rFonts w:ascii="Arial"/>
          <w:i/>
          <w:sz w:val="20"/>
        </w:rPr>
        <w:t>Johnson v Unisys </w:t>
      </w:r>
      <w:r>
        <w:rPr>
          <w:rFonts w:ascii="Arial"/>
          <w:i/>
          <w:sz w:val="20"/>
        </w:rPr>
        <w:t>Ltd [2001]</w:t>
      </w:r>
      <w:r>
        <w:rPr>
          <w:rFonts w:ascii="Arial"/>
          <w:i/>
          <w:spacing w:val="-1"/>
          <w:sz w:val="20"/>
        </w:rPr>
        <w:t> </w:t>
      </w:r>
      <w:r>
        <w:rPr>
          <w:rFonts w:ascii="Arial"/>
          <w:i/>
          <w:sz w:val="20"/>
        </w:rPr>
        <w:t>UKHL 13, [2001] 2 W.L.R. 1076</w:t>
      </w:r>
      <w:r>
        <w:rPr>
          <w:sz w:val="20"/>
        </w:rPr>
        <w:t>; </w:t>
      </w:r>
      <w:r>
        <w:rPr>
          <w:rFonts w:ascii="Arial"/>
          <w:i/>
          <w:sz w:val="20"/>
        </w:rPr>
        <w:t>Edwards v Chesterfield Royal Hospital NHS </w:t>
      </w:r>
      <w:r>
        <w:rPr>
          <w:rFonts w:ascii="Arial"/>
          <w:i/>
          <w:spacing w:val="-2"/>
          <w:sz w:val="20"/>
        </w:rPr>
        <w:t>Foundation</w:t>
      </w:r>
    </w:p>
    <w:p>
      <w:pPr>
        <w:spacing w:line="223" w:lineRule="exact" w:before="0"/>
        <w:ind w:left="705" w:right="0" w:firstLine="0"/>
        <w:jc w:val="both"/>
        <w:rPr>
          <w:rFonts w:ascii="Arial"/>
          <w:i/>
          <w:sz w:val="20"/>
        </w:rPr>
      </w:pPr>
      <w:r>
        <w:rPr>
          <w:rFonts w:ascii="Arial"/>
          <w:i/>
          <w:sz w:val="20"/>
        </w:rPr>
        <w:t>Trust</w:t>
      </w:r>
      <w:r>
        <w:rPr>
          <w:rFonts w:ascii="Arial"/>
          <w:i/>
          <w:spacing w:val="40"/>
          <w:sz w:val="20"/>
        </w:rPr>
        <w:t> </w:t>
      </w:r>
      <w:r>
        <w:rPr>
          <w:rFonts w:ascii="Arial"/>
          <w:i/>
          <w:sz w:val="20"/>
        </w:rPr>
        <w:t>[2011]</w:t>
      </w:r>
      <w:r>
        <w:rPr>
          <w:rFonts w:ascii="Arial"/>
          <w:i/>
          <w:spacing w:val="41"/>
          <w:sz w:val="20"/>
        </w:rPr>
        <w:t> </w:t>
      </w:r>
      <w:r>
        <w:rPr>
          <w:rFonts w:ascii="Arial"/>
          <w:i/>
          <w:sz w:val="20"/>
        </w:rPr>
        <w:t>UKSC</w:t>
      </w:r>
      <w:r>
        <w:rPr>
          <w:rFonts w:ascii="Arial"/>
          <w:i/>
          <w:spacing w:val="41"/>
          <w:sz w:val="20"/>
        </w:rPr>
        <w:t> </w:t>
      </w:r>
      <w:r>
        <w:rPr>
          <w:rFonts w:ascii="Arial"/>
          <w:i/>
          <w:sz w:val="20"/>
        </w:rPr>
        <w:t>58,</w:t>
      </w:r>
      <w:r>
        <w:rPr>
          <w:rFonts w:ascii="Arial"/>
          <w:i/>
          <w:spacing w:val="41"/>
          <w:sz w:val="20"/>
        </w:rPr>
        <w:t> </w:t>
      </w:r>
      <w:r>
        <w:rPr>
          <w:rFonts w:ascii="Arial"/>
          <w:i/>
          <w:sz w:val="20"/>
        </w:rPr>
        <w:t>[2012]</w:t>
      </w:r>
      <w:r>
        <w:rPr>
          <w:rFonts w:ascii="Arial"/>
          <w:i/>
          <w:spacing w:val="41"/>
          <w:sz w:val="20"/>
        </w:rPr>
        <w:t> </w:t>
      </w:r>
      <w:r>
        <w:rPr>
          <w:rFonts w:ascii="Arial"/>
          <w:i/>
          <w:sz w:val="20"/>
        </w:rPr>
        <w:t>2</w:t>
      </w:r>
      <w:r>
        <w:rPr>
          <w:rFonts w:ascii="Arial"/>
          <w:i/>
          <w:spacing w:val="41"/>
          <w:sz w:val="20"/>
        </w:rPr>
        <w:t> </w:t>
      </w:r>
      <w:r>
        <w:rPr>
          <w:rFonts w:ascii="Arial"/>
          <w:i/>
          <w:sz w:val="20"/>
        </w:rPr>
        <w:t>W.L.R.</w:t>
      </w:r>
      <w:r>
        <w:rPr>
          <w:rFonts w:ascii="Arial"/>
          <w:i/>
          <w:spacing w:val="41"/>
          <w:sz w:val="20"/>
        </w:rPr>
        <w:t> </w:t>
      </w:r>
      <w:r>
        <w:rPr>
          <w:rFonts w:ascii="Arial"/>
          <w:i/>
          <w:sz w:val="20"/>
        </w:rPr>
        <w:t>55</w:t>
      </w:r>
      <w:r>
        <w:rPr>
          <w:sz w:val="20"/>
        </w:rPr>
        <w:t>.</w:t>
      </w:r>
      <w:r>
        <w:rPr>
          <w:spacing w:val="41"/>
          <w:sz w:val="20"/>
        </w:rPr>
        <w:t> </w:t>
      </w:r>
      <w:r>
        <w:rPr>
          <w:sz w:val="20"/>
        </w:rPr>
        <w:t>cf.</w:t>
      </w:r>
      <w:r>
        <w:rPr>
          <w:spacing w:val="41"/>
          <w:sz w:val="20"/>
        </w:rPr>
        <w:t> </w:t>
      </w:r>
      <w:r>
        <w:rPr>
          <w:rFonts w:ascii="Arial"/>
          <w:i/>
          <w:sz w:val="20"/>
        </w:rPr>
        <w:t>Yapp</w:t>
      </w:r>
      <w:r>
        <w:rPr>
          <w:rFonts w:ascii="Arial"/>
          <w:i/>
          <w:spacing w:val="41"/>
          <w:sz w:val="20"/>
        </w:rPr>
        <w:t> </w:t>
      </w:r>
      <w:r>
        <w:rPr>
          <w:rFonts w:ascii="Arial"/>
          <w:i/>
          <w:sz w:val="20"/>
        </w:rPr>
        <w:t>v</w:t>
      </w:r>
      <w:r>
        <w:rPr>
          <w:rFonts w:ascii="Arial"/>
          <w:i/>
          <w:spacing w:val="41"/>
          <w:sz w:val="20"/>
        </w:rPr>
        <w:t> </w:t>
      </w:r>
      <w:r>
        <w:rPr>
          <w:rFonts w:ascii="Arial"/>
          <w:i/>
          <w:sz w:val="20"/>
        </w:rPr>
        <w:t>Foreign</w:t>
      </w:r>
      <w:r>
        <w:rPr>
          <w:rFonts w:ascii="Arial"/>
          <w:i/>
          <w:spacing w:val="41"/>
          <w:sz w:val="20"/>
        </w:rPr>
        <w:t> </w:t>
      </w:r>
      <w:r>
        <w:rPr>
          <w:rFonts w:ascii="Arial"/>
          <w:i/>
          <w:sz w:val="20"/>
        </w:rPr>
        <w:t>and</w:t>
      </w:r>
      <w:r>
        <w:rPr>
          <w:rFonts w:ascii="Arial"/>
          <w:i/>
          <w:spacing w:val="41"/>
          <w:sz w:val="20"/>
        </w:rPr>
        <w:t> </w:t>
      </w:r>
      <w:r>
        <w:rPr>
          <w:rFonts w:ascii="Arial"/>
          <w:i/>
          <w:sz w:val="20"/>
        </w:rPr>
        <w:t>Commonwealth</w:t>
      </w:r>
      <w:r>
        <w:rPr>
          <w:rFonts w:ascii="Arial"/>
          <w:i/>
          <w:spacing w:val="41"/>
          <w:sz w:val="20"/>
        </w:rPr>
        <w:t> </w:t>
      </w:r>
      <w:r>
        <w:rPr>
          <w:rFonts w:ascii="Arial"/>
          <w:i/>
          <w:spacing w:val="-2"/>
          <w:sz w:val="20"/>
        </w:rPr>
        <w:t>Office</w:t>
      </w:r>
    </w:p>
    <w:p>
      <w:pPr>
        <w:spacing w:line="227" w:lineRule="exact" w:before="0"/>
        <w:ind w:left="705" w:right="0" w:firstLine="0"/>
        <w:jc w:val="both"/>
        <w:rPr>
          <w:sz w:val="20"/>
        </w:rPr>
      </w:pPr>
      <w:r>
        <w:rPr>
          <w:rFonts w:ascii="Arial"/>
          <w:i/>
          <w:sz w:val="20"/>
        </w:rPr>
        <w:t>[2014] EWCA Civ 1512, [2015] I.R.L.R. 112</w:t>
      </w:r>
      <w:r>
        <w:rPr>
          <w:rFonts w:ascii="Arial"/>
          <w:i/>
          <w:spacing w:val="-1"/>
          <w:sz w:val="20"/>
        </w:rPr>
        <w:t> </w:t>
      </w:r>
      <w:r>
        <w:rPr>
          <w:sz w:val="20"/>
        </w:rPr>
        <w:t>at </w:t>
      </w:r>
      <w:r>
        <w:rPr>
          <w:spacing w:val="-2"/>
          <w:sz w:val="20"/>
        </w:rPr>
        <w:t>[119].</w:t>
      </w:r>
    </w:p>
    <w:p>
      <w:pPr>
        <w:pStyle w:val="BodyText"/>
        <w:spacing w:before="3"/>
      </w:pPr>
    </w:p>
    <w:p>
      <w:pPr>
        <w:spacing w:before="0"/>
        <w:ind w:left="165" w:right="0" w:firstLine="0"/>
        <w:jc w:val="left"/>
        <w:rPr>
          <w:sz w:val="20"/>
        </w:rPr>
      </w:pPr>
      <w:r>
        <w:rPr>
          <w:color w:val="005DA1"/>
          <w:position w:val="5"/>
          <w:sz w:val="14"/>
          <w:u w:val="single" w:color="005DA1"/>
        </w:rPr>
        <w:t>1054</w:t>
      </w:r>
      <w:r>
        <w:rPr>
          <w:position w:val="5"/>
          <w:sz w:val="14"/>
        </w:rPr>
        <w:t>.</w:t>
      </w:r>
      <w:r>
        <w:rPr>
          <w:spacing w:val="55"/>
          <w:position w:val="5"/>
          <w:sz w:val="14"/>
        </w:rPr>
        <w:t>  </w:t>
      </w:r>
      <w:r>
        <w:rPr>
          <w:rFonts w:ascii="Arial"/>
          <w:i/>
          <w:sz w:val="20"/>
        </w:rPr>
        <w:t>Addis</w:t>
      </w:r>
      <w:r>
        <w:rPr>
          <w:rFonts w:ascii="Arial"/>
          <w:i/>
          <w:spacing w:val="1"/>
          <w:sz w:val="20"/>
        </w:rPr>
        <w:t> </w:t>
      </w:r>
      <w:r>
        <w:rPr>
          <w:rFonts w:ascii="Arial"/>
          <w:i/>
          <w:sz w:val="20"/>
        </w:rPr>
        <w:t>v Gramophone Co Ltd [1909] A.C. </w:t>
      </w:r>
      <w:r>
        <w:rPr>
          <w:rFonts w:ascii="Arial"/>
          <w:i/>
          <w:spacing w:val="-4"/>
          <w:sz w:val="20"/>
        </w:rPr>
        <w:t>488</w:t>
      </w:r>
      <w:r>
        <w:rPr>
          <w:spacing w:val="-4"/>
          <w:sz w:val="20"/>
        </w:rPr>
        <w:t>.</w:t>
      </w:r>
    </w:p>
    <w:p>
      <w:pPr>
        <w:pStyle w:val="BodyText"/>
        <w:spacing w:before="5"/>
      </w:pPr>
    </w:p>
    <w:p>
      <w:pPr>
        <w:spacing w:line="227" w:lineRule="exact" w:before="0"/>
        <w:ind w:left="165" w:right="0" w:firstLine="0"/>
        <w:jc w:val="left"/>
        <w:rPr>
          <w:rFonts w:ascii="Arial"/>
          <w:i/>
          <w:sz w:val="20"/>
        </w:rPr>
      </w:pPr>
      <w:r>
        <w:rPr>
          <w:color w:val="005DA1"/>
          <w:position w:val="5"/>
          <w:sz w:val="14"/>
          <w:u w:val="single" w:color="005DA1"/>
        </w:rPr>
        <w:t>1055</w:t>
      </w:r>
      <w:r>
        <w:rPr>
          <w:position w:val="5"/>
          <w:sz w:val="14"/>
        </w:rPr>
        <w:t>.</w:t>
      </w:r>
      <w:r>
        <w:rPr>
          <w:spacing w:val="55"/>
          <w:position w:val="5"/>
          <w:sz w:val="14"/>
        </w:rPr>
        <w:t>  </w:t>
      </w:r>
      <w:r>
        <w:rPr>
          <w:rFonts w:ascii="Arial"/>
          <w:i/>
          <w:sz w:val="20"/>
        </w:rPr>
        <w:t>Addis</w:t>
      </w:r>
      <w:r>
        <w:rPr>
          <w:rFonts w:ascii="Arial"/>
          <w:i/>
          <w:spacing w:val="1"/>
          <w:sz w:val="20"/>
        </w:rPr>
        <w:t> </w:t>
      </w:r>
      <w:r>
        <w:rPr>
          <w:rFonts w:ascii="Arial"/>
          <w:i/>
          <w:sz w:val="20"/>
        </w:rPr>
        <w:t>v Gramophone Co Ltd [1909] A.C. 488</w:t>
      </w:r>
      <w:r>
        <w:rPr>
          <w:sz w:val="20"/>
        </w:rPr>
        <w:t>;</w:t>
      </w:r>
      <w:r>
        <w:rPr>
          <w:spacing w:val="-1"/>
          <w:sz w:val="20"/>
        </w:rPr>
        <w:t> </w:t>
      </w:r>
      <w:r>
        <w:rPr>
          <w:rFonts w:ascii="Arial"/>
          <w:i/>
          <w:sz w:val="20"/>
        </w:rPr>
        <w:t>Withers v General Theatre Corp Ltd [1933] 2 </w:t>
      </w:r>
      <w:r>
        <w:rPr>
          <w:rFonts w:ascii="Arial"/>
          <w:i/>
          <w:spacing w:val="-4"/>
          <w:sz w:val="20"/>
        </w:rPr>
        <w:t>K.B.</w:t>
      </w:r>
    </w:p>
    <w:p>
      <w:pPr>
        <w:spacing w:line="227" w:lineRule="exact" w:before="0"/>
        <w:ind w:left="705" w:right="0" w:firstLine="0"/>
        <w:jc w:val="left"/>
        <w:rPr>
          <w:sz w:val="20"/>
        </w:rPr>
      </w:pPr>
      <w:r>
        <w:rPr>
          <w:rFonts w:ascii="Arial"/>
          <w:i/>
          <w:spacing w:val="-4"/>
          <w:sz w:val="20"/>
        </w:rPr>
        <w:t>536</w:t>
      </w:r>
      <w:r>
        <w:rPr>
          <w:spacing w:val="-4"/>
          <w:sz w:val="20"/>
        </w:rPr>
        <w:t>.</w:t>
      </w:r>
    </w:p>
    <w:p>
      <w:pPr>
        <w:pStyle w:val="BodyText"/>
        <w:spacing w:before="9"/>
      </w:pPr>
    </w:p>
    <w:p>
      <w:pPr>
        <w:spacing w:line="235" w:lineRule="auto" w:before="0"/>
        <w:ind w:left="705" w:right="0" w:hanging="541"/>
        <w:jc w:val="left"/>
        <w:rPr>
          <w:sz w:val="20"/>
        </w:rPr>
      </w:pPr>
      <w:r>
        <w:rPr>
          <w:color w:val="005DA1"/>
          <w:position w:val="5"/>
          <w:sz w:val="14"/>
          <w:u w:val="single" w:color="005DA1"/>
        </w:rPr>
        <w:t>1056</w:t>
      </w:r>
      <w:r>
        <w:rPr>
          <w:position w:val="5"/>
          <w:sz w:val="14"/>
        </w:rPr>
        <w:t>.</w:t>
      </w:r>
      <w:r>
        <w:rPr>
          <w:spacing w:val="40"/>
          <w:position w:val="5"/>
          <w:sz w:val="14"/>
        </w:rPr>
        <w:t>  </w:t>
      </w:r>
      <w:r>
        <w:rPr>
          <w:sz w:val="20"/>
        </w:rPr>
        <w:t>cf.</w:t>
      </w:r>
      <w:r>
        <w:rPr>
          <w:spacing w:val="36"/>
          <w:sz w:val="20"/>
        </w:rPr>
        <w:t> </w:t>
      </w:r>
      <w:r>
        <w:rPr>
          <w:rFonts w:ascii="Arial" w:hAnsi="Arial"/>
          <w:i/>
          <w:sz w:val="20"/>
        </w:rPr>
        <w:t>Withers</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General</w:t>
      </w:r>
      <w:r>
        <w:rPr>
          <w:rFonts w:ascii="Arial" w:hAnsi="Arial"/>
          <w:i/>
          <w:spacing w:val="36"/>
          <w:sz w:val="20"/>
        </w:rPr>
        <w:t> </w:t>
      </w:r>
      <w:r>
        <w:rPr>
          <w:rFonts w:ascii="Arial" w:hAnsi="Arial"/>
          <w:i/>
          <w:sz w:val="20"/>
        </w:rPr>
        <w:t>Theatre</w:t>
      </w:r>
      <w:r>
        <w:rPr>
          <w:rFonts w:ascii="Arial" w:hAnsi="Arial"/>
          <w:i/>
          <w:spacing w:val="36"/>
          <w:sz w:val="20"/>
        </w:rPr>
        <w:t> </w:t>
      </w:r>
      <w:r>
        <w:rPr>
          <w:rFonts w:ascii="Arial" w:hAnsi="Arial"/>
          <w:i/>
          <w:sz w:val="20"/>
        </w:rPr>
        <w:t>Corp</w:t>
      </w:r>
      <w:r>
        <w:rPr>
          <w:rFonts w:ascii="Arial" w:hAnsi="Arial"/>
          <w:i/>
          <w:spacing w:val="36"/>
          <w:sz w:val="20"/>
        </w:rPr>
        <w:t> </w:t>
      </w:r>
      <w:r>
        <w:rPr>
          <w:rFonts w:ascii="Arial" w:hAnsi="Arial"/>
          <w:i/>
          <w:sz w:val="20"/>
        </w:rPr>
        <w:t>Ltd</w:t>
      </w:r>
      <w:r>
        <w:rPr>
          <w:rFonts w:ascii="Arial" w:hAnsi="Arial"/>
          <w:i/>
          <w:spacing w:val="36"/>
          <w:sz w:val="20"/>
        </w:rPr>
        <w:t> </w:t>
      </w:r>
      <w:r>
        <w:rPr>
          <w:rFonts w:ascii="Arial" w:hAnsi="Arial"/>
          <w:i/>
          <w:sz w:val="20"/>
        </w:rPr>
        <w:t>[1933]</w:t>
      </w:r>
      <w:r>
        <w:rPr>
          <w:rFonts w:ascii="Arial" w:hAnsi="Arial"/>
          <w:i/>
          <w:spacing w:val="36"/>
          <w:sz w:val="20"/>
        </w:rPr>
        <w:t> </w:t>
      </w:r>
      <w:r>
        <w:rPr>
          <w:rFonts w:ascii="Arial" w:hAnsi="Arial"/>
          <w:i/>
          <w:sz w:val="20"/>
        </w:rPr>
        <w:t>2</w:t>
      </w:r>
      <w:r>
        <w:rPr>
          <w:rFonts w:ascii="Arial" w:hAnsi="Arial"/>
          <w:i/>
          <w:spacing w:val="36"/>
          <w:sz w:val="20"/>
        </w:rPr>
        <w:t> </w:t>
      </w:r>
      <w:r>
        <w:rPr>
          <w:rFonts w:ascii="Arial" w:hAnsi="Arial"/>
          <w:i/>
          <w:sz w:val="20"/>
        </w:rPr>
        <w:t>K.B.</w:t>
      </w:r>
      <w:r>
        <w:rPr>
          <w:rFonts w:ascii="Arial" w:hAnsi="Arial"/>
          <w:i/>
          <w:spacing w:val="36"/>
          <w:sz w:val="20"/>
        </w:rPr>
        <w:t> </w:t>
      </w:r>
      <w:r>
        <w:rPr>
          <w:rFonts w:ascii="Arial" w:hAnsi="Arial"/>
          <w:i/>
          <w:sz w:val="20"/>
        </w:rPr>
        <w:t>536</w:t>
      </w:r>
      <w:r>
        <w:rPr>
          <w:rFonts w:ascii="Arial" w:hAnsi="Arial"/>
          <w:i/>
          <w:spacing w:val="35"/>
          <w:sz w:val="20"/>
        </w:rPr>
        <w:t> </w:t>
      </w:r>
      <w:r>
        <w:rPr>
          <w:sz w:val="20"/>
        </w:rPr>
        <w:t>with</w:t>
      </w:r>
      <w:r>
        <w:rPr>
          <w:spacing w:val="36"/>
          <w:sz w:val="20"/>
        </w:rPr>
        <w:t> </w:t>
      </w:r>
      <w:r>
        <w:rPr>
          <w:rFonts w:ascii="Arial" w:hAnsi="Arial"/>
          <w:i/>
          <w:sz w:val="20"/>
        </w:rPr>
        <w:t>Marbe</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George</w:t>
      </w:r>
      <w:r>
        <w:rPr>
          <w:rFonts w:ascii="Arial" w:hAnsi="Arial"/>
          <w:i/>
          <w:spacing w:val="36"/>
          <w:sz w:val="20"/>
        </w:rPr>
        <w:t> </w:t>
      </w:r>
      <w:r>
        <w:rPr>
          <w:rFonts w:ascii="Arial" w:hAnsi="Arial"/>
          <w:i/>
          <w:sz w:val="20"/>
        </w:rPr>
        <w:t>Edwardes (Daly’s Theatre) Ltd [1928] 1 K.B. 269</w:t>
      </w:r>
      <w:r>
        <w:rPr>
          <w:sz w:val="20"/>
        </w:rPr>
        <w:t>.</w:t>
      </w:r>
    </w:p>
    <w:p>
      <w:pPr>
        <w:pStyle w:val="BodyText"/>
        <w:spacing w:before="5"/>
      </w:pPr>
    </w:p>
    <w:p>
      <w:pPr>
        <w:spacing w:before="0"/>
        <w:ind w:left="165" w:right="0" w:firstLine="0"/>
        <w:jc w:val="left"/>
        <w:rPr>
          <w:sz w:val="20"/>
        </w:rPr>
      </w:pPr>
      <w:r>
        <w:rPr>
          <w:color w:val="005DA1"/>
          <w:position w:val="5"/>
          <w:sz w:val="14"/>
          <w:u w:val="single" w:color="005DA1"/>
        </w:rPr>
        <w:t>1057</w:t>
      </w:r>
      <w:r>
        <w:rPr>
          <w:position w:val="5"/>
          <w:sz w:val="14"/>
        </w:rPr>
        <w:t>.</w:t>
      </w:r>
      <w:r>
        <w:rPr>
          <w:spacing w:val="55"/>
          <w:position w:val="5"/>
          <w:sz w:val="14"/>
        </w:rPr>
        <w:t>  </w:t>
      </w:r>
      <w:r>
        <w:rPr>
          <w:rFonts w:ascii="Arial"/>
          <w:i/>
          <w:sz w:val="20"/>
        </w:rPr>
        <w:t>Wilson</w:t>
      </w:r>
      <w:r>
        <w:rPr>
          <w:rFonts w:ascii="Arial"/>
          <w:i/>
          <w:spacing w:val="1"/>
          <w:sz w:val="20"/>
        </w:rPr>
        <w:t> </w:t>
      </w:r>
      <w:r>
        <w:rPr>
          <w:rFonts w:ascii="Arial"/>
          <w:i/>
          <w:sz w:val="20"/>
        </w:rPr>
        <w:t>v United Counties Bank Ltd [1920] A.C. </w:t>
      </w:r>
      <w:r>
        <w:rPr>
          <w:rFonts w:ascii="Arial"/>
          <w:i/>
          <w:spacing w:val="-4"/>
          <w:sz w:val="20"/>
        </w:rPr>
        <w:t>102</w:t>
      </w:r>
      <w:r>
        <w:rPr>
          <w:spacing w:val="-4"/>
          <w:sz w:val="20"/>
        </w:rPr>
        <w:t>.</w:t>
      </w:r>
    </w:p>
    <w:p>
      <w:pPr>
        <w:spacing w:after="0"/>
        <w:jc w:val="left"/>
        <w:rPr>
          <w:sz w:val="20"/>
        </w:rPr>
        <w:sectPr>
          <w:pgSz w:w="11900" w:h="16840"/>
          <w:pgMar w:header="971" w:footer="0" w:top="1300" w:bottom="280" w:left="1275" w:right="1275"/>
        </w:sectPr>
      </w:pPr>
    </w:p>
    <w:p>
      <w:pPr>
        <w:spacing w:line="235" w:lineRule="auto" w:before="170"/>
        <w:ind w:left="705" w:right="0" w:hanging="541"/>
        <w:jc w:val="left"/>
        <w:rPr>
          <w:sz w:val="20"/>
        </w:rPr>
      </w:pPr>
      <w:r>
        <w:rPr>
          <w:color w:val="005DA1"/>
          <w:position w:val="5"/>
          <w:sz w:val="14"/>
          <w:u w:val="single" w:color="005DA1"/>
        </w:rPr>
        <w:t>1058</w:t>
      </w:r>
      <w:r>
        <w:rPr>
          <w:position w:val="5"/>
          <w:sz w:val="14"/>
        </w:rPr>
        <w:t>.</w:t>
      </w:r>
      <w:r>
        <w:rPr>
          <w:spacing w:val="80"/>
          <w:w w:val="150"/>
          <w:position w:val="5"/>
          <w:sz w:val="14"/>
        </w:rPr>
        <w:t> </w:t>
      </w:r>
      <w:r>
        <w:rPr>
          <w:rFonts w:ascii="Arial"/>
          <w:i/>
          <w:sz w:val="20"/>
        </w:rPr>
        <w:t>Rolin v Steward (1854) 14 C.B. 595</w:t>
      </w:r>
      <w:r>
        <w:rPr>
          <w:sz w:val="20"/>
        </w:rPr>
        <w:t>; </w:t>
      </w:r>
      <w:r>
        <w:rPr>
          <w:rFonts w:ascii="Arial"/>
          <w:i/>
          <w:sz w:val="20"/>
        </w:rPr>
        <w:t>Aerial Advertising Co v Batchelors Peas (Manchester) </w:t>
      </w:r>
      <w:r>
        <w:rPr>
          <w:rFonts w:ascii="Arial"/>
          <w:i/>
          <w:sz w:val="20"/>
        </w:rPr>
        <w:t>Ltd [1938] 2 All E.R. 788</w:t>
      </w:r>
      <w:r>
        <w:rPr>
          <w:sz w:val="20"/>
        </w:rPr>
        <w:t>.</w:t>
      </w:r>
    </w:p>
    <w:p>
      <w:pPr>
        <w:pStyle w:val="BodyText"/>
        <w:spacing w:before="6"/>
      </w:pPr>
    </w:p>
    <w:p>
      <w:pPr>
        <w:spacing w:before="0"/>
        <w:ind w:left="165" w:right="0" w:firstLine="0"/>
        <w:jc w:val="left"/>
        <w:rPr>
          <w:sz w:val="20"/>
        </w:rPr>
      </w:pPr>
      <w:r>
        <w:rPr>
          <w:color w:val="005DA1"/>
          <w:position w:val="5"/>
          <w:sz w:val="14"/>
          <w:u w:val="single" w:color="005DA1"/>
        </w:rPr>
        <w:t>1059</w:t>
      </w:r>
      <w:r>
        <w:rPr>
          <w:position w:val="5"/>
          <w:sz w:val="14"/>
        </w:rPr>
        <w:t>.</w:t>
      </w:r>
      <w:r>
        <w:rPr>
          <w:spacing w:val="55"/>
          <w:position w:val="5"/>
          <w:sz w:val="14"/>
        </w:rPr>
        <w:t>  </w:t>
      </w:r>
      <w:r>
        <w:rPr>
          <w:rFonts w:ascii="Arial"/>
          <w:i/>
          <w:sz w:val="20"/>
        </w:rPr>
        <w:t>[1998]</w:t>
      </w:r>
      <w:r>
        <w:rPr>
          <w:rFonts w:ascii="Arial"/>
          <w:i/>
          <w:spacing w:val="1"/>
          <w:sz w:val="20"/>
        </w:rPr>
        <w:t> </w:t>
      </w:r>
      <w:r>
        <w:rPr>
          <w:rFonts w:ascii="Arial"/>
          <w:i/>
          <w:sz w:val="20"/>
        </w:rPr>
        <w:t>A.C. 20</w:t>
      </w:r>
      <w:r>
        <w:rPr>
          <w:rFonts w:ascii="Arial"/>
          <w:i/>
          <w:spacing w:val="-1"/>
          <w:sz w:val="20"/>
        </w:rPr>
        <w:t> </w:t>
      </w:r>
      <w:r>
        <w:rPr>
          <w:sz w:val="20"/>
        </w:rPr>
        <w:t>and see McGregor on Damages, 19th edn (2014), para.5-</w:t>
      </w:r>
      <w:r>
        <w:rPr>
          <w:spacing w:val="-4"/>
          <w:sz w:val="20"/>
        </w:rPr>
        <w:t>035.</w:t>
      </w:r>
    </w:p>
    <w:p>
      <w:pPr>
        <w:pStyle w:val="BodyText"/>
        <w:spacing w:before="5"/>
      </w:pPr>
    </w:p>
    <w:p>
      <w:pPr>
        <w:spacing w:line="227" w:lineRule="exact" w:before="0"/>
        <w:ind w:left="0" w:right="168" w:firstLine="0"/>
        <w:jc w:val="right"/>
        <w:rPr>
          <w:sz w:val="20"/>
        </w:rPr>
      </w:pPr>
      <w:r>
        <w:rPr>
          <w:color w:val="005DA1"/>
          <w:position w:val="5"/>
          <w:sz w:val="14"/>
          <w:u w:val="single" w:color="005DA1"/>
        </w:rPr>
        <w:t>1060</w:t>
      </w:r>
      <w:r>
        <w:rPr>
          <w:position w:val="5"/>
          <w:sz w:val="14"/>
        </w:rPr>
        <w:t>.</w:t>
      </w:r>
      <w:r>
        <w:rPr>
          <w:spacing w:val="55"/>
          <w:position w:val="5"/>
          <w:sz w:val="14"/>
        </w:rPr>
        <w:t>  </w:t>
      </w:r>
      <w:r>
        <w:rPr>
          <w:rFonts w:ascii="Arial"/>
          <w:i/>
          <w:sz w:val="20"/>
        </w:rPr>
        <w:t>[1998]</w:t>
      </w:r>
      <w:r>
        <w:rPr>
          <w:rFonts w:ascii="Arial"/>
          <w:i/>
          <w:spacing w:val="57"/>
          <w:sz w:val="20"/>
        </w:rPr>
        <w:t> </w:t>
      </w:r>
      <w:r>
        <w:rPr>
          <w:rFonts w:ascii="Arial"/>
          <w:i/>
          <w:sz w:val="20"/>
        </w:rPr>
        <w:t>A.C.</w:t>
      </w:r>
      <w:r>
        <w:rPr>
          <w:rFonts w:ascii="Arial"/>
          <w:i/>
          <w:spacing w:val="56"/>
          <w:sz w:val="20"/>
        </w:rPr>
        <w:t> </w:t>
      </w:r>
      <w:r>
        <w:rPr>
          <w:rFonts w:ascii="Arial"/>
          <w:i/>
          <w:sz w:val="20"/>
        </w:rPr>
        <w:t>20,</w:t>
      </w:r>
      <w:r>
        <w:rPr>
          <w:rFonts w:ascii="Arial"/>
          <w:i/>
          <w:spacing w:val="56"/>
          <w:sz w:val="20"/>
        </w:rPr>
        <w:t> </w:t>
      </w:r>
      <w:r>
        <w:rPr>
          <w:rFonts w:ascii="Arial"/>
          <w:i/>
          <w:sz w:val="20"/>
        </w:rPr>
        <w:t>51</w:t>
      </w:r>
      <w:r>
        <w:rPr>
          <w:sz w:val="20"/>
        </w:rPr>
        <w:t>.</w:t>
      </w:r>
      <w:r>
        <w:rPr>
          <w:spacing w:val="56"/>
          <w:sz w:val="20"/>
        </w:rPr>
        <w:t> </w:t>
      </w:r>
      <w:r>
        <w:rPr>
          <w:sz w:val="20"/>
        </w:rPr>
        <w:t>But</w:t>
      </w:r>
      <w:r>
        <w:rPr>
          <w:spacing w:val="56"/>
          <w:sz w:val="20"/>
        </w:rPr>
        <w:t> </w:t>
      </w:r>
      <w:r>
        <w:rPr>
          <w:sz w:val="20"/>
        </w:rPr>
        <w:t>see</w:t>
      </w:r>
      <w:r>
        <w:rPr>
          <w:spacing w:val="56"/>
          <w:sz w:val="20"/>
        </w:rPr>
        <w:t> </w:t>
      </w:r>
      <w:r>
        <w:rPr>
          <w:rFonts w:ascii="Arial"/>
          <w:i/>
          <w:sz w:val="20"/>
        </w:rPr>
        <w:t>Johnson</w:t>
      </w:r>
      <w:r>
        <w:rPr>
          <w:rFonts w:ascii="Arial"/>
          <w:i/>
          <w:spacing w:val="56"/>
          <w:sz w:val="20"/>
        </w:rPr>
        <w:t> </w:t>
      </w:r>
      <w:r>
        <w:rPr>
          <w:rFonts w:ascii="Arial"/>
          <w:i/>
          <w:sz w:val="20"/>
        </w:rPr>
        <w:t>v</w:t>
      </w:r>
      <w:r>
        <w:rPr>
          <w:rFonts w:ascii="Arial"/>
          <w:i/>
          <w:spacing w:val="56"/>
          <w:sz w:val="20"/>
        </w:rPr>
        <w:t> </w:t>
      </w:r>
      <w:r>
        <w:rPr>
          <w:rFonts w:ascii="Arial"/>
          <w:i/>
          <w:sz w:val="20"/>
        </w:rPr>
        <w:t>Unisys</w:t>
      </w:r>
      <w:r>
        <w:rPr>
          <w:rFonts w:ascii="Arial"/>
          <w:i/>
          <w:spacing w:val="55"/>
          <w:sz w:val="20"/>
        </w:rPr>
        <w:t> </w:t>
      </w:r>
      <w:r>
        <w:rPr>
          <w:rFonts w:ascii="Arial"/>
          <w:i/>
          <w:sz w:val="20"/>
        </w:rPr>
        <w:t>Ltd</w:t>
      </w:r>
      <w:r>
        <w:rPr>
          <w:rFonts w:ascii="Arial"/>
          <w:i/>
          <w:spacing w:val="56"/>
          <w:sz w:val="20"/>
        </w:rPr>
        <w:t> </w:t>
      </w:r>
      <w:r>
        <w:rPr>
          <w:rFonts w:ascii="Arial"/>
          <w:i/>
          <w:sz w:val="20"/>
        </w:rPr>
        <w:t>[2001]</w:t>
      </w:r>
      <w:r>
        <w:rPr>
          <w:rFonts w:ascii="Arial"/>
          <w:i/>
          <w:spacing w:val="56"/>
          <w:sz w:val="20"/>
        </w:rPr>
        <w:t> </w:t>
      </w:r>
      <w:r>
        <w:rPr>
          <w:rFonts w:ascii="Arial"/>
          <w:i/>
          <w:sz w:val="20"/>
        </w:rPr>
        <w:t>UKHL</w:t>
      </w:r>
      <w:r>
        <w:rPr>
          <w:rFonts w:ascii="Arial"/>
          <w:i/>
          <w:spacing w:val="56"/>
          <w:sz w:val="20"/>
        </w:rPr>
        <w:t> </w:t>
      </w:r>
      <w:r>
        <w:rPr>
          <w:rFonts w:ascii="Arial"/>
          <w:i/>
          <w:sz w:val="20"/>
        </w:rPr>
        <w:t>13,</w:t>
      </w:r>
      <w:r>
        <w:rPr>
          <w:rFonts w:ascii="Arial"/>
          <w:i/>
          <w:spacing w:val="56"/>
          <w:sz w:val="20"/>
        </w:rPr>
        <w:t> </w:t>
      </w:r>
      <w:r>
        <w:rPr>
          <w:rFonts w:ascii="Arial"/>
          <w:i/>
          <w:sz w:val="20"/>
        </w:rPr>
        <w:t>[2003]</w:t>
      </w:r>
      <w:r>
        <w:rPr>
          <w:rFonts w:ascii="Arial"/>
          <w:i/>
          <w:spacing w:val="56"/>
          <w:sz w:val="20"/>
        </w:rPr>
        <w:t> </w:t>
      </w:r>
      <w:r>
        <w:rPr>
          <w:rFonts w:ascii="Arial"/>
          <w:i/>
          <w:sz w:val="20"/>
        </w:rPr>
        <w:t>1</w:t>
      </w:r>
      <w:r>
        <w:rPr>
          <w:rFonts w:ascii="Arial"/>
          <w:i/>
          <w:spacing w:val="56"/>
          <w:sz w:val="20"/>
        </w:rPr>
        <w:t> </w:t>
      </w:r>
      <w:r>
        <w:rPr>
          <w:rFonts w:ascii="Arial"/>
          <w:i/>
          <w:sz w:val="20"/>
        </w:rPr>
        <w:t>A.C.</w:t>
      </w:r>
      <w:r>
        <w:rPr>
          <w:rFonts w:ascii="Arial"/>
          <w:i/>
          <w:spacing w:val="56"/>
          <w:sz w:val="20"/>
        </w:rPr>
        <w:t> </w:t>
      </w:r>
      <w:r>
        <w:rPr>
          <w:rFonts w:ascii="Arial"/>
          <w:i/>
          <w:spacing w:val="-4"/>
          <w:sz w:val="20"/>
        </w:rPr>
        <w:t>518</w:t>
      </w:r>
      <w:r>
        <w:rPr>
          <w:spacing w:val="-4"/>
          <w:sz w:val="20"/>
        </w:rPr>
        <w:t>;</w:t>
      </w:r>
    </w:p>
    <w:p>
      <w:pPr>
        <w:spacing w:line="225" w:lineRule="exact" w:before="0"/>
        <w:ind w:left="0" w:right="168" w:firstLine="0"/>
        <w:jc w:val="right"/>
        <w:rPr>
          <w:rFonts w:ascii="Arial"/>
          <w:i/>
          <w:sz w:val="20"/>
        </w:rPr>
      </w:pPr>
      <w:r>
        <w:rPr>
          <w:rFonts w:ascii="Arial"/>
          <w:i/>
          <w:sz w:val="20"/>
        </w:rPr>
        <w:t>Eastwood</w:t>
      </w:r>
      <w:r>
        <w:rPr>
          <w:rFonts w:ascii="Arial"/>
          <w:i/>
          <w:spacing w:val="19"/>
          <w:sz w:val="20"/>
        </w:rPr>
        <w:t> </w:t>
      </w:r>
      <w:r>
        <w:rPr>
          <w:rFonts w:ascii="Arial"/>
          <w:i/>
          <w:sz w:val="20"/>
        </w:rPr>
        <w:t>v</w:t>
      </w:r>
      <w:r>
        <w:rPr>
          <w:rFonts w:ascii="Arial"/>
          <w:i/>
          <w:spacing w:val="22"/>
          <w:sz w:val="20"/>
        </w:rPr>
        <w:t> </w:t>
      </w:r>
      <w:r>
        <w:rPr>
          <w:rFonts w:ascii="Arial"/>
          <w:i/>
          <w:sz w:val="20"/>
        </w:rPr>
        <w:t>Magnox</w:t>
      </w:r>
      <w:r>
        <w:rPr>
          <w:rFonts w:ascii="Arial"/>
          <w:i/>
          <w:spacing w:val="22"/>
          <w:sz w:val="20"/>
        </w:rPr>
        <w:t> </w:t>
      </w:r>
      <w:r>
        <w:rPr>
          <w:rFonts w:ascii="Arial"/>
          <w:i/>
          <w:sz w:val="20"/>
        </w:rPr>
        <w:t>Electric</w:t>
      </w:r>
      <w:r>
        <w:rPr>
          <w:rFonts w:ascii="Arial"/>
          <w:i/>
          <w:spacing w:val="22"/>
          <w:sz w:val="20"/>
        </w:rPr>
        <w:t> </w:t>
      </w:r>
      <w:r>
        <w:rPr>
          <w:rFonts w:ascii="Arial"/>
          <w:i/>
          <w:sz w:val="20"/>
        </w:rPr>
        <w:t>Plc</w:t>
      </w:r>
      <w:r>
        <w:rPr>
          <w:rFonts w:ascii="Arial"/>
          <w:i/>
          <w:spacing w:val="22"/>
          <w:sz w:val="20"/>
        </w:rPr>
        <w:t> </w:t>
      </w:r>
      <w:r>
        <w:rPr>
          <w:rFonts w:ascii="Arial"/>
          <w:i/>
          <w:sz w:val="20"/>
        </w:rPr>
        <w:t>[2004]</w:t>
      </w:r>
      <w:r>
        <w:rPr>
          <w:rFonts w:ascii="Arial"/>
          <w:i/>
          <w:spacing w:val="22"/>
          <w:sz w:val="20"/>
        </w:rPr>
        <w:t> </w:t>
      </w:r>
      <w:r>
        <w:rPr>
          <w:rFonts w:ascii="Arial"/>
          <w:i/>
          <w:sz w:val="20"/>
        </w:rPr>
        <w:t>UKHL</w:t>
      </w:r>
      <w:r>
        <w:rPr>
          <w:rFonts w:ascii="Arial"/>
          <w:i/>
          <w:spacing w:val="22"/>
          <w:sz w:val="20"/>
        </w:rPr>
        <w:t> </w:t>
      </w:r>
      <w:r>
        <w:rPr>
          <w:rFonts w:ascii="Arial"/>
          <w:i/>
          <w:sz w:val="20"/>
        </w:rPr>
        <w:t>35,</w:t>
      </w:r>
      <w:r>
        <w:rPr>
          <w:rFonts w:ascii="Arial"/>
          <w:i/>
          <w:spacing w:val="22"/>
          <w:sz w:val="20"/>
        </w:rPr>
        <w:t> </w:t>
      </w:r>
      <w:r>
        <w:rPr>
          <w:rFonts w:ascii="Arial"/>
          <w:i/>
          <w:sz w:val="20"/>
        </w:rPr>
        <w:t>[2005]</w:t>
      </w:r>
      <w:r>
        <w:rPr>
          <w:rFonts w:ascii="Arial"/>
          <w:i/>
          <w:spacing w:val="22"/>
          <w:sz w:val="20"/>
        </w:rPr>
        <w:t> </w:t>
      </w:r>
      <w:r>
        <w:rPr>
          <w:rFonts w:ascii="Arial"/>
          <w:i/>
          <w:sz w:val="20"/>
        </w:rPr>
        <w:t>1</w:t>
      </w:r>
      <w:r>
        <w:rPr>
          <w:rFonts w:ascii="Arial"/>
          <w:i/>
          <w:spacing w:val="22"/>
          <w:sz w:val="20"/>
        </w:rPr>
        <w:t> </w:t>
      </w:r>
      <w:r>
        <w:rPr>
          <w:rFonts w:ascii="Arial"/>
          <w:i/>
          <w:sz w:val="20"/>
        </w:rPr>
        <w:t>A.C.</w:t>
      </w:r>
      <w:r>
        <w:rPr>
          <w:rFonts w:ascii="Arial"/>
          <w:i/>
          <w:spacing w:val="22"/>
          <w:sz w:val="20"/>
        </w:rPr>
        <w:t> </w:t>
      </w:r>
      <w:r>
        <w:rPr>
          <w:rFonts w:ascii="Arial"/>
          <w:i/>
          <w:sz w:val="20"/>
        </w:rPr>
        <w:t>503</w:t>
      </w:r>
      <w:r>
        <w:rPr>
          <w:sz w:val="20"/>
        </w:rPr>
        <w:t>;</w:t>
      </w:r>
      <w:r>
        <w:rPr>
          <w:spacing w:val="22"/>
          <w:sz w:val="20"/>
        </w:rPr>
        <w:t> </w:t>
      </w:r>
      <w:r>
        <w:rPr>
          <w:rFonts w:ascii="Arial"/>
          <w:i/>
          <w:sz w:val="20"/>
        </w:rPr>
        <w:t>Edwards</w:t>
      </w:r>
      <w:r>
        <w:rPr>
          <w:rFonts w:ascii="Arial"/>
          <w:i/>
          <w:spacing w:val="22"/>
          <w:sz w:val="20"/>
        </w:rPr>
        <w:t> </w:t>
      </w:r>
      <w:r>
        <w:rPr>
          <w:rFonts w:ascii="Arial"/>
          <w:i/>
          <w:sz w:val="20"/>
        </w:rPr>
        <w:t>v</w:t>
      </w:r>
      <w:r>
        <w:rPr>
          <w:rFonts w:ascii="Arial"/>
          <w:i/>
          <w:spacing w:val="22"/>
          <w:sz w:val="20"/>
        </w:rPr>
        <w:t> </w:t>
      </w:r>
      <w:r>
        <w:rPr>
          <w:rFonts w:ascii="Arial"/>
          <w:i/>
          <w:spacing w:val="-2"/>
          <w:sz w:val="20"/>
        </w:rPr>
        <w:t>Chesterfield</w:t>
      </w:r>
    </w:p>
    <w:p>
      <w:pPr>
        <w:spacing w:line="225" w:lineRule="exact" w:before="0"/>
        <w:ind w:left="0" w:right="168" w:firstLine="0"/>
        <w:jc w:val="right"/>
        <w:rPr>
          <w:rFonts w:ascii="Arial"/>
          <w:i/>
          <w:sz w:val="20"/>
        </w:rPr>
      </w:pPr>
      <w:r>
        <w:rPr>
          <w:rFonts w:ascii="Arial"/>
          <w:i/>
          <w:sz w:val="20"/>
        </w:rPr>
        <w:t>Royal</w:t>
      </w:r>
      <w:r>
        <w:rPr>
          <w:rFonts w:ascii="Arial"/>
          <w:i/>
          <w:spacing w:val="-1"/>
          <w:sz w:val="20"/>
        </w:rPr>
        <w:t> </w:t>
      </w:r>
      <w:r>
        <w:rPr>
          <w:rFonts w:ascii="Arial"/>
          <w:i/>
          <w:sz w:val="20"/>
        </w:rPr>
        <w:t>Hospital NHS Foundation Trust [2011] UKSC 58, [2012] 2 W.L.R. 55</w:t>
      </w:r>
      <w:r>
        <w:rPr>
          <w:sz w:val="20"/>
        </w:rPr>
        <w:t>; </w:t>
      </w:r>
      <w:r>
        <w:rPr>
          <w:rFonts w:ascii="Arial"/>
          <w:i/>
          <w:sz w:val="20"/>
        </w:rPr>
        <w:t>Yapp v Foreign </w:t>
      </w:r>
      <w:r>
        <w:rPr>
          <w:rFonts w:ascii="Arial"/>
          <w:i/>
          <w:spacing w:val="-5"/>
          <w:sz w:val="20"/>
        </w:rPr>
        <w:t>and</w:t>
      </w:r>
    </w:p>
    <w:p>
      <w:pPr>
        <w:spacing w:line="225" w:lineRule="exact" w:before="0"/>
        <w:ind w:left="0" w:right="168" w:firstLine="0"/>
        <w:jc w:val="right"/>
        <w:rPr>
          <w:sz w:val="20"/>
        </w:rPr>
      </w:pPr>
      <w:r>
        <w:rPr>
          <w:rFonts w:ascii="Arial"/>
          <w:i/>
          <w:sz w:val="20"/>
        </w:rPr>
        <w:t>Commonwealth</w:t>
      </w:r>
      <w:r>
        <w:rPr>
          <w:rFonts w:ascii="Arial"/>
          <w:i/>
          <w:spacing w:val="65"/>
          <w:w w:val="150"/>
          <w:sz w:val="20"/>
        </w:rPr>
        <w:t> </w:t>
      </w:r>
      <w:r>
        <w:rPr>
          <w:rFonts w:ascii="Arial"/>
          <w:i/>
          <w:sz w:val="20"/>
        </w:rPr>
        <w:t>Office</w:t>
      </w:r>
      <w:r>
        <w:rPr>
          <w:rFonts w:ascii="Arial"/>
          <w:i/>
          <w:spacing w:val="65"/>
          <w:w w:val="150"/>
          <w:sz w:val="20"/>
        </w:rPr>
        <w:t> </w:t>
      </w:r>
      <w:r>
        <w:rPr>
          <w:rFonts w:ascii="Arial"/>
          <w:i/>
          <w:sz w:val="20"/>
        </w:rPr>
        <w:t>[2014]</w:t>
      </w:r>
      <w:r>
        <w:rPr>
          <w:rFonts w:ascii="Arial"/>
          <w:i/>
          <w:spacing w:val="65"/>
          <w:w w:val="150"/>
          <w:sz w:val="20"/>
        </w:rPr>
        <w:t> </w:t>
      </w:r>
      <w:r>
        <w:rPr>
          <w:rFonts w:ascii="Arial"/>
          <w:i/>
          <w:sz w:val="20"/>
        </w:rPr>
        <w:t>EWCA</w:t>
      </w:r>
      <w:r>
        <w:rPr>
          <w:rFonts w:ascii="Arial"/>
          <w:i/>
          <w:spacing w:val="65"/>
          <w:w w:val="150"/>
          <w:sz w:val="20"/>
        </w:rPr>
        <w:t> </w:t>
      </w:r>
      <w:r>
        <w:rPr>
          <w:rFonts w:ascii="Arial"/>
          <w:i/>
          <w:sz w:val="20"/>
        </w:rPr>
        <w:t>Civ</w:t>
      </w:r>
      <w:r>
        <w:rPr>
          <w:rFonts w:ascii="Arial"/>
          <w:i/>
          <w:spacing w:val="66"/>
          <w:w w:val="150"/>
          <w:sz w:val="20"/>
        </w:rPr>
        <w:t> </w:t>
      </w:r>
      <w:r>
        <w:rPr>
          <w:rFonts w:ascii="Arial"/>
          <w:i/>
          <w:sz w:val="20"/>
        </w:rPr>
        <w:t>1512,</w:t>
      </w:r>
      <w:r>
        <w:rPr>
          <w:rFonts w:ascii="Arial"/>
          <w:i/>
          <w:spacing w:val="65"/>
          <w:w w:val="150"/>
          <w:sz w:val="20"/>
        </w:rPr>
        <w:t> </w:t>
      </w:r>
      <w:r>
        <w:rPr>
          <w:rFonts w:ascii="Arial"/>
          <w:i/>
          <w:sz w:val="20"/>
        </w:rPr>
        <w:t>[2015]</w:t>
      </w:r>
      <w:r>
        <w:rPr>
          <w:rFonts w:ascii="Arial"/>
          <w:i/>
          <w:spacing w:val="65"/>
          <w:w w:val="150"/>
          <w:sz w:val="20"/>
        </w:rPr>
        <w:t> </w:t>
      </w:r>
      <w:r>
        <w:rPr>
          <w:rFonts w:ascii="Arial"/>
          <w:i/>
          <w:sz w:val="20"/>
        </w:rPr>
        <w:t>I.R.L.R.</w:t>
      </w:r>
      <w:r>
        <w:rPr>
          <w:rFonts w:ascii="Arial"/>
          <w:i/>
          <w:spacing w:val="65"/>
          <w:w w:val="150"/>
          <w:sz w:val="20"/>
        </w:rPr>
        <w:t> </w:t>
      </w:r>
      <w:r>
        <w:rPr>
          <w:rFonts w:ascii="Arial"/>
          <w:i/>
          <w:sz w:val="20"/>
        </w:rPr>
        <w:t>112</w:t>
      </w:r>
      <w:r>
        <w:rPr>
          <w:rFonts w:ascii="Arial"/>
          <w:i/>
          <w:spacing w:val="64"/>
          <w:w w:val="150"/>
          <w:sz w:val="20"/>
        </w:rPr>
        <w:t> </w:t>
      </w:r>
      <w:r>
        <w:rPr>
          <w:sz w:val="20"/>
        </w:rPr>
        <w:t>and</w:t>
      </w:r>
      <w:r>
        <w:rPr>
          <w:spacing w:val="66"/>
          <w:w w:val="150"/>
          <w:sz w:val="20"/>
        </w:rPr>
        <w:t> </w:t>
      </w:r>
      <w:r>
        <w:rPr>
          <w:sz w:val="20"/>
        </w:rPr>
        <w:t>below,</w:t>
      </w:r>
      <w:r>
        <w:rPr>
          <w:spacing w:val="65"/>
          <w:w w:val="150"/>
          <w:sz w:val="20"/>
        </w:rPr>
        <w:t> </w:t>
      </w:r>
      <w:r>
        <w:rPr>
          <w:spacing w:val="-2"/>
          <w:sz w:val="20"/>
        </w:rPr>
        <w:t>paras</w:t>
      </w:r>
    </w:p>
    <w:p>
      <w:pPr>
        <w:pStyle w:val="BodyText"/>
        <w:spacing w:line="227" w:lineRule="exact"/>
        <w:ind w:left="705"/>
      </w:pPr>
      <w:r>
        <w:rPr/>
        <w:t>26-148—26-</w:t>
      </w:r>
      <w:r>
        <w:rPr>
          <w:spacing w:val="-4"/>
        </w:rPr>
        <w:t>149.</w:t>
      </w:r>
    </w:p>
    <w:p>
      <w:pPr>
        <w:pStyle w:val="BodyText"/>
        <w:spacing w:before="5"/>
      </w:pPr>
    </w:p>
    <w:p>
      <w:pPr>
        <w:spacing w:before="0"/>
        <w:ind w:left="165" w:right="0" w:firstLine="0"/>
        <w:jc w:val="left"/>
        <w:rPr>
          <w:sz w:val="20"/>
        </w:rPr>
      </w:pPr>
      <w:r>
        <w:rPr>
          <w:color w:val="005DA1"/>
          <w:position w:val="5"/>
          <w:sz w:val="14"/>
          <w:u w:val="single" w:color="005DA1"/>
        </w:rPr>
        <w:t>1061</w:t>
      </w:r>
      <w:r>
        <w:rPr>
          <w:position w:val="5"/>
          <w:sz w:val="14"/>
        </w:rPr>
        <w:t>.</w:t>
      </w:r>
      <w:r>
        <w:rPr>
          <w:spacing w:val="55"/>
          <w:position w:val="5"/>
          <w:sz w:val="14"/>
        </w:rPr>
        <w:t>  </w:t>
      </w:r>
      <w:r>
        <w:rPr>
          <w:sz w:val="20"/>
        </w:rPr>
        <w:t>Ss.2,</w:t>
      </w:r>
      <w:r>
        <w:rPr>
          <w:spacing w:val="1"/>
          <w:sz w:val="20"/>
        </w:rPr>
        <w:t> </w:t>
      </w:r>
      <w:r>
        <w:rPr>
          <w:spacing w:val="-5"/>
          <w:sz w:val="20"/>
        </w:rPr>
        <w:t>5.</w:t>
      </w:r>
    </w:p>
    <w:p>
      <w:pPr>
        <w:pStyle w:val="BodyText"/>
        <w:spacing w:before="8"/>
      </w:pPr>
    </w:p>
    <w:p>
      <w:pPr>
        <w:pStyle w:val="BodyText"/>
        <w:spacing w:line="235" w:lineRule="auto" w:before="1"/>
        <w:ind w:left="705" w:hanging="541"/>
      </w:pPr>
      <w:r>
        <w:rPr>
          <w:color w:val="005DA1"/>
          <w:position w:val="5"/>
          <w:sz w:val="14"/>
          <w:u w:val="single" w:color="005DA1"/>
        </w:rPr>
        <w:t>1062</w:t>
      </w:r>
      <w:r>
        <w:rPr>
          <w:position w:val="5"/>
          <w:sz w:val="14"/>
        </w:rPr>
        <w:t>.</w:t>
      </w:r>
      <w:r>
        <w:rPr>
          <w:spacing w:val="40"/>
          <w:position w:val="5"/>
          <w:sz w:val="14"/>
        </w:rPr>
        <w:t>  </w:t>
      </w:r>
      <w:r>
        <w:rPr/>
        <w:t>But</w:t>
      </w:r>
      <w:r>
        <w:rPr>
          <w:spacing w:val="24"/>
        </w:rPr>
        <w:t> </w:t>
      </w:r>
      <w:r>
        <w:rPr/>
        <w:t>see</w:t>
      </w:r>
      <w:r>
        <w:rPr>
          <w:spacing w:val="24"/>
        </w:rPr>
        <w:t> </w:t>
      </w:r>
      <w:r>
        <w:rPr/>
        <w:t>s.11</w:t>
      </w:r>
      <w:r>
        <w:rPr>
          <w:spacing w:val="24"/>
        </w:rPr>
        <w:t> </w:t>
      </w:r>
      <w:r>
        <w:rPr/>
        <w:t>(three</w:t>
      </w:r>
      <w:r>
        <w:rPr>
          <w:spacing w:val="24"/>
        </w:rPr>
        <w:t> </w:t>
      </w:r>
      <w:r>
        <w:rPr/>
        <w:t>years</w:t>
      </w:r>
      <w:r>
        <w:rPr>
          <w:spacing w:val="24"/>
        </w:rPr>
        <w:t> </w:t>
      </w:r>
      <w:r>
        <w:rPr/>
        <w:t>for</w:t>
      </w:r>
      <w:r>
        <w:rPr>
          <w:spacing w:val="24"/>
        </w:rPr>
        <w:t> </w:t>
      </w:r>
      <w:r>
        <w:rPr/>
        <w:t>actions</w:t>
      </w:r>
      <w:r>
        <w:rPr>
          <w:spacing w:val="24"/>
        </w:rPr>
        <w:t> </w:t>
      </w:r>
      <w:r>
        <w:rPr/>
        <w:t>in</w:t>
      </w:r>
      <w:r>
        <w:rPr>
          <w:spacing w:val="24"/>
        </w:rPr>
        <w:t> </w:t>
      </w:r>
      <w:r>
        <w:rPr/>
        <w:t>respect</w:t>
      </w:r>
      <w:r>
        <w:rPr>
          <w:spacing w:val="24"/>
        </w:rPr>
        <w:t> </w:t>
      </w:r>
      <w:r>
        <w:rPr/>
        <w:t>of</w:t>
      </w:r>
      <w:r>
        <w:rPr>
          <w:spacing w:val="24"/>
        </w:rPr>
        <w:t> </w:t>
      </w:r>
      <w:r>
        <w:rPr/>
        <w:t>personal</w:t>
      </w:r>
      <w:r>
        <w:rPr>
          <w:spacing w:val="24"/>
        </w:rPr>
        <w:t> </w:t>
      </w:r>
      <w:r>
        <w:rPr/>
        <w:t>injuries):</w:t>
      </w:r>
      <w:r>
        <w:rPr>
          <w:spacing w:val="24"/>
        </w:rPr>
        <w:t> </w:t>
      </w:r>
      <w:r>
        <w:rPr/>
        <w:t>below,</w:t>
      </w:r>
      <w:r>
        <w:rPr>
          <w:spacing w:val="24"/>
        </w:rPr>
        <w:t> </w:t>
      </w:r>
      <w:r>
        <w:rPr/>
        <w:t>paras</w:t>
      </w:r>
      <w:r>
        <w:rPr>
          <w:spacing w:val="24"/>
        </w:rPr>
        <w:t> </w:t>
      </w:r>
      <w:r>
        <w:rPr/>
        <w:t>28-006</w:t>
      </w:r>
      <w:r>
        <w:rPr>
          <w:spacing w:val="24"/>
        </w:rPr>
        <w:t> </w:t>
      </w:r>
      <w:r>
        <w:rPr/>
        <w:t>et seq. This provision specifically applies to actions in contract as well as in tort.</w:t>
      </w:r>
    </w:p>
    <w:p>
      <w:pPr>
        <w:pStyle w:val="BodyText"/>
        <w:spacing w:before="9"/>
      </w:pPr>
    </w:p>
    <w:p>
      <w:pPr>
        <w:pStyle w:val="BodyText"/>
        <w:spacing w:line="235" w:lineRule="auto"/>
        <w:ind w:left="705" w:right="167" w:hanging="541"/>
        <w:jc w:val="both"/>
      </w:pPr>
      <w:r>
        <w:rPr>
          <w:color w:val="005DA1"/>
          <w:position w:val="5"/>
          <w:sz w:val="14"/>
          <w:u w:val="single" w:color="005DA1"/>
        </w:rPr>
        <w:t>1063</w:t>
      </w:r>
      <w:r>
        <w:rPr>
          <w:position w:val="5"/>
          <w:sz w:val="14"/>
        </w:rPr>
        <w:t>.</w:t>
      </w:r>
      <w:r>
        <w:rPr>
          <w:spacing w:val="80"/>
          <w:position w:val="5"/>
          <w:sz w:val="14"/>
        </w:rPr>
        <w:t> </w:t>
      </w:r>
      <w:r>
        <w:rPr/>
        <w:t>A similar phrase is used in the Senior Courts Act 1981 s.35A (interest on debt and damages) which by the Administration of Justice Act 1982 s.15(1), Sch.1 Pt 1 replaced s.3 of the </w:t>
      </w:r>
      <w:r>
        <w:rPr/>
        <w:t>Law Reform (Miscellaneous Provisions) Act 1934.</w:t>
      </w:r>
    </w:p>
    <w:p>
      <w:pPr>
        <w:pStyle w:val="BodyText"/>
        <w:spacing w:before="5"/>
      </w:pPr>
    </w:p>
    <w:p>
      <w:pPr>
        <w:spacing w:line="227" w:lineRule="exact" w:before="0"/>
        <w:ind w:left="0" w:right="168" w:firstLine="0"/>
        <w:jc w:val="right"/>
        <w:rPr>
          <w:rFonts w:ascii="Arial"/>
          <w:i/>
          <w:sz w:val="20"/>
        </w:rPr>
      </w:pPr>
      <w:r>
        <w:rPr>
          <w:color w:val="005DA1"/>
          <w:position w:val="5"/>
          <w:sz w:val="14"/>
          <w:u w:val="single" w:color="005DA1"/>
        </w:rPr>
        <w:t>1064</w:t>
      </w:r>
      <w:r>
        <w:rPr>
          <w:position w:val="5"/>
          <w:sz w:val="14"/>
        </w:rPr>
        <w:t>.</w:t>
      </w:r>
      <w:r>
        <w:rPr>
          <w:spacing w:val="55"/>
          <w:position w:val="5"/>
          <w:sz w:val="14"/>
        </w:rPr>
        <w:t>  </w:t>
      </w:r>
      <w:r>
        <w:rPr>
          <w:rFonts w:ascii="Arial"/>
          <w:i/>
          <w:sz w:val="20"/>
        </w:rPr>
        <w:t>Battley</w:t>
      </w:r>
      <w:r>
        <w:rPr>
          <w:rFonts w:ascii="Arial"/>
          <w:i/>
          <w:spacing w:val="32"/>
          <w:sz w:val="20"/>
        </w:rPr>
        <w:t> </w:t>
      </w:r>
      <w:r>
        <w:rPr>
          <w:rFonts w:ascii="Arial"/>
          <w:i/>
          <w:sz w:val="20"/>
        </w:rPr>
        <w:t>v</w:t>
      </w:r>
      <w:r>
        <w:rPr>
          <w:rFonts w:ascii="Arial"/>
          <w:i/>
          <w:spacing w:val="31"/>
          <w:sz w:val="20"/>
        </w:rPr>
        <w:t> </w:t>
      </w:r>
      <w:r>
        <w:rPr>
          <w:rFonts w:ascii="Arial"/>
          <w:i/>
          <w:sz w:val="20"/>
        </w:rPr>
        <w:t>Faulkner</w:t>
      </w:r>
      <w:r>
        <w:rPr>
          <w:rFonts w:ascii="Arial"/>
          <w:i/>
          <w:spacing w:val="31"/>
          <w:sz w:val="20"/>
        </w:rPr>
        <w:t> </w:t>
      </w:r>
      <w:r>
        <w:rPr>
          <w:rFonts w:ascii="Arial"/>
          <w:i/>
          <w:sz w:val="20"/>
        </w:rPr>
        <w:t>(1820)</w:t>
      </w:r>
      <w:r>
        <w:rPr>
          <w:rFonts w:ascii="Arial"/>
          <w:i/>
          <w:spacing w:val="31"/>
          <w:sz w:val="20"/>
        </w:rPr>
        <w:t> </w:t>
      </w:r>
      <w:r>
        <w:rPr>
          <w:rFonts w:ascii="Arial"/>
          <w:i/>
          <w:sz w:val="20"/>
        </w:rPr>
        <w:t>3</w:t>
      </w:r>
      <w:r>
        <w:rPr>
          <w:rFonts w:ascii="Arial"/>
          <w:i/>
          <w:spacing w:val="31"/>
          <w:sz w:val="20"/>
        </w:rPr>
        <w:t> </w:t>
      </w:r>
      <w:r>
        <w:rPr>
          <w:rFonts w:ascii="Arial"/>
          <w:i/>
          <w:sz w:val="20"/>
        </w:rPr>
        <w:t>B.</w:t>
      </w:r>
      <w:r>
        <w:rPr>
          <w:rFonts w:ascii="Arial"/>
          <w:i/>
          <w:spacing w:val="31"/>
          <w:sz w:val="20"/>
        </w:rPr>
        <w:t> </w:t>
      </w:r>
      <w:r>
        <w:rPr>
          <w:rFonts w:ascii="Arial"/>
          <w:i/>
          <w:sz w:val="20"/>
        </w:rPr>
        <w:t>&amp;</w:t>
      </w:r>
      <w:r>
        <w:rPr>
          <w:rFonts w:ascii="Arial"/>
          <w:i/>
          <w:spacing w:val="31"/>
          <w:sz w:val="20"/>
        </w:rPr>
        <w:t> </w:t>
      </w:r>
      <w:r>
        <w:rPr>
          <w:rFonts w:ascii="Arial"/>
          <w:i/>
          <w:sz w:val="20"/>
        </w:rPr>
        <w:t>Ald.</w:t>
      </w:r>
      <w:r>
        <w:rPr>
          <w:rFonts w:ascii="Arial"/>
          <w:i/>
          <w:spacing w:val="31"/>
          <w:sz w:val="20"/>
        </w:rPr>
        <w:t> </w:t>
      </w:r>
      <w:r>
        <w:rPr>
          <w:rFonts w:ascii="Arial"/>
          <w:i/>
          <w:sz w:val="20"/>
        </w:rPr>
        <w:t>288</w:t>
      </w:r>
      <w:r>
        <w:rPr>
          <w:sz w:val="20"/>
        </w:rPr>
        <w:t>;</w:t>
      </w:r>
      <w:r>
        <w:rPr>
          <w:spacing w:val="31"/>
          <w:sz w:val="20"/>
        </w:rPr>
        <w:t> </w:t>
      </w:r>
      <w:r>
        <w:rPr>
          <w:rFonts w:ascii="Arial"/>
          <w:i/>
          <w:sz w:val="20"/>
        </w:rPr>
        <w:t>Beaman</w:t>
      </w:r>
      <w:r>
        <w:rPr>
          <w:rFonts w:ascii="Arial"/>
          <w:i/>
          <w:spacing w:val="30"/>
          <w:sz w:val="20"/>
        </w:rPr>
        <w:t> </w:t>
      </w:r>
      <w:r>
        <w:rPr>
          <w:rFonts w:ascii="Arial"/>
          <w:i/>
          <w:sz w:val="20"/>
        </w:rPr>
        <w:t>v</w:t>
      </w:r>
      <w:r>
        <w:rPr>
          <w:rFonts w:ascii="Arial"/>
          <w:i/>
          <w:spacing w:val="31"/>
          <w:sz w:val="20"/>
        </w:rPr>
        <w:t> </w:t>
      </w:r>
      <w:r>
        <w:rPr>
          <w:rFonts w:ascii="Arial"/>
          <w:i/>
          <w:sz w:val="20"/>
        </w:rPr>
        <w:t>A.R.T.S.</w:t>
      </w:r>
      <w:r>
        <w:rPr>
          <w:rFonts w:ascii="Arial"/>
          <w:i/>
          <w:spacing w:val="31"/>
          <w:sz w:val="20"/>
        </w:rPr>
        <w:t> </w:t>
      </w:r>
      <w:r>
        <w:rPr>
          <w:rFonts w:ascii="Arial"/>
          <w:i/>
          <w:sz w:val="20"/>
        </w:rPr>
        <w:t>Ltd</w:t>
      </w:r>
      <w:r>
        <w:rPr>
          <w:rFonts w:ascii="Arial"/>
          <w:i/>
          <w:spacing w:val="31"/>
          <w:sz w:val="20"/>
        </w:rPr>
        <w:t> </w:t>
      </w:r>
      <w:r>
        <w:rPr>
          <w:rFonts w:ascii="Arial"/>
          <w:i/>
          <w:sz w:val="20"/>
        </w:rPr>
        <w:t>[1948]</w:t>
      </w:r>
      <w:r>
        <w:rPr>
          <w:rFonts w:ascii="Arial"/>
          <w:i/>
          <w:spacing w:val="31"/>
          <w:sz w:val="20"/>
        </w:rPr>
        <w:t> </w:t>
      </w:r>
      <w:r>
        <w:rPr>
          <w:rFonts w:ascii="Arial"/>
          <w:i/>
          <w:sz w:val="20"/>
        </w:rPr>
        <w:t>2</w:t>
      </w:r>
      <w:r>
        <w:rPr>
          <w:rFonts w:ascii="Arial"/>
          <w:i/>
          <w:spacing w:val="31"/>
          <w:sz w:val="20"/>
        </w:rPr>
        <w:t> </w:t>
      </w:r>
      <w:r>
        <w:rPr>
          <w:rFonts w:ascii="Arial"/>
          <w:i/>
          <w:sz w:val="20"/>
        </w:rPr>
        <w:t>All</w:t>
      </w:r>
      <w:r>
        <w:rPr>
          <w:rFonts w:ascii="Arial"/>
          <w:i/>
          <w:spacing w:val="31"/>
          <w:sz w:val="20"/>
        </w:rPr>
        <w:t> </w:t>
      </w:r>
      <w:r>
        <w:rPr>
          <w:rFonts w:ascii="Arial"/>
          <w:i/>
          <w:sz w:val="20"/>
        </w:rPr>
        <w:t>E.R.</w:t>
      </w:r>
      <w:r>
        <w:rPr>
          <w:rFonts w:ascii="Arial"/>
          <w:i/>
          <w:spacing w:val="31"/>
          <w:sz w:val="20"/>
        </w:rPr>
        <w:t> </w:t>
      </w:r>
      <w:r>
        <w:rPr>
          <w:rFonts w:ascii="Arial"/>
          <w:i/>
          <w:sz w:val="20"/>
        </w:rPr>
        <w:t>89,</w:t>
      </w:r>
      <w:r>
        <w:rPr>
          <w:rFonts w:ascii="Arial"/>
          <w:i/>
          <w:spacing w:val="31"/>
          <w:sz w:val="20"/>
        </w:rPr>
        <w:t> </w:t>
      </w:r>
      <w:r>
        <w:rPr>
          <w:rFonts w:ascii="Arial"/>
          <w:i/>
          <w:spacing w:val="-5"/>
          <w:sz w:val="20"/>
        </w:rPr>
        <w:t>92</w:t>
      </w:r>
    </w:p>
    <w:p>
      <w:pPr>
        <w:spacing w:line="225" w:lineRule="exact" w:before="0"/>
        <w:ind w:left="0" w:right="168" w:firstLine="0"/>
        <w:jc w:val="right"/>
        <w:rPr>
          <w:rFonts w:ascii="Arial"/>
          <w:i/>
          <w:sz w:val="20"/>
        </w:rPr>
      </w:pPr>
      <w:r>
        <w:rPr>
          <w:sz w:val="20"/>
        </w:rPr>
        <w:t>(reversed</w:t>
      </w:r>
      <w:r>
        <w:rPr>
          <w:spacing w:val="20"/>
          <w:sz w:val="20"/>
        </w:rPr>
        <w:t> </w:t>
      </w:r>
      <w:r>
        <w:rPr>
          <w:sz w:val="20"/>
        </w:rPr>
        <w:t>on</w:t>
      </w:r>
      <w:r>
        <w:rPr>
          <w:spacing w:val="23"/>
          <w:sz w:val="20"/>
        </w:rPr>
        <w:t> </w:t>
      </w:r>
      <w:r>
        <w:rPr>
          <w:sz w:val="20"/>
        </w:rPr>
        <w:t>other</w:t>
      </w:r>
      <w:r>
        <w:rPr>
          <w:spacing w:val="23"/>
          <w:sz w:val="20"/>
        </w:rPr>
        <w:t> </w:t>
      </w:r>
      <w:r>
        <w:rPr>
          <w:sz w:val="20"/>
        </w:rPr>
        <w:t>grounds</w:t>
      </w:r>
      <w:r>
        <w:rPr>
          <w:spacing w:val="23"/>
          <w:sz w:val="20"/>
        </w:rPr>
        <w:t> </w:t>
      </w:r>
      <w:r>
        <w:rPr>
          <w:rFonts w:ascii="Arial"/>
          <w:i/>
          <w:sz w:val="20"/>
        </w:rPr>
        <w:t>[1949]</w:t>
      </w:r>
      <w:r>
        <w:rPr>
          <w:rFonts w:ascii="Arial"/>
          <w:i/>
          <w:spacing w:val="23"/>
          <w:sz w:val="20"/>
        </w:rPr>
        <w:t> </w:t>
      </w:r>
      <w:r>
        <w:rPr>
          <w:rFonts w:ascii="Arial"/>
          <w:i/>
          <w:sz w:val="20"/>
        </w:rPr>
        <w:t>1</w:t>
      </w:r>
      <w:r>
        <w:rPr>
          <w:rFonts w:ascii="Arial"/>
          <w:i/>
          <w:spacing w:val="23"/>
          <w:sz w:val="20"/>
        </w:rPr>
        <w:t> </w:t>
      </w:r>
      <w:r>
        <w:rPr>
          <w:rFonts w:ascii="Arial"/>
          <w:i/>
          <w:sz w:val="20"/>
        </w:rPr>
        <w:t>K.B.</w:t>
      </w:r>
      <w:r>
        <w:rPr>
          <w:rFonts w:ascii="Arial"/>
          <w:i/>
          <w:spacing w:val="23"/>
          <w:sz w:val="20"/>
        </w:rPr>
        <w:t> </w:t>
      </w:r>
      <w:r>
        <w:rPr>
          <w:rFonts w:ascii="Arial"/>
          <w:i/>
          <w:sz w:val="20"/>
        </w:rPr>
        <w:t>550</w:t>
      </w:r>
      <w:r>
        <w:rPr>
          <w:sz w:val="20"/>
        </w:rPr>
        <w:t>);</w:t>
      </w:r>
      <w:r>
        <w:rPr>
          <w:spacing w:val="23"/>
          <w:sz w:val="20"/>
        </w:rPr>
        <w:t> </w:t>
      </w:r>
      <w:r>
        <w:rPr>
          <w:rFonts w:ascii="Arial"/>
          <w:i/>
          <w:sz w:val="20"/>
        </w:rPr>
        <w:t>Bagot</w:t>
      </w:r>
      <w:r>
        <w:rPr>
          <w:rFonts w:ascii="Arial"/>
          <w:i/>
          <w:spacing w:val="23"/>
          <w:sz w:val="20"/>
        </w:rPr>
        <w:t> </w:t>
      </w:r>
      <w:r>
        <w:rPr>
          <w:rFonts w:ascii="Arial"/>
          <w:i/>
          <w:sz w:val="20"/>
        </w:rPr>
        <w:t>v</w:t>
      </w:r>
      <w:r>
        <w:rPr>
          <w:rFonts w:ascii="Arial"/>
          <w:i/>
          <w:spacing w:val="23"/>
          <w:sz w:val="20"/>
        </w:rPr>
        <w:t> </w:t>
      </w:r>
      <w:r>
        <w:rPr>
          <w:rFonts w:ascii="Arial"/>
          <w:i/>
          <w:sz w:val="20"/>
        </w:rPr>
        <w:t>Stevens,</w:t>
      </w:r>
      <w:r>
        <w:rPr>
          <w:rFonts w:ascii="Arial"/>
          <w:i/>
          <w:spacing w:val="23"/>
          <w:sz w:val="20"/>
        </w:rPr>
        <w:t> </w:t>
      </w:r>
      <w:r>
        <w:rPr>
          <w:rFonts w:ascii="Arial"/>
          <w:i/>
          <w:sz w:val="20"/>
        </w:rPr>
        <w:t>Scanlan</w:t>
      </w:r>
      <w:r>
        <w:rPr>
          <w:rFonts w:ascii="Arial"/>
          <w:i/>
          <w:spacing w:val="23"/>
          <w:sz w:val="20"/>
        </w:rPr>
        <w:t> </w:t>
      </w:r>
      <w:r>
        <w:rPr>
          <w:rFonts w:ascii="Arial"/>
          <w:i/>
          <w:sz w:val="20"/>
        </w:rPr>
        <w:t>&amp;</w:t>
      </w:r>
      <w:r>
        <w:rPr>
          <w:rFonts w:ascii="Arial"/>
          <w:i/>
          <w:spacing w:val="23"/>
          <w:sz w:val="20"/>
        </w:rPr>
        <w:t> </w:t>
      </w:r>
      <w:r>
        <w:rPr>
          <w:rFonts w:ascii="Arial"/>
          <w:i/>
          <w:sz w:val="20"/>
        </w:rPr>
        <w:t>Co</w:t>
      </w:r>
      <w:r>
        <w:rPr>
          <w:rFonts w:ascii="Arial"/>
          <w:i/>
          <w:spacing w:val="23"/>
          <w:sz w:val="20"/>
        </w:rPr>
        <w:t> </w:t>
      </w:r>
      <w:r>
        <w:rPr>
          <w:rFonts w:ascii="Arial"/>
          <w:i/>
          <w:sz w:val="20"/>
        </w:rPr>
        <w:t>Ltd</w:t>
      </w:r>
      <w:r>
        <w:rPr>
          <w:rFonts w:ascii="Arial"/>
          <w:i/>
          <w:spacing w:val="23"/>
          <w:sz w:val="20"/>
        </w:rPr>
        <w:t> </w:t>
      </w:r>
      <w:r>
        <w:rPr>
          <w:rFonts w:ascii="Arial"/>
          <w:i/>
          <w:sz w:val="20"/>
        </w:rPr>
        <w:t>[1966]</w:t>
      </w:r>
      <w:r>
        <w:rPr>
          <w:rFonts w:ascii="Arial"/>
          <w:i/>
          <w:spacing w:val="23"/>
          <w:sz w:val="20"/>
        </w:rPr>
        <w:t> </w:t>
      </w:r>
      <w:r>
        <w:rPr>
          <w:rFonts w:ascii="Arial"/>
          <w:i/>
          <w:spacing w:val="-10"/>
          <w:sz w:val="20"/>
        </w:rPr>
        <w:t>1</w:t>
      </w:r>
    </w:p>
    <w:p>
      <w:pPr>
        <w:spacing w:line="235" w:lineRule="auto" w:before="1"/>
        <w:ind w:left="705" w:right="168" w:firstLine="0"/>
        <w:jc w:val="both"/>
        <w:rPr>
          <w:sz w:val="20"/>
        </w:rPr>
      </w:pPr>
      <w:r>
        <w:rPr>
          <w:rFonts w:ascii="Arial" w:hAnsi="Arial"/>
          <w:i/>
          <w:sz w:val="20"/>
        </w:rPr>
        <w:t>Q.B. 197</w:t>
      </w:r>
      <w:r>
        <w:rPr>
          <w:sz w:val="20"/>
        </w:rPr>
        <w:t>; </w:t>
      </w:r>
      <w:r>
        <w:rPr>
          <w:rFonts w:ascii="Arial" w:hAnsi="Arial"/>
          <w:i/>
          <w:sz w:val="20"/>
        </w:rPr>
        <w:t>Midland Bank Trust Co Ltd v Hett, Stubbs &amp; Kemp [1979] Ch. 384</w:t>
      </w:r>
      <w:r>
        <w:rPr>
          <w:sz w:val="20"/>
        </w:rPr>
        <w:t>. See below, </w:t>
      </w:r>
      <w:r>
        <w:rPr>
          <w:sz w:val="20"/>
        </w:rPr>
        <w:t>paras 28-031—28-062. </w:t>
      </w:r>
      <w:r>
        <w:rPr>
          <w:rFonts w:ascii="Arial" w:hAnsi="Arial"/>
          <w:i/>
          <w:sz w:val="20"/>
        </w:rPr>
        <w:t>Saunders v Edwards (1662) Sid. 95</w:t>
      </w:r>
      <w:r>
        <w:rPr>
          <w:sz w:val="20"/>
        </w:rPr>
        <w:t>; </w:t>
      </w:r>
      <w:r>
        <w:rPr>
          <w:rFonts w:ascii="Arial" w:hAnsi="Arial"/>
          <w:i/>
          <w:sz w:val="20"/>
        </w:rPr>
        <w:t>Bonomi v Backhouse (1859) E., B. &amp; </w:t>
      </w:r>
      <w:r>
        <w:rPr>
          <w:rFonts w:ascii="Arial" w:hAnsi="Arial"/>
          <w:i/>
          <w:sz w:val="20"/>
        </w:rPr>
        <w:t>E. 646</w:t>
      </w:r>
      <w:r>
        <w:rPr>
          <w:sz w:val="20"/>
        </w:rPr>
        <w:t>; </w:t>
      </w:r>
      <w:r>
        <w:rPr>
          <w:rFonts w:ascii="Arial" w:hAnsi="Arial"/>
          <w:i/>
          <w:sz w:val="20"/>
        </w:rPr>
        <w:t>Gibbs v Guild (1881) 8 Q.B.D. 296, 302</w:t>
      </w:r>
      <w:r>
        <w:rPr>
          <w:sz w:val="20"/>
        </w:rPr>
        <w:t>; </w:t>
      </w:r>
      <w:r>
        <w:rPr>
          <w:rFonts w:ascii="Arial" w:hAnsi="Arial"/>
          <w:i/>
          <w:sz w:val="20"/>
        </w:rPr>
        <w:t>Chesworth v Farrar [1967] 1 Q.B. 407</w:t>
      </w:r>
      <w:r>
        <w:rPr>
          <w:sz w:val="20"/>
        </w:rPr>
        <w:t>; </w:t>
      </w:r>
      <w:r>
        <w:rPr>
          <w:rFonts w:ascii="Arial" w:hAnsi="Arial"/>
          <w:i/>
          <w:sz w:val="20"/>
        </w:rPr>
        <w:t>Pirelli General</w:t>
      </w:r>
      <w:r>
        <w:rPr>
          <w:rFonts w:ascii="Arial" w:hAnsi="Arial"/>
          <w:i/>
          <w:spacing w:val="24"/>
          <w:sz w:val="20"/>
        </w:rPr>
        <w:t> </w:t>
      </w:r>
      <w:r>
        <w:rPr>
          <w:rFonts w:ascii="Arial" w:hAnsi="Arial"/>
          <w:i/>
          <w:sz w:val="20"/>
        </w:rPr>
        <w:t>Cable</w:t>
      </w:r>
      <w:r>
        <w:rPr>
          <w:rFonts w:ascii="Arial" w:hAnsi="Arial"/>
          <w:i/>
          <w:spacing w:val="24"/>
          <w:sz w:val="20"/>
        </w:rPr>
        <w:t> </w:t>
      </w:r>
      <w:r>
        <w:rPr>
          <w:rFonts w:ascii="Arial" w:hAnsi="Arial"/>
          <w:i/>
          <w:sz w:val="20"/>
        </w:rPr>
        <w:t>Works</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Oscar</w:t>
      </w:r>
      <w:r>
        <w:rPr>
          <w:rFonts w:ascii="Arial" w:hAnsi="Arial"/>
          <w:i/>
          <w:spacing w:val="24"/>
          <w:sz w:val="20"/>
        </w:rPr>
        <w:t> </w:t>
      </w:r>
      <w:r>
        <w:rPr>
          <w:rFonts w:ascii="Arial" w:hAnsi="Arial"/>
          <w:i/>
          <w:sz w:val="20"/>
        </w:rPr>
        <w:t>Faber</w:t>
      </w:r>
      <w:r>
        <w:rPr>
          <w:rFonts w:ascii="Arial" w:hAnsi="Arial"/>
          <w:i/>
          <w:spacing w:val="24"/>
          <w:sz w:val="20"/>
        </w:rPr>
        <w:t> </w:t>
      </w:r>
      <w:r>
        <w:rPr>
          <w:rFonts w:ascii="Arial" w:hAnsi="Arial"/>
          <w:i/>
          <w:sz w:val="20"/>
        </w:rPr>
        <w:t>&amp;</w:t>
      </w:r>
      <w:r>
        <w:rPr>
          <w:rFonts w:ascii="Arial" w:hAnsi="Arial"/>
          <w:i/>
          <w:spacing w:val="24"/>
          <w:sz w:val="20"/>
        </w:rPr>
        <w:t> </w:t>
      </w:r>
      <w:r>
        <w:rPr>
          <w:rFonts w:ascii="Arial" w:hAnsi="Arial"/>
          <w:i/>
          <w:sz w:val="20"/>
        </w:rPr>
        <w:t>Partners</w:t>
      </w:r>
      <w:r>
        <w:rPr>
          <w:rFonts w:ascii="Arial" w:hAnsi="Arial"/>
          <w:i/>
          <w:spacing w:val="24"/>
          <w:sz w:val="20"/>
        </w:rPr>
        <w:t> </w:t>
      </w:r>
      <w:r>
        <w:rPr>
          <w:rFonts w:ascii="Arial" w:hAnsi="Arial"/>
          <w:i/>
          <w:sz w:val="20"/>
        </w:rPr>
        <w:t>[1983]</w:t>
      </w:r>
      <w:r>
        <w:rPr>
          <w:rFonts w:ascii="Arial" w:hAnsi="Arial"/>
          <w:i/>
          <w:spacing w:val="24"/>
          <w:sz w:val="20"/>
        </w:rPr>
        <w:t> </w:t>
      </w:r>
      <w:r>
        <w:rPr>
          <w:rFonts w:ascii="Arial" w:hAnsi="Arial"/>
          <w:i/>
          <w:sz w:val="20"/>
        </w:rPr>
        <w:t>2</w:t>
      </w:r>
      <w:r>
        <w:rPr>
          <w:rFonts w:ascii="Arial" w:hAnsi="Arial"/>
          <w:i/>
          <w:spacing w:val="24"/>
          <w:sz w:val="20"/>
        </w:rPr>
        <w:t> </w:t>
      </w:r>
      <w:r>
        <w:rPr>
          <w:rFonts w:ascii="Arial" w:hAnsi="Arial"/>
          <w:i/>
          <w:sz w:val="20"/>
        </w:rPr>
        <w:t>A.C.</w:t>
      </w:r>
      <w:r>
        <w:rPr>
          <w:rFonts w:ascii="Arial" w:hAnsi="Arial"/>
          <w:i/>
          <w:spacing w:val="24"/>
          <w:sz w:val="20"/>
        </w:rPr>
        <w:t> </w:t>
      </w:r>
      <w:r>
        <w:rPr>
          <w:rFonts w:ascii="Arial" w:hAnsi="Arial"/>
          <w:i/>
          <w:sz w:val="20"/>
        </w:rPr>
        <w:t>1</w:t>
      </w:r>
      <w:r>
        <w:rPr>
          <w:sz w:val="20"/>
        </w:rPr>
        <w:t>.</w:t>
      </w:r>
      <w:r>
        <w:rPr>
          <w:spacing w:val="24"/>
          <w:sz w:val="20"/>
        </w:rPr>
        <w:t> </w:t>
      </w:r>
      <w:r>
        <w:rPr>
          <w:sz w:val="20"/>
        </w:rPr>
        <w:t>See</w:t>
      </w:r>
      <w:r>
        <w:rPr>
          <w:spacing w:val="24"/>
          <w:sz w:val="20"/>
        </w:rPr>
        <w:t> </w:t>
      </w:r>
      <w:r>
        <w:rPr>
          <w:sz w:val="20"/>
        </w:rPr>
        <w:t>also</w:t>
      </w:r>
      <w:r>
        <w:rPr>
          <w:spacing w:val="24"/>
          <w:sz w:val="20"/>
        </w:rPr>
        <w:t> </w:t>
      </w:r>
      <w:r>
        <w:rPr>
          <w:sz w:val="20"/>
        </w:rPr>
        <w:t>below,</w:t>
      </w:r>
      <w:r>
        <w:rPr>
          <w:spacing w:val="24"/>
          <w:sz w:val="20"/>
        </w:rPr>
        <w:t> </w:t>
      </w:r>
      <w:r>
        <w:rPr>
          <w:sz w:val="20"/>
        </w:rPr>
        <w:t>paras </w:t>
      </w:r>
      <w:r>
        <w:rPr>
          <w:spacing w:val="-2"/>
          <w:sz w:val="20"/>
        </w:rPr>
        <w:t>28-031—28-032.</w:t>
      </w:r>
    </w:p>
    <w:p>
      <w:pPr>
        <w:pStyle w:val="BodyText"/>
        <w:spacing w:before="4"/>
      </w:pPr>
    </w:p>
    <w:p>
      <w:pPr>
        <w:spacing w:line="227" w:lineRule="exact" w:before="1"/>
        <w:ind w:left="165" w:right="0" w:firstLine="0"/>
        <w:jc w:val="both"/>
        <w:rPr>
          <w:rFonts w:ascii="Arial"/>
          <w:i/>
          <w:sz w:val="20"/>
        </w:rPr>
      </w:pPr>
      <w:r>
        <w:rPr>
          <w:color w:val="005DA1"/>
          <w:position w:val="5"/>
          <w:sz w:val="14"/>
          <w:u w:val="single" w:color="005DA1"/>
        </w:rPr>
        <w:t>1065</w:t>
      </w:r>
      <w:r>
        <w:rPr>
          <w:position w:val="5"/>
          <w:sz w:val="14"/>
        </w:rPr>
        <w:t>.</w:t>
      </w:r>
      <w:r>
        <w:rPr>
          <w:spacing w:val="55"/>
          <w:position w:val="5"/>
          <w:sz w:val="14"/>
        </w:rPr>
        <w:t>  </w:t>
      </w:r>
      <w:r>
        <w:rPr>
          <w:rFonts w:ascii="Arial"/>
          <w:i/>
          <w:sz w:val="20"/>
        </w:rPr>
        <w:t>Battley</w:t>
      </w:r>
      <w:r>
        <w:rPr>
          <w:rFonts w:ascii="Arial"/>
          <w:i/>
          <w:spacing w:val="14"/>
          <w:sz w:val="20"/>
        </w:rPr>
        <w:t> </w:t>
      </w:r>
      <w:r>
        <w:rPr>
          <w:rFonts w:ascii="Arial"/>
          <w:i/>
          <w:sz w:val="20"/>
        </w:rPr>
        <w:t>v</w:t>
      </w:r>
      <w:r>
        <w:rPr>
          <w:rFonts w:ascii="Arial"/>
          <w:i/>
          <w:spacing w:val="13"/>
          <w:sz w:val="20"/>
        </w:rPr>
        <w:t> </w:t>
      </w:r>
      <w:r>
        <w:rPr>
          <w:rFonts w:ascii="Arial"/>
          <w:i/>
          <w:sz w:val="20"/>
        </w:rPr>
        <w:t>Faulkner</w:t>
      </w:r>
      <w:r>
        <w:rPr>
          <w:rFonts w:ascii="Arial"/>
          <w:i/>
          <w:spacing w:val="13"/>
          <w:sz w:val="20"/>
        </w:rPr>
        <w:t> </w:t>
      </w:r>
      <w:r>
        <w:rPr>
          <w:rFonts w:ascii="Arial"/>
          <w:i/>
          <w:sz w:val="20"/>
        </w:rPr>
        <w:t>(1820)</w:t>
      </w:r>
      <w:r>
        <w:rPr>
          <w:rFonts w:ascii="Arial"/>
          <w:i/>
          <w:spacing w:val="13"/>
          <w:sz w:val="20"/>
        </w:rPr>
        <w:t> </w:t>
      </w:r>
      <w:r>
        <w:rPr>
          <w:rFonts w:ascii="Arial"/>
          <w:i/>
          <w:sz w:val="20"/>
        </w:rPr>
        <w:t>3</w:t>
      </w:r>
      <w:r>
        <w:rPr>
          <w:rFonts w:ascii="Arial"/>
          <w:i/>
          <w:spacing w:val="13"/>
          <w:sz w:val="20"/>
        </w:rPr>
        <w:t> </w:t>
      </w:r>
      <w:r>
        <w:rPr>
          <w:rFonts w:ascii="Arial"/>
          <w:i/>
          <w:sz w:val="20"/>
        </w:rPr>
        <w:t>B.</w:t>
      </w:r>
      <w:r>
        <w:rPr>
          <w:rFonts w:ascii="Arial"/>
          <w:i/>
          <w:spacing w:val="12"/>
          <w:sz w:val="20"/>
        </w:rPr>
        <w:t> </w:t>
      </w:r>
      <w:r>
        <w:rPr>
          <w:rFonts w:ascii="Arial"/>
          <w:i/>
          <w:sz w:val="20"/>
        </w:rPr>
        <w:t>Ald.</w:t>
      </w:r>
      <w:r>
        <w:rPr>
          <w:rFonts w:ascii="Arial"/>
          <w:i/>
          <w:spacing w:val="13"/>
          <w:sz w:val="20"/>
        </w:rPr>
        <w:t> </w:t>
      </w:r>
      <w:r>
        <w:rPr>
          <w:rFonts w:ascii="Arial"/>
          <w:i/>
          <w:sz w:val="20"/>
        </w:rPr>
        <w:t>288</w:t>
      </w:r>
      <w:r>
        <w:rPr>
          <w:sz w:val="20"/>
        </w:rPr>
        <w:t>;</w:t>
      </w:r>
      <w:r>
        <w:rPr>
          <w:spacing w:val="13"/>
          <w:sz w:val="20"/>
        </w:rPr>
        <w:t> </w:t>
      </w:r>
      <w:r>
        <w:rPr>
          <w:rFonts w:ascii="Arial"/>
          <w:i/>
          <w:sz w:val="20"/>
        </w:rPr>
        <w:t>Walker</w:t>
      </w:r>
      <w:r>
        <w:rPr>
          <w:rFonts w:ascii="Arial"/>
          <w:i/>
          <w:spacing w:val="13"/>
          <w:sz w:val="20"/>
        </w:rPr>
        <w:t> </w:t>
      </w:r>
      <w:r>
        <w:rPr>
          <w:rFonts w:ascii="Arial"/>
          <w:i/>
          <w:sz w:val="20"/>
        </w:rPr>
        <w:t>v</w:t>
      </w:r>
      <w:r>
        <w:rPr>
          <w:rFonts w:ascii="Arial"/>
          <w:i/>
          <w:spacing w:val="13"/>
          <w:sz w:val="20"/>
        </w:rPr>
        <w:t> </w:t>
      </w:r>
      <w:r>
        <w:rPr>
          <w:rFonts w:ascii="Arial"/>
          <w:i/>
          <w:sz w:val="20"/>
        </w:rPr>
        <w:t>Milner</w:t>
      </w:r>
      <w:r>
        <w:rPr>
          <w:rFonts w:ascii="Arial"/>
          <w:i/>
          <w:spacing w:val="13"/>
          <w:sz w:val="20"/>
        </w:rPr>
        <w:t> </w:t>
      </w:r>
      <w:r>
        <w:rPr>
          <w:rFonts w:ascii="Arial"/>
          <w:i/>
          <w:sz w:val="20"/>
        </w:rPr>
        <w:t>(1866)</w:t>
      </w:r>
      <w:r>
        <w:rPr>
          <w:rFonts w:ascii="Arial"/>
          <w:i/>
          <w:spacing w:val="13"/>
          <w:sz w:val="20"/>
        </w:rPr>
        <w:t> </w:t>
      </w:r>
      <w:r>
        <w:rPr>
          <w:rFonts w:ascii="Arial"/>
          <w:i/>
          <w:sz w:val="20"/>
        </w:rPr>
        <w:t>4</w:t>
      </w:r>
      <w:r>
        <w:rPr>
          <w:rFonts w:ascii="Arial"/>
          <w:i/>
          <w:spacing w:val="12"/>
          <w:sz w:val="20"/>
        </w:rPr>
        <w:t> </w:t>
      </w:r>
      <w:r>
        <w:rPr>
          <w:rFonts w:ascii="Arial"/>
          <w:i/>
          <w:sz w:val="20"/>
        </w:rPr>
        <w:t>F.</w:t>
      </w:r>
      <w:r>
        <w:rPr>
          <w:rFonts w:ascii="Arial"/>
          <w:i/>
          <w:spacing w:val="13"/>
          <w:sz w:val="20"/>
        </w:rPr>
        <w:t> </w:t>
      </w:r>
      <w:r>
        <w:rPr>
          <w:rFonts w:ascii="Arial"/>
          <w:i/>
          <w:sz w:val="20"/>
        </w:rPr>
        <w:t>&amp;</w:t>
      </w:r>
      <w:r>
        <w:rPr>
          <w:rFonts w:ascii="Arial"/>
          <w:i/>
          <w:spacing w:val="13"/>
          <w:sz w:val="20"/>
        </w:rPr>
        <w:t> </w:t>
      </w:r>
      <w:r>
        <w:rPr>
          <w:rFonts w:ascii="Arial"/>
          <w:i/>
          <w:sz w:val="20"/>
        </w:rPr>
        <w:t>F.</w:t>
      </w:r>
      <w:r>
        <w:rPr>
          <w:rFonts w:ascii="Arial"/>
          <w:i/>
          <w:spacing w:val="13"/>
          <w:sz w:val="20"/>
        </w:rPr>
        <w:t> </w:t>
      </w:r>
      <w:r>
        <w:rPr>
          <w:rFonts w:ascii="Arial"/>
          <w:i/>
          <w:sz w:val="20"/>
        </w:rPr>
        <w:t>745</w:t>
      </w:r>
      <w:r>
        <w:rPr>
          <w:sz w:val="20"/>
        </w:rPr>
        <w:t>;</w:t>
      </w:r>
      <w:r>
        <w:rPr>
          <w:spacing w:val="13"/>
          <w:sz w:val="20"/>
        </w:rPr>
        <w:t> </w:t>
      </w:r>
      <w:r>
        <w:rPr>
          <w:rFonts w:ascii="Arial"/>
          <w:i/>
          <w:sz w:val="20"/>
        </w:rPr>
        <w:t>Lynn</w:t>
      </w:r>
      <w:r>
        <w:rPr>
          <w:rFonts w:ascii="Arial"/>
          <w:i/>
          <w:spacing w:val="13"/>
          <w:sz w:val="20"/>
        </w:rPr>
        <w:t> </w:t>
      </w:r>
      <w:r>
        <w:rPr>
          <w:rFonts w:ascii="Arial"/>
          <w:i/>
          <w:sz w:val="20"/>
        </w:rPr>
        <w:t>v</w:t>
      </w:r>
      <w:r>
        <w:rPr>
          <w:rFonts w:ascii="Arial"/>
          <w:i/>
          <w:spacing w:val="13"/>
          <w:sz w:val="20"/>
        </w:rPr>
        <w:t> </w:t>
      </w:r>
      <w:r>
        <w:rPr>
          <w:rFonts w:ascii="Arial"/>
          <w:i/>
          <w:spacing w:val="-2"/>
          <w:sz w:val="20"/>
        </w:rPr>
        <w:t>Bamber</w:t>
      </w:r>
    </w:p>
    <w:p>
      <w:pPr>
        <w:spacing w:line="235" w:lineRule="auto" w:before="1"/>
        <w:ind w:left="705" w:right="168" w:firstLine="0"/>
        <w:jc w:val="both"/>
        <w:rPr>
          <w:sz w:val="20"/>
        </w:rPr>
      </w:pPr>
      <w:r>
        <w:rPr>
          <w:rFonts w:ascii="Arial"/>
          <w:i/>
          <w:sz w:val="20"/>
        </w:rPr>
        <w:t>[1930] 2 K.B. 72</w:t>
      </w:r>
      <w:r>
        <w:rPr>
          <w:sz w:val="20"/>
        </w:rPr>
        <w:t>; </w:t>
      </w:r>
      <w:r>
        <w:rPr>
          <w:rFonts w:ascii="Arial"/>
          <w:i/>
          <w:sz w:val="20"/>
        </w:rPr>
        <w:t>Bagot v Stevens, Scanlan &amp; Co Ltd [1966] 1 Q.B. 197</w:t>
      </w:r>
      <w:r>
        <w:rPr>
          <w:sz w:val="20"/>
        </w:rPr>
        <w:t>. cf. </w:t>
      </w:r>
      <w:r>
        <w:rPr>
          <w:rFonts w:ascii="Arial"/>
          <w:i/>
          <w:sz w:val="20"/>
        </w:rPr>
        <w:t>Shaw v Shaw</w:t>
      </w:r>
      <w:r>
        <w:rPr>
          <w:rFonts w:ascii="Arial"/>
          <w:i/>
          <w:spacing w:val="40"/>
          <w:sz w:val="20"/>
        </w:rPr>
        <w:t> </w:t>
      </w:r>
      <w:r>
        <w:rPr>
          <w:rFonts w:ascii="Arial"/>
          <w:i/>
          <w:sz w:val="20"/>
        </w:rPr>
        <w:t>[1954] 2 Q.B. 429</w:t>
      </w:r>
      <w:r>
        <w:rPr>
          <w:sz w:val="20"/>
        </w:rPr>
        <w:t>; </w:t>
      </w:r>
      <w:r>
        <w:rPr>
          <w:rFonts w:ascii="Arial"/>
          <w:i/>
          <w:sz w:val="20"/>
        </w:rPr>
        <w:t>Midland Bank Trust Co Ltd v Hett, Stubbs Kemp [1979] Ch. 384</w:t>
      </w:r>
      <w:r>
        <w:rPr>
          <w:sz w:val="20"/>
        </w:rPr>
        <w:t>; </w:t>
      </w:r>
      <w:r>
        <w:rPr>
          <w:rFonts w:ascii="Arial"/>
          <w:i/>
          <w:sz w:val="20"/>
        </w:rPr>
        <w:t>Forster v Outred &amp; Co [1982] 1 W.L.R. 86</w:t>
      </w:r>
      <w:r>
        <w:rPr>
          <w:sz w:val="20"/>
        </w:rPr>
        <w:t>.</w:t>
      </w:r>
    </w:p>
    <w:p>
      <w:pPr>
        <w:pStyle w:val="BodyText"/>
        <w:spacing w:before="9"/>
      </w:pPr>
    </w:p>
    <w:p>
      <w:pPr>
        <w:spacing w:line="235" w:lineRule="auto" w:before="0"/>
        <w:ind w:left="705" w:right="168" w:hanging="541"/>
        <w:jc w:val="both"/>
        <w:rPr>
          <w:sz w:val="20"/>
        </w:rPr>
      </w:pPr>
      <w:r>
        <w:rPr>
          <w:color w:val="005DA1"/>
          <w:position w:val="5"/>
          <w:sz w:val="14"/>
          <w:u w:val="single" w:color="005DA1"/>
        </w:rPr>
        <w:t>1066</w:t>
      </w:r>
      <w:r>
        <w:rPr>
          <w:position w:val="5"/>
          <w:sz w:val="14"/>
        </w:rPr>
        <w:t>.</w:t>
      </w:r>
      <w:r>
        <w:rPr>
          <w:spacing w:val="80"/>
          <w:position w:val="5"/>
          <w:sz w:val="14"/>
        </w:rPr>
        <w:t> </w:t>
      </w:r>
      <w:r>
        <w:rPr>
          <w:rFonts w:ascii="Arial"/>
          <w:i/>
          <w:sz w:val="20"/>
        </w:rPr>
        <w:t>Watson v Winget Ltd (1960) S.C. 92</w:t>
      </w:r>
      <w:r>
        <w:rPr>
          <w:sz w:val="20"/>
        </w:rPr>
        <w:t>; </w:t>
      </w:r>
      <w:r>
        <w:rPr>
          <w:rFonts w:ascii="Arial"/>
          <w:i/>
          <w:sz w:val="20"/>
        </w:rPr>
        <w:t>Cartledge v E. Jopling &amp; Sons Ltd [1963] A.C. 758 </w:t>
      </w:r>
      <w:r>
        <w:rPr>
          <w:sz w:val="20"/>
        </w:rPr>
        <w:t>(now modified by ss.11(4), 14 of the Limitation Act 1980); </w:t>
      </w:r>
      <w:r>
        <w:rPr>
          <w:rFonts w:ascii="Arial"/>
          <w:i/>
          <w:sz w:val="20"/>
        </w:rPr>
        <w:t>Sparham-Souter v Town and Country Developments</w:t>
      </w:r>
      <w:r>
        <w:rPr>
          <w:rFonts w:ascii="Arial"/>
          <w:i/>
          <w:spacing w:val="-2"/>
          <w:sz w:val="20"/>
        </w:rPr>
        <w:t> </w:t>
      </w:r>
      <w:r>
        <w:rPr>
          <w:rFonts w:ascii="Arial"/>
          <w:i/>
          <w:sz w:val="20"/>
        </w:rPr>
        <w:t>Ltd</w:t>
      </w:r>
      <w:r>
        <w:rPr>
          <w:rFonts w:ascii="Arial"/>
          <w:i/>
          <w:spacing w:val="-2"/>
          <w:sz w:val="20"/>
        </w:rPr>
        <w:t> </w:t>
      </w:r>
      <w:r>
        <w:rPr>
          <w:rFonts w:ascii="Arial"/>
          <w:i/>
          <w:sz w:val="20"/>
        </w:rPr>
        <w:t>[1976]</w:t>
      </w:r>
      <w:r>
        <w:rPr>
          <w:rFonts w:ascii="Arial"/>
          <w:i/>
          <w:spacing w:val="-2"/>
          <w:sz w:val="20"/>
        </w:rPr>
        <w:t> </w:t>
      </w:r>
      <w:r>
        <w:rPr>
          <w:rFonts w:ascii="Arial"/>
          <w:i/>
          <w:sz w:val="20"/>
        </w:rPr>
        <w:t>1</w:t>
      </w:r>
      <w:r>
        <w:rPr>
          <w:rFonts w:ascii="Arial"/>
          <w:i/>
          <w:spacing w:val="-2"/>
          <w:sz w:val="20"/>
        </w:rPr>
        <w:t> </w:t>
      </w:r>
      <w:r>
        <w:rPr>
          <w:rFonts w:ascii="Arial"/>
          <w:i/>
          <w:sz w:val="20"/>
        </w:rPr>
        <w:t>Q.B.</w:t>
      </w:r>
      <w:r>
        <w:rPr>
          <w:rFonts w:ascii="Arial"/>
          <w:i/>
          <w:spacing w:val="-2"/>
          <w:sz w:val="20"/>
        </w:rPr>
        <w:t> </w:t>
      </w:r>
      <w:r>
        <w:rPr>
          <w:rFonts w:ascii="Arial"/>
          <w:i/>
          <w:sz w:val="20"/>
        </w:rPr>
        <w:t>858</w:t>
      </w:r>
      <w:r>
        <w:rPr>
          <w:sz w:val="20"/>
        </w:rPr>
        <w:t>;</w:t>
      </w:r>
      <w:r>
        <w:rPr>
          <w:spacing w:val="-2"/>
          <w:sz w:val="20"/>
        </w:rPr>
        <w:t> </w:t>
      </w:r>
      <w:r>
        <w:rPr>
          <w:rFonts w:ascii="Arial"/>
          <w:i/>
          <w:sz w:val="20"/>
        </w:rPr>
        <w:t>Anns</w:t>
      </w:r>
      <w:r>
        <w:rPr>
          <w:rFonts w:ascii="Arial"/>
          <w:i/>
          <w:spacing w:val="-2"/>
          <w:sz w:val="20"/>
        </w:rPr>
        <w:t> </w:t>
      </w:r>
      <w:r>
        <w:rPr>
          <w:rFonts w:ascii="Arial"/>
          <w:i/>
          <w:sz w:val="20"/>
        </w:rPr>
        <w:t>v</w:t>
      </w:r>
      <w:r>
        <w:rPr>
          <w:rFonts w:ascii="Arial"/>
          <w:i/>
          <w:spacing w:val="-2"/>
          <w:sz w:val="20"/>
        </w:rPr>
        <w:t> </w:t>
      </w:r>
      <w:r>
        <w:rPr>
          <w:rFonts w:ascii="Arial"/>
          <w:i/>
          <w:sz w:val="20"/>
        </w:rPr>
        <w:t>Merton</w:t>
      </w:r>
      <w:r>
        <w:rPr>
          <w:rFonts w:ascii="Arial"/>
          <w:i/>
          <w:spacing w:val="-2"/>
          <w:sz w:val="20"/>
        </w:rPr>
        <w:t> </w:t>
      </w:r>
      <w:r>
        <w:rPr>
          <w:rFonts w:ascii="Arial"/>
          <w:i/>
          <w:sz w:val="20"/>
        </w:rPr>
        <w:t>London</w:t>
      </w:r>
      <w:r>
        <w:rPr>
          <w:rFonts w:ascii="Arial"/>
          <w:i/>
          <w:spacing w:val="-2"/>
          <w:sz w:val="20"/>
        </w:rPr>
        <w:t> </w:t>
      </w:r>
      <w:r>
        <w:rPr>
          <w:rFonts w:ascii="Arial"/>
          <w:i/>
          <w:sz w:val="20"/>
        </w:rPr>
        <w:t>BC</w:t>
      </w:r>
      <w:r>
        <w:rPr>
          <w:rFonts w:ascii="Arial"/>
          <w:i/>
          <w:spacing w:val="-2"/>
          <w:sz w:val="20"/>
        </w:rPr>
        <w:t> </w:t>
      </w:r>
      <w:r>
        <w:rPr>
          <w:rFonts w:ascii="Arial"/>
          <w:i/>
          <w:sz w:val="20"/>
        </w:rPr>
        <w:t>[1978]</w:t>
      </w:r>
      <w:r>
        <w:rPr>
          <w:rFonts w:ascii="Arial"/>
          <w:i/>
          <w:spacing w:val="-2"/>
          <w:sz w:val="20"/>
        </w:rPr>
        <w:t> </w:t>
      </w:r>
      <w:r>
        <w:rPr>
          <w:rFonts w:ascii="Arial"/>
          <w:i/>
          <w:sz w:val="20"/>
        </w:rPr>
        <w:t>A.C.</w:t>
      </w:r>
      <w:r>
        <w:rPr>
          <w:rFonts w:ascii="Arial"/>
          <w:i/>
          <w:spacing w:val="-2"/>
          <w:sz w:val="20"/>
        </w:rPr>
        <w:t> </w:t>
      </w:r>
      <w:r>
        <w:rPr>
          <w:rFonts w:ascii="Arial"/>
          <w:i/>
          <w:sz w:val="20"/>
        </w:rPr>
        <w:t>728</w:t>
      </w:r>
      <w:r>
        <w:rPr>
          <w:sz w:val="20"/>
        </w:rPr>
        <w:t>;</w:t>
      </w:r>
      <w:r>
        <w:rPr>
          <w:spacing w:val="-2"/>
          <w:sz w:val="20"/>
        </w:rPr>
        <w:t> </w:t>
      </w:r>
      <w:r>
        <w:rPr>
          <w:rFonts w:ascii="Arial"/>
          <w:i/>
          <w:sz w:val="20"/>
        </w:rPr>
        <w:t>Midland</w:t>
      </w:r>
      <w:r>
        <w:rPr>
          <w:rFonts w:ascii="Arial"/>
          <w:i/>
          <w:spacing w:val="-2"/>
          <w:sz w:val="20"/>
        </w:rPr>
        <w:t> </w:t>
      </w:r>
      <w:r>
        <w:rPr>
          <w:rFonts w:ascii="Arial"/>
          <w:i/>
          <w:sz w:val="20"/>
        </w:rPr>
        <w:t>Bank Trust Co Ltd v Hett, Stubbs &amp; Kemp [1979] Ch. 384</w:t>
      </w:r>
      <w:r>
        <w:rPr>
          <w:sz w:val="20"/>
        </w:rPr>
        <w:t>; </w:t>
      </w:r>
      <w:r>
        <w:rPr>
          <w:rFonts w:ascii="Arial"/>
          <w:i/>
          <w:sz w:val="20"/>
        </w:rPr>
        <w:t>Pirelli General Cable Works Ltd v Oscar Faber</w:t>
      </w:r>
      <w:r>
        <w:rPr>
          <w:rFonts w:ascii="Arial"/>
          <w:i/>
          <w:spacing w:val="-3"/>
          <w:sz w:val="20"/>
        </w:rPr>
        <w:t> </w:t>
      </w:r>
      <w:r>
        <w:rPr>
          <w:rFonts w:ascii="Arial"/>
          <w:i/>
          <w:sz w:val="20"/>
        </w:rPr>
        <w:t>&amp;</w:t>
      </w:r>
      <w:r>
        <w:rPr>
          <w:rFonts w:ascii="Arial"/>
          <w:i/>
          <w:spacing w:val="-3"/>
          <w:sz w:val="20"/>
        </w:rPr>
        <w:t> </w:t>
      </w:r>
      <w:r>
        <w:rPr>
          <w:rFonts w:ascii="Arial"/>
          <w:i/>
          <w:sz w:val="20"/>
        </w:rPr>
        <w:t>Partners</w:t>
      </w:r>
      <w:r>
        <w:rPr>
          <w:rFonts w:ascii="Arial"/>
          <w:i/>
          <w:spacing w:val="-3"/>
          <w:sz w:val="20"/>
        </w:rPr>
        <w:t> </w:t>
      </w:r>
      <w:r>
        <w:rPr>
          <w:rFonts w:ascii="Arial"/>
          <w:i/>
          <w:sz w:val="20"/>
        </w:rPr>
        <w:t>[1983]</w:t>
      </w:r>
      <w:r>
        <w:rPr>
          <w:rFonts w:ascii="Arial"/>
          <w:i/>
          <w:spacing w:val="-3"/>
          <w:sz w:val="20"/>
        </w:rPr>
        <w:t> </w:t>
      </w:r>
      <w:r>
        <w:rPr>
          <w:rFonts w:ascii="Arial"/>
          <w:i/>
          <w:sz w:val="20"/>
        </w:rPr>
        <w:t>2</w:t>
      </w:r>
      <w:r>
        <w:rPr>
          <w:rFonts w:ascii="Arial"/>
          <w:i/>
          <w:spacing w:val="-3"/>
          <w:sz w:val="20"/>
        </w:rPr>
        <w:t> </w:t>
      </w:r>
      <w:r>
        <w:rPr>
          <w:rFonts w:ascii="Arial"/>
          <w:i/>
          <w:sz w:val="20"/>
        </w:rPr>
        <w:t>A.C.</w:t>
      </w:r>
      <w:r>
        <w:rPr>
          <w:rFonts w:ascii="Arial"/>
          <w:i/>
          <w:spacing w:val="-3"/>
          <w:sz w:val="20"/>
        </w:rPr>
        <w:t> </w:t>
      </w:r>
      <w:r>
        <w:rPr>
          <w:rFonts w:ascii="Arial"/>
          <w:i/>
          <w:sz w:val="20"/>
        </w:rPr>
        <w:t>1</w:t>
      </w:r>
      <w:r>
        <w:rPr>
          <w:sz w:val="20"/>
        </w:rPr>
        <w:t>;</w:t>
      </w:r>
      <w:r>
        <w:rPr>
          <w:spacing w:val="-3"/>
          <w:sz w:val="20"/>
        </w:rPr>
        <w:t> </w:t>
      </w:r>
      <w:r>
        <w:rPr>
          <w:rFonts w:ascii="Arial"/>
          <w:i/>
          <w:sz w:val="20"/>
        </w:rPr>
        <w:t>Ketterman</w:t>
      </w:r>
      <w:r>
        <w:rPr>
          <w:rFonts w:ascii="Arial"/>
          <w:i/>
          <w:spacing w:val="-3"/>
          <w:sz w:val="20"/>
        </w:rPr>
        <w:t> </w:t>
      </w:r>
      <w:r>
        <w:rPr>
          <w:rFonts w:ascii="Arial"/>
          <w:i/>
          <w:sz w:val="20"/>
        </w:rPr>
        <w:t>v</w:t>
      </w:r>
      <w:r>
        <w:rPr>
          <w:rFonts w:ascii="Arial"/>
          <w:i/>
          <w:spacing w:val="-3"/>
          <w:sz w:val="20"/>
        </w:rPr>
        <w:t> </w:t>
      </w:r>
      <w:r>
        <w:rPr>
          <w:rFonts w:ascii="Arial"/>
          <w:i/>
          <w:sz w:val="20"/>
        </w:rPr>
        <w:t>Hansel</w:t>
      </w:r>
      <w:r>
        <w:rPr>
          <w:rFonts w:ascii="Arial"/>
          <w:i/>
          <w:spacing w:val="-3"/>
          <w:sz w:val="20"/>
        </w:rPr>
        <w:t> </w:t>
      </w:r>
      <w:r>
        <w:rPr>
          <w:rFonts w:ascii="Arial"/>
          <w:i/>
          <w:sz w:val="20"/>
        </w:rPr>
        <w:t>Properties</w:t>
      </w:r>
      <w:r>
        <w:rPr>
          <w:rFonts w:ascii="Arial"/>
          <w:i/>
          <w:spacing w:val="-3"/>
          <w:sz w:val="20"/>
        </w:rPr>
        <w:t> </w:t>
      </w:r>
      <w:r>
        <w:rPr>
          <w:rFonts w:ascii="Arial"/>
          <w:i/>
          <w:sz w:val="20"/>
        </w:rPr>
        <w:t>Ltd</w:t>
      </w:r>
      <w:r>
        <w:rPr>
          <w:rFonts w:ascii="Arial"/>
          <w:i/>
          <w:spacing w:val="-3"/>
          <w:sz w:val="20"/>
        </w:rPr>
        <w:t> </w:t>
      </w:r>
      <w:r>
        <w:rPr>
          <w:rFonts w:ascii="Arial"/>
          <w:i/>
          <w:sz w:val="20"/>
        </w:rPr>
        <w:t>[1987]</w:t>
      </w:r>
      <w:r>
        <w:rPr>
          <w:rFonts w:ascii="Arial"/>
          <w:i/>
          <w:spacing w:val="-3"/>
          <w:sz w:val="20"/>
        </w:rPr>
        <w:t> </w:t>
      </w:r>
      <w:r>
        <w:rPr>
          <w:rFonts w:ascii="Arial"/>
          <w:i/>
          <w:sz w:val="20"/>
        </w:rPr>
        <w:t>1</w:t>
      </w:r>
      <w:r>
        <w:rPr>
          <w:rFonts w:ascii="Arial"/>
          <w:i/>
          <w:spacing w:val="-3"/>
          <w:sz w:val="20"/>
        </w:rPr>
        <w:t> </w:t>
      </w:r>
      <w:r>
        <w:rPr>
          <w:rFonts w:ascii="Arial"/>
          <w:i/>
          <w:sz w:val="20"/>
        </w:rPr>
        <w:t>A.C.</w:t>
      </w:r>
      <w:r>
        <w:rPr>
          <w:rFonts w:ascii="Arial"/>
          <w:i/>
          <w:spacing w:val="-3"/>
          <w:sz w:val="20"/>
        </w:rPr>
        <w:t> </w:t>
      </w:r>
      <w:r>
        <w:rPr>
          <w:rFonts w:ascii="Arial"/>
          <w:i/>
          <w:sz w:val="20"/>
        </w:rPr>
        <w:t>189</w:t>
      </w:r>
      <w:r>
        <w:rPr>
          <w:sz w:val="20"/>
        </w:rPr>
        <w:t>;</w:t>
      </w:r>
      <w:r>
        <w:rPr>
          <w:spacing w:val="-3"/>
          <w:sz w:val="20"/>
        </w:rPr>
        <w:t> </w:t>
      </w:r>
      <w:r>
        <w:rPr>
          <w:rFonts w:ascii="Arial"/>
          <w:i/>
          <w:sz w:val="20"/>
        </w:rPr>
        <w:t>London Congregational</w:t>
      </w:r>
      <w:r>
        <w:rPr>
          <w:rFonts w:ascii="Arial"/>
          <w:i/>
          <w:spacing w:val="-2"/>
          <w:sz w:val="20"/>
        </w:rPr>
        <w:t> </w:t>
      </w:r>
      <w:r>
        <w:rPr>
          <w:rFonts w:ascii="Arial"/>
          <w:i/>
          <w:sz w:val="20"/>
        </w:rPr>
        <w:t>Union</w:t>
      </w:r>
      <w:r>
        <w:rPr>
          <w:rFonts w:ascii="Arial"/>
          <w:i/>
          <w:spacing w:val="-2"/>
          <w:sz w:val="20"/>
        </w:rPr>
        <w:t> </w:t>
      </w:r>
      <w:r>
        <w:rPr>
          <w:rFonts w:ascii="Arial"/>
          <w:i/>
          <w:sz w:val="20"/>
        </w:rPr>
        <w:t>Inc</w:t>
      </w:r>
      <w:r>
        <w:rPr>
          <w:rFonts w:ascii="Arial"/>
          <w:i/>
          <w:spacing w:val="-2"/>
          <w:sz w:val="20"/>
        </w:rPr>
        <w:t> </w:t>
      </w:r>
      <w:r>
        <w:rPr>
          <w:rFonts w:ascii="Arial"/>
          <w:i/>
          <w:sz w:val="20"/>
        </w:rPr>
        <w:t>v</w:t>
      </w:r>
      <w:r>
        <w:rPr>
          <w:rFonts w:ascii="Arial"/>
          <w:i/>
          <w:spacing w:val="-2"/>
          <w:sz w:val="20"/>
        </w:rPr>
        <w:t> </w:t>
      </w:r>
      <w:r>
        <w:rPr>
          <w:rFonts w:ascii="Arial"/>
          <w:i/>
          <w:sz w:val="20"/>
        </w:rPr>
        <w:t>Harriss</w:t>
      </w:r>
      <w:r>
        <w:rPr>
          <w:rFonts w:ascii="Arial"/>
          <w:i/>
          <w:spacing w:val="-2"/>
          <w:sz w:val="20"/>
        </w:rPr>
        <w:t> </w:t>
      </w:r>
      <w:r>
        <w:rPr>
          <w:rFonts w:ascii="Arial"/>
          <w:i/>
          <w:sz w:val="20"/>
        </w:rPr>
        <w:t>and</w:t>
      </w:r>
      <w:r>
        <w:rPr>
          <w:rFonts w:ascii="Arial"/>
          <w:i/>
          <w:spacing w:val="-2"/>
          <w:sz w:val="20"/>
        </w:rPr>
        <w:t> </w:t>
      </w:r>
      <w:r>
        <w:rPr>
          <w:rFonts w:ascii="Arial"/>
          <w:i/>
          <w:sz w:val="20"/>
        </w:rPr>
        <w:t>Harriss</w:t>
      </w:r>
      <w:r>
        <w:rPr>
          <w:rFonts w:ascii="Arial"/>
          <w:i/>
          <w:spacing w:val="-2"/>
          <w:sz w:val="20"/>
        </w:rPr>
        <w:t> </w:t>
      </w:r>
      <w:r>
        <w:rPr>
          <w:rFonts w:ascii="Arial"/>
          <w:i/>
          <w:sz w:val="20"/>
        </w:rPr>
        <w:t>(A</w:t>
      </w:r>
      <w:r>
        <w:rPr>
          <w:rFonts w:ascii="Arial"/>
          <w:i/>
          <w:spacing w:val="-2"/>
          <w:sz w:val="20"/>
        </w:rPr>
        <w:t> </w:t>
      </w:r>
      <w:r>
        <w:rPr>
          <w:rFonts w:ascii="Arial"/>
          <w:i/>
          <w:sz w:val="20"/>
        </w:rPr>
        <w:t>Firm)</w:t>
      </w:r>
      <w:r>
        <w:rPr>
          <w:rFonts w:ascii="Arial"/>
          <w:i/>
          <w:spacing w:val="-2"/>
          <w:sz w:val="20"/>
        </w:rPr>
        <w:t> </w:t>
      </w:r>
      <w:r>
        <w:rPr>
          <w:rFonts w:ascii="Arial"/>
          <w:i/>
          <w:sz w:val="20"/>
        </w:rPr>
        <w:t>[1988]</w:t>
      </w:r>
      <w:r>
        <w:rPr>
          <w:rFonts w:ascii="Arial"/>
          <w:i/>
          <w:spacing w:val="-2"/>
          <w:sz w:val="20"/>
        </w:rPr>
        <w:t> </w:t>
      </w:r>
      <w:r>
        <w:rPr>
          <w:rFonts w:ascii="Arial"/>
          <w:i/>
          <w:sz w:val="20"/>
        </w:rPr>
        <w:t>1</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15</w:t>
      </w:r>
      <w:r>
        <w:rPr>
          <w:sz w:val="20"/>
        </w:rPr>
        <w:t>;</w:t>
      </w:r>
      <w:r>
        <w:rPr>
          <w:spacing w:val="-2"/>
          <w:sz w:val="20"/>
        </w:rPr>
        <w:t> </w:t>
      </w:r>
      <w:r>
        <w:rPr>
          <w:rFonts w:ascii="Arial"/>
          <w:i/>
          <w:sz w:val="20"/>
        </w:rPr>
        <w:t>D.</w:t>
      </w:r>
      <w:r>
        <w:rPr>
          <w:rFonts w:ascii="Arial"/>
          <w:i/>
          <w:spacing w:val="-2"/>
          <w:sz w:val="20"/>
        </w:rPr>
        <w:t> </w:t>
      </w:r>
      <w:r>
        <w:rPr>
          <w:rFonts w:ascii="Arial"/>
          <w:i/>
          <w:sz w:val="20"/>
        </w:rPr>
        <w:t>W.</w:t>
      </w:r>
      <w:r>
        <w:rPr>
          <w:rFonts w:ascii="Arial"/>
          <w:i/>
          <w:spacing w:val="-2"/>
          <w:sz w:val="20"/>
        </w:rPr>
        <w:t> </w:t>
      </w:r>
      <w:r>
        <w:rPr>
          <w:rFonts w:ascii="Arial"/>
          <w:i/>
          <w:sz w:val="20"/>
        </w:rPr>
        <w:t>Moore</w:t>
      </w:r>
      <w:r>
        <w:rPr>
          <w:rFonts w:ascii="Arial"/>
          <w:i/>
          <w:spacing w:val="-2"/>
          <w:sz w:val="20"/>
        </w:rPr>
        <w:t> </w:t>
      </w:r>
      <w:r>
        <w:rPr>
          <w:rFonts w:ascii="Arial"/>
          <w:i/>
          <w:sz w:val="20"/>
        </w:rPr>
        <w:t>&amp;</w:t>
      </w:r>
      <w:r>
        <w:rPr>
          <w:rFonts w:ascii="Arial"/>
          <w:i/>
          <w:spacing w:val="-2"/>
          <w:sz w:val="20"/>
        </w:rPr>
        <w:t> </w:t>
      </w:r>
      <w:r>
        <w:rPr>
          <w:rFonts w:ascii="Arial"/>
          <w:i/>
          <w:sz w:val="20"/>
        </w:rPr>
        <w:t>Co Ltd</w:t>
      </w:r>
      <w:r>
        <w:rPr>
          <w:rFonts w:ascii="Arial"/>
          <w:i/>
          <w:spacing w:val="31"/>
          <w:sz w:val="20"/>
        </w:rPr>
        <w:t> </w:t>
      </w:r>
      <w:r>
        <w:rPr>
          <w:rFonts w:ascii="Arial"/>
          <w:i/>
          <w:sz w:val="20"/>
        </w:rPr>
        <w:t>v</w:t>
      </w:r>
      <w:r>
        <w:rPr>
          <w:rFonts w:ascii="Arial"/>
          <w:i/>
          <w:spacing w:val="34"/>
          <w:sz w:val="20"/>
        </w:rPr>
        <w:t> </w:t>
      </w:r>
      <w:r>
        <w:rPr>
          <w:rFonts w:ascii="Arial"/>
          <w:i/>
          <w:sz w:val="20"/>
        </w:rPr>
        <w:t>Ferrier</w:t>
      </w:r>
      <w:r>
        <w:rPr>
          <w:rFonts w:ascii="Arial"/>
          <w:i/>
          <w:spacing w:val="34"/>
          <w:sz w:val="20"/>
        </w:rPr>
        <w:t> </w:t>
      </w:r>
      <w:r>
        <w:rPr>
          <w:rFonts w:ascii="Arial"/>
          <w:i/>
          <w:sz w:val="20"/>
        </w:rPr>
        <w:t>[1988]</w:t>
      </w:r>
      <w:r>
        <w:rPr>
          <w:rFonts w:ascii="Arial"/>
          <w:i/>
          <w:spacing w:val="34"/>
          <w:sz w:val="20"/>
        </w:rPr>
        <w:t> </w:t>
      </w:r>
      <w:r>
        <w:rPr>
          <w:rFonts w:ascii="Arial"/>
          <w:i/>
          <w:sz w:val="20"/>
        </w:rPr>
        <w:t>1</w:t>
      </w:r>
      <w:r>
        <w:rPr>
          <w:rFonts w:ascii="Arial"/>
          <w:i/>
          <w:spacing w:val="34"/>
          <w:sz w:val="20"/>
        </w:rPr>
        <w:t> </w:t>
      </w:r>
      <w:r>
        <w:rPr>
          <w:rFonts w:ascii="Arial"/>
          <w:i/>
          <w:sz w:val="20"/>
        </w:rPr>
        <w:t>W.L.R.</w:t>
      </w:r>
      <w:r>
        <w:rPr>
          <w:rFonts w:ascii="Arial"/>
          <w:i/>
          <w:spacing w:val="34"/>
          <w:sz w:val="20"/>
        </w:rPr>
        <w:t> </w:t>
      </w:r>
      <w:r>
        <w:rPr>
          <w:rFonts w:ascii="Arial"/>
          <w:i/>
          <w:sz w:val="20"/>
        </w:rPr>
        <w:t>267</w:t>
      </w:r>
      <w:r>
        <w:rPr>
          <w:sz w:val="20"/>
        </w:rPr>
        <w:t>;</w:t>
      </w:r>
      <w:r>
        <w:rPr>
          <w:spacing w:val="34"/>
          <w:sz w:val="20"/>
        </w:rPr>
        <w:t> </w:t>
      </w:r>
      <w:r>
        <w:rPr>
          <w:rFonts w:ascii="Arial"/>
          <w:i/>
          <w:sz w:val="20"/>
        </w:rPr>
        <w:t>Lee</w:t>
      </w:r>
      <w:r>
        <w:rPr>
          <w:rFonts w:ascii="Arial"/>
          <w:i/>
          <w:spacing w:val="34"/>
          <w:sz w:val="20"/>
        </w:rPr>
        <w:t> </w:t>
      </w:r>
      <w:r>
        <w:rPr>
          <w:rFonts w:ascii="Arial"/>
          <w:i/>
          <w:sz w:val="20"/>
        </w:rPr>
        <w:t>v</w:t>
      </w:r>
      <w:r>
        <w:rPr>
          <w:rFonts w:ascii="Arial"/>
          <w:i/>
          <w:spacing w:val="33"/>
          <w:sz w:val="20"/>
        </w:rPr>
        <w:t> </w:t>
      </w:r>
      <w:r>
        <w:rPr>
          <w:rFonts w:ascii="Arial"/>
          <w:i/>
          <w:sz w:val="20"/>
        </w:rPr>
        <w:t>Thompson</w:t>
      </w:r>
      <w:r>
        <w:rPr>
          <w:rFonts w:ascii="Arial"/>
          <w:i/>
          <w:spacing w:val="34"/>
          <w:sz w:val="20"/>
        </w:rPr>
        <w:t> </w:t>
      </w:r>
      <w:r>
        <w:rPr>
          <w:rFonts w:ascii="Arial"/>
          <w:i/>
          <w:sz w:val="20"/>
        </w:rPr>
        <w:t>[1989]</w:t>
      </w:r>
      <w:r>
        <w:rPr>
          <w:rFonts w:ascii="Arial"/>
          <w:i/>
          <w:spacing w:val="34"/>
          <w:sz w:val="20"/>
        </w:rPr>
        <w:t> </w:t>
      </w:r>
      <w:r>
        <w:rPr>
          <w:rFonts w:ascii="Arial"/>
          <w:i/>
          <w:sz w:val="20"/>
        </w:rPr>
        <w:t>40</w:t>
      </w:r>
      <w:r>
        <w:rPr>
          <w:rFonts w:ascii="Arial"/>
          <w:i/>
          <w:spacing w:val="34"/>
          <w:sz w:val="20"/>
        </w:rPr>
        <w:t> </w:t>
      </w:r>
      <w:r>
        <w:rPr>
          <w:rFonts w:ascii="Arial"/>
          <w:i/>
          <w:sz w:val="20"/>
        </w:rPr>
        <w:t>E.G.</w:t>
      </w:r>
      <w:r>
        <w:rPr>
          <w:rFonts w:ascii="Arial"/>
          <w:i/>
          <w:spacing w:val="34"/>
          <w:sz w:val="20"/>
        </w:rPr>
        <w:t> </w:t>
      </w:r>
      <w:r>
        <w:rPr>
          <w:rFonts w:ascii="Arial"/>
          <w:i/>
          <w:sz w:val="20"/>
        </w:rPr>
        <w:t>89</w:t>
      </w:r>
      <w:r>
        <w:rPr>
          <w:sz w:val="20"/>
        </w:rPr>
        <w:t>;</w:t>
      </w:r>
      <w:r>
        <w:rPr>
          <w:spacing w:val="34"/>
          <w:sz w:val="20"/>
        </w:rPr>
        <w:t> </w:t>
      </w:r>
      <w:r>
        <w:rPr>
          <w:sz w:val="20"/>
        </w:rPr>
        <w:t>McGee</w:t>
      </w:r>
      <w:r>
        <w:rPr>
          <w:spacing w:val="34"/>
          <w:sz w:val="20"/>
        </w:rPr>
        <w:t> </w:t>
      </w:r>
      <w:r>
        <w:rPr>
          <w:sz w:val="20"/>
        </w:rPr>
        <w:t>(1988)</w:t>
      </w:r>
      <w:r>
        <w:rPr>
          <w:spacing w:val="34"/>
          <w:sz w:val="20"/>
        </w:rPr>
        <w:t> </w:t>
      </w:r>
      <w:r>
        <w:rPr>
          <w:spacing w:val="-5"/>
          <w:sz w:val="20"/>
        </w:rPr>
        <w:t>104</w:t>
      </w:r>
    </w:p>
    <w:p>
      <w:pPr>
        <w:spacing w:line="224" w:lineRule="exact" w:before="0"/>
        <w:ind w:left="705" w:right="0" w:firstLine="0"/>
        <w:jc w:val="both"/>
        <w:rPr>
          <w:sz w:val="20"/>
        </w:rPr>
      </w:pPr>
      <w:r>
        <w:rPr>
          <w:sz w:val="20"/>
        </w:rPr>
        <w:t>L.Q.R.</w:t>
      </w:r>
      <w:r>
        <w:rPr>
          <w:spacing w:val="-2"/>
          <w:sz w:val="20"/>
        </w:rPr>
        <w:t> </w:t>
      </w:r>
      <w:r>
        <w:rPr>
          <w:sz w:val="20"/>
        </w:rPr>
        <w:t>376; </w:t>
      </w:r>
      <w:r>
        <w:rPr>
          <w:rFonts w:ascii="Arial"/>
          <w:i/>
          <w:sz w:val="20"/>
        </w:rPr>
        <w:t>Law Society v Sephton &amp; Co [2006] UKHL 22, [2006] 2 W.L.R. </w:t>
      </w:r>
      <w:r>
        <w:rPr>
          <w:rFonts w:ascii="Arial"/>
          <w:i/>
          <w:spacing w:val="-2"/>
          <w:sz w:val="20"/>
        </w:rPr>
        <w:t>1091</w:t>
      </w:r>
      <w:r>
        <w:rPr>
          <w:spacing w:val="-2"/>
          <w:sz w:val="20"/>
        </w:rPr>
        <w:t>.</w:t>
      </w:r>
    </w:p>
    <w:p>
      <w:pPr>
        <w:pStyle w:val="BodyText"/>
        <w:spacing w:before="5"/>
      </w:pPr>
    </w:p>
    <w:p>
      <w:pPr>
        <w:pStyle w:val="BodyText"/>
        <w:ind w:left="165"/>
      </w:pPr>
      <w:r>
        <w:rPr>
          <w:color w:val="005DA1"/>
          <w:position w:val="5"/>
          <w:sz w:val="14"/>
          <w:u w:val="single" w:color="005DA1"/>
        </w:rPr>
        <w:t>1067</w:t>
      </w:r>
      <w:r>
        <w:rPr>
          <w:position w:val="5"/>
          <w:sz w:val="14"/>
        </w:rPr>
        <w:t>.</w:t>
      </w:r>
      <w:r>
        <w:rPr>
          <w:spacing w:val="55"/>
          <w:position w:val="5"/>
          <w:sz w:val="14"/>
        </w:rPr>
        <w:t>  </w:t>
      </w:r>
      <w:r>
        <w:rPr/>
        <w:t>Creating</w:t>
      </w:r>
      <w:r>
        <w:rPr>
          <w:spacing w:val="1"/>
        </w:rPr>
        <w:t> </w:t>
      </w:r>
      <w:r>
        <w:rPr/>
        <w:t>new s.14A of the Limitation Act </w:t>
      </w:r>
      <w:r>
        <w:rPr>
          <w:spacing w:val="-2"/>
        </w:rPr>
        <w:t>1980.</w:t>
      </w:r>
    </w:p>
    <w:p>
      <w:pPr>
        <w:pStyle w:val="BodyText"/>
        <w:spacing w:before="8"/>
      </w:pPr>
    </w:p>
    <w:p>
      <w:pPr>
        <w:spacing w:line="235" w:lineRule="auto" w:before="1"/>
        <w:ind w:left="705" w:right="167" w:hanging="541"/>
        <w:jc w:val="both"/>
        <w:rPr>
          <w:sz w:val="20"/>
        </w:rPr>
      </w:pPr>
      <w:r>
        <w:rPr>
          <w:color w:val="005DA1"/>
          <w:position w:val="5"/>
          <w:sz w:val="14"/>
          <w:u w:val="single" w:color="005DA1"/>
        </w:rPr>
        <w:t>1068</w:t>
      </w:r>
      <w:r>
        <w:rPr>
          <w:position w:val="5"/>
          <w:sz w:val="14"/>
        </w:rPr>
        <w:t>.</w:t>
      </w:r>
      <w:r>
        <w:rPr>
          <w:spacing w:val="80"/>
          <w:position w:val="5"/>
          <w:sz w:val="14"/>
        </w:rPr>
        <w:t> </w:t>
      </w:r>
      <w:r>
        <w:rPr>
          <w:rFonts w:ascii="Arial"/>
          <w:i/>
          <w:sz w:val="20"/>
        </w:rPr>
        <w:t>Iron Trades Mutual Insurance Co Ltd v J.K. Buckenham Ltd [1990] 1 All E.R. 808 </w:t>
      </w:r>
      <w:r>
        <w:rPr>
          <w:sz w:val="20"/>
        </w:rPr>
        <w:t>and see</w:t>
      </w:r>
      <w:r>
        <w:rPr>
          <w:spacing w:val="80"/>
          <w:sz w:val="20"/>
        </w:rPr>
        <w:t> </w:t>
      </w:r>
      <w:r>
        <w:rPr>
          <w:sz w:val="20"/>
        </w:rPr>
        <w:t>below, para.28-033. cf. Consumer Protection Act 1987 s.5(5) which sets a different time </w:t>
      </w:r>
      <w:r>
        <w:rPr>
          <w:sz w:val="20"/>
        </w:rPr>
        <w:t>of accrual for actions for damage to property against a supplier or producer under Pt I of the Act from that which would exist against a contractor under the general law of limitation.</w:t>
      </w:r>
    </w:p>
    <w:p>
      <w:pPr>
        <w:pStyle w:val="BodyText"/>
        <w:spacing w:before="4"/>
      </w:pPr>
    </w:p>
    <w:p>
      <w:pPr>
        <w:spacing w:before="0"/>
        <w:ind w:left="165" w:right="0" w:firstLine="0"/>
        <w:jc w:val="left"/>
        <w:rPr>
          <w:sz w:val="20"/>
        </w:rPr>
      </w:pPr>
      <w:r>
        <w:rPr>
          <w:color w:val="005DA1"/>
          <w:position w:val="5"/>
          <w:sz w:val="14"/>
          <w:u w:val="single" w:color="005DA1"/>
        </w:rPr>
        <w:t>1069</w:t>
      </w:r>
      <w:r>
        <w:rPr>
          <w:position w:val="5"/>
          <w:sz w:val="14"/>
        </w:rPr>
        <w:t>.</w:t>
      </w:r>
      <w:r>
        <w:rPr>
          <w:spacing w:val="55"/>
          <w:position w:val="5"/>
          <w:sz w:val="14"/>
        </w:rPr>
        <w:t>  </w:t>
      </w:r>
      <w:r>
        <w:rPr>
          <w:sz w:val="20"/>
        </w:rPr>
        <w:t>See</w:t>
      </w:r>
      <w:r>
        <w:rPr>
          <w:spacing w:val="1"/>
          <w:sz w:val="20"/>
        </w:rPr>
        <w:t> </w:t>
      </w:r>
      <w:r>
        <w:rPr>
          <w:sz w:val="20"/>
        </w:rPr>
        <w:t>below, para.19-</w:t>
      </w:r>
      <w:r>
        <w:rPr>
          <w:spacing w:val="-4"/>
          <w:sz w:val="20"/>
        </w:rPr>
        <w:t>050.</w:t>
      </w:r>
    </w:p>
    <w:p>
      <w:pPr>
        <w:pStyle w:val="BodyText"/>
        <w:spacing w:before="9"/>
      </w:pPr>
    </w:p>
    <w:p>
      <w:pPr>
        <w:pStyle w:val="BodyText"/>
        <w:spacing w:line="235" w:lineRule="auto"/>
        <w:ind w:left="705" w:right="168" w:hanging="541"/>
        <w:jc w:val="both"/>
      </w:pPr>
      <w:r>
        <w:rPr>
          <w:color w:val="005DA1"/>
          <w:position w:val="5"/>
          <w:sz w:val="14"/>
          <w:u w:val="single" w:color="005DA1"/>
        </w:rPr>
        <w:t>1070</w:t>
      </w:r>
      <w:r>
        <w:rPr>
          <w:position w:val="5"/>
          <w:sz w:val="14"/>
        </w:rPr>
        <w:t>.</w:t>
      </w:r>
      <w:r>
        <w:rPr>
          <w:spacing w:val="80"/>
          <w:position w:val="5"/>
          <w:sz w:val="14"/>
        </w:rPr>
        <w:t> </w:t>
      </w:r>
      <w:r>
        <w:rPr/>
        <w:t>Regulation (EU) 1215/2012 on jurisdiction and the recognition and enforcement of judgments in civil and commercial matters (recast) (“the Brussels Ibis Regulation”) [2012] O.J. L351/1 </w:t>
      </w:r>
      <w:r>
        <w:rPr/>
        <w:t>arts 7(1) and 7(2) replacing Regulation (EC) 44/2001 of 2001 on jurisdiction and the recognition and enforcement of judgments in civil and commercial matters (“Brussels I Regulation) art.5(1) (“matters relating to a contract”) and (3) (“matters relating to tort, delict or quasi-delict”) which itself replaced the Convention on Jurisdiction and the Enforcement of Judgments in Civil and Commercial Matters 1968 (the “Brussels Convention”).</w:t>
      </w:r>
    </w:p>
    <w:p>
      <w:pPr>
        <w:pStyle w:val="BodyText"/>
        <w:spacing w:before="4"/>
      </w:pPr>
    </w:p>
    <w:p>
      <w:pPr>
        <w:pStyle w:val="BodyText"/>
        <w:ind w:left="165"/>
      </w:pPr>
      <w:r>
        <w:rPr>
          <w:color w:val="005DA1"/>
          <w:position w:val="5"/>
          <w:sz w:val="14"/>
          <w:u w:val="single" w:color="005DA1"/>
        </w:rPr>
        <w:t>1071</w:t>
      </w:r>
      <w:r>
        <w:rPr>
          <w:position w:val="5"/>
          <w:sz w:val="14"/>
        </w:rPr>
        <w:t>.</w:t>
      </w:r>
      <w:r>
        <w:rPr>
          <w:spacing w:val="55"/>
          <w:position w:val="5"/>
          <w:sz w:val="14"/>
        </w:rPr>
        <w:t>  </w:t>
      </w:r>
      <w:r>
        <w:rPr/>
        <w:t>See</w:t>
      </w:r>
      <w:r>
        <w:rPr>
          <w:spacing w:val="39"/>
        </w:rPr>
        <w:t> </w:t>
      </w:r>
      <w:r>
        <w:rPr/>
        <w:t>in</w:t>
      </w:r>
      <w:r>
        <w:rPr>
          <w:spacing w:val="38"/>
        </w:rPr>
        <w:t> </w:t>
      </w:r>
      <w:r>
        <w:rPr/>
        <w:t>particular</w:t>
      </w:r>
      <w:r>
        <w:rPr>
          <w:spacing w:val="38"/>
        </w:rPr>
        <w:t> </w:t>
      </w:r>
      <w:r>
        <w:rPr/>
        <w:t>Regulation</w:t>
      </w:r>
      <w:r>
        <w:rPr>
          <w:spacing w:val="38"/>
        </w:rPr>
        <w:t> </w:t>
      </w:r>
      <w:r>
        <w:rPr/>
        <w:t>(EC)</w:t>
      </w:r>
      <w:r>
        <w:rPr>
          <w:spacing w:val="38"/>
        </w:rPr>
        <w:t> </w:t>
      </w:r>
      <w:r>
        <w:rPr/>
        <w:t>593/2008</w:t>
      </w:r>
      <w:r>
        <w:rPr>
          <w:spacing w:val="38"/>
        </w:rPr>
        <w:t> </w:t>
      </w:r>
      <w:r>
        <w:rPr/>
        <w:t>on</w:t>
      </w:r>
      <w:r>
        <w:rPr>
          <w:spacing w:val="38"/>
        </w:rPr>
        <w:t> </w:t>
      </w:r>
      <w:r>
        <w:rPr/>
        <w:t>the</w:t>
      </w:r>
      <w:r>
        <w:rPr>
          <w:spacing w:val="38"/>
        </w:rPr>
        <w:t> </w:t>
      </w:r>
      <w:r>
        <w:rPr/>
        <w:t>law</w:t>
      </w:r>
      <w:r>
        <w:rPr>
          <w:spacing w:val="38"/>
        </w:rPr>
        <w:t> </w:t>
      </w:r>
      <w:r>
        <w:rPr/>
        <w:t>applicable</w:t>
      </w:r>
      <w:r>
        <w:rPr>
          <w:spacing w:val="38"/>
        </w:rPr>
        <w:t> </w:t>
      </w:r>
      <w:r>
        <w:rPr/>
        <w:t>to</w:t>
      </w:r>
      <w:r>
        <w:rPr>
          <w:spacing w:val="38"/>
        </w:rPr>
        <w:t> </w:t>
      </w:r>
      <w:r>
        <w:rPr/>
        <w:t>contractual</w:t>
      </w:r>
      <w:r>
        <w:rPr>
          <w:spacing w:val="38"/>
        </w:rPr>
        <w:t> </w:t>
      </w:r>
      <w:r>
        <w:rPr>
          <w:spacing w:val="-2"/>
        </w:rPr>
        <w:t>obligations</w:t>
      </w:r>
    </w:p>
    <w:p>
      <w:pPr>
        <w:pStyle w:val="BodyText"/>
        <w:spacing w:after="0"/>
        <w:sectPr>
          <w:pgSz w:w="11900" w:h="16840"/>
          <w:pgMar w:header="971" w:footer="0" w:top="1300" w:bottom="280" w:left="1275" w:right="1275"/>
        </w:sectPr>
      </w:pPr>
    </w:p>
    <w:p>
      <w:pPr>
        <w:pStyle w:val="BodyText"/>
        <w:spacing w:line="235" w:lineRule="auto" w:before="170"/>
        <w:ind w:left="705" w:right="167"/>
        <w:jc w:val="both"/>
      </w:pPr>
      <w:r>
        <w:rPr/>
        <w:t>(“Rome I”) [2008] O.J. L177/6; Regulation (EC) 864/2007 applicable to non-</w:t>
      </w:r>
      <w:r>
        <w:rPr/>
        <w:t>contractual obligations (“Rome II Regulation”) [2007] O.J. L199/40 and generally Dicey, Morris and Collins on The Conflict of Laws, 15th edn (2014), Chs 32–35. On the Rome I Regulation, see below, paras 30-129 et seq.</w:t>
      </w:r>
    </w:p>
    <w:p>
      <w:pPr>
        <w:pStyle w:val="BodyText"/>
        <w:spacing w:before="5"/>
      </w:pPr>
    </w:p>
    <w:p>
      <w:pPr>
        <w:pStyle w:val="BodyText"/>
        <w:ind w:left="165"/>
      </w:pPr>
      <w:r>
        <w:rPr>
          <w:color w:val="005DA1"/>
          <w:position w:val="5"/>
          <w:sz w:val="14"/>
          <w:u w:val="single" w:color="005DA1"/>
        </w:rPr>
        <w:t>1072</w:t>
      </w:r>
      <w:r>
        <w:rPr>
          <w:position w:val="5"/>
          <w:sz w:val="14"/>
        </w:rPr>
        <w:t>.</w:t>
      </w:r>
      <w:r>
        <w:rPr>
          <w:spacing w:val="55"/>
          <w:position w:val="5"/>
          <w:sz w:val="14"/>
        </w:rPr>
        <w:t>  </w:t>
      </w:r>
      <w:r>
        <w:rPr/>
        <w:t>See</w:t>
      </w:r>
      <w:r>
        <w:rPr>
          <w:spacing w:val="1"/>
        </w:rPr>
        <w:t> </w:t>
      </w:r>
      <w:r>
        <w:rPr/>
        <w:t>below, paras 9-053—9-054. See also below, para.10-081 (trade </w:t>
      </w:r>
      <w:r>
        <w:rPr>
          <w:spacing w:val="-2"/>
        </w:rPr>
        <w:t>unions).</w:t>
      </w:r>
    </w:p>
    <w:p>
      <w:pPr>
        <w:pStyle w:val="BodyText"/>
        <w:spacing w:before="9"/>
      </w:pPr>
    </w:p>
    <w:p>
      <w:pPr>
        <w:pStyle w:val="BodyText"/>
        <w:spacing w:line="235" w:lineRule="auto"/>
        <w:ind w:left="705" w:right="167" w:hanging="541"/>
        <w:jc w:val="both"/>
      </w:pPr>
      <w:r>
        <w:rPr>
          <w:color w:val="005DA1"/>
          <w:position w:val="5"/>
          <w:sz w:val="14"/>
          <w:u w:val="single" w:color="005DA1"/>
        </w:rPr>
        <w:t>1073</w:t>
      </w:r>
      <w:r>
        <w:rPr>
          <w:position w:val="5"/>
          <w:sz w:val="14"/>
        </w:rPr>
        <w:t>.</w:t>
      </w:r>
      <w:r>
        <w:rPr>
          <w:spacing w:val="80"/>
          <w:position w:val="5"/>
          <w:sz w:val="14"/>
        </w:rPr>
        <w:t> </w:t>
      </w:r>
      <w:r>
        <w:rPr/>
        <w:t>An example may be found in Companies Act 2006 ss.81 and 83 (replacing ss.4 and 5 of </w:t>
      </w:r>
      <w:r>
        <w:rPr/>
        <w:t>the Business Names Act 1985). The former distinction in the Bankruptcy Act 1914 s.30(1) between demands arising by reason of contract which were provable in bankruptcy and others which were not normally so provable, is not found in the provisions which replaced it in the Insolvency Act 1985 (ss.163, 211(1), (2) and (3)).</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7. - The Relationship between Contract and </w:t>
      </w:r>
      <w:r>
        <w:rPr>
          <w:rFonts w:ascii="Arial"/>
          <w:b/>
          <w:spacing w:val="-4"/>
          <w:sz w:val="24"/>
        </w:rPr>
        <w:t>Tort</w:t>
      </w:r>
    </w:p>
    <w:p>
      <w:pPr>
        <w:spacing w:before="194"/>
        <w:ind w:left="1878" w:right="0" w:firstLine="0"/>
        <w:jc w:val="left"/>
        <w:rPr>
          <w:rFonts w:ascii="Arial"/>
          <w:b/>
          <w:sz w:val="24"/>
        </w:rPr>
      </w:pPr>
      <w:r>
        <w:rPr>
          <w:rFonts w:ascii="Arial"/>
          <w:b/>
          <w:sz w:val="24"/>
        </w:rPr>
        <w:t>(c) - Concurrence of Actions in Contract and </w:t>
      </w:r>
      <w:r>
        <w:rPr>
          <w:rFonts w:ascii="Arial"/>
          <w:b/>
          <w:spacing w:val="-4"/>
          <w:sz w:val="24"/>
        </w:rPr>
        <w:t>Tort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General</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154</w:t>
      </w:r>
    </w:p>
    <w:p>
      <w:pPr>
        <w:pStyle w:val="BodyText"/>
        <w:spacing w:line="235" w:lineRule="auto" w:before="202"/>
        <w:ind w:left="164" w:right="167"/>
        <w:jc w:val="both"/>
      </w:pPr>
      <w:r>
        <w:rPr/>
        <w:t>Where the constituent elements of a claimant’s case are capable of being put either in terms of a claim in tort or for breach of contract, the general rule is that the claimant may choose on which basis to proceed, though this rule is subject to a number of qualifications, notably where to do so would </w:t>
      </w:r>
      <w:r>
        <w:rPr/>
        <w:t>be inconsistent with the terms of the contract. This traditional position was clearly affirmed by the House of Lords in </w:t>
      </w:r>
      <w:r>
        <w:rPr>
          <w:rFonts w:ascii="Arial" w:hAnsi="Arial"/>
          <w:i/>
        </w:rPr>
        <w:t>Henderson v Merrett Syndicates Ltd</w:t>
      </w:r>
      <w:r>
        <w:rPr/>
        <w:t>, </w:t>
      </w:r>
      <w:r>
        <w:rPr>
          <w:color w:val="005DA1"/>
          <w:u w:val="single" w:color="005DA1"/>
          <w:vertAlign w:val="superscript"/>
        </w:rPr>
        <w:t>1074</w:t>
      </w:r>
      <w:r>
        <w:rPr>
          <w:color w:val="005DA1"/>
          <w:vertAlign w:val="baseline"/>
        </w:rPr>
        <w:t> </w:t>
      </w:r>
      <w:r>
        <w:rPr>
          <w:vertAlign w:val="baseline"/>
        </w:rPr>
        <w:t>which drew to a close the uncertainty on this</w:t>
      </w:r>
      <w:r>
        <w:rPr>
          <w:spacing w:val="40"/>
          <w:vertAlign w:val="baseline"/>
        </w:rPr>
        <w:t> </w:t>
      </w:r>
      <w:r>
        <w:rPr>
          <w:vertAlign w:val="baseline"/>
        </w:rPr>
        <w:t>point caused by a dictum of Lord Scarman in the Privy Council in 1985 in </w:t>
      </w:r>
      <w:r>
        <w:rPr>
          <w:rFonts w:ascii="Arial" w:hAnsi="Arial"/>
          <w:i/>
          <w:vertAlign w:val="baseline"/>
        </w:rPr>
        <w:t>Tai Hing Cotton Mill Ltd v</w:t>
      </w:r>
      <w:r>
        <w:rPr>
          <w:rFonts w:ascii="Arial" w:hAnsi="Arial"/>
          <w:i/>
          <w:spacing w:val="40"/>
          <w:vertAlign w:val="baseline"/>
        </w:rPr>
        <w:t> </w:t>
      </w:r>
      <w:r>
        <w:rPr>
          <w:rFonts w:ascii="Arial" w:hAnsi="Arial"/>
          <w:i/>
          <w:vertAlign w:val="baseline"/>
        </w:rPr>
        <w:t>Liu Chong Hing Bank Ltd</w:t>
      </w:r>
      <w:r>
        <w:rPr>
          <w:vertAlign w:val="baseline"/>
        </w:rPr>
        <w:t>, to the effect that:</w:t>
      </w:r>
    </w:p>
    <w:p>
      <w:pPr>
        <w:pStyle w:val="BodyText"/>
      </w:pPr>
    </w:p>
    <w:p>
      <w:pPr>
        <w:pStyle w:val="BodyText"/>
        <w:spacing w:before="124"/>
      </w:pPr>
    </w:p>
    <w:p>
      <w:pPr>
        <w:pStyle w:val="BodyText"/>
        <w:spacing w:line="235" w:lineRule="auto"/>
        <w:ind w:left="1244" w:right="167"/>
        <w:jc w:val="both"/>
      </w:pPr>
      <w:r>
        <w:rPr/>
        <w:t>“… their Lordships do not believe that there is anything to the advantage of the law’s development in searching for a liability in tort where the parties are in a </w:t>
      </w:r>
      <w:r>
        <w:rPr/>
        <w:t>contractual relationship.” </w:t>
      </w:r>
      <w:r>
        <w:rPr>
          <w:color w:val="005DA1"/>
          <w:u w:val="single" w:color="005DA1"/>
          <w:vertAlign w:val="superscript"/>
        </w:rPr>
        <w:t>1075</w:t>
      </w:r>
    </w:p>
    <w:p>
      <w:pPr>
        <w:pStyle w:val="BodyText"/>
        <w:spacing w:before="116"/>
      </w:pPr>
    </w:p>
    <w:p>
      <w:pPr>
        <w:pStyle w:val="BodyText"/>
        <w:spacing w:line="235" w:lineRule="auto"/>
        <w:ind w:left="165" w:right="166"/>
        <w:jc w:val="both"/>
      </w:pPr>
      <w:r>
        <w:rPr/>
        <w:t>This dictum appeared to favour the exclusion of claims in tort where the parties were in a contractual relationship, though the context of its acceptance by later courts was typically the denial of liability </w:t>
      </w:r>
      <w:r>
        <w:rPr/>
        <w:t>of recovery of pure economic loss in the tort of negligence. </w:t>
      </w:r>
      <w:r>
        <w:rPr>
          <w:color w:val="005DA1"/>
          <w:u w:val="single" w:color="005DA1"/>
          <w:vertAlign w:val="superscript"/>
        </w:rPr>
        <w:t>1076</w:t>
      </w:r>
      <w:r>
        <w:rPr>
          <w:color w:val="005DA1"/>
          <w:vertAlign w:val="baseline"/>
        </w:rPr>
        <w:t> </w:t>
      </w:r>
      <w:r>
        <w:rPr>
          <w:vertAlign w:val="baseline"/>
        </w:rPr>
        <w:t>However, paradoxically, the House of Lords’ decision on the nature and ambit of the tortious liability to be found on the facts before it in </w:t>
      </w:r>
      <w:r>
        <w:rPr>
          <w:rFonts w:ascii="Arial" w:hAnsi="Arial"/>
          <w:i/>
          <w:vertAlign w:val="baseline"/>
        </w:rPr>
        <w:t>Henderson v Merrett Syndicates Ltd </w:t>
      </w:r>
      <w:r>
        <w:rPr>
          <w:vertAlign w:val="baseline"/>
        </w:rPr>
        <w:t>created new and very considerable uncertainty as regards the relationship of contractual and tortious claims between parties to a contract. For, it accepted that its own earlier decision in </w:t>
      </w:r>
      <w:r>
        <w:rPr>
          <w:rFonts w:ascii="Arial" w:hAnsi="Arial"/>
          <w:i/>
          <w:vertAlign w:val="baseline"/>
        </w:rPr>
        <w:t>Hedley Byrne &amp; Co Ltd v Heller &amp; Partners Ltd </w:t>
      </w:r>
      <w:r>
        <w:rPr>
          <w:color w:val="005DA1"/>
          <w:u w:val="single" w:color="005DA1"/>
          <w:vertAlign w:val="superscript"/>
        </w:rPr>
        <w:t>1077</w:t>
      </w:r>
      <w:r>
        <w:rPr>
          <w:color w:val="005DA1"/>
          <w:vertAlign w:val="baseline"/>
        </w:rPr>
        <w:t> </w:t>
      </w:r>
      <w:r>
        <w:rPr>
          <w:vertAlign w:val="baseline"/>
        </w:rPr>
        <w:t>should be interpreted as establishing a “broad principle” of liability in tortious negligence based on the defendant’s assumption of responsibility, an assumption which would appear to be satisfied whenever a party to a contract either possessing or holding himself out as possessing a special skill agrees to perform a service for the other party. In this respect, the courts have apparently returned to an approach similar to one taken in the earlier nineteenth century, though subsequently superseded. </w:t>
      </w:r>
      <w:r>
        <w:rPr>
          <w:color w:val="005DA1"/>
          <w:u w:val="single" w:color="005DA1"/>
          <w:vertAlign w:val="superscript"/>
        </w:rPr>
        <w:t>1078</w:t>
      </w:r>
    </w:p>
    <w:p>
      <w:pPr>
        <w:pStyle w:val="BodyText"/>
        <w:spacing w:before="77"/>
      </w:pPr>
    </w:p>
    <w:p>
      <w:pPr>
        <w:spacing w:before="0"/>
        <w:ind w:left="165" w:right="0" w:firstLine="0"/>
        <w:jc w:val="left"/>
        <w:rPr>
          <w:rFonts w:ascii="Arial"/>
          <w:b/>
          <w:sz w:val="24"/>
        </w:rPr>
      </w:pPr>
      <w:r>
        <w:rPr>
          <w:rFonts w:ascii="Arial"/>
          <w:b/>
          <w:sz w:val="24"/>
        </w:rPr>
        <w:t>1-</w:t>
      </w:r>
      <w:r>
        <w:rPr>
          <w:rFonts w:ascii="Arial"/>
          <w:b/>
          <w:spacing w:val="-5"/>
          <w:sz w:val="24"/>
        </w:rPr>
        <w:t>155</w:t>
      </w:r>
    </w:p>
    <w:p>
      <w:pPr>
        <w:pStyle w:val="BodyText"/>
        <w:spacing w:line="235" w:lineRule="auto" w:before="203"/>
        <w:ind w:left="165" w:right="167"/>
        <w:jc w:val="both"/>
      </w:pPr>
      <w:r>
        <w:rPr/>
        <w:t>The present discussion will start by looking briefly at the older authorities which governed the issue </w:t>
      </w:r>
      <w:r>
        <w:rPr/>
        <w:t>of concurrence</w:t>
      </w:r>
      <w:r>
        <w:rPr>
          <w:spacing w:val="-1"/>
        </w:rPr>
        <w:t> </w:t>
      </w:r>
      <w:r>
        <w:rPr/>
        <w:t>of</w:t>
      </w:r>
      <w:r>
        <w:rPr>
          <w:spacing w:val="-1"/>
        </w:rPr>
        <w:t> </w:t>
      </w:r>
      <w:r>
        <w:rPr/>
        <w:t>actions</w:t>
      </w:r>
      <w:r>
        <w:rPr>
          <w:spacing w:val="-1"/>
        </w:rPr>
        <w:t> </w:t>
      </w:r>
      <w:r>
        <w:rPr/>
        <w:t>in</w:t>
      </w:r>
      <w:r>
        <w:rPr>
          <w:spacing w:val="-1"/>
        </w:rPr>
        <w:t> </w:t>
      </w:r>
      <w:r>
        <w:rPr/>
        <w:t>contract</w:t>
      </w:r>
      <w:r>
        <w:rPr>
          <w:spacing w:val="-1"/>
        </w:rPr>
        <w:t> </w:t>
      </w:r>
      <w:r>
        <w:rPr/>
        <w:t>and</w:t>
      </w:r>
      <w:r>
        <w:rPr>
          <w:spacing w:val="-1"/>
        </w:rPr>
        <w:t> </w:t>
      </w:r>
      <w:r>
        <w:rPr/>
        <w:t>tort;</w:t>
      </w:r>
      <w:r>
        <w:rPr>
          <w:spacing w:val="-1"/>
        </w:rPr>
        <w:t> </w:t>
      </w:r>
      <w:r>
        <w:rPr/>
        <w:t>it</w:t>
      </w:r>
      <w:r>
        <w:rPr>
          <w:spacing w:val="-1"/>
        </w:rPr>
        <w:t> </w:t>
      </w:r>
      <w:r>
        <w:rPr/>
        <w:t>will</w:t>
      </w:r>
      <w:r>
        <w:rPr>
          <w:spacing w:val="-1"/>
        </w:rPr>
        <w:t> </w:t>
      </w:r>
      <w:r>
        <w:rPr/>
        <w:t>then</w:t>
      </w:r>
      <w:r>
        <w:rPr>
          <w:spacing w:val="-1"/>
        </w:rPr>
        <w:t> </w:t>
      </w:r>
      <w:r>
        <w:rPr/>
        <w:t>state</w:t>
      </w:r>
      <w:r>
        <w:rPr>
          <w:spacing w:val="-1"/>
        </w:rPr>
        <w:t> </w:t>
      </w:r>
      <w:r>
        <w:rPr/>
        <w:t>the</w:t>
      </w:r>
      <w:r>
        <w:rPr>
          <w:spacing w:val="-1"/>
        </w:rPr>
        <w:t> </w:t>
      </w:r>
      <w:r>
        <w:rPr/>
        <w:t>modern</w:t>
      </w:r>
      <w:r>
        <w:rPr>
          <w:spacing w:val="-1"/>
        </w:rPr>
        <w:t> </w:t>
      </w:r>
      <w:r>
        <w:rPr/>
        <w:t>law</w:t>
      </w:r>
      <w:r>
        <w:rPr>
          <w:spacing w:val="-1"/>
        </w:rPr>
        <w:t> </w:t>
      </w:r>
      <w:r>
        <w:rPr/>
        <w:t>allowing</w:t>
      </w:r>
      <w:r>
        <w:rPr>
          <w:spacing w:val="-1"/>
        </w:rPr>
        <w:t> </w:t>
      </w:r>
      <w:r>
        <w:rPr/>
        <w:t>an</w:t>
      </w:r>
      <w:r>
        <w:rPr>
          <w:spacing w:val="-1"/>
        </w:rPr>
        <w:t> </w:t>
      </w:r>
      <w:r>
        <w:rPr/>
        <w:t>option,</w:t>
      </w:r>
      <w:r>
        <w:rPr>
          <w:spacing w:val="-1"/>
        </w:rPr>
        <w:t> </w:t>
      </w:r>
      <w:r>
        <w:rPr/>
        <w:t>first</w:t>
      </w:r>
      <w:r>
        <w:rPr>
          <w:spacing w:val="-1"/>
        </w:rPr>
        <w:t> </w:t>
      </w:r>
      <w:r>
        <w:rPr/>
        <w:t>as regards pre-contractual liability and then as regards liability for torts committed in the course of performance of a contract; as to the latter, it will discuss the breadth of the principle of “assumption of responsibility” recognised in </w:t>
      </w:r>
      <w:r>
        <w:rPr>
          <w:rFonts w:ascii="Arial" w:hAnsi="Arial"/>
          <w:i/>
        </w:rPr>
        <w:t>Henderson v Merrett Syndicates Ltd</w:t>
      </w:r>
      <w:r>
        <w:rPr/>
        <w:t>, and the nature and ambit of the qualifications on the option and on the effects which its exercise will entail.</w:t>
      </w:r>
    </w:p>
    <w:p>
      <w:pPr>
        <w:pStyle w:val="BodyText"/>
      </w:pPr>
    </w:p>
    <w:p>
      <w:pPr>
        <w:pStyle w:val="BodyText"/>
        <w:spacing w:before="36"/>
      </w:pPr>
    </w:p>
    <w:p>
      <w:pPr>
        <w:spacing w:before="0"/>
        <w:ind w:left="165" w:right="0" w:firstLine="0"/>
        <w:jc w:val="left"/>
        <w:rPr>
          <w:rFonts w:ascii="Arial"/>
          <w:b/>
          <w:sz w:val="18"/>
        </w:rPr>
      </w:pPr>
      <w:r>
        <w:rPr>
          <w:rFonts w:ascii="Arial"/>
          <w:b/>
          <w:sz w:val="18"/>
        </w:rPr>
        <w:t>Older </w:t>
      </w:r>
      <w:r>
        <w:rPr>
          <w:rFonts w:ascii="Arial"/>
          <w:b/>
          <w:spacing w:val="-2"/>
          <w:sz w:val="18"/>
        </w:rPr>
        <w:t>authorities</w:t>
      </w:r>
    </w:p>
    <w:p>
      <w:pPr>
        <w:spacing w:after="0"/>
        <w:jc w:val="left"/>
        <w:rPr>
          <w:rFonts w:ascii="Arial"/>
          <w:b/>
          <w:sz w:val="18"/>
        </w:rPr>
        <w:sectPr>
          <w:headerReference w:type="default" r:id="rId45"/>
          <w:pgSz w:w="11900" w:h="16840"/>
          <w:pgMar w:header="971" w:footer="0" w:top="1300" w:bottom="280" w:left="1275" w:right="1275"/>
          <w:pgNumType w:start="1"/>
        </w:sectPr>
      </w:pPr>
    </w:p>
    <w:p>
      <w:pPr>
        <w:spacing w:before="262"/>
        <w:ind w:left="165" w:right="0" w:firstLine="0"/>
        <w:jc w:val="left"/>
        <w:rPr>
          <w:rFonts w:ascii="Arial"/>
          <w:b/>
          <w:sz w:val="24"/>
        </w:rPr>
      </w:pPr>
      <w:r>
        <w:rPr>
          <w:rFonts w:ascii="Arial"/>
          <w:b/>
          <w:sz w:val="24"/>
        </w:rPr>
        <w:t>1-</w:t>
      </w:r>
      <w:r>
        <w:rPr>
          <w:rFonts w:ascii="Arial"/>
          <w:b/>
          <w:spacing w:val="-5"/>
          <w:sz w:val="24"/>
        </w:rPr>
        <w:t>156</w:t>
      </w:r>
    </w:p>
    <w:p>
      <w:pPr>
        <w:pStyle w:val="BodyText"/>
        <w:spacing w:line="235" w:lineRule="auto" w:before="202"/>
        <w:ind w:left="165" w:right="167"/>
        <w:jc w:val="both"/>
      </w:pPr>
      <w:r>
        <w:rPr/>
        <w:t>Disputes as to the availability of an action in tort against one’s fellow contractor are not new </w:t>
      </w:r>
      <w:r>
        <w:rPr/>
        <w:t>and before the reforms of common law procedure of the mid-nineteenth century three positions can be detected in the cases. The first was that a plaintiff could neither join a claim in tort with one in contract in the same action nor opt whether to sue in tort when there was a contract between the parties. For example,</w:t>
      </w:r>
      <w:r>
        <w:rPr>
          <w:spacing w:val="-2"/>
        </w:rPr>
        <w:t> </w:t>
      </w:r>
      <w:r>
        <w:rPr/>
        <w:t>in</w:t>
      </w:r>
      <w:r>
        <w:rPr>
          <w:spacing w:val="-3"/>
        </w:rPr>
        <w:t> </w:t>
      </w:r>
      <w:r>
        <w:rPr>
          <w:rFonts w:ascii="Arial" w:hAnsi="Arial"/>
          <w:i/>
        </w:rPr>
        <w:t>Orton</w:t>
      </w:r>
      <w:r>
        <w:rPr>
          <w:rFonts w:ascii="Arial" w:hAnsi="Arial"/>
          <w:i/>
          <w:spacing w:val="-2"/>
        </w:rPr>
        <w:t> </w:t>
      </w:r>
      <w:r>
        <w:rPr>
          <w:rFonts w:ascii="Arial" w:hAnsi="Arial"/>
          <w:i/>
        </w:rPr>
        <w:t>v</w:t>
      </w:r>
      <w:r>
        <w:rPr>
          <w:rFonts w:ascii="Arial" w:hAnsi="Arial"/>
          <w:i/>
          <w:spacing w:val="-2"/>
        </w:rPr>
        <w:t> </w:t>
      </w:r>
      <w:r>
        <w:rPr>
          <w:rFonts w:ascii="Arial" w:hAnsi="Arial"/>
          <w:i/>
        </w:rPr>
        <w:t>Butler</w:t>
      </w:r>
      <w:r>
        <w:rPr/>
        <w:t>,</w:t>
      </w:r>
      <w:r>
        <w:rPr>
          <w:spacing w:val="-2"/>
        </w:rPr>
        <w:t> </w:t>
      </w:r>
      <w:r>
        <w:rPr>
          <w:color w:val="005DA1"/>
          <w:u w:val="single" w:color="005DA1"/>
          <w:vertAlign w:val="superscript"/>
        </w:rPr>
        <w:t>1079</w:t>
      </w:r>
      <w:r>
        <w:rPr>
          <w:color w:val="005DA1"/>
          <w:spacing w:val="-2"/>
          <w:vertAlign w:val="baseline"/>
        </w:rPr>
        <w:t> </w:t>
      </w:r>
      <w:r>
        <w:rPr>
          <w:vertAlign w:val="baseline"/>
        </w:rPr>
        <w:t>Best</w:t>
      </w:r>
      <w:r>
        <w:rPr>
          <w:spacing w:val="-2"/>
          <w:vertAlign w:val="baseline"/>
        </w:rPr>
        <w:t> </w:t>
      </w:r>
      <w:r>
        <w:rPr>
          <w:vertAlign w:val="baseline"/>
        </w:rPr>
        <w:t>J.</w:t>
      </w:r>
      <w:r>
        <w:rPr>
          <w:spacing w:val="-2"/>
          <w:vertAlign w:val="baseline"/>
        </w:rPr>
        <w:t> </w:t>
      </w:r>
      <w:r>
        <w:rPr>
          <w:vertAlign w:val="baseline"/>
        </w:rPr>
        <w:t>refused</w:t>
      </w:r>
      <w:r>
        <w:rPr>
          <w:spacing w:val="-2"/>
          <w:vertAlign w:val="baseline"/>
        </w:rPr>
        <w:t> </w:t>
      </w:r>
      <w:r>
        <w:rPr>
          <w:vertAlign w:val="baseline"/>
        </w:rPr>
        <w:t>to</w:t>
      </w:r>
      <w:r>
        <w:rPr>
          <w:spacing w:val="-2"/>
          <w:vertAlign w:val="baseline"/>
        </w:rPr>
        <w:t> </w:t>
      </w:r>
      <w:r>
        <w:rPr>
          <w:vertAlign w:val="baseline"/>
        </w:rPr>
        <w:t>allow</w:t>
      </w:r>
      <w:r>
        <w:rPr>
          <w:spacing w:val="-2"/>
          <w:vertAlign w:val="baseline"/>
        </w:rPr>
        <w:t> </w:t>
      </w:r>
      <w:r>
        <w:rPr>
          <w:vertAlign w:val="baseline"/>
        </w:rPr>
        <w:t>the</w:t>
      </w:r>
      <w:r>
        <w:rPr>
          <w:spacing w:val="-2"/>
          <w:vertAlign w:val="baseline"/>
        </w:rPr>
        <w:t> </w:t>
      </w:r>
      <w:r>
        <w:rPr>
          <w:vertAlign w:val="baseline"/>
        </w:rPr>
        <w:t>joining</w:t>
      </w:r>
      <w:r>
        <w:rPr>
          <w:spacing w:val="-2"/>
          <w:vertAlign w:val="baseline"/>
        </w:rPr>
        <w:t> </w:t>
      </w:r>
      <w:r>
        <w:rPr>
          <w:vertAlign w:val="baseline"/>
        </w:rPr>
        <w:t>of</w:t>
      </w:r>
      <w:r>
        <w:rPr>
          <w:spacing w:val="-2"/>
          <w:vertAlign w:val="baseline"/>
        </w:rPr>
        <w:t> </w:t>
      </w:r>
      <w:r>
        <w:rPr>
          <w:vertAlign w:val="baseline"/>
        </w:rPr>
        <w:t>actions</w:t>
      </w:r>
      <w:r>
        <w:rPr>
          <w:spacing w:val="-2"/>
          <w:vertAlign w:val="baseline"/>
        </w:rPr>
        <w:t> </w:t>
      </w:r>
      <w:r>
        <w:rPr>
          <w:vertAlign w:val="baseline"/>
        </w:rPr>
        <w:t>in</w:t>
      </w:r>
      <w:r>
        <w:rPr>
          <w:spacing w:val="-2"/>
          <w:vertAlign w:val="baseline"/>
        </w:rPr>
        <w:t> </w:t>
      </w:r>
      <w:r>
        <w:rPr>
          <w:vertAlign w:val="baseline"/>
        </w:rPr>
        <w:t>trover</w:t>
      </w:r>
      <w:r>
        <w:rPr>
          <w:spacing w:val="-2"/>
          <w:vertAlign w:val="baseline"/>
        </w:rPr>
        <w:t> </w:t>
      </w:r>
      <w:r>
        <w:rPr>
          <w:vertAlign w:val="baseline"/>
        </w:rPr>
        <w:t>(tort)</w:t>
      </w:r>
      <w:r>
        <w:rPr>
          <w:spacing w:val="-2"/>
          <w:vertAlign w:val="baseline"/>
        </w:rPr>
        <w:t> </w:t>
      </w:r>
      <w:r>
        <w:rPr>
          <w:vertAlign w:val="baseline"/>
        </w:rPr>
        <w:t>and</w:t>
      </w:r>
      <w:r>
        <w:rPr>
          <w:spacing w:val="-2"/>
          <w:vertAlign w:val="baseline"/>
        </w:rPr>
        <w:t> </w:t>
      </w:r>
      <w:r>
        <w:rPr>
          <w:vertAlign w:val="baseline"/>
        </w:rPr>
        <w:t>money had and received (contract), stating that:</w:t>
      </w:r>
    </w:p>
    <w:p>
      <w:pPr>
        <w:pStyle w:val="BodyText"/>
      </w:pPr>
    </w:p>
    <w:p>
      <w:pPr>
        <w:pStyle w:val="BodyText"/>
        <w:spacing w:before="125"/>
      </w:pPr>
    </w:p>
    <w:p>
      <w:pPr>
        <w:pStyle w:val="BodyText"/>
        <w:spacing w:line="235" w:lineRule="auto"/>
        <w:ind w:left="1245" w:right="167"/>
        <w:jc w:val="both"/>
      </w:pPr>
      <w:r>
        <w:rPr/>
        <w:t>“There is a broad distinction between actions ex contractu and ex delicto. Here, it </w:t>
      </w:r>
      <w:r>
        <w:rPr/>
        <w:t>arises out of breach of a contract, and the party ought not to be allowed to proceed in the present mode of framing his count [</w:t>
      </w:r>
      <w:r>
        <w:rPr>
          <w:rFonts w:ascii="Arial" w:hAnsi="Arial"/>
          <w:i/>
        </w:rPr>
        <w:t>sc</w:t>
      </w:r>
      <w:r>
        <w:rPr/>
        <w:t>. claim] ex delicto.” </w:t>
      </w:r>
      <w:r>
        <w:rPr>
          <w:color w:val="005DA1"/>
          <w:u w:val="single" w:color="005DA1"/>
          <w:vertAlign w:val="superscript"/>
        </w:rPr>
        <w:t>1080</w:t>
      </w:r>
    </w:p>
    <w:p>
      <w:pPr>
        <w:pStyle w:val="BodyText"/>
        <w:spacing w:before="115"/>
      </w:pPr>
    </w:p>
    <w:p>
      <w:pPr>
        <w:pStyle w:val="BodyText"/>
        <w:spacing w:line="235" w:lineRule="auto"/>
        <w:ind w:left="165" w:right="167"/>
        <w:jc w:val="both"/>
      </w:pPr>
      <w:r>
        <w:rPr/>
        <w:t>Other cases distinguished between the rules against joinder of counts in contract and tort and the question whether a plaintiff was entitled to opt on which of the two bases to put his claim, </w:t>
      </w:r>
      <w:r>
        <w:rPr>
          <w:color w:val="005DA1"/>
          <w:u w:val="single" w:color="005DA1"/>
          <w:vertAlign w:val="superscript"/>
        </w:rPr>
        <w:t>1081</w:t>
      </w:r>
      <w:r>
        <w:rPr>
          <w:color w:val="005DA1"/>
          <w:vertAlign w:val="baseline"/>
        </w:rPr>
        <w:t> </w:t>
      </w:r>
      <w:r>
        <w:rPr>
          <w:vertAlign w:val="baseline"/>
        </w:rPr>
        <w:t>some expressly recognising the validity of the option. Moreover, where they did it was acknowledged that the plaintiff’s choice would affect the rules applicable to his claim. As Abbott J. observed:</w:t>
      </w:r>
    </w:p>
    <w:p>
      <w:pPr>
        <w:pStyle w:val="BodyText"/>
      </w:pPr>
    </w:p>
    <w:p>
      <w:pPr>
        <w:pStyle w:val="BodyText"/>
        <w:spacing w:before="125"/>
      </w:pPr>
    </w:p>
    <w:p>
      <w:pPr>
        <w:pStyle w:val="BodyText"/>
        <w:spacing w:line="235" w:lineRule="auto" w:before="1"/>
        <w:ind w:left="1245" w:right="167"/>
        <w:jc w:val="both"/>
      </w:pPr>
      <w:r>
        <w:rPr/>
        <w:t>“There is nothing to compel a plaintiff to elect that form which may be most convenient </w:t>
      </w:r>
      <w:r>
        <w:rPr/>
        <w:t>to the defendant. The very notion of election imports that the plaintiff may exercise it for his own benefit.” </w:t>
      </w:r>
      <w:r>
        <w:rPr>
          <w:color w:val="005DA1"/>
          <w:u w:val="single" w:color="005DA1"/>
          <w:vertAlign w:val="superscript"/>
        </w:rPr>
        <w:t>1082</w:t>
      </w:r>
    </w:p>
    <w:p>
      <w:pPr>
        <w:pStyle w:val="BodyText"/>
        <w:spacing w:before="115"/>
      </w:pPr>
    </w:p>
    <w:p>
      <w:pPr>
        <w:pStyle w:val="BodyText"/>
        <w:spacing w:line="235" w:lineRule="auto"/>
        <w:ind w:left="165" w:right="167"/>
        <w:jc w:val="both"/>
      </w:pPr>
      <w:r>
        <w:rPr/>
        <w:t>At</w:t>
      </w:r>
      <w:r>
        <w:rPr>
          <w:spacing w:val="-2"/>
        </w:rPr>
        <w:t> </w:t>
      </w:r>
      <w:r>
        <w:rPr/>
        <w:t>the</w:t>
      </w:r>
      <w:r>
        <w:rPr>
          <w:spacing w:val="-2"/>
        </w:rPr>
        <w:t> </w:t>
      </w:r>
      <w:r>
        <w:rPr/>
        <w:t>time,</w:t>
      </w:r>
      <w:r>
        <w:rPr>
          <w:spacing w:val="-2"/>
        </w:rPr>
        <w:t> </w:t>
      </w:r>
      <w:r>
        <w:rPr/>
        <w:t>those</w:t>
      </w:r>
      <w:r>
        <w:rPr>
          <w:spacing w:val="-2"/>
        </w:rPr>
        <w:t> </w:t>
      </w:r>
      <w:r>
        <w:rPr/>
        <w:t>courts</w:t>
      </w:r>
      <w:r>
        <w:rPr>
          <w:spacing w:val="-2"/>
        </w:rPr>
        <w:t> </w:t>
      </w:r>
      <w:r>
        <w:rPr/>
        <w:t>which</w:t>
      </w:r>
      <w:r>
        <w:rPr>
          <w:spacing w:val="-2"/>
        </w:rPr>
        <w:t> </w:t>
      </w:r>
      <w:r>
        <w:rPr/>
        <w:t>allowed</w:t>
      </w:r>
      <w:r>
        <w:rPr>
          <w:spacing w:val="-2"/>
        </w:rPr>
        <w:t> </w:t>
      </w:r>
      <w:r>
        <w:rPr/>
        <w:t>an</w:t>
      </w:r>
      <w:r>
        <w:rPr>
          <w:spacing w:val="-2"/>
        </w:rPr>
        <w:t> </w:t>
      </w:r>
      <w:r>
        <w:rPr/>
        <w:t>option</w:t>
      </w:r>
      <w:r>
        <w:rPr>
          <w:spacing w:val="-2"/>
        </w:rPr>
        <w:t> </w:t>
      </w:r>
      <w:r>
        <w:rPr/>
        <w:t>between</w:t>
      </w:r>
      <w:r>
        <w:rPr>
          <w:spacing w:val="-2"/>
        </w:rPr>
        <w:t> </w:t>
      </w:r>
      <w:r>
        <w:rPr/>
        <w:t>contract</w:t>
      </w:r>
      <w:r>
        <w:rPr>
          <w:spacing w:val="-2"/>
        </w:rPr>
        <w:t> </w:t>
      </w:r>
      <w:r>
        <w:rPr/>
        <w:t>and</w:t>
      </w:r>
      <w:r>
        <w:rPr>
          <w:spacing w:val="-2"/>
        </w:rPr>
        <w:t> </w:t>
      </w:r>
      <w:r>
        <w:rPr/>
        <w:t>tort</w:t>
      </w:r>
      <w:r>
        <w:rPr>
          <w:spacing w:val="-2"/>
        </w:rPr>
        <w:t> </w:t>
      </w:r>
      <w:r>
        <w:rPr/>
        <w:t>thereby</w:t>
      </w:r>
      <w:r>
        <w:rPr>
          <w:spacing w:val="-2"/>
        </w:rPr>
        <w:t> </w:t>
      </w:r>
      <w:r>
        <w:rPr/>
        <w:t>enabled</w:t>
      </w:r>
      <w:r>
        <w:rPr>
          <w:spacing w:val="-2"/>
        </w:rPr>
        <w:t> </w:t>
      </w:r>
      <w:r>
        <w:rPr/>
        <w:t>a</w:t>
      </w:r>
      <w:r>
        <w:rPr>
          <w:spacing w:val="-2"/>
        </w:rPr>
        <w:t> </w:t>
      </w:r>
      <w:r>
        <w:rPr/>
        <w:t>plaintiff to avoid in particular the rules against transmissibility of actions on death which applied to actions in tort </w:t>
      </w:r>
      <w:r>
        <w:rPr>
          <w:color w:val="005DA1"/>
          <w:u w:val="single" w:color="005DA1"/>
          <w:vertAlign w:val="superscript"/>
        </w:rPr>
        <w:t>1083</w:t>
      </w:r>
      <w:r>
        <w:rPr>
          <w:color w:val="005DA1"/>
          <w:vertAlign w:val="baseline"/>
        </w:rPr>
        <w:t> </w:t>
      </w:r>
      <w:r>
        <w:rPr>
          <w:vertAlign w:val="baseline"/>
        </w:rPr>
        <w:t>or the rules of joinder of parties to litigation which applied to actions in contract. </w:t>
      </w:r>
      <w:r>
        <w:rPr>
          <w:color w:val="005DA1"/>
          <w:u w:val="single" w:color="005DA1"/>
          <w:vertAlign w:val="superscript"/>
        </w:rPr>
        <w:t>1084</w:t>
      </w:r>
      <w:r>
        <w:rPr>
          <w:color w:val="005DA1"/>
          <w:vertAlign w:val="baseline"/>
        </w:rPr>
        <w:t> </w:t>
      </w:r>
      <w:r>
        <w:rPr>
          <w:vertAlign w:val="baseline"/>
        </w:rPr>
        <w:t>However, the courts did not allow the plaintiff’s option to avoid certain other rules which applied to contract, notably, those as to capacity, </w:t>
      </w:r>
      <w:r>
        <w:rPr>
          <w:color w:val="005DA1"/>
          <w:u w:val="single" w:color="005DA1"/>
          <w:vertAlign w:val="superscript"/>
        </w:rPr>
        <w:t>1085</w:t>
      </w:r>
      <w:r>
        <w:rPr>
          <w:color w:val="005DA1"/>
          <w:vertAlign w:val="baseline"/>
        </w:rPr>
        <w:t> </w:t>
      </w:r>
      <w:r>
        <w:rPr>
          <w:vertAlign w:val="baseline"/>
        </w:rPr>
        <w:t>nor the express terms of a contract, notably, limitation clauses. </w:t>
      </w:r>
      <w:r>
        <w:rPr>
          <w:color w:val="005DA1"/>
          <w:u w:val="single" w:color="005DA1"/>
          <w:vertAlign w:val="superscript"/>
        </w:rPr>
        <w:t>1086</w:t>
      </w:r>
    </w:p>
    <w:p>
      <w:pPr>
        <w:pStyle w:val="BodyText"/>
        <w:spacing w:before="80"/>
      </w:pPr>
    </w:p>
    <w:p>
      <w:pPr>
        <w:spacing w:before="0"/>
        <w:ind w:left="165" w:right="0" w:firstLine="0"/>
        <w:jc w:val="left"/>
        <w:rPr>
          <w:rFonts w:ascii="Arial"/>
          <w:b/>
          <w:sz w:val="24"/>
        </w:rPr>
      </w:pPr>
      <w:r>
        <w:rPr>
          <w:rFonts w:ascii="Arial"/>
          <w:b/>
          <w:sz w:val="24"/>
        </w:rPr>
        <w:t>1-</w:t>
      </w:r>
      <w:r>
        <w:rPr>
          <w:rFonts w:ascii="Arial"/>
          <w:b/>
          <w:spacing w:val="-5"/>
          <w:sz w:val="24"/>
        </w:rPr>
        <w:t>157</w:t>
      </w:r>
    </w:p>
    <w:p>
      <w:pPr>
        <w:pStyle w:val="BodyText"/>
        <w:spacing w:line="235" w:lineRule="auto" w:before="202"/>
        <w:ind w:left="165" w:right="167"/>
        <w:jc w:val="both"/>
      </w:pPr>
      <w:r>
        <w:rPr/>
        <w:t>The</w:t>
      </w:r>
      <w:r>
        <w:rPr>
          <w:spacing w:val="-2"/>
        </w:rPr>
        <w:t> </w:t>
      </w:r>
      <w:r>
        <w:rPr/>
        <w:t>third</w:t>
      </w:r>
      <w:r>
        <w:rPr>
          <w:spacing w:val="-2"/>
        </w:rPr>
        <w:t> </w:t>
      </w:r>
      <w:r>
        <w:rPr/>
        <w:t>approach</w:t>
      </w:r>
      <w:r>
        <w:rPr>
          <w:spacing w:val="-2"/>
        </w:rPr>
        <w:t> </w:t>
      </w:r>
      <w:r>
        <w:rPr/>
        <w:t>to</w:t>
      </w:r>
      <w:r>
        <w:rPr>
          <w:spacing w:val="-2"/>
        </w:rPr>
        <w:t> </w:t>
      </w:r>
      <w:r>
        <w:rPr/>
        <w:t>the</w:t>
      </w:r>
      <w:r>
        <w:rPr>
          <w:spacing w:val="-2"/>
        </w:rPr>
        <w:t> </w:t>
      </w:r>
      <w:r>
        <w:rPr/>
        <w:t>relationship</w:t>
      </w:r>
      <w:r>
        <w:rPr>
          <w:spacing w:val="-2"/>
        </w:rPr>
        <w:t> </w:t>
      </w:r>
      <w:r>
        <w:rPr/>
        <w:t>between</w:t>
      </w:r>
      <w:r>
        <w:rPr>
          <w:spacing w:val="-2"/>
        </w:rPr>
        <w:t> </w:t>
      </w:r>
      <w:r>
        <w:rPr/>
        <w:t>actions</w:t>
      </w:r>
      <w:r>
        <w:rPr>
          <w:spacing w:val="-2"/>
        </w:rPr>
        <w:t> </w:t>
      </w:r>
      <w:r>
        <w:rPr/>
        <w:t>in</w:t>
      </w:r>
      <w:r>
        <w:rPr>
          <w:spacing w:val="-2"/>
        </w:rPr>
        <w:t> </w:t>
      </w:r>
      <w:r>
        <w:rPr/>
        <w:t>contract</w:t>
      </w:r>
      <w:r>
        <w:rPr>
          <w:spacing w:val="-2"/>
        </w:rPr>
        <w:t> </w:t>
      </w:r>
      <w:r>
        <w:rPr/>
        <w:t>and</w:t>
      </w:r>
      <w:r>
        <w:rPr>
          <w:spacing w:val="-2"/>
        </w:rPr>
        <w:t> </w:t>
      </w:r>
      <w:r>
        <w:rPr/>
        <w:t>tort</w:t>
      </w:r>
      <w:r>
        <w:rPr>
          <w:spacing w:val="-2"/>
        </w:rPr>
        <w:t> </w:t>
      </w:r>
      <w:r>
        <w:rPr/>
        <w:t>can</w:t>
      </w:r>
      <w:r>
        <w:rPr>
          <w:spacing w:val="-2"/>
        </w:rPr>
        <w:t> </w:t>
      </w:r>
      <w:r>
        <w:rPr/>
        <w:t>be</w:t>
      </w:r>
      <w:r>
        <w:rPr>
          <w:spacing w:val="-2"/>
        </w:rPr>
        <w:t> </w:t>
      </w:r>
      <w:r>
        <w:rPr/>
        <w:t>seen</w:t>
      </w:r>
      <w:r>
        <w:rPr>
          <w:spacing w:val="-2"/>
        </w:rPr>
        <w:t> </w:t>
      </w:r>
      <w:r>
        <w:rPr/>
        <w:t>in</w:t>
      </w:r>
      <w:r>
        <w:rPr>
          <w:spacing w:val="-2"/>
        </w:rPr>
        <w:t> </w:t>
      </w:r>
      <w:r>
        <w:rPr/>
        <w:t>the</w:t>
      </w:r>
      <w:r>
        <w:rPr>
          <w:spacing w:val="-2"/>
        </w:rPr>
        <w:t> </w:t>
      </w:r>
      <w:r>
        <w:rPr/>
        <w:t>decision in </w:t>
      </w:r>
      <w:r>
        <w:rPr>
          <w:rFonts w:ascii="Arial" w:hAnsi="Arial"/>
          <w:i/>
        </w:rPr>
        <w:t>Brown v Boorman</w:t>
      </w:r>
      <w:r>
        <w:rPr/>
        <w:t>. </w:t>
      </w:r>
      <w:r>
        <w:rPr>
          <w:color w:val="005DA1"/>
          <w:u w:val="single" w:color="005DA1"/>
          <w:vertAlign w:val="superscript"/>
        </w:rPr>
        <w:t>1087</w:t>
      </w:r>
      <w:r>
        <w:rPr>
          <w:color w:val="005DA1"/>
          <w:vertAlign w:val="baseline"/>
        </w:rPr>
        <w:t> </w:t>
      </w:r>
      <w:r>
        <w:rPr>
          <w:vertAlign w:val="baseline"/>
        </w:rPr>
        <w:t>The plaintiffs retained the defendant as broker to sell their linseed oil on commission. This he did, but in breach of contract delivered it without payment and to the wrong (and later insolvent) person. The plaintiffs sued in case (i.e. tort), contending that the broker owed them a duty at common law to take reasonable care based on his trade or calling. The defendant countered that their proper form of action should have been </w:t>
      </w:r>
      <w:r>
        <w:rPr>
          <w:rFonts w:ascii="Arial" w:hAnsi="Arial"/>
          <w:i/>
          <w:vertAlign w:val="baseline"/>
        </w:rPr>
        <w:t>assumpsit </w:t>
      </w:r>
      <w:r>
        <w:rPr>
          <w:vertAlign w:val="baseline"/>
        </w:rPr>
        <w:t>(i.e. contract). The House of </w:t>
      </w:r>
      <w:r>
        <w:rPr>
          <w:vertAlign w:val="baseline"/>
        </w:rPr>
        <w:t>Lords</w:t>
      </w:r>
      <w:r>
        <w:rPr>
          <w:spacing w:val="80"/>
          <w:vertAlign w:val="baseline"/>
        </w:rPr>
        <w:t> </w:t>
      </w:r>
      <w:r>
        <w:rPr>
          <w:vertAlign w:val="baseline"/>
        </w:rPr>
        <w:t>upheld Tindal C.J.’s judgment for the plaintiffs, Lord Campbell stating that:</w:t>
      </w:r>
    </w:p>
    <w:p>
      <w:pPr>
        <w:pStyle w:val="BodyText"/>
      </w:pPr>
    </w:p>
    <w:p>
      <w:pPr>
        <w:pStyle w:val="BodyText"/>
        <w:spacing w:before="124"/>
      </w:pPr>
    </w:p>
    <w:p>
      <w:pPr>
        <w:pStyle w:val="BodyText"/>
        <w:spacing w:line="235" w:lineRule="auto" w:before="1"/>
        <w:ind w:left="1245" w:right="167"/>
        <w:jc w:val="both"/>
      </w:pPr>
      <w:r>
        <w:rPr/>
        <w:t>“… wherever there is a contract, and something to be done in the course of the employment which is the subject of that contract, if there is a breach of a duty in the course of that employment, the plaintiff may either recover in tort or in contract.” </w:t>
      </w:r>
      <w:r>
        <w:rPr>
          <w:color w:val="005DA1"/>
          <w:u w:val="single" w:color="005DA1"/>
          <w:vertAlign w:val="superscript"/>
        </w:rPr>
        <w:t>1088</w:t>
      </w:r>
    </w:p>
    <w:p>
      <w:pPr>
        <w:pStyle w:val="BodyText"/>
        <w:spacing w:before="115"/>
      </w:pPr>
    </w:p>
    <w:p>
      <w:pPr>
        <w:pStyle w:val="BodyText"/>
        <w:spacing w:line="235" w:lineRule="auto"/>
        <w:ind w:left="165" w:right="167"/>
        <w:jc w:val="both"/>
      </w:pPr>
      <w:r>
        <w:rPr/>
        <w:t>It is difficult not to agree with the defendant’s contention that such an approach “would </w:t>
      </w:r>
      <w:r>
        <w:rPr/>
        <w:t>altogether destroy the distinction between </w:t>
      </w:r>
      <w:r>
        <w:rPr>
          <w:rFonts w:ascii="Arial" w:hAnsi="Arial"/>
          <w:i/>
        </w:rPr>
        <w:t>assumpsit </w:t>
      </w:r>
      <w:r>
        <w:rPr/>
        <w:t>[i.e. contract] and tort”, </w:t>
      </w:r>
      <w:r>
        <w:rPr>
          <w:color w:val="005DA1"/>
          <w:u w:val="single" w:color="005DA1"/>
          <w:vertAlign w:val="superscript"/>
        </w:rPr>
        <w:t>1089</w:t>
      </w:r>
      <w:r>
        <w:rPr>
          <w:color w:val="005DA1"/>
          <w:vertAlign w:val="baseline"/>
        </w:rPr>
        <w:t> </w:t>
      </w:r>
      <w:r>
        <w:rPr>
          <w:vertAlign w:val="baseline"/>
        </w:rPr>
        <w:t>as it suggests that the option to plead in tort or contract exists in </w:t>
      </w:r>
      <w:r>
        <w:rPr>
          <w:rFonts w:ascii="Arial" w:hAnsi="Arial"/>
          <w:i/>
          <w:vertAlign w:val="baseline"/>
        </w:rPr>
        <w:t>all </w:t>
      </w:r>
      <w:r>
        <w:rPr>
          <w:vertAlign w:val="baseline"/>
        </w:rPr>
        <w:t>situations of breach of contract and not merely in those where an independent cause of action exists in tort. However, this was not the fate of </w:t>
      </w:r>
      <w:r>
        <w:rPr>
          <w:rFonts w:ascii="Arial" w:hAnsi="Arial"/>
          <w:i/>
          <w:vertAlign w:val="baseline"/>
        </w:rPr>
        <w:t>Brown v Boorman</w:t>
      </w:r>
      <w:r>
        <w:rPr>
          <w:vertAlign w:val="baseline"/>
        </w:rPr>
        <w:t>. As Pollock stated </w:t>
      </w:r>
      <w:r>
        <w:rPr>
          <w:color w:val="005DA1"/>
          <w:u w:val="single" w:color="005DA1"/>
          <w:vertAlign w:val="superscript"/>
        </w:rPr>
        <w:t>1090</w:t>
      </w:r>
      <w:r>
        <w:rPr>
          <w:vertAlign w:val="baseline"/>
        </w:rPr>
        <w:t>:</w:t>
      </w:r>
    </w:p>
    <w:p>
      <w:pPr>
        <w:pStyle w:val="BodyText"/>
      </w:pPr>
    </w:p>
    <w:p>
      <w:pPr>
        <w:pStyle w:val="BodyText"/>
        <w:spacing w:before="125"/>
      </w:pPr>
    </w:p>
    <w:p>
      <w:pPr>
        <w:pStyle w:val="BodyText"/>
        <w:spacing w:line="235" w:lineRule="auto"/>
        <w:ind w:left="1245" w:right="167"/>
        <w:jc w:val="both"/>
      </w:pPr>
      <w:r>
        <w:rPr/>
        <w:t>“… notwithstanding the verbal laxity of one or two passages, the House of Lords did </w:t>
      </w:r>
      <w:r>
        <w:rPr/>
        <w:t>not authorize the parties to treat the mere non-performance of a promise as a substantive </w:t>
      </w:r>
      <w:r>
        <w:rPr>
          <w:spacing w:val="-2"/>
        </w:rPr>
        <w:t>tort.”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830" w:id="1832"/>
      <w:bookmarkEnd w:id="1832"/>
      <w:r>
        <w:rPr/>
      </w:r>
      <w:r>
        <w:rPr/>
        <w:t>Instead, the decision was relied on as authority for the existence of an option for the plaintiff as </w:t>
      </w:r>
      <w:r>
        <w:rPr/>
        <w:t>to whether to sue in tort as long as a distinct and independent action in tort exists. </w:t>
      </w:r>
      <w:r>
        <w:rPr>
          <w:color w:val="005DA1"/>
          <w:u w:val="single" w:color="005DA1"/>
          <w:vertAlign w:val="superscript"/>
        </w:rPr>
        <w:t>1091</w:t>
      </w:r>
    </w:p>
    <w:p>
      <w:pPr>
        <w:pStyle w:val="BodyText"/>
      </w:pPr>
    </w:p>
    <w:p>
      <w:pPr>
        <w:pStyle w:val="BodyText"/>
        <w:spacing w:before="38"/>
      </w:pPr>
    </w:p>
    <w:p>
      <w:pPr>
        <w:spacing w:before="0"/>
        <w:ind w:left="165" w:right="0" w:firstLine="0"/>
        <w:jc w:val="both"/>
        <w:rPr>
          <w:rFonts w:ascii="Arial"/>
          <w:b/>
          <w:sz w:val="18"/>
        </w:rPr>
      </w:pPr>
      <w:r>
        <w:rPr>
          <w:rFonts w:ascii="Arial"/>
          <w:b/>
          <w:sz w:val="18"/>
        </w:rPr>
        <w:t>The modern </w:t>
      </w:r>
      <w:r>
        <w:rPr>
          <w:rFonts w:ascii="Arial"/>
          <w:b/>
          <w:spacing w:val="-5"/>
          <w:sz w:val="18"/>
        </w:rPr>
        <w:t>law</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158</w:t>
      </w:r>
    </w:p>
    <w:p>
      <w:pPr>
        <w:pStyle w:val="BodyText"/>
        <w:spacing w:line="235" w:lineRule="auto" w:before="203"/>
        <w:ind w:left="165" w:right="167"/>
        <w:jc w:val="both"/>
      </w:pPr>
      <w:r>
        <w:rPr/>
        <w:t>In the modern law, a distinction can usefully be drawn between a claim by a party to a contract on </w:t>
      </w:r>
      <w:r>
        <w:rPr/>
        <w:t>the basis of a pre-contractual liability to be imposed on the other party and one based on a liability arising in the course of performance of the contract.</w:t>
      </w:r>
    </w:p>
    <w:p>
      <w:pPr>
        <w:pStyle w:val="BodyText"/>
      </w:pPr>
    </w:p>
    <w:p>
      <w:pPr>
        <w:pStyle w:val="BodyText"/>
        <w:spacing w:before="39"/>
      </w:pPr>
      <w:r>
        <w:rPr/>
        <mc:AlternateContent>
          <mc:Choice Requires="wps">
            <w:drawing>
              <wp:anchor distT="0" distB="0" distL="0" distR="0" allowOverlap="1" layoutInCell="1" locked="0" behindDoc="1" simplePos="0" relativeHeight="487691264">
                <wp:simplePos x="0" y="0"/>
                <wp:positionH relativeFrom="page">
                  <wp:posOffset>914400</wp:posOffset>
                </wp:positionH>
                <wp:positionV relativeFrom="paragraph">
                  <wp:posOffset>186109</wp:posOffset>
                </wp:positionV>
                <wp:extent cx="5724525" cy="1270"/>
                <wp:effectExtent l="0" t="0" r="0" b="0"/>
                <wp:wrapTopAndBottom/>
                <wp:docPr id="443" name="Graphic 443"/>
                <wp:cNvGraphicFramePr>
                  <a:graphicFrameLocks/>
                </wp:cNvGraphicFramePr>
                <a:graphic>
                  <a:graphicData uri="http://schemas.microsoft.com/office/word/2010/wordprocessingShape">
                    <wps:wsp>
                      <wps:cNvPr id="443" name="Graphic 44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4285pt;width:450.75pt;height:.1pt;mso-position-horizontal-relative:page;mso-position-vertical-relative:paragraph;z-index:-15625216;mso-wrap-distance-left:0;mso-wrap-distance-right:0" id="docshape77"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1469" w:hRule="atLeast"/>
        </w:trPr>
        <w:tc>
          <w:tcPr>
            <w:tcW w:w="496" w:type="dxa"/>
          </w:tcPr>
          <w:p>
            <w:pPr>
              <w:pStyle w:val="TableParagraph"/>
              <w:spacing w:before="0"/>
              <w:ind w:left="0" w:right="43"/>
              <w:rPr>
                <w:sz w:val="14"/>
              </w:rPr>
            </w:pPr>
            <w:r>
              <w:rPr>
                <w:color w:val="005DA1"/>
                <w:spacing w:val="-2"/>
                <w:sz w:val="14"/>
                <w:u w:val="single" w:color="005DA1"/>
              </w:rPr>
              <w:t>1074</w:t>
            </w:r>
            <w:r>
              <w:rPr>
                <w:spacing w:val="-2"/>
                <w:sz w:val="14"/>
              </w:rPr>
              <w:t>.</w:t>
            </w:r>
          </w:p>
        </w:tc>
        <w:tc>
          <w:tcPr>
            <w:tcW w:w="8620" w:type="dxa"/>
          </w:tcPr>
          <w:p>
            <w:pPr>
              <w:pStyle w:val="TableParagraph"/>
              <w:spacing w:line="221" w:lineRule="exact" w:before="0"/>
              <w:jc w:val="both"/>
              <w:rPr>
                <w:rFonts w:ascii="Arial"/>
                <w:i/>
                <w:sz w:val="20"/>
              </w:rPr>
            </w:pPr>
            <w:r>
              <w:rPr>
                <w:rFonts w:ascii="Arial"/>
                <w:i/>
                <w:sz w:val="20"/>
              </w:rPr>
              <w:t>[1995]</w:t>
            </w:r>
            <w:r>
              <w:rPr>
                <w:rFonts w:ascii="Arial"/>
                <w:i/>
                <w:spacing w:val="29"/>
                <w:sz w:val="20"/>
              </w:rPr>
              <w:t> </w:t>
            </w:r>
            <w:r>
              <w:rPr>
                <w:rFonts w:ascii="Arial"/>
                <w:i/>
                <w:sz w:val="20"/>
              </w:rPr>
              <w:t>2</w:t>
            </w:r>
            <w:r>
              <w:rPr>
                <w:rFonts w:ascii="Arial"/>
                <w:i/>
                <w:spacing w:val="30"/>
                <w:sz w:val="20"/>
              </w:rPr>
              <w:t> </w:t>
            </w:r>
            <w:r>
              <w:rPr>
                <w:rFonts w:ascii="Arial"/>
                <w:i/>
                <w:sz w:val="20"/>
              </w:rPr>
              <w:t>A.C.</w:t>
            </w:r>
            <w:r>
              <w:rPr>
                <w:rFonts w:ascii="Arial"/>
                <w:i/>
                <w:spacing w:val="30"/>
                <w:sz w:val="20"/>
              </w:rPr>
              <w:t> </w:t>
            </w:r>
            <w:r>
              <w:rPr>
                <w:rFonts w:ascii="Arial"/>
                <w:i/>
                <w:sz w:val="20"/>
              </w:rPr>
              <w:t>145</w:t>
            </w:r>
            <w:r>
              <w:rPr>
                <w:sz w:val="20"/>
              </w:rPr>
              <w:t>.</w:t>
            </w:r>
            <w:r>
              <w:rPr>
                <w:spacing w:val="30"/>
                <w:sz w:val="20"/>
              </w:rPr>
              <w:t> </w:t>
            </w:r>
            <w:r>
              <w:rPr>
                <w:sz w:val="20"/>
              </w:rPr>
              <w:t>This</w:t>
            </w:r>
            <w:r>
              <w:rPr>
                <w:spacing w:val="30"/>
                <w:sz w:val="20"/>
              </w:rPr>
              <w:t> </w:t>
            </w:r>
            <w:r>
              <w:rPr>
                <w:sz w:val="20"/>
              </w:rPr>
              <w:t>position</w:t>
            </w:r>
            <w:r>
              <w:rPr>
                <w:spacing w:val="30"/>
                <w:sz w:val="20"/>
              </w:rPr>
              <w:t> </w:t>
            </w:r>
            <w:r>
              <w:rPr>
                <w:sz w:val="20"/>
              </w:rPr>
              <w:t>is</w:t>
            </w:r>
            <w:r>
              <w:rPr>
                <w:spacing w:val="30"/>
                <w:sz w:val="20"/>
              </w:rPr>
              <w:t> </w:t>
            </w:r>
            <w:r>
              <w:rPr>
                <w:sz w:val="20"/>
              </w:rPr>
              <w:t>also</w:t>
            </w:r>
            <w:r>
              <w:rPr>
                <w:spacing w:val="30"/>
                <w:sz w:val="20"/>
              </w:rPr>
              <w:t> </w:t>
            </w:r>
            <w:r>
              <w:rPr>
                <w:sz w:val="20"/>
              </w:rPr>
              <w:t>taken</w:t>
            </w:r>
            <w:r>
              <w:rPr>
                <w:spacing w:val="30"/>
                <w:sz w:val="20"/>
              </w:rPr>
              <w:t> </w:t>
            </w:r>
            <w:r>
              <w:rPr>
                <w:sz w:val="20"/>
              </w:rPr>
              <w:t>in</w:t>
            </w:r>
            <w:r>
              <w:rPr>
                <w:spacing w:val="30"/>
                <w:sz w:val="20"/>
              </w:rPr>
              <w:t> </w:t>
            </w:r>
            <w:r>
              <w:rPr>
                <w:sz w:val="20"/>
              </w:rPr>
              <w:t>Canada:</w:t>
            </w:r>
            <w:r>
              <w:rPr>
                <w:spacing w:val="29"/>
                <w:sz w:val="20"/>
              </w:rPr>
              <w:t> </w:t>
            </w:r>
            <w:r>
              <w:rPr>
                <w:rFonts w:ascii="Arial"/>
                <w:i/>
                <w:sz w:val="20"/>
              </w:rPr>
              <w:t>Central</w:t>
            </w:r>
            <w:r>
              <w:rPr>
                <w:rFonts w:ascii="Arial"/>
                <w:i/>
                <w:spacing w:val="30"/>
                <w:sz w:val="20"/>
              </w:rPr>
              <w:t> </w:t>
            </w:r>
            <w:r>
              <w:rPr>
                <w:rFonts w:ascii="Arial"/>
                <w:i/>
                <w:sz w:val="20"/>
              </w:rPr>
              <w:t>Trust</w:t>
            </w:r>
            <w:r>
              <w:rPr>
                <w:rFonts w:ascii="Arial"/>
                <w:i/>
                <w:spacing w:val="30"/>
                <w:sz w:val="20"/>
              </w:rPr>
              <w:t> </w:t>
            </w:r>
            <w:r>
              <w:rPr>
                <w:rFonts w:ascii="Arial"/>
                <w:i/>
                <w:sz w:val="20"/>
              </w:rPr>
              <w:t>Co</w:t>
            </w:r>
            <w:r>
              <w:rPr>
                <w:rFonts w:ascii="Arial"/>
                <w:i/>
                <w:spacing w:val="30"/>
                <w:sz w:val="20"/>
              </w:rPr>
              <w:t> </w:t>
            </w:r>
            <w:r>
              <w:rPr>
                <w:rFonts w:ascii="Arial"/>
                <w:i/>
                <w:sz w:val="20"/>
              </w:rPr>
              <w:t>v</w:t>
            </w:r>
            <w:r>
              <w:rPr>
                <w:rFonts w:ascii="Arial"/>
                <w:i/>
                <w:spacing w:val="30"/>
                <w:sz w:val="20"/>
              </w:rPr>
              <w:t> </w:t>
            </w:r>
            <w:r>
              <w:rPr>
                <w:rFonts w:ascii="Arial"/>
                <w:i/>
                <w:sz w:val="20"/>
              </w:rPr>
              <w:t>Rafuse</w:t>
            </w:r>
            <w:r>
              <w:rPr>
                <w:rFonts w:ascii="Arial"/>
                <w:i/>
                <w:spacing w:val="30"/>
                <w:sz w:val="20"/>
              </w:rPr>
              <w:t> </w:t>
            </w:r>
            <w:r>
              <w:rPr>
                <w:rFonts w:ascii="Arial"/>
                <w:i/>
                <w:spacing w:val="-2"/>
                <w:sz w:val="20"/>
              </w:rPr>
              <w:t>(1987)</w:t>
            </w:r>
          </w:p>
          <w:p>
            <w:pPr>
              <w:pStyle w:val="TableParagraph"/>
              <w:spacing w:line="235" w:lineRule="auto" w:before="1"/>
              <w:ind w:right="48"/>
              <w:jc w:val="both"/>
              <w:rPr>
                <w:sz w:val="20"/>
              </w:rPr>
            </w:pPr>
            <w:r>
              <w:rPr>
                <w:rFonts w:ascii="Arial" w:hAnsi="Arial"/>
                <w:i/>
                <w:sz w:val="20"/>
              </w:rPr>
              <w:t>D.L.R. (4th) 481 SCC</w:t>
            </w:r>
            <w:r>
              <w:rPr>
                <w:sz w:val="20"/>
              </w:rPr>
              <w:t>; </w:t>
            </w:r>
            <w:r>
              <w:rPr>
                <w:rFonts w:ascii="Arial" w:hAnsi="Arial"/>
                <w:i/>
                <w:sz w:val="20"/>
              </w:rPr>
              <w:t>Canadian Pacific Hotels Ltd v Bank of Montreal (1988) 40 D.L.R. (4th) 385</w:t>
            </w:r>
            <w:r>
              <w:rPr>
                <w:sz w:val="20"/>
              </w:rPr>
              <w:t>; </w:t>
            </w:r>
            <w:r>
              <w:rPr>
                <w:rFonts w:ascii="Arial" w:hAnsi="Arial"/>
                <w:i/>
                <w:sz w:val="20"/>
              </w:rPr>
              <w:t>B.C. Checo International Ltd v British Colombia Hydro &amp; Power Authority (1993) 99 </w:t>
            </w:r>
            <w:r>
              <w:rPr>
                <w:rFonts w:ascii="Arial" w:hAnsi="Arial"/>
                <w:i/>
                <w:sz w:val="20"/>
              </w:rPr>
              <w:t>D.L.R. (4th) 477</w:t>
            </w:r>
            <w:r>
              <w:rPr>
                <w:sz w:val="20"/>
              </w:rPr>
              <w:t>. Although there was Australian authority against concurrence (</w:t>
            </w:r>
            <w:r>
              <w:rPr>
                <w:rFonts w:ascii="Arial" w:hAnsi="Arial"/>
                <w:i/>
                <w:sz w:val="20"/>
              </w:rPr>
              <w:t>Hawkins v Clayton (1988) 164 C.L.R. 539</w:t>
            </w:r>
            <w:r>
              <w:rPr>
                <w:sz w:val="20"/>
              </w:rPr>
              <w:t>), the approach of the Canadian Supreme Court in </w:t>
            </w:r>
            <w:r>
              <w:rPr>
                <w:rFonts w:ascii="Arial" w:hAnsi="Arial"/>
                <w:i/>
                <w:sz w:val="20"/>
              </w:rPr>
              <w:t>Central Trust Co v Rafuse </w:t>
            </w:r>
            <w:r>
              <w:rPr>
                <w:sz w:val="20"/>
              </w:rPr>
              <w:t>was followed in </w:t>
            </w:r>
            <w:r>
              <w:rPr>
                <w:rFonts w:ascii="Arial" w:hAnsi="Arial"/>
                <w:i/>
                <w:sz w:val="20"/>
              </w:rPr>
              <w:t>Bryan v Maloney (1995) 182 C.L.R. 609, 620–622</w:t>
            </w:r>
            <w:r>
              <w:rPr>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1075</w:t>
            </w:r>
            <w:r>
              <w:rPr>
                <w:spacing w:val="-2"/>
                <w:sz w:val="14"/>
              </w:rPr>
              <w:t>.</w:t>
            </w:r>
          </w:p>
        </w:tc>
        <w:tc>
          <w:tcPr>
            <w:tcW w:w="8620" w:type="dxa"/>
          </w:tcPr>
          <w:p>
            <w:pPr>
              <w:pStyle w:val="TableParagraph"/>
              <w:spacing w:before="114"/>
              <w:jc w:val="left"/>
              <w:rPr>
                <w:sz w:val="20"/>
              </w:rPr>
            </w:pPr>
            <w:r>
              <w:rPr>
                <w:rFonts w:ascii="Arial"/>
                <w:i/>
                <w:sz w:val="20"/>
              </w:rPr>
              <w:t>[1986]</w:t>
            </w:r>
            <w:r>
              <w:rPr>
                <w:rFonts w:ascii="Arial"/>
                <w:i/>
                <w:spacing w:val="-2"/>
                <w:sz w:val="20"/>
              </w:rPr>
              <w:t> </w:t>
            </w:r>
            <w:r>
              <w:rPr>
                <w:rFonts w:ascii="Arial"/>
                <w:i/>
                <w:sz w:val="20"/>
              </w:rPr>
              <w:t>A.C. 80, </w:t>
            </w:r>
            <w:r>
              <w:rPr>
                <w:rFonts w:ascii="Arial"/>
                <w:i/>
                <w:spacing w:val="-4"/>
                <w:sz w:val="20"/>
              </w:rPr>
              <w:t>107</w:t>
            </w:r>
            <w:r>
              <w:rPr>
                <w:spacing w:val="-4"/>
                <w:sz w:val="20"/>
              </w:rPr>
              <w:t>.</w:t>
            </w:r>
          </w:p>
        </w:tc>
      </w:tr>
      <w:tr>
        <w:trPr>
          <w:trHeight w:val="915" w:hRule="atLeast"/>
        </w:trPr>
        <w:tc>
          <w:tcPr>
            <w:tcW w:w="496" w:type="dxa"/>
          </w:tcPr>
          <w:p>
            <w:pPr>
              <w:pStyle w:val="TableParagraph"/>
              <w:ind w:left="0" w:right="43"/>
              <w:rPr>
                <w:sz w:val="14"/>
              </w:rPr>
            </w:pPr>
            <w:r>
              <w:rPr>
                <w:color w:val="005DA1"/>
                <w:spacing w:val="-2"/>
                <w:sz w:val="14"/>
                <w:u w:val="single" w:color="005DA1"/>
              </w:rPr>
              <w:t>1076</w:t>
            </w:r>
            <w:r>
              <w:rPr>
                <w:spacing w:val="-2"/>
                <w:sz w:val="14"/>
              </w:rPr>
              <w:t>.</w:t>
            </w:r>
          </w:p>
        </w:tc>
        <w:tc>
          <w:tcPr>
            <w:tcW w:w="8620" w:type="dxa"/>
          </w:tcPr>
          <w:p>
            <w:pPr>
              <w:pStyle w:val="TableParagraph"/>
              <w:spacing w:line="235" w:lineRule="auto" w:before="118"/>
              <w:ind w:right="50"/>
              <w:jc w:val="both"/>
              <w:rPr>
                <w:sz w:val="20"/>
              </w:rPr>
            </w:pPr>
            <w:r>
              <w:rPr>
                <w:sz w:val="20"/>
              </w:rPr>
              <w:t>See, e.g. </w:t>
            </w:r>
            <w:r>
              <w:rPr>
                <w:rFonts w:ascii="Arial"/>
                <w:i/>
                <w:sz w:val="20"/>
              </w:rPr>
              <w:t>Banque Keyser Ullmann SA v Skandia (UK) Co Insurance Ltd [1990] 1 Q.B. </w:t>
            </w:r>
            <w:r>
              <w:rPr>
                <w:rFonts w:ascii="Arial"/>
                <w:i/>
                <w:sz w:val="20"/>
              </w:rPr>
              <w:t>665, [1991] 2 A.C. 249 </w:t>
            </w:r>
            <w:r>
              <w:rPr>
                <w:sz w:val="20"/>
              </w:rPr>
              <w:t>(affirmed on other grounds; </w:t>
            </w:r>
            <w:r>
              <w:rPr>
                <w:rFonts w:ascii="Arial"/>
                <w:i/>
                <w:sz w:val="20"/>
              </w:rPr>
              <w:t>National Bank of Greece SA v Pinios Shipping (No.1) [1990] 1 A.C. 637</w:t>
            </w:r>
            <w:r>
              <w:rPr>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1077</w:t>
            </w:r>
            <w:r>
              <w:rPr>
                <w:spacing w:val="-2"/>
                <w:sz w:val="14"/>
              </w:rPr>
              <w:t>.</w:t>
            </w:r>
          </w:p>
        </w:tc>
        <w:tc>
          <w:tcPr>
            <w:tcW w:w="8620" w:type="dxa"/>
          </w:tcPr>
          <w:p>
            <w:pPr>
              <w:pStyle w:val="TableParagraph"/>
              <w:spacing w:before="114"/>
              <w:jc w:val="left"/>
              <w:rPr>
                <w:sz w:val="20"/>
              </w:rPr>
            </w:pPr>
            <w:r>
              <w:rPr>
                <w:rFonts w:ascii="Arial"/>
                <w:i/>
                <w:sz w:val="20"/>
              </w:rPr>
              <w:t>[1964] A.C. </w:t>
            </w:r>
            <w:r>
              <w:rPr>
                <w:rFonts w:ascii="Arial"/>
                <w:i/>
                <w:spacing w:val="-4"/>
                <w:sz w:val="20"/>
              </w:rPr>
              <w:t>465</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1078</w:t>
            </w:r>
            <w:r>
              <w:rPr>
                <w:spacing w:val="-2"/>
                <w:sz w:val="14"/>
              </w:rPr>
              <w:t>.</w:t>
            </w:r>
          </w:p>
        </w:tc>
        <w:tc>
          <w:tcPr>
            <w:tcW w:w="8620" w:type="dxa"/>
          </w:tcPr>
          <w:p>
            <w:pPr>
              <w:pStyle w:val="TableParagraph"/>
              <w:spacing w:before="114"/>
              <w:jc w:val="left"/>
              <w:rPr>
                <w:sz w:val="20"/>
              </w:rPr>
            </w:pPr>
            <w:r>
              <w:rPr>
                <w:sz w:val="20"/>
              </w:rPr>
              <w:t>See below, para.1-</w:t>
            </w:r>
            <w:r>
              <w:rPr>
                <w:spacing w:val="-4"/>
                <w:sz w:val="20"/>
              </w:rPr>
              <w:t>157.</w:t>
            </w:r>
          </w:p>
        </w:tc>
      </w:tr>
      <w:tr>
        <w:trPr>
          <w:trHeight w:val="465" w:hRule="atLeast"/>
        </w:trPr>
        <w:tc>
          <w:tcPr>
            <w:tcW w:w="496" w:type="dxa"/>
          </w:tcPr>
          <w:p>
            <w:pPr>
              <w:pStyle w:val="TableParagraph"/>
              <w:ind w:left="0" w:right="43"/>
              <w:rPr>
                <w:sz w:val="14"/>
              </w:rPr>
            </w:pPr>
            <w:r>
              <w:rPr>
                <w:color w:val="005DA1"/>
                <w:spacing w:val="-2"/>
                <w:sz w:val="14"/>
                <w:u w:val="single" w:color="005DA1"/>
              </w:rPr>
              <w:t>1079</w:t>
            </w:r>
            <w:r>
              <w:rPr>
                <w:spacing w:val="-2"/>
                <w:sz w:val="14"/>
              </w:rPr>
              <w:t>.</w:t>
            </w:r>
          </w:p>
        </w:tc>
        <w:tc>
          <w:tcPr>
            <w:tcW w:w="8620" w:type="dxa"/>
          </w:tcPr>
          <w:p>
            <w:pPr>
              <w:pStyle w:val="TableParagraph"/>
              <w:spacing w:before="114"/>
              <w:jc w:val="left"/>
              <w:rPr>
                <w:sz w:val="20"/>
              </w:rPr>
            </w:pPr>
            <w:r>
              <w:rPr>
                <w:rFonts w:ascii="Arial"/>
                <w:i/>
                <w:sz w:val="20"/>
              </w:rPr>
              <w:t>(1822)</w:t>
            </w:r>
            <w:r>
              <w:rPr>
                <w:rFonts w:ascii="Arial"/>
                <w:i/>
                <w:spacing w:val="-2"/>
                <w:sz w:val="20"/>
              </w:rPr>
              <w:t> </w:t>
            </w:r>
            <w:r>
              <w:rPr>
                <w:rFonts w:ascii="Arial"/>
                <w:i/>
                <w:sz w:val="20"/>
              </w:rPr>
              <w:t>5 B. &amp; Ald. </w:t>
            </w:r>
            <w:r>
              <w:rPr>
                <w:rFonts w:ascii="Arial"/>
                <w:i/>
                <w:spacing w:val="-4"/>
                <w:sz w:val="20"/>
              </w:rPr>
              <w:t>652</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1080</w:t>
            </w:r>
            <w:r>
              <w:rPr>
                <w:spacing w:val="-2"/>
                <w:sz w:val="14"/>
              </w:rPr>
              <w:t>.</w:t>
            </w:r>
          </w:p>
        </w:tc>
        <w:tc>
          <w:tcPr>
            <w:tcW w:w="8620" w:type="dxa"/>
          </w:tcPr>
          <w:p>
            <w:pPr>
              <w:pStyle w:val="TableParagraph"/>
              <w:spacing w:before="114"/>
              <w:jc w:val="left"/>
              <w:rPr>
                <w:sz w:val="20"/>
              </w:rPr>
            </w:pPr>
            <w:r>
              <w:rPr>
                <w:rFonts w:ascii="Arial"/>
                <w:i/>
                <w:sz w:val="20"/>
              </w:rPr>
              <w:t>(1822) 5 B. Ald. 652</w:t>
            </w:r>
            <w:r>
              <w:rPr>
                <w:rFonts w:ascii="Arial"/>
                <w:i/>
                <w:spacing w:val="-1"/>
                <w:sz w:val="20"/>
              </w:rPr>
              <w:t> </w:t>
            </w:r>
            <w:r>
              <w:rPr>
                <w:sz w:val="20"/>
              </w:rPr>
              <w:t>at </w:t>
            </w:r>
            <w:r>
              <w:rPr>
                <w:spacing w:val="-2"/>
                <w:sz w:val="20"/>
              </w:rPr>
              <w:t>[656].</w:t>
            </w:r>
          </w:p>
        </w:tc>
      </w:tr>
      <w:tr>
        <w:trPr>
          <w:trHeight w:val="465" w:hRule="atLeast"/>
        </w:trPr>
        <w:tc>
          <w:tcPr>
            <w:tcW w:w="496" w:type="dxa"/>
          </w:tcPr>
          <w:p>
            <w:pPr>
              <w:pStyle w:val="TableParagraph"/>
              <w:ind w:left="0" w:right="43"/>
              <w:rPr>
                <w:sz w:val="14"/>
              </w:rPr>
            </w:pPr>
            <w:r>
              <w:rPr>
                <w:color w:val="005DA1"/>
                <w:spacing w:val="-2"/>
                <w:sz w:val="14"/>
                <w:u w:val="single" w:color="005DA1"/>
              </w:rPr>
              <w:t>1081</w:t>
            </w:r>
            <w:r>
              <w:rPr>
                <w:spacing w:val="-2"/>
                <w:sz w:val="14"/>
              </w:rPr>
              <w:t>.</w:t>
            </w:r>
          </w:p>
        </w:tc>
        <w:tc>
          <w:tcPr>
            <w:tcW w:w="8620" w:type="dxa"/>
          </w:tcPr>
          <w:p>
            <w:pPr>
              <w:pStyle w:val="TableParagraph"/>
              <w:spacing w:before="114"/>
              <w:jc w:val="left"/>
              <w:rPr>
                <w:sz w:val="20"/>
              </w:rPr>
            </w:pPr>
            <w:r>
              <w:rPr>
                <w:sz w:val="20"/>
              </w:rPr>
              <w:t>e.g. </w:t>
            </w:r>
            <w:r>
              <w:rPr>
                <w:rFonts w:ascii="Arial" w:hAnsi="Arial"/>
                <w:i/>
                <w:sz w:val="20"/>
              </w:rPr>
              <w:t>Brown v Dixon (1786) 1 T.R. 274, </w:t>
            </w:r>
            <w:r>
              <w:rPr>
                <w:rFonts w:ascii="Arial" w:hAnsi="Arial"/>
                <w:i/>
                <w:spacing w:val="-2"/>
                <w:sz w:val="20"/>
              </w:rPr>
              <w:t>276–277</w:t>
            </w:r>
            <w:r>
              <w:rPr>
                <w:spacing w:val="-2"/>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1082</w:t>
            </w:r>
            <w:r>
              <w:rPr>
                <w:spacing w:val="-2"/>
                <w:sz w:val="14"/>
              </w:rPr>
              <w:t>.</w:t>
            </w:r>
          </w:p>
        </w:tc>
        <w:tc>
          <w:tcPr>
            <w:tcW w:w="8620" w:type="dxa"/>
          </w:tcPr>
          <w:p>
            <w:pPr>
              <w:pStyle w:val="TableParagraph"/>
              <w:spacing w:before="114"/>
              <w:jc w:val="left"/>
              <w:rPr>
                <w:sz w:val="20"/>
              </w:rPr>
            </w:pPr>
            <w:r>
              <w:rPr>
                <w:rFonts w:ascii="Arial"/>
                <w:i/>
                <w:sz w:val="20"/>
              </w:rPr>
              <w:t>Ansell v Waterhouse (1817) 6 M. &amp; S. 385, </w:t>
            </w:r>
            <w:r>
              <w:rPr>
                <w:rFonts w:ascii="Arial"/>
                <w:i/>
                <w:spacing w:val="-4"/>
                <w:sz w:val="20"/>
              </w:rPr>
              <w:t>392</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1083</w:t>
            </w:r>
            <w:r>
              <w:rPr>
                <w:spacing w:val="-2"/>
                <w:sz w:val="14"/>
              </w:rPr>
              <w:t>.</w:t>
            </w:r>
          </w:p>
        </w:tc>
        <w:tc>
          <w:tcPr>
            <w:tcW w:w="8620" w:type="dxa"/>
          </w:tcPr>
          <w:p>
            <w:pPr>
              <w:pStyle w:val="TableParagraph"/>
              <w:spacing w:before="114"/>
              <w:jc w:val="left"/>
              <w:rPr>
                <w:sz w:val="20"/>
              </w:rPr>
            </w:pPr>
            <w:r>
              <w:rPr>
                <w:rFonts w:ascii="Arial"/>
                <w:i/>
                <w:sz w:val="20"/>
              </w:rPr>
              <w:t>Hambly v Trott (1776) 1 Cowp. </w:t>
            </w:r>
            <w:r>
              <w:rPr>
                <w:rFonts w:ascii="Arial"/>
                <w:i/>
                <w:spacing w:val="-4"/>
                <w:sz w:val="20"/>
              </w:rPr>
              <w:t>371</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1084</w:t>
            </w:r>
            <w:r>
              <w:rPr>
                <w:spacing w:val="-2"/>
                <w:sz w:val="14"/>
              </w:rPr>
              <w:t>.</w:t>
            </w:r>
          </w:p>
        </w:tc>
        <w:tc>
          <w:tcPr>
            <w:tcW w:w="8620" w:type="dxa"/>
          </w:tcPr>
          <w:p>
            <w:pPr>
              <w:pStyle w:val="TableParagraph"/>
              <w:spacing w:before="114"/>
              <w:jc w:val="left"/>
              <w:rPr>
                <w:sz w:val="20"/>
              </w:rPr>
            </w:pPr>
            <w:r>
              <w:rPr>
                <w:rFonts w:ascii="Arial"/>
                <w:i/>
                <w:sz w:val="20"/>
              </w:rPr>
              <w:t>Govett v Radnidge (1802) 3 East </w:t>
            </w:r>
            <w:r>
              <w:rPr>
                <w:rFonts w:ascii="Arial"/>
                <w:i/>
                <w:spacing w:val="-5"/>
                <w:sz w:val="20"/>
              </w:rPr>
              <w:t>62</w:t>
            </w:r>
            <w:r>
              <w:rPr>
                <w:spacing w:val="-5"/>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1085</w:t>
            </w:r>
            <w:r>
              <w:rPr>
                <w:spacing w:val="-2"/>
                <w:sz w:val="14"/>
              </w:rPr>
              <w:t>.</w:t>
            </w:r>
          </w:p>
        </w:tc>
        <w:tc>
          <w:tcPr>
            <w:tcW w:w="8620" w:type="dxa"/>
          </w:tcPr>
          <w:p>
            <w:pPr>
              <w:pStyle w:val="TableParagraph"/>
              <w:spacing w:before="114"/>
              <w:jc w:val="left"/>
              <w:rPr>
                <w:sz w:val="20"/>
              </w:rPr>
            </w:pPr>
            <w:r>
              <w:rPr>
                <w:rFonts w:ascii="Arial"/>
                <w:i/>
                <w:sz w:val="20"/>
              </w:rPr>
              <w:t>Johnson v Pye (1666) 1 Sid. 258, 1 Keb. </w:t>
            </w:r>
            <w:r>
              <w:rPr>
                <w:rFonts w:ascii="Arial"/>
                <w:i/>
                <w:spacing w:val="-4"/>
                <w:sz w:val="20"/>
              </w:rPr>
              <w:t>913</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1086</w:t>
            </w:r>
            <w:r>
              <w:rPr>
                <w:spacing w:val="-2"/>
                <w:sz w:val="14"/>
              </w:rPr>
              <w:t>.</w:t>
            </w:r>
          </w:p>
        </w:tc>
        <w:tc>
          <w:tcPr>
            <w:tcW w:w="8620" w:type="dxa"/>
          </w:tcPr>
          <w:p>
            <w:pPr>
              <w:pStyle w:val="TableParagraph"/>
              <w:spacing w:before="114"/>
              <w:jc w:val="left"/>
              <w:rPr>
                <w:sz w:val="20"/>
              </w:rPr>
            </w:pPr>
            <w:r>
              <w:rPr>
                <w:rFonts w:ascii="Arial"/>
                <w:i/>
                <w:sz w:val="20"/>
              </w:rPr>
              <w:t>Nicholson v Willan (1804) 5 East </w:t>
            </w:r>
            <w:r>
              <w:rPr>
                <w:rFonts w:ascii="Arial"/>
                <w:i/>
                <w:spacing w:val="-4"/>
                <w:sz w:val="20"/>
              </w:rPr>
              <w:t>507</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1087</w:t>
            </w:r>
            <w:r>
              <w:rPr>
                <w:spacing w:val="-2"/>
                <w:sz w:val="14"/>
              </w:rPr>
              <w:t>.</w:t>
            </w:r>
          </w:p>
        </w:tc>
        <w:tc>
          <w:tcPr>
            <w:tcW w:w="8620" w:type="dxa"/>
          </w:tcPr>
          <w:p>
            <w:pPr>
              <w:pStyle w:val="TableParagraph"/>
              <w:spacing w:before="114"/>
              <w:jc w:val="left"/>
              <w:rPr>
                <w:sz w:val="20"/>
              </w:rPr>
            </w:pPr>
            <w:r>
              <w:rPr>
                <w:rFonts w:ascii="Arial"/>
                <w:i/>
                <w:sz w:val="20"/>
              </w:rPr>
              <w:t>(1842) 3 Q.B. 511, (1844) 11 Cl. &amp; Fin. 1, </w:t>
            </w:r>
            <w:r>
              <w:rPr>
                <w:rFonts w:ascii="Arial"/>
                <w:i/>
                <w:spacing w:val="-5"/>
                <w:sz w:val="20"/>
              </w:rPr>
              <w:t>HL</w:t>
            </w:r>
            <w:r>
              <w:rPr>
                <w:spacing w:val="-5"/>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1088</w:t>
            </w:r>
            <w:r>
              <w:rPr>
                <w:spacing w:val="-2"/>
                <w:sz w:val="14"/>
              </w:rPr>
              <w:t>.</w:t>
            </w:r>
          </w:p>
        </w:tc>
        <w:tc>
          <w:tcPr>
            <w:tcW w:w="8620" w:type="dxa"/>
          </w:tcPr>
          <w:p>
            <w:pPr>
              <w:pStyle w:val="TableParagraph"/>
              <w:spacing w:before="114"/>
              <w:jc w:val="left"/>
              <w:rPr>
                <w:sz w:val="20"/>
              </w:rPr>
            </w:pPr>
            <w:r>
              <w:rPr>
                <w:rFonts w:ascii="Arial"/>
                <w:i/>
                <w:sz w:val="20"/>
              </w:rPr>
              <w:t>(1844) 11 Cl. &amp; Fin. 1, </w:t>
            </w:r>
            <w:r>
              <w:rPr>
                <w:rFonts w:ascii="Arial"/>
                <w:i/>
                <w:spacing w:val="-5"/>
                <w:sz w:val="20"/>
              </w:rPr>
              <w:t>44</w:t>
            </w:r>
            <w:r>
              <w:rPr>
                <w:spacing w:val="-5"/>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1089</w:t>
            </w:r>
            <w:r>
              <w:rPr>
                <w:spacing w:val="-2"/>
                <w:sz w:val="14"/>
              </w:rPr>
              <w:t>.</w:t>
            </w:r>
          </w:p>
        </w:tc>
        <w:tc>
          <w:tcPr>
            <w:tcW w:w="8620" w:type="dxa"/>
          </w:tcPr>
          <w:p>
            <w:pPr>
              <w:pStyle w:val="TableParagraph"/>
              <w:spacing w:before="114"/>
              <w:jc w:val="left"/>
              <w:rPr>
                <w:sz w:val="20"/>
              </w:rPr>
            </w:pPr>
            <w:r>
              <w:rPr>
                <w:rFonts w:ascii="Arial"/>
                <w:i/>
                <w:sz w:val="20"/>
              </w:rPr>
              <w:t>(1844) 11 Cl. &amp; Fin. 1, </w:t>
            </w:r>
            <w:r>
              <w:rPr>
                <w:rFonts w:ascii="Arial"/>
                <w:i/>
                <w:spacing w:val="-5"/>
                <w:sz w:val="20"/>
              </w:rPr>
              <w:t>12</w:t>
            </w:r>
            <w:r>
              <w:rPr>
                <w:spacing w:val="-5"/>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1090</w:t>
            </w:r>
            <w:r>
              <w:rPr>
                <w:spacing w:val="-2"/>
                <w:sz w:val="14"/>
              </w:rPr>
              <w:t>.</w:t>
            </w:r>
          </w:p>
        </w:tc>
        <w:tc>
          <w:tcPr>
            <w:tcW w:w="8620" w:type="dxa"/>
          </w:tcPr>
          <w:p>
            <w:pPr>
              <w:pStyle w:val="TableParagraph"/>
              <w:spacing w:before="114"/>
              <w:jc w:val="left"/>
              <w:rPr>
                <w:sz w:val="20"/>
              </w:rPr>
            </w:pPr>
            <w:r>
              <w:rPr>
                <w:sz w:val="20"/>
              </w:rPr>
              <w:t>Pollock,</w:t>
            </w:r>
            <w:r>
              <w:rPr>
                <w:spacing w:val="-1"/>
                <w:sz w:val="20"/>
              </w:rPr>
              <w:t> </w:t>
            </w:r>
            <w:r>
              <w:rPr>
                <w:rFonts w:ascii="Arial"/>
                <w:i/>
                <w:sz w:val="20"/>
              </w:rPr>
              <w:t>Torts</w:t>
            </w:r>
            <w:r>
              <w:rPr>
                <w:sz w:val="20"/>
              </w:rPr>
              <w:t>, 1st edn (1887), </w:t>
            </w:r>
            <w:r>
              <w:rPr>
                <w:spacing w:val="-2"/>
                <w:sz w:val="20"/>
              </w:rPr>
              <w:t>p.434.</w:t>
            </w:r>
          </w:p>
        </w:tc>
      </w:tr>
      <w:tr>
        <w:trPr>
          <w:trHeight w:val="794" w:hRule="atLeast"/>
        </w:trPr>
        <w:tc>
          <w:tcPr>
            <w:tcW w:w="496" w:type="dxa"/>
          </w:tcPr>
          <w:p>
            <w:pPr>
              <w:pStyle w:val="TableParagraph"/>
              <w:ind w:left="0" w:right="43"/>
              <w:rPr>
                <w:sz w:val="14"/>
              </w:rPr>
            </w:pPr>
            <w:r>
              <w:rPr>
                <w:color w:val="005DA1"/>
                <w:spacing w:val="-2"/>
                <w:sz w:val="14"/>
                <w:u w:val="single" w:color="005DA1"/>
              </w:rPr>
              <w:t>1091</w:t>
            </w:r>
            <w:r>
              <w:rPr>
                <w:spacing w:val="-2"/>
                <w:sz w:val="14"/>
              </w:rPr>
              <w:t>.</w:t>
            </w:r>
          </w:p>
        </w:tc>
        <w:tc>
          <w:tcPr>
            <w:tcW w:w="8620" w:type="dxa"/>
          </w:tcPr>
          <w:p>
            <w:pPr>
              <w:pStyle w:val="TableParagraph"/>
              <w:spacing w:line="226" w:lineRule="exact" w:before="96"/>
              <w:ind w:right="49"/>
              <w:jc w:val="both"/>
              <w:rPr>
                <w:sz w:val="20"/>
              </w:rPr>
            </w:pPr>
            <w:r>
              <w:rPr>
                <w:rFonts w:ascii="Arial"/>
                <w:i/>
                <w:sz w:val="20"/>
              </w:rPr>
              <w:t>Hyman v Nye (1881) 6 Q.B.D. 685</w:t>
            </w:r>
            <w:r>
              <w:rPr>
                <w:sz w:val="20"/>
              </w:rPr>
              <w:t>; </w:t>
            </w:r>
            <w:r>
              <w:rPr>
                <w:rFonts w:ascii="Arial"/>
                <w:i/>
                <w:sz w:val="20"/>
              </w:rPr>
              <w:t>Baylis v Lintott (1873) L.R. 8 C.P. 345</w:t>
            </w:r>
            <w:r>
              <w:rPr>
                <w:sz w:val="20"/>
              </w:rPr>
              <w:t>; </w:t>
            </w:r>
            <w:r>
              <w:rPr>
                <w:rFonts w:ascii="Arial"/>
                <w:i/>
                <w:sz w:val="20"/>
              </w:rPr>
              <w:t>Esso Petroleum </w:t>
            </w:r>
            <w:r>
              <w:rPr>
                <w:rFonts w:ascii="Arial"/>
                <w:i/>
                <w:sz w:val="20"/>
              </w:rPr>
              <w:t>Co Ltd v Mardon [1976] Q.B. 801</w:t>
            </w:r>
            <w:r>
              <w:rPr>
                <w:sz w:val="20"/>
              </w:rPr>
              <w:t>; </w:t>
            </w:r>
            <w:r>
              <w:rPr>
                <w:rFonts w:ascii="Arial"/>
                <w:i/>
                <w:sz w:val="20"/>
              </w:rPr>
              <w:t>Midland Bank Trust Co Ltd v Hett, Stubbs &amp; Kemp [1979] Ch. </w:t>
            </w:r>
            <w:r>
              <w:rPr>
                <w:rFonts w:ascii="Arial"/>
                <w:i/>
                <w:spacing w:val="-4"/>
                <w:sz w:val="20"/>
              </w:rPr>
              <w:t>384</w:t>
            </w:r>
            <w:r>
              <w:rPr>
                <w:spacing w:val="-4"/>
                <w:sz w:val="20"/>
              </w:rPr>
              <w:t>.</w:t>
            </w:r>
          </w:p>
        </w:tc>
      </w:tr>
    </w:tbl>
    <w:p>
      <w:pPr>
        <w:pStyle w:val="TableParagraph"/>
        <w:spacing w:after="0" w:line="226" w:lineRule="exact"/>
        <w:jc w:val="both"/>
        <w:rPr>
          <w:sz w:val="20"/>
        </w:rPr>
        <w:sectPr>
          <w:pgSz w:w="11900" w:h="16840"/>
          <w:pgMar w:header="971" w:footer="0" w:top="1300" w:bottom="280" w:left="1275" w:right="1275"/>
        </w:sectPr>
      </w:pPr>
    </w:p>
    <w:p>
      <w:pPr>
        <w:pStyle w:val="BodyText"/>
        <w:spacing w:before="72"/>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7. - The Relationship between Contract and </w:t>
      </w:r>
      <w:r>
        <w:rPr>
          <w:rFonts w:ascii="Arial"/>
          <w:b/>
          <w:spacing w:val="-4"/>
          <w:sz w:val="24"/>
        </w:rPr>
        <w:t>Tort</w:t>
      </w:r>
    </w:p>
    <w:p>
      <w:pPr>
        <w:spacing w:before="194"/>
        <w:ind w:left="1878" w:right="0" w:firstLine="0"/>
        <w:jc w:val="left"/>
        <w:rPr>
          <w:rFonts w:ascii="Arial"/>
          <w:b/>
          <w:sz w:val="24"/>
        </w:rPr>
      </w:pPr>
      <w:r>
        <w:rPr>
          <w:rFonts w:ascii="Arial"/>
          <w:b/>
          <w:sz w:val="24"/>
        </w:rPr>
        <w:t>(c) - Concurrence of Actions in Contract and </w:t>
      </w:r>
      <w:r>
        <w:rPr>
          <w:rFonts w:ascii="Arial"/>
          <w:b/>
          <w:spacing w:val="-4"/>
          <w:sz w:val="24"/>
        </w:rPr>
        <w:t>Tort</w:t>
      </w:r>
    </w:p>
    <w:p>
      <w:pPr>
        <w:pStyle w:val="ListParagraph"/>
        <w:numPr>
          <w:ilvl w:val="0"/>
          <w:numId w:val="12"/>
        </w:numPr>
        <w:tabs>
          <w:tab w:pos="3378" w:val="left" w:leader="none"/>
        </w:tabs>
        <w:spacing w:line="240" w:lineRule="auto" w:before="194" w:after="0"/>
        <w:ind w:left="3378" w:right="0" w:hanging="293"/>
        <w:jc w:val="left"/>
        <w:rPr>
          <w:b/>
          <w:sz w:val="24"/>
        </w:rPr>
      </w:pPr>
      <w:r>
        <w:rPr>
          <w:b/>
          <w:sz w:val="24"/>
        </w:rPr>
        <w:t>- Pre-contractual </w:t>
      </w:r>
      <w:r>
        <w:rPr>
          <w:b/>
          <w:spacing w:val="-2"/>
          <w:sz w:val="24"/>
        </w:rPr>
        <w:t>Liability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Representations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159</w:t>
      </w:r>
    </w:p>
    <w:p>
      <w:pPr>
        <w:pStyle w:val="BodyText"/>
        <w:spacing w:line="235" w:lineRule="auto" w:before="202"/>
        <w:ind w:left="165" w:right="167"/>
        <w:jc w:val="both"/>
      </w:pPr>
      <w:r>
        <w:rPr/>
        <w:t>Even at the time when it was doubtful whether a party to a contract could claim in tort against the other party in respect of matters relating to the performance of the contract, it was established that such a party could rely on established liabilities in tort arising from facts which occur in the course of the dealings of the parties before contract. A party to a contract can therefore claim damages for </w:t>
      </w:r>
      <w:r>
        <w:rPr/>
        <w:t>a pre-contractual statement which induced him to contract under various headings: in the tort of deceit, where the statement was made fraudulently </w:t>
      </w:r>
      <w:r>
        <w:rPr>
          <w:color w:val="005DA1"/>
          <w:u w:val="single" w:color="005DA1"/>
          <w:vertAlign w:val="superscript"/>
        </w:rPr>
        <w:t>1092</w:t>
      </w:r>
      <w:r>
        <w:rPr>
          <w:vertAlign w:val="baseline"/>
        </w:rPr>
        <w:t>; in the tort of negligence, </w:t>
      </w:r>
      <w:r>
        <w:rPr>
          <w:color w:val="005DA1"/>
          <w:u w:val="single" w:color="005DA1"/>
          <w:vertAlign w:val="superscript"/>
        </w:rPr>
        <w:t>1093</w:t>
      </w:r>
      <w:r>
        <w:rPr>
          <w:color w:val="005DA1"/>
          <w:vertAlign w:val="baseline"/>
        </w:rPr>
        <w:t> </w:t>
      </w:r>
      <w:r>
        <w:rPr>
          <w:vertAlign w:val="baseline"/>
        </w:rPr>
        <w:t>if the claimant can establish the conditions for the existence of a duty of care under </w:t>
      </w:r>
      <w:r>
        <w:rPr>
          <w:rFonts w:ascii="Arial"/>
          <w:i/>
          <w:vertAlign w:val="baseline"/>
        </w:rPr>
        <w:t>Hedley Byrne &amp; Co Ltd v Heller &amp; Partners Ltd</w:t>
      </w:r>
      <w:r>
        <w:rPr>
          <w:vertAlign w:val="baseline"/>
        </w:rPr>
        <w:t>, </w:t>
      </w:r>
      <w:r>
        <w:rPr>
          <w:color w:val="005DA1"/>
          <w:u w:val="single" w:color="005DA1"/>
          <w:vertAlign w:val="superscript"/>
        </w:rPr>
        <w:t>1094</w:t>
      </w:r>
      <w:r>
        <w:rPr>
          <w:color w:val="005DA1"/>
          <w:vertAlign w:val="baseline"/>
        </w:rPr>
        <w:t> </w:t>
      </w:r>
      <w:r>
        <w:rPr>
          <w:vertAlign w:val="baseline"/>
        </w:rPr>
        <w:t>under the provisions of the Misrepresentation Act 1967, </w:t>
      </w:r>
      <w:r>
        <w:rPr>
          <w:color w:val="005DA1"/>
          <w:u w:val="single" w:color="005DA1"/>
          <w:vertAlign w:val="superscript"/>
        </w:rPr>
        <w:t>1095</w:t>
      </w:r>
      <w:r>
        <w:rPr>
          <w:color w:val="005DA1"/>
          <w:vertAlign w:val="baseline"/>
        </w:rPr>
        <w:t> </w:t>
      </w:r>
      <w:r>
        <w:rPr>
          <w:vertAlign w:val="baseline"/>
        </w:rPr>
        <w:t>or as a right to redress under the Consumer Protection from Unfair Trading Regulations 2008. </w:t>
      </w:r>
      <w:r>
        <w:rPr>
          <w:color w:val="005DA1"/>
          <w:u w:val="single" w:color="005DA1"/>
          <w:vertAlign w:val="superscript"/>
        </w:rPr>
        <w:t>1096</w:t>
      </w:r>
      <w:r>
        <w:rPr>
          <w:color w:val="005DA1"/>
          <w:vertAlign w:val="baseline"/>
        </w:rPr>
        <w:t> </w:t>
      </w:r>
      <w:r>
        <w:rPr>
          <w:vertAlign w:val="baseline"/>
        </w:rPr>
        <w:t>It is also clear that these rights to damages in tort may exist whether or not the misrepresentation has been incorporated into the contract, thereby giving rise to a claim for breach of contractual warranty, </w:t>
      </w:r>
      <w:r>
        <w:rPr>
          <w:color w:val="005DA1"/>
          <w:u w:val="single" w:color="005DA1"/>
          <w:vertAlign w:val="superscript"/>
        </w:rPr>
        <w:t>1097</w:t>
      </w:r>
      <w:r>
        <w:rPr>
          <w:color w:val="005DA1"/>
          <w:vertAlign w:val="baseline"/>
        </w:rPr>
        <w:t> </w:t>
      </w:r>
      <w:r>
        <w:rPr>
          <w:vertAlign w:val="baseline"/>
        </w:rPr>
        <w:t>and whether or not the claimant chooses to exercise any right of rescission of the contract on the grounds of misrepresentation. </w:t>
      </w:r>
      <w:r>
        <w:rPr>
          <w:color w:val="005DA1"/>
          <w:u w:val="single" w:color="005DA1"/>
          <w:vertAlign w:val="superscript"/>
        </w:rPr>
        <w:t>1098</w:t>
      </w:r>
    </w:p>
    <w:p>
      <w:pPr>
        <w:pStyle w:val="BodyText"/>
        <w:spacing w:before="77"/>
      </w:pPr>
    </w:p>
    <w:p>
      <w:pPr>
        <w:spacing w:before="0"/>
        <w:ind w:left="165" w:right="0" w:firstLine="0"/>
        <w:jc w:val="left"/>
        <w:rPr>
          <w:rFonts w:ascii="Arial"/>
          <w:b/>
          <w:sz w:val="24"/>
        </w:rPr>
      </w:pPr>
      <w:r>
        <w:rPr>
          <w:rFonts w:ascii="Arial"/>
          <w:b/>
          <w:sz w:val="24"/>
        </w:rPr>
        <w:t>1-</w:t>
      </w:r>
      <w:r>
        <w:rPr>
          <w:rFonts w:ascii="Arial"/>
          <w:b/>
          <w:spacing w:val="-5"/>
          <w:sz w:val="24"/>
        </w:rPr>
        <w:t>160</w:t>
      </w:r>
    </w:p>
    <w:p>
      <w:pPr>
        <w:pStyle w:val="BodyText"/>
        <w:spacing w:line="235" w:lineRule="auto" w:before="202"/>
        <w:ind w:left="164" w:right="167"/>
        <w:jc w:val="both"/>
      </w:pPr>
      <w:r>
        <w:rPr/>
        <w:t>More complex, however, is the question whether the claimant’s option to rely on one of these</w:t>
      </w:r>
      <w:r>
        <w:rPr>
          <w:spacing w:val="80"/>
        </w:rPr>
        <w:t> </w:t>
      </w:r>
      <w:r>
        <w:rPr/>
        <w:t>liabilities in tort enables him to avoid restrictions which exist on any claim in contract. While it is </w:t>
      </w:r>
      <w:r>
        <w:rPr/>
        <w:t>clear that a party can by contract exclude liability for negligent misstatement at common law or liability in damages for misrepresentation under the 1967 Act to the extent to which such a term satisfies the requirements of reasonableness, </w:t>
      </w:r>
      <w:r>
        <w:rPr>
          <w:color w:val="005DA1"/>
          <w:u w:val="single" w:color="005DA1"/>
          <w:vertAlign w:val="superscript"/>
        </w:rPr>
        <w:t>1099</w:t>
      </w:r>
      <w:r>
        <w:rPr>
          <w:color w:val="005DA1"/>
          <w:vertAlign w:val="baseline"/>
        </w:rPr>
        <w:t> </w:t>
      </w:r>
      <w:r>
        <w:rPr>
          <w:vertAlign w:val="baseline"/>
        </w:rPr>
        <w:t>a party to a contract cannot exclude liability in damages for his own</w:t>
      </w:r>
      <w:r>
        <w:rPr>
          <w:spacing w:val="-1"/>
          <w:vertAlign w:val="baseline"/>
        </w:rPr>
        <w:t> </w:t>
      </w:r>
      <w:r>
        <w:rPr>
          <w:vertAlign w:val="baseline"/>
        </w:rPr>
        <w:t>fraud.</w:t>
      </w:r>
      <w:r>
        <w:rPr>
          <w:spacing w:val="-1"/>
          <w:vertAlign w:val="baseline"/>
        </w:rPr>
        <w:t> </w:t>
      </w:r>
      <w:r>
        <w:rPr>
          <w:color w:val="005DA1"/>
          <w:u w:val="single" w:color="005DA1"/>
          <w:vertAlign w:val="superscript"/>
        </w:rPr>
        <w:t>1100</w:t>
      </w:r>
      <w:r>
        <w:rPr>
          <w:color w:val="005DA1"/>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hand,</w:t>
      </w:r>
      <w:r>
        <w:rPr>
          <w:spacing w:val="-1"/>
          <w:vertAlign w:val="baseline"/>
        </w:rPr>
        <w:t> </w:t>
      </w:r>
      <w:r>
        <w:rPr>
          <w:vertAlign w:val="baseline"/>
        </w:rPr>
        <w:t>a</w:t>
      </w:r>
      <w:r>
        <w:rPr>
          <w:spacing w:val="-1"/>
          <w:vertAlign w:val="baseline"/>
        </w:rPr>
        <w:t> </w:t>
      </w:r>
      <w:r>
        <w:rPr>
          <w:vertAlign w:val="baseline"/>
        </w:rPr>
        <w:t>party</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minor</w:t>
      </w:r>
      <w:r>
        <w:rPr>
          <w:spacing w:val="-1"/>
          <w:vertAlign w:val="baseline"/>
        </w:rPr>
        <w:t> </w:t>
      </w:r>
      <w:r>
        <w:rPr>
          <w:vertAlign w:val="baseline"/>
        </w:rPr>
        <w:t>cannot</w:t>
      </w:r>
      <w:r>
        <w:rPr>
          <w:spacing w:val="-1"/>
          <w:vertAlign w:val="baseline"/>
        </w:rPr>
        <w:t> </w:t>
      </w:r>
      <w:r>
        <w:rPr>
          <w:vertAlign w:val="baseline"/>
        </w:rPr>
        <w:t>avoid</w:t>
      </w:r>
      <w:r>
        <w:rPr>
          <w:spacing w:val="-1"/>
          <w:vertAlign w:val="baseline"/>
        </w:rPr>
        <w:t> </w:t>
      </w:r>
      <w:r>
        <w:rPr>
          <w:vertAlign w:val="baseline"/>
        </w:rPr>
        <w:t>a</w:t>
      </w:r>
      <w:r>
        <w:rPr>
          <w:spacing w:val="-1"/>
          <w:vertAlign w:val="baseline"/>
        </w:rPr>
        <w:t> </w:t>
      </w:r>
      <w:r>
        <w:rPr>
          <w:vertAlign w:val="baseline"/>
        </w:rPr>
        <w:t>defence</w:t>
      </w:r>
      <w:r>
        <w:rPr>
          <w:spacing w:val="-1"/>
          <w:vertAlign w:val="baseline"/>
        </w:rPr>
        <w:t> </w:t>
      </w:r>
      <w:r>
        <w:rPr>
          <w:vertAlign w:val="baseline"/>
        </w:rPr>
        <w:t>of</w:t>
      </w:r>
      <w:r>
        <w:rPr>
          <w:spacing w:val="-1"/>
          <w:vertAlign w:val="baseline"/>
        </w:rPr>
        <w:t> </w:t>
      </w:r>
      <w:r>
        <w:rPr>
          <w:vertAlign w:val="baseline"/>
        </w:rPr>
        <w:t>infancy by claiming damages in the tort of deceit against the minor on the ground that the latter fraudulently misrepresented his age, even though in general, an infant is liable for his torts, </w:t>
      </w:r>
      <w:r>
        <w:rPr>
          <w:color w:val="005DA1"/>
          <w:u w:val="single" w:color="005DA1"/>
          <w:vertAlign w:val="superscript"/>
        </w:rPr>
        <w:t>1101</w:t>
      </w:r>
      <w:r>
        <w:rPr>
          <w:color w:val="005DA1"/>
          <w:vertAlign w:val="baseline"/>
        </w:rPr>
        <w:t> </w:t>
      </w:r>
      <w:r>
        <w:rPr>
          <w:vertAlign w:val="baseline"/>
        </w:rPr>
        <w:t>because:</w:t>
      </w:r>
    </w:p>
    <w:p>
      <w:pPr>
        <w:pStyle w:val="BodyText"/>
      </w:pPr>
    </w:p>
    <w:p>
      <w:pPr>
        <w:pStyle w:val="BodyText"/>
        <w:spacing w:before="124"/>
      </w:pPr>
    </w:p>
    <w:p>
      <w:pPr>
        <w:pStyle w:val="BodyText"/>
        <w:spacing w:line="235" w:lineRule="auto"/>
        <w:ind w:left="1245"/>
      </w:pPr>
      <w:r>
        <w:rPr/>
        <w:t>“If</w:t>
      </w:r>
      <w:r>
        <w:rPr>
          <w:spacing w:val="17"/>
        </w:rPr>
        <w:t> </w:t>
      </w:r>
      <w:r>
        <w:rPr/>
        <w:t>it</w:t>
      </w:r>
      <w:r>
        <w:rPr>
          <w:spacing w:val="17"/>
        </w:rPr>
        <w:t> </w:t>
      </w:r>
      <w:r>
        <w:rPr/>
        <w:t>were</w:t>
      </w:r>
      <w:r>
        <w:rPr>
          <w:spacing w:val="17"/>
        </w:rPr>
        <w:t> </w:t>
      </w:r>
      <w:r>
        <w:rPr/>
        <w:t>in</w:t>
      </w:r>
      <w:r>
        <w:rPr>
          <w:spacing w:val="17"/>
        </w:rPr>
        <w:t> </w:t>
      </w:r>
      <w:r>
        <w:rPr/>
        <w:t>the</w:t>
      </w:r>
      <w:r>
        <w:rPr>
          <w:spacing w:val="17"/>
        </w:rPr>
        <w:t> </w:t>
      </w:r>
      <w:r>
        <w:rPr/>
        <w:t>power</w:t>
      </w:r>
      <w:r>
        <w:rPr>
          <w:spacing w:val="17"/>
        </w:rPr>
        <w:t> </w:t>
      </w:r>
      <w:r>
        <w:rPr/>
        <w:t>of</w:t>
      </w:r>
      <w:r>
        <w:rPr>
          <w:spacing w:val="17"/>
        </w:rPr>
        <w:t> </w:t>
      </w:r>
      <w:r>
        <w:rPr/>
        <w:t>a</w:t>
      </w:r>
      <w:r>
        <w:rPr>
          <w:spacing w:val="17"/>
        </w:rPr>
        <w:t> </w:t>
      </w:r>
      <w:r>
        <w:rPr/>
        <w:t>plaintiff</w:t>
      </w:r>
      <w:r>
        <w:rPr>
          <w:spacing w:val="17"/>
        </w:rPr>
        <w:t> </w:t>
      </w:r>
      <w:r>
        <w:rPr/>
        <w:t>to</w:t>
      </w:r>
      <w:r>
        <w:rPr>
          <w:spacing w:val="17"/>
        </w:rPr>
        <w:t> </w:t>
      </w:r>
      <w:r>
        <w:rPr/>
        <w:t>convert</w:t>
      </w:r>
      <w:r>
        <w:rPr>
          <w:spacing w:val="17"/>
        </w:rPr>
        <w:t> </w:t>
      </w:r>
      <w:r>
        <w:rPr/>
        <w:t>that</w:t>
      </w:r>
      <w:r>
        <w:rPr>
          <w:spacing w:val="17"/>
        </w:rPr>
        <w:t> </w:t>
      </w:r>
      <w:r>
        <w:rPr/>
        <w:t>which</w:t>
      </w:r>
      <w:r>
        <w:rPr>
          <w:spacing w:val="17"/>
        </w:rPr>
        <w:t> </w:t>
      </w:r>
      <w:r>
        <w:rPr/>
        <w:t>arises</w:t>
      </w:r>
      <w:r>
        <w:rPr>
          <w:spacing w:val="17"/>
        </w:rPr>
        <w:t> </w:t>
      </w:r>
      <w:r>
        <w:rPr/>
        <w:t>out</w:t>
      </w:r>
      <w:r>
        <w:rPr>
          <w:spacing w:val="17"/>
        </w:rPr>
        <w:t> </w:t>
      </w:r>
      <w:r>
        <w:rPr/>
        <w:t>of</w:t>
      </w:r>
      <w:r>
        <w:rPr>
          <w:spacing w:val="17"/>
        </w:rPr>
        <w:t> </w:t>
      </w:r>
      <w:r>
        <w:rPr/>
        <w:t>a</w:t>
      </w:r>
      <w:r>
        <w:rPr>
          <w:spacing w:val="17"/>
        </w:rPr>
        <w:t> </w:t>
      </w:r>
      <w:r>
        <w:rPr/>
        <w:t>contract</w:t>
      </w:r>
      <w:r>
        <w:rPr>
          <w:spacing w:val="17"/>
        </w:rPr>
        <w:t> </w:t>
      </w:r>
      <w:r>
        <w:rPr/>
        <w:t>into</w:t>
      </w:r>
      <w:r>
        <w:rPr>
          <w:spacing w:val="17"/>
        </w:rPr>
        <w:t> </w:t>
      </w:r>
      <w:r>
        <w:rPr/>
        <w:t>a tort, there would be an end of that protection which the law affords to infants.” </w:t>
      </w:r>
      <w:r>
        <w:rPr>
          <w:color w:val="005DA1"/>
          <w:u w:val="single" w:color="005DA1"/>
          <w:vertAlign w:val="superscript"/>
        </w:rPr>
        <w:t>1102</w:t>
      </w:r>
    </w:p>
    <w:p>
      <w:pPr>
        <w:pStyle w:val="BodyText"/>
      </w:pPr>
    </w:p>
    <w:p>
      <w:pPr>
        <w:pStyle w:val="BodyText"/>
      </w:pPr>
    </w:p>
    <w:p>
      <w:pPr>
        <w:pStyle w:val="BodyText"/>
        <w:spacing w:before="155"/>
      </w:pPr>
    </w:p>
    <w:p>
      <w:pPr>
        <w:spacing w:before="0"/>
        <w:ind w:left="165" w:right="0" w:firstLine="0"/>
        <w:jc w:val="left"/>
        <w:rPr>
          <w:rFonts w:ascii="Arial"/>
          <w:b/>
          <w:sz w:val="18"/>
        </w:rPr>
      </w:pPr>
      <w:r>
        <w:rPr>
          <w:rFonts w:ascii="Arial"/>
          <w:b/>
          <w:sz w:val="18"/>
        </w:rPr>
        <w:t>Damages for </w:t>
      </w:r>
      <w:r>
        <w:rPr>
          <w:rFonts w:ascii="Arial"/>
          <w:b/>
          <w:spacing w:val="-2"/>
          <w:sz w:val="18"/>
        </w:rPr>
        <w:t>misrepresentation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161</w:t>
      </w:r>
    </w:p>
    <w:p>
      <w:pPr>
        <w:spacing w:after="0"/>
        <w:jc w:val="left"/>
        <w:rPr>
          <w:rFonts w:ascii="Arial"/>
          <w:b/>
          <w:sz w:val="24"/>
        </w:rPr>
        <w:sectPr>
          <w:headerReference w:type="default" r:id="rId46"/>
          <w:pgSz w:w="11900" w:h="16840"/>
          <w:pgMar w:header="971" w:footer="0" w:top="1300" w:bottom="280" w:left="1275" w:right="1275"/>
          <w:pgNumType w:start="1"/>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45" name="Image 445"/>
            <wp:cNvGraphicFramePr>
              <a:graphicFrameLocks/>
            </wp:cNvGraphicFramePr>
            <a:graphic>
              <a:graphicData uri="http://schemas.openxmlformats.org/drawingml/2006/picture">
                <pic:pic>
                  <pic:nvPicPr>
                    <pic:cNvPr id="445" name="Image 44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Finally, although there are considerable differences between damages in tort and for breach of contract,</w:t>
      </w:r>
      <w:r>
        <w:rPr>
          <w:spacing w:val="-1"/>
        </w:rPr>
        <w:t> </w:t>
      </w:r>
      <w:r>
        <w:rPr>
          <w:color w:val="005DA1"/>
          <w:u w:val="single" w:color="005DA1"/>
          <w:vertAlign w:val="superscript"/>
        </w:rPr>
        <w:t>1103</w:t>
      </w:r>
      <w:r>
        <w:rPr>
          <w:color w:val="005DA1"/>
          <w:spacing w:val="-1"/>
          <w:vertAlign w:val="baseline"/>
        </w:rPr>
        <w:t> </w:t>
      </w:r>
      <w:r>
        <w:rPr>
          <w:vertAlign w:val="baseline"/>
        </w:rPr>
        <w:t>not</w:t>
      </w:r>
      <w:r>
        <w:rPr>
          <w:spacing w:val="-1"/>
          <w:vertAlign w:val="baseline"/>
        </w:rPr>
        <w:t> </w:t>
      </w:r>
      <w:r>
        <w:rPr>
          <w:vertAlign w:val="baseline"/>
        </w:rPr>
        <w:t>all</w:t>
      </w:r>
      <w:r>
        <w:rPr>
          <w:spacing w:val="-1"/>
          <w:vertAlign w:val="baseline"/>
        </w:rPr>
        <w:t> </w:t>
      </w:r>
      <w:r>
        <w:rPr>
          <w:vertAlign w:val="baseline"/>
        </w:rPr>
        <w:t>of</w:t>
      </w:r>
      <w:r>
        <w:rPr>
          <w:spacing w:val="-1"/>
          <w:vertAlign w:val="baseline"/>
        </w:rPr>
        <w:t> </w:t>
      </w:r>
      <w:r>
        <w:rPr>
          <w:vertAlign w:val="baseline"/>
        </w:rPr>
        <w:t>these</w:t>
      </w:r>
      <w:r>
        <w:rPr>
          <w:spacing w:val="-1"/>
          <w:vertAlign w:val="baseline"/>
        </w:rPr>
        <w:t> </w:t>
      </w:r>
      <w:r>
        <w:rPr>
          <w:vertAlign w:val="baseline"/>
        </w:rPr>
        <w:t>are</w:t>
      </w:r>
      <w:r>
        <w:rPr>
          <w:spacing w:val="-1"/>
          <w:vertAlign w:val="baseline"/>
        </w:rPr>
        <w:t> </w:t>
      </w:r>
      <w:r>
        <w:rPr>
          <w:vertAlign w:val="baseline"/>
        </w:rPr>
        <w:t>significant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context</w:t>
      </w:r>
      <w:r>
        <w:rPr>
          <w:spacing w:val="-1"/>
          <w:vertAlign w:val="baseline"/>
        </w:rPr>
        <w:t> </w:t>
      </w:r>
      <w:r>
        <w:rPr>
          <w:vertAlign w:val="baseline"/>
        </w:rPr>
        <w:t>of</w:t>
      </w:r>
      <w:r>
        <w:rPr>
          <w:spacing w:val="-1"/>
          <w:vertAlign w:val="baseline"/>
        </w:rPr>
        <w:t> </w:t>
      </w:r>
      <w:r>
        <w:rPr>
          <w:vertAlign w:val="baseline"/>
        </w:rPr>
        <w:t>pre-contractual</w:t>
      </w:r>
      <w:r>
        <w:rPr>
          <w:spacing w:val="-1"/>
          <w:vertAlign w:val="baseline"/>
        </w:rPr>
        <w:t> </w:t>
      </w:r>
      <w:r>
        <w:rPr>
          <w:vertAlign w:val="baseline"/>
        </w:rPr>
        <w:t>statements.</w:t>
      </w:r>
      <w:r>
        <w:rPr>
          <w:spacing w:val="-1"/>
          <w:vertAlign w:val="baseline"/>
        </w:rPr>
        <w:t> </w:t>
      </w:r>
      <w:r>
        <w:rPr>
          <w:vertAlign w:val="baseline"/>
        </w:rPr>
        <w:t>In</w:t>
      </w:r>
      <w:r>
        <w:rPr>
          <w:spacing w:val="-1"/>
          <w:vertAlign w:val="baseline"/>
        </w:rPr>
        <w:t> </w:t>
      </w:r>
      <w:r>
        <w:rPr>
          <w:vertAlign w:val="baseline"/>
        </w:rPr>
        <w:t>general,</w:t>
      </w:r>
      <w:r>
        <w:rPr>
          <w:spacing w:val="-1"/>
          <w:vertAlign w:val="baseline"/>
        </w:rPr>
        <w:t> </w:t>
      </w:r>
      <w:r>
        <w:rPr>
          <w:vertAlign w:val="baseline"/>
        </w:rPr>
        <w:t>an injured party can claim damages for the loss of an expectation or performance interest in contract but not in tort, and in the context of pre-contractual representation the latter rule means that a claimant can recover damages for misrepresentation in tort only so as to put him in a position as though the representation</w:t>
      </w:r>
      <w:r>
        <w:rPr>
          <w:spacing w:val="14"/>
          <w:vertAlign w:val="baseline"/>
        </w:rPr>
        <w:t> </w:t>
      </w:r>
      <w:r>
        <w:rPr>
          <w:vertAlign w:val="baseline"/>
        </w:rPr>
        <w:t>(and,</w:t>
      </w:r>
      <w:r>
        <w:rPr>
          <w:spacing w:val="14"/>
          <w:vertAlign w:val="baseline"/>
        </w:rPr>
        <w:t> </w:t>
      </w:r>
      <w:r>
        <w:rPr>
          <w:vertAlign w:val="baseline"/>
        </w:rPr>
        <w:t>therefore,</w:t>
      </w:r>
      <w:r>
        <w:rPr>
          <w:spacing w:val="14"/>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assumed,</w:t>
      </w:r>
      <w:r>
        <w:rPr>
          <w:spacing w:val="14"/>
          <w:vertAlign w:val="baseline"/>
        </w:rPr>
        <w:t> </w:t>
      </w:r>
      <w:r>
        <w:rPr>
          <w:vertAlign w:val="baseline"/>
        </w:rPr>
        <w:t>the</w:t>
      </w:r>
      <w:r>
        <w:rPr>
          <w:spacing w:val="14"/>
          <w:vertAlign w:val="baseline"/>
        </w:rPr>
        <w:t> </w:t>
      </w:r>
      <w:r>
        <w:rPr>
          <w:vertAlign w:val="baseline"/>
        </w:rPr>
        <w:t>contract)</w:t>
      </w:r>
      <w:r>
        <w:rPr>
          <w:spacing w:val="14"/>
          <w:vertAlign w:val="baseline"/>
        </w:rPr>
        <w:t> </w:t>
      </w:r>
      <w:r>
        <w:rPr>
          <w:vertAlign w:val="baseline"/>
        </w:rPr>
        <w:t>had</w:t>
      </w:r>
      <w:r>
        <w:rPr>
          <w:spacing w:val="14"/>
          <w:vertAlign w:val="baseline"/>
        </w:rPr>
        <w:t> </w:t>
      </w:r>
      <w:r>
        <w:rPr>
          <w:vertAlign w:val="baseline"/>
        </w:rPr>
        <w:t>not</w:t>
      </w:r>
      <w:r>
        <w:rPr>
          <w:spacing w:val="14"/>
          <w:vertAlign w:val="baseline"/>
        </w:rPr>
        <w:t> </w:t>
      </w:r>
      <w:r>
        <w:rPr>
          <w:vertAlign w:val="baseline"/>
        </w:rPr>
        <w:t>been</w:t>
      </w:r>
      <w:r>
        <w:rPr>
          <w:spacing w:val="14"/>
          <w:vertAlign w:val="baseline"/>
        </w:rPr>
        <w:t> </w:t>
      </w:r>
      <w:r>
        <w:rPr>
          <w:vertAlign w:val="baseline"/>
        </w:rPr>
        <w:t>made</w:t>
      </w:r>
      <w:r>
        <w:rPr>
          <w:spacing w:val="14"/>
          <w:vertAlign w:val="baseline"/>
        </w:rPr>
        <w:t> </w:t>
      </w:r>
      <w:r>
        <w:rPr>
          <w:vertAlign w:val="baseline"/>
        </w:rPr>
        <w:t>and</w:t>
      </w:r>
      <w:r>
        <w:rPr>
          <w:spacing w:val="14"/>
          <w:vertAlign w:val="baseline"/>
        </w:rPr>
        <w:t> </w:t>
      </w:r>
      <w:r>
        <w:rPr>
          <w:vertAlign w:val="baseline"/>
        </w:rPr>
        <w:t>not</w:t>
      </w:r>
      <w:r>
        <w:rPr>
          <w:spacing w:val="14"/>
          <w:vertAlign w:val="baseline"/>
        </w:rPr>
        <w:t> </w:t>
      </w:r>
      <w:r>
        <w:rPr>
          <w:vertAlign w:val="baseline"/>
        </w:rPr>
        <w:t>damages</w:t>
      </w:r>
      <w:r>
        <w:rPr>
          <w:spacing w:val="14"/>
          <w:vertAlign w:val="baseline"/>
        </w:rPr>
        <w:t> </w:t>
      </w:r>
      <w:r>
        <w:rPr>
          <w:spacing w:val="-5"/>
          <w:vertAlign w:val="baseline"/>
        </w:rPr>
        <w:t>as</w:t>
      </w:r>
    </w:p>
    <w:p>
      <w:pPr>
        <w:pStyle w:val="BodyText"/>
        <w:spacing w:line="235" w:lineRule="auto" w:before="118"/>
        <w:ind w:left="165" w:right="167"/>
        <w:jc w:val="both"/>
      </w:pPr>
      <w:r>
        <w:rPr/>
        <w:t>though the representation had been true. </w:t>
      </w:r>
      <w:r>
        <w:rPr>
          <w:color w:val="005DA1"/>
          <w:u w:val="single" w:color="005DA1"/>
          <w:vertAlign w:val="superscript"/>
        </w:rPr>
        <w:t>1104</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446" name="Image 446"/>
            <wp:cNvGraphicFramePr>
              <a:graphicFrameLocks/>
            </wp:cNvGraphicFramePr>
            <a:graphic>
              <a:graphicData uri="http://schemas.openxmlformats.org/drawingml/2006/picture">
                <pic:pic>
                  <pic:nvPicPr>
                    <pic:cNvPr id="446" name="Image 4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5"/>
          <w:vertAlign w:val="baseline"/>
        </w:rPr>
        <w:t> </w:t>
      </w:r>
      <w:r>
        <w:rPr>
          <w:vertAlign w:val="baseline"/>
        </w:rPr>
        <w:t>By contrast, if a court finds that a party made a contractual promise or warranty that his pre-contractual statement was true, then he can recover damages for breach of contract to put him in the position as thought the statement had been true. </w:t>
      </w:r>
      <w:r>
        <w:rPr>
          <w:color w:val="005DA1"/>
          <w:u w:val="single" w:color="005DA1"/>
          <w:vertAlign w:val="superscript"/>
        </w:rPr>
        <w:t>1105</w:t>
      </w:r>
      <w:r>
        <w:rPr>
          <w:color w:val="005DA1"/>
          <w:vertAlign w:val="baseline"/>
        </w:rPr>
        <w:t> </w:t>
      </w:r>
      <w:r>
        <w:rPr>
          <w:vertAlign w:val="baseline"/>
        </w:rPr>
        <w:t>On</w:t>
      </w:r>
      <w:r>
        <w:rPr>
          <w:spacing w:val="22"/>
          <w:vertAlign w:val="baseline"/>
        </w:rPr>
        <w:t> </w:t>
      </w:r>
      <w:r>
        <w:rPr>
          <w:vertAlign w:val="baseline"/>
        </w:rPr>
        <w:t>the</w:t>
      </w:r>
      <w:r>
        <w:rPr>
          <w:spacing w:val="22"/>
          <w:vertAlign w:val="baseline"/>
        </w:rPr>
        <w:t> </w:t>
      </w:r>
      <w:r>
        <w:rPr>
          <w:vertAlign w:val="baseline"/>
        </w:rPr>
        <w:t>other</w:t>
      </w:r>
      <w:r>
        <w:rPr>
          <w:spacing w:val="22"/>
          <w:vertAlign w:val="baseline"/>
        </w:rPr>
        <w:t> </w:t>
      </w:r>
      <w:r>
        <w:rPr>
          <w:vertAlign w:val="baseline"/>
        </w:rPr>
        <w:t>hand,</w:t>
      </w:r>
      <w:r>
        <w:rPr>
          <w:spacing w:val="22"/>
          <w:vertAlign w:val="baseline"/>
        </w:rPr>
        <w:t> </w:t>
      </w:r>
      <w:r>
        <w:rPr>
          <w:vertAlign w:val="baseline"/>
        </w:rPr>
        <w:t>in</w:t>
      </w:r>
      <w:r>
        <w:rPr>
          <w:spacing w:val="22"/>
          <w:vertAlign w:val="baseline"/>
        </w:rPr>
        <w:t> </w:t>
      </w:r>
      <w:r>
        <w:rPr>
          <w:vertAlign w:val="baseline"/>
        </w:rPr>
        <w:t>some</w:t>
      </w:r>
      <w:r>
        <w:rPr>
          <w:spacing w:val="22"/>
          <w:vertAlign w:val="baseline"/>
        </w:rPr>
        <w:t> </w:t>
      </w:r>
      <w:r>
        <w:rPr>
          <w:vertAlign w:val="baseline"/>
        </w:rPr>
        <w:t>cases</w:t>
      </w:r>
      <w:r>
        <w:rPr>
          <w:spacing w:val="22"/>
          <w:vertAlign w:val="baseline"/>
        </w:rPr>
        <w:t> </w:t>
      </w:r>
      <w:r>
        <w:rPr>
          <w:vertAlign w:val="baseline"/>
        </w:rPr>
        <w:t>where</w:t>
      </w:r>
      <w:r>
        <w:rPr>
          <w:spacing w:val="22"/>
          <w:vertAlign w:val="baseline"/>
        </w:rPr>
        <w:t> </w:t>
      </w:r>
      <w:r>
        <w:rPr>
          <w:vertAlign w:val="baseline"/>
        </w:rPr>
        <w:t>a</w:t>
      </w:r>
      <w:r>
        <w:rPr>
          <w:spacing w:val="22"/>
          <w:vertAlign w:val="baseline"/>
        </w:rPr>
        <w:t> </w:t>
      </w:r>
      <w:r>
        <w:rPr>
          <w:vertAlign w:val="baseline"/>
        </w:rPr>
        <w:t>claim</w:t>
      </w:r>
      <w:r>
        <w:rPr>
          <w:spacing w:val="22"/>
          <w:vertAlign w:val="baseline"/>
        </w:rPr>
        <w:t> </w:t>
      </w:r>
      <w:r>
        <w:rPr>
          <w:vertAlign w:val="baseline"/>
        </w:rPr>
        <w:t>is</w:t>
      </w:r>
      <w:r>
        <w:rPr>
          <w:spacing w:val="22"/>
          <w:vertAlign w:val="baseline"/>
        </w:rPr>
        <w:t> </w:t>
      </w:r>
      <w:r>
        <w:rPr>
          <w:vertAlign w:val="baseline"/>
        </w:rPr>
        <w:t>based</w:t>
      </w:r>
      <w:r>
        <w:rPr>
          <w:spacing w:val="22"/>
          <w:vertAlign w:val="baseline"/>
        </w:rPr>
        <w:t> </w:t>
      </w:r>
      <w:r>
        <w:rPr>
          <w:vertAlign w:val="baseline"/>
        </w:rPr>
        <w:t>on</w:t>
      </w:r>
      <w:r>
        <w:rPr>
          <w:spacing w:val="22"/>
          <w:vertAlign w:val="baseline"/>
        </w:rPr>
        <w:t> </w:t>
      </w:r>
      <w:r>
        <w:rPr>
          <w:vertAlign w:val="baseline"/>
        </w:rPr>
        <w:t>breach</w:t>
      </w:r>
      <w:r>
        <w:rPr>
          <w:spacing w:val="22"/>
          <w:vertAlign w:val="baseline"/>
        </w:rPr>
        <w:t> </w:t>
      </w:r>
      <w:r>
        <w:rPr>
          <w:vertAlign w:val="baseline"/>
        </w:rPr>
        <w:t>of</w:t>
      </w:r>
      <w:r>
        <w:rPr>
          <w:spacing w:val="22"/>
          <w:vertAlign w:val="baseline"/>
        </w:rPr>
        <w:t> </w:t>
      </w:r>
      <w:r>
        <w:rPr>
          <w:vertAlign w:val="baseline"/>
        </w:rPr>
        <w:t>a</w:t>
      </w:r>
      <w:r>
        <w:rPr>
          <w:spacing w:val="22"/>
          <w:vertAlign w:val="baseline"/>
        </w:rPr>
        <w:t> </w:t>
      </w:r>
      <w:r>
        <w:rPr>
          <w:vertAlign w:val="baseline"/>
        </w:rPr>
        <w:t>term</w:t>
      </w:r>
      <w:r>
        <w:rPr>
          <w:spacing w:val="22"/>
          <w:vertAlign w:val="baseline"/>
        </w:rPr>
        <w:t> </w:t>
      </w:r>
      <w:r>
        <w:rPr>
          <w:vertAlign w:val="baseline"/>
        </w:rPr>
        <w:t>which</w:t>
      </w:r>
      <w:r>
        <w:rPr>
          <w:spacing w:val="22"/>
          <w:vertAlign w:val="baseline"/>
        </w:rPr>
        <w:t> </w:t>
      </w:r>
      <w:r>
        <w:rPr>
          <w:vertAlign w:val="baseline"/>
        </w:rPr>
        <w:t>has</w:t>
      </w:r>
      <w:r>
        <w:rPr>
          <w:spacing w:val="22"/>
          <w:vertAlign w:val="baseline"/>
        </w:rPr>
        <w:t> </w:t>
      </w:r>
      <w:r>
        <w:rPr>
          <w:spacing w:val="-2"/>
          <w:vertAlign w:val="baseline"/>
        </w:rPr>
        <w:t>resulted</w:t>
      </w:r>
    </w:p>
    <w:p>
      <w:pPr>
        <w:pStyle w:val="BodyText"/>
        <w:spacing w:line="235" w:lineRule="auto" w:before="118"/>
        <w:ind w:left="164" w:right="167"/>
        <w:jc w:val="both"/>
      </w:pPr>
      <w:r>
        <w:rPr/>
        <w:t>from the incorporation of a pre-contractual statement, </w:t>
      </w:r>
      <w:r>
        <w:rPr>
          <w:color w:val="005DA1"/>
          <w:u w:val="single" w:color="005DA1"/>
          <w:vertAlign w:val="superscript"/>
        </w:rPr>
        <w:t>1106</w:t>
      </w:r>
      <w:r>
        <w:rPr>
          <w:color w:val="005DA1"/>
          <w:spacing w:val="80"/>
          <w:w w:val="150"/>
          <w:vertAlign w:val="baseline"/>
        </w:rPr>
        <w:t> </w:t>
      </w:r>
      <w:r>
        <w:rPr>
          <w:color w:val="005DA1"/>
          <w:spacing w:val="5"/>
          <w:position w:val="-2"/>
          <w:vertAlign w:val="baseline"/>
        </w:rPr>
        <w:drawing>
          <wp:inline distT="0" distB="0" distL="0" distR="0">
            <wp:extent cx="107988" cy="107988"/>
            <wp:effectExtent l="0" t="0" r="0" b="0"/>
            <wp:docPr id="447" name="Image 447"/>
            <wp:cNvGraphicFramePr>
              <a:graphicFrameLocks/>
            </wp:cNvGraphicFramePr>
            <a:graphic>
              <a:graphicData uri="http://schemas.openxmlformats.org/drawingml/2006/picture">
                <pic:pic>
                  <pic:nvPicPr>
                    <pic:cNvPr id="447" name="Image 4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5"/>
          <w:vertAlign w:val="baseline"/>
        </w:rPr>
        <w:t> </w:t>
      </w:r>
      <w:r>
        <w:rPr>
          <w:vertAlign w:val="baseline"/>
        </w:rPr>
        <w:t>there will be no difference on this</w:t>
      </w:r>
      <w:r>
        <w:rPr>
          <w:spacing w:val="40"/>
          <w:vertAlign w:val="baseline"/>
        </w:rPr>
        <w:t> </w:t>
      </w:r>
      <w:r>
        <w:rPr>
          <w:vertAlign w:val="baseline"/>
        </w:rPr>
        <w:t>ground between the contractual and tortious measures of damages. In </w:t>
      </w:r>
      <w:r>
        <w:rPr>
          <w:rFonts w:ascii="Arial" w:hAnsi="Arial"/>
          <w:i/>
          <w:vertAlign w:val="baseline"/>
        </w:rPr>
        <w:t>Esso Petroleum Co Ltd v Mardon</w:t>
      </w:r>
      <w:r>
        <w:rPr>
          <w:vertAlign w:val="baseline"/>
        </w:rPr>
        <w:t>, </w:t>
      </w:r>
      <w:r>
        <w:rPr>
          <w:color w:val="005DA1"/>
          <w:u w:val="single" w:color="005DA1"/>
          <w:vertAlign w:val="superscript"/>
        </w:rPr>
        <w:t>1107</w:t>
      </w:r>
      <w:r>
        <w:rPr>
          <w:color w:val="005DA1"/>
          <w:vertAlign w:val="baseline"/>
        </w:rPr>
        <w:t> </w:t>
      </w:r>
      <w:r>
        <w:rPr>
          <w:vertAlign w:val="baseline"/>
        </w:rPr>
        <w:t>the Court of Appeal accepted that a representation of “throughput” of petrol of a </w:t>
      </w:r>
      <w:r>
        <w:rPr>
          <w:vertAlign w:val="baseline"/>
        </w:rPr>
        <w:t>garage by Esso which later proved false, was incorporated into the contract as a warranty. However, the ability of the representee to claim for breach of contract did not affect the damages which he could recover, in particular it did not allow him to claim for the loss of profits he expected to make from taking</w:t>
      </w:r>
      <w:r>
        <w:rPr>
          <w:spacing w:val="-2"/>
          <w:vertAlign w:val="baseline"/>
        </w:rPr>
        <w:t> </w:t>
      </w:r>
      <w:r>
        <w:rPr>
          <w:vertAlign w:val="baseline"/>
        </w:rPr>
        <w:t>a</w:t>
      </w:r>
      <w:r>
        <w:rPr>
          <w:spacing w:val="-2"/>
          <w:vertAlign w:val="baseline"/>
        </w:rPr>
        <w:t> </w:t>
      </w:r>
      <w:r>
        <w:rPr>
          <w:vertAlign w:val="baseline"/>
        </w:rPr>
        <w:t>lease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garage</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throughput</w:t>
      </w:r>
      <w:r>
        <w:rPr>
          <w:spacing w:val="-2"/>
          <w:vertAlign w:val="baseline"/>
        </w:rPr>
        <w:t> </w:t>
      </w:r>
      <w:r>
        <w:rPr>
          <w:vertAlign w:val="baseline"/>
        </w:rPr>
        <w:t>represented,</w:t>
      </w:r>
      <w:r>
        <w:rPr>
          <w:spacing w:val="-2"/>
          <w:vertAlign w:val="baseline"/>
        </w:rPr>
        <w:t> </w:t>
      </w:r>
      <w:r>
        <w:rPr>
          <w:vertAlign w:val="baseline"/>
        </w:rPr>
        <w:t>despite</w:t>
      </w:r>
      <w:r>
        <w:rPr>
          <w:spacing w:val="-2"/>
          <w:vertAlign w:val="baseline"/>
        </w:rPr>
        <w:t> </w:t>
      </w:r>
      <w:r>
        <w:rPr>
          <w:vertAlign w:val="baseline"/>
        </w:rPr>
        <w:t>such</w:t>
      </w:r>
      <w:r>
        <w:rPr>
          <w:spacing w:val="-2"/>
          <w:vertAlign w:val="baseline"/>
        </w:rPr>
        <w:t> </w:t>
      </w:r>
      <w:r>
        <w:rPr>
          <w:vertAlign w:val="baseline"/>
        </w:rPr>
        <w:t>claims</w:t>
      </w:r>
      <w:r>
        <w:rPr>
          <w:spacing w:val="-2"/>
          <w:vertAlign w:val="baseline"/>
        </w:rPr>
        <w:t> </w:t>
      </w:r>
      <w:r>
        <w:rPr>
          <w:vertAlign w:val="baseline"/>
        </w:rPr>
        <w:t>for</w:t>
      </w:r>
      <w:r>
        <w:rPr>
          <w:spacing w:val="-2"/>
          <w:vertAlign w:val="baseline"/>
        </w:rPr>
        <w:t> </w:t>
      </w:r>
      <w:r>
        <w:rPr>
          <w:vertAlign w:val="baseline"/>
        </w:rPr>
        <w:t>lost</w:t>
      </w:r>
      <w:r>
        <w:rPr>
          <w:spacing w:val="-2"/>
          <w:vertAlign w:val="baseline"/>
        </w:rPr>
        <w:t> </w:t>
      </w:r>
      <w:r>
        <w:rPr>
          <w:vertAlign w:val="baseline"/>
        </w:rPr>
        <w:t>profits</w:t>
      </w:r>
      <w:r>
        <w:rPr>
          <w:spacing w:val="-2"/>
          <w:vertAlign w:val="baseline"/>
        </w:rPr>
        <w:t> </w:t>
      </w:r>
      <w:r>
        <w:rPr>
          <w:vertAlign w:val="baseline"/>
        </w:rPr>
        <w:t>being typical of contract. This refusal resulted from the court’s decision as to the </w:t>
      </w:r>
      <w:r>
        <w:rPr>
          <w:rFonts w:ascii="Arial" w:hAnsi="Arial"/>
          <w:i/>
          <w:vertAlign w:val="baseline"/>
        </w:rPr>
        <w:t>content </w:t>
      </w:r>
      <w:r>
        <w:rPr>
          <w:vertAlign w:val="baseline"/>
        </w:rPr>
        <w:t>of the warranty: it was construed not as a promise that the throughput would be a certain amount, but rather that Esso had taken reasonable care in making the estimate of throughput. </w:t>
      </w:r>
      <w:r>
        <w:rPr>
          <w:color w:val="005DA1"/>
          <w:u w:val="single" w:color="005DA1"/>
          <w:vertAlign w:val="superscript"/>
        </w:rPr>
        <w:t>1108</w:t>
      </w:r>
      <w:r>
        <w:rPr>
          <w:color w:val="005DA1"/>
          <w:vertAlign w:val="baseline"/>
        </w:rPr>
        <w:t> </w:t>
      </w:r>
      <w:r>
        <w:rPr>
          <w:vertAlign w:val="baseline"/>
        </w:rPr>
        <w:t>A claim in contract can indeed put an injured party in the position as though the contract had been performed, but if Esso had performed this contractual warranty, and as a result Mardon had been given a true estimate of the throughput of the garage, then Mardon would not have entered into the contract. </w:t>
      </w:r>
      <w:r>
        <w:rPr>
          <w:color w:val="005DA1"/>
          <w:u w:val="single" w:color="005DA1"/>
          <w:vertAlign w:val="superscript"/>
        </w:rPr>
        <w:t>1109</w:t>
      </w:r>
      <w:r>
        <w:rPr>
          <w:color w:val="005DA1"/>
          <w:vertAlign w:val="baseline"/>
        </w:rPr>
        <w:t> </w:t>
      </w:r>
      <w:r>
        <w:rPr>
          <w:vertAlign w:val="baseline"/>
        </w:rPr>
        <w:t>In this way, damages in contract and in tort </w:t>
      </w:r>
      <w:r>
        <w:rPr>
          <w:color w:val="005DA1"/>
          <w:u w:val="single" w:color="005DA1"/>
          <w:vertAlign w:val="superscript"/>
        </w:rPr>
        <w:t>1110</w:t>
      </w:r>
      <w:r>
        <w:rPr>
          <w:color w:val="005DA1"/>
          <w:vertAlign w:val="baseline"/>
        </w:rPr>
        <w:t> </w:t>
      </w:r>
      <w:r>
        <w:rPr>
          <w:vertAlign w:val="baseline"/>
        </w:rPr>
        <w:t>are based on the same measure, viz to put the claimant in the position as though the contract had not been made. </w:t>
      </w:r>
      <w:r>
        <w:rPr>
          <w:color w:val="005DA1"/>
          <w:u w:val="single" w:color="005DA1"/>
          <w:vertAlign w:val="superscript"/>
        </w:rPr>
        <w:t>1111</w:t>
      </w:r>
      <w:r>
        <w:rPr>
          <w:color w:val="005DA1"/>
          <w:vertAlign w:val="baseline"/>
        </w:rPr>
        <w:t> </w:t>
      </w:r>
      <w:r>
        <w:rPr>
          <w:vertAlign w:val="baseline"/>
        </w:rPr>
        <w:t>On the other hand, while it has been stated that a claimant will not recover more damages in tort than he would in contract, </w:t>
      </w:r>
      <w:r>
        <w:rPr>
          <w:color w:val="005DA1"/>
          <w:u w:val="single" w:color="005DA1"/>
          <w:vertAlign w:val="superscript"/>
        </w:rPr>
        <w:t>1112</w:t>
      </w:r>
      <w:r>
        <w:rPr>
          <w:color w:val="005DA1"/>
          <w:vertAlign w:val="baseline"/>
        </w:rPr>
        <w:t> </w:t>
      </w:r>
      <w:r>
        <w:rPr>
          <w:vertAlign w:val="baseline"/>
        </w:rPr>
        <w:t>it is clear that a claimant may indeed recover more damages where his claim is based on fraud or for negligent misrepresentation under the 1967 Act, </w:t>
      </w:r>
      <w:r>
        <w:rPr>
          <w:color w:val="005DA1"/>
          <w:u w:val="single" w:color="005DA1"/>
          <w:vertAlign w:val="superscript"/>
        </w:rPr>
        <w:t>1113</w:t>
      </w:r>
      <w:r>
        <w:rPr>
          <w:color w:val="005DA1"/>
          <w:vertAlign w:val="baseline"/>
        </w:rPr>
        <w:t> </w:t>
      </w:r>
      <w:r>
        <w:rPr>
          <w:vertAlign w:val="baseline"/>
        </w:rPr>
        <w:t>as the test of remoteness of damage applicable to these claims</w:t>
      </w:r>
      <w:r>
        <w:rPr>
          <w:spacing w:val="-1"/>
          <w:vertAlign w:val="baseline"/>
        </w:rPr>
        <w:t> </w:t>
      </w:r>
      <w:r>
        <w:rPr>
          <w:vertAlign w:val="baseline"/>
        </w:rPr>
        <w:t>is</w:t>
      </w:r>
      <w:r>
        <w:rPr>
          <w:spacing w:val="-1"/>
          <w:vertAlign w:val="baseline"/>
        </w:rPr>
        <w:t> </w:t>
      </w:r>
      <w:r>
        <w:rPr>
          <w:vertAlign w:val="baseline"/>
        </w:rPr>
        <w:t>more</w:t>
      </w:r>
      <w:r>
        <w:rPr>
          <w:spacing w:val="-1"/>
          <w:vertAlign w:val="baseline"/>
        </w:rPr>
        <w:t> </w:t>
      </w:r>
      <w:r>
        <w:rPr>
          <w:vertAlign w:val="baseline"/>
        </w:rPr>
        <w:t>generous</w:t>
      </w:r>
      <w:r>
        <w:rPr>
          <w:spacing w:val="-1"/>
          <w:vertAlign w:val="baseline"/>
        </w:rPr>
        <w:t> </w:t>
      </w:r>
      <w:r>
        <w:rPr>
          <w:vertAlign w:val="baseline"/>
        </w:rPr>
        <w:t>than</w:t>
      </w:r>
      <w:r>
        <w:rPr>
          <w:spacing w:val="-1"/>
          <w:vertAlign w:val="baseline"/>
        </w:rPr>
        <w:t> </w:t>
      </w:r>
      <w:r>
        <w:rPr>
          <w:vertAlign w:val="baseline"/>
        </w:rPr>
        <w:t>the</w:t>
      </w:r>
      <w:r>
        <w:rPr>
          <w:spacing w:val="-1"/>
          <w:vertAlign w:val="baseline"/>
        </w:rPr>
        <w:t> </w:t>
      </w:r>
      <w:r>
        <w:rPr>
          <w:vertAlign w:val="baseline"/>
        </w:rPr>
        <w:t>test</w:t>
      </w:r>
      <w:r>
        <w:rPr>
          <w:spacing w:val="-1"/>
          <w:vertAlign w:val="baseline"/>
        </w:rPr>
        <w:t> </w:t>
      </w:r>
      <w:r>
        <w:rPr>
          <w:vertAlign w:val="baseline"/>
        </w:rPr>
        <w:t>which</w:t>
      </w:r>
      <w:r>
        <w:rPr>
          <w:spacing w:val="-1"/>
          <w:vertAlign w:val="baseline"/>
        </w:rPr>
        <w:t> </w:t>
      </w:r>
      <w:r>
        <w:rPr>
          <w:vertAlign w:val="baseline"/>
        </w:rPr>
        <w:t>applies</w:t>
      </w:r>
      <w:r>
        <w:rPr>
          <w:spacing w:val="-1"/>
          <w:vertAlign w:val="baseline"/>
        </w:rPr>
        <w:t> </w:t>
      </w:r>
      <w:r>
        <w:rPr>
          <w:vertAlign w:val="baseline"/>
        </w:rPr>
        <w:t>to</w:t>
      </w:r>
      <w:r>
        <w:rPr>
          <w:spacing w:val="-1"/>
          <w:vertAlign w:val="baseline"/>
        </w:rPr>
        <w:t> </w:t>
      </w:r>
      <w:r>
        <w:rPr>
          <w:vertAlign w:val="baseline"/>
        </w:rPr>
        <w:t>claims</w:t>
      </w:r>
      <w:r>
        <w:rPr>
          <w:spacing w:val="-1"/>
          <w:vertAlign w:val="baseline"/>
        </w:rPr>
        <w:t> </w:t>
      </w:r>
      <w:r>
        <w:rPr>
          <w:vertAlign w:val="baseline"/>
        </w:rPr>
        <w:t>for</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contract.</w:t>
      </w:r>
      <w:r>
        <w:rPr>
          <w:spacing w:val="-2"/>
          <w:vertAlign w:val="baseline"/>
        </w:rPr>
        <w:t> </w:t>
      </w:r>
      <w:r>
        <w:rPr>
          <w:color w:val="005DA1"/>
          <w:u w:val="single" w:color="005DA1"/>
          <w:vertAlign w:val="superscript"/>
        </w:rPr>
        <w:t>1114</w:t>
      </w:r>
      <w:r>
        <w:rPr>
          <w:color w:val="005DA1"/>
          <w:spacing w:val="-1"/>
          <w:vertAlign w:val="baseline"/>
        </w:rPr>
        <w:t> </w:t>
      </w:r>
      <w:r>
        <w:rPr>
          <w:vertAlign w:val="baseline"/>
        </w:rPr>
        <w:t>Furthermore, it is possible (if unlikely) that someone suing for fraud may be able to recover punitive damages, </w:t>
      </w:r>
      <w:r>
        <w:rPr>
          <w:color w:val="005DA1"/>
          <w:u w:val="single" w:color="005DA1"/>
          <w:vertAlign w:val="superscript"/>
        </w:rPr>
        <w:t>1115</w:t>
      </w:r>
      <w:r>
        <w:rPr>
          <w:color w:val="005DA1"/>
          <w:vertAlign w:val="baseline"/>
        </w:rPr>
        <w:t> </w:t>
      </w:r>
      <w:r>
        <w:rPr>
          <w:vertAlign w:val="baseline"/>
        </w:rPr>
        <w:t>whereas these are not available for claims for breach of contract. </w:t>
      </w:r>
      <w:r>
        <w:rPr>
          <w:color w:val="005DA1"/>
          <w:u w:val="single" w:color="005DA1"/>
          <w:vertAlign w:val="superscript"/>
        </w:rPr>
        <w:t>1116</w:t>
      </w:r>
    </w:p>
    <w:p>
      <w:pPr>
        <w:pStyle w:val="BodyText"/>
      </w:pPr>
    </w:p>
    <w:p>
      <w:pPr>
        <w:pStyle w:val="BodyText"/>
        <w:spacing w:before="31"/>
      </w:pPr>
    </w:p>
    <w:p>
      <w:pPr>
        <w:spacing w:before="0"/>
        <w:ind w:left="165" w:right="0" w:firstLine="0"/>
        <w:jc w:val="left"/>
        <w:rPr>
          <w:rFonts w:ascii="Arial"/>
          <w:b/>
          <w:sz w:val="18"/>
        </w:rPr>
      </w:pPr>
      <w:r>
        <w:rPr>
          <w:rFonts w:ascii="Arial"/>
          <w:b/>
          <w:sz w:val="18"/>
        </w:rPr>
        <w:t>Liability for non-</w:t>
      </w:r>
      <w:r>
        <w:rPr>
          <w:rFonts w:ascii="Arial"/>
          <w:b/>
          <w:spacing w:val="-2"/>
          <w:sz w:val="18"/>
        </w:rPr>
        <w:t>disclosure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162</w:t>
      </w:r>
    </w:p>
    <w:p>
      <w:pPr>
        <w:pStyle w:val="BodyText"/>
        <w:spacing w:line="235" w:lineRule="auto" w:before="203"/>
        <w:ind w:left="165" w:right="167"/>
        <w:jc w:val="both"/>
      </w:pPr>
      <w:r>
        <w:rPr/>
        <w:t>As</w:t>
      </w:r>
      <w:r>
        <w:rPr>
          <w:spacing w:val="80"/>
        </w:rPr>
        <w:t> </w:t>
      </w:r>
      <w:r>
        <w:rPr/>
        <w:t>will</w:t>
      </w:r>
      <w:r>
        <w:rPr>
          <w:spacing w:val="80"/>
        </w:rPr>
        <w:t> </w:t>
      </w:r>
      <w:r>
        <w:rPr/>
        <w:t>be</w:t>
      </w:r>
      <w:r>
        <w:rPr>
          <w:spacing w:val="80"/>
        </w:rPr>
        <w:t> </w:t>
      </w:r>
      <w:r>
        <w:rPr/>
        <w:t>seen,</w:t>
      </w:r>
      <w:r>
        <w:rPr>
          <w:spacing w:val="80"/>
        </w:rPr>
        <w:t> </w:t>
      </w:r>
      <w:r>
        <w:rPr/>
        <w:t>the</w:t>
      </w:r>
      <w:r>
        <w:rPr>
          <w:spacing w:val="80"/>
        </w:rPr>
        <w:t> </w:t>
      </w:r>
      <w:r>
        <w:rPr/>
        <w:t>courts</w:t>
      </w:r>
      <w:r>
        <w:rPr>
          <w:spacing w:val="80"/>
        </w:rPr>
        <w:t> </w:t>
      </w:r>
      <w:r>
        <w:rPr/>
        <w:t>draw</w:t>
      </w:r>
      <w:r>
        <w:rPr>
          <w:spacing w:val="80"/>
        </w:rPr>
        <w:t> </w:t>
      </w:r>
      <w:r>
        <w:rPr/>
        <w:t>a</w:t>
      </w:r>
      <w:r>
        <w:rPr>
          <w:spacing w:val="80"/>
        </w:rPr>
        <w:t> </w:t>
      </w:r>
      <w:r>
        <w:rPr/>
        <w:t>clear</w:t>
      </w:r>
      <w:r>
        <w:rPr>
          <w:spacing w:val="80"/>
        </w:rPr>
        <w:t> </w:t>
      </w:r>
      <w:r>
        <w:rPr/>
        <w:t>line</w:t>
      </w:r>
      <w:r>
        <w:rPr>
          <w:spacing w:val="80"/>
        </w:rPr>
        <w:t> </w:t>
      </w:r>
      <w:r>
        <w:rPr/>
        <w:t>between</w:t>
      </w:r>
      <w:r>
        <w:rPr>
          <w:spacing w:val="80"/>
        </w:rPr>
        <w:t> </w:t>
      </w:r>
      <w:r>
        <w:rPr/>
        <w:t>cases</w:t>
      </w:r>
      <w:r>
        <w:rPr>
          <w:spacing w:val="80"/>
        </w:rPr>
        <w:t> </w:t>
      </w:r>
      <w:r>
        <w:rPr/>
        <w:t>of</w:t>
      </w:r>
      <w:r>
        <w:rPr>
          <w:spacing w:val="80"/>
        </w:rPr>
        <w:t> </w:t>
      </w:r>
      <w:r>
        <w:rPr/>
        <w:t>misrepresentation</w:t>
      </w:r>
      <w:r>
        <w:rPr>
          <w:spacing w:val="80"/>
        </w:rPr>
        <w:t> </w:t>
      </w:r>
      <w:r>
        <w:rPr/>
        <w:t>and</w:t>
      </w:r>
      <w:r>
        <w:rPr>
          <w:spacing w:val="80"/>
        </w:rPr>
        <w:t> </w:t>
      </w:r>
      <w:r>
        <w:rPr/>
        <w:t>of non-disclosure for the purposes of deciding the availability of rescission for the other party. </w:t>
      </w:r>
      <w:r>
        <w:rPr>
          <w:color w:val="005DA1"/>
          <w:u w:val="single" w:color="005DA1"/>
          <w:vertAlign w:val="superscript"/>
        </w:rPr>
        <w:t>1117</w:t>
      </w:r>
      <w:r>
        <w:rPr>
          <w:color w:val="005DA1"/>
          <w:vertAlign w:val="baseline"/>
        </w:rPr>
        <w:t> </w:t>
      </w:r>
      <w:r>
        <w:rPr>
          <w:vertAlign w:val="baseline"/>
        </w:rPr>
        <w:t>While in general the courts have echoed this distinction in the context of liability in damages, they have accepted that in principle a contractor may be liable in the tort of negligence for a failure to speak,</w:t>
      </w:r>
      <w:r>
        <w:rPr>
          <w:spacing w:val="-1"/>
          <w:vertAlign w:val="baseline"/>
        </w:rPr>
        <w:t> </w:t>
      </w:r>
      <w:r>
        <w:rPr>
          <w:color w:val="005DA1"/>
          <w:u w:val="single" w:color="005DA1"/>
          <w:vertAlign w:val="superscript"/>
        </w:rPr>
        <w:t>1118</w:t>
      </w:r>
      <w:r>
        <w:rPr>
          <w:color w:val="005DA1"/>
          <w:vertAlign w:val="baseline"/>
        </w:rPr>
        <w:t> </w:t>
      </w:r>
      <w:r>
        <w:rPr>
          <w:vertAlign w:val="baseline"/>
        </w:rPr>
        <w:t>but the modern approach has been to restrict liability in these circumstances to cases where the defendant has “voluntarily accepted responsibility”. </w:t>
      </w:r>
      <w:r>
        <w:rPr>
          <w:color w:val="005DA1"/>
          <w:u w:val="single" w:color="005DA1"/>
          <w:vertAlign w:val="superscript"/>
        </w:rPr>
        <w:t>1119</w:t>
      </w:r>
      <w:r>
        <w:rPr>
          <w:color w:val="005DA1"/>
          <w:vertAlign w:val="baseline"/>
        </w:rPr>
        <w:t> </w:t>
      </w:r>
      <w:r>
        <w:rPr>
          <w:vertAlign w:val="baseline"/>
        </w:rPr>
        <w:t>Indeed, even in a case where the law exceptionally imposes a duty of pre-contractual disclosure on a party to a contract, the courts have refused to impose liability in damages in tort to sanction its breach. </w:t>
      </w:r>
      <w:r>
        <w:rPr>
          <w:color w:val="005DA1"/>
          <w:u w:val="single" w:color="005DA1"/>
          <w:vertAlign w:val="superscript"/>
        </w:rPr>
        <w:t>1120</w:t>
      </w:r>
      <w:r>
        <w:rPr>
          <w:color w:val="005DA1"/>
          <w:vertAlign w:val="baseline"/>
        </w:rPr>
        <w:t> </w:t>
      </w:r>
      <w:r>
        <w:rPr>
          <w:vertAlign w:val="baseline"/>
        </w:rPr>
        <w:t>While this result was reached before the House of Lords in </w:t>
      </w:r>
      <w:r>
        <w:rPr>
          <w:rFonts w:ascii="Arial" w:hAnsi="Arial"/>
          <w:i/>
          <w:vertAlign w:val="baseline"/>
        </w:rPr>
        <w:t>Henderson v Merrett Syndicates Ltd </w:t>
      </w:r>
      <w:r>
        <w:rPr>
          <w:color w:val="005DA1"/>
          <w:u w:val="single" w:color="005DA1"/>
          <w:vertAlign w:val="superscript"/>
        </w:rPr>
        <w:t>1121</w:t>
      </w:r>
      <w:r>
        <w:rPr>
          <w:color w:val="005DA1"/>
          <w:vertAlign w:val="baseline"/>
        </w:rPr>
        <w:t> </w:t>
      </w:r>
      <w:r>
        <w:rPr>
          <w:vertAlign w:val="baseline"/>
        </w:rPr>
        <w:t>had disapproved the idea that the existence of a contract between the parties is in itself a reason for denying a claim in tort, it may well be that a future court would hold that a person cannot be said to </w:t>
      </w:r>
      <w:r>
        <w:rPr>
          <w:rFonts w:ascii="Arial" w:hAnsi="Arial"/>
          <w:i/>
          <w:vertAlign w:val="baseline"/>
        </w:rPr>
        <w:t>"assume responsibility"</w:t>
      </w:r>
      <w:r>
        <w:rPr>
          <w:rFonts w:ascii="Arial" w:hAnsi="Arial"/>
          <w:i/>
          <w:spacing w:val="40"/>
          <w:vertAlign w:val="baseline"/>
        </w:rPr>
        <w:t> </w:t>
      </w:r>
      <w:r>
        <w:rPr>
          <w:vertAlign w:val="baseline"/>
        </w:rPr>
        <w:t>for a matter in relation to which he owes a legal duty. Moreover, the idea that the law of tort should not be allowed to “cut across the principles of contract law” could be considered as a consideration of policy arguing against the existence of a duty of care in the tort of negligence, even where this was based</w:t>
      </w:r>
      <w:r>
        <w:rPr>
          <w:spacing w:val="40"/>
          <w:vertAlign w:val="baseline"/>
        </w:rPr>
        <w:t> </w:t>
      </w:r>
      <w:r>
        <w:rPr>
          <w:vertAlign w:val="baseline"/>
        </w:rPr>
        <w:t>on an “assumption of responsibility”. </w:t>
      </w:r>
      <w:r>
        <w:rPr>
          <w:color w:val="005DA1"/>
          <w:u w:val="single" w:color="005DA1"/>
          <w:vertAlign w:val="superscript"/>
        </w:rPr>
        <w:t>1122</w:t>
      </w:r>
    </w:p>
    <w:p>
      <w:pPr>
        <w:pStyle w:val="BodyText"/>
      </w:pPr>
    </w:p>
    <w:p>
      <w:pPr>
        <w:pStyle w:val="BodyText"/>
        <w:spacing w:before="33"/>
      </w:pPr>
    </w:p>
    <w:p>
      <w:pPr>
        <w:spacing w:before="0"/>
        <w:ind w:left="165" w:right="0" w:firstLine="0"/>
        <w:jc w:val="left"/>
        <w:rPr>
          <w:rFonts w:ascii="Arial"/>
          <w:b/>
          <w:sz w:val="18"/>
        </w:rPr>
      </w:pPr>
      <w:r>
        <w:rPr>
          <w:rFonts w:ascii="Arial"/>
          <w:b/>
          <w:spacing w:val="-2"/>
          <w:sz w:val="18"/>
        </w:rPr>
        <w:t>Duress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163</w:t>
      </w:r>
    </w:p>
    <w:p>
      <w:pPr>
        <w:pStyle w:val="BodyText"/>
        <w:spacing w:before="199"/>
        <w:ind w:left="165"/>
        <w:jc w:val="both"/>
      </w:pPr>
      <w:r>
        <w:rPr/>
        <w:t>Duress,</w:t>
      </w:r>
      <w:r>
        <w:rPr>
          <w:spacing w:val="5"/>
        </w:rPr>
        <w:t> </w:t>
      </w:r>
      <w:r>
        <w:rPr/>
        <w:t>whether</w:t>
      </w:r>
      <w:r>
        <w:rPr>
          <w:spacing w:val="5"/>
        </w:rPr>
        <w:t> </w:t>
      </w:r>
      <w:r>
        <w:rPr/>
        <w:t>by</w:t>
      </w:r>
      <w:r>
        <w:rPr>
          <w:spacing w:val="5"/>
        </w:rPr>
        <w:t> </w:t>
      </w:r>
      <w:r>
        <w:rPr/>
        <w:t>means</w:t>
      </w:r>
      <w:r>
        <w:rPr>
          <w:spacing w:val="5"/>
        </w:rPr>
        <w:t> </w:t>
      </w:r>
      <w:r>
        <w:rPr/>
        <w:t>of</w:t>
      </w:r>
      <w:r>
        <w:rPr>
          <w:spacing w:val="5"/>
        </w:rPr>
        <w:t> </w:t>
      </w:r>
      <w:r>
        <w:rPr/>
        <w:t>physical</w:t>
      </w:r>
      <w:r>
        <w:rPr>
          <w:spacing w:val="5"/>
        </w:rPr>
        <w:t> </w:t>
      </w:r>
      <w:r>
        <w:rPr/>
        <w:t>or</w:t>
      </w:r>
      <w:r>
        <w:rPr>
          <w:spacing w:val="5"/>
        </w:rPr>
        <w:t> </w:t>
      </w:r>
      <w:r>
        <w:rPr/>
        <w:t>economic</w:t>
      </w:r>
      <w:r>
        <w:rPr>
          <w:spacing w:val="5"/>
        </w:rPr>
        <w:t> </w:t>
      </w:r>
      <w:r>
        <w:rPr/>
        <w:t>threats,</w:t>
      </w:r>
      <w:r>
        <w:rPr>
          <w:spacing w:val="5"/>
        </w:rPr>
        <w:t> </w:t>
      </w:r>
      <w:r>
        <w:rPr/>
        <w:t>exercised</w:t>
      </w:r>
      <w:r>
        <w:rPr>
          <w:spacing w:val="5"/>
        </w:rPr>
        <w:t> </w:t>
      </w:r>
      <w:r>
        <w:rPr/>
        <w:t>by</w:t>
      </w:r>
      <w:r>
        <w:rPr>
          <w:spacing w:val="5"/>
        </w:rPr>
        <w:t> </w:t>
      </w:r>
      <w:r>
        <w:rPr/>
        <w:t>A</w:t>
      </w:r>
      <w:r>
        <w:rPr>
          <w:spacing w:val="5"/>
        </w:rPr>
        <w:t> </w:t>
      </w:r>
      <w:r>
        <w:rPr/>
        <w:t>against</w:t>
      </w:r>
      <w:r>
        <w:rPr>
          <w:spacing w:val="5"/>
        </w:rPr>
        <w:t> </w:t>
      </w:r>
      <w:r>
        <w:rPr/>
        <w:t>B</w:t>
      </w:r>
      <w:r>
        <w:rPr>
          <w:spacing w:val="5"/>
        </w:rPr>
        <w:t> </w:t>
      </w:r>
      <w:r>
        <w:rPr/>
        <w:t>with</w:t>
      </w:r>
      <w:r>
        <w:rPr>
          <w:spacing w:val="5"/>
        </w:rPr>
        <w:t> </w:t>
      </w:r>
      <w:r>
        <w:rPr/>
        <w:t>the</w:t>
      </w:r>
      <w:r>
        <w:rPr>
          <w:spacing w:val="5"/>
        </w:rPr>
        <w:t> </w:t>
      </w:r>
      <w:r>
        <w:rPr/>
        <w:t>view</w:t>
      </w:r>
      <w:r>
        <w:rPr>
          <w:spacing w:val="5"/>
        </w:rPr>
        <w:t> </w:t>
      </w:r>
      <w:r>
        <w:rPr>
          <w:spacing w:val="-5"/>
        </w:rPr>
        <w:t>to</w:t>
      </w:r>
    </w:p>
    <w:p>
      <w:pPr>
        <w:pStyle w:val="BodyText"/>
        <w:spacing w:after="0"/>
        <w:jc w:val="both"/>
        <w:sectPr>
          <w:pgSz w:w="11900" w:h="16840"/>
          <w:pgMar w:header="971" w:footer="0" w:top="1300" w:bottom="280" w:left="1275" w:right="1275"/>
        </w:sectPr>
      </w:pPr>
    </w:p>
    <w:p>
      <w:pPr>
        <w:pStyle w:val="BodyText"/>
        <w:spacing w:line="235" w:lineRule="auto" w:before="210"/>
        <w:ind w:left="165" w:right="167"/>
        <w:jc w:val="both"/>
      </w:pPr>
      <w:r>
        <w:rPr/>
        <w:t>making B enter a contract with A, may in certain circumstances give rise to a right in B to avoid </w:t>
      </w:r>
      <w:r>
        <w:rPr/>
        <w:t>that contract. </w:t>
      </w:r>
      <w:r>
        <w:rPr>
          <w:color w:val="005DA1"/>
          <w:u w:val="single" w:color="005DA1"/>
          <w:vertAlign w:val="superscript"/>
        </w:rPr>
        <w:t>1123</w:t>
      </w:r>
      <w:r>
        <w:rPr>
          <w:color w:val="005DA1"/>
          <w:vertAlign w:val="baseline"/>
        </w:rPr>
        <w:t> </w:t>
      </w:r>
      <w:r>
        <w:rPr>
          <w:vertAlign w:val="baseline"/>
        </w:rPr>
        <w:t>While the circumstances which give rise to this right of avoidance will not necessarily give rise to a right to damages, </w:t>
      </w:r>
      <w:r>
        <w:rPr>
          <w:color w:val="005DA1"/>
          <w:u w:val="single" w:color="005DA1"/>
          <w:vertAlign w:val="superscript"/>
        </w:rPr>
        <w:t>1124</w:t>
      </w:r>
      <w:r>
        <w:rPr>
          <w:color w:val="005DA1"/>
          <w:vertAlign w:val="baseline"/>
        </w:rPr>
        <w:t> </w:t>
      </w:r>
      <w:r>
        <w:rPr>
          <w:vertAlign w:val="baseline"/>
        </w:rPr>
        <w:t>in contrast to the position as regards fraud, </w:t>
      </w:r>
      <w:r>
        <w:rPr>
          <w:color w:val="005DA1"/>
          <w:u w:val="single" w:color="005DA1"/>
          <w:vertAlign w:val="superscript"/>
        </w:rPr>
        <w:t>1125</w:t>
      </w:r>
      <w:r>
        <w:rPr>
          <w:color w:val="005DA1"/>
          <w:vertAlign w:val="baseline"/>
        </w:rPr>
        <w:t> </w:t>
      </w:r>
      <w:r>
        <w:rPr>
          <w:vertAlign w:val="baseline"/>
        </w:rPr>
        <w:t>they may give rise to the conditions of liability under the tort of intimidation (or tort of causing loss by unlawful means). </w:t>
      </w:r>
      <w:r>
        <w:rPr>
          <w:color w:val="005DA1"/>
          <w:u w:val="single" w:color="005DA1"/>
          <w:vertAlign w:val="superscript"/>
        </w:rPr>
        <w:t>1126</w:t>
      </w:r>
      <w:r>
        <w:rPr>
          <w:color w:val="005DA1"/>
          <w:vertAlign w:val="baseline"/>
        </w:rPr>
        <w:t> </w:t>
      </w:r>
      <w:r>
        <w:rPr>
          <w:vertAlign w:val="baseline"/>
        </w:rPr>
        <w:t>This tort is usually applied to cases where A forces B to do or to refrain from doing something to the prejudice of C (“three-party intimidation”), but there is high authority for the proposition that it also applies to cases where A forces B to do something for A’s intended benefit (“two-party intimidation”). </w:t>
      </w:r>
      <w:r>
        <w:rPr>
          <w:color w:val="005DA1"/>
          <w:u w:val="single" w:color="005DA1"/>
          <w:vertAlign w:val="superscript"/>
        </w:rPr>
        <w:t>1127</w:t>
      </w:r>
      <w:r>
        <w:rPr>
          <w:color w:val="005DA1"/>
          <w:vertAlign w:val="baseline"/>
        </w:rPr>
        <w:t> </w:t>
      </w:r>
      <w:r>
        <w:rPr>
          <w:vertAlign w:val="baseline"/>
        </w:rPr>
        <w:t>In circumstances where the conditions for the existence of the tort exist, it would seem that it can be relied on by one party to a contract as against the other, although it is more controversial whether this</w:t>
      </w:r>
      <w:r>
        <w:rPr>
          <w:spacing w:val="-1"/>
          <w:vertAlign w:val="baseline"/>
        </w:rPr>
        <w:t> </w:t>
      </w:r>
      <w:r>
        <w:rPr>
          <w:vertAlign w:val="baseline"/>
        </w:rPr>
        <w:t>right</w:t>
      </w:r>
      <w:r>
        <w:rPr>
          <w:spacing w:val="-1"/>
          <w:vertAlign w:val="baseline"/>
        </w:rPr>
        <w:t> </w:t>
      </w:r>
      <w:r>
        <w:rPr>
          <w:vertAlign w:val="baseline"/>
        </w:rPr>
        <w:t>remains</w:t>
      </w:r>
      <w:r>
        <w:rPr>
          <w:spacing w:val="-1"/>
          <w:vertAlign w:val="baseline"/>
        </w:rPr>
        <w:t> </w:t>
      </w:r>
      <w:r>
        <w:rPr>
          <w:vertAlign w:val="baseline"/>
        </w:rPr>
        <w:t>after</w:t>
      </w:r>
      <w:r>
        <w:rPr>
          <w:spacing w:val="-1"/>
          <w:vertAlign w:val="baseline"/>
        </w:rPr>
        <w:t> </w:t>
      </w:r>
      <w:r>
        <w:rPr>
          <w:vertAlign w:val="baseline"/>
        </w:rPr>
        <w:t>the</w:t>
      </w:r>
      <w:r>
        <w:rPr>
          <w:spacing w:val="-1"/>
          <w:vertAlign w:val="baseline"/>
        </w:rPr>
        <w:t> </w:t>
      </w:r>
      <w:r>
        <w:rPr>
          <w:vertAlign w:val="baseline"/>
        </w:rPr>
        <w:t>coerced</w:t>
      </w:r>
      <w:r>
        <w:rPr>
          <w:spacing w:val="-1"/>
          <w:vertAlign w:val="baseline"/>
        </w:rPr>
        <w:t> </w:t>
      </w:r>
      <w:r>
        <w:rPr>
          <w:vertAlign w:val="baseline"/>
        </w:rPr>
        <w:t>party</w:t>
      </w:r>
      <w:r>
        <w:rPr>
          <w:spacing w:val="-1"/>
          <w:vertAlign w:val="baseline"/>
        </w:rPr>
        <w:t> </w:t>
      </w:r>
      <w:r>
        <w:rPr>
          <w:vertAlign w:val="baseline"/>
        </w:rPr>
        <w:t>has</w:t>
      </w:r>
      <w:r>
        <w:rPr>
          <w:spacing w:val="-1"/>
          <w:vertAlign w:val="baseline"/>
        </w:rPr>
        <w:t> </w:t>
      </w:r>
      <w:r>
        <w:rPr>
          <w:vertAlign w:val="baseline"/>
        </w:rPr>
        <w:t>affirmed</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color w:val="005DA1"/>
          <w:u w:val="single" w:color="005DA1"/>
          <w:vertAlign w:val="superscript"/>
        </w:rPr>
        <w:t>1128</w:t>
      </w:r>
      <w:r>
        <w:rPr>
          <w:color w:val="005DA1"/>
          <w:spacing w:val="-1"/>
          <w:vertAlign w:val="baseline"/>
        </w:rPr>
        <w:t> </w:t>
      </w:r>
      <w:r>
        <w:rPr>
          <w:vertAlign w:val="baseline"/>
        </w:rPr>
        <w:t>While</w:t>
      </w:r>
      <w:r>
        <w:rPr>
          <w:spacing w:val="-1"/>
          <w:vertAlign w:val="baseline"/>
        </w:rPr>
        <w:t> </w:t>
      </w:r>
      <w:r>
        <w:rPr>
          <w:vertAlign w:val="baseline"/>
        </w:rPr>
        <w:t>the</w:t>
      </w:r>
      <w:r>
        <w:rPr>
          <w:spacing w:val="-1"/>
          <w:vertAlign w:val="baseline"/>
        </w:rPr>
        <w:t> </w:t>
      </w:r>
      <w:r>
        <w:rPr>
          <w:vertAlign w:val="baseline"/>
        </w:rPr>
        <w:t>ambit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doctrine of economic duress as a vitiating element in contract remains somewhat uncertain, </w:t>
      </w:r>
      <w:r>
        <w:rPr>
          <w:color w:val="005DA1"/>
          <w:u w:val="single" w:color="005DA1"/>
          <w:vertAlign w:val="superscript"/>
        </w:rPr>
        <w:t>1129</w:t>
      </w:r>
      <w:r>
        <w:rPr>
          <w:color w:val="005DA1"/>
          <w:vertAlign w:val="baseline"/>
        </w:rPr>
        <w:t> </w:t>
      </w:r>
      <w:r>
        <w:rPr>
          <w:vertAlign w:val="baseline"/>
        </w:rPr>
        <w:t>some argue that its ambit should be coterminous and not wider than any liability which would exist under the tort</w:t>
      </w:r>
      <w:r>
        <w:rPr>
          <w:spacing w:val="80"/>
          <w:vertAlign w:val="baseline"/>
        </w:rPr>
        <w:t> </w:t>
      </w:r>
      <w:r>
        <w:rPr>
          <w:vertAlign w:val="baseline"/>
        </w:rPr>
        <w:t>of intimidation. </w:t>
      </w:r>
      <w:r>
        <w:rPr>
          <w:color w:val="005DA1"/>
          <w:u w:val="single" w:color="005DA1"/>
          <w:vertAlign w:val="superscript"/>
        </w:rPr>
        <w:t>1130</w:t>
      </w:r>
      <w:r>
        <w:rPr>
          <w:color w:val="005DA1"/>
          <w:vertAlign w:val="baseline"/>
        </w:rPr>
        <w:t> </w:t>
      </w:r>
      <w:r>
        <w:rPr>
          <w:vertAlign w:val="baseline"/>
        </w:rPr>
        <w:t>A consumer may be able to recover damages in respect of an “aggressive practice”</w:t>
      </w:r>
      <w:r>
        <w:rPr>
          <w:spacing w:val="-1"/>
          <w:vertAlign w:val="baseline"/>
        </w:rPr>
        <w:t> </w:t>
      </w:r>
      <w:r>
        <w:rPr>
          <w:vertAlign w:val="baseline"/>
        </w:rPr>
        <w:t>committed</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trader</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Consumer</w:t>
      </w:r>
      <w:r>
        <w:rPr>
          <w:spacing w:val="-1"/>
          <w:vertAlign w:val="baseline"/>
        </w:rPr>
        <w:t> </w:t>
      </w:r>
      <w:r>
        <w:rPr>
          <w:vertAlign w:val="baseline"/>
        </w:rPr>
        <w:t>Protection</w:t>
      </w:r>
      <w:r>
        <w:rPr>
          <w:spacing w:val="-1"/>
          <w:vertAlign w:val="baseline"/>
        </w:rPr>
        <w:t> </w:t>
      </w:r>
      <w:r>
        <w:rPr>
          <w:vertAlign w:val="baseline"/>
        </w:rPr>
        <w:t>from</w:t>
      </w:r>
      <w:r>
        <w:rPr>
          <w:spacing w:val="-1"/>
          <w:vertAlign w:val="baseline"/>
        </w:rPr>
        <w:t> </w:t>
      </w:r>
      <w:r>
        <w:rPr>
          <w:vertAlign w:val="baseline"/>
        </w:rPr>
        <w:t>Unfair</w:t>
      </w:r>
      <w:r>
        <w:rPr>
          <w:spacing w:val="-1"/>
          <w:vertAlign w:val="baseline"/>
        </w:rPr>
        <w:t> </w:t>
      </w:r>
      <w:r>
        <w:rPr>
          <w:vertAlign w:val="baseline"/>
        </w:rPr>
        <w:t>Trading</w:t>
      </w:r>
      <w:r>
        <w:rPr>
          <w:spacing w:val="-1"/>
          <w:vertAlign w:val="baseline"/>
        </w:rPr>
        <w:t> </w:t>
      </w:r>
      <w:r>
        <w:rPr>
          <w:vertAlign w:val="baseline"/>
        </w:rPr>
        <w:t>Regulations</w:t>
      </w:r>
      <w:r>
        <w:rPr>
          <w:spacing w:val="-1"/>
          <w:vertAlign w:val="baseline"/>
        </w:rPr>
        <w:t> </w:t>
      </w:r>
      <w:r>
        <w:rPr>
          <w:vertAlign w:val="baseline"/>
        </w:rPr>
        <w:t>2008 Pt 4A. </w:t>
      </w:r>
      <w:r>
        <w:rPr>
          <w:color w:val="005DA1"/>
          <w:u w:val="single" w:color="005DA1"/>
          <w:vertAlign w:val="superscript"/>
        </w:rPr>
        <w:t>1131</w:t>
      </w:r>
    </w:p>
    <w:p>
      <w:pPr>
        <w:pStyle w:val="BodyText"/>
      </w:pPr>
    </w:p>
    <w:p>
      <w:pPr>
        <w:pStyle w:val="BodyText"/>
        <w:spacing w:before="33"/>
      </w:pPr>
    </w:p>
    <w:p>
      <w:pPr>
        <w:spacing w:before="0"/>
        <w:ind w:left="165" w:right="0" w:firstLine="0"/>
        <w:jc w:val="left"/>
        <w:rPr>
          <w:rFonts w:ascii="Arial" w:hAnsi="Arial"/>
          <w:b/>
          <w:sz w:val="18"/>
        </w:rPr>
      </w:pPr>
      <w:r>
        <w:rPr>
          <w:rFonts w:ascii="Arial" w:hAnsi="Arial"/>
          <w:b/>
          <w:sz w:val="18"/>
        </w:rPr>
        <w:t>“Culpa in contrahendo.” </w:t>
      </w:r>
      <w:r>
        <w:rPr>
          <w:rFonts w:ascii="Arial" w:hAnsi="Arial"/>
          <w:b/>
          <w:color w:val="005DA1"/>
          <w:spacing w:val="-4"/>
          <w:sz w:val="18"/>
          <w:u w:val="single" w:color="005DA1"/>
          <w:vertAlign w:val="superscript"/>
        </w:rPr>
        <w:t>1132</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1-</w:t>
      </w:r>
      <w:r>
        <w:rPr>
          <w:rFonts w:ascii="Arial"/>
          <w:b/>
          <w:spacing w:val="-5"/>
          <w:sz w:val="24"/>
        </w:rPr>
        <w:t>164</w:t>
      </w:r>
    </w:p>
    <w:p>
      <w:pPr>
        <w:pStyle w:val="BodyText"/>
        <w:spacing w:line="235" w:lineRule="auto" w:before="202"/>
        <w:ind w:left="164" w:right="167"/>
        <w:jc w:val="both"/>
      </w:pPr>
      <w:r>
        <w:rPr/>
        <w:t>Some legal systems consider that cases of fraud or duress are merely examples of a wider category of “fault in the formation of contract”, a category famously termed culpa in contrahendo by the</w:t>
      </w:r>
      <w:r>
        <w:rPr>
          <w:spacing w:val="40"/>
        </w:rPr>
        <w:t> </w:t>
      </w:r>
      <w:r>
        <w:rPr/>
        <w:t>German jurist, von Ihering.</w:t>
      </w:r>
      <w:r>
        <w:rPr>
          <w:spacing w:val="-1"/>
        </w:rPr>
        <w:t> </w:t>
      </w:r>
      <w:r>
        <w:rPr>
          <w:color w:val="005DA1"/>
          <w:u w:val="single" w:color="005DA1"/>
          <w:vertAlign w:val="superscript"/>
        </w:rPr>
        <w:t>1133</w:t>
      </w:r>
      <w:r>
        <w:rPr>
          <w:color w:val="005DA1"/>
          <w:vertAlign w:val="baseline"/>
        </w:rPr>
        <w:t> </w:t>
      </w:r>
      <w:r>
        <w:rPr>
          <w:vertAlign w:val="baseline"/>
        </w:rPr>
        <w:t>In French law, despite its general rule against allowing delict to </w:t>
      </w:r>
      <w:r>
        <w:rPr>
          <w:vertAlign w:val="baseline"/>
        </w:rPr>
        <w:t>intrude between</w:t>
      </w:r>
      <w:r>
        <w:rPr>
          <w:spacing w:val="-1"/>
          <w:vertAlign w:val="baseline"/>
        </w:rPr>
        <w:t> </w:t>
      </w:r>
      <w:r>
        <w:rPr>
          <w:vertAlign w:val="baseline"/>
        </w:rPr>
        <w:t>contractors</w:t>
      </w:r>
      <w:r>
        <w:rPr>
          <w:spacing w:val="-1"/>
          <w:vertAlign w:val="baseline"/>
        </w:rPr>
        <w:t> </w:t>
      </w:r>
      <w:r>
        <w:rPr>
          <w:vertAlign w:val="baseline"/>
        </w:rPr>
        <w:t>(a</w:t>
      </w:r>
      <w:r>
        <w:rPr>
          <w:spacing w:val="-1"/>
          <w:vertAlign w:val="baseline"/>
        </w:rPr>
        <w:t> </w:t>
      </w:r>
      <w:r>
        <w:rPr>
          <w:vertAlign w:val="baseline"/>
        </w:rPr>
        <w:t>rule</w:t>
      </w:r>
      <w:r>
        <w:rPr>
          <w:spacing w:val="-1"/>
          <w:vertAlign w:val="baseline"/>
        </w:rPr>
        <w:t> </w:t>
      </w:r>
      <w:r>
        <w:rPr>
          <w:vertAlign w:val="baseline"/>
        </w:rPr>
        <w:t>known</w:t>
      </w:r>
      <w:r>
        <w:rPr>
          <w:spacing w:val="-1"/>
          <w:vertAlign w:val="baseline"/>
        </w:rPr>
        <w:t> </w:t>
      </w:r>
      <w:r>
        <w:rPr>
          <w:vertAlign w:val="baseline"/>
        </w:rPr>
        <w:t>as</w:t>
      </w:r>
      <w:r>
        <w:rPr>
          <w:spacing w:val="-1"/>
          <w:vertAlign w:val="baseline"/>
        </w:rPr>
        <w:t> </w:t>
      </w:r>
      <w:r>
        <w:rPr>
          <w:vertAlign w:val="baseline"/>
        </w:rPr>
        <w:t>non-cumul),</w:t>
      </w:r>
      <w:r>
        <w:rPr>
          <w:spacing w:val="-2"/>
          <w:vertAlign w:val="baseline"/>
        </w:rPr>
        <w:t> </w:t>
      </w:r>
      <w:r>
        <w:rPr>
          <w:color w:val="005DA1"/>
          <w:u w:val="single" w:color="005DA1"/>
          <w:vertAlign w:val="superscript"/>
        </w:rPr>
        <w:t>1134</w:t>
      </w:r>
      <w:r>
        <w:rPr>
          <w:color w:val="005DA1"/>
          <w:spacing w:val="-1"/>
          <w:vertAlign w:val="baseline"/>
        </w:rPr>
        <w:t> </w:t>
      </w:r>
      <w:r>
        <w:rPr>
          <w:vertAlign w:val="baseline"/>
        </w:rPr>
        <w:t>pre-contractual</w:t>
      </w:r>
      <w:r>
        <w:rPr>
          <w:spacing w:val="-1"/>
          <w:vertAlign w:val="baseline"/>
        </w:rPr>
        <w:t> </w:t>
      </w:r>
      <w:r>
        <w:rPr>
          <w:vertAlign w:val="baseline"/>
        </w:rPr>
        <w:t>fault</w:t>
      </w:r>
      <w:r>
        <w:rPr>
          <w:spacing w:val="-1"/>
          <w:vertAlign w:val="baseline"/>
        </w:rPr>
        <w:t> </w:t>
      </w:r>
      <w:r>
        <w:rPr>
          <w:vertAlign w:val="baseline"/>
        </w:rPr>
        <w:t>can</w:t>
      </w:r>
      <w:r>
        <w:rPr>
          <w:spacing w:val="-1"/>
          <w:vertAlign w:val="baseline"/>
        </w:rPr>
        <w:t> </w:t>
      </w:r>
      <w:r>
        <w:rPr>
          <w:vertAlign w:val="baseline"/>
        </w:rPr>
        <w:t>give</w:t>
      </w:r>
      <w:r>
        <w:rPr>
          <w:spacing w:val="-1"/>
          <w:vertAlign w:val="baseline"/>
        </w:rPr>
        <w:t> </w:t>
      </w:r>
      <w:r>
        <w:rPr>
          <w:vertAlign w:val="baseline"/>
        </w:rPr>
        <w:t>rise</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claim</w:t>
      </w:r>
      <w:r>
        <w:rPr>
          <w:spacing w:val="-1"/>
          <w:vertAlign w:val="baseline"/>
        </w:rPr>
        <w:t> </w:t>
      </w:r>
      <w:r>
        <w:rPr>
          <w:vertAlign w:val="baseline"/>
        </w:rPr>
        <w:t>for damages in delict, </w:t>
      </w:r>
      <w:r>
        <w:rPr>
          <w:color w:val="005DA1"/>
          <w:u w:val="single" w:color="005DA1"/>
          <w:vertAlign w:val="superscript"/>
        </w:rPr>
        <w:t>1135</w:t>
      </w:r>
      <w:r>
        <w:rPr>
          <w:color w:val="005DA1"/>
          <w:vertAlign w:val="baseline"/>
        </w:rPr>
        <w:t> </w:t>
      </w:r>
      <w:r>
        <w:rPr>
          <w:vertAlign w:val="baseline"/>
        </w:rPr>
        <w:t>there being a very general principle of delictual liability based on fault. </w:t>
      </w:r>
      <w:r>
        <w:rPr>
          <w:color w:val="005DA1"/>
          <w:u w:val="single" w:color="005DA1"/>
          <w:vertAlign w:val="superscript"/>
        </w:rPr>
        <w:t>1136</w:t>
      </w:r>
      <w:r>
        <w:rPr>
          <w:color w:val="005DA1"/>
          <w:vertAlign w:val="baseline"/>
        </w:rPr>
        <w:t> </w:t>
      </w:r>
      <w:r>
        <w:rPr>
          <w:vertAlign w:val="baseline"/>
        </w:rPr>
        <w:t>The extent to which English law reaches similar results to those a continental court might reach by applying doctrines like culpa in contrahendo are explored in Ch.2. </w:t>
      </w:r>
      <w:r>
        <w:rPr>
          <w:color w:val="005DA1"/>
          <w:u w:val="single" w:color="005DA1"/>
          <w:vertAlign w:val="superscript"/>
        </w:rPr>
        <w:t>1137</w:t>
      </w:r>
      <w:r>
        <w:rPr>
          <w:color w:val="005DA1"/>
          <w:vertAlign w:val="baseline"/>
        </w:rPr>
        <w:t> </w:t>
      </w:r>
      <w:r>
        <w:rPr>
          <w:vertAlign w:val="baseline"/>
        </w:rPr>
        <w:t>However, English law possesses</w:t>
      </w:r>
      <w:r>
        <w:rPr>
          <w:spacing w:val="40"/>
          <w:vertAlign w:val="baseline"/>
        </w:rPr>
        <w:t> </w:t>
      </w:r>
      <w:r>
        <w:rPr>
          <w:vertAlign w:val="baseline"/>
        </w:rPr>
        <w:t>no</w:t>
      </w:r>
      <w:r>
        <w:rPr>
          <w:spacing w:val="40"/>
          <w:vertAlign w:val="baseline"/>
        </w:rPr>
        <w:t> </w:t>
      </w:r>
      <w:r>
        <w:rPr>
          <w:vertAlign w:val="baseline"/>
        </w:rPr>
        <w:t>such</w:t>
      </w:r>
      <w:r>
        <w:rPr>
          <w:spacing w:val="40"/>
          <w:vertAlign w:val="baseline"/>
        </w:rPr>
        <w:t> </w:t>
      </w:r>
      <w:r>
        <w:rPr>
          <w:vertAlign w:val="baseline"/>
        </w:rPr>
        <w:t>general</w:t>
      </w:r>
      <w:r>
        <w:rPr>
          <w:spacing w:val="40"/>
          <w:vertAlign w:val="baseline"/>
        </w:rPr>
        <w:t> </w:t>
      </w:r>
      <w:r>
        <w:rPr>
          <w:vertAlign w:val="baseline"/>
        </w:rPr>
        <w:t>principle</w:t>
      </w:r>
      <w:r>
        <w:rPr>
          <w:spacing w:val="40"/>
          <w:vertAlign w:val="baseline"/>
        </w:rPr>
        <w:t> </w:t>
      </w:r>
      <w:r>
        <w:rPr>
          <w:vertAlign w:val="baseline"/>
        </w:rPr>
        <w:t>and</w:t>
      </w:r>
      <w:r>
        <w:rPr>
          <w:spacing w:val="40"/>
          <w:vertAlign w:val="baseline"/>
        </w:rPr>
        <w:t> </w:t>
      </w:r>
      <w:r>
        <w:rPr>
          <w:vertAlign w:val="baseline"/>
        </w:rPr>
        <w:t>so</w:t>
      </w:r>
      <w:r>
        <w:rPr>
          <w:spacing w:val="40"/>
          <w:vertAlign w:val="baseline"/>
        </w:rPr>
        <w:t> </w:t>
      </w:r>
      <w:r>
        <w:rPr>
          <w:vertAlign w:val="baseline"/>
        </w:rPr>
        <w:t>no</w:t>
      </w:r>
      <w:r>
        <w:rPr>
          <w:spacing w:val="40"/>
          <w:vertAlign w:val="baseline"/>
        </w:rPr>
        <w:t> </w:t>
      </w:r>
      <w:r>
        <w:rPr>
          <w:vertAlign w:val="baseline"/>
        </w:rPr>
        <w:t>claims</w:t>
      </w:r>
      <w:r>
        <w:rPr>
          <w:spacing w:val="40"/>
          <w:vertAlign w:val="baseline"/>
        </w:rPr>
        <w:t> </w:t>
      </w:r>
      <w:r>
        <w:rPr>
          <w:vertAlign w:val="baseline"/>
        </w:rPr>
        <w:t>for</w:t>
      </w:r>
      <w:r>
        <w:rPr>
          <w:spacing w:val="40"/>
          <w:vertAlign w:val="baseline"/>
        </w:rPr>
        <w:t> </w:t>
      </w:r>
      <w:r>
        <w:rPr>
          <w:vertAlign w:val="baseline"/>
        </w:rPr>
        <w:t>damages</w:t>
      </w:r>
      <w:r>
        <w:rPr>
          <w:spacing w:val="40"/>
          <w:vertAlign w:val="baseline"/>
        </w:rPr>
        <w:t> </w:t>
      </w:r>
      <w:r>
        <w:rPr>
          <w:vertAlign w:val="baseline"/>
        </w:rPr>
        <w:t>in</w:t>
      </w:r>
      <w:r>
        <w:rPr>
          <w:spacing w:val="40"/>
          <w:vertAlign w:val="baseline"/>
        </w:rPr>
        <w:t> </w:t>
      </w:r>
      <w:r>
        <w:rPr>
          <w:vertAlign w:val="baseline"/>
        </w:rPr>
        <w:t>tort</w:t>
      </w:r>
      <w:r>
        <w:rPr>
          <w:spacing w:val="40"/>
          <w:vertAlign w:val="baseline"/>
        </w:rPr>
        <w:t> </w:t>
      </w:r>
      <w:r>
        <w:rPr>
          <w:vertAlign w:val="baseline"/>
        </w:rPr>
        <w:t>based</w:t>
      </w:r>
      <w:r>
        <w:rPr>
          <w:spacing w:val="40"/>
          <w:vertAlign w:val="baseline"/>
        </w:rPr>
        <w:t> </w:t>
      </w:r>
      <w:r>
        <w:rPr>
          <w:vertAlign w:val="baseline"/>
        </w:rPr>
        <w:t>on</w:t>
      </w:r>
      <w:r>
        <w:rPr>
          <w:spacing w:val="40"/>
          <w:vertAlign w:val="baseline"/>
        </w:rPr>
        <w:t> </w:t>
      </w:r>
      <w:r>
        <w:rPr>
          <w:vertAlign w:val="baseline"/>
        </w:rPr>
        <w:t>a</w:t>
      </w:r>
      <w:r>
        <w:rPr>
          <w:spacing w:val="40"/>
          <w:vertAlign w:val="baseline"/>
        </w:rPr>
        <w:t> </w:t>
      </w:r>
      <w:r>
        <w:rPr>
          <w:vertAlign w:val="baseline"/>
        </w:rPr>
        <w:t>party’s “pre-contractual</w:t>
      </w:r>
      <w:r>
        <w:rPr>
          <w:spacing w:val="-1"/>
          <w:vertAlign w:val="baseline"/>
        </w:rPr>
        <w:t> </w:t>
      </w:r>
      <w:r>
        <w:rPr>
          <w:vertAlign w:val="baseline"/>
        </w:rPr>
        <w:t>fault”</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brought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absence</w:t>
      </w:r>
      <w:r>
        <w:rPr>
          <w:spacing w:val="-1"/>
          <w:vertAlign w:val="baseline"/>
        </w:rPr>
        <w:t> </w:t>
      </w:r>
      <w:r>
        <w:rPr>
          <w:vertAlign w:val="baseline"/>
        </w:rPr>
        <w:t>of</w:t>
      </w:r>
      <w:r>
        <w:rPr>
          <w:spacing w:val="-1"/>
          <w:vertAlign w:val="baseline"/>
        </w:rPr>
        <w:t> </w:t>
      </w:r>
      <w:r>
        <w:rPr>
          <w:vertAlign w:val="baseline"/>
        </w:rPr>
        <w:t>proof</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established</w:t>
      </w:r>
      <w:r>
        <w:rPr>
          <w:spacing w:val="-1"/>
          <w:vertAlign w:val="baseline"/>
        </w:rPr>
        <w:t> </w:t>
      </w:r>
      <w:r>
        <w:rPr>
          <w:vertAlign w:val="baseline"/>
        </w:rPr>
        <w:t>tort.</w:t>
      </w:r>
      <w:r>
        <w:rPr>
          <w:spacing w:val="-1"/>
          <w:vertAlign w:val="baseline"/>
        </w:rPr>
        <w:t> </w:t>
      </w:r>
      <w:r>
        <w:rPr>
          <w:vertAlign w:val="baseline"/>
        </w:rPr>
        <w:t>This</w:t>
      </w:r>
      <w:r>
        <w:rPr>
          <w:spacing w:val="-1"/>
          <w:vertAlign w:val="baseline"/>
        </w:rPr>
        <w:t> </w:t>
      </w:r>
      <w:r>
        <w:rPr>
          <w:vertAlign w:val="baseline"/>
        </w:rPr>
        <w:t>had</w:t>
      </w:r>
      <w:r>
        <w:rPr>
          <w:spacing w:val="-1"/>
          <w:vertAlign w:val="baseline"/>
        </w:rPr>
        <w:t> </w:t>
      </w:r>
      <w:r>
        <w:rPr>
          <w:vertAlign w:val="baseline"/>
        </w:rPr>
        <w:t>led</w:t>
      </w:r>
      <w:r>
        <w:rPr>
          <w:spacing w:val="-1"/>
          <w:vertAlign w:val="baseline"/>
        </w:rPr>
        <w:t> </w:t>
      </w:r>
      <w:r>
        <w:rPr>
          <w:vertAlign w:val="baseline"/>
        </w:rPr>
        <w:t>to</w:t>
      </w:r>
      <w:r>
        <w:rPr>
          <w:spacing w:val="-1"/>
          <w:vertAlign w:val="baseline"/>
        </w:rPr>
        <w:t> </w:t>
      </w:r>
      <w:r>
        <w:rPr>
          <w:vertAlign w:val="baseline"/>
        </w:rPr>
        <w:t>an occasional</w:t>
      </w:r>
      <w:r>
        <w:rPr>
          <w:spacing w:val="-1"/>
          <w:vertAlign w:val="baseline"/>
        </w:rPr>
        <w:t> </w:t>
      </w:r>
      <w:r>
        <w:rPr>
          <w:vertAlign w:val="baseline"/>
        </w:rPr>
        <w:t>temptation</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courts</w:t>
      </w:r>
      <w:r>
        <w:rPr>
          <w:spacing w:val="-1"/>
          <w:vertAlign w:val="baseline"/>
        </w:rPr>
        <w:t> </w:t>
      </w:r>
      <w:r>
        <w:rPr>
          <w:vertAlign w:val="baseline"/>
        </w:rPr>
        <w:t>to</w:t>
      </w:r>
      <w:r>
        <w:rPr>
          <w:spacing w:val="-1"/>
          <w:vertAlign w:val="baseline"/>
        </w:rPr>
        <w:t> </w:t>
      </w:r>
      <w:r>
        <w:rPr>
          <w:vertAlign w:val="baseline"/>
        </w:rPr>
        <w:t>resort</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of</w:t>
      </w:r>
      <w:r>
        <w:rPr>
          <w:spacing w:val="-1"/>
          <w:vertAlign w:val="baseline"/>
        </w:rPr>
        <w:t> </w:t>
      </w:r>
      <w:r>
        <w:rPr>
          <w:vertAlign w:val="baseline"/>
        </w:rPr>
        <w:t>contract</w:t>
      </w:r>
      <w:r>
        <w:rPr>
          <w:spacing w:val="-1"/>
          <w:vertAlign w:val="baseline"/>
        </w:rPr>
        <w:t> </w:t>
      </w:r>
      <w:r>
        <w:rPr>
          <w:vertAlign w:val="baseline"/>
        </w:rPr>
        <w:t>to</w:t>
      </w:r>
      <w:r>
        <w:rPr>
          <w:spacing w:val="-1"/>
          <w:vertAlign w:val="baseline"/>
        </w:rPr>
        <w:t> </w:t>
      </w:r>
      <w:r>
        <w:rPr>
          <w:vertAlign w:val="baseline"/>
        </w:rPr>
        <w:t>found</w:t>
      </w:r>
      <w:r>
        <w:rPr>
          <w:spacing w:val="-1"/>
          <w:vertAlign w:val="baseline"/>
        </w:rPr>
        <w:t> </w:t>
      </w:r>
      <w:r>
        <w:rPr>
          <w:vertAlign w:val="baseline"/>
        </w:rPr>
        <w:t>a</w:t>
      </w:r>
      <w:r>
        <w:rPr>
          <w:spacing w:val="-1"/>
          <w:vertAlign w:val="baseline"/>
        </w:rPr>
        <w:t> </w:t>
      </w:r>
      <w:r>
        <w:rPr>
          <w:vertAlign w:val="baseline"/>
        </w:rPr>
        <w:t>claim</w:t>
      </w:r>
      <w:r>
        <w:rPr>
          <w:spacing w:val="-1"/>
          <w:vertAlign w:val="baseline"/>
        </w:rPr>
        <w:t> </w:t>
      </w:r>
      <w:r>
        <w:rPr>
          <w:vertAlign w:val="baseline"/>
        </w:rPr>
        <w:t>for</w:t>
      </w:r>
      <w:r>
        <w:rPr>
          <w:spacing w:val="-1"/>
          <w:vertAlign w:val="baseline"/>
        </w:rPr>
        <w:t> </w:t>
      </w:r>
      <w:r>
        <w:rPr>
          <w:vertAlign w:val="baseline"/>
        </w:rPr>
        <w:t>damages</w:t>
      </w:r>
      <w:r>
        <w:rPr>
          <w:spacing w:val="-1"/>
          <w:vertAlign w:val="baseline"/>
        </w:rPr>
        <w:t> </w:t>
      </w:r>
      <w:r>
        <w:rPr>
          <w:vertAlign w:val="baseline"/>
        </w:rPr>
        <w:t>in</w:t>
      </w:r>
      <w:r>
        <w:rPr>
          <w:spacing w:val="-1"/>
          <w:vertAlign w:val="baseline"/>
        </w:rPr>
        <w:t> </w:t>
      </w:r>
      <w:r>
        <w:rPr>
          <w:vertAlign w:val="baseline"/>
        </w:rPr>
        <w:t>this type of situation. This was clearest in relation to claims for damages for innocent (i.e. non-fraudulent) misrepresentation before the Misrepresentation Act 1967, where the courts allowed some claims for damages for false pre-contractual statements by way of contractual warranty. </w:t>
      </w:r>
      <w:r>
        <w:rPr>
          <w:color w:val="005DA1"/>
          <w:u w:val="single" w:color="005DA1"/>
          <w:vertAlign w:val="superscript"/>
        </w:rPr>
        <w:t>1138</w:t>
      </w:r>
      <w:r>
        <w:rPr>
          <w:color w:val="005DA1"/>
          <w:vertAlign w:val="baseline"/>
        </w:rPr>
        <w:t> </w:t>
      </w:r>
      <w:r>
        <w:rPr>
          <w:vertAlign w:val="baseline"/>
        </w:rPr>
        <w:t>More recently, in </w:t>
      </w:r>
      <w:r>
        <w:rPr>
          <w:rFonts w:ascii="Arial" w:hAnsi="Arial"/>
          <w:i/>
          <w:vertAlign w:val="baseline"/>
        </w:rPr>
        <w:t>Blackpool and Fylde Aero Club v Blackpool BC</w:t>
      </w:r>
      <w:r>
        <w:rPr>
          <w:vertAlign w:val="baseline"/>
        </w:rPr>
        <w:t>, </w:t>
      </w:r>
      <w:r>
        <w:rPr>
          <w:color w:val="005DA1"/>
          <w:u w:val="single" w:color="005DA1"/>
          <w:vertAlign w:val="superscript"/>
        </w:rPr>
        <w:t>1139</w:t>
      </w:r>
      <w:r>
        <w:rPr>
          <w:color w:val="005DA1"/>
          <w:vertAlign w:val="baseline"/>
        </w:rPr>
        <w:t> </w:t>
      </w:r>
      <w:r>
        <w:rPr>
          <w:vertAlign w:val="baseline"/>
        </w:rPr>
        <w:t>the defendant local authority had invited sealed tenders from a limited number of persons for licences to use a local airport, to arrive at their premises by a certain date. The plaintiff delivered such a tender by the stipulated time, but owing to the failure</w:t>
      </w:r>
      <w:r>
        <w:rPr>
          <w:spacing w:val="40"/>
          <w:vertAlign w:val="baseline"/>
        </w:rPr>
        <w:t> </w:t>
      </w:r>
      <w:r>
        <w:rPr>
          <w:vertAlign w:val="baseline"/>
        </w:rPr>
        <w:t>of the defendant’s staff, it did not consider the plaintiff’s tender and failed therefore to award it a licence.</w:t>
      </w:r>
      <w:r>
        <w:rPr>
          <w:spacing w:val="-2"/>
          <w:vertAlign w:val="baseline"/>
        </w:rPr>
        <w:t> </w:t>
      </w:r>
      <w:r>
        <w:rPr>
          <w:vertAlign w:val="baseline"/>
        </w:rPr>
        <w:t>The</w:t>
      </w:r>
      <w:r>
        <w:rPr>
          <w:spacing w:val="-2"/>
          <w:vertAlign w:val="baseline"/>
        </w:rPr>
        <w:t> </w:t>
      </w:r>
      <w:r>
        <w:rPr>
          <w:vertAlign w:val="baseline"/>
        </w:rPr>
        <w:t>plaintiff’s</w:t>
      </w:r>
      <w:r>
        <w:rPr>
          <w:spacing w:val="-2"/>
          <w:vertAlign w:val="baseline"/>
        </w:rPr>
        <w:t> </w:t>
      </w:r>
      <w:r>
        <w:rPr>
          <w:vertAlign w:val="baseline"/>
        </w:rPr>
        <w:t>claim</w:t>
      </w:r>
      <w:r>
        <w:rPr>
          <w:spacing w:val="-2"/>
          <w:vertAlign w:val="baseline"/>
        </w:rPr>
        <w:t> </w:t>
      </w:r>
      <w:r>
        <w:rPr>
          <w:vertAlign w:val="baseline"/>
        </w:rPr>
        <w:t>for</w:t>
      </w:r>
      <w:r>
        <w:rPr>
          <w:spacing w:val="-2"/>
          <w:vertAlign w:val="baseline"/>
        </w:rPr>
        <w:t> </w:t>
      </w:r>
      <w:r>
        <w:rPr>
          <w:vertAlign w:val="baseline"/>
        </w:rPr>
        <w:t>damages</w:t>
      </w:r>
      <w:r>
        <w:rPr>
          <w:spacing w:val="-2"/>
          <w:vertAlign w:val="baseline"/>
        </w:rPr>
        <w:t> </w:t>
      </w:r>
      <w:r>
        <w:rPr>
          <w:vertAlign w:val="baseline"/>
        </w:rPr>
        <w:t>for</w:t>
      </w:r>
      <w:r>
        <w:rPr>
          <w:spacing w:val="-2"/>
          <w:vertAlign w:val="baseline"/>
        </w:rPr>
        <w:t> </w:t>
      </w:r>
      <w:r>
        <w:rPr>
          <w:vertAlign w:val="baseline"/>
        </w:rPr>
        <w:t>breach</w:t>
      </w:r>
      <w:r>
        <w:rPr>
          <w:spacing w:val="-2"/>
          <w:vertAlign w:val="baseline"/>
        </w:rPr>
        <w:t> </w:t>
      </w:r>
      <w:r>
        <w:rPr>
          <w:vertAlign w:val="baseline"/>
        </w:rPr>
        <w:t>of</w:t>
      </w:r>
      <w:r>
        <w:rPr>
          <w:spacing w:val="-2"/>
          <w:vertAlign w:val="baseline"/>
        </w:rPr>
        <w:t> </w:t>
      </w:r>
      <w:r>
        <w:rPr>
          <w:vertAlign w:val="baseline"/>
        </w:rPr>
        <w:t>contract</w:t>
      </w:r>
      <w:r>
        <w:rPr>
          <w:spacing w:val="-2"/>
          <w:vertAlign w:val="baseline"/>
        </w:rPr>
        <w:t> </w:t>
      </w:r>
      <w:r>
        <w:rPr>
          <w:vertAlign w:val="baseline"/>
        </w:rPr>
        <w:t>was</w:t>
      </w:r>
      <w:r>
        <w:rPr>
          <w:spacing w:val="-2"/>
          <w:vertAlign w:val="baseline"/>
        </w:rPr>
        <w:t> </w:t>
      </w:r>
      <w:r>
        <w:rPr>
          <w:vertAlign w:val="baseline"/>
        </w:rPr>
        <w:t>upheld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3"/>
          <w:vertAlign w:val="baseline"/>
        </w:rPr>
        <w:t> </w:t>
      </w:r>
      <w:r>
        <w:rPr>
          <w:color w:val="005DA1"/>
          <w:u w:val="single" w:color="005DA1"/>
          <w:vertAlign w:val="superscript"/>
        </w:rPr>
        <w:t>1140</w:t>
      </w:r>
      <w:r>
        <w:rPr>
          <w:color w:val="005DA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basis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local</w:t>
      </w:r>
      <w:r>
        <w:rPr>
          <w:spacing w:val="-1"/>
          <w:vertAlign w:val="baseline"/>
        </w:rPr>
        <w:t> </w:t>
      </w:r>
      <w:r>
        <w:rPr>
          <w:vertAlign w:val="baseline"/>
        </w:rPr>
        <w:t>authority’s</w:t>
      </w:r>
      <w:r>
        <w:rPr>
          <w:spacing w:val="-1"/>
          <w:vertAlign w:val="baseline"/>
        </w:rPr>
        <w:t> </w:t>
      </w:r>
      <w:r>
        <w:rPr>
          <w:vertAlign w:val="baseline"/>
        </w:rPr>
        <w:t>express</w:t>
      </w:r>
      <w:r>
        <w:rPr>
          <w:spacing w:val="-1"/>
          <w:vertAlign w:val="baseline"/>
        </w:rPr>
        <w:t> </w:t>
      </w:r>
      <w:r>
        <w:rPr>
          <w:vertAlign w:val="baseline"/>
        </w:rPr>
        <w:t>request</w:t>
      </w:r>
      <w:r>
        <w:rPr>
          <w:spacing w:val="-1"/>
          <w:vertAlign w:val="baseline"/>
        </w:rPr>
        <w:t> </w:t>
      </w:r>
      <w:r>
        <w:rPr>
          <w:vertAlign w:val="baseline"/>
        </w:rPr>
        <w:t>for</w:t>
      </w:r>
      <w:r>
        <w:rPr>
          <w:spacing w:val="-1"/>
          <w:vertAlign w:val="baseline"/>
        </w:rPr>
        <w:t> </w:t>
      </w:r>
      <w:r>
        <w:rPr>
          <w:vertAlign w:val="baseline"/>
        </w:rPr>
        <w:t>tenders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made</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particular form by a particular date, </w:t>
      </w:r>
      <w:r>
        <w:rPr>
          <w:color w:val="005DA1"/>
          <w:u w:val="single" w:color="005DA1"/>
          <w:vertAlign w:val="superscript"/>
        </w:rPr>
        <w:t>1141</w:t>
      </w:r>
      <w:r>
        <w:rPr>
          <w:color w:val="005DA1"/>
          <w:vertAlign w:val="baseline"/>
        </w:rPr>
        <w:t> </w:t>
      </w:r>
      <w:r>
        <w:rPr>
          <w:vertAlign w:val="baseline"/>
        </w:rPr>
        <w:t>coupled with the limited number of persons invited to tender, </w:t>
      </w:r>
      <w:r>
        <w:rPr>
          <w:color w:val="005DA1"/>
          <w:u w:val="single" w:color="005DA1"/>
          <w:vertAlign w:val="superscript"/>
        </w:rPr>
        <w:t>1142</w:t>
      </w:r>
      <w:r>
        <w:rPr>
          <w:color w:val="005DA1"/>
          <w:vertAlign w:val="baseline"/>
        </w:rPr>
        <w:t> </w:t>
      </w:r>
      <w:r>
        <w:rPr>
          <w:vertAlign w:val="baseline"/>
        </w:rPr>
        <w:t>gave rise to an implied contract to consider conforming tenders </w:t>
      </w:r>
      <w:r>
        <w:rPr>
          <w:color w:val="005DA1"/>
          <w:u w:val="single" w:color="005DA1"/>
          <w:vertAlign w:val="superscript"/>
        </w:rPr>
        <w:t>1143</w:t>
      </w:r>
      <w:r>
        <w:rPr>
          <w:color w:val="005DA1"/>
          <w:vertAlign w:val="baseline"/>
        </w:rPr>
        <w:t> </w:t>
      </w:r>
      <w:r>
        <w:rPr>
          <w:vertAlign w:val="baseline"/>
        </w:rPr>
        <w:t>and therefore the court found it unnecessary to consider whether the plaintiff could have succeeded in the tort of negligence. </w:t>
      </w:r>
      <w:r>
        <w:rPr>
          <w:color w:val="005DA1"/>
          <w:u w:val="single" w:color="005DA1"/>
          <w:vertAlign w:val="superscript"/>
        </w:rPr>
        <w:t>1144</w:t>
      </w:r>
      <w:r>
        <w:rPr>
          <w:color w:val="005DA1"/>
          <w:vertAlign w:val="baseline"/>
        </w:rPr>
        <w:t> </w:t>
      </w:r>
      <w:r>
        <w:rPr>
          <w:vertAlign w:val="baseline"/>
        </w:rPr>
        <w:t>Overall, however, it cannot be said that English courts evince any desire to develop a general</w:t>
      </w:r>
      <w:r>
        <w:rPr>
          <w:spacing w:val="40"/>
          <w:vertAlign w:val="baseline"/>
        </w:rPr>
        <w:t> </w:t>
      </w:r>
      <w:r>
        <w:rPr>
          <w:vertAlign w:val="baseline"/>
        </w:rPr>
        <w:t>principle of liability in damages for pre-contractual fault, whether this is put in terms of tort or contract, any</w:t>
      </w:r>
      <w:r>
        <w:rPr>
          <w:spacing w:val="-1"/>
          <w:vertAlign w:val="baseline"/>
        </w:rPr>
        <w:t> </w:t>
      </w:r>
      <w:r>
        <w:rPr>
          <w:vertAlign w:val="baseline"/>
        </w:rPr>
        <w:t>more</w:t>
      </w:r>
      <w:r>
        <w:rPr>
          <w:spacing w:val="-1"/>
          <w:vertAlign w:val="baseline"/>
        </w:rPr>
        <w:t> </w:t>
      </w:r>
      <w:r>
        <w:rPr>
          <w:vertAlign w:val="baseline"/>
        </w:rPr>
        <w:t>than</w:t>
      </w:r>
      <w:r>
        <w:rPr>
          <w:spacing w:val="-1"/>
          <w:vertAlign w:val="baseline"/>
        </w:rPr>
        <w:t> </w:t>
      </w:r>
      <w:r>
        <w:rPr>
          <w:vertAlign w:val="baseline"/>
        </w:rPr>
        <w:t>they</w:t>
      </w:r>
      <w:r>
        <w:rPr>
          <w:spacing w:val="-1"/>
          <w:vertAlign w:val="baseline"/>
        </w:rPr>
        <w:t> </w:t>
      </w:r>
      <w:r>
        <w:rPr>
          <w:vertAlign w:val="baseline"/>
        </w:rPr>
        <w:t>wish</w:t>
      </w:r>
      <w:r>
        <w:rPr>
          <w:spacing w:val="-1"/>
          <w:vertAlign w:val="baseline"/>
        </w:rPr>
        <w:t> </w:t>
      </w:r>
      <w:r>
        <w:rPr>
          <w:vertAlign w:val="baseline"/>
        </w:rPr>
        <w:t>to</w:t>
      </w:r>
      <w:r>
        <w:rPr>
          <w:spacing w:val="-1"/>
          <w:vertAlign w:val="baseline"/>
        </w:rPr>
        <w:t> </w:t>
      </w:r>
      <w:r>
        <w:rPr>
          <w:vertAlign w:val="baseline"/>
        </w:rPr>
        <w:t>recognise</w:t>
      </w:r>
      <w:r>
        <w:rPr>
          <w:spacing w:val="-1"/>
          <w:vertAlign w:val="baseline"/>
        </w:rPr>
        <w:t> </w:t>
      </w:r>
      <w:r>
        <w:rPr>
          <w:vertAlign w:val="baseline"/>
        </w:rPr>
        <w:t>a</w:t>
      </w:r>
      <w:r>
        <w:rPr>
          <w:spacing w:val="-1"/>
          <w:vertAlign w:val="baseline"/>
        </w:rPr>
        <w:t> </w:t>
      </w:r>
      <w:r>
        <w:rPr>
          <w:vertAlign w:val="baseline"/>
        </w:rPr>
        <w:t>general</w:t>
      </w:r>
      <w:r>
        <w:rPr>
          <w:spacing w:val="-1"/>
          <w:vertAlign w:val="baseline"/>
        </w:rPr>
        <w:t> </w:t>
      </w:r>
      <w:r>
        <w:rPr>
          <w:vertAlign w:val="baseline"/>
        </w:rPr>
        <w:t>principle</w:t>
      </w:r>
      <w:r>
        <w:rPr>
          <w:spacing w:val="-1"/>
          <w:vertAlign w:val="baseline"/>
        </w:rPr>
        <w:t> </w:t>
      </w:r>
      <w:r>
        <w:rPr>
          <w:vertAlign w:val="baseline"/>
        </w:rPr>
        <w:t>of</w:t>
      </w:r>
      <w:r>
        <w:rPr>
          <w:spacing w:val="-1"/>
          <w:vertAlign w:val="baseline"/>
        </w:rPr>
        <w:t> </w:t>
      </w:r>
      <w:r>
        <w:rPr>
          <w:vertAlign w:val="baseline"/>
        </w:rPr>
        <w:t>pre-contractual</w:t>
      </w:r>
      <w:r>
        <w:rPr>
          <w:spacing w:val="-1"/>
          <w:vertAlign w:val="baseline"/>
        </w:rPr>
        <w:t> </w:t>
      </w:r>
      <w:r>
        <w:rPr>
          <w:vertAlign w:val="baseline"/>
        </w:rPr>
        <w:t>good</w:t>
      </w:r>
      <w:r>
        <w:rPr>
          <w:spacing w:val="-1"/>
          <w:vertAlign w:val="baseline"/>
        </w:rPr>
        <w:t> </w:t>
      </w:r>
      <w:r>
        <w:rPr>
          <w:vertAlign w:val="baseline"/>
        </w:rPr>
        <w:t>faith</w:t>
      </w:r>
      <w:r>
        <w:rPr>
          <w:spacing w:val="-1"/>
          <w:vertAlign w:val="baseline"/>
        </w:rPr>
        <w:t> </w:t>
      </w:r>
      <w:r>
        <w:rPr>
          <w:vertAlign w:val="baseline"/>
        </w:rPr>
        <w:t>to</w:t>
      </w:r>
      <w:r>
        <w:rPr>
          <w:spacing w:val="-1"/>
          <w:vertAlign w:val="baseline"/>
        </w:rPr>
        <w:t> </w:t>
      </w:r>
      <w:r>
        <w:rPr>
          <w:vertAlign w:val="baseline"/>
        </w:rPr>
        <w:t>which</w:t>
      </w:r>
      <w:r>
        <w:rPr>
          <w:spacing w:val="-1"/>
          <w:vertAlign w:val="baseline"/>
        </w:rPr>
        <w:t> </w:t>
      </w:r>
      <w:r>
        <w:rPr>
          <w:vertAlign w:val="baseline"/>
        </w:rPr>
        <w:t>such</w:t>
      </w:r>
      <w:r>
        <w:rPr>
          <w:spacing w:val="-1"/>
          <w:vertAlign w:val="baseline"/>
        </w:rPr>
        <w:t> </w:t>
      </w:r>
      <w:r>
        <w:rPr>
          <w:vertAlign w:val="baseline"/>
        </w:rPr>
        <w:t>a liability would be closely related. </w:t>
      </w:r>
      <w:r>
        <w:rPr>
          <w:color w:val="005DA1"/>
          <w:u w:val="single" w:color="005DA1"/>
          <w:vertAlign w:val="superscript"/>
        </w:rPr>
        <w:t>1145</w:t>
      </w:r>
      <w:r>
        <w:rPr>
          <w:color w:val="005DA1"/>
          <w:vertAlign w:val="baseline"/>
        </w:rPr>
        <w:t> </w:t>
      </w:r>
      <w:r>
        <w:rPr>
          <w:vertAlign w:val="baseline"/>
        </w:rPr>
        <w:t>Moreover, when in 2014 the UK government created rights to redress for consumers against traders in respect of the latter’s unfair commercial practices, it was careful to restrict the practices in question to “misleading actions” and “aggressive commercial practices” so that “misleading omissions” and commercial practices assessed as unfair under the general test in the 2008 Regulations would not have this effect. </w:t>
      </w:r>
      <w:r>
        <w:rPr>
          <w:color w:val="005DA1"/>
          <w:u w:val="single" w:color="005DA1"/>
          <w:vertAlign w:val="superscript"/>
        </w:rPr>
        <w:t>1146</w:t>
      </w:r>
    </w:p>
    <w:p>
      <w:pPr>
        <w:pStyle w:val="BodyText"/>
      </w:pPr>
    </w:p>
    <w:p>
      <w:pPr>
        <w:pStyle w:val="BodyText"/>
        <w:spacing w:before="28"/>
      </w:pPr>
      <w:r>
        <w:rPr/>
        <mc:AlternateContent>
          <mc:Choice Requires="wps">
            <w:drawing>
              <wp:anchor distT="0" distB="0" distL="0" distR="0" allowOverlap="1" layoutInCell="1" locked="0" behindDoc="1" simplePos="0" relativeHeight="487691776">
                <wp:simplePos x="0" y="0"/>
                <wp:positionH relativeFrom="page">
                  <wp:posOffset>914400</wp:posOffset>
                </wp:positionH>
                <wp:positionV relativeFrom="paragraph">
                  <wp:posOffset>179610</wp:posOffset>
                </wp:positionV>
                <wp:extent cx="5724525" cy="1270"/>
                <wp:effectExtent l="0" t="0" r="0" b="0"/>
                <wp:wrapTopAndBottom/>
                <wp:docPr id="448" name="Graphic 448"/>
                <wp:cNvGraphicFramePr>
                  <a:graphicFrameLocks/>
                </wp:cNvGraphicFramePr>
                <a:graphic>
                  <a:graphicData uri="http://schemas.microsoft.com/office/word/2010/wordprocessingShape">
                    <wps:wsp>
                      <wps:cNvPr id="448" name="Graphic 44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142567pt;width:450.75pt;height:.1pt;mso-position-horizontal-relative:page;mso-position-vertical-relative:paragraph;z-index:-15624704;mso-wrap-distance-left:0;mso-wrap-distance-right:0" id="docshape79" coordorigin="1440,283" coordsize="9015,0" path="m1440,283l10454,283e" filled="false" stroked="true" strokeweight="1pt" strokecolor="#000000">
                <v:path arrowok="t"/>
                <v:stroke dashstyle="solid"/>
                <w10:wrap type="topAndBottom"/>
              </v:shape>
            </w:pict>
          </mc:Fallback>
        </mc:AlternateContent>
      </w:r>
    </w:p>
    <w:p>
      <w:pPr>
        <w:pStyle w:val="BodyText"/>
        <w:spacing w:before="97"/>
      </w:pPr>
    </w:p>
    <w:p>
      <w:pPr>
        <w:spacing w:line="227" w:lineRule="exact" w:before="0"/>
        <w:ind w:left="0" w:right="168" w:firstLine="0"/>
        <w:jc w:val="right"/>
        <w:rPr>
          <w:sz w:val="20"/>
        </w:rPr>
      </w:pPr>
      <w:r>
        <w:rPr>
          <w:color w:val="005DA1"/>
          <w:position w:val="5"/>
          <w:sz w:val="14"/>
          <w:u w:val="single" w:color="005DA1"/>
        </w:rPr>
        <w:t>1092</w:t>
      </w:r>
      <w:r>
        <w:rPr>
          <w:position w:val="5"/>
          <w:sz w:val="14"/>
        </w:rPr>
        <w:t>.</w:t>
      </w:r>
      <w:r>
        <w:rPr>
          <w:spacing w:val="55"/>
          <w:position w:val="5"/>
          <w:sz w:val="14"/>
        </w:rPr>
        <w:t>  </w:t>
      </w:r>
      <w:r>
        <w:rPr>
          <w:rFonts w:ascii="Arial"/>
          <w:i/>
          <w:sz w:val="20"/>
        </w:rPr>
        <w:t>Pasley</w:t>
      </w:r>
      <w:r>
        <w:rPr>
          <w:rFonts w:ascii="Arial"/>
          <w:i/>
          <w:spacing w:val="28"/>
          <w:sz w:val="20"/>
        </w:rPr>
        <w:t> </w:t>
      </w:r>
      <w:r>
        <w:rPr>
          <w:rFonts w:ascii="Arial"/>
          <w:i/>
          <w:sz w:val="20"/>
        </w:rPr>
        <w:t>v</w:t>
      </w:r>
      <w:r>
        <w:rPr>
          <w:rFonts w:ascii="Arial"/>
          <w:i/>
          <w:spacing w:val="27"/>
          <w:sz w:val="20"/>
        </w:rPr>
        <w:t> </w:t>
      </w:r>
      <w:r>
        <w:rPr>
          <w:rFonts w:ascii="Arial"/>
          <w:i/>
          <w:sz w:val="20"/>
        </w:rPr>
        <w:t>Freeman</w:t>
      </w:r>
      <w:r>
        <w:rPr>
          <w:rFonts w:ascii="Arial"/>
          <w:i/>
          <w:spacing w:val="27"/>
          <w:sz w:val="20"/>
        </w:rPr>
        <w:t> </w:t>
      </w:r>
      <w:r>
        <w:rPr>
          <w:rFonts w:ascii="Arial"/>
          <w:i/>
          <w:sz w:val="20"/>
        </w:rPr>
        <w:t>(1789)</w:t>
      </w:r>
      <w:r>
        <w:rPr>
          <w:rFonts w:ascii="Arial"/>
          <w:i/>
          <w:spacing w:val="27"/>
          <w:sz w:val="20"/>
        </w:rPr>
        <w:t> </w:t>
      </w:r>
      <w:r>
        <w:rPr>
          <w:rFonts w:ascii="Arial"/>
          <w:i/>
          <w:sz w:val="20"/>
        </w:rPr>
        <w:t>3</w:t>
      </w:r>
      <w:r>
        <w:rPr>
          <w:rFonts w:ascii="Arial"/>
          <w:i/>
          <w:spacing w:val="27"/>
          <w:sz w:val="20"/>
        </w:rPr>
        <w:t> </w:t>
      </w:r>
      <w:r>
        <w:rPr>
          <w:rFonts w:ascii="Arial"/>
          <w:i/>
          <w:sz w:val="20"/>
        </w:rPr>
        <w:t>T.R.</w:t>
      </w:r>
      <w:r>
        <w:rPr>
          <w:rFonts w:ascii="Arial"/>
          <w:i/>
          <w:spacing w:val="27"/>
          <w:sz w:val="20"/>
        </w:rPr>
        <w:t> </w:t>
      </w:r>
      <w:r>
        <w:rPr>
          <w:rFonts w:ascii="Arial"/>
          <w:i/>
          <w:sz w:val="20"/>
        </w:rPr>
        <w:t>51</w:t>
      </w:r>
      <w:r>
        <w:rPr>
          <w:sz w:val="20"/>
        </w:rPr>
        <w:t>;</w:t>
      </w:r>
      <w:r>
        <w:rPr>
          <w:spacing w:val="27"/>
          <w:sz w:val="20"/>
        </w:rPr>
        <w:t> </w:t>
      </w:r>
      <w:r>
        <w:rPr>
          <w:rFonts w:ascii="Arial"/>
          <w:i/>
          <w:sz w:val="20"/>
        </w:rPr>
        <w:t>Peek</w:t>
      </w:r>
      <w:r>
        <w:rPr>
          <w:rFonts w:ascii="Arial"/>
          <w:i/>
          <w:spacing w:val="27"/>
          <w:sz w:val="20"/>
        </w:rPr>
        <w:t> </w:t>
      </w:r>
      <w:r>
        <w:rPr>
          <w:rFonts w:ascii="Arial"/>
          <w:i/>
          <w:sz w:val="20"/>
        </w:rPr>
        <w:t>v</w:t>
      </w:r>
      <w:r>
        <w:rPr>
          <w:rFonts w:ascii="Arial"/>
          <w:i/>
          <w:spacing w:val="26"/>
          <w:sz w:val="20"/>
        </w:rPr>
        <w:t> </w:t>
      </w:r>
      <w:r>
        <w:rPr>
          <w:rFonts w:ascii="Arial"/>
          <w:i/>
          <w:sz w:val="20"/>
        </w:rPr>
        <w:t>Derry</w:t>
      </w:r>
      <w:r>
        <w:rPr>
          <w:rFonts w:ascii="Arial"/>
          <w:i/>
          <w:spacing w:val="27"/>
          <w:sz w:val="20"/>
        </w:rPr>
        <w:t> </w:t>
      </w:r>
      <w:r>
        <w:rPr>
          <w:rFonts w:ascii="Arial"/>
          <w:i/>
          <w:sz w:val="20"/>
        </w:rPr>
        <w:t>(1887)</w:t>
      </w:r>
      <w:r>
        <w:rPr>
          <w:rFonts w:ascii="Arial"/>
          <w:i/>
          <w:spacing w:val="27"/>
          <w:sz w:val="20"/>
        </w:rPr>
        <w:t> </w:t>
      </w:r>
      <w:r>
        <w:rPr>
          <w:rFonts w:ascii="Arial"/>
          <w:i/>
          <w:sz w:val="20"/>
        </w:rPr>
        <w:t>37</w:t>
      </w:r>
      <w:r>
        <w:rPr>
          <w:rFonts w:ascii="Arial"/>
          <w:i/>
          <w:spacing w:val="27"/>
          <w:sz w:val="20"/>
        </w:rPr>
        <w:t> </w:t>
      </w:r>
      <w:r>
        <w:rPr>
          <w:rFonts w:ascii="Arial"/>
          <w:i/>
          <w:sz w:val="20"/>
        </w:rPr>
        <w:t>Ch.</w:t>
      </w:r>
      <w:r>
        <w:rPr>
          <w:rFonts w:ascii="Arial"/>
          <w:i/>
          <w:spacing w:val="27"/>
          <w:sz w:val="20"/>
        </w:rPr>
        <w:t> </w:t>
      </w:r>
      <w:r>
        <w:rPr>
          <w:rFonts w:ascii="Arial"/>
          <w:i/>
          <w:sz w:val="20"/>
        </w:rPr>
        <w:t>D.</w:t>
      </w:r>
      <w:r>
        <w:rPr>
          <w:rFonts w:ascii="Arial"/>
          <w:i/>
          <w:spacing w:val="27"/>
          <w:sz w:val="20"/>
        </w:rPr>
        <w:t> </w:t>
      </w:r>
      <w:r>
        <w:rPr>
          <w:rFonts w:ascii="Arial"/>
          <w:i/>
          <w:sz w:val="20"/>
        </w:rPr>
        <w:t>541</w:t>
      </w:r>
      <w:r>
        <w:rPr>
          <w:rFonts w:ascii="Arial"/>
          <w:i/>
          <w:spacing w:val="27"/>
          <w:sz w:val="20"/>
        </w:rPr>
        <w:t> </w:t>
      </w:r>
      <w:r>
        <w:rPr>
          <w:sz w:val="20"/>
        </w:rPr>
        <w:t>(reversed</w:t>
      </w:r>
      <w:r>
        <w:rPr>
          <w:spacing w:val="27"/>
          <w:sz w:val="20"/>
        </w:rPr>
        <w:t> </w:t>
      </w:r>
      <w:r>
        <w:rPr>
          <w:sz w:val="20"/>
        </w:rPr>
        <w:t>on</w:t>
      </w:r>
      <w:r>
        <w:rPr>
          <w:spacing w:val="27"/>
          <w:sz w:val="20"/>
        </w:rPr>
        <w:t> </w:t>
      </w:r>
      <w:r>
        <w:rPr>
          <w:spacing w:val="-4"/>
          <w:sz w:val="20"/>
        </w:rPr>
        <w:t>other</w:t>
      </w:r>
    </w:p>
    <w:p>
      <w:pPr>
        <w:spacing w:line="225" w:lineRule="exact" w:before="0"/>
        <w:ind w:left="0" w:right="168" w:firstLine="0"/>
        <w:jc w:val="right"/>
        <w:rPr>
          <w:rFonts w:ascii="Arial"/>
          <w:i/>
          <w:sz w:val="20"/>
        </w:rPr>
      </w:pPr>
      <w:r>
        <w:rPr>
          <w:sz w:val="20"/>
        </w:rPr>
        <w:t>grounds</w:t>
      </w:r>
      <w:r>
        <w:rPr>
          <w:spacing w:val="1"/>
          <w:sz w:val="20"/>
        </w:rPr>
        <w:t> </w:t>
      </w:r>
      <w:r>
        <w:rPr>
          <w:rFonts w:ascii="Arial"/>
          <w:i/>
          <w:sz w:val="20"/>
        </w:rPr>
        <w:t>(1889)</w:t>
      </w:r>
      <w:r>
        <w:rPr>
          <w:rFonts w:ascii="Arial"/>
          <w:i/>
          <w:spacing w:val="5"/>
          <w:sz w:val="20"/>
        </w:rPr>
        <w:t> </w:t>
      </w:r>
      <w:r>
        <w:rPr>
          <w:rFonts w:ascii="Arial"/>
          <w:i/>
          <w:sz w:val="20"/>
        </w:rPr>
        <w:t>14</w:t>
      </w:r>
      <w:r>
        <w:rPr>
          <w:rFonts w:ascii="Arial"/>
          <w:i/>
          <w:spacing w:val="5"/>
          <w:sz w:val="20"/>
        </w:rPr>
        <w:t> </w:t>
      </w:r>
      <w:r>
        <w:rPr>
          <w:rFonts w:ascii="Arial"/>
          <w:i/>
          <w:sz w:val="20"/>
        </w:rPr>
        <w:t>App.</w:t>
      </w:r>
      <w:r>
        <w:rPr>
          <w:rFonts w:ascii="Arial"/>
          <w:i/>
          <w:spacing w:val="5"/>
          <w:sz w:val="20"/>
        </w:rPr>
        <w:t> </w:t>
      </w:r>
      <w:r>
        <w:rPr>
          <w:rFonts w:ascii="Arial"/>
          <w:i/>
          <w:sz w:val="20"/>
        </w:rPr>
        <w:t>Cas.</w:t>
      </w:r>
      <w:r>
        <w:rPr>
          <w:rFonts w:ascii="Arial"/>
          <w:i/>
          <w:spacing w:val="5"/>
          <w:sz w:val="20"/>
        </w:rPr>
        <w:t> </w:t>
      </w:r>
      <w:r>
        <w:rPr>
          <w:rFonts w:ascii="Arial"/>
          <w:i/>
          <w:sz w:val="20"/>
        </w:rPr>
        <w:t>337</w:t>
      </w:r>
      <w:r>
        <w:rPr>
          <w:sz w:val="20"/>
        </w:rPr>
        <w:t>);</w:t>
      </w:r>
      <w:r>
        <w:rPr>
          <w:spacing w:val="5"/>
          <w:sz w:val="20"/>
        </w:rPr>
        <w:t> </w:t>
      </w:r>
      <w:r>
        <w:rPr>
          <w:rFonts w:ascii="Arial"/>
          <w:i/>
          <w:sz w:val="20"/>
        </w:rPr>
        <w:t>Doyle</w:t>
      </w:r>
      <w:r>
        <w:rPr>
          <w:rFonts w:ascii="Arial"/>
          <w:i/>
          <w:spacing w:val="5"/>
          <w:sz w:val="20"/>
        </w:rPr>
        <w:t> </w:t>
      </w:r>
      <w:r>
        <w:rPr>
          <w:rFonts w:ascii="Arial"/>
          <w:i/>
          <w:sz w:val="20"/>
        </w:rPr>
        <w:t>v</w:t>
      </w:r>
      <w:r>
        <w:rPr>
          <w:rFonts w:ascii="Arial"/>
          <w:i/>
          <w:spacing w:val="5"/>
          <w:sz w:val="20"/>
        </w:rPr>
        <w:t> </w:t>
      </w:r>
      <w:r>
        <w:rPr>
          <w:rFonts w:ascii="Arial"/>
          <w:i/>
          <w:sz w:val="20"/>
        </w:rPr>
        <w:t>Olby</w:t>
      </w:r>
      <w:r>
        <w:rPr>
          <w:rFonts w:ascii="Arial"/>
          <w:i/>
          <w:spacing w:val="4"/>
          <w:sz w:val="20"/>
        </w:rPr>
        <w:t> </w:t>
      </w:r>
      <w:r>
        <w:rPr>
          <w:rFonts w:ascii="Arial"/>
          <w:i/>
          <w:sz w:val="20"/>
        </w:rPr>
        <w:t>(Ironmongers)</w:t>
      </w:r>
      <w:r>
        <w:rPr>
          <w:rFonts w:ascii="Arial"/>
          <w:i/>
          <w:spacing w:val="5"/>
          <w:sz w:val="20"/>
        </w:rPr>
        <w:t> </w:t>
      </w:r>
      <w:r>
        <w:rPr>
          <w:rFonts w:ascii="Arial"/>
          <w:i/>
          <w:sz w:val="20"/>
        </w:rPr>
        <w:t>Ltd</w:t>
      </w:r>
      <w:r>
        <w:rPr>
          <w:rFonts w:ascii="Arial"/>
          <w:i/>
          <w:spacing w:val="5"/>
          <w:sz w:val="20"/>
        </w:rPr>
        <w:t> </w:t>
      </w:r>
      <w:r>
        <w:rPr>
          <w:rFonts w:ascii="Arial"/>
          <w:i/>
          <w:sz w:val="20"/>
        </w:rPr>
        <w:t>[1969]</w:t>
      </w:r>
      <w:r>
        <w:rPr>
          <w:rFonts w:ascii="Arial"/>
          <w:i/>
          <w:spacing w:val="5"/>
          <w:sz w:val="20"/>
        </w:rPr>
        <w:t> </w:t>
      </w:r>
      <w:r>
        <w:rPr>
          <w:rFonts w:ascii="Arial"/>
          <w:i/>
          <w:sz w:val="20"/>
        </w:rPr>
        <w:t>2</w:t>
      </w:r>
      <w:r>
        <w:rPr>
          <w:rFonts w:ascii="Arial"/>
          <w:i/>
          <w:spacing w:val="5"/>
          <w:sz w:val="20"/>
        </w:rPr>
        <w:t> </w:t>
      </w:r>
      <w:r>
        <w:rPr>
          <w:rFonts w:ascii="Arial"/>
          <w:i/>
          <w:sz w:val="20"/>
        </w:rPr>
        <w:t>Q.B.</w:t>
      </w:r>
      <w:r>
        <w:rPr>
          <w:rFonts w:ascii="Arial"/>
          <w:i/>
          <w:spacing w:val="5"/>
          <w:sz w:val="20"/>
        </w:rPr>
        <w:t> </w:t>
      </w:r>
      <w:r>
        <w:rPr>
          <w:rFonts w:ascii="Arial"/>
          <w:i/>
          <w:sz w:val="20"/>
        </w:rPr>
        <w:t>158</w:t>
      </w:r>
      <w:r>
        <w:rPr>
          <w:sz w:val="20"/>
        </w:rPr>
        <w:t>;</w:t>
      </w:r>
      <w:r>
        <w:rPr>
          <w:spacing w:val="5"/>
          <w:sz w:val="20"/>
        </w:rPr>
        <w:t> </w:t>
      </w:r>
      <w:r>
        <w:rPr>
          <w:rFonts w:ascii="Arial"/>
          <w:i/>
          <w:sz w:val="20"/>
        </w:rPr>
        <w:t>Archer</w:t>
      </w:r>
      <w:r>
        <w:rPr>
          <w:rFonts w:ascii="Arial"/>
          <w:i/>
          <w:spacing w:val="5"/>
          <w:sz w:val="20"/>
        </w:rPr>
        <w:t> </w:t>
      </w:r>
      <w:r>
        <w:rPr>
          <w:rFonts w:ascii="Arial"/>
          <w:i/>
          <w:spacing w:val="-10"/>
          <w:sz w:val="20"/>
        </w:rPr>
        <w:t>v</w:t>
      </w:r>
    </w:p>
    <w:p>
      <w:pPr>
        <w:spacing w:line="225" w:lineRule="exact" w:before="0"/>
        <w:ind w:left="0" w:right="168" w:firstLine="0"/>
        <w:jc w:val="right"/>
        <w:rPr>
          <w:rFonts w:ascii="Arial"/>
          <w:i/>
          <w:sz w:val="20"/>
        </w:rPr>
      </w:pPr>
      <w:r>
        <w:rPr>
          <w:rFonts w:ascii="Arial"/>
          <w:i/>
          <w:sz w:val="20"/>
        </w:rPr>
        <w:t>Brown</w:t>
      </w:r>
      <w:r>
        <w:rPr>
          <w:rFonts w:ascii="Arial"/>
          <w:i/>
          <w:spacing w:val="4"/>
          <w:sz w:val="20"/>
        </w:rPr>
        <w:t> </w:t>
      </w:r>
      <w:r>
        <w:rPr>
          <w:rFonts w:ascii="Arial"/>
          <w:i/>
          <w:sz w:val="20"/>
        </w:rPr>
        <w:t>[1985]</w:t>
      </w:r>
      <w:r>
        <w:rPr>
          <w:rFonts w:ascii="Arial"/>
          <w:i/>
          <w:spacing w:val="5"/>
          <w:sz w:val="20"/>
        </w:rPr>
        <w:t> </w:t>
      </w:r>
      <w:r>
        <w:rPr>
          <w:rFonts w:ascii="Arial"/>
          <w:i/>
          <w:sz w:val="20"/>
        </w:rPr>
        <w:t>1</w:t>
      </w:r>
      <w:r>
        <w:rPr>
          <w:rFonts w:ascii="Arial"/>
          <w:i/>
          <w:spacing w:val="5"/>
          <w:sz w:val="20"/>
        </w:rPr>
        <w:t> </w:t>
      </w:r>
      <w:r>
        <w:rPr>
          <w:rFonts w:ascii="Arial"/>
          <w:i/>
          <w:sz w:val="20"/>
        </w:rPr>
        <w:t>Q.B.</w:t>
      </w:r>
      <w:r>
        <w:rPr>
          <w:rFonts w:ascii="Arial"/>
          <w:i/>
          <w:spacing w:val="5"/>
          <w:sz w:val="20"/>
        </w:rPr>
        <w:t> </w:t>
      </w:r>
      <w:r>
        <w:rPr>
          <w:rFonts w:ascii="Arial"/>
          <w:i/>
          <w:sz w:val="20"/>
        </w:rPr>
        <w:t>401</w:t>
      </w:r>
      <w:r>
        <w:rPr>
          <w:sz w:val="20"/>
        </w:rPr>
        <w:t>.</w:t>
      </w:r>
      <w:r>
        <w:rPr>
          <w:spacing w:val="5"/>
          <w:sz w:val="20"/>
        </w:rPr>
        <w:t> </w:t>
      </w:r>
      <w:r>
        <w:rPr>
          <w:sz w:val="20"/>
        </w:rPr>
        <w:t>cf.</w:t>
      </w:r>
      <w:r>
        <w:rPr>
          <w:spacing w:val="5"/>
          <w:sz w:val="20"/>
        </w:rPr>
        <w:t> </w:t>
      </w:r>
      <w:r>
        <w:rPr>
          <w:rFonts w:ascii="Arial"/>
          <w:i/>
          <w:sz w:val="20"/>
        </w:rPr>
        <w:t>Jack</w:t>
      </w:r>
      <w:r>
        <w:rPr>
          <w:rFonts w:ascii="Arial"/>
          <w:i/>
          <w:spacing w:val="5"/>
          <w:sz w:val="20"/>
        </w:rPr>
        <w:t> </w:t>
      </w:r>
      <w:r>
        <w:rPr>
          <w:rFonts w:ascii="Arial"/>
          <w:i/>
          <w:sz w:val="20"/>
        </w:rPr>
        <w:t>v</w:t>
      </w:r>
      <w:r>
        <w:rPr>
          <w:rFonts w:ascii="Arial"/>
          <w:i/>
          <w:spacing w:val="5"/>
          <w:sz w:val="20"/>
        </w:rPr>
        <w:t> </w:t>
      </w:r>
      <w:r>
        <w:rPr>
          <w:rFonts w:ascii="Arial"/>
          <w:i/>
          <w:sz w:val="20"/>
        </w:rPr>
        <w:t>Kipping</w:t>
      </w:r>
      <w:r>
        <w:rPr>
          <w:rFonts w:ascii="Arial"/>
          <w:i/>
          <w:spacing w:val="5"/>
          <w:sz w:val="20"/>
        </w:rPr>
        <w:t> </w:t>
      </w:r>
      <w:r>
        <w:rPr>
          <w:rFonts w:ascii="Arial"/>
          <w:i/>
          <w:sz w:val="20"/>
        </w:rPr>
        <w:t>(1882)</w:t>
      </w:r>
      <w:r>
        <w:rPr>
          <w:rFonts w:ascii="Arial"/>
          <w:i/>
          <w:spacing w:val="4"/>
          <w:sz w:val="20"/>
        </w:rPr>
        <w:t> </w:t>
      </w:r>
      <w:r>
        <w:rPr>
          <w:rFonts w:ascii="Arial"/>
          <w:i/>
          <w:sz w:val="20"/>
        </w:rPr>
        <w:t>9</w:t>
      </w:r>
      <w:r>
        <w:rPr>
          <w:rFonts w:ascii="Arial"/>
          <w:i/>
          <w:spacing w:val="5"/>
          <w:sz w:val="20"/>
        </w:rPr>
        <w:t> </w:t>
      </w:r>
      <w:r>
        <w:rPr>
          <w:rFonts w:ascii="Arial"/>
          <w:i/>
          <w:sz w:val="20"/>
        </w:rPr>
        <w:t>Q.B.D.</w:t>
      </w:r>
      <w:r>
        <w:rPr>
          <w:rFonts w:ascii="Arial"/>
          <w:i/>
          <w:spacing w:val="5"/>
          <w:sz w:val="20"/>
        </w:rPr>
        <w:t> </w:t>
      </w:r>
      <w:r>
        <w:rPr>
          <w:rFonts w:ascii="Arial"/>
          <w:i/>
          <w:sz w:val="20"/>
        </w:rPr>
        <w:t>113</w:t>
      </w:r>
      <w:r>
        <w:rPr>
          <w:sz w:val="20"/>
        </w:rPr>
        <w:t>;</w:t>
      </w:r>
      <w:r>
        <w:rPr>
          <w:spacing w:val="5"/>
          <w:sz w:val="20"/>
        </w:rPr>
        <w:t> </w:t>
      </w:r>
      <w:r>
        <w:rPr>
          <w:rFonts w:ascii="Arial"/>
          <w:i/>
          <w:sz w:val="20"/>
        </w:rPr>
        <w:t>Tilley</w:t>
      </w:r>
      <w:r>
        <w:rPr>
          <w:rFonts w:ascii="Arial"/>
          <w:i/>
          <w:spacing w:val="5"/>
          <w:sz w:val="20"/>
        </w:rPr>
        <w:t> </w:t>
      </w:r>
      <w:r>
        <w:rPr>
          <w:rFonts w:ascii="Arial"/>
          <w:i/>
          <w:sz w:val="20"/>
        </w:rPr>
        <w:t>v</w:t>
      </w:r>
      <w:r>
        <w:rPr>
          <w:rFonts w:ascii="Arial"/>
          <w:i/>
          <w:spacing w:val="5"/>
          <w:sz w:val="20"/>
        </w:rPr>
        <w:t> </w:t>
      </w:r>
      <w:r>
        <w:rPr>
          <w:rFonts w:ascii="Arial"/>
          <w:i/>
          <w:sz w:val="20"/>
        </w:rPr>
        <w:t>Bowman</w:t>
      </w:r>
      <w:r>
        <w:rPr>
          <w:rFonts w:ascii="Arial"/>
          <w:i/>
          <w:spacing w:val="5"/>
          <w:sz w:val="20"/>
        </w:rPr>
        <w:t> </w:t>
      </w:r>
      <w:r>
        <w:rPr>
          <w:rFonts w:ascii="Arial"/>
          <w:i/>
          <w:sz w:val="20"/>
        </w:rPr>
        <w:t>Ltd</w:t>
      </w:r>
      <w:r>
        <w:rPr>
          <w:rFonts w:ascii="Arial"/>
          <w:i/>
          <w:spacing w:val="5"/>
          <w:sz w:val="20"/>
        </w:rPr>
        <w:t> </w:t>
      </w:r>
      <w:r>
        <w:rPr>
          <w:rFonts w:ascii="Arial"/>
          <w:i/>
          <w:sz w:val="20"/>
        </w:rPr>
        <w:t>[1910]</w:t>
      </w:r>
      <w:r>
        <w:rPr>
          <w:rFonts w:ascii="Arial"/>
          <w:i/>
          <w:spacing w:val="5"/>
          <w:sz w:val="20"/>
        </w:rPr>
        <w:t> </w:t>
      </w:r>
      <w:r>
        <w:rPr>
          <w:rFonts w:ascii="Arial"/>
          <w:i/>
          <w:spacing w:val="-10"/>
          <w:sz w:val="20"/>
        </w:rPr>
        <w:t>1</w:t>
      </w:r>
    </w:p>
    <w:p>
      <w:pPr>
        <w:spacing w:line="227" w:lineRule="exact" w:before="0"/>
        <w:ind w:left="705" w:right="0" w:firstLine="0"/>
        <w:jc w:val="left"/>
        <w:rPr>
          <w:sz w:val="20"/>
        </w:rPr>
      </w:pPr>
      <w:r>
        <w:rPr>
          <w:rFonts w:ascii="Arial"/>
          <w:i/>
          <w:sz w:val="20"/>
        </w:rPr>
        <w:t>K.B.</w:t>
      </w:r>
      <w:r>
        <w:rPr>
          <w:rFonts w:ascii="Arial"/>
          <w:i/>
          <w:spacing w:val="-2"/>
          <w:sz w:val="20"/>
        </w:rPr>
        <w:t> </w:t>
      </w:r>
      <w:r>
        <w:rPr>
          <w:rFonts w:ascii="Arial"/>
          <w:i/>
          <w:spacing w:val="-4"/>
          <w:sz w:val="20"/>
        </w:rPr>
        <w:t>745</w:t>
      </w:r>
      <w:r>
        <w:rPr>
          <w:spacing w:val="-4"/>
          <w:sz w:val="20"/>
        </w:rPr>
        <w:t>.</w:t>
      </w:r>
    </w:p>
    <w:p>
      <w:pPr>
        <w:pStyle w:val="BodyText"/>
        <w:spacing w:before="5"/>
      </w:pPr>
    </w:p>
    <w:p>
      <w:pPr>
        <w:spacing w:before="0"/>
        <w:ind w:left="165" w:right="0" w:firstLine="0"/>
        <w:jc w:val="left"/>
        <w:rPr>
          <w:rFonts w:ascii="Arial"/>
          <w:i/>
          <w:sz w:val="20"/>
        </w:rPr>
      </w:pPr>
      <w:r>
        <w:rPr>
          <w:color w:val="005DA1"/>
          <w:position w:val="5"/>
          <w:sz w:val="14"/>
          <w:u w:val="single" w:color="005DA1"/>
        </w:rPr>
        <w:t>1093</w:t>
      </w:r>
      <w:r>
        <w:rPr>
          <w:position w:val="5"/>
          <w:sz w:val="14"/>
        </w:rPr>
        <w:t>.</w:t>
      </w:r>
      <w:r>
        <w:rPr>
          <w:spacing w:val="55"/>
          <w:position w:val="5"/>
          <w:sz w:val="14"/>
        </w:rPr>
        <w:t>  </w:t>
      </w:r>
      <w:r>
        <w:rPr>
          <w:rFonts w:ascii="Arial"/>
          <w:i/>
          <w:sz w:val="20"/>
        </w:rPr>
        <w:t>Esso</w:t>
      </w:r>
      <w:r>
        <w:rPr>
          <w:rFonts w:ascii="Arial"/>
          <w:i/>
          <w:spacing w:val="31"/>
          <w:sz w:val="20"/>
        </w:rPr>
        <w:t> </w:t>
      </w:r>
      <w:r>
        <w:rPr>
          <w:rFonts w:ascii="Arial"/>
          <w:i/>
          <w:sz w:val="20"/>
        </w:rPr>
        <w:t>Petroleum</w:t>
      </w:r>
      <w:r>
        <w:rPr>
          <w:rFonts w:ascii="Arial"/>
          <w:i/>
          <w:spacing w:val="30"/>
          <w:sz w:val="20"/>
        </w:rPr>
        <w:t> </w:t>
      </w:r>
      <w:r>
        <w:rPr>
          <w:rFonts w:ascii="Arial"/>
          <w:i/>
          <w:sz w:val="20"/>
        </w:rPr>
        <w:t>Co</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Mardon</w:t>
      </w:r>
      <w:r>
        <w:rPr>
          <w:rFonts w:ascii="Arial"/>
          <w:i/>
          <w:spacing w:val="30"/>
          <w:sz w:val="20"/>
        </w:rPr>
        <w:t> </w:t>
      </w:r>
      <w:r>
        <w:rPr>
          <w:rFonts w:ascii="Arial"/>
          <w:i/>
          <w:sz w:val="20"/>
        </w:rPr>
        <w:t>[1976]</w:t>
      </w:r>
      <w:r>
        <w:rPr>
          <w:rFonts w:ascii="Arial"/>
          <w:i/>
          <w:spacing w:val="30"/>
          <w:sz w:val="20"/>
        </w:rPr>
        <w:t> </w:t>
      </w:r>
      <w:r>
        <w:rPr>
          <w:rFonts w:ascii="Arial"/>
          <w:i/>
          <w:sz w:val="20"/>
        </w:rPr>
        <w:t>Q.B.</w:t>
      </w:r>
      <w:r>
        <w:rPr>
          <w:rFonts w:ascii="Arial"/>
          <w:i/>
          <w:spacing w:val="29"/>
          <w:sz w:val="20"/>
        </w:rPr>
        <w:t> </w:t>
      </w:r>
      <w:r>
        <w:rPr>
          <w:rFonts w:ascii="Arial"/>
          <w:i/>
          <w:sz w:val="20"/>
        </w:rPr>
        <w:t>801</w:t>
      </w:r>
      <w:r>
        <w:rPr>
          <w:sz w:val="20"/>
        </w:rPr>
        <w:t>;</w:t>
      </w:r>
      <w:r>
        <w:rPr>
          <w:spacing w:val="30"/>
          <w:sz w:val="20"/>
        </w:rPr>
        <w:t> </w:t>
      </w:r>
      <w:r>
        <w:rPr>
          <w:rFonts w:ascii="Arial"/>
          <w:i/>
          <w:sz w:val="20"/>
        </w:rPr>
        <w:t>Howard</w:t>
      </w:r>
      <w:r>
        <w:rPr>
          <w:rFonts w:ascii="Arial"/>
          <w:i/>
          <w:spacing w:val="30"/>
          <w:sz w:val="20"/>
        </w:rPr>
        <w:t> </w:t>
      </w:r>
      <w:r>
        <w:rPr>
          <w:rFonts w:ascii="Arial"/>
          <w:i/>
          <w:sz w:val="20"/>
        </w:rPr>
        <w:t>Marine</w:t>
      </w:r>
      <w:r>
        <w:rPr>
          <w:rFonts w:ascii="Arial"/>
          <w:i/>
          <w:spacing w:val="30"/>
          <w:sz w:val="20"/>
        </w:rPr>
        <w:t> </w:t>
      </w:r>
      <w:r>
        <w:rPr>
          <w:rFonts w:ascii="Arial"/>
          <w:i/>
          <w:sz w:val="20"/>
        </w:rPr>
        <w:t>&amp;</w:t>
      </w:r>
      <w:r>
        <w:rPr>
          <w:rFonts w:ascii="Arial"/>
          <w:i/>
          <w:spacing w:val="30"/>
          <w:sz w:val="20"/>
        </w:rPr>
        <w:t> </w:t>
      </w:r>
      <w:r>
        <w:rPr>
          <w:rFonts w:ascii="Arial"/>
          <w:i/>
          <w:sz w:val="20"/>
        </w:rPr>
        <w:t>Dredging</w:t>
      </w:r>
      <w:r>
        <w:rPr>
          <w:rFonts w:ascii="Arial"/>
          <w:i/>
          <w:spacing w:val="30"/>
          <w:sz w:val="20"/>
        </w:rPr>
        <w:t> </w:t>
      </w:r>
      <w:r>
        <w:rPr>
          <w:rFonts w:ascii="Arial"/>
          <w:i/>
          <w:sz w:val="20"/>
        </w:rPr>
        <w:t>Co</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pacing w:val="-5"/>
          <w:sz w:val="20"/>
        </w:rPr>
        <w:t>A.</w:t>
      </w:r>
    </w:p>
    <w:p>
      <w:pPr>
        <w:spacing w:after="0"/>
        <w:jc w:val="left"/>
        <w:rPr>
          <w:rFonts w:ascii="Arial"/>
          <w:i/>
          <w:sz w:val="20"/>
        </w:rPr>
        <w:sectPr>
          <w:pgSz w:w="11900" w:h="16840"/>
          <w:pgMar w:header="971" w:footer="0" w:top="1300" w:bottom="280" w:left="1275" w:right="1275"/>
        </w:sectPr>
      </w:pPr>
    </w:p>
    <w:p>
      <w:pPr>
        <w:spacing w:line="235" w:lineRule="auto" w:before="110"/>
        <w:ind w:left="705" w:right="167" w:firstLine="0"/>
        <w:jc w:val="both"/>
        <w:rPr>
          <w:sz w:val="20"/>
        </w:rPr>
      </w:pPr>
      <w:r>
        <w:rPr>
          <w:rFonts w:ascii="Arial" w:hAnsi="Arial"/>
          <w:i/>
          <w:sz w:val="20"/>
        </w:rPr>
        <w:t>Ogden &amp; Sons (Excavations) Ltd [1978] Q.B. 574</w:t>
      </w:r>
      <w:r>
        <w:rPr>
          <w:sz w:val="20"/>
        </w:rPr>
        <w:t>; </w:t>
      </w:r>
      <w:r>
        <w:rPr>
          <w:rFonts w:ascii="Arial" w:hAnsi="Arial"/>
          <w:i/>
          <w:sz w:val="20"/>
        </w:rPr>
        <w:t>Rust v Abbey Life Insurance Co Ltd [1978] </w:t>
      </w:r>
      <w:r>
        <w:rPr>
          <w:rFonts w:ascii="Arial" w:hAnsi="Arial"/>
          <w:i/>
          <w:sz w:val="20"/>
        </w:rPr>
        <w:t>2 Lloyd’s Rep. 386</w:t>
      </w:r>
      <w:r>
        <w:rPr>
          <w:sz w:val="20"/>
        </w:rPr>
        <w:t>; </w:t>
      </w:r>
      <w:r>
        <w:rPr>
          <w:rFonts w:ascii="Arial" w:hAnsi="Arial"/>
          <w:i/>
          <w:sz w:val="20"/>
        </w:rPr>
        <w:t>Banque Financière de la Cité SA v Westgate Insurance Co Ltd [1991] 2 A.C. 249, 275</w:t>
      </w:r>
      <w:r>
        <w:rPr>
          <w:sz w:val="20"/>
        </w:rPr>
        <w:t>. cf. </w:t>
      </w:r>
      <w:r>
        <w:rPr>
          <w:rFonts w:ascii="Arial" w:hAnsi="Arial"/>
          <w:i/>
          <w:sz w:val="20"/>
        </w:rPr>
        <w:t>Cemp Properties (UK) Ltd v Dentsply Research &amp; Development Corp (No.1)</w:t>
      </w:r>
      <w:r>
        <w:rPr>
          <w:rFonts w:ascii="Arial" w:hAnsi="Arial"/>
          <w:i/>
          <w:spacing w:val="40"/>
          <w:sz w:val="20"/>
        </w:rPr>
        <w:t> </w:t>
      </w:r>
      <w:r>
        <w:rPr>
          <w:rFonts w:ascii="Arial" w:hAnsi="Arial"/>
          <w:i/>
          <w:sz w:val="20"/>
        </w:rPr>
        <w:t>(1989) 35 E.G. 99, 104</w:t>
      </w:r>
      <w:r>
        <w:rPr>
          <w:sz w:val="20"/>
        </w:rPr>
        <w:t>.</w:t>
      </w:r>
    </w:p>
    <w:p>
      <w:pPr>
        <w:pStyle w:val="BodyText"/>
        <w:spacing w:before="5"/>
      </w:pPr>
    </w:p>
    <w:p>
      <w:pPr>
        <w:spacing w:before="0"/>
        <w:ind w:left="165" w:right="0" w:firstLine="0"/>
        <w:jc w:val="left"/>
        <w:rPr>
          <w:sz w:val="20"/>
        </w:rPr>
      </w:pPr>
      <w:r>
        <w:rPr>
          <w:color w:val="005DA1"/>
          <w:position w:val="5"/>
          <w:sz w:val="14"/>
          <w:u w:val="single" w:color="005DA1"/>
        </w:rPr>
        <w:t>1094</w:t>
      </w:r>
      <w:r>
        <w:rPr>
          <w:position w:val="5"/>
          <w:sz w:val="14"/>
        </w:rPr>
        <w:t>.</w:t>
      </w:r>
      <w:r>
        <w:rPr>
          <w:spacing w:val="55"/>
          <w:position w:val="5"/>
          <w:sz w:val="14"/>
        </w:rPr>
        <w:t>  </w:t>
      </w:r>
      <w:r>
        <w:rPr>
          <w:rFonts w:ascii="Arial"/>
          <w:i/>
          <w:sz w:val="20"/>
        </w:rPr>
        <w:t>[1964]</w:t>
      </w:r>
      <w:r>
        <w:rPr>
          <w:rFonts w:ascii="Arial"/>
          <w:i/>
          <w:spacing w:val="1"/>
          <w:sz w:val="20"/>
        </w:rPr>
        <w:t> </w:t>
      </w:r>
      <w:r>
        <w:rPr>
          <w:rFonts w:ascii="Arial"/>
          <w:i/>
          <w:sz w:val="20"/>
        </w:rPr>
        <w:t>A.C. </w:t>
      </w:r>
      <w:r>
        <w:rPr>
          <w:rFonts w:ascii="Arial"/>
          <w:i/>
          <w:spacing w:val="-4"/>
          <w:sz w:val="20"/>
        </w:rPr>
        <w:t>465</w:t>
      </w:r>
      <w:r>
        <w:rPr>
          <w:spacing w:val="-4"/>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1095</w:t>
      </w:r>
      <w:r>
        <w:rPr>
          <w:position w:val="5"/>
          <w:sz w:val="14"/>
        </w:rPr>
        <w:t>.</w:t>
      </w:r>
      <w:r>
        <w:rPr>
          <w:spacing w:val="80"/>
          <w:position w:val="5"/>
          <w:sz w:val="14"/>
        </w:rPr>
        <w:t> </w:t>
      </w:r>
      <w:r>
        <w:rPr>
          <w:sz w:val="20"/>
        </w:rPr>
        <w:t>See below, paras 7-074—7-084. Liability in damages under s.2(1) is treated as tortious: see </w:t>
      </w:r>
      <w:r>
        <w:rPr>
          <w:rFonts w:ascii="Arial" w:hAnsi="Arial"/>
          <w:i/>
          <w:sz w:val="20"/>
        </w:rPr>
        <w:t>André &amp; Cie SA v Ets. Michel Blanc et Fils [1977] 2 Lloyd’s Rep. 166</w:t>
      </w:r>
      <w:r>
        <w:rPr>
          <w:sz w:val="20"/>
        </w:rPr>
        <w:t>; </w:t>
      </w:r>
      <w:r>
        <w:rPr>
          <w:rFonts w:ascii="Arial" w:hAnsi="Arial"/>
          <w:i/>
          <w:sz w:val="20"/>
        </w:rPr>
        <w:t>Royscott Trust Ltd v Rogerson [1991] 2 Q.B. 297 </w:t>
      </w:r>
      <w:r>
        <w:rPr>
          <w:sz w:val="20"/>
        </w:rPr>
        <w:t>and see below, para.7-077.</w:t>
      </w:r>
    </w:p>
    <w:p>
      <w:pPr>
        <w:pStyle w:val="BodyText"/>
        <w:spacing w:before="8"/>
      </w:pPr>
    </w:p>
    <w:p>
      <w:pPr>
        <w:pStyle w:val="BodyText"/>
        <w:spacing w:line="235" w:lineRule="auto" w:before="1"/>
        <w:ind w:left="705" w:right="167" w:hanging="541"/>
        <w:jc w:val="both"/>
      </w:pPr>
      <w:r>
        <w:rPr>
          <w:color w:val="005DA1"/>
          <w:position w:val="5"/>
          <w:sz w:val="14"/>
          <w:u w:val="single" w:color="005DA1"/>
        </w:rPr>
        <w:t>1096</w:t>
      </w:r>
      <w:r>
        <w:rPr>
          <w:position w:val="5"/>
          <w:sz w:val="14"/>
        </w:rPr>
        <w:t>.</w:t>
      </w:r>
      <w:r>
        <w:rPr>
          <w:spacing w:val="80"/>
          <w:position w:val="5"/>
          <w:sz w:val="14"/>
        </w:rPr>
        <w:t> </w:t>
      </w:r>
      <w:r>
        <w:rPr/>
        <w:t>SI 2008/1277 reg.5 and Pt 4A (as amended by Consumer Protection (Amendment) </w:t>
      </w:r>
      <w:r>
        <w:rPr/>
        <w:t>Regulations 2014 (SI 2014/870)), on which generally see Vol.II, paras 38-145 et seq. On the question of the nature</w:t>
      </w:r>
      <w:r>
        <w:rPr>
          <w:spacing w:val="40"/>
        </w:rPr>
        <w:t> </w:t>
      </w:r>
      <w:r>
        <w:rPr/>
        <w:t>of</w:t>
      </w:r>
      <w:r>
        <w:rPr>
          <w:spacing w:val="40"/>
        </w:rPr>
        <w:t> </w:t>
      </w:r>
      <w:r>
        <w:rPr/>
        <w:t>a</w:t>
      </w:r>
      <w:r>
        <w:rPr>
          <w:spacing w:val="40"/>
        </w:rPr>
        <w:t> </w:t>
      </w:r>
      <w:r>
        <w:rPr/>
        <w:t>claim</w:t>
      </w:r>
      <w:r>
        <w:rPr>
          <w:spacing w:val="40"/>
        </w:rPr>
        <w:t> </w:t>
      </w:r>
      <w:r>
        <w:rPr/>
        <w:t>for</w:t>
      </w:r>
      <w:r>
        <w:rPr>
          <w:spacing w:val="40"/>
        </w:rPr>
        <w:t> </w:t>
      </w:r>
      <w:r>
        <w:rPr/>
        <w:t>damages</w:t>
      </w:r>
      <w:r>
        <w:rPr>
          <w:spacing w:val="40"/>
        </w:rPr>
        <w:t> </w:t>
      </w:r>
      <w:r>
        <w:rPr/>
        <w:t>under</w:t>
      </w:r>
      <w:r>
        <w:rPr>
          <w:spacing w:val="40"/>
        </w:rPr>
        <w:t> </w:t>
      </w:r>
      <w:r>
        <w:rPr/>
        <w:t>the</w:t>
      </w:r>
      <w:r>
        <w:rPr>
          <w:spacing w:val="40"/>
        </w:rPr>
        <w:t> </w:t>
      </w:r>
      <w:r>
        <w:rPr/>
        <w:t>right</w:t>
      </w:r>
      <w:r>
        <w:rPr>
          <w:spacing w:val="40"/>
        </w:rPr>
        <w:t> </w:t>
      </w:r>
      <w:r>
        <w:rPr/>
        <w:t>to</w:t>
      </w:r>
      <w:r>
        <w:rPr>
          <w:spacing w:val="40"/>
        </w:rPr>
        <w:t> </w:t>
      </w:r>
      <w:r>
        <w:rPr/>
        <w:t>redress</w:t>
      </w:r>
      <w:r>
        <w:rPr>
          <w:spacing w:val="40"/>
        </w:rPr>
        <w:t> </w:t>
      </w:r>
      <w:r>
        <w:rPr/>
        <w:t>for</w:t>
      </w:r>
      <w:r>
        <w:rPr>
          <w:spacing w:val="40"/>
        </w:rPr>
        <w:t> </w:t>
      </w:r>
      <w:r>
        <w:rPr/>
        <w:t>the</w:t>
      </w:r>
      <w:r>
        <w:rPr>
          <w:spacing w:val="40"/>
        </w:rPr>
        <w:t> </w:t>
      </w:r>
      <w:r>
        <w:rPr/>
        <w:t>consumer</w:t>
      </w:r>
      <w:r>
        <w:rPr>
          <w:spacing w:val="40"/>
        </w:rPr>
        <w:t> </w:t>
      </w:r>
      <w:r>
        <w:rPr/>
        <w:t>see</w:t>
      </w:r>
      <w:r>
        <w:rPr>
          <w:spacing w:val="40"/>
        </w:rPr>
        <w:t> </w:t>
      </w:r>
      <w:r>
        <w:rPr/>
        <w:t>Vol.II, </w:t>
      </w:r>
      <w:r>
        <w:rPr>
          <w:spacing w:val="-2"/>
        </w:rPr>
        <w:t>para.38-184.</w:t>
      </w:r>
    </w:p>
    <w:p>
      <w:pPr>
        <w:pStyle w:val="BodyText"/>
        <w:spacing w:before="4"/>
      </w:pPr>
    </w:p>
    <w:p>
      <w:pPr>
        <w:spacing w:before="0"/>
        <w:ind w:left="165" w:right="0" w:firstLine="0"/>
        <w:jc w:val="left"/>
        <w:rPr>
          <w:sz w:val="20"/>
        </w:rPr>
      </w:pPr>
      <w:r>
        <w:rPr>
          <w:color w:val="005DA1"/>
          <w:position w:val="5"/>
          <w:sz w:val="14"/>
          <w:u w:val="single" w:color="005DA1"/>
        </w:rPr>
        <w:t>1097</w:t>
      </w:r>
      <w:r>
        <w:rPr>
          <w:position w:val="5"/>
          <w:sz w:val="14"/>
        </w:rPr>
        <w:t>.</w:t>
      </w:r>
      <w:r>
        <w:rPr>
          <w:spacing w:val="55"/>
          <w:position w:val="5"/>
          <w:sz w:val="14"/>
        </w:rPr>
        <w:t>  </w:t>
      </w:r>
      <w:r>
        <w:rPr>
          <w:rFonts w:ascii="Arial"/>
          <w:i/>
          <w:sz w:val="20"/>
        </w:rPr>
        <w:t>Esso</w:t>
      </w:r>
      <w:r>
        <w:rPr>
          <w:rFonts w:ascii="Arial"/>
          <w:i/>
          <w:spacing w:val="1"/>
          <w:sz w:val="20"/>
        </w:rPr>
        <w:t> </w:t>
      </w:r>
      <w:r>
        <w:rPr>
          <w:rFonts w:ascii="Arial"/>
          <w:i/>
          <w:sz w:val="20"/>
        </w:rPr>
        <w:t>Petroleum Co Ltd v Mardon [1976] Q.B. </w:t>
      </w:r>
      <w:r>
        <w:rPr>
          <w:rFonts w:ascii="Arial"/>
          <w:i/>
          <w:spacing w:val="-4"/>
          <w:sz w:val="20"/>
        </w:rPr>
        <w:t>801</w:t>
      </w:r>
      <w:r>
        <w:rPr>
          <w:spacing w:val="-4"/>
          <w:sz w:val="20"/>
        </w:rPr>
        <w:t>.</w:t>
      </w:r>
    </w:p>
    <w:p>
      <w:pPr>
        <w:pStyle w:val="BodyText"/>
        <w:spacing w:before="9"/>
      </w:pPr>
    </w:p>
    <w:p>
      <w:pPr>
        <w:pStyle w:val="BodyText"/>
        <w:spacing w:line="235" w:lineRule="auto"/>
        <w:ind w:left="705" w:right="167" w:hanging="541"/>
        <w:jc w:val="both"/>
      </w:pPr>
      <w:r>
        <w:rPr>
          <w:color w:val="005DA1"/>
          <w:position w:val="5"/>
          <w:sz w:val="14"/>
          <w:u w:val="single" w:color="005DA1"/>
        </w:rPr>
        <w:t>1098</w:t>
      </w:r>
      <w:r>
        <w:rPr>
          <w:position w:val="5"/>
          <w:sz w:val="14"/>
        </w:rPr>
        <w:t>.</w:t>
      </w:r>
      <w:r>
        <w:rPr>
          <w:spacing w:val="80"/>
          <w:w w:val="150"/>
          <w:position w:val="5"/>
          <w:sz w:val="14"/>
        </w:rPr>
        <w:t> </w:t>
      </w:r>
      <w:r>
        <w:rPr>
          <w:rFonts w:ascii="Arial" w:hAnsi="Arial"/>
          <w:i/>
        </w:rPr>
        <w:t>Archer v Brown [1985] 1 Q.B. 401, 415 </w:t>
      </w:r>
      <w:r>
        <w:rPr/>
        <w:t>and see below, para.7-080. After the </w:t>
      </w:r>
      <w:r>
        <w:rPr/>
        <w:t>Misrepresentation Act 1967 s.1(a) a representee’s right to rescind is not barred merely by the incorporation of a representation as a term of the contract. cf. the power of the court under s.2(2) of the Misrepresentation Act 1967 to refuse rescission of the contract and award damages in lieu; and see below, para.7-104. A consumer who has the “right to unwind” the contract under the Consumer Protection from Unfair Trading Regulations 2008 regs 27E may also have a right to damages under reg.27J: see Vol.II, para.38-185.</w:t>
      </w:r>
    </w:p>
    <w:p>
      <w:pPr>
        <w:pStyle w:val="BodyText"/>
        <w:spacing w:before="7"/>
      </w:pPr>
    </w:p>
    <w:p>
      <w:pPr>
        <w:pStyle w:val="BodyText"/>
        <w:spacing w:line="235" w:lineRule="auto" w:before="1"/>
        <w:ind w:left="705" w:right="167" w:hanging="541"/>
        <w:jc w:val="both"/>
      </w:pPr>
      <w:r>
        <w:rPr>
          <w:color w:val="005DA1"/>
          <w:position w:val="5"/>
          <w:sz w:val="14"/>
          <w:u w:val="single" w:color="005DA1"/>
        </w:rPr>
        <w:t>1099</w:t>
      </w:r>
      <w:r>
        <w:rPr>
          <w:position w:val="5"/>
          <w:sz w:val="14"/>
        </w:rPr>
        <w:t>.</w:t>
      </w:r>
      <w:r>
        <w:rPr>
          <w:spacing w:val="80"/>
          <w:w w:val="150"/>
          <w:position w:val="5"/>
          <w:sz w:val="14"/>
        </w:rPr>
        <w:t> </w:t>
      </w:r>
      <w:r>
        <w:rPr/>
        <w:t>See </w:t>
      </w:r>
      <w:r>
        <w:rPr>
          <w:rFonts w:ascii="Arial" w:hAnsi="Arial"/>
          <w:i/>
        </w:rPr>
        <w:t>Hedley Byrne &amp; Co Ltd v Heller &amp; Partners Ltd [1964] A.C. 465</w:t>
      </w:r>
      <w:r>
        <w:rPr/>
        <w:t>; </w:t>
      </w:r>
      <w:r>
        <w:rPr>
          <w:rFonts w:ascii="Arial" w:hAnsi="Arial"/>
          <w:i/>
        </w:rPr>
        <w:t>Smith v Eric S. Bush</w:t>
      </w:r>
      <w:r>
        <w:rPr>
          <w:rFonts w:ascii="Arial" w:hAnsi="Arial"/>
          <w:i/>
          <w:spacing w:val="80"/>
        </w:rPr>
        <w:t> </w:t>
      </w:r>
      <w:r>
        <w:rPr>
          <w:rFonts w:ascii="Arial" w:hAnsi="Arial"/>
          <w:i/>
        </w:rPr>
        <w:t>[1990] 1 A.C. 831</w:t>
      </w:r>
      <w:r>
        <w:rPr/>
        <w:t>; Unfair Contract Terms Act 1977 s.2(2); Misrepresentation Act 1967 s.3 as replaced by Unfair Contract Terms Act 1977 s.8 and see below, paras 7-143 et seq. </w:t>
      </w:r>
      <w:r>
        <w:rPr/>
        <w:t>See similarly the position as regards the exclusion of a consumer’s right to redress under the Consumer Protection from Unfair Trading Regulations 2008, this being subject to the test of unfairness contained in the Unfair Terms in Consumer Contracts Regulations 1999 or, on its coming into force, the Consumer Rights Act 2015 Pt 2 subject to their respective conditions:</w:t>
      </w:r>
      <w:r>
        <w:rPr>
          <w:spacing w:val="40"/>
        </w:rPr>
        <w:t> </w:t>
      </w:r>
      <w:r>
        <w:rPr/>
        <w:t>see Vol.II, para.38-191.</w:t>
      </w:r>
    </w:p>
    <w:p>
      <w:pPr>
        <w:pStyle w:val="BodyText"/>
        <w:spacing w:before="6"/>
      </w:pPr>
    </w:p>
    <w:p>
      <w:pPr>
        <w:spacing w:line="235" w:lineRule="auto" w:before="1"/>
        <w:ind w:left="705" w:right="168" w:hanging="541"/>
        <w:jc w:val="left"/>
        <w:rPr>
          <w:sz w:val="20"/>
        </w:rPr>
      </w:pPr>
      <w:r>
        <w:rPr>
          <w:color w:val="005DA1"/>
          <w:position w:val="5"/>
          <w:sz w:val="14"/>
          <w:u w:val="single" w:color="005DA1"/>
        </w:rPr>
        <w:t>1100</w:t>
      </w:r>
      <w:r>
        <w:rPr>
          <w:position w:val="5"/>
          <w:sz w:val="14"/>
        </w:rPr>
        <w:t>.</w:t>
      </w:r>
      <w:r>
        <w:rPr>
          <w:spacing w:val="55"/>
          <w:position w:val="5"/>
          <w:sz w:val="14"/>
        </w:rPr>
        <w:t>  </w:t>
      </w:r>
      <w:r>
        <w:rPr>
          <w:rFonts w:ascii="Arial" w:hAnsi="Arial"/>
          <w:i/>
          <w:sz w:val="20"/>
        </w:rPr>
        <w:t>S.</w:t>
      </w:r>
      <w:r>
        <w:rPr>
          <w:rFonts w:ascii="Arial" w:hAnsi="Arial"/>
          <w:i/>
          <w:spacing w:val="71"/>
          <w:sz w:val="20"/>
        </w:rPr>
        <w:t> </w:t>
      </w:r>
      <w:r>
        <w:rPr>
          <w:rFonts w:ascii="Arial" w:hAnsi="Arial"/>
          <w:i/>
          <w:sz w:val="20"/>
        </w:rPr>
        <w:t>Pearson</w:t>
      </w:r>
      <w:r>
        <w:rPr>
          <w:rFonts w:ascii="Arial" w:hAnsi="Arial"/>
          <w:i/>
          <w:spacing w:val="71"/>
          <w:sz w:val="20"/>
        </w:rPr>
        <w:t> </w:t>
      </w:r>
      <w:r>
        <w:rPr>
          <w:rFonts w:ascii="Arial" w:hAnsi="Arial"/>
          <w:i/>
          <w:sz w:val="20"/>
        </w:rPr>
        <w:t>&amp;</w:t>
      </w:r>
      <w:r>
        <w:rPr>
          <w:rFonts w:ascii="Arial" w:hAnsi="Arial"/>
          <w:i/>
          <w:spacing w:val="71"/>
          <w:sz w:val="20"/>
        </w:rPr>
        <w:t> </w:t>
      </w:r>
      <w:r>
        <w:rPr>
          <w:rFonts w:ascii="Arial" w:hAnsi="Arial"/>
          <w:i/>
          <w:sz w:val="20"/>
        </w:rPr>
        <w:t>Son</w:t>
      </w:r>
      <w:r>
        <w:rPr>
          <w:rFonts w:ascii="Arial" w:hAnsi="Arial"/>
          <w:i/>
          <w:spacing w:val="71"/>
          <w:sz w:val="20"/>
        </w:rPr>
        <w:t> </w:t>
      </w:r>
      <w:r>
        <w:rPr>
          <w:rFonts w:ascii="Arial" w:hAnsi="Arial"/>
          <w:i/>
          <w:sz w:val="20"/>
        </w:rPr>
        <w:t>Ltd</w:t>
      </w:r>
      <w:r>
        <w:rPr>
          <w:rFonts w:ascii="Arial" w:hAnsi="Arial"/>
          <w:i/>
          <w:spacing w:val="71"/>
          <w:sz w:val="20"/>
        </w:rPr>
        <w:t> </w:t>
      </w:r>
      <w:r>
        <w:rPr>
          <w:rFonts w:ascii="Arial" w:hAnsi="Arial"/>
          <w:i/>
          <w:sz w:val="20"/>
        </w:rPr>
        <w:t>v</w:t>
      </w:r>
      <w:r>
        <w:rPr>
          <w:rFonts w:ascii="Arial" w:hAnsi="Arial"/>
          <w:i/>
          <w:spacing w:val="71"/>
          <w:sz w:val="20"/>
        </w:rPr>
        <w:t> </w:t>
      </w:r>
      <w:r>
        <w:rPr>
          <w:rFonts w:ascii="Arial" w:hAnsi="Arial"/>
          <w:i/>
          <w:sz w:val="20"/>
        </w:rPr>
        <w:t>Dublin</w:t>
      </w:r>
      <w:r>
        <w:rPr>
          <w:rFonts w:ascii="Arial" w:hAnsi="Arial"/>
          <w:i/>
          <w:spacing w:val="71"/>
          <w:sz w:val="20"/>
        </w:rPr>
        <w:t> </w:t>
      </w:r>
      <w:r>
        <w:rPr>
          <w:rFonts w:ascii="Arial" w:hAnsi="Arial"/>
          <w:i/>
          <w:sz w:val="20"/>
        </w:rPr>
        <w:t>Corp</w:t>
      </w:r>
      <w:r>
        <w:rPr>
          <w:rFonts w:ascii="Arial" w:hAnsi="Arial"/>
          <w:i/>
          <w:spacing w:val="71"/>
          <w:sz w:val="20"/>
        </w:rPr>
        <w:t> </w:t>
      </w:r>
      <w:r>
        <w:rPr>
          <w:rFonts w:ascii="Arial" w:hAnsi="Arial"/>
          <w:i/>
          <w:sz w:val="20"/>
        </w:rPr>
        <w:t>[1907]</w:t>
      </w:r>
      <w:r>
        <w:rPr>
          <w:rFonts w:ascii="Arial" w:hAnsi="Arial"/>
          <w:i/>
          <w:spacing w:val="71"/>
          <w:sz w:val="20"/>
        </w:rPr>
        <w:t> </w:t>
      </w:r>
      <w:r>
        <w:rPr>
          <w:rFonts w:ascii="Arial" w:hAnsi="Arial"/>
          <w:i/>
          <w:sz w:val="20"/>
        </w:rPr>
        <w:t>A.C.</w:t>
      </w:r>
      <w:r>
        <w:rPr>
          <w:rFonts w:ascii="Arial" w:hAnsi="Arial"/>
          <w:i/>
          <w:spacing w:val="71"/>
          <w:sz w:val="20"/>
        </w:rPr>
        <w:t> </w:t>
      </w:r>
      <w:r>
        <w:rPr>
          <w:rFonts w:ascii="Arial" w:hAnsi="Arial"/>
          <w:i/>
          <w:sz w:val="20"/>
        </w:rPr>
        <w:t>351,</w:t>
      </w:r>
      <w:r>
        <w:rPr>
          <w:rFonts w:ascii="Arial" w:hAnsi="Arial"/>
          <w:i/>
          <w:spacing w:val="71"/>
          <w:sz w:val="20"/>
        </w:rPr>
        <w:t> </w:t>
      </w:r>
      <w:r>
        <w:rPr>
          <w:rFonts w:ascii="Arial" w:hAnsi="Arial"/>
          <w:i/>
          <w:sz w:val="20"/>
        </w:rPr>
        <w:t>353–354,</w:t>
      </w:r>
      <w:r>
        <w:rPr>
          <w:rFonts w:ascii="Arial" w:hAnsi="Arial"/>
          <w:i/>
          <w:spacing w:val="71"/>
          <w:sz w:val="20"/>
        </w:rPr>
        <w:t> </w:t>
      </w:r>
      <w:r>
        <w:rPr>
          <w:rFonts w:ascii="Arial" w:hAnsi="Arial"/>
          <w:i/>
          <w:sz w:val="20"/>
        </w:rPr>
        <w:t>362</w:t>
      </w:r>
      <w:r>
        <w:rPr>
          <w:rFonts w:ascii="Arial" w:hAnsi="Arial"/>
          <w:i/>
          <w:spacing w:val="71"/>
          <w:sz w:val="20"/>
        </w:rPr>
        <w:t> </w:t>
      </w:r>
      <w:r>
        <w:rPr>
          <w:sz w:val="20"/>
        </w:rPr>
        <w:t>and</w:t>
      </w:r>
      <w:r>
        <w:rPr>
          <w:spacing w:val="71"/>
          <w:sz w:val="20"/>
        </w:rPr>
        <w:t> </w:t>
      </w:r>
      <w:r>
        <w:rPr>
          <w:sz w:val="20"/>
        </w:rPr>
        <w:t>see</w:t>
      </w:r>
      <w:r>
        <w:rPr>
          <w:spacing w:val="71"/>
          <w:sz w:val="20"/>
        </w:rPr>
        <w:t> </w:t>
      </w:r>
      <w:r>
        <w:rPr>
          <w:sz w:val="20"/>
        </w:rPr>
        <w:t>below, </w:t>
      </w:r>
      <w:r>
        <w:rPr>
          <w:spacing w:val="-2"/>
          <w:sz w:val="20"/>
        </w:rPr>
        <w:t>para.15-146.</w:t>
      </w:r>
    </w:p>
    <w:p>
      <w:pPr>
        <w:pStyle w:val="BodyText"/>
        <w:spacing w:before="5"/>
      </w:pPr>
    </w:p>
    <w:p>
      <w:pPr>
        <w:spacing w:before="0"/>
        <w:ind w:left="165" w:right="0" w:firstLine="0"/>
        <w:jc w:val="left"/>
        <w:rPr>
          <w:sz w:val="20"/>
        </w:rPr>
      </w:pPr>
      <w:r>
        <w:rPr>
          <w:color w:val="005DA1"/>
          <w:position w:val="5"/>
          <w:sz w:val="14"/>
          <w:u w:val="single" w:color="005DA1"/>
        </w:rPr>
        <w:t>1101</w:t>
      </w:r>
      <w:r>
        <w:rPr>
          <w:position w:val="5"/>
          <w:sz w:val="14"/>
        </w:rPr>
        <w:t>.</w:t>
      </w:r>
      <w:r>
        <w:rPr>
          <w:spacing w:val="55"/>
          <w:position w:val="5"/>
          <w:sz w:val="14"/>
        </w:rPr>
        <w:t>  </w:t>
      </w:r>
      <w:r>
        <w:rPr>
          <w:rFonts w:ascii="Arial"/>
          <w:i/>
          <w:sz w:val="20"/>
        </w:rPr>
        <w:t>Johnson</w:t>
      </w:r>
      <w:r>
        <w:rPr>
          <w:rFonts w:ascii="Arial"/>
          <w:i/>
          <w:spacing w:val="1"/>
          <w:sz w:val="20"/>
        </w:rPr>
        <w:t> </w:t>
      </w:r>
      <w:r>
        <w:rPr>
          <w:rFonts w:ascii="Arial"/>
          <w:i/>
          <w:sz w:val="20"/>
        </w:rPr>
        <w:t>v Pye (1666) 1 Sid. 258</w:t>
      </w:r>
      <w:r>
        <w:rPr>
          <w:rFonts w:ascii="Arial"/>
          <w:i/>
          <w:spacing w:val="-1"/>
          <w:sz w:val="20"/>
        </w:rPr>
        <w:t> </w:t>
      </w:r>
      <w:r>
        <w:rPr>
          <w:sz w:val="20"/>
        </w:rPr>
        <w:t>and see below, para.9-</w:t>
      </w:r>
      <w:r>
        <w:rPr>
          <w:spacing w:val="-4"/>
          <w:sz w:val="20"/>
        </w:rPr>
        <w:t>053.</w:t>
      </w:r>
    </w:p>
    <w:p>
      <w:pPr>
        <w:pStyle w:val="BodyText"/>
        <w:spacing w:before="5"/>
      </w:pPr>
    </w:p>
    <w:p>
      <w:pPr>
        <w:spacing w:before="0"/>
        <w:ind w:left="165" w:right="0" w:firstLine="0"/>
        <w:jc w:val="left"/>
        <w:rPr>
          <w:sz w:val="20"/>
        </w:rPr>
      </w:pPr>
      <w:r>
        <w:rPr>
          <w:color w:val="005DA1"/>
          <w:position w:val="5"/>
          <w:sz w:val="14"/>
          <w:u w:val="single" w:color="005DA1"/>
        </w:rPr>
        <w:t>1102</w:t>
      </w:r>
      <w:r>
        <w:rPr>
          <w:position w:val="5"/>
          <w:sz w:val="14"/>
        </w:rPr>
        <w:t>.</w:t>
      </w:r>
      <w:r>
        <w:rPr>
          <w:spacing w:val="55"/>
          <w:position w:val="5"/>
          <w:sz w:val="14"/>
        </w:rPr>
        <w:t>  </w:t>
      </w:r>
      <w:r>
        <w:rPr>
          <w:rFonts w:ascii="Arial"/>
          <w:i/>
          <w:sz w:val="20"/>
        </w:rPr>
        <w:t>Jennings</w:t>
      </w:r>
      <w:r>
        <w:rPr>
          <w:rFonts w:ascii="Arial"/>
          <w:i/>
          <w:spacing w:val="1"/>
          <w:sz w:val="20"/>
        </w:rPr>
        <w:t> </w:t>
      </w:r>
      <w:r>
        <w:rPr>
          <w:rFonts w:ascii="Arial"/>
          <w:i/>
          <w:sz w:val="20"/>
        </w:rPr>
        <w:t>v Rundall (1799) 8 T.R. 335,</w:t>
      </w:r>
      <w:r>
        <w:rPr>
          <w:rFonts w:ascii="Arial"/>
          <w:i/>
          <w:spacing w:val="-1"/>
          <w:sz w:val="20"/>
        </w:rPr>
        <w:t> </w:t>
      </w:r>
      <w:r>
        <w:rPr>
          <w:rFonts w:ascii="Arial"/>
          <w:i/>
          <w:sz w:val="20"/>
        </w:rPr>
        <w:t>336</w:t>
      </w:r>
      <w:r>
        <w:rPr>
          <w:sz w:val="20"/>
        </w:rPr>
        <w:t>, per Lord Kenyon C.J. and see below, para.9-</w:t>
      </w:r>
      <w:r>
        <w:rPr>
          <w:spacing w:val="-4"/>
          <w:sz w:val="20"/>
        </w:rPr>
        <w:t>053.</w:t>
      </w:r>
    </w:p>
    <w:p>
      <w:pPr>
        <w:pStyle w:val="BodyText"/>
        <w:spacing w:before="5"/>
      </w:pPr>
    </w:p>
    <w:p>
      <w:pPr>
        <w:pStyle w:val="BodyText"/>
        <w:ind w:left="165"/>
      </w:pPr>
      <w:r>
        <w:rPr>
          <w:color w:val="005DA1"/>
          <w:position w:val="5"/>
          <w:sz w:val="14"/>
          <w:u w:val="single" w:color="005DA1"/>
        </w:rPr>
        <w:t>1103</w:t>
      </w:r>
      <w:r>
        <w:rPr>
          <w:position w:val="5"/>
          <w:sz w:val="14"/>
        </w:rPr>
        <w:t>.</w:t>
      </w:r>
      <w:r>
        <w:rPr>
          <w:spacing w:val="55"/>
          <w:position w:val="5"/>
          <w:sz w:val="14"/>
        </w:rPr>
        <w:t>  </w:t>
      </w:r>
      <w:r>
        <w:rPr/>
        <w:t>See</w:t>
      </w:r>
      <w:r>
        <w:rPr>
          <w:spacing w:val="1"/>
        </w:rPr>
        <w:t> </w:t>
      </w:r>
      <w:r>
        <w:rPr/>
        <w:t>above, paras 1-150—1-</w:t>
      </w:r>
      <w:r>
        <w:rPr>
          <w:spacing w:val="-4"/>
        </w:rPr>
        <w:t>151.</w:t>
      </w:r>
    </w:p>
    <w:p>
      <w:pPr>
        <w:pStyle w:val="BodyText"/>
        <w:spacing w:before="12"/>
      </w:pPr>
    </w:p>
    <w:p>
      <w:pPr>
        <w:spacing w:line="137" w:lineRule="exact" w:before="0"/>
        <w:ind w:left="165" w:right="0" w:firstLine="0"/>
        <w:jc w:val="left"/>
        <w:rPr>
          <w:sz w:val="14"/>
        </w:rPr>
      </w:pPr>
      <w:r>
        <w:rPr>
          <w:color w:val="005DA1"/>
          <w:spacing w:val="-2"/>
          <w:sz w:val="14"/>
          <w:u w:val="single" w:color="005DA1"/>
        </w:rPr>
        <w:t>1104</w:t>
      </w:r>
      <w:r>
        <w:rPr>
          <w:spacing w:val="-2"/>
          <w:sz w:val="14"/>
        </w:rPr>
        <w:t>.</w:t>
      </w:r>
    </w:p>
    <w:p>
      <w:pPr>
        <w:spacing w:line="203" w:lineRule="exact" w:before="0"/>
        <w:ind w:left="875" w:right="0" w:firstLine="0"/>
        <w:jc w:val="both"/>
        <w:rPr>
          <w:rFonts w:ascii="Arial" w:hAnsi="Arial"/>
          <w:i/>
          <w:sz w:val="20"/>
        </w:rPr>
      </w:pPr>
      <w:r>
        <w:rPr>
          <w:rFonts w:ascii="Arial" w:hAnsi="Arial"/>
          <w:i/>
          <w:sz w:val="20"/>
        </w:rPr>
        <w:drawing>
          <wp:anchor distT="0" distB="0" distL="0" distR="0" allowOverlap="1" layoutInCell="1" locked="0" behindDoc="0" simplePos="0" relativeHeight="15833088">
            <wp:simplePos x="0" y="0"/>
            <wp:positionH relativeFrom="page">
              <wp:posOffset>1257846</wp:posOffset>
            </wp:positionH>
            <wp:positionV relativeFrom="paragraph">
              <wp:posOffset>13035</wp:posOffset>
            </wp:positionV>
            <wp:extent cx="107988" cy="107988"/>
            <wp:effectExtent l="0" t="0" r="0" b="0"/>
            <wp:wrapNone/>
            <wp:docPr id="449" name="Image 449"/>
            <wp:cNvGraphicFramePr>
              <a:graphicFrameLocks/>
            </wp:cNvGraphicFramePr>
            <a:graphic>
              <a:graphicData uri="http://schemas.openxmlformats.org/drawingml/2006/picture">
                <pic:pic>
                  <pic:nvPicPr>
                    <pic:cNvPr id="449" name="Image 44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Doyle</w:t>
      </w:r>
      <w:r>
        <w:rPr>
          <w:rFonts w:ascii="Arial" w:hAnsi="Arial"/>
          <w:i/>
          <w:spacing w:val="5"/>
          <w:sz w:val="20"/>
        </w:rPr>
        <w:t> </w:t>
      </w:r>
      <w:r>
        <w:rPr>
          <w:rFonts w:ascii="Arial" w:hAnsi="Arial"/>
          <w:i/>
          <w:sz w:val="20"/>
        </w:rPr>
        <w:t>v</w:t>
      </w:r>
      <w:r>
        <w:rPr>
          <w:rFonts w:ascii="Arial" w:hAnsi="Arial"/>
          <w:i/>
          <w:spacing w:val="6"/>
          <w:sz w:val="20"/>
        </w:rPr>
        <w:t> </w:t>
      </w:r>
      <w:r>
        <w:rPr>
          <w:rFonts w:ascii="Arial" w:hAnsi="Arial"/>
          <w:i/>
          <w:sz w:val="20"/>
        </w:rPr>
        <w:t>Olby</w:t>
      </w:r>
      <w:r>
        <w:rPr>
          <w:rFonts w:ascii="Arial" w:hAnsi="Arial"/>
          <w:i/>
          <w:spacing w:val="6"/>
          <w:sz w:val="20"/>
        </w:rPr>
        <w:t> </w:t>
      </w:r>
      <w:r>
        <w:rPr>
          <w:rFonts w:ascii="Arial" w:hAnsi="Arial"/>
          <w:i/>
          <w:sz w:val="20"/>
        </w:rPr>
        <w:t>(Ironmongers)</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[1969]</w:t>
      </w:r>
      <w:r>
        <w:rPr>
          <w:rFonts w:ascii="Arial" w:hAnsi="Arial"/>
          <w:i/>
          <w:spacing w:val="6"/>
          <w:sz w:val="20"/>
        </w:rPr>
        <w:t> </w:t>
      </w:r>
      <w:r>
        <w:rPr>
          <w:rFonts w:ascii="Arial" w:hAnsi="Arial"/>
          <w:i/>
          <w:sz w:val="20"/>
        </w:rPr>
        <w:t>2</w:t>
      </w:r>
      <w:r>
        <w:rPr>
          <w:rFonts w:ascii="Arial" w:hAnsi="Arial"/>
          <w:i/>
          <w:spacing w:val="6"/>
          <w:sz w:val="20"/>
        </w:rPr>
        <w:t> </w:t>
      </w:r>
      <w:r>
        <w:rPr>
          <w:rFonts w:ascii="Arial" w:hAnsi="Arial"/>
          <w:i/>
          <w:sz w:val="20"/>
        </w:rPr>
        <w:t>Q.B.</w:t>
      </w:r>
      <w:r>
        <w:rPr>
          <w:rFonts w:ascii="Arial" w:hAnsi="Arial"/>
          <w:i/>
          <w:spacing w:val="6"/>
          <w:sz w:val="20"/>
        </w:rPr>
        <w:t> </w:t>
      </w:r>
      <w:r>
        <w:rPr>
          <w:rFonts w:ascii="Arial" w:hAnsi="Arial"/>
          <w:i/>
          <w:sz w:val="20"/>
        </w:rPr>
        <w:t>158</w:t>
      </w:r>
      <w:r>
        <w:rPr>
          <w:sz w:val="20"/>
        </w:rPr>
        <w:t>;</w:t>
      </w:r>
      <w:r>
        <w:rPr>
          <w:spacing w:val="6"/>
          <w:sz w:val="20"/>
        </w:rPr>
        <w:t> </w:t>
      </w:r>
      <w:r>
        <w:rPr>
          <w:rFonts w:ascii="Arial" w:hAnsi="Arial"/>
          <w:i/>
          <w:sz w:val="20"/>
        </w:rPr>
        <w:t>André</w:t>
      </w:r>
      <w:r>
        <w:rPr>
          <w:rFonts w:ascii="Arial" w:hAnsi="Arial"/>
          <w:i/>
          <w:spacing w:val="6"/>
          <w:sz w:val="20"/>
        </w:rPr>
        <w:t> </w:t>
      </w:r>
      <w:r>
        <w:rPr>
          <w:rFonts w:ascii="Arial" w:hAnsi="Arial"/>
          <w:i/>
          <w:sz w:val="20"/>
        </w:rPr>
        <w:t>&amp;</w:t>
      </w:r>
      <w:r>
        <w:rPr>
          <w:rFonts w:ascii="Arial" w:hAnsi="Arial"/>
          <w:i/>
          <w:spacing w:val="6"/>
          <w:sz w:val="20"/>
        </w:rPr>
        <w:t> </w:t>
      </w:r>
      <w:r>
        <w:rPr>
          <w:rFonts w:ascii="Arial" w:hAnsi="Arial"/>
          <w:i/>
          <w:sz w:val="20"/>
        </w:rPr>
        <w:t>Cie</w:t>
      </w:r>
      <w:r>
        <w:rPr>
          <w:rFonts w:ascii="Arial" w:hAnsi="Arial"/>
          <w:i/>
          <w:spacing w:val="6"/>
          <w:sz w:val="20"/>
        </w:rPr>
        <w:t> </w:t>
      </w:r>
      <w:r>
        <w:rPr>
          <w:rFonts w:ascii="Arial" w:hAnsi="Arial"/>
          <w:i/>
          <w:sz w:val="20"/>
        </w:rPr>
        <w:t>SA</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Ets</w:t>
      </w:r>
      <w:r>
        <w:rPr>
          <w:rFonts w:ascii="Arial" w:hAnsi="Arial"/>
          <w:i/>
          <w:spacing w:val="6"/>
          <w:sz w:val="20"/>
        </w:rPr>
        <w:t> </w:t>
      </w:r>
      <w:r>
        <w:rPr>
          <w:rFonts w:ascii="Arial" w:hAnsi="Arial"/>
          <w:i/>
          <w:sz w:val="20"/>
        </w:rPr>
        <w:t>Michel</w:t>
      </w:r>
      <w:r>
        <w:rPr>
          <w:rFonts w:ascii="Arial" w:hAnsi="Arial"/>
          <w:i/>
          <w:spacing w:val="6"/>
          <w:sz w:val="20"/>
        </w:rPr>
        <w:t> </w:t>
      </w:r>
      <w:r>
        <w:rPr>
          <w:rFonts w:ascii="Arial" w:hAnsi="Arial"/>
          <w:i/>
          <w:sz w:val="20"/>
        </w:rPr>
        <w:t>Blanc</w:t>
      </w:r>
      <w:r>
        <w:rPr>
          <w:rFonts w:ascii="Arial" w:hAnsi="Arial"/>
          <w:i/>
          <w:spacing w:val="6"/>
          <w:sz w:val="20"/>
        </w:rPr>
        <w:t> </w:t>
      </w:r>
      <w:r>
        <w:rPr>
          <w:rFonts w:ascii="Arial" w:hAnsi="Arial"/>
          <w:i/>
          <w:sz w:val="20"/>
        </w:rPr>
        <w:t>et</w:t>
      </w:r>
      <w:r>
        <w:rPr>
          <w:rFonts w:ascii="Arial" w:hAnsi="Arial"/>
          <w:i/>
          <w:spacing w:val="6"/>
          <w:sz w:val="20"/>
        </w:rPr>
        <w:t> </w:t>
      </w:r>
      <w:r>
        <w:rPr>
          <w:rFonts w:ascii="Arial" w:hAnsi="Arial"/>
          <w:i/>
          <w:spacing w:val="-4"/>
          <w:sz w:val="20"/>
        </w:rPr>
        <w:t>Fils</w:t>
      </w:r>
    </w:p>
    <w:p>
      <w:pPr>
        <w:spacing w:line="235" w:lineRule="auto" w:before="2"/>
        <w:ind w:left="705" w:right="168" w:firstLine="0"/>
        <w:jc w:val="both"/>
        <w:rPr>
          <w:sz w:val="20"/>
        </w:rPr>
      </w:pPr>
      <w:r>
        <w:rPr>
          <w:rFonts w:ascii="Arial" w:hAnsi="Arial"/>
          <w:i/>
          <w:sz w:val="20"/>
        </w:rPr>
        <w:t>[1977] 2 Lloyd’s Rep. 166</w:t>
      </w:r>
      <w:r>
        <w:rPr>
          <w:sz w:val="20"/>
        </w:rPr>
        <w:t>; </w:t>
      </w:r>
      <w:r>
        <w:rPr>
          <w:rFonts w:ascii="Arial" w:hAnsi="Arial"/>
          <w:i/>
          <w:sz w:val="20"/>
        </w:rPr>
        <w:t>East v Maurer [1991] 1 W.L.R. 461</w:t>
      </w:r>
      <w:r>
        <w:rPr>
          <w:sz w:val="20"/>
        </w:rPr>
        <w:t>; </w:t>
      </w:r>
      <w:r>
        <w:rPr>
          <w:rFonts w:ascii="Arial" w:hAnsi="Arial"/>
          <w:i/>
          <w:sz w:val="20"/>
        </w:rPr>
        <w:t>Clef Aquitaine SARL v </w:t>
      </w:r>
      <w:r>
        <w:rPr>
          <w:rFonts w:ascii="Arial" w:hAnsi="Arial"/>
          <w:i/>
          <w:sz w:val="20"/>
        </w:rPr>
        <w:t>Laporte Materials (Barrow) Ltd [2001] Q.B. 488</w:t>
      </w:r>
      <w:r>
        <w:rPr>
          <w:sz w:val="20"/>
        </w:rPr>
        <w:t>; </w:t>
      </w:r>
      <w:r>
        <w:rPr>
          <w:rFonts w:ascii="Arial" w:hAnsi="Arial"/>
          <w:i/>
          <w:sz w:val="20"/>
        </w:rPr>
        <w:t>OMV Petrom SA v Glencore International AG [2016] EWCA Civ 778, [2017] 3 All E.R. 157 </w:t>
      </w:r>
      <w:r>
        <w:rPr>
          <w:sz w:val="20"/>
        </w:rPr>
        <w:t>and see below, paras 7-059—7-077.</w:t>
      </w:r>
    </w:p>
    <w:p>
      <w:pPr>
        <w:pStyle w:val="BodyText"/>
        <w:spacing w:before="8"/>
      </w:pPr>
    </w:p>
    <w:p>
      <w:pPr>
        <w:spacing w:line="235" w:lineRule="auto" w:before="0"/>
        <w:ind w:left="705" w:right="0" w:hanging="541"/>
        <w:jc w:val="left"/>
        <w:rPr>
          <w:sz w:val="20"/>
        </w:rPr>
      </w:pPr>
      <w:r>
        <w:rPr>
          <w:color w:val="005DA1"/>
          <w:position w:val="5"/>
          <w:sz w:val="14"/>
          <w:u w:val="single" w:color="005DA1"/>
        </w:rPr>
        <w:t>1105</w:t>
      </w:r>
      <w:r>
        <w:rPr>
          <w:position w:val="5"/>
          <w:sz w:val="14"/>
        </w:rPr>
        <w:t>.</w:t>
      </w:r>
      <w:r>
        <w:rPr>
          <w:spacing w:val="80"/>
          <w:w w:val="150"/>
          <w:position w:val="5"/>
          <w:sz w:val="14"/>
        </w:rPr>
        <w:t> </w:t>
      </w:r>
      <w:r>
        <w:rPr>
          <w:sz w:val="20"/>
        </w:rPr>
        <w:t>Cartwright, </w:t>
      </w:r>
      <w:r>
        <w:rPr>
          <w:rFonts w:ascii="Arial" w:hAnsi="Arial"/>
          <w:i/>
          <w:sz w:val="20"/>
        </w:rPr>
        <w:t>Misrepresentation, Mistake, and Non-disclosure</w:t>
      </w:r>
      <w:r>
        <w:rPr>
          <w:sz w:val="20"/>
        </w:rPr>
        <w:t>, 3rd edn (2012), paras 8–24—</w:t>
      </w:r>
      <w:r>
        <w:rPr>
          <w:sz w:val="20"/>
        </w:rPr>
        <w:t>8–25 referring to </w:t>
      </w:r>
      <w:r>
        <w:rPr>
          <w:rFonts w:ascii="Arial" w:hAnsi="Arial"/>
          <w:i/>
          <w:sz w:val="20"/>
        </w:rPr>
        <w:t>Brown v Sheen and Richmond Car Sales Ltd [1950] 1 All E.R. 1102 </w:t>
      </w:r>
      <w:r>
        <w:rPr>
          <w:sz w:val="20"/>
        </w:rPr>
        <w:t>at 1104.</w:t>
      </w:r>
    </w:p>
    <w:p>
      <w:pPr>
        <w:pStyle w:val="BodyText"/>
        <w:spacing w:before="13"/>
      </w:pPr>
    </w:p>
    <w:p>
      <w:pPr>
        <w:spacing w:line="137" w:lineRule="exact" w:before="0"/>
        <w:ind w:left="165" w:right="0" w:firstLine="0"/>
        <w:jc w:val="left"/>
        <w:rPr>
          <w:sz w:val="14"/>
        </w:rPr>
      </w:pPr>
      <w:r>
        <w:rPr>
          <w:color w:val="005DA1"/>
          <w:spacing w:val="-2"/>
          <w:sz w:val="14"/>
          <w:u w:val="single" w:color="005DA1"/>
        </w:rPr>
        <w:t>1106</w:t>
      </w:r>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33600">
            <wp:simplePos x="0" y="0"/>
            <wp:positionH relativeFrom="page">
              <wp:posOffset>1257846</wp:posOffset>
            </wp:positionH>
            <wp:positionV relativeFrom="paragraph">
              <wp:posOffset>12935</wp:posOffset>
            </wp:positionV>
            <wp:extent cx="107988" cy="107988"/>
            <wp:effectExtent l="0" t="0" r="0" b="0"/>
            <wp:wrapNone/>
            <wp:docPr id="450" name="Image 450"/>
            <wp:cNvGraphicFramePr>
              <a:graphicFrameLocks/>
            </wp:cNvGraphicFramePr>
            <a:graphic>
              <a:graphicData uri="http://schemas.openxmlformats.org/drawingml/2006/picture">
                <pic:pic>
                  <pic:nvPicPr>
                    <pic:cNvPr id="450" name="Image 450"/>
                    <pic:cNvPicPr/>
                  </pic:nvPicPr>
                  <pic:blipFill>
                    <a:blip r:embed="rId6" cstate="print"/>
                    <a:stretch>
                      <a:fillRect/>
                    </a:stretch>
                  </pic:blipFill>
                  <pic:spPr>
                    <a:xfrm>
                      <a:off x="0" y="0"/>
                      <a:ext cx="107988" cy="107988"/>
                    </a:xfrm>
                    <a:prstGeom prst="rect">
                      <a:avLst/>
                    </a:prstGeom>
                  </pic:spPr>
                </pic:pic>
              </a:graphicData>
            </a:graphic>
          </wp:anchor>
        </w:drawing>
      </w:r>
      <w:r>
        <w:rPr>
          <w:sz w:val="20"/>
        </w:rPr>
        <w:t>Peel,</w:t>
      </w:r>
      <w:r>
        <w:rPr>
          <w:spacing w:val="40"/>
          <w:sz w:val="20"/>
        </w:rPr>
        <w:t> </w:t>
      </w:r>
      <w:r>
        <w:rPr>
          <w:rFonts w:ascii="Arial" w:hAnsi="Arial"/>
          <w:i/>
          <w:sz w:val="20"/>
        </w:rPr>
        <w:t>Treitel</w:t>
      </w:r>
      <w:r>
        <w:rPr>
          <w:rFonts w:ascii="Arial" w:hAnsi="Arial"/>
          <w:i/>
          <w:spacing w:val="41"/>
          <w:sz w:val="20"/>
        </w:rPr>
        <w:t> </w:t>
      </w:r>
      <w:r>
        <w:rPr>
          <w:rFonts w:ascii="Arial" w:hAnsi="Arial"/>
          <w:i/>
          <w:sz w:val="20"/>
        </w:rPr>
        <w:t>on</w:t>
      </w:r>
      <w:r>
        <w:rPr>
          <w:rFonts w:ascii="Arial" w:hAnsi="Arial"/>
          <w:i/>
          <w:spacing w:val="41"/>
          <w:sz w:val="20"/>
        </w:rPr>
        <w:t> </w:t>
      </w:r>
      <w:r>
        <w:rPr>
          <w:rFonts w:ascii="Arial" w:hAnsi="Arial"/>
          <w:i/>
          <w:sz w:val="20"/>
        </w:rPr>
        <w:t>The</w:t>
      </w:r>
      <w:r>
        <w:rPr>
          <w:rFonts w:ascii="Arial" w:hAnsi="Arial"/>
          <w:i/>
          <w:spacing w:val="41"/>
          <w:sz w:val="20"/>
        </w:rPr>
        <w:t> </w:t>
      </w:r>
      <w:r>
        <w:rPr>
          <w:rFonts w:ascii="Arial" w:hAnsi="Arial"/>
          <w:i/>
          <w:sz w:val="20"/>
        </w:rPr>
        <w:t>Law</w:t>
      </w:r>
      <w:r>
        <w:rPr>
          <w:rFonts w:ascii="Arial" w:hAnsi="Arial"/>
          <w:i/>
          <w:spacing w:val="41"/>
          <w:sz w:val="20"/>
        </w:rPr>
        <w:t> </w:t>
      </w:r>
      <w:r>
        <w:rPr>
          <w:rFonts w:ascii="Arial" w:hAnsi="Arial"/>
          <w:i/>
          <w:sz w:val="20"/>
        </w:rPr>
        <w:t>of</w:t>
      </w:r>
      <w:r>
        <w:rPr>
          <w:rFonts w:ascii="Arial" w:hAnsi="Arial"/>
          <w:i/>
          <w:spacing w:val="41"/>
          <w:sz w:val="20"/>
        </w:rPr>
        <w:t> </w:t>
      </w:r>
      <w:r>
        <w:rPr>
          <w:rFonts w:ascii="Arial" w:hAnsi="Arial"/>
          <w:i/>
          <w:sz w:val="20"/>
        </w:rPr>
        <w:t>Contract</w:t>
      </w:r>
      <w:r>
        <w:rPr>
          <w:sz w:val="20"/>
        </w:rPr>
        <w:t>,</w:t>
      </w:r>
      <w:r>
        <w:rPr>
          <w:spacing w:val="41"/>
          <w:sz w:val="20"/>
        </w:rPr>
        <w:t> </w:t>
      </w:r>
      <w:r>
        <w:rPr>
          <w:sz w:val="20"/>
        </w:rPr>
        <w:t>14th</w:t>
      </w:r>
      <w:r>
        <w:rPr>
          <w:spacing w:val="41"/>
          <w:sz w:val="20"/>
        </w:rPr>
        <w:t> </w:t>
      </w:r>
      <w:r>
        <w:rPr>
          <w:sz w:val="20"/>
        </w:rPr>
        <w:t>edn</w:t>
      </w:r>
      <w:r>
        <w:rPr>
          <w:spacing w:val="41"/>
          <w:sz w:val="20"/>
        </w:rPr>
        <w:t> </w:t>
      </w:r>
      <w:r>
        <w:rPr>
          <w:sz w:val="20"/>
        </w:rPr>
        <w:t>(2015),</w:t>
      </w:r>
      <w:r>
        <w:rPr>
          <w:spacing w:val="41"/>
          <w:sz w:val="20"/>
        </w:rPr>
        <w:t> </w:t>
      </w:r>
      <w:r>
        <w:rPr>
          <w:sz w:val="20"/>
        </w:rPr>
        <w:t>paras</w:t>
      </w:r>
      <w:r>
        <w:rPr>
          <w:spacing w:val="41"/>
          <w:sz w:val="20"/>
        </w:rPr>
        <w:t> </w:t>
      </w:r>
      <w:r>
        <w:rPr>
          <w:sz w:val="20"/>
        </w:rPr>
        <w:t>9–050—9–058</w:t>
      </w:r>
      <w:r>
        <w:rPr>
          <w:spacing w:val="41"/>
          <w:sz w:val="20"/>
        </w:rPr>
        <w:t> </w:t>
      </w:r>
      <w:r>
        <w:rPr>
          <w:sz w:val="20"/>
        </w:rPr>
        <w:t>and</w:t>
      </w:r>
      <w:r>
        <w:rPr>
          <w:spacing w:val="41"/>
          <w:sz w:val="20"/>
        </w:rPr>
        <w:t> </w:t>
      </w:r>
      <w:r>
        <w:rPr>
          <w:spacing w:val="-2"/>
          <w:sz w:val="20"/>
        </w:rPr>
        <w:t>Atiyah,</w:t>
      </w:r>
    </w:p>
    <w:p>
      <w:pPr>
        <w:spacing w:line="227" w:lineRule="exact" w:before="0"/>
        <w:ind w:left="705" w:right="0" w:firstLine="0"/>
        <w:jc w:val="left"/>
        <w:rPr>
          <w:sz w:val="20"/>
        </w:rPr>
      </w:pPr>
      <w:r>
        <w:rPr>
          <w:rFonts w:ascii="Arial"/>
          <w:i/>
          <w:sz w:val="20"/>
        </w:rPr>
        <w:t>Essays on Contract</w:t>
      </w:r>
      <w:r>
        <w:rPr>
          <w:rFonts w:ascii="Arial"/>
          <w:i/>
          <w:spacing w:val="-1"/>
          <w:sz w:val="20"/>
        </w:rPr>
        <w:t> </w:t>
      </w:r>
      <w:r>
        <w:rPr>
          <w:sz w:val="20"/>
        </w:rPr>
        <w:t>(1986), Essay </w:t>
      </w:r>
      <w:r>
        <w:rPr>
          <w:spacing w:val="-5"/>
          <w:sz w:val="20"/>
        </w:rPr>
        <w:t>10.</w:t>
      </w:r>
    </w:p>
    <w:p>
      <w:pPr>
        <w:pStyle w:val="BodyText"/>
        <w:spacing w:before="5"/>
      </w:pPr>
    </w:p>
    <w:p>
      <w:pPr>
        <w:spacing w:before="0"/>
        <w:ind w:left="165" w:right="0" w:firstLine="0"/>
        <w:jc w:val="left"/>
        <w:rPr>
          <w:sz w:val="20"/>
        </w:rPr>
      </w:pPr>
      <w:r>
        <w:rPr>
          <w:color w:val="005DA1"/>
          <w:position w:val="5"/>
          <w:sz w:val="14"/>
          <w:u w:val="single" w:color="005DA1"/>
        </w:rPr>
        <w:t>1107</w:t>
      </w:r>
      <w:r>
        <w:rPr>
          <w:position w:val="5"/>
          <w:sz w:val="14"/>
        </w:rPr>
        <w:t>.</w:t>
      </w:r>
      <w:r>
        <w:rPr>
          <w:spacing w:val="55"/>
          <w:position w:val="5"/>
          <w:sz w:val="14"/>
        </w:rPr>
        <w:t>  </w:t>
      </w:r>
      <w:r>
        <w:rPr>
          <w:rFonts w:ascii="Arial"/>
          <w:i/>
          <w:sz w:val="20"/>
        </w:rPr>
        <w:t>[1976]</w:t>
      </w:r>
      <w:r>
        <w:rPr>
          <w:rFonts w:ascii="Arial"/>
          <w:i/>
          <w:spacing w:val="1"/>
          <w:sz w:val="20"/>
        </w:rPr>
        <w:t> </w:t>
      </w:r>
      <w:r>
        <w:rPr>
          <w:rFonts w:ascii="Arial"/>
          <w:i/>
          <w:sz w:val="20"/>
        </w:rPr>
        <w:t>1 Q.B. </w:t>
      </w:r>
      <w:r>
        <w:rPr>
          <w:rFonts w:ascii="Arial"/>
          <w:i/>
          <w:spacing w:val="-4"/>
          <w:sz w:val="20"/>
        </w:rPr>
        <w:t>801</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1108</w:t>
      </w:r>
      <w:r>
        <w:rPr>
          <w:position w:val="5"/>
          <w:sz w:val="14"/>
        </w:rPr>
        <w:t>.</w:t>
      </w:r>
      <w:r>
        <w:rPr>
          <w:spacing w:val="55"/>
          <w:position w:val="5"/>
          <w:sz w:val="14"/>
        </w:rPr>
        <w:t>  </w:t>
      </w:r>
      <w:r>
        <w:rPr>
          <w:rFonts w:ascii="Arial" w:hAnsi="Arial"/>
          <w:i/>
          <w:sz w:val="20"/>
        </w:rPr>
        <w:t>[1976]</w:t>
      </w:r>
      <w:r>
        <w:rPr>
          <w:rFonts w:ascii="Arial" w:hAnsi="Arial"/>
          <w:i/>
          <w:spacing w:val="1"/>
          <w:sz w:val="20"/>
        </w:rPr>
        <w:t> </w:t>
      </w:r>
      <w:r>
        <w:rPr>
          <w:rFonts w:ascii="Arial" w:hAnsi="Arial"/>
          <w:i/>
          <w:sz w:val="20"/>
        </w:rPr>
        <w:t>1 Q.B. 801</w:t>
      </w:r>
      <w:r>
        <w:rPr>
          <w:rFonts w:ascii="Arial" w:hAnsi="Arial"/>
          <w:i/>
          <w:spacing w:val="-1"/>
          <w:sz w:val="20"/>
        </w:rPr>
        <w:t> </w:t>
      </w:r>
      <w:r>
        <w:rPr>
          <w:sz w:val="20"/>
        </w:rPr>
        <w:t>at 818, </w:t>
      </w:r>
      <w:r>
        <w:rPr>
          <w:spacing w:val="-2"/>
          <w:sz w:val="20"/>
        </w:rPr>
        <w:t>823–824.</w:t>
      </w:r>
    </w:p>
    <w:p>
      <w:pPr>
        <w:spacing w:after="0"/>
        <w:jc w:val="left"/>
        <w:rPr>
          <w:sz w:val="20"/>
        </w:rPr>
        <w:sectPr>
          <w:pgSz w:w="11900" w:h="16840"/>
          <w:pgMar w:header="971" w:footer="0" w:top="1300" w:bottom="280" w:left="1275" w:right="1275"/>
        </w:sectPr>
      </w:pPr>
    </w:p>
    <w:p>
      <w:pPr>
        <w:pStyle w:val="BodyText"/>
        <w:spacing w:line="235" w:lineRule="auto" w:before="170"/>
        <w:ind w:left="705" w:right="167" w:hanging="541"/>
        <w:jc w:val="both"/>
      </w:pPr>
      <w:bookmarkStart w:name="_bookmark1831" w:id="1833"/>
      <w:bookmarkEnd w:id="1833"/>
      <w:r>
        <w:rPr/>
      </w:r>
      <w:r>
        <w:rPr>
          <w:color w:val="005DA1"/>
          <w:position w:val="5"/>
          <w:sz w:val="14"/>
          <w:u w:val="single" w:color="005DA1"/>
        </w:rPr>
        <w:t>1109</w:t>
      </w:r>
      <w:r>
        <w:rPr>
          <w:position w:val="5"/>
          <w:sz w:val="14"/>
        </w:rPr>
        <w:t>.</w:t>
      </w:r>
      <w:r>
        <w:rPr>
          <w:spacing w:val="40"/>
          <w:position w:val="5"/>
          <w:sz w:val="14"/>
        </w:rPr>
        <w:t>  </w:t>
      </w:r>
      <w:r>
        <w:rPr>
          <w:rFonts w:ascii="Arial" w:hAnsi="Arial"/>
          <w:i/>
        </w:rPr>
        <w:t>[1976] 1 Q.B. 801 </w:t>
      </w:r>
      <w:r>
        <w:rPr/>
        <w:t>at 820 (Lord Denning M.R.) and [834] (Shaw L.J.). This reasoning is based</w:t>
      </w:r>
      <w:r>
        <w:rPr>
          <w:spacing w:val="80"/>
        </w:rPr>
        <w:t> </w:t>
      </w:r>
      <w:r>
        <w:rPr/>
        <w:t>on two assumptions: first, that if Esso had taken reasonable care in making its statement as to throughput it would have made an accurate estimate and, secondly, that if Mardon had </w:t>
      </w:r>
      <w:r>
        <w:rPr/>
        <w:t>been given an accurate estimate he would not have entered the contract or perhaps, would not have entered it on the same terms. Ormrod L.J. expressed no view on the claim for loss of profits as</w:t>
      </w:r>
      <w:r>
        <w:rPr>
          <w:spacing w:val="40"/>
        </w:rPr>
        <w:t> </w:t>
      </w:r>
      <w:r>
        <w:rPr/>
        <w:t>it was “virtually incapable of proof”: at 829.</w:t>
      </w:r>
    </w:p>
    <w:p>
      <w:pPr>
        <w:pStyle w:val="BodyText"/>
        <w:spacing w:before="8"/>
      </w:pPr>
    </w:p>
    <w:p>
      <w:pPr>
        <w:spacing w:line="235" w:lineRule="auto" w:before="0"/>
        <w:ind w:left="705" w:right="0" w:hanging="541"/>
        <w:jc w:val="left"/>
        <w:rPr>
          <w:sz w:val="20"/>
        </w:rPr>
      </w:pPr>
      <w:r>
        <w:rPr>
          <w:color w:val="005DA1"/>
          <w:position w:val="5"/>
          <w:sz w:val="14"/>
          <w:u w:val="single" w:color="005DA1"/>
        </w:rPr>
        <w:t>1110</w:t>
      </w:r>
      <w:r>
        <w:rPr>
          <w:position w:val="5"/>
          <w:sz w:val="14"/>
        </w:rPr>
        <w:t>.</w:t>
      </w:r>
      <w:r>
        <w:rPr>
          <w:spacing w:val="40"/>
          <w:position w:val="5"/>
          <w:sz w:val="14"/>
        </w:rPr>
        <w:t>  </w:t>
      </w:r>
      <w:r>
        <w:rPr>
          <w:sz w:val="20"/>
        </w:rPr>
        <w:t>The Court of Appeal based its decision in tort on</w:t>
      </w:r>
      <w:r>
        <w:rPr>
          <w:spacing w:val="-1"/>
          <w:sz w:val="20"/>
        </w:rPr>
        <w:t> </w:t>
      </w:r>
      <w:r>
        <w:rPr>
          <w:rFonts w:ascii="Arial"/>
          <w:i/>
          <w:sz w:val="20"/>
        </w:rPr>
        <w:t>Hedley Byrne &amp; Co Ltd v Heller &amp; Partners Ltd [1964] A.C. 465</w:t>
      </w:r>
      <w:r>
        <w:rPr>
          <w:sz w:val="20"/>
        </w:rPr>
        <w:t>.</w:t>
      </w:r>
    </w:p>
    <w:p>
      <w:pPr>
        <w:pStyle w:val="BodyText"/>
        <w:spacing w:before="9"/>
      </w:pPr>
    </w:p>
    <w:p>
      <w:pPr>
        <w:pStyle w:val="BodyText"/>
        <w:spacing w:line="235" w:lineRule="auto"/>
        <w:ind w:left="705" w:right="167" w:hanging="541"/>
        <w:jc w:val="both"/>
      </w:pPr>
      <w:r>
        <w:rPr>
          <w:color w:val="005DA1"/>
          <w:position w:val="5"/>
          <w:sz w:val="14"/>
          <w:u w:val="single" w:color="005DA1"/>
        </w:rPr>
        <w:t>1111</w:t>
      </w:r>
      <w:r>
        <w:rPr>
          <w:position w:val="5"/>
          <w:sz w:val="14"/>
        </w:rPr>
        <w:t>.</w:t>
      </w:r>
      <w:r>
        <w:rPr>
          <w:spacing w:val="80"/>
          <w:w w:val="150"/>
          <w:position w:val="5"/>
          <w:sz w:val="14"/>
        </w:rPr>
        <w:t> </w:t>
      </w:r>
      <w:r>
        <w:rPr/>
        <w:t>The Court of Appeal did allow Mardon damages for loss of his “general expectations”, i.e. what he would have expected to have earned if he had not spent his time running the garage: </w:t>
      </w:r>
      <w:r>
        <w:rPr>
          <w:rFonts w:ascii="Arial" w:hAnsi="Arial"/>
          <w:i/>
        </w:rPr>
        <w:t>[1976] 1 Q.B. 801, 821</w:t>
      </w:r>
      <w:r>
        <w:rPr/>
        <w:t>.</w:t>
      </w:r>
    </w:p>
    <w:p>
      <w:pPr>
        <w:pStyle w:val="BodyText"/>
        <w:spacing w:before="5"/>
      </w:pPr>
    </w:p>
    <w:p>
      <w:pPr>
        <w:spacing w:line="227" w:lineRule="exact" w:before="0"/>
        <w:ind w:left="165" w:right="0" w:firstLine="0"/>
        <w:jc w:val="left"/>
        <w:rPr>
          <w:rFonts w:ascii="Arial"/>
          <w:i/>
          <w:sz w:val="20"/>
        </w:rPr>
      </w:pPr>
      <w:r>
        <w:rPr>
          <w:color w:val="005DA1"/>
          <w:position w:val="5"/>
          <w:sz w:val="14"/>
          <w:u w:val="single" w:color="005DA1"/>
        </w:rPr>
        <w:t>1112</w:t>
      </w:r>
      <w:r>
        <w:rPr>
          <w:position w:val="5"/>
          <w:sz w:val="14"/>
        </w:rPr>
        <w:t>.</w:t>
      </w:r>
      <w:r>
        <w:rPr>
          <w:spacing w:val="55"/>
          <w:position w:val="5"/>
          <w:sz w:val="14"/>
        </w:rPr>
        <w:t>  </w:t>
      </w:r>
      <w:r>
        <w:rPr>
          <w:rFonts w:ascii="Arial"/>
          <w:i/>
          <w:sz w:val="20"/>
        </w:rPr>
        <w:t>Chinery</w:t>
      </w:r>
      <w:r>
        <w:rPr>
          <w:rFonts w:ascii="Arial"/>
          <w:i/>
          <w:spacing w:val="19"/>
          <w:sz w:val="20"/>
        </w:rPr>
        <w:t> </w:t>
      </w:r>
      <w:r>
        <w:rPr>
          <w:rFonts w:ascii="Arial"/>
          <w:i/>
          <w:sz w:val="20"/>
        </w:rPr>
        <w:t>v</w:t>
      </w:r>
      <w:r>
        <w:rPr>
          <w:rFonts w:ascii="Arial"/>
          <w:i/>
          <w:spacing w:val="18"/>
          <w:sz w:val="20"/>
        </w:rPr>
        <w:t> </w:t>
      </w:r>
      <w:r>
        <w:rPr>
          <w:rFonts w:ascii="Arial"/>
          <w:i/>
          <w:sz w:val="20"/>
        </w:rPr>
        <w:t>Viall</w:t>
      </w:r>
      <w:r>
        <w:rPr>
          <w:rFonts w:ascii="Arial"/>
          <w:i/>
          <w:spacing w:val="18"/>
          <w:sz w:val="20"/>
        </w:rPr>
        <w:t> </w:t>
      </w:r>
      <w:r>
        <w:rPr>
          <w:rFonts w:ascii="Arial"/>
          <w:i/>
          <w:sz w:val="20"/>
        </w:rPr>
        <w:t>(1860)</w:t>
      </w:r>
      <w:r>
        <w:rPr>
          <w:rFonts w:ascii="Arial"/>
          <w:i/>
          <w:spacing w:val="18"/>
          <w:sz w:val="20"/>
        </w:rPr>
        <w:t> </w:t>
      </w:r>
      <w:r>
        <w:rPr>
          <w:rFonts w:ascii="Arial"/>
          <w:i/>
          <w:sz w:val="20"/>
        </w:rPr>
        <w:t>5</w:t>
      </w:r>
      <w:r>
        <w:rPr>
          <w:rFonts w:ascii="Arial"/>
          <w:i/>
          <w:spacing w:val="18"/>
          <w:sz w:val="20"/>
        </w:rPr>
        <w:t> </w:t>
      </w:r>
      <w:r>
        <w:rPr>
          <w:rFonts w:ascii="Arial"/>
          <w:i/>
          <w:sz w:val="20"/>
        </w:rPr>
        <w:t>H.</w:t>
      </w:r>
      <w:r>
        <w:rPr>
          <w:rFonts w:ascii="Arial"/>
          <w:i/>
          <w:spacing w:val="18"/>
          <w:sz w:val="20"/>
        </w:rPr>
        <w:t> </w:t>
      </w:r>
      <w:r>
        <w:rPr>
          <w:rFonts w:ascii="Arial"/>
          <w:i/>
          <w:sz w:val="20"/>
        </w:rPr>
        <w:t>&amp;</w:t>
      </w:r>
      <w:r>
        <w:rPr>
          <w:rFonts w:ascii="Arial"/>
          <w:i/>
          <w:spacing w:val="18"/>
          <w:sz w:val="20"/>
        </w:rPr>
        <w:t> </w:t>
      </w:r>
      <w:r>
        <w:rPr>
          <w:rFonts w:ascii="Arial"/>
          <w:i/>
          <w:sz w:val="20"/>
        </w:rPr>
        <w:t>N.</w:t>
      </w:r>
      <w:r>
        <w:rPr>
          <w:rFonts w:ascii="Arial"/>
          <w:i/>
          <w:spacing w:val="18"/>
          <w:sz w:val="20"/>
        </w:rPr>
        <w:t> </w:t>
      </w:r>
      <w:r>
        <w:rPr>
          <w:rFonts w:ascii="Arial"/>
          <w:i/>
          <w:sz w:val="20"/>
        </w:rPr>
        <w:t>28,</w:t>
      </w:r>
      <w:r>
        <w:rPr>
          <w:rFonts w:ascii="Arial"/>
          <w:i/>
          <w:spacing w:val="18"/>
          <w:sz w:val="20"/>
        </w:rPr>
        <w:t> </w:t>
      </w:r>
      <w:r>
        <w:rPr>
          <w:rFonts w:ascii="Arial"/>
          <w:i/>
          <w:sz w:val="20"/>
        </w:rPr>
        <w:t>29</w:t>
      </w:r>
      <w:r>
        <w:rPr>
          <w:rFonts w:ascii="Arial"/>
          <w:i/>
          <w:spacing w:val="17"/>
          <w:sz w:val="20"/>
        </w:rPr>
        <w:t> </w:t>
      </w:r>
      <w:r>
        <w:rPr>
          <w:rFonts w:ascii="Arial"/>
          <w:i/>
          <w:sz w:val="20"/>
        </w:rPr>
        <w:t>L.J.</w:t>
      </w:r>
      <w:r>
        <w:rPr>
          <w:rFonts w:ascii="Arial"/>
          <w:i/>
          <w:spacing w:val="18"/>
          <w:sz w:val="20"/>
        </w:rPr>
        <w:t> </w:t>
      </w:r>
      <w:r>
        <w:rPr>
          <w:rFonts w:ascii="Arial"/>
          <w:i/>
          <w:sz w:val="20"/>
        </w:rPr>
        <w:t>Ex.</w:t>
      </w:r>
      <w:r>
        <w:rPr>
          <w:rFonts w:ascii="Arial"/>
          <w:i/>
          <w:spacing w:val="18"/>
          <w:sz w:val="20"/>
        </w:rPr>
        <w:t> </w:t>
      </w:r>
      <w:r>
        <w:rPr>
          <w:rFonts w:ascii="Arial"/>
          <w:i/>
          <w:sz w:val="20"/>
        </w:rPr>
        <w:t>180</w:t>
      </w:r>
      <w:r>
        <w:rPr>
          <w:sz w:val="20"/>
        </w:rPr>
        <w:t>;</w:t>
      </w:r>
      <w:r>
        <w:rPr>
          <w:spacing w:val="18"/>
          <w:sz w:val="20"/>
        </w:rPr>
        <w:t> </w:t>
      </w:r>
      <w:r>
        <w:rPr>
          <w:rFonts w:ascii="Arial"/>
          <w:i/>
          <w:sz w:val="20"/>
        </w:rPr>
        <w:t>Johnson</w:t>
      </w:r>
      <w:r>
        <w:rPr>
          <w:rFonts w:ascii="Arial"/>
          <w:i/>
          <w:spacing w:val="18"/>
          <w:sz w:val="20"/>
        </w:rPr>
        <w:t> </w:t>
      </w:r>
      <w:r>
        <w:rPr>
          <w:rFonts w:ascii="Arial"/>
          <w:i/>
          <w:sz w:val="20"/>
        </w:rPr>
        <w:t>v</w:t>
      </w:r>
      <w:r>
        <w:rPr>
          <w:rFonts w:ascii="Arial"/>
          <w:i/>
          <w:spacing w:val="18"/>
          <w:sz w:val="20"/>
        </w:rPr>
        <w:t> </w:t>
      </w:r>
      <w:r>
        <w:rPr>
          <w:rFonts w:ascii="Arial"/>
          <w:i/>
          <w:sz w:val="20"/>
        </w:rPr>
        <w:t>Stear</w:t>
      </w:r>
      <w:r>
        <w:rPr>
          <w:rFonts w:ascii="Arial"/>
          <w:i/>
          <w:spacing w:val="18"/>
          <w:sz w:val="20"/>
        </w:rPr>
        <w:t> </w:t>
      </w:r>
      <w:r>
        <w:rPr>
          <w:rFonts w:ascii="Arial"/>
          <w:i/>
          <w:sz w:val="20"/>
        </w:rPr>
        <w:t>(1863)</w:t>
      </w:r>
      <w:r>
        <w:rPr>
          <w:rFonts w:ascii="Arial"/>
          <w:i/>
          <w:spacing w:val="18"/>
          <w:sz w:val="20"/>
        </w:rPr>
        <w:t> </w:t>
      </w:r>
      <w:r>
        <w:rPr>
          <w:rFonts w:ascii="Arial"/>
          <w:i/>
          <w:sz w:val="20"/>
        </w:rPr>
        <w:t>33</w:t>
      </w:r>
      <w:r>
        <w:rPr>
          <w:rFonts w:ascii="Arial"/>
          <w:i/>
          <w:spacing w:val="18"/>
          <w:sz w:val="20"/>
        </w:rPr>
        <w:t> </w:t>
      </w:r>
      <w:r>
        <w:rPr>
          <w:rFonts w:ascii="Arial"/>
          <w:i/>
          <w:sz w:val="20"/>
        </w:rPr>
        <w:t>L.J.C.P.</w:t>
      </w:r>
      <w:r>
        <w:rPr>
          <w:rFonts w:ascii="Arial"/>
          <w:i/>
          <w:spacing w:val="18"/>
          <w:sz w:val="20"/>
        </w:rPr>
        <w:t> </w:t>
      </w:r>
      <w:r>
        <w:rPr>
          <w:rFonts w:ascii="Arial"/>
          <w:i/>
          <w:spacing w:val="-5"/>
          <w:sz w:val="20"/>
        </w:rPr>
        <w:t>130</w:t>
      </w:r>
    </w:p>
    <w:p>
      <w:pPr>
        <w:pStyle w:val="BodyText"/>
        <w:spacing w:line="227" w:lineRule="exact"/>
        <w:ind w:left="705"/>
      </w:pPr>
      <w:r>
        <w:rPr/>
        <w:t>(both </w:t>
      </w:r>
      <w:r>
        <w:rPr>
          <w:spacing w:val="-2"/>
        </w:rPr>
        <w:t>conversion).</w:t>
      </w:r>
    </w:p>
    <w:p>
      <w:pPr>
        <w:pStyle w:val="BodyText"/>
        <w:spacing w:before="9"/>
      </w:pPr>
    </w:p>
    <w:p>
      <w:pPr>
        <w:pStyle w:val="BodyText"/>
        <w:spacing w:line="235" w:lineRule="auto"/>
        <w:ind w:left="705" w:right="167" w:hanging="541"/>
        <w:jc w:val="both"/>
      </w:pPr>
      <w:r>
        <w:rPr>
          <w:color w:val="005DA1"/>
          <w:position w:val="5"/>
          <w:sz w:val="14"/>
          <w:u w:val="single" w:color="005DA1"/>
        </w:rPr>
        <w:t>1113</w:t>
      </w:r>
      <w:r>
        <w:rPr>
          <w:position w:val="5"/>
          <w:sz w:val="14"/>
        </w:rPr>
        <w:t>.</w:t>
      </w:r>
      <w:r>
        <w:rPr>
          <w:spacing w:val="80"/>
          <w:position w:val="5"/>
          <w:sz w:val="14"/>
        </w:rPr>
        <w:t> </w:t>
      </w:r>
      <w:r>
        <w:rPr>
          <w:rFonts w:ascii="Arial"/>
          <w:i/>
        </w:rPr>
        <w:t>Royscott Trust Ltd v Rogerson [1991] 2 Q.B. 297</w:t>
      </w:r>
      <w:r>
        <w:rPr/>
        <w:t>, in which the Court of Appeal rejected the proposition that a claim for damages under s.2(1) of the Misrepresentation Act 1967 </w:t>
      </w:r>
      <w:r>
        <w:rPr/>
        <w:t>possesses the same test of remoteness of damage as applies generally to claims in the tort of negligence; and see below, para.7-078.</w:t>
      </w:r>
    </w:p>
    <w:p>
      <w:pPr>
        <w:pStyle w:val="BodyText"/>
        <w:spacing w:before="8"/>
      </w:pPr>
    </w:p>
    <w:p>
      <w:pPr>
        <w:pStyle w:val="BodyText"/>
        <w:spacing w:line="235" w:lineRule="auto" w:before="1"/>
        <w:ind w:left="705" w:right="167" w:hanging="541"/>
        <w:jc w:val="both"/>
      </w:pPr>
      <w:r>
        <w:rPr>
          <w:color w:val="005DA1"/>
          <w:position w:val="5"/>
          <w:sz w:val="14"/>
          <w:u w:val="single" w:color="005DA1"/>
        </w:rPr>
        <w:t>1114</w:t>
      </w:r>
      <w:r>
        <w:rPr>
          <w:position w:val="5"/>
          <w:sz w:val="14"/>
        </w:rPr>
        <w:t>.</w:t>
      </w:r>
      <w:r>
        <w:rPr>
          <w:spacing w:val="80"/>
          <w:position w:val="5"/>
          <w:sz w:val="14"/>
        </w:rPr>
        <w:t> </w:t>
      </w:r>
      <w:r>
        <w:rPr/>
        <w:t>See below, paras 26-116—26-118. It is also more generous than the test for remoteness </w:t>
      </w:r>
      <w:r>
        <w:rPr/>
        <w:t>of damage applicable to a claim for damages by a consumer under the Consumer Protection from Unfair Trading Regulations 2008 Pt 4A and especially reg.27J(4), which applies a requirement that the loss was “reasonably foreseeable at the time of the prohibited practice”: and see Vol.II, </w:t>
      </w:r>
      <w:r>
        <w:rPr>
          <w:spacing w:val="-2"/>
        </w:rPr>
        <w:t>para.38-185.</w:t>
      </w:r>
    </w:p>
    <w:p>
      <w:pPr>
        <w:pStyle w:val="BodyText"/>
        <w:spacing w:before="4"/>
      </w:pPr>
    </w:p>
    <w:p>
      <w:pPr>
        <w:spacing w:line="227" w:lineRule="exact" w:before="0"/>
        <w:ind w:left="165" w:right="0" w:firstLine="0"/>
        <w:jc w:val="left"/>
        <w:rPr>
          <w:rFonts w:ascii="Arial"/>
          <w:i/>
          <w:sz w:val="20"/>
        </w:rPr>
      </w:pPr>
      <w:r>
        <w:rPr>
          <w:color w:val="005DA1"/>
          <w:position w:val="5"/>
          <w:sz w:val="14"/>
          <w:u w:val="single" w:color="005DA1"/>
        </w:rPr>
        <w:t>1115</w:t>
      </w:r>
      <w:r>
        <w:rPr>
          <w:position w:val="5"/>
          <w:sz w:val="14"/>
        </w:rPr>
        <w:t>.</w:t>
      </w:r>
      <w:r>
        <w:rPr>
          <w:spacing w:val="55"/>
          <w:position w:val="5"/>
          <w:sz w:val="14"/>
        </w:rPr>
        <w:t>  </w:t>
      </w:r>
      <w:r>
        <w:rPr>
          <w:rFonts w:ascii="Arial"/>
          <w:i/>
          <w:sz w:val="20"/>
        </w:rPr>
        <w:t>Mafo</w:t>
      </w:r>
      <w:r>
        <w:rPr>
          <w:rFonts w:ascii="Arial"/>
          <w:i/>
          <w:spacing w:val="6"/>
          <w:sz w:val="20"/>
        </w:rPr>
        <w:t> </w:t>
      </w:r>
      <w:r>
        <w:rPr>
          <w:rFonts w:ascii="Arial"/>
          <w:i/>
          <w:sz w:val="20"/>
        </w:rPr>
        <w:t>v</w:t>
      </w:r>
      <w:r>
        <w:rPr>
          <w:rFonts w:ascii="Arial"/>
          <w:i/>
          <w:spacing w:val="5"/>
          <w:sz w:val="20"/>
        </w:rPr>
        <w:t> </w:t>
      </w:r>
      <w:r>
        <w:rPr>
          <w:rFonts w:ascii="Arial"/>
          <w:i/>
          <w:sz w:val="20"/>
        </w:rPr>
        <w:t>Adams</w:t>
      </w:r>
      <w:r>
        <w:rPr>
          <w:rFonts w:ascii="Arial"/>
          <w:i/>
          <w:spacing w:val="5"/>
          <w:sz w:val="20"/>
        </w:rPr>
        <w:t> </w:t>
      </w:r>
      <w:r>
        <w:rPr>
          <w:rFonts w:ascii="Arial"/>
          <w:i/>
          <w:sz w:val="20"/>
        </w:rPr>
        <w:t>[1970]</w:t>
      </w:r>
      <w:r>
        <w:rPr>
          <w:rFonts w:ascii="Arial"/>
          <w:i/>
          <w:spacing w:val="5"/>
          <w:sz w:val="20"/>
        </w:rPr>
        <w:t> </w:t>
      </w:r>
      <w:r>
        <w:rPr>
          <w:rFonts w:ascii="Arial"/>
          <w:i/>
          <w:sz w:val="20"/>
        </w:rPr>
        <w:t>1</w:t>
      </w:r>
      <w:r>
        <w:rPr>
          <w:rFonts w:ascii="Arial"/>
          <w:i/>
          <w:spacing w:val="4"/>
          <w:sz w:val="20"/>
        </w:rPr>
        <w:t> </w:t>
      </w:r>
      <w:r>
        <w:rPr>
          <w:rFonts w:ascii="Arial"/>
          <w:i/>
          <w:sz w:val="20"/>
        </w:rPr>
        <w:t>Q.B.</w:t>
      </w:r>
      <w:r>
        <w:rPr>
          <w:rFonts w:ascii="Arial"/>
          <w:i/>
          <w:spacing w:val="5"/>
          <w:sz w:val="20"/>
        </w:rPr>
        <w:t> </w:t>
      </w:r>
      <w:r>
        <w:rPr>
          <w:rFonts w:ascii="Arial"/>
          <w:i/>
          <w:sz w:val="20"/>
        </w:rPr>
        <w:t>548</w:t>
      </w:r>
      <w:r>
        <w:rPr>
          <w:sz w:val="20"/>
        </w:rPr>
        <w:t>;</w:t>
      </w:r>
      <w:r>
        <w:rPr>
          <w:spacing w:val="5"/>
          <w:sz w:val="20"/>
        </w:rPr>
        <w:t> </w:t>
      </w:r>
      <w:r>
        <w:rPr>
          <w:rFonts w:ascii="Arial"/>
          <w:i/>
          <w:sz w:val="20"/>
        </w:rPr>
        <w:t>Cassell</w:t>
      </w:r>
      <w:r>
        <w:rPr>
          <w:rFonts w:ascii="Arial"/>
          <w:i/>
          <w:spacing w:val="5"/>
          <w:sz w:val="20"/>
        </w:rPr>
        <w:t> </w:t>
      </w:r>
      <w:r>
        <w:rPr>
          <w:rFonts w:ascii="Arial"/>
          <w:i/>
          <w:sz w:val="20"/>
        </w:rPr>
        <w:t>&amp;</w:t>
      </w:r>
      <w:r>
        <w:rPr>
          <w:rFonts w:ascii="Arial"/>
          <w:i/>
          <w:spacing w:val="5"/>
          <w:sz w:val="20"/>
        </w:rPr>
        <w:t> </w:t>
      </w:r>
      <w:r>
        <w:rPr>
          <w:rFonts w:ascii="Arial"/>
          <w:i/>
          <w:sz w:val="20"/>
        </w:rPr>
        <w:t>Co</w:t>
      </w:r>
      <w:r>
        <w:rPr>
          <w:rFonts w:ascii="Arial"/>
          <w:i/>
          <w:spacing w:val="5"/>
          <w:sz w:val="20"/>
        </w:rPr>
        <w:t> </w:t>
      </w:r>
      <w:r>
        <w:rPr>
          <w:rFonts w:ascii="Arial"/>
          <w:i/>
          <w:sz w:val="20"/>
        </w:rPr>
        <w:t>Ltd</w:t>
      </w:r>
      <w:r>
        <w:rPr>
          <w:rFonts w:ascii="Arial"/>
          <w:i/>
          <w:spacing w:val="5"/>
          <w:sz w:val="20"/>
        </w:rPr>
        <w:t> </w:t>
      </w:r>
      <w:r>
        <w:rPr>
          <w:rFonts w:ascii="Arial"/>
          <w:i/>
          <w:sz w:val="20"/>
        </w:rPr>
        <w:t>v</w:t>
      </w:r>
      <w:r>
        <w:rPr>
          <w:rFonts w:ascii="Arial"/>
          <w:i/>
          <w:spacing w:val="4"/>
          <w:sz w:val="20"/>
        </w:rPr>
        <w:t> </w:t>
      </w:r>
      <w:r>
        <w:rPr>
          <w:rFonts w:ascii="Arial"/>
          <w:i/>
          <w:sz w:val="20"/>
        </w:rPr>
        <w:t>Broome</w:t>
      </w:r>
      <w:r>
        <w:rPr>
          <w:rFonts w:ascii="Arial"/>
          <w:i/>
          <w:spacing w:val="5"/>
          <w:sz w:val="20"/>
        </w:rPr>
        <w:t> </w:t>
      </w:r>
      <w:r>
        <w:rPr>
          <w:rFonts w:ascii="Arial"/>
          <w:i/>
          <w:sz w:val="20"/>
        </w:rPr>
        <w:t>[1972]</w:t>
      </w:r>
      <w:r>
        <w:rPr>
          <w:rFonts w:ascii="Arial"/>
          <w:i/>
          <w:spacing w:val="5"/>
          <w:sz w:val="20"/>
        </w:rPr>
        <w:t> </w:t>
      </w:r>
      <w:r>
        <w:rPr>
          <w:rFonts w:ascii="Arial"/>
          <w:i/>
          <w:sz w:val="20"/>
        </w:rPr>
        <w:t>A.C.</w:t>
      </w:r>
      <w:r>
        <w:rPr>
          <w:rFonts w:ascii="Arial"/>
          <w:i/>
          <w:spacing w:val="5"/>
          <w:sz w:val="20"/>
        </w:rPr>
        <w:t> </w:t>
      </w:r>
      <w:r>
        <w:rPr>
          <w:rFonts w:ascii="Arial"/>
          <w:i/>
          <w:sz w:val="20"/>
        </w:rPr>
        <w:t>1027,</w:t>
      </w:r>
      <w:r>
        <w:rPr>
          <w:rFonts w:ascii="Arial"/>
          <w:i/>
          <w:spacing w:val="5"/>
          <w:sz w:val="20"/>
        </w:rPr>
        <w:t> </w:t>
      </w:r>
      <w:r>
        <w:rPr>
          <w:rFonts w:ascii="Arial"/>
          <w:i/>
          <w:sz w:val="20"/>
        </w:rPr>
        <w:t>1076</w:t>
      </w:r>
      <w:r>
        <w:rPr>
          <w:sz w:val="20"/>
        </w:rPr>
        <w:t>;</w:t>
      </w:r>
      <w:r>
        <w:rPr>
          <w:spacing w:val="5"/>
          <w:sz w:val="20"/>
        </w:rPr>
        <w:t> </w:t>
      </w:r>
      <w:r>
        <w:rPr>
          <w:rFonts w:ascii="Arial"/>
          <w:i/>
          <w:sz w:val="20"/>
        </w:rPr>
        <w:t>Archer</w:t>
      </w:r>
      <w:r>
        <w:rPr>
          <w:rFonts w:ascii="Arial"/>
          <w:i/>
          <w:spacing w:val="5"/>
          <w:sz w:val="20"/>
        </w:rPr>
        <w:t> </w:t>
      </w:r>
      <w:r>
        <w:rPr>
          <w:rFonts w:ascii="Arial"/>
          <w:i/>
          <w:spacing w:val="-10"/>
          <w:sz w:val="20"/>
        </w:rPr>
        <w:t>v</w:t>
      </w:r>
    </w:p>
    <w:p>
      <w:pPr>
        <w:spacing w:line="227" w:lineRule="exact" w:before="0"/>
        <w:ind w:left="705" w:right="0" w:firstLine="0"/>
        <w:jc w:val="left"/>
        <w:rPr>
          <w:sz w:val="20"/>
        </w:rPr>
      </w:pPr>
      <w:r>
        <w:rPr>
          <w:rFonts w:ascii="Arial" w:hAnsi="Arial"/>
          <w:i/>
          <w:sz w:val="20"/>
        </w:rPr>
        <w:t>Brown [1985] 1 Q.B. 401, 418–421</w:t>
      </w:r>
      <w:r>
        <w:rPr>
          <w:rFonts w:ascii="Arial" w:hAnsi="Arial"/>
          <w:i/>
          <w:spacing w:val="-1"/>
          <w:sz w:val="20"/>
        </w:rPr>
        <w:t> </w:t>
      </w:r>
      <w:r>
        <w:rPr>
          <w:sz w:val="20"/>
        </w:rPr>
        <w:t>and see below, para.7-</w:t>
      </w:r>
      <w:r>
        <w:rPr>
          <w:spacing w:val="-4"/>
          <w:sz w:val="20"/>
        </w:rPr>
        <w:t>070.</w:t>
      </w:r>
    </w:p>
    <w:p>
      <w:pPr>
        <w:pStyle w:val="BodyText"/>
        <w:spacing w:before="5"/>
      </w:pPr>
    </w:p>
    <w:p>
      <w:pPr>
        <w:spacing w:before="0"/>
        <w:ind w:left="165" w:right="0" w:firstLine="0"/>
        <w:jc w:val="left"/>
        <w:rPr>
          <w:sz w:val="20"/>
        </w:rPr>
      </w:pPr>
      <w:r>
        <w:rPr>
          <w:color w:val="005DA1"/>
          <w:position w:val="5"/>
          <w:sz w:val="14"/>
          <w:u w:val="single" w:color="005DA1"/>
        </w:rPr>
        <w:t>1116</w:t>
      </w:r>
      <w:r>
        <w:rPr>
          <w:position w:val="5"/>
          <w:sz w:val="14"/>
        </w:rPr>
        <w:t>.</w:t>
      </w:r>
      <w:r>
        <w:rPr>
          <w:spacing w:val="55"/>
          <w:position w:val="5"/>
          <w:sz w:val="14"/>
        </w:rPr>
        <w:t>  </w:t>
      </w:r>
      <w:r>
        <w:rPr>
          <w:sz w:val="20"/>
        </w:rPr>
        <w:t>See</w:t>
      </w:r>
      <w:r>
        <w:rPr>
          <w:spacing w:val="1"/>
          <w:sz w:val="20"/>
        </w:rPr>
        <w:t> </w:t>
      </w:r>
      <w:r>
        <w:rPr>
          <w:sz w:val="20"/>
        </w:rPr>
        <w:t>below, para.26-</w:t>
      </w:r>
      <w:r>
        <w:rPr>
          <w:spacing w:val="-4"/>
          <w:sz w:val="20"/>
        </w:rPr>
        <w:t>044.</w:t>
      </w:r>
    </w:p>
    <w:p>
      <w:pPr>
        <w:pStyle w:val="BodyText"/>
        <w:spacing w:before="9"/>
      </w:pPr>
    </w:p>
    <w:p>
      <w:pPr>
        <w:pStyle w:val="BodyText"/>
        <w:spacing w:line="235" w:lineRule="auto"/>
        <w:ind w:left="705" w:right="167" w:hanging="541"/>
        <w:jc w:val="both"/>
      </w:pPr>
      <w:r>
        <w:rPr>
          <w:color w:val="005DA1"/>
          <w:position w:val="5"/>
          <w:sz w:val="14"/>
          <w:u w:val="single" w:color="005DA1"/>
        </w:rPr>
        <w:t>1117</w:t>
      </w:r>
      <w:r>
        <w:rPr>
          <w:position w:val="5"/>
          <w:sz w:val="14"/>
        </w:rPr>
        <w:t>.</w:t>
      </w:r>
      <w:r>
        <w:rPr>
          <w:spacing w:val="80"/>
          <w:w w:val="150"/>
          <w:position w:val="5"/>
          <w:sz w:val="14"/>
        </w:rPr>
        <w:t> </w:t>
      </w:r>
      <w:r>
        <w:rPr/>
        <w:t>See below, paras 7-017 et seq. It should be noted that the consumer’s rights to redress under the Consumer Protection from Unfair Trading Regulations 2008 Pt 4A (as inserted by the Consumer Protection (Amendment) Regulations 2014 (SI 2014/870)) do not arise in respect </w:t>
      </w:r>
      <w:r>
        <w:rPr/>
        <w:t>of</w:t>
      </w:r>
      <w:r>
        <w:rPr>
          <w:spacing w:val="40"/>
        </w:rPr>
        <w:t> </w:t>
      </w:r>
      <w:r>
        <w:rPr/>
        <w:t>a trader’s misleading omission: Vol.II, paras 38-166 and 38-172.</w:t>
      </w:r>
    </w:p>
    <w:p>
      <w:pPr>
        <w:pStyle w:val="BodyText"/>
        <w:spacing w:before="8"/>
      </w:pPr>
    </w:p>
    <w:p>
      <w:pPr>
        <w:spacing w:line="235" w:lineRule="auto" w:before="0"/>
        <w:ind w:left="705" w:right="168" w:hanging="541"/>
        <w:jc w:val="both"/>
        <w:rPr>
          <w:rFonts w:ascii="Arial" w:hAnsi="Arial"/>
          <w:i/>
          <w:sz w:val="20"/>
        </w:rPr>
      </w:pPr>
      <w:r>
        <w:rPr>
          <w:color w:val="005DA1"/>
          <w:position w:val="5"/>
          <w:sz w:val="14"/>
          <w:u w:val="single" w:color="005DA1"/>
        </w:rPr>
        <w:t>1118</w:t>
      </w:r>
      <w:r>
        <w:rPr>
          <w:position w:val="5"/>
          <w:sz w:val="14"/>
        </w:rPr>
        <w:t>.</w:t>
      </w:r>
      <w:r>
        <w:rPr>
          <w:spacing w:val="80"/>
          <w:position w:val="5"/>
          <w:sz w:val="14"/>
        </w:rPr>
        <w:t> </w:t>
      </w:r>
      <w:r>
        <w:rPr>
          <w:rFonts w:ascii="Arial" w:hAnsi="Arial"/>
          <w:i/>
          <w:sz w:val="20"/>
        </w:rPr>
        <w:t>Rust v Abbey Life Assurance Co Ltd [1978] 2 Lloyd’s Rep. 386</w:t>
      </w:r>
      <w:r>
        <w:rPr>
          <w:sz w:val="20"/>
        </w:rPr>
        <w:t>; </w:t>
      </w:r>
      <w:r>
        <w:rPr>
          <w:rFonts w:ascii="Arial" w:hAnsi="Arial"/>
          <w:i/>
          <w:sz w:val="20"/>
        </w:rPr>
        <w:t>Cornish v Midland Bank Plc [1985]</w:t>
      </w:r>
      <w:r>
        <w:rPr>
          <w:rFonts w:ascii="Arial" w:hAnsi="Arial"/>
          <w:i/>
          <w:spacing w:val="16"/>
          <w:sz w:val="20"/>
        </w:rPr>
        <w:t> </w:t>
      </w:r>
      <w:r>
        <w:rPr>
          <w:rFonts w:ascii="Arial" w:hAnsi="Arial"/>
          <w:i/>
          <w:sz w:val="20"/>
        </w:rPr>
        <w:t>3</w:t>
      </w:r>
      <w:r>
        <w:rPr>
          <w:rFonts w:ascii="Arial" w:hAnsi="Arial"/>
          <w:i/>
          <w:spacing w:val="19"/>
          <w:sz w:val="20"/>
        </w:rPr>
        <w:t> </w:t>
      </w:r>
      <w:r>
        <w:rPr>
          <w:rFonts w:ascii="Arial" w:hAnsi="Arial"/>
          <w:i/>
          <w:sz w:val="20"/>
        </w:rPr>
        <w:t>All</w:t>
      </w:r>
      <w:r>
        <w:rPr>
          <w:rFonts w:ascii="Arial" w:hAnsi="Arial"/>
          <w:i/>
          <w:spacing w:val="19"/>
          <w:sz w:val="20"/>
        </w:rPr>
        <w:t> </w:t>
      </w:r>
      <w:r>
        <w:rPr>
          <w:rFonts w:ascii="Arial" w:hAnsi="Arial"/>
          <w:i/>
          <w:sz w:val="20"/>
        </w:rPr>
        <w:t>E.R.</w:t>
      </w:r>
      <w:r>
        <w:rPr>
          <w:rFonts w:ascii="Arial" w:hAnsi="Arial"/>
          <w:i/>
          <w:spacing w:val="19"/>
          <w:sz w:val="20"/>
        </w:rPr>
        <w:t> </w:t>
      </w:r>
      <w:r>
        <w:rPr>
          <w:rFonts w:ascii="Arial" w:hAnsi="Arial"/>
          <w:i/>
          <w:sz w:val="20"/>
        </w:rPr>
        <w:t>513,</w:t>
      </w:r>
      <w:r>
        <w:rPr>
          <w:rFonts w:ascii="Arial" w:hAnsi="Arial"/>
          <w:i/>
          <w:spacing w:val="19"/>
          <w:sz w:val="20"/>
        </w:rPr>
        <w:t> </w:t>
      </w:r>
      <w:r>
        <w:rPr>
          <w:rFonts w:ascii="Arial" w:hAnsi="Arial"/>
          <w:i/>
          <w:sz w:val="20"/>
        </w:rPr>
        <w:t>522–523</w:t>
      </w:r>
      <w:r>
        <w:rPr>
          <w:sz w:val="20"/>
        </w:rPr>
        <w:t>;</w:t>
      </w:r>
      <w:r>
        <w:rPr>
          <w:spacing w:val="19"/>
          <w:sz w:val="20"/>
        </w:rPr>
        <w:t> </w:t>
      </w:r>
      <w:r>
        <w:rPr>
          <w:rFonts w:ascii="Arial" w:hAnsi="Arial"/>
          <w:i/>
          <w:sz w:val="20"/>
        </w:rPr>
        <w:t>Al-Kandari</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J.R.</w:t>
      </w:r>
      <w:r>
        <w:rPr>
          <w:rFonts w:ascii="Arial" w:hAnsi="Arial"/>
          <w:i/>
          <w:spacing w:val="18"/>
          <w:sz w:val="20"/>
        </w:rPr>
        <w:t> </w:t>
      </w:r>
      <w:r>
        <w:rPr>
          <w:rFonts w:ascii="Arial" w:hAnsi="Arial"/>
          <w:i/>
          <w:sz w:val="20"/>
        </w:rPr>
        <w:t>Brown</w:t>
      </w:r>
      <w:r>
        <w:rPr>
          <w:rFonts w:ascii="Arial" w:hAnsi="Arial"/>
          <w:i/>
          <w:spacing w:val="19"/>
          <w:sz w:val="20"/>
        </w:rPr>
        <w:t> </w:t>
      </w:r>
      <w:r>
        <w:rPr>
          <w:rFonts w:ascii="Arial" w:hAnsi="Arial"/>
          <w:i/>
          <w:sz w:val="20"/>
        </w:rPr>
        <w:t>&amp;</w:t>
      </w:r>
      <w:r>
        <w:rPr>
          <w:rFonts w:ascii="Arial" w:hAnsi="Arial"/>
          <w:i/>
          <w:spacing w:val="19"/>
          <w:sz w:val="20"/>
        </w:rPr>
        <w:t> </w:t>
      </w:r>
      <w:r>
        <w:rPr>
          <w:rFonts w:ascii="Arial" w:hAnsi="Arial"/>
          <w:i/>
          <w:sz w:val="20"/>
        </w:rPr>
        <w:t>Co</w:t>
      </w:r>
      <w:r>
        <w:rPr>
          <w:rFonts w:ascii="Arial" w:hAnsi="Arial"/>
          <w:i/>
          <w:spacing w:val="19"/>
          <w:sz w:val="20"/>
        </w:rPr>
        <w:t> </w:t>
      </w:r>
      <w:r>
        <w:rPr>
          <w:rFonts w:ascii="Arial" w:hAnsi="Arial"/>
          <w:i/>
          <w:sz w:val="20"/>
        </w:rPr>
        <w:t>[1988]</w:t>
      </w:r>
      <w:r>
        <w:rPr>
          <w:rFonts w:ascii="Arial" w:hAnsi="Arial"/>
          <w:i/>
          <w:spacing w:val="19"/>
          <w:sz w:val="20"/>
        </w:rPr>
        <w:t> </w:t>
      </w:r>
      <w:r>
        <w:rPr>
          <w:rFonts w:ascii="Arial" w:hAnsi="Arial"/>
          <w:i/>
          <w:sz w:val="20"/>
        </w:rPr>
        <w:t>Q.B.</w:t>
      </w:r>
      <w:r>
        <w:rPr>
          <w:rFonts w:ascii="Arial" w:hAnsi="Arial"/>
          <w:i/>
          <w:spacing w:val="19"/>
          <w:sz w:val="20"/>
        </w:rPr>
        <w:t> </w:t>
      </w:r>
      <w:r>
        <w:rPr>
          <w:rFonts w:ascii="Arial" w:hAnsi="Arial"/>
          <w:i/>
          <w:sz w:val="20"/>
        </w:rPr>
        <w:t>665,</w:t>
      </w:r>
      <w:r>
        <w:rPr>
          <w:rFonts w:ascii="Arial" w:hAnsi="Arial"/>
          <w:i/>
          <w:spacing w:val="19"/>
          <w:sz w:val="20"/>
        </w:rPr>
        <w:t> </w:t>
      </w:r>
      <w:r>
        <w:rPr>
          <w:rFonts w:ascii="Arial" w:hAnsi="Arial"/>
          <w:i/>
          <w:sz w:val="20"/>
        </w:rPr>
        <w:t>672</w:t>
      </w:r>
      <w:r>
        <w:rPr>
          <w:sz w:val="20"/>
        </w:rPr>
        <w:t>;</w:t>
      </w:r>
      <w:r>
        <w:rPr>
          <w:spacing w:val="19"/>
          <w:sz w:val="20"/>
        </w:rPr>
        <w:t> </w:t>
      </w:r>
      <w:r>
        <w:rPr>
          <w:rFonts w:ascii="Arial" w:hAnsi="Arial"/>
          <w:i/>
          <w:spacing w:val="-2"/>
          <w:sz w:val="20"/>
        </w:rPr>
        <w:t>Banque</w:t>
      </w:r>
    </w:p>
    <w:p>
      <w:pPr>
        <w:spacing w:line="235" w:lineRule="auto" w:before="0"/>
        <w:ind w:left="705" w:right="168" w:firstLine="0"/>
        <w:jc w:val="both"/>
        <w:rPr>
          <w:sz w:val="20"/>
        </w:rPr>
      </w:pPr>
      <w:r>
        <w:rPr>
          <w:rFonts w:ascii="Arial" w:hAnsi="Arial"/>
          <w:i/>
          <w:sz w:val="20"/>
        </w:rPr>
        <w:t>Keyser Ullmann SA v Skandia (UK) Co Insurance Ltd [1990] 1 Q.B. 665, 794</w:t>
      </w:r>
      <w:r>
        <w:rPr>
          <w:sz w:val="20"/>
        </w:rPr>
        <w:t>. cf. </w:t>
      </w:r>
      <w:r>
        <w:rPr>
          <w:rFonts w:ascii="Arial" w:hAnsi="Arial"/>
          <w:i/>
          <w:sz w:val="20"/>
        </w:rPr>
        <w:t>Argy Trading Developments Ltd v Lapid Developments Ltd [1977] 1 W.L.R. 444, 461</w:t>
      </w:r>
      <w:r>
        <w:rPr>
          <w:sz w:val="20"/>
        </w:rPr>
        <w:t>; </w:t>
      </w:r>
      <w:r>
        <w:rPr>
          <w:rFonts w:ascii="Arial" w:hAnsi="Arial"/>
          <w:i/>
          <w:sz w:val="20"/>
        </w:rPr>
        <w:t>Barclays Bank Plc </w:t>
      </w:r>
      <w:r>
        <w:rPr>
          <w:rFonts w:ascii="Arial" w:hAnsi="Arial"/>
          <w:i/>
          <w:sz w:val="20"/>
        </w:rPr>
        <w:t>v Khaira [1992] 1 W.L.R. 623</w:t>
      </w:r>
      <w:r>
        <w:rPr>
          <w:sz w:val="20"/>
        </w:rPr>
        <w:t>; </w:t>
      </w:r>
      <w:r>
        <w:rPr>
          <w:rFonts w:ascii="Arial" w:hAnsi="Arial"/>
          <w:i/>
          <w:sz w:val="20"/>
        </w:rPr>
        <w:t>Ashmore v Corp of Lloyd’s [1992] 2 Lloyd’s Rep. 1, 5 </w:t>
      </w:r>
      <w:r>
        <w:rPr>
          <w:sz w:val="20"/>
        </w:rPr>
        <w:t>(and see </w:t>
      </w:r>
      <w:r>
        <w:rPr>
          <w:rFonts w:ascii="Arial" w:hAnsi="Arial"/>
          <w:i/>
          <w:sz w:val="20"/>
        </w:rPr>
        <w:t>[1992]</w:t>
      </w:r>
      <w:r>
        <w:rPr>
          <w:rFonts w:ascii="Arial" w:hAnsi="Arial"/>
          <w:i/>
          <w:spacing w:val="80"/>
          <w:w w:val="150"/>
          <w:sz w:val="20"/>
        </w:rPr>
        <w:t> </w:t>
      </w:r>
      <w:r>
        <w:rPr>
          <w:rFonts w:ascii="Arial" w:hAnsi="Arial"/>
          <w:i/>
          <w:sz w:val="20"/>
        </w:rPr>
        <w:t>2</w:t>
      </w:r>
      <w:r>
        <w:rPr>
          <w:rFonts w:ascii="Arial" w:hAnsi="Arial"/>
          <w:i/>
          <w:spacing w:val="80"/>
          <w:w w:val="150"/>
          <w:sz w:val="20"/>
        </w:rPr>
        <w:t> </w:t>
      </w:r>
      <w:r>
        <w:rPr>
          <w:rFonts w:ascii="Arial" w:hAnsi="Arial"/>
          <w:i/>
          <w:sz w:val="20"/>
        </w:rPr>
        <w:t>Lloyd’s</w:t>
      </w:r>
      <w:r>
        <w:rPr>
          <w:rFonts w:ascii="Arial" w:hAnsi="Arial"/>
          <w:i/>
          <w:spacing w:val="80"/>
          <w:w w:val="150"/>
          <w:sz w:val="20"/>
        </w:rPr>
        <w:t> </w:t>
      </w:r>
      <w:r>
        <w:rPr>
          <w:rFonts w:ascii="Arial" w:hAnsi="Arial"/>
          <w:i/>
          <w:sz w:val="20"/>
        </w:rPr>
        <w:t>Rep.</w:t>
      </w:r>
      <w:r>
        <w:rPr>
          <w:rFonts w:ascii="Arial" w:hAnsi="Arial"/>
          <w:i/>
          <w:spacing w:val="80"/>
          <w:w w:val="150"/>
          <w:sz w:val="20"/>
        </w:rPr>
        <w:t> </w:t>
      </w:r>
      <w:r>
        <w:rPr>
          <w:rFonts w:ascii="Arial" w:hAnsi="Arial"/>
          <w:i/>
          <w:sz w:val="20"/>
        </w:rPr>
        <w:t>620</w:t>
      </w:r>
      <w:r>
        <w:rPr>
          <w:sz w:val="20"/>
        </w:rPr>
        <w:t>).</w:t>
      </w:r>
      <w:r>
        <w:rPr>
          <w:spacing w:val="80"/>
          <w:w w:val="150"/>
          <w:sz w:val="20"/>
        </w:rPr>
        <w:t> </w:t>
      </w:r>
      <w:r>
        <w:rPr>
          <w:sz w:val="20"/>
        </w:rPr>
        <w:t>See</w:t>
      </w:r>
      <w:r>
        <w:rPr>
          <w:spacing w:val="80"/>
          <w:w w:val="150"/>
          <w:sz w:val="20"/>
        </w:rPr>
        <w:t> </w:t>
      </w:r>
      <w:r>
        <w:rPr>
          <w:sz w:val="20"/>
        </w:rPr>
        <w:t>also</w:t>
      </w:r>
      <w:r>
        <w:rPr>
          <w:spacing w:val="80"/>
          <w:w w:val="150"/>
          <w:sz w:val="20"/>
        </w:rPr>
        <w:t> </w:t>
      </w:r>
      <w:r>
        <w:rPr>
          <w:sz w:val="20"/>
        </w:rPr>
        <w:t>Cartwright,</w:t>
      </w:r>
      <w:r>
        <w:rPr>
          <w:spacing w:val="80"/>
          <w:w w:val="150"/>
          <w:sz w:val="20"/>
        </w:rPr>
        <w:t> </w:t>
      </w:r>
      <w:r>
        <w:rPr>
          <w:rFonts w:ascii="Arial" w:hAnsi="Arial"/>
          <w:i/>
          <w:sz w:val="20"/>
        </w:rPr>
        <w:t>Misrepresentation,</w:t>
      </w:r>
      <w:r>
        <w:rPr>
          <w:rFonts w:ascii="Arial" w:hAnsi="Arial"/>
          <w:i/>
          <w:spacing w:val="80"/>
          <w:w w:val="150"/>
          <w:sz w:val="20"/>
        </w:rPr>
        <w:t> </w:t>
      </w:r>
      <w:r>
        <w:rPr>
          <w:rFonts w:ascii="Arial" w:hAnsi="Arial"/>
          <w:i/>
          <w:sz w:val="20"/>
        </w:rPr>
        <w:t>Mistake,</w:t>
      </w:r>
      <w:r>
        <w:rPr>
          <w:rFonts w:ascii="Arial" w:hAnsi="Arial"/>
          <w:i/>
          <w:spacing w:val="80"/>
          <w:w w:val="150"/>
          <w:sz w:val="20"/>
        </w:rPr>
        <w:t> </w:t>
      </w:r>
      <w:r>
        <w:rPr>
          <w:rFonts w:ascii="Arial" w:hAnsi="Arial"/>
          <w:i/>
          <w:sz w:val="20"/>
        </w:rPr>
        <w:t>and Non-disclosure</w:t>
      </w:r>
      <w:r>
        <w:rPr>
          <w:sz w:val="20"/>
        </w:rPr>
        <w:t>, 3rd edn (2012), para.17–38.</w:t>
      </w:r>
    </w:p>
    <w:p>
      <w:pPr>
        <w:pStyle w:val="BodyText"/>
        <w:spacing w:before="7"/>
      </w:pPr>
    </w:p>
    <w:p>
      <w:pPr>
        <w:spacing w:line="235" w:lineRule="auto" w:before="1"/>
        <w:ind w:left="705" w:right="0" w:hanging="541"/>
        <w:jc w:val="left"/>
        <w:rPr>
          <w:sz w:val="20"/>
        </w:rPr>
      </w:pPr>
      <w:r>
        <w:rPr>
          <w:color w:val="005DA1"/>
          <w:position w:val="5"/>
          <w:sz w:val="14"/>
          <w:u w:val="single" w:color="005DA1"/>
        </w:rPr>
        <w:t>1119</w:t>
      </w:r>
      <w:r>
        <w:rPr>
          <w:position w:val="5"/>
          <w:sz w:val="14"/>
        </w:rPr>
        <w:t>.</w:t>
      </w:r>
      <w:r>
        <w:rPr>
          <w:spacing w:val="40"/>
          <w:position w:val="5"/>
          <w:sz w:val="14"/>
        </w:rPr>
        <w:t>  </w:t>
      </w:r>
      <w:r>
        <w:rPr>
          <w:rFonts w:ascii="Arial"/>
          <w:i/>
          <w:sz w:val="20"/>
        </w:rPr>
        <w:t>Banque</w:t>
      </w:r>
      <w:r>
        <w:rPr>
          <w:rFonts w:ascii="Arial"/>
          <w:i/>
          <w:spacing w:val="21"/>
          <w:sz w:val="20"/>
        </w:rPr>
        <w:t> </w:t>
      </w:r>
      <w:r>
        <w:rPr>
          <w:rFonts w:ascii="Arial"/>
          <w:i/>
          <w:sz w:val="20"/>
        </w:rPr>
        <w:t>Keyser</w:t>
      </w:r>
      <w:r>
        <w:rPr>
          <w:rFonts w:ascii="Arial"/>
          <w:i/>
          <w:spacing w:val="21"/>
          <w:sz w:val="20"/>
        </w:rPr>
        <w:t> </w:t>
      </w:r>
      <w:r>
        <w:rPr>
          <w:rFonts w:ascii="Arial"/>
          <w:i/>
          <w:sz w:val="20"/>
        </w:rPr>
        <w:t>Ullmann</w:t>
      </w:r>
      <w:r>
        <w:rPr>
          <w:rFonts w:ascii="Arial"/>
          <w:i/>
          <w:spacing w:val="21"/>
          <w:sz w:val="20"/>
        </w:rPr>
        <w:t> </w:t>
      </w:r>
      <w:r>
        <w:rPr>
          <w:rFonts w:ascii="Arial"/>
          <w:i/>
          <w:sz w:val="20"/>
        </w:rPr>
        <w:t>SA</w:t>
      </w:r>
      <w:r>
        <w:rPr>
          <w:rFonts w:ascii="Arial"/>
          <w:i/>
          <w:spacing w:val="21"/>
          <w:sz w:val="20"/>
        </w:rPr>
        <w:t> </w:t>
      </w:r>
      <w:r>
        <w:rPr>
          <w:rFonts w:ascii="Arial"/>
          <w:i/>
          <w:sz w:val="20"/>
        </w:rPr>
        <w:t>v</w:t>
      </w:r>
      <w:r>
        <w:rPr>
          <w:rFonts w:ascii="Arial"/>
          <w:i/>
          <w:spacing w:val="21"/>
          <w:sz w:val="20"/>
        </w:rPr>
        <w:t> </w:t>
      </w:r>
      <w:r>
        <w:rPr>
          <w:rFonts w:ascii="Arial"/>
          <w:i/>
          <w:sz w:val="20"/>
        </w:rPr>
        <w:t>Skandia</w:t>
      </w:r>
      <w:r>
        <w:rPr>
          <w:rFonts w:ascii="Arial"/>
          <w:i/>
          <w:spacing w:val="21"/>
          <w:sz w:val="20"/>
        </w:rPr>
        <w:t> </w:t>
      </w:r>
      <w:r>
        <w:rPr>
          <w:rFonts w:ascii="Arial"/>
          <w:i/>
          <w:sz w:val="20"/>
        </w:rPr>
        <w:t>(UK)</w:t>
      </w:r>
      <w:r>
        <w:rPr>
          <w:rFonts w:ascii="Arial"/>
          <w:i/>
          <w:spacing w:val="21"/>
          <w:sz w:val="20"/>
        </w:rPr>
        <w:t> </w:t>
      </w:r>
      <w:r>
        <w:rPr>
          <w:rFonts w:ascii="Arial"/>
          <w:i/>
          <w:sz w:val="20"/>
        </w:rPr>
        <w:t>Insurance</w:t>
      </w:r>
      <w:r>
        <w:rPr>
          <w:rFonts w:ascii="Arial"/>
          <w:i/>
          <w:spacing w:val="21"/>
          <w:sz w:val="20"/>
        </w:rPr>
        <w:t> </w:t>
      </w:r>
      <w:r>
        <w:rPr>
          <w:rFonts w:ascii="Arial"/>
          <w:i/>
          <w:sz w:val="20"/>
        </w:rPr>
        <w:t>Co</w:t>
      </w:r>
      <w:r>
        <w:rPr>
          <w:rFonts w:ascii="Arial"/>
          <w:i/>
          <w:spacing w:val="21"/>
          <w:sz w:val="20"/>
        </w:rPr>
        <w:t> </w:t>
      </w:r>
      <w:r>
        <w:rPr>
          <w:rFonts w:ascii="Arial"/>
          <w:i/>
          <w:sz w:val="20"/>
        </w:rPr>
        <w:t>Ltd</w:t>
      </w:r>
      <w:r>
        <w:rPr>
          <w:rFonts w:ascii="Arial"/>
          <w:i/>
          <w:spacing w:val="21"/>
          <w:sz w:val="20"/>
        </w:rPr>
        <w:t> </w:t>
      </w:r>
      <w:r>
        <w:rPr>
          <w:rFonts w:ascii="Arial"/>
          <w:i/>
          <w:sz w:val="20"/>
        </w:rPr>
        <w:t>[1990]</w:t>
      </w:r>
      <w:r>
        <w:rPr>
          <w:rFonts w:ascii="Arial"/>
          <w:i/>
          <w:spacing w:val="21"/>
          <w:sz w:val="20"/>
        </w:rPr>
        <w:t> </w:t>
      </w:r>
      <w:r>
        <w:rPr>
          <w:rFonts w:ascii="Arial"/>
          <w:i/>
          <w:sz w:val="20"/>
        </w:rPr>
        <w:t>1</w:t>
      </w:r>
      <w:r>
        <w:rPr>
          <w:rFonts w:ascii="Arial"/>
          <w:i/>
          <w:spacing w:val="21"/>
          <w:sz w:val="20"/>
        </w:rPr>
        <w:t> </w:t>
      </w:r>
      <w:r>
        <w:rPr>
          <w:rFonts w:ascii="Arial"/>
          <w:i/>
          <w:sz w:val="20"/>
        </w:rPr>
        <w:t>Q.B.</w:t>
      </w:r>
      <w:r>
        <w:rPr>
          <w:rFonts w:ascii="Arial"/>
          <w:i/>
          <w:spacing w:val="21"/>
          <w:sz w:val="20"/>
        </w:rPr>
        <w:t> </w:t>
      </w:r>
      <w:r>
        <w:rPr>
          <w:rFonts w:ascii="Arial"/>
          <w:i/>
          <w:sz w:val="20"/>
        </w:rPr>
        <w:t>665</w:t>
      </w:r>
      <w:r>
        <w:rPr>
          <w:rFonts w:ascii="Arial"/>
          <w:i/>
          <w:spacing w:val="20"/>
          <w:sz w:val="20"/>
        </w:rPr>
        <w:t> </w:t>
      </w:r>
      <w:r>
        <w:rPr>
          <w:sz w:val="20"/>
        </w:rPr>
        <w:t>at</w:t>
      </w:r>
      <w:r>
        <w:rPr>
          <w:spacing w:val="21"/>
          <w:sz w:val="20"/>
        </w:rPr>
        <w:t> </w:t>
      </w:r>
      <w:r>
        <w:rPr>
          <w:sz w:val="20"/>
        </w:rPr>
        <w:t>794,</w:t>
      </w:r>
      <w:r>
        <w:rPr>
          <w:spacing w:val="21"/>
          <w:sz w:val="20"/>
        </w:rPr>
        <w:t> </w:t>
      </w:r>
      <w:r>
        <w:rPr>
          <w:sz w:val="20"/>
        </w:rPr>
        <w:t>per Slade</w:t>
      </w:r>
      <w:r>
        <w:rPr>
          <w:spacing w:val="22"/>
          <w:sz w:val="20"/>
        </w:rPr>
        <w:t> </w:t>
      </w:r>
      <w:r>
        <w:rPr>
          <w:sz w:val="20"/>
        </w:rPr>
        <w:t>L.J.;</w:t>
      </w:r>
      <w:r>
        <w:rPr>
          <w:spacing w:val="22"/>
          <w:sz w:val="20"/>
        </w:rPr>
        <w:t> </w:t>
      </w:r>
      <w:r>
        <w:rPr>
          <w:rFonts w:ascii="Arial"/>
          <w:i/>
          <w:sz w:val="20"/>
        </w:rPr>
        <w:t>Green</w:t>
      </w:r>
      <w:r>
        <w:rPr>
          <w:rFonts w:ascii="Arial"/>
          <w:i/>
          <w:spacing w:val="22"/>
          <w:sz w:val="20"/>
        </w:rPr>
        <w:t> </w:t>
      </w:r>
      <w:r>
        <w:rPr>
          <w:rFonts w:ascii="Arial"/>
          <w:i/>
          <w:sz w:val="20"/>
        </w:rPr>
        <w:t>v</w:t>
      </w:r>
      <w:r>
        <w:rPr>
          <w:rFonts w:ascii="Arial"/>
          <w:i/>
          <w:spacing w:val="22"/>
          <w:sz w:val="20"/>
        </w:rPr>
        <w:t> </w:t>
      </w:r>
      <w:r>
        <w:rPr>
          <w:rFonts w:ascii="Arial"/>
          <w:i/>
          <w:sz w:val="20"/>
        </w:rPr>
        <w:t>Royal</w:t>
      </w:r>
      <w:r>
        <w:rPr>
          <w:rFonts w:ascii="Arial"/>
          <w:i/>
          <w:spacing w:val="22"/>
          <w:sz w:val="20"/>
        </w:rPr>
        <w:t> </w:t>
      </w:r>
      <w:r>
        <w:rPr>
          <w:rFonts w:ascii="Arial"/>
          <w:i/>
          <w:sz w:val="20"/>
        </w:rPr>
        <w:t>Bank</w:t>
      </w:r>
      <w:r>
        <w:rPr>
          <w:rFonts w:ascii="Arial"/>
          <w:i/>
          <w:spacing w:val="22"/>
          <w:sz w:val="20"/>
        </w:rPr>
        <w:t> </w:t>
      </w:r>
      <w:r>
        <w:rPr>
          <w:rFonts w:ascii="Arial"/>
          <w:i/>
          <w:sz w:val="20"/>
        </w:rPr>
        <w:t>of</w:t>
      </w:r>
      <w:r>
        <w:rPr>
          <w:rFonts w:ascii="Arial"/>
          <w:i/>
          <w:spacing w:val="22"/>
          <w:sz w:val="20"/>
        </w:rPr>
        <w:t> </w:t>
      </w:r>
      <w:r>
        <w:rPr>
          <w:rFonts w:ascii="Arial"/>
          <w:i/>
          <w:sz w:val="20"/>
        </w:rPr>
        <w:t>Scotland</w:t>
      </w:r>
      <w:r>
        <w:rPr>
          <w:rFonts w:ascii="Arial"/>
          <w:i/>
          <w:spacing w:val="22"/>
          <w:sz w:val="20"/>
        </w:rPr>
        <w:t> </w:t>
      </w:r>
      <w:r>
        <w:rPr>
          <w:rFonts w:ascii="Arial"/>
          <w:i/>
          <w:sz w:val="20"/>
        </w:rPr>
        <w:t>[2013]</w:t>
      </w:r>
      <w:r>
        <w:rPr>
          <w:rFonts w:ascii="Arial"/>
          <w:i/>
          <w:spacing w:val="22"/>
          <w:sz w:val="20"/>
        </w:rPr>
        <w:t> </w:t>
      </w:r>
      <w:r>
        <w:rPr>
          <w:rFonts w:ascii="Arial"/>
          <w:i/>
          <w:sz w:val="20"/>
        </w:rPr>
        <w:t>EWCA</w:t>
      </w:r>
      <w:r>
        <w:rPr>
          <w:rFonts w:ascii="Arial"/>
          <w:i/>
          <w:spacing w:val="22"/>
          <w:sz w:val="20"/>
        </w:rPr>
        <w:t> </w:t>
      </w:r>
      <w:r>
        <w:rPr>
          <w:rFonts w:ascii="Arial"/>
          <w:i/>
          <w:sz w:val="20"/>
        </w:rPr>
        <w:t>Civ</w:t>
      </w:r>
      <w:r>
        <w:rPr>
          <w:rFonts w:ascii="Arial"/>
          <w:i/>
          <w:spacing w:val="22"/>
          <w:sz w:val="20"/>
        </w:rPr>
        <w:t> </w:t>
      </w:r>
      <w:r>
        <w:rPr>
          <w:rFonts w:ascii="Arial"/>
          <w:i/>
          <w:sz w:val="20"/>
        </w:rPr>
        <w:t>1197,</w:t>
      </w:r>
      <w:r>
        <w:rPr>
          <w:rFonts w:ascii="Arial"/>
          <w:i/>
          <w:spacing w:val="22"/>
          <w:sz w:val="20"/>
        </w:rPr>
        <w:t> </w:t>
      </w:r>
      <w:r>
        <w:rPr>
          <w:rFonts w:ascii="Arial"/>
          <w:i/>
          <w:sz w:val="20"/>
        </w:rPr>
        <w:t>[2014]</w:t>
      </w:r>
      <w:r>
        <w:rPr>
          <w:rFonts w:ascii="Arial"/>
          <w:i/>
          <w:spacing w:val="22"/>
          <w:sz w:val="20"/>
        </w:rPr>
        <w:t> </w:t>
      </w:r>
      <w:r>
        <w:rPr>
          <w:rFonts w:ascii="Arial"/>
          <w:i/>
          <w:sz w:val="20"/>
        </w:rPr>
        <w:t>Bus.</w:t>
      </w:r>
      <w:r>
        <w:rPr>
          <w:rFonts w:ascii="Arial"/>
          <w:i/>
          <w:spacing w:val="22"/>
          <w:sz w:val="20"/>
        </w:rPr>
        <w:t> </w:t>
      </w:r>
      <w:r>
        <w:rPr>
          <w:rFonts w:ascii="Arial"/>
          <w:i/>
          <w:sz w:val="20"/>
        </w:rPr>
        <w:t>L.R.</w:t>
      </w:r>
      <w:r>
        <w:rPr>
          <w:rFonts w:ascii="Arial"/>
          <w:i/>
          <w:spacing w:val="22"/>
          <w:sz w:val="20"/>
        </w:rPr>
        <w:t> </w:t>
      </w:r>
      <w:r>
        <w:rPr>
          <w:rFonts w:ascii="Arial"/>
          <w:i/>
          <w:sz w:val="20"/>
        </w:rPr>
        <w:t>168</w:t>
      </w:r>
      <w:r>
        <w:rPr>
          <w:rFonts w:ascii="Arial"/>
          <w:i/>
          <w:spacing w:val="21"/>
          <w:sz w:val="20"/>
        </w:rPr>
        <w:t> </w:t>
      </w:r>
      <w:r>
        <w:rPr>
          <w:spacing w:val="-7"/>
          <w:sz w:val="20"/>
        </w:rPr>
        <w:t>at</w:t>
      </w:r>
    </w:p>
    <w:p>
      <w:pPr>
        <w:pStyle w:val="BodyText"/>
        <w:spacing w:line="235" w:lineRule="auto"/>
        <w:ind w:left="705" w:right="167"/>
        <w:jc w:val="both"/>
      </w:pPr>
      <w:r>
        <w:rPr/>
        <w:t>[17] (no duty to give information unless without it a relevant statement made within the </w:t>
      </w:r>
      <w:r>
        <w:rPr/>
        <w:t>context of</w:t>
      </w:r>
      <w:r>
        <w:rPr>
          <w:spacing w:val="-1"/>
        </w:rPr>
        <w:t> </w:t>
      </w:r>
      <w:r>
        <w:rPr/>
        <w:t>the</w:t>
      </w:r>
      <w:r>
        <w:rPr>
          <w:spacing w:val="-1"/>
        </w:rPr>
        <w:t> </w:t>
      </w:r>
      <w:r>
        <w:rPr/>
        <w:t>assumption</w:t>
      </w:r>
      <w:r>
        <w:rPr>
          <w:spacing w:val="-1"/>
        </w:rPr>
        <w:t> </w:t>
      </w:r>
      <w:r>
        <w:rPr/>
        <w:t>of</w:t>
      </w:r>
      <w:r>
        <w:rPr>
          <w:spacing w:val="-1"/>
        </w:rPr>
        <w:t> </w:t>
      </w:r>
      <w:r>
        <w:rPr/>
        <w:t>responsibility</w:t>
      </w:r>
      <w:r>
        <w:rPr>
          <w:spacing w:val="-1"/>
        </w:rPr>
        <w:t> </w:t>
      </w:r>
      <w:r>
        <w:rPr/>
        <w:t>is</w:t>
      </w:r>
      <w:r>
        <w:rPr>
          <w:spacing w:val="-1"/>
        </w:rPr>
        <w:t> </w:t>
      </w:r>
      <w:r>
        <w:rPr/>
        <w:t>misleading).</w:t>
      </w:r>
      <w:r>
        <w:rPr>
          <w:spacing w:val="-1"/>
        </w:rPr>
        <w:t> </w:t>
      </w:r>
      <w:r>
        <w:rPr/>
        <w:t>cf.</w:t>
      </w:r>
      <w:r>
        <w:rPr>
          <w:spacing w:val="-1"/>
        </w:rPr>
        <w:t> </w:t>
      </w:r>
      <w:r>
        <w:rPr/>
        <w:t>below,</w:t>
      </w:r>
      <w:r>
        <w:rPr>
          <w:spacing w:val="-1"/>
        </w:rPr>
        <w:t> </w:t>
      </w:r>
      <w:r>
        <w:rPr/>
        <w:t>paras</w:t>
      </w:r>
      <w:r>
        <w:rPr>
          <w:spacing w:val="-1"/>
        </w:rPr>
        <w:t> </w:t>
      </w:r>
      <w:r>
        <w:rPr/>
        <w:t>1-166—1-173</w:t>
      </w:r>
      <w:r>
        <w:rPr>
          <w:spacing w:val="-1"/>
        </w:rPr>
        <w:t> </w:t>
      </w:r>
      <w:r>
        <w:rPr/>
        <w:t>concerning</w:t>
      </w:r>
      <w:r>
        <w:rPr>
          <w:spacing w:val="-1"/>
        </w:rPr>
        <w:t> </w:t>
      </w:r>
      <w:r>
        <w:rPr/>
        <w:t>the significance more generally of a “voluntary assumption of responsibility” for liability for pure economic loss in the tort of negligence.</w:t>
      </w:r>
    </w:p>
    <w:p>
      <w:pPr>
        <w:pStyle w:val="BodyText"/>
        <w:spacing w:before="3"/>
      </w:pPr>
    </w:p>
    <w:p>
      <w:pPr>
        <w:spacing w:before="1"/>
        <w:ind w:left="165" w:right="0" w:firstLine="0"/>
        <w:jc w:val="left"/>
        <w:rPr>
          <w:sz w:val="20"/>
        </w:rPr>
      </w:pPr>
      <w:r>
        <w:rPr>
          <w:color w:val="005DA1"/>
          <w:position w:val="5"/>
          <w:sz w:val="14"/>
          <w:u w:val="single" w:color="005DA1"/>
        </w:rPr>
        <w:t>1120</w:t>
      </w:r>
      <w:r>
        <w:rPr>
          <w:position w:val="5"/>
          <w:sz w:val="14"/>
        </w:rPr>
        <w:t>.</w:t>
      </w:r>
      <w:r>
        <w:rPr>
          <w:spacing w:val="55"/>
          <w:position w:val="5"/>
          <w:sz w:val="14"/>
        </w:rPr>
        <w:t>  </w:t>
      </w:r>
      <w:r>
        <w:rPr>
          <w:rFonts w:ascii="Arial"/>
          <w:i/>
          <w:sz w:val="20"/>
        </w:rPr>
        <w:t>Banque</w:t>
      </w:r>
      <w:r>
        <w:rPr>
          <w:rFonts w:ascii="Arial"/>
          <w:i/>
          <w:spacing w:val="1"/>
          <w:sz w:val="20"/>
        </w:rPr>
        <w:t> </w:t>
      </w:r>
      <w:r>
        <w:rPr>
          <w:rFonts w:ascii="Arial"/>
          <w:i/>
          <w:sz w:val="20"/>
        </w:rPr>
        <w:t>Keyser Ullmann SA v Skandia (UK) Insurance Co Ltd [1990] 1 Q.B. </w:t>
      </w:r>
      <w:r>
        <w:rPr>
          <w:rFonts w:ascii="Arial"/>
          <w:i/>
          <w:spacing w:val="-4"/>
          <w:sz w:val="20"/>
        </w:rPr>
        <w:t>665</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1121</w:t>
      </w:r>
      <w:r>
        <w:rPr>
          <w:position w:val="5"/>
          <w:sz w:val="14"/>
        </w:rPr>
        <w:t>.</w:t>
      </w:r>
      <w:r>
        <w:rPr>
          <w:spacing w:val="55"/>
          <w:position w:val="5"/>
          <w:sz w:val="14"/>
        </w:rPr>
        <w:t>  </w:t>
      </w:r>
      <w:r>
        <w:rPr>
          <w:rFonts w:ascii="Arial"/>
          <w:i/>
          <w:sz w:val="20"/>
        </w:rPr>
        <w:t>[1995]</w:t>
      </w:r>
      <w:r>
        <w:rPr>
          <w:rFonts w:ascii="Arial"/>
          <w:i/>
          <w:spacing w:val="1"/>
          <w:sz w:val="20"/>
        </w:rPr>
        <w:t> </w:t>
      </w:r>
      <w:r>
        <w:rPr>
          <w:rFonts w:ascii="Arial"/>
          <w:i/>
          <w:sz w:val="20"/>
        </w:rPr>
        <w:t>1 A.C. </w:t>
      </w:r>
      <w:r>
        <w:rPr>
          <w:rFonts w:ascii="Arial"/>
          <w:i/>
          <w:spacing w:val="-4"/>
          <w:sz w:val="20"/>
        </w:rPr>
        <w:t>145</w:t>
      </w:r>
      <w:r>
        <w:rPr>
          <w:spacing w:val="-4"/>
          <w:sz w:val="20"/>
        </w:rPr>
        <w:t>.</w:t>
      </w:r>
    </w:p>
    <w:p>
      <w:pPr>
        <w:pStyle w:val="BodyText"/>
        <w:spacing w:before="5"/>
      </w:pPr>
    </w:p>
    <w:p>
      <w:pPr>
        <w:pStyle w:val="BodyText"/>
        <w:ind w:left="165"/>
      </w:pPr>
      <w:r>
        <w:rPr>
          <w:color w:val="005DA1"/>
          <w:position w:val="5"/>
          <w:sz w:val="14"/>
          <w:u w:val="single" w:color="005DA1"/>
        </w:rPr>
        <w:t>1122</w:t>
      </w:r>
      <w:r>
        <w:rPr>
          <w:position w:val="5"/>
          <w:sz w:val="14"/>
        </w:rPr>
        <w:t>.</w:t>
      </w:r>
      <w:r>
        <w:rPr>
          <w:spacing w:val="55"/>
          <w:position w:val="5"/>
          <w:sz w:val="14"/>
        </w:rPr>
        <w:t>  </w:t>
      </w:r>
      <w:r>
        <w:rPr/>
        <w:t>For</w:t>
      </w:r>
      <w:r>
        <w:rPr>
          <w:spacing w:val="1"/>
        </w:rPr>
        <w:t> </w:t>
      </w:r>
      <w:r>
        <w:rPr/>
        <w:t>the relevance of considerations of policy in this context, see below, paras 1-171 et </w:t>
      </w:r>
      <w:r>
        <w:rPr>
          <w:spacing w:val="-4"/>
        </w:rPr>
        <w:t>seq.</w:t>
      </w:r>
    </w:p>
    <w:p>
      <w:pPr>
        <w:pStyle w:val="BodyText"/>
        <w:spacing w:before="5"/>
      </w:pPr>
    </w:p>
    <w:p>
      <w:pPr>
        <w:pStyle w:val="BodyText"/>
        <w:ind w:left="165"/>
      </w:pPr>
      <w:r>
        <w:rPr>
          <w:color w:val="005DA1"/>
          <w:position w:val="5"/>
          <w:sz w:val="14"/>
          <w:u w:val="single" w:color="005DA1"/>
        </w:rPr>
        <w:t>1123</w:t>
      </w:r>
      <w:r>
        <w:rPr>
          <w:position w:val="5"/>
          <w:sz w:val="14"/>
        </w:rPr>
        <w:t>.</w:t>
      </w:r>
      <w:r>
        <w:rPr>
          <w:spacing w:val="55"/>
          <w:position w:val="5"/>
          <w:sz w:val="14"/>
        </w:rPr>
        <w:t>  </w:t>
      </w:r>
      <w:r>
        <w:rPr/>
        <w:t>See</w:t>
      </w:r>
      <w:r>
        <w:rPr>
          <w:spacing w:val="1"/>
        </w:rPr>
        <w:t> </w:t>
      </w:r>
      <w:r>
        <w:rPr/>
        <w:t>below, paras 8-001 et </w:t>
      </w:r>
      <w:r>
        <w:rPr>
          <w:spacing w:val="-4"/>
        </w:rPr>
        <w:t>seq.</w:t>
      </w:r>
    </w:p>
    <w:p>
      <w:pPr>
        <w:pStyle w:val="BodyText"/>
        <w:spacing w:after="0"/>
        <w:sectPr>
          <w:pgSz w:w="11900" w:h="16840"/>
          <w:pgMar w:header="971" w:footer="0" w:top="1300" w:bottom="280" w:left="1275" w:right="1275"/>
        </w:sectPr>
      </w:pPr>
    </w:p>
    <w:p>
      <w:pPr>
        <w:spacing w:line="235" w:lineRule="auto" w:before="170"/>
        <w:ind w:left="705" w:right="167" w:hanging="541"/>
        <w:jc w:val="both"/>
        <w:rPr>
          <w:sz w:val="20"/>
        </w:rPr>
      </w:pPr>
      <w:r>
        <w:rPr>
          <w:color w:val="005DA1"/>
          <w:position w:val="5"/>
          <w:sz w:val="14"/>
          <w:u w:val="single" w:color="005DA1"/>
        </w:rPr>
        <w:t>1124</w:t>
      </w:r>
      <w:r>
        <w:rPr>
          <w:position w:val="5"/>
          <w:sz w:val="14"/>
        </w:rPr>
        <w:t>.</w:t>
      </w:r>
      <w:r>
        <w:rPr>
          <w:spacing w:val="80"/>
          <w:position w:val="5"/>
          <w:sz w:val="14"/>
        </w:rPr>
        <w:t> </w:t>
      </w:r>
      <w:r>
        <w:rPr>
          <w:rFonts w:ascii="Arial"/>
          <w:i/>
          <w:sz w:val="20"/>
        </w:rPr>
        <w:t>Universe Tankships Inc of Monrovia v International Transport Workers Federation [1983] 1 </w:t>
      </w:r>
      <w:r>
        <w:rPr>
          <w:rFonts w:ascii="Arial"/>
          <w:i/>
          <w:sz w:val="20"/>
        </w:rPr>
        <w:t>A.C. 366, 385</w:t>
      </w:r>
      <w:r>
        <w:rPr>
          <w:sz w:val="20"/>
        </w:rPr>
        <w:t>, cf. 400; </w:t>
      </w:r>
      <w:r>
        <w:rPr>
          <w:rFonts w:ascii="Arial"/>
          <w:i/>
          <w:sz w:val="20"/>
        </w:rPr>
        <w:t>Banque Keyser Ullmann SA v Skandia (UK) Insurance Co Ltd [1990] 1 Q.B. 665 </w:t>
      </w:r>
      <w:r>
        <w:rPr>
          <w:sz w:val="20"/>
        </w:rPr>
        <w:t>at 780; and see below, para.8-056.</w:t>
      </w:r>
    </w:p>
    <w:p>
      <w:pPr>
        <w:pStyle w:val="BodyText"/>
        <w:spacing w:before="5"/>
      </w:pPr>
    </w:p>
    <w:p>
      <w:pPr>
        <w:pStyle w:val="BodyText"/>
        <w:ind w:left="165"/>
      </w:pPr>
      <w:r>
        <w:rPr>
          <w:color w:val="005DA1"/>
          <w:position w:val="5"/>
          <w:sz w:val="14"/>
          <w:u w:val="single" w:color="005DA1"/>
        </w:rPr>
        <w:t>1125</w:t>
      </w:r>
      <w:r>
        <w:rPr>
          <w:position w:val="5"/>
          <w:sz w:val="14"/>
        </w:rPr>
        <w:t>.</w:t>
      </w:r>
      <w:r>
        <w:rPr>
          <w:spacing w:val="55"/>
          <w:position w:val="5"/>
          <w:sz w:val="14"/>
        </w:rPr>
        <w:t>  </w:t>
      </w:r>
      <w:r>
        <w:rPr/>
        <w:t>See</w:t>
      </w:r>
      <w:r>
        <w:rPr>
          <w:spacing w:val="1"/>
        </w:rPr>
        <w:t> </w:t>
      </w:r>
      <w:r>
        <w:rPr/>
        <w:t>above, para.1-161 and below, para.7-</w:t>
      </w:r>
      <w:r>
        <w:rPr>
          <w:spacing w:val="-4"/>
        </w:rPr>
        <w:t>047.</w:t>
      </w:r>
    </w:p>
    <w:p>
      <w:pPr>
        <w:pStyle w:val="BodyText"/>
        <w:spacing w:before="9"/>
      </w:pPr>
    </w:p>
    <w:p>
      <w:pPr>
        <w:spacing w:line="235" w:lineRule="auto" w:before="0"/>
        <w:ind w:left="705" w:right="167" w:hanging="541"/>
        <w:jc w:val="both"/>
        <w:rPr>
          <w:sz w:val="20"/>
        </w:rPr>
      </w:pPr>
      <w:r>
        <w:rPr>
          <w:color w:val="005DA1"/>
          <w:position w:val="5"/>
          <w:sz w:val="14"/>
          <w:u w:val="single" w:color="005DA1"/>
        </w:rPr>
        <w:t>1126</w:t>
      </w:r>
      <w:r>
        <w:rPr>
          <w:position w:val="5"/>
          <w:sz w:val="14"/>
        </w:rPr>
        <w:t>.</w:t>
      </w:r>
      <w:r>
        <w:rPr>
          <w:spacing w:val="80"/>
          <w:position w:val="5"/>
          <w:sz w:val="14"/>
        </w:rPr>
        <w:t> </w:t>
      </w:r>
      <w:r>
        <w:rPr>
          <w:sz w:val="20"/>
        </w:rPr>
        <w:t>See Clerk &amp; Lindsell on Torts, 21st edn (2014), paras 24–59 et seq. In </w:t>
      </w:r>
      <w:r>
        <w:rPr>
          <w:rFonts w:ascii="Arial" w:hAnsi="Arial"/>
          <w:i/>
          <w:sz w:val="20"/>
        </w:rPr>
        <w:t>OGB Ltd v </w:t>
      </w:r>
      <w:r>
        <w:rPr>
          <w:rFonts w:ascii="Arial" w:hAnsi="Arial"/>
          <w:i/>
          <w:sz w:val="20"/>
        </w:rPr>
        <w:t>Allan,</w:t>
      </w:r>
      <w:r>
        <w:rPr>
          <w:rFonts w:ascii="Arial" w:hAnsi="Arial"/>
          <w:i/>
          <w:spacing w:val="80"/>
          <w:sz w:val="20"/>
        </w:rPr>
        <w:t> </w:t>
      </w:r>
      <w:r>
        <w:rPr>
          <w:rFonts w:ascii="Arial" w:hAnsi="Arial"/>
          <w:i/>
          <w:sz w:val="20"/>
        </w:rPr>
        <w:t>Douglas v Hello! Ltd, Mainstream Properties Ltd v Young [2007] UKHL 21, [2008] 1 A.C. 1 </w:t>
      </w:r>
      <w:r>
        <w:rPr>
          <w:sz w:val="20"/>
        </w:rPr>
        <w:t>the HL preferred to refer to the “tort of causing loss by unlawful means” rather than to “intimidation”, seeing</w:t>
      </w:r>
      <w:r>
        <w:rPr>
          <w:spacing w:val="30"/>
          <w:sz w:val="20"/>
        </w:rPr>
        <w:t> </w:t>
      </w:r>
      <w:r>
        <w:rPr>
          <w:sz w:val="20"/>
        </w:rPr>
        <w:t>threats</w:t>
      </w:r>
      <w:r>
        <w:rPr>
          <w:spacing w:val="30"/>
          <w:sz w:val="20"/>
        </w:rPr>
        <w:t> </w:t>
      </w:r>
      <w:r>
        <w:rPr>
          <w:sz w:val="20"/>
        </w:rPr>
        <w:t>as</w:t>
      </w:r>
      <w:r>
        <w:rPr>
          <w:spacing w:val="30"/>
          <w:sz w:val="20"/>
        </w:rPr>
        <w:t> </w:t>
      </w:r>
      <w:r>
        <w:rPr>
          <w:sz w:val="20"/>
        </w:rPr>
        <w:t>only</w:t>
      </w:r>
      <w:r>
        <w:rPr>
          <w:spacing w:val="30"/>
          <w:sz w:val="20"/>
        </w:rPr>
        <w:t> </w:t>
      </w:r>
      <w:r>
        <w:rPr>
          <w:sz w:val="20"/>
        </w:rPr>
        <w:t>one</w:t>
      </w:r>
      <w:r>
        <w:rPr>
          <w:spacing w:val="30"/>
          <w:sz w:val="20"/>
        </w:rPr>
        <w:t> </w:t>
      </w:r>
      <w:r>
        <w:rPr>
          <w:sz w:val="20"/>
        </w:rPr>
        <w:t>example</w:t>
      </w:r>
      <w:r>
        <w:rPr>
          <w:spacing w:val="30"/>
          <w:sz w:val="20"/>
        </w:rPr>
        <w:t> </w:t>
      </w:r>
      <w:r>
        <w:rPr>
          <w:sz w:val="20"/>
        </w:rPr>
        <w:t>of</w:t>
      </w:r>
      <w:r>
        <w:rPr>
          <w:spacing w:val="30"/>
          <w:sz w:val="20"/>
        </w:rPr>
        <w:t> </w:t>
      </w:r>
      <w:r>
        <w:rPr>
          <w:sz w:val="20"/>
        </w:rPr>
        <w:t>“unlawful</w:t>
      </w:r>
      <w:r>
        <w:rPr>
          <w:spacing w:val="30"/>
          <w:sz w:val="20"/>
        </w:rPr>
        <w:t> </w:t>
      </w:r>
      <w:r>
        <w:rPr>
          <w:sz w:val="20"/>
        </w:rPr>
        <w:t>means”</w:t>
      </w:r>
      <w:r>
        <w:rPr>
          <w:spacing w:val="30"/>
          <w:sz w:val="20"/>
        </w:rPr>
        <w:t> </w:t>
      </w:r>
      <w:r>
        <w:rPr>
          <w:sz w:val="20"/>
        </w:rPr>
        <w:t>for</w:t>
      </w:r>
      <w:r>
        <w:rPr>
          <w:spacing w:val="30"/>
          <w:sz w:val="20"/>
        </w:rPr>
        <w:t> </w:t>
      </w:r>
      <w:r>
        <w:rPr>
          <w:sz w:val="20"/>
        </w:rPr>
        <w:t>this</w:t>
      </w:r>
      <w:r>
        <w:rPr>
          <w:spacing w:val="30"/>
          <w:sz w:val="20"/>
        </w:rPr>
        <w:t> </w:t>
      </w:r>
      <w:r>
        <w:rPr>
          <w:sz w:val="20"/>
        </w:rPr>
        <w:t>purpose:</w:t>
      </w:r>
      <w:r>
        <w:rPr>
          <w:spacing w:val="30"/>
          <w:sz w:val="20"/>
        </w:rPr>
        <w:t> </w:t>
      </w:r>
      <w:r>
        <w:rPr>
          <w:sz w:val="20"/>
        </w:rPr>
        <w:t>see</w:t>
      </w:r>
      <w:r>
        <w:rPr>
          <w:spacing w:val="30"/>
          <w:sz w:val="20"/>
        </w:rPr>
        <w:t> </w:t>
      </w:r>
      <w:r>
        <w:rPr>
          <w:sz w:val="20"/>
        </w:rPr>
        <w:t>below,</w:t>
      </w:r>
      <w:r>
        <w:rPr>
          <w:spacing w:val="30"/>
          <w:sz w:val="20"/>
        </w:rPr>
        <w:t> </w:t>
      </w:r>
      <w:r>
        <w:rPr>
          <w:sz w:val="20"/>
        </w:rPr>
        <w:t>paras 1-174—1-175. Where the defendant’s conduct threatens physical injury to the claimant, the latter may possess an action of assault: Clerk &amp; Lindsell on Torts, para.15–13.</w:t>
      </w:r>
    </w:p>
    <w:p>
      <w:pPr>
        <w:pStyle w:val="BodyText"/>
        <w:spacing w:before="4"/>
      </w:pPr>
    </w:p>
    <w:p>
      <w:pPr>
        <w:spacing w:line="227" w:lineRule="exact" w:before="0"/>
        <w:ind w:left="165" w:right="0" w:firstLine="0"/>
        <w:jc w:val="left"/>
        <w:rPr>
          <w:sz w:val="20"/>
        </w:rPr>
      </w:pPr>
      <w:r>
        <w:rPr>
          <w:color w:val="005DA1"/>
          <w:position w:val="5"/>
          <w:sz w:val="14"/>
          <w:u w:val="single" w:color="005DA1"/>
        </w:rPr>
        <w:t>1127</w:t>
      </w:r>
      <w:r>
        <w:rPr>
          <w:position w:val="5"/>
          <w:sz w:val="14"/>
        </w:rPr>
        <w:t>.</w:t>
      </w:r>
      <w:r>
        <w:rPr>
          <w:spacing w:val="56"/>
          <w:position w:val="5"/>
          <w:sz w:val="14"/>
        </w:rPr>
        <w:t>  </w:t>
      </w:r>
      <w:r>
        <w:rPr>
          <w:rFonts w:ascii="Arial"/>
          <w:i/>
          <w:sz w:val="20"/>
        </w:rPr>
        <w:t>Rookes</w:t>
      </w:r>
      <w:r>
        <w:rPr>
          <w:rFonts w:ascii="Arial"/>
          <w:i/>
          <w:spacing w:val="58"/>
          <w:w w:val="150"/>
          <w:sz w:val="20"/>
        </w:rPr>
        <w:t> </w:t>
      </w:r>
      <w:r>
        <w:rPr>
          <w:rFonts w:ascii="Arial"/>
          <w:i/>
          <w:sz w:val="20"/>
        </w:rPr>
        <w:t>v</w:t>
      </w:r>
      <w:r>
        <w:rPr>
          <w:rFonts w:ascii="Arial"/>
          <w:i/>
          <w:spacing w:val="58"/>
          <w:w w:val="150"/>
          <w:sz w:val="20"/>
        </w:rPr>
        <w:t> </w:t>
      </w:r>
      <w:r>
        <w:rPr>
          <w:rFonts w:ascii="Arial"/>
          <w:i/>
          <w:sz w:val="20"/>
        </w:rPr>
        <w:t>Barnard</w:t>
      </w:r>
      <w:r>
        <w:rPr>
          <w:rFonts w:ascii="Arial"/>
          <w:i/>
          <w:spacing w:val="58"/>
          <w:w w:val="150"/>
          <w:sz w:val="20"/>
        </w:rPr>
        <w:t> </w:t>
      </w:r>
      <w:r>
        <w:rPr>
          <w:rFonts w:ascii="Arial"/>
          <w:i/>
          <w:sz w:val="20"/>
        </w:rPr>
        <w:t>[1964]</w:t>
      </w:r>
      <w:r>
        <w:rPr>
          <w:rFonts w:ascii="Arial"/>
          <w:i/>
          <w:spacing w:val="58"/>
          <w:w w:val="150"/>
          <w:sz w:val="20"/>
        </w:rPr>
        <w:t> </w:t>
      </w:r>
      <w:r>
        <w:rPr>
          <w:rFonts w:ascii="Arial"/>
          <w:i/>
          <w:sz w:val="20"/>
        </w:rPr>
        <w:t>A.C.</w:t>
      </w:r>
      <w:r>
        <w:rPr>
          <w:rFonts w:ascii="Arial"/>
          <w:i/>
          <w:spacing w:val="58"/>
          <w:w w:val="150"/>
          <w:sz w:val="20"/>
        </w:rPr>
        <w:t> </w:t>
      </w:r>
      <w:r>
        <w:rPr>
          <w:rFonts w:ascii="Arial"/>
          <w:i/>
          <w:sz w:val="20"/>
        </w:rPr>
        <w:t>1129,</w:t>
      </w:r>
      <w:r>
        <w:rPr>
          <w:rFonts w:ascii="Arial"/>
          <w:i/>
          <w:spacing w:val="58"/>
          <w:w w:val="150"/>
          <w:sz w:val="20"/>
        </w:rPr>
        <w:t> </w:t>
      </w:r>
      <w:r>
        <w:rPr>
          <w:rFonts w:ascii="Arial"/>
          <w:i/>
          <w:sz w:val="20"/>
        </w:rPr>
        <w:t>1205,</w:t>
      </w:r>
      <w:r>
        <w:rPr>
          <w:rFonts w:ascii="Arial"/>
          <w:i/>
          <w:spacing w:val="59"/>
          <w:w w:val="150"/>
          <w:sz w:val="20"/>
        </w:rPr>
        <w:t> </w:t>
      </w:r>
      <w:r>
        <w:rPr>
          <w:rFonts w:ascii="Arial"/>
          <w:i/>
          <w:sz w:val="20"/>
        </w:rPr>
        <w:t>1209</w:t>
      </w:r>
      <w:r>
        <w:rPr>
          <w:rFonts w:ascii="Arial"/>
          <w:i/>
          <w:spacing w:val="58"/>
          <w:w w:val="150"/>
          <w:sz w:val="20"/>
        </w:rPr>
        <w:t> </w:t>
      </w:r>
      <w:r>
        <w:rPr>
          <w:sz w:val="20"/>
        </w:rPr>
        <w:t>and</w:t>
      </w:r>
      <w:r>
        <w:rPr>
          <w:spacing w:val="58"/>
          <w:w w:val="150"/>
          <w:sz w:val="20"/>
        </w:rPr>
        <w:t> </w:t>
      </w:r>
      <w:r>
        <w:rPr>
          <w:sz w:val="20"/>
        </w:rPr>
        <w:t>see</w:t>
      </w:r>
      <w:r>
        <w:rPr>
          <w:spacing w:val="58"/>
          <w:w w:val="150"/>
          <w:sz w:val="20"/>
        </w:rPr>
        <w:t> </w:t>
      </w:r>
      <w:r>
        <w:rPr>
          <w:sz w:val="20"/>
        </w:rPr>
        <w:t>Clerk</w:t>
      </w:r>
      <w:r>
        <w:rPr>
          <w:spacing w:val="58"/>
          <w:w w:val="150"/>
          <w:sz w:val="20"/>
        </w:rPr>
        <w:t> </w:t>
      </w:r>
      <w:r>
        <w:rPr>
          <w:sz w:val="20"/>
        </w:rPr>
        <w:t>&amp;</w:t>
      </w:r>
      <w:r>
        <w:rPr>
          <w:spacing w:val="58"/>
          <w:w w:val="150"/>
          <w:sz w:val="20"/>
        </w:rPr>
        <w:t> </w:t>
      </w:r>
      <w:r>
        <w:rPr>
          <w:sz w:val="20"/>
        </w:rPr>
        <w:t>Lindsell</w:t>
      </w:r>
      <w:r>
        <w:rPr>
          <w:spacing w:val="58"/>
          <w:w w:val="150"/>
          <w:sz w:val="20"/>
        </w:rPr>
        <w:t> </w:t>
      </w:r>
      <w:r>
        <w:rPr>
          <w:sz w:val="20"/>
        </w:rPr>
        <w:t>at</w:t>
      </w:r>
      <w:r>
        <w:rPr>
          <w:spacing w:val="59"/>
          <w:w w:val="150"/>
          <w:sz w:val="20"/>
        </w:rPr>
        <w:t> </w:t>
      </w:r>
      <w:r>
        <w:rPr>
          <w:spacing w:val="-2"/>
          <w:sz w:val="20"/>
        </w:rPr>
        <w:t>paras</w:t>
      </w:r>
    </w:p>
    <w:p>
      <w:pPr>
        <w:pStyle w:val="BodyText"/>
        <w:spacing w:line="227" w:lineRule="exact"/>
        <w:ind w:left="705"/>
      </w:pPr>
      <w:r>
        <w:rPr/>
        <w:t>24–69—</w:t>
      </w:r>
      <w:r>
        <w:rPr>
          <w:spacing w:val="-2"/>
        </w:rPr>
        <w:t>24–70.</w:t>
      </w:r>
    </w:p>
    <w:p>
      <w:pPr>
        <w:pStyle w:val="BodyText"/>
        <w:spacing w:before="5"/>
      </w:pPr>
    </w:p>
    <w:p>
      <w:pPr>
        <w:spacing w:before="0"/>
        <w:ind w:left="165" w:right="0" w:firstLine="0"/>
        <w:jc w:val="left"/>
        <w:rPr>
          <w:sz w:val="20"/>
        </w:rPr>
      </w:pPr>
      <w:r>
        <w:rPr>
          <w:color w:val="005DA1"/>
          <w:position w:val="5"/>
          <w:sz w:val="14"/>
          <w:u w:val="single" w:color="005DA1"/>
        </w:rPr>
        <w:t>1128</w:t>
      </w:r>
      <w:r>
        <w:rPr>
          <w:position w:val="5"/>
          <w:sz w:val="14"/>
        </w:rPr>
        <w:t>.</w:t>
      </w:r>
      <w:r>
        <w:rPr>
          <w:spacing w:val="55"/>
          <w:position w:val="5"/>
          <w:sz w:val="14"/>
        </w:rPr>
        <w:t>  </w:t>
      </w:r>
      <w:r>
        <w:rPr>
          <w:sz w:val="20"/>
        </w:rPr>
        <w:t>See</w:t>
      </w:r>
      <w:r>
        <w:rPr>
          <w:spacing w:val="1"/>
          <w:sz w:val="20"/>
        </w:rPr>
        <w:t> </w:t>
      </w:r>
      <w:r>
        <w:rPr>
          <w:sz w:val="20"/>
        </w:rPr>
        <w:t>below, para.8-</w:t>
      </w:r>
      <w:r>
        <w:rPr>
          <w:spacing w:val="-4"/>
          <w:sz w:val="20"/>
        </w:rPr>
        <w:t>056.</w:t>
      </w:r>
    </w:p>
    <w:p>
      <w:pPr>
        <w:pStyle w:val="BodyText"/>
        <w:spacing w:before="5"/>
      </w:pPr>
    </w:p>
    <w:p>
      <w:pPr>
        <w:pStyle w:val="BodyText"/>
        <w:ind w:left="165"/>
      </w:pPr>
      <w:r>
        <w:rPr>
          <w:color w:val="005DA1"/>
          <w:position w:val="5"/>
          <w:sz w:val="14"/>
          <w:u w:val="single" w:color="005DA1"/>
        </w:rPr>
        <w:t>1129</w:t>
      </w:r>
      <w:r>
        <w:rPr>
          <w:position w:val="5"/>
          <w:sz w:val="14"/>
        </w:rPr>
        <w:t>.</w:t>
      </w:r>
      <w:r>
        <w:rPr>
          <w:spacing w:val="55"/>
          <w:position w:val="5"/>
          <w:sz w:val="14"/>
        </w:rPr>
        <w:t>  </w:t>
      </w:r>
      <w:r>
        <w:rPr/>
        <w:t>See</w:t>
      </w:r>
      <w:r>
        <w:rPr>
          <w:spacing w:val="1"/>
        </w:rPr>
        <w:t> </w:t>
      </w:r>
      <w:r>
        <w:rPr/>
        <w:t>below, paras 8-015 et </w:t>
      </w:r>
      <w:r>
        <w:rPr>
          <w:spacing w:val="-4"/>
        </w:rPr>
        <w:t>seq.</w:t>
      </w:r>
    </w:p>
    <w:p>
      <w:pPr>
        <w:pStyle w:val="BodyText"/>
        <w:spacing w:before="5"/>
      </w:pPr>
    </w:p>
    <w:p>
      <w:pPr>
        <w:pStyle w:val="BodyText"/>
        <w:ind w:left="165"/>
      </w:pPr>
      <w:r>
        <w:rPr>
          <w:color w:val="005DA1"/>
          <w:position w:val="5"/>
          <w:sz w:val="14"/>
          <w:u w:val="single" w:color="005DA1"/>
        </w:rPr>
        <w:t>1130</w:t>
      </w:r>
      <w:r>
        <w:rPr>
          <w:position w:val="5"/>
          <w:sz w:val="14"/>
        </w:rPr>
        <w:t>.</w:t>
      </w:r>
      <w:r>
        <w:rPr>
          <w:spacing w:val="55"/>
          <w:position w:val="5"/>
          <w:sz w:val="14"/>
        </w:rPr>
        <w:t>  </w:t>
      </w:r>
      <w:r>
        <w:rPr/>
        <w:t>Clerk</w:t>
      </w:r>
      <w:r>
        <w:rPr>
          <w:spacing w:val="1"/>
        </w:rPr>
        <w:t> </w:t>
      </w:r>
      <w:r>
        <w:rPr/>
        <w:t>&amp; Lindsell at paras </w:t>
      </w:r>
      <w:r>
        <w:rPr>
          <w:spacing w:val="-2"/>
        </w:rPr>
        <w:t>24–70.</w:t>
      </w:r>
    </w:p>
    <w:p>
      <w:pPr>
        <w:pStyle w:val="BodyText"/>
        <w:spacing w:before="9"/>
      </w:pPr>
    </w:p>
    <w:p>
      <w:pPr>
        <w:pStyle w:val="BodyText"/>
        <w:spacing w:line="235" w:lineRule="auto"/>
        <w:ind w:left="705" w:right="167" w:hanging="541"/>
        <w:jc w:val="both"/>
      </w:pPr>
      <w:r>
        <w:rPr>
          <w:color w:val="005DA1"/>
          <w:position w:val="5"/>
          <w:sz w:val="14"/>
          <w:u w:val="single" w:color="005DA1"/>
        </w:rPr>
        <w:t>1131</w:t>
      </w:r>
      <w:r>
        <w:rPr>
          <w:position w:val="5"/>
          <w:sz w:val="14"/>
        </w:rPr>
        <w:t>.</w:t>
      </w:r>
      <w:r>
        <w:rPr>
          <w:spacing w:val="80"/>
          <w:position w:val="5"/>
          <w:sz w:val="14"/>
        </w:rPr>
        <w:t> </w:t>
      </w:r>
      <w:r>
        <w:rPr/>
        <w:t>Pt 4A was inserted by the Consumer Protection (Amendment) Regulations 2014 (SI 2014/870). The right of redress may include damages for financial loss </w:t>
      </w:r>
      <w:r>
        <w:rPr>
          <w:rFonts w:ascii="Arial" w:hAnsi="Arial"/>
          <w:i/>
        </w:rPr>
        <w:t>other than </w:t>
      </w:r>
      <w:r>
        <w:rPr/>
        <w:t>“the difference between the</w:t>
      </w:r>
      <w:r>
        <w:rPr>
          <w:spacing w:val="2"/>
        </w:rPr>
        <w:t> </w:t>
      </w:r>
      <w:r>
        <w:rPr/>
        <w:t>market</w:t>
      </w:r>
      <w:r>
        <w:rPr>
          <w:spacing w:val="2"/>
        </w:rPr>
        <w:t> </w:t>
      </w:r>
      <w:r>
        <w:rPr/>
        <w:t>price</w:t>
      </w:r>
      <w:r>
        <w:rPr>
          <w:spacing w:val="2"/>
        </w:rPr>
        <w:t> </w:t>
      </w:r>
      <w:r>
        <w:rPr/>
        <w:t>of</w:t>
      </w:r>
      <w:r>
        <w:rPr>
          <w:spacing w:val="2"/>
        </w:rPr>
        <w:t> </w:t>
      </w:r>
      <w:r>
        <w:rPr/>
        <w:t>a</w:t>
      </w:r>
      <w:r>
        <w:rPr>
          <w:spacing w:val="2"/>
        </w:rPr>
        <w:t> </w:t>
      </w:r>
      <w:r>
        <w:rPr/>
        <w:t>product</w:t>
      </w:r>
      <w:r>
        <w:rPr>
          <w:spacing w:val="2"/>
        </w:rPr>
        <w:t> </w:t>
      </w:r>
      <w:r>
        <w:rPr/>
        <w:t>and</w:t>
      </w:r>
      <w:r>
        <w:rPr>
          <w:spacing w:val="2"/>
        </w:rPr>
        <w:t> </w:t>
      </w:r>
      <w:r>
        <w:rPr/>
        <w:t>the</w:t>
      </w:r>
      <w:r>
        <w:rPr>
          <w:spacing w:val="2"/>
        </w:rPr>
        <w:t> </w:t>
      </w:r>
      <w:r>
        <w:rPr/>
        <w:t>amount</w:t>
      </w:r>
      <w:r>
        <w:rPr>
          <w:spacing w:val="2"/>
        </w:rPr>
        <w:t> </w:t>
      </w:r>
      <w:r>
        <w:rPr/>
        <w:t>payable</w:t>
      </w:r>
      <w:r>
        <w:rPr>
          <w:spacing w:val="2"/>
        </w:rPr>
        <w:t> </w:t>
      </w:r>
      <w:r>
        <w:rPr/>
        <w:t>for</w:t>
      </w:r>
      <w:r>
        <w:rPr>
          <w:spacing w:val="2"/>
        </w:rPr>
        <w:t> </w:t>
      </w:r>
      <w:r>
        <w:rPr/>
        <w:t>it</w:t>
      </w:r>
      <w:r>
        <w:rPr>
          <w:spacing w:val="2"/>
        </w:rPr>
        <w:t> </w:t>
      </w:r>
      <w:r>
        <w:rPr/>
        <w:t>under</w:t>
      </w:r>
      <w:r>
        <w:rPr>
          <w:spacing w:val="2"/>
        </w:rPr>
        <w:t> </w:t>
      </w:r>
      <w:r>
        <w:rPr/>
        <w:t>a</w:t>
      </w:r>
      <w:r>
        <w:rPr>
          <w:spacing w:val="2"/>
        </w:rPr>
        <w:t> </w:t>
      </w:r>
      <w:r>
        <w:rPr/>
        <w:t>contract”</w:t>
      </w:r>
      <w:r>
        <w:rPr>
          <w:spacing w:val="2"/>
        </w:rPr>
        <w:t> </w:t>
      </w:r>
      <w:r>
        <w:rPr/>
        <w:t>(reg.27J(1)(a)</w:t>
      </w:r>
      <w:r>
        <w:rPr>
          <w:spacing w:val="2"/>
        </w:rPr>
        <w:t> </w:t>
      </w:r>
      <w:r>
        <w:rPr>
          <w:spacing w:val="-5"/>
        </w:rPr>
        <w:t>and</w:t>
      </w:r>
    </w:p>
    <w:p>
      <w:pPr>
        <w:pStyle w:val="BodyText"/>
        <w:spacing w:line="235" w:lineRule="auto"/>
        <w:ind w:left="705" w:right="167"/>
        <w:jc w:val="both"/>
      </w:pPr>
      <w:r>
        <w:rPr/>
        <w:t>(3)) and for “alarm, distress or physical inconvenience or discomfort” (reg.27J(1)(b)), </w:t>
      </w:r>
      <w:r>
        <w:rPr/>
        <w:t>though damages</w:t>
      </w:r>
      <w:r>
        <w:rPr>
          <w:spacing w:val="-2"/>
        </w:rPr>
        <w:t> </w:t>
      </w:r>
      <w:r>
        <w:rPr/>
        <w:t>are</w:t>
      </w:r>
      <w:r>
        <w:rPr>
          <w:spacing w:val="-2"/>
        </w:rPr>
        <w:t> </w:t>
      </w:r>
      <w:r>
        <w:rPr/>
        <w:t>recoverable</w:t>
      </w:r>
      <w:r>
        <w:rPr>
          <w:spacing w:val="-2"/>
        </w:rPr>
        <w:t> </w:t>
      </w:r>
      <w:r>
        <w:rPr/>
        <w:t>“only</w:t>
      </w:r>
      <w:r>
        <w:rPr>
          <w:spacing w:val="-2"/>
        </w:rPr>
        <w:t> </w:t>
      </w:r>
      <w:r>
        <w:rPr/>
        <w:t>in</w:t>
      </w:r>
      <w:r>
        <w:rPr>
          <w:spacing w:val="-2"/>
        </w:rPr>
        <w:t> </w:t>
      </w:r>
      <w:r>
        <w:rPr/>
        <w:t>respect</w:t>
      </w:r>
      <w:r>
        <w:rPr>
          <w:spacing w:val="-2"/>
        </w:rPr>
        <w:t> </w:t>
      </w:r>
      <w:r>
        <w:rPr/>
        <w:t>of</w:t>
      </w:r>
      <w:r>
        <w:rPr>
          <w:spacing w:val="-2"/>
        </w:rPr>
        <w:t> </w:t>
      </w:r>
      <w:r>
        <w:rPr/>
        <w:t>loss</w:t>
      </w:r>
      <w:r>
        <w:rPr>
          <w:spacing w:val="-2"/>
        </w:rPr>
        <w:t> </w:t>
      </w:r>
      <w:r>
        <w:rPr/>
        <w:t>that</w:t>
      </w:r>
      <w:r>
        <w:rPr>
          <w:spacing w:val="-2"/>
        </w:rPr>
        <w:t> </w:t>
      </w:r>
      <w:r>
        <w:rPr/>
        <w:t>was</w:t>
      </w:r>
      <w:r>
        <w:rPr>
          <w:spacing w:val="-2"/>
        </w:rPr>
        <w:t> </w:t>
      </w:r>
      <w:r>
        <w:rPr/>
        <w:t>reasonably</w:t>
      </w:r>
      <w:r>
        <w:rPr>
          <w:spacing w:val="-2"/>
        </w:rPr>
        <w:t> </w:t>
      </w:r>
      <w:r>
        <w:rPr/>
        <w:t>foreseeable</w:t>
      </w:r>
      <w:r>
        <w:rPr>
          <w:spacing w:val="-2"/>
        </w:rPr>
        <w:t> </w:t>
      </w:r>
      <w:r>
        <w:rPr/>
        <w:t>at</w:t>
      </w:r>
      <w:r>
        <w:rPr>
          <w:spacing w:val="-2"/>
        </w:rPr>
        <w:t> </w:t>
      </w:r>
      <w:r>
        <w:rPr/>
        <w:t>the</w:t>
      </w:r>
      <w:r>
        <w:rPr>
          <w:spacing w:val="-2"/>
        </w:rPr>
        <w:t> </w:t>
      </w:r>
      <w:r>
        <w:rPr/>
        <w:t>time</w:t>
      </w:r>
      <w:r>
        <w:rPr>
          <w:spacing w:val="-2"/>
        </w:rPr>
        <w:t> </w:t>
      </w:r>
      <w:r>
        <w:rPr/>
        <w:t>of the</w:t>
      </w:r>
      <w:r>
        <w:rPr>
          <w:spacing w:val="29"/>
        </w:rPr>
        <w:t> </w:t>
      </w:r>
      <w:r>
        <w:rPr/>
        <w:t>prohibited</w:t>
      </w:r>
      <w:r>
        <w:rPr>
          <w:spacing w:val="29"/>
        </w:rPr>
        <w:t> </w:t>
      </w:r>
      <w:r>
        <w:rPr/>
        <w:t>practice”</w:t>
      </w:r>
      <w:r>
        <w:rPr>
          <w:spacing w:val="29"/>
        </w:rPr>
        <w:t> </w:t>
      </w:r>
      <w:r>
        <w:rPr/>
        <w:t>(reg.27J(4)).</w:t>
      </w:r>
      <w:r>
        <w:rPr>
          <w:spacing w:val="29"/>
        </w:rPr>
        <w:t> </w:t>
      </w:r>
      <w:r>
        <w:rPr/>
        <w:t>See</w:t>
      </w:r>
      <w:r>
        <w:rPr>
          <w:spacing w:val="29"/>
        </w:rPr>
        <w:t> </w:t>
      </w:r>
      <w:r>
        <w:rPr/>
        <w:t>generally</w:t>
      </w:r>
      <w:r>
        <w:rPr>
          <w:spacing w:val="29"/>
        </w:rPr>
        <w:t> </w:t>
      </w:r>
      <w:r>
        <w:rPr/>
        <w:t>Vol.II,</w:t>
      </w:r>
      <w:r>
        <w:rPr>
          <w:spacing w:val="29"/>
        </w:rPr>
        <w:t> </w:t>
      </w:r>
      <w:r>
        <w:rPr/>
        <w:t>paras</w:t>
      </w:r>
      <w:r>
        <w:rPr>
          <w:spacing w:val="29"/>
        </w:rPr>
        <w:t> </w:t>
      </w:r>
      <w:r>
        <w:rPr/>
        <w:t>38-160</w:t>
      </w:r>
      <w:r>
        <w:rPr>
          <w:spacing w:val="29"/>
        </w:rPr>
        <w:t> </w:t>
      </w:r>
      <w:r>
        <w:rPr/>
        <w:t>et</w:t>
      </w:r>
      <w:r>
        <w:rPr>
          <w:spacing w:val="29"/>
        </w:rPr>
        <w:t> </w:t>
      </w:r>
      <w:r>
        <w:rPr/>
        <w:t>seq.</w:t>
      </w:r>
      <w:r>
        <w:rPr>
          <w:spacing w:val="29"/>
        </w:rPr>
        <w:t> </w:t>
      </w:r>
      <w:r>
        <w:rPr/>
        <w:t>especially</w:t>
      </w:r>
      <w:r>
        <w:rPr>
          <w:spacing w:val="29"/>
        </w:rPr>
        <w:t> </w:t>
      </w:r>
      <w:r>
        <w:rPr/>
        <w:t>at 38-173 and 38-185.</w:t>
      </w:r>
    </w:p>
    <w:p>
      <w:pPr>
        <w:pStyle w:val="BodyText"/>
        <w:spacing w:before="7"/>
      </w:pPr>
    </w:p>
    <w:p>
      <w:pPr>
        <w:pStyle w:val="BodyText"/>
        <w:spacing w:line="235" w:lineRule="auto"/>
        <w:ind w:left="705" w:right="168" w:hanging="541"/>
      </w:pPr>
      <w:r>
        <w:rPr>
          <w:color w:val="005DA1"/>
          <w:position w:val="5"/>
          <w:sz w:val="14"/>
          <w:u w:val="single" w:color="005DA1"/>
        </w:rPr>
        <w:t>1132</w:t>
      </w:r>
      <w:r>
        <w:rPr>
          <w:position w:val="5"/>
          <w:sz w:val="14"/>
        </w:rPr>
        <w:t>.</w:t>
      </w:r>
      <w:r>
        <w:rPr>
          <w:spacing w:val="80"/>
          <w:w w:val="150"/>
          <w:position w:val="5"/>
          <w:sz w:val="14"/>
        </w:rPr>
        <w:t> </w:t>
      </w:r>
      <w:r>
        <w:rPr/>
        <w:t>This terminology is adopted for the purposes of applicable law by Regulation (EC) 864/2007 on the law applicable to non-contractual obligations (“Rome II”) art.12.</w:t>
      </w:r>
    </w:p>
    <w:p>
      <w:pPr>
        <w:pStyle w:val="BodyText"/>
        <w:spacing w:before="9"/>
      </w:pPr>
    </w:p>
    <w:p>
      <w:pPr>
        <w:spacing w:line="235" w:lineRule="auto" w:before="1"/>
        <w:ind w:left="705" w:right="168" w:hanging="541"/>
        <w:jc w:val="both"/>
        <w:rPr>
          <w:sz w:val="20"/>
        </w:rPr>
      </w:pPr>
      <w:r>
        <w:rPr>
          <w:color w:val="005DA1"/>
          <w:position w:val="5"/>
          <w:sz w:val="14"/>
          <w:u w:val="single" w:color="005DA1"/>
        </w:rPr>
        <w:t>1133</w:t>
      </w:r>
      <w:r>
        <w:rPr>
          <w:position w:val="5"/>
          <w:sz w:val="14"/>
        </w:rPr>
        <w:t>.</w:t>
      </w:r>
      <w:r>
        <w:rPr>
          <w:spacing w:val="80"/>
          <w:position w:val="5"/>
          <w:sz w:val="14"/>
        </w:rPr>
        <w:t> </w:t>
      </w:r>
      <w:r>
        <w:rPr>
          <w:sz w:val="20"/>
        </w:rPr>
        <w:t>On the German position see Markesinis, </w:t>
      </w:r>
      <w:r>
        <w:rPr>
          <w:rFonts w:ascii="Arial"/>
          <w:i/>
          <w:sz w:val="20"/>
        </w:rPr>
        <w:t>The German Law of Obligations</w:t>
      </w:r>
      <w:r>
        <w:rPr>
          <w:sz w:val="20"/>
        </w:rPr>
        <w:t>, Vol.I; </w:t>
      </w:r>
      <w:r>
        <w:rPr>
          <w:sz w:val="20"/>
        </w:rPr>
        <w:t>Markesinis, Lorenz and Dannemann, </w:t>
      </w:r>
      <w:r>
        <w:rPr>
          <w:rFonts w:ascii="Arial"/>
          <w:i/>
          <w:sz w:val="20"/>
        </w:rPr>
        <w:t>The Law of Contracts and Restitution: a Comparative Introduction </w:t>
      </w:r>
      <w:r>
        <w:rPr>
          <w:sz w:val="20"/>
        </w:rPr>
        <w:t>(1997), pp.64 et seq.</w:t>
      </w:r>
    </w:p>
    <w:p>
      <w:pPr>
        <w:pStyle w:val="BodyText"/>
        <w:spacing w:before="8"/>
      </w:pPr>
    </w:p>
    <w:p>
      <w:pPr>
        <w:spacing w:line="235" w:lineRule="auto" w:before="1"/>
        <w:ind w:left="705" w:right="167" w:hanging="541"/>
        <w:jc w:val="both"/>
        <w:rPr>
          <w:sz w:val="20"/>
        </w:rPr>
      </w:pPr>
      <w:r>
        <w:rPr>
          <w:color w:val="005DA1"/>
          <w:position w:val="5"/>
          <w:sz w:val="14"/>
          <w:u w:val="single" w:color="005DA1"/>
        </w:rPr>
        <w:t>1134</w:t>
      </w:r>
      <w:r>
        <w:rPr>
          <w:position w:val="5"/>
          <w:sz w:val="14"/>
        </w:rPr>
        <w:t>.</w:t>
      </w:r>
      <w:r>
        <w:rPr>
          <w:spacing w:val="80"/>
          <w:position w:val="5"/>
          <w:sz w:val="14"/>
        </w:rPr>
        <w:t> </w:t>
      </w:r>
      <w:r>
        <w:rPr>
          <w:rFonts w:ascii="Arial" w:hAnsi="Arial"/>
          <w:i/>
          <w:sz w:val="20"/>
        </w:rPr>
        <w:t>Bell v Peter Browne &amp; Co [1990] 2 Q.B. 495, 511</w:t>
      </w:r>
      <w:r>
        <w:rPr>
          <w:sz w:val="20"/>
        </w:rPr>
        <w:t>. The full term for the rule is non-cumul des responsabilités contractuelle et délictuelle and see Whittaker in Bell, Boyron and </w:t>
      </w:r>
      <w:r>
        <w:rPr>
          <w:sz w:val="20"/>
        </w:rPr>
        <w:t>Whittaker, Principles of French Law, 2nd edn (2008), pp.328–9.</w:t>
      </w:r>
    </w:p>
    <w:p>
      <w:pPr>
        <w:pStyle w:val="BodyText"/>
        <w:spacing w:before="4"/>
      </w:pPr>
    </w:p>
    <w:p>
      <w:pPr>
        <w:spacing w:before="1"/>
        <w:ind w:left="165" w:right="0" w:firstLine="0"/>
        <w:jc w:val="left"/>
        <w:rPr>
          <w:sz w:val="20"/>
        </w:rPr>
      </w:pPr>
      <w:r>
        <w:rPr>
          <w:color w:val="005DA1"/>
          <w:position w:val="5"/>
          <w:sz w:val="14"/>
          <w:u w:val="single" w:color="005DA1"/>
        </w:rPr>
        <w:t>1135</w:t>
      </w:r>
      <w:r>
        <w:rPr>
          <w:position w:val="5"/>
          <w:sz w:val="14"/>
        </w:rPr>
        <w:t>.</w:t>
      </w:r>
      <w:r>
        <w:rPr>
          <w:spacing w:val="55"/>
          <w:position w:val="5"/>
          <w:sz w:val="14"/>
        </w:rPr>
        <w:t>  </w:t>
      </w:r>
      <w:r>
        <w:rPr>
          <w:sz w:val="20"/>
        </w:rPr>
        <w:t>Whittaker</w:t>
      </w:r>
      <w:r>
        <w:rPr>
          <w:spacing w:val="1"/>
          <w:sz w:val="20"/>
        </w:rPr>
        <w:t> </w:t>
      </w:r>
      <w:r>
        <w:rPr>
          <w:sz w:val="20"/>
        </w:rPr>
        <w:t>at </w:t>
      </w:r>
      <w:r>
        <w:rPr>
          <w:spacing w:val="-2"/>
          <w:sz w:val="20"/>
        </w:rPr>
        <w:t>pp.308–309.</w:t>
      </w:r>
    </w:p>
    <w:p>
      <w:pPr>
        <w:pStyle w:val="BodyText"/>
        <w:spacing w:before="4"/>
      </w:pPr>
    </w:p>
    <w:p>
      <w:pPr>
        <w:pStyle w:val="BodyText"/>
        <w:spacing w:before="1"/>
        <w:ind w:left="165"/>
      </w:pPr>
      <w:r>
        <w:rPr>
          <w:color w:val="005DA1"/>
          <w:position w:val="5"/>
          <w:sz w:val="14"/>
          <w:u w:val="single" w:color="005DA1"/>
        </w:rPr>
        <w:t>1136</w:t>
      </w:r>
      <w:r>
        <w:rPr>
          <w:position w:val="5"/>
          <w:sz w:val="14"/>
        </w:rPr>
        <w:t>.</w:t>
      </w:r>
      <w:r>
        <w:rPr>
          <w:spacing w:val="55"/>
          <w:position w:val="5"/>
          <w:sz w:val="14"/>
        </w:rPr>
        <w:t>  </w:t>
      </w:r>
      <w:r>
        <w:rPr/>
        <w:t>i.e.</w:t>
      </w:r>
      <w:r>
        <w:rPr>
          <w:spacing w:val="1"/>
        </w:rPr>
        <w:t> </w:t>
      </w:r>
      <w:r>
        <w:rPr/>
        <w:t>arts 1382–1383 C. civ. and see Whittaker at pp.364 et </w:t>
      </w:r>
      <w:r>
        <w:rPr>
          <w:spacing w:val="-4"/>
        </w:rPr>
        <w:t>seq.</w:t>
      </w:r>
    </w:p>
    <w:p>
      <w:pPr>
        <w:pStyle w:val="BodyText"/>
        <w:spacing w:before="5"/>
      </w:pPr>
    </w:p>
    <w:p>
      <w:pPr>
        <w:pStyle w:val="BodyText"/>
        <w:ind w:left="165"/>
      </w:pPr>
      <w:r>
        <w:rPr>
          <w:color w:val="005DA1"/>
          <w:position w:val="5"/>
          <w:sz w:val="14"/>
          <w:u w:val="single" w:color="005DA1"/>
        </w:rPr>
        <w:t>1137</w:t>
      </w:r>
      <w:r>
        <w:rPr>
          <w:position w:val="5"/>
          <w:sz w:val="14"/>
        </w:rPr>
        <w:t>.</w:t>
      </w:r>
      <w:r>
        <w:rPr>
          <w:spacing w:val="55"/>
          <w:position w:val="5"/>
          <w:sz w:val="14"/>
        </w:rPr>
        <w:t>  </w:t>
      </w:r>
      <w:r>
        <w:rPr/>
        <w:t>See</w:t>
      </w:r>
      <w:r>
        <w:rPr>
          <w:spacing w:val="1"/>
        </w:rPr>
        <w:t> </w:t>
      </w:r>
      <w:r>
        <w:rPr/>
        <w:t>below, paras 2-220 et </w:t>
      </w:r>
      <w:r>
        <w:rPr>
          <w:spacing w:val="-4"/>
        </w:rPr>
        <w:t>seq.</w:t>
      </w:r>
    </w:p>
    <w:p>
      <w:pPr>
        <w:pStyle w:val="BodyText"/>
        <w:spacing w:before="5"/>
      </w:pPr>
    </w:p>
    <w:p>
      <w:pPr>
        <w:spacing w:before="0"/>
        <w:ind w:left="165" w:right="0" w:firstLine="0"/>
        <w:jc w:val="left"/>
        <w:rPr>
          <w:sz w:val="20"/>
        </w:rPr>
      </w:pPr>
      <w:r>
        <w:rPr>
          <w:color w:val="005DA1"/>
          <w:position w:val="5"/>
          <w:sz w:val="14"/>
          <w:u w:val="single" w:color="005DA1"/>
        </w:rPr>
        <w:t>1138</w:t>
      </w:r>
      <w:r>
        <w:rPr>
          <w:position w:val="5"/>
          <w:sz w:val="14"/>
        </w:rPr>
        <w:t>.</w:t>
      </w:r>
      <w:r>
        <w:rPr>
          <w:spacing w:val="55"/>
          <w:position w:val="5"/>
          <w:sz w:val="14"/>
        </w:rPr>
        <w:t>  </w:t>
      </w:r>
      <w:r>
        <w:rPr>
          <w:rFonts w:ascii="Arial"/>
          <w:i/>
          <w:sz w:val="20"/>
        </w:rPr>
        <w:t>Esso</w:t>
      </w:r>
      <w:r>
        <w:rPr>
          <w:rFonts w:ascii="Arial"/>
          <w:i/>
          <w:spacing w:val="1"/>
          <w:sz w:val="20"/>
        </w:rPr>
        <w:t> </w:t>
      </w:r>
      <w:r>
        <w:rPr>
          <w:rFonts w:ascii="Arial"/>
          <w:i/>
          <w:sz w:val="20"/>
        </w:rPr>
        <w:t>Petroleum Co Ltd v Mardon [1976] Q.B. 801, </w:t>
      </w:r>
      <w:r>
        <w:rPr>
          <w:rFonts w:ascii="Arial"/>
          <w:i/>
          <w:spacing w:val="-4"/>
          <w:sz w:val="20"/>
        </w:rPr>
        <w:t>817</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1139</w:t>
      </w:r>
      <w:r>
        <w:rPr>
          <w:position w:val="5"/>
          <w:sz w:val="14"/>
        </w:rPr>
        <w:t>.</w:t>
      </w:r>
      <w:r>
        <w:rPr>
          <w:spacing w:val="55"/>
          <w:position w:val="5"/>
          <w:sz w:val="14"/>
        </w:rPr>
        <w:t>  </w:t>
      </w:r>
      <w:r>
        <w:rPr>
          <w:rFonts w:ascii="Arial"/>
          <w:i/>
          <w:sz w:val="20"/>
        </w:rPr>
        <w:t>[1990]</w:t>
      </w:r>
      <w:r>
        <w:rPr>
          <w:rFonts w:ascii="Arial"/>
          <w:i/>
          <w:spacing w:val="1"/>
          <w:sz w:val="20"/>
        </w:rPr>
        <w:t> </w:t>
      </w:r>
      <w:r>
        <w:rPr>
          <w:rFonts w:ascii="Arial"/>
          <w:i/>
          <w:sz w:val="20"/>
        </w:rPr>
        <w:t>1 W.L.R. </w:t>
      </w:r>
      <w:r>
        <w:rPr>
          <w:rFonts w:ascii="Arial"/>
          <w:i/>
          <w:spacing w:val="-4"/>
          <w:sz w:val="20"/>
        </w:rPr>
        <w:t>1195</w:t>
      </w:r>
      <w:r>
        <w:rPr>
          <w:spacing w:val="-4"/>
          <w:sz w:val="20"/>
        </w:rPr>
        <w:t>.</w:t>
      </w:r>
    </w:p>
    <w:p>
      <w:pPr>
        <w:pStyle w:val="BodyText"/>
        <w:spacing w:before="5"/>
      </w:pPr>
    </w:p>
    <w:p>
      <w:pPr>
        <w:pStyle w:val="BodyText"/>
        <w:ind w:left="165"/>
      </w:pPr>
      <w:r>
        <w:rPr>
          <w:color w:val="005DA1"/>
          <w:position w:val="5"/>
          <w:sz w:val="14"/>
          <w:u w:val="single" w:color="005DA1"/>
        </w:rPr>
        <w:t>1140</w:t>
      </w:r>
      <w:r>
        <w:rPr>
          <w:position w:val="5"/>
          <w:sz w:val="14"/>
        </w:rPr>
        <w:t>.</w:t>
      </w:r>
      <w:r>
        <w:rPr>
          <w:spacing w:val="55"/>
          <w:position w:val="5"/>
          <w:sz w:val="14"/>
        </w:rPr>
        <w:t>  </w:t>
      </w:r>
      <w:r>
        <w:rPr/>
        <w:t>The</w:t>
      </w:r>
      <w:r>
        <w:rPr>
          <w:spacing w:val="1"/>
        </w:rPr>
        <w:t> </w:t>
      </w:r>
      <w:r>
        <w:rPr/>
        <w:t>case came to the court by way of a preliminary issue as to the existence of </w:t>
      </w:r>
      <w:r>
        <w:rPr>
          <w:spacing w:val="-2"/>
        </w:rPr>
        <w:t>liability.</w:t>
      </w:r>
    </w:p>
    <w:p>
      <w:pPr>
        <w:pStyle w:val="BodyText"/>
        <w:spacing w:before="5"/>
      </w:pPr>
    </w:p>
    <w:p>
      <w:pPr>
        <w:spacing w:before="0"/>
        <w:ind w:left="165" w:right="0" w:firstLine="0"/>
        <w:jc w:val="left"/>
        <w:rPr>
          <w:sz w:val="20"/>
        </w:rPr>
      </w:pPr>
      <w:r>
        <w:rPr>
          <w:color w:val="005DA1"/>
          <w:position w:val="5"/>
          <w:sz w:val="14"/>
          <w:u w:val="single" w:color="005DA1"/>
        </w:rPr>
        <w:t>1141</w:t>
      </w:r>
      <w:r>
        <w:rPr>
          <w:position w:val="5"/>
          <w:sz w:val="14"/>
        </w:rPr>
        <w:t>.</w:t>
      </w:r>
      <w:r>
        <w:rPr>
          <w:spacing w:val="55"/>
          <w:position w:val="5"/>
          <w:sz w:val="14"/>
        </w:rPr>
        <w:t>  </w:t>
      </w:r>
      <w:r>
        <w:rPr>
          <w:rFonts w:ascii="Arial"/>
          <w:i/>
          <w:sz w:val="20"/>
        </w:rPr>
        <w:t>[1990]</w:t>
      </w:r>
      <w:r>
        <w:rPr>
          <w:rFonts w:ascii="Arial"/>
          <w:i/>
          <w:spacing w:val="1"/>
          <w:sz w:val="20"/>
        </w:rPr>
        <w:t> </w:t>
      </w:r>
      <w:r>
        <w:rPr>
          <w:rFonts w:ascii="Arial"/>
          <w:i/>
          <w:sz w:val="20"/>
        </w:rPr>
        <w:t>1 W.L.R. 1195</w:t>
      </w:r>
      <w:r>
        <w:rPr>
          <w:rFonts w:ascii="Arial"/>
          <w:i/>
          <w:spacing w:val="-1"/>
          <w:sz w:val="20"/>
        </w:rPr>
        <w:t> </w:t>
      </w:r>
      <w:r>
        <w:rPr>
          <w:sz w:val="20"/>
        </w:rPr>
        <w:t>at </w:t>
      </w:r>
      <w:r>
        <w:rPr>
          <w:spacing w:val="-2"/>
          <w:sz w:val="20"/>
        </w:rPr>
        <w:t>1204.</w:t>
      </w:r>
    </w:p>
    <w:p>
      <w:pPr>
        <w:pStyle w:val="BodyText"/>
        <w:spacing w:before="5"/>
      </w:pPr>
    </w:p>
    <w:p>
      <w:pPr>
        <w:spacing w:before="0"/>
        <w:ind w:left="165" w:right="0" w:firstLine="0"/>
        <w:jc w:val="left"/>
        <w:rPr>
          <w:sz w:val="20"/>
        </w:rPr>
      </w:pPr>
      <w:r>
        <w:rPr>
          <w:color w:val="005DA1"/>
          <w:position w:val="5"/>
          <w:sz w:val="14"/>
          <w:u w:val="single" w:color="005DA1"/>
        </w:rPr>
        <w:t>1142</w:t>
      </w:r>
      <w:r>
        <w:rPr>
          <w:position w:val="5"/>
          <w:sz w:val="14"/>
        </w:rPr>
        <w:t>.</w:t>
      </w:r>
      <w:r>
        <w:rPr>
          <w:spacing w:val="55"/>
          <w:position w:val="5"/>
          <w:sz w:val="14"/>
        </w:rPr>
        <w:t>  </w:t>
      </w:r>
      <w:r>
        <w:rPr>
          <w:rFonts w:ascii="Arial"/>
          <w:i/>
          <w:sz w:val="20"/>
        </w:rPr>
        <w:t>[1990]</w:t>
      </w:r>
      <w:r>
        <w:rPr>
          <w:rFonts w:ascii="Arial"/>
          <w:i/>
          <w:spacing w:val="1"/>
          <w:sz w:val="20"/>
        </w:rPr>
        <w:t> </w:t>
      </w:r>
      <w:r>
        <w:rPr>
          <w:rFonts w:ascii="Arial"/>
          <w:i/>
          <w:sz w:val="20"/>
        </w:rPr>
        <w:t>1 W.L.R. 1195</w:t>
      </w:r>
      <w:r>
        <w:rPr>
          <w:rFonts w:ascii="Arial"/>
          <w:i/>
          <w:spacing w:val="-1"/>
          <w:sz w:val="20"/>
        </w:rPr>
        <w:t> </w:t>
      </w:r>
      <w:r>
        <w:rPr>
          <w:sz w:val="20"/>
        </w:rPr>
        <w:t>at </w:t>
      </w:r>
      <w:r>
        <w:rPr>
          <w:spacing w:val="-2"/>
          <w:sz w:val="20"/>
        </w:rPr>
        <w:t>1202.</w:t>
      </w:r>
    </w:p>
    <w:p>
      <w:pPr>
        <w:pStyle w:val="BodyText"/>
        <w:spacing w:before="9"/>
      </w:pPr>
    </w:p>
    <w:p>
      <w:pPr>
        <w:pStyle w:val="BodyText"/>
        <w:spacing w:line="235" w:lineRule="auto"/>
        <w:ind w:left="705" w:right="167" w:hanging="541"/>
        <w:jc w:val="both"/>
      </w:pPr>
      <w:r>
        <w:rPr>
          <w:color w:val="005DA1"/>
          <w:position w:val="5"/>
          <w:sz w:val="14"/>
          <w:u w:val="single" w:color="005DA1"/>
        </w:rPr>
        <w:t>1143</w:t>
      </w:r>
      <w:r>
        <w:rPr>
          <w:position w:val="5"/>
          <w:sz w:val="14"/>
        </w:rPr>
        <w:t>.</w:t>
      </w:r>
      <w:r>
        <w:rPr>
          <w:spacing w:val="80"/>
          <w:position w:val="5"/>
          <w:sz w:val="14"/>
        </w:rPr>
        <w:t> </w:t>
      </w:r>
      <w:r>
        <w:rPr/>
        <w:t>The public character of the defendant was also relied on by the plaintiff as support for </w:t>
      </w:r>
      <w:r>
        <w:rPr/>
        <w:t>the existence of the contract as it had as a matter of public law a duty to comply with its standing orders</w:t>
      </w:r>
      <w:r>
        <w:rPr>
          <w:spacing w:val="8"/>
        </w:rPr>
        <w:t> </w:t>
      </w:r>
      <w:r>
        <w:rPr/>
        <w:t>(to</w:t>
      </w:r>
      <w:r>
        <w:rPr>
          <w:spacing w:val="8"/>
        </w:rPr>
        <w:t> </w:t>
      </w:r>
      <w:r>
        <w:rPr/>
        <w:t>consider</w:t>
      </w:r>
      <w:r>
        <w:rPr>
          <w:spacing w:val="8"/>
        </w:rPr>
        <w:t> </w:t>
      </w:r>
      <w:r>
        <w:rPr/>
        <w:t>tenders)</w:t>
      </w:r>
      <w:r>
        <w:rPr>
          <w:spacing w:val="8"/>
        </w:rPr>
        <w:t> </w:t>
      </w:r>
      <w:r>
        <w:rPr/>
        <w:t>and</w:t>
      </w:r>
      <w:r>
        <w:rPr>
          <w:spacing w:val="8"/>
        </w:rPr>
        <w:t> </w:t>
      </w:r>
      <w:r>
        <w:rPr/>
        <w:t>a</w:t>
      </w:r>
      <w:r>
        <w:rPr>
          <w:spacing w:val="8"/>
        </w:rPr>
        <w:t> </w:t>
      </w:r>
      <w:r>
        <w:rPr/>
        <w:t>fiduciary</w:t>
      </w:r>
      <w:r>
        <w:rPr>
          <w:spacing w:val="8"/>
        </w:rPr>
        <w:t> </w:t>
      </w:r>
      <w:r>
        <w:rPr/>
        <w:t>duty</w:t>
      </w:r>
      <w:r>
        <w:rPr>
          <w:spacing w:val="8"/>
        </w:rPr>
        <w:t> </w:t>
      </w:r>
      <w:r>
        <w:rPr/>
        <w:t>to</w:t>
      </w:r>
      <w:r>
        <w:rPr>
          <w:spacing w:val="8"/>
        </w:rPr>
        <w:t> </w:t>
      </w:r>
      <w:r>
        <w:rPr/>
        <w:t>ratepayers</w:t>
      </w:r>
      <w:r>
        <w:rPr>
          <w:spacing w:val="8"/>
        </w:rPr>
        <w:t> </w:t>
      </w:r>
      <w:r>
        <w:rPr/>
        <w:t>to</w:t>
      </w:r>
      <w:r>
        <w:rPr>
          <w:spacing w:val="8"/>
        </w:rPr>
        <w:t> </w:t>
      </w:r>
      <w:r>
        <w:rPr/>
        <w:t>act</w:t>
      </w:r>
      <w:r>
        <w:rPr>
          <w:spacing w:val="8"/>
        </w:rPr>
        <w:t> </w:t>
      </w:r>
      <w:r>
        <w:rPr/>
        <w:t>with</w:t>
      </w:r>
      <w:r>
        <w:rPr>
          <w:spacing w:val="8"/>
        </w:rPr>
        <w:t> </w:t>
      </w:r>
      <w:r>
        <w:rPr/>
        <w:t>reasonable</w:t>
      </w:r>
      <w:r>
        <w:rPr>
          <w:spacing w:val="8"/>
        </w:rPr>
        <w:t> </w:t>
      </w:r>
      <w:r>
        <w:rPr>
          <w:spacing w:val="-2"/>
        </w:rPr>
        <w:t>prudence</w:t>
      </w:r>
    </w:p>
    <w:p>
      <w:pPr>
        <w:pStyle w:val="BodyText"/>
        <w:spacing w:after="0" w:line="235" w:lineRule="auto"/>
        <w:jc w:val="both"/>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left="0"/>
              <w:jc w:val="left"/>
              <w:rPr>
                <w:rFonts w:ascii="Times New Roman"/>
                <w:sz w:val="18"/>
              </w:rPr>
            </w:pPr>
          </w:p>
        </w:tc>
        <w:tc>
          <w:tcPr>
            <w:tcW w:w="8620" w:type="dxa"/>
          </w:tcPr>
          <w:p>
            <w:pPr>
              <w:pStyle w:val="TableParagraph"/>
              <w:spacing w:line="223" w:lineRule="exact" w:before="0"/>
              <w:jc w:val="left"/>
              <w:rPr>
                <w:sz w:val="20"/>
              </w:rPr>
            </w:pPr>
            <w:r>
              <w:rPr>
                <w:sz w:val="20"/>
              </w:rPr>
              <w:t>in managing its financial affairs:</w:t>
            </w:r>
            <w:r>
              <w:rPr>
                <w:spacing w:val="-1"/>
                <w:sz w:val="20"/>
              </w:rPr>
              <w:t> </w:t>
            </w:r>
            <w:r>
              <w:rPr>
                <w:rFonts w:ascii="Arial"/>
                <w:i/>
                <w:sz w:val="20"/>
              </w:rPr>
              <w:t>[1990] 1 W.L.R. 1195</w:t>
            </w:r>
            <w:r>
              <w:rPr>
                <w:rFonts w:ascii="Arial"/>
                <w:i/>
                <w:spacing w:val="-1"/>
                <w:sz w:val="20"/>
              </w:rPr>
              <w:t> </w:t>
            </w:r>
            <w:r>
              <w:rPr>
                <w:sz w:val="20"/>
              </w:rPr>
              <w:t>at </w:t>
            </w:r>
            <w:r>
              <w:rPr>
                <w:spacing w:val="-2"/>
                <w:sz w:val="20"/>
              </w:rPr>
              <w:t>1201.</w:t>
            </w:r>
          </w:p>
        </w:tc>
      </w:tr>
      <w:tr>
        <w:trPr>
          <w:trHeight w:val="465" w:hRule="atLeast"/>
        </w:trPr>
        <w:tc>
          <w:tcPr>
            <w:tcW w:w="496" w:type="dxa"/>
          </w:tcPr>
          <w:p>
            <w:pPr>
              <w:pStyle w:val="TableParagraph"/>
              <w:ind w:left="0" w:right="43"/>
              <w:rPr>
                <w:sz w:val="14"/>
              </w:rPr>
            </w:pPr>
            <w:r>
              <w:rPr>
                <w:color w:val="005DA1"/>
                <w:spacing w:val="-2"/>
                <w:sz w:val="14"/>
                <w:u w:val="single" w:color="005DA1"/>
              </w:rPr>
              <w:t>1144</w:t>
            </w:r>
            <w:r>
              <w:rPr>
                <w:spacing w:val="-2"/>
                <w:sz w:val="14"/>
              </w:rPr>
              <w:t>.</w:t>
            </w:r>
          </w:p>
        </w:tc>
        <w:tc>
          <w:tcPr>
            <w:tcW w:w="8620" w:type="dxa"/>
          </w:tcPr>
          <w:p>
            <w:pPr>
              <w:pStyle w:val="TableParagraph"/>
              <w:spacing w:before="114"/>
              <w:jc w:val="left"/>
              <w:rPr>
                <w:sz w:val="20"/>
              </w:rPr>
            </w:pPr>
            <w:r>
              <w:rPr>
                <w:rFonts w:ascii="Arial"/>
                <w:i/>
                <w:sz w:val="20"/>
              </w:rPr>
              <w:t>[1990] 1 W.L.R. 1195</w:t>
            </w:r>
            <w:r>
              <w:rPr>
                <w:rFonts w:ascii="Arial"/>
                <w:i/>
                <w:spacing w:val="-1"/>
                <w:sz w:val="20"/>
              </w:rPr>
              <w:t> </w:t>
            </w:r>
            <w:r>
              <w:rPr>
                <w:sz w:val="20"/>
              </w:rPr>
              <w:t>at </w:t>
            </w:r>
            <w:r>
              <w:rPr>
                <w:spacing w:val="-2"/>
                <w:sz w:val="20"/>
              </w:rPr>
              <w:t>1204.</w:t>
            </w:r>
          </w:p>
        </w:tc>
      </w:tr>
      <w:tr>
        <w:trPr>
          <w:trHeight w:val="465" w:hRule="atLeast"/>
        </w:trPr>
        <w:tc>
          <w:tcPr>
            <w:tcW w:w="496" w:type="dxa"/>
          </w:tcPr>
          <w:p>
            <w:pPr>
              <w:pStyle w:val="TableParagraph"/>
              <w:ind w:left="0" w:right="43"/>
              <w:rPr>
                <w:sz w:val="14"/>
              </w:rPr>
            </w:pPr>
            <w:r>
              <w:rPr>
                <w:color w:val="005DA1"/>
                <w:spacing w:val="-2"/>
                <w:sz w:val="14"/>
                <w:u w:val="single" w:color="005DA1"/>
              </w:rPr>
              <w:t>1145</w:t>
            </w:r>
            <w:r>
              <w:rPr>
                <w:spacing w:val="-2"/>
                <w:sz w:val="14"/>
              </w:rPr>
              <w:t>.</w:t>
            </w:r>
          </w:p>
        </w:tc>
        <w:tc>
          <w:tcPr>
            <w:tcW w:w="8620" w:type="dxa"/>
          </w:tcPr>
          <w:p>
            <w:pPr>
              <w:pStyle w:val="TableParagraph"/>
              <w:spacing w:before="114"/>
              <w:jc w:val="left"/>
              <w:rPr>
                <w:sz w:val="20"/>
              </w:rPr>
            </w:pPr>
            <w:r>
              <w:rPr>
                <w:sz w:val="20"/>
              </w:rPr>
              <w:t>See above, paras 1-039 et seq. and below, para.2-</w:t>
            </w:r>
            <w:r>
              <w:rPr>
                <w:spacing w:val="-4"/>
                <w:sz w:val="20"/>
              </w:rPr>
              <w:t>201.</w:t>
            </w:r>
          </w:p>
        </w:tc>
      </w:tr>
      <w:tr>
        <w:trPr>
          <w:trHeight w:val="794" w:hRule="atLeast"/>
        </w:trPr>
        <w:tc>
          <w:tcPr>
            <w:tcW w:w="496" w:type="dxa"/>
          </w:tcPr>
          <w:p>
            <w:pPr>
              <w:pStyle w:val="TableParagraph"/>
              <w:ind w:left="0" w:right="43"/>
              <w:rPr>
                <w:sz w:val="14"/>
              </w:rPr>
            </w:pPr>
            <w:r>
              <w:rPr>
                <w:color w:val="005DA1"/>
                <w:spacing w:val="-2"/>
                <w:sz w:val="14"/>
                <w:u w:val="single" w:color="005DA1"/>
              </w:rPr>
              <w:t>1146</w:t>
            </w:r>
            <w:r>
              <w:rPr>
                <w:spacing w:val="-2"/>
                <w:sz w:val="14"/>
              </w:rPr>
              <w:t>.</w:t>
            </w:r>
          </w:p>
        </w:tc>
        <w:tc>
          <w:tcPr>
            <w:tcW w:w="8620" w:type="dxa"/>
          </w:tcPr>
          <w:p>
            <w:pPr>
              <w:pStyle w:val="TableParagraph"/>
              <w:spacing w:line="226" w:lineRule="exact" w:before="96"/>
              <w:ind w:right="48"/>
              <w:jc w:val="both"/>
              <w:rPr>
                <w:sz w:val="20"/>
              </w:rPr>
            </w:pPr>
            <w:r>
              <w:rPr>
                <w:sz w:val="20"/>
              </w:rPr>
              <w:t>Consumer Protection from Unfair Trading Regulations 2008 (SI 2008/1277) Pt 4A (inserted </w:t>
            </w:r>
            <w:r>
              <w:rPr>
                <w:sz w:val="20"/>
              </w:rPr>
              <w:t>by the Consumer Protection (Amendment) Regulations 2014 (SI 2014/870)) on which see Vol.II, paras 38-160 et seq. especially at 38-160 and 38-166.</w:t>
            </w:r>
          </w:p>
        </w:tc>
      </w:tr>
    </w:tbl>
    <w:p>
      <w:pPr>
        <w:pStyle w:val="BodyText"/>
        <w:rPr>
          <w:sz w:val="14"/>
        </w:rPr>
      </w:pPr>
    </w:p>
    <w:p>
      <w:pPr>
        <w:pStyle w:val="BodyText"/>
        <w:spacing w:before="100"/>
        <w:rPr>
          <w:sz w:val="14"/>
        </w:rPr>
      </w:pPr>
    </w:p>
    <w:p>
      <w:pPr>
        <w:spacing w:before="0"/>
        <w:ind w:left="940" w:right="943" w:firstLine="0"/>
        <w:jc w:val="center"/>
        <w:rPr>
          <w:sz w:val="14"/>
        </w:rPr>
      </w:pPr>
      <w:bookmarkStart w:name="_bookmark1832" w:id="1834"/>
      <w:bookmarkEnd w:id="1834"/>
      <w:r>
        <w:rPr/>
      </w: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7. - The Relationship between Contract and </w:t>
      </w:r>
      <w:r>
        <w:rPr>
          <w:rFonts w:ascii="Arial"/>
          <w:b/>
          <w:spacing w:val="-4"/>
          <w:sz w:val="24"/>
        </w:rPr>
        <w:t>Tort</w:t>
      </w:r>
    </w:p>
    <w:p>
      <w:pPr>
        <w:spacing w:before="194"/>
        <w:ind w:left="1878" w:right="0" w:firstLine="0"/>
        <w:jc w:val="left"/>
        <w:rPr>
          <w:rFonts w:ascii="Arial"/>
          <w:b/>
          <w:sz w:val="24"/>
        </w:rPr>
      </w:pPr>
      <w:r>
        <w:rPr>
          <w:rFonts w:ascii="Arial"/>
          <w:b/>
          <w:sz w:val="24"/>
        </w:rPr>
        <w:t>(c) - Concurrence of Actions in Contract and </w:t>
      </w:r>
      <w:r>
        <w:rPr>
          <w:rFonts w:ascii="Arial"/>
          <w:b/>
          <w:spacing w:val="-4"/>
          <w:sz w:val="24"/>
        </w:rPr>
        <w:t>Tort</w:t>
      </w:r>
    </w:p>
    <w:p>
      <w:pPr>
        <w:pStyle w:val="ListParagraph"/>
        <w:numPr>
          <w:ilvl w:val="0"/>
          <w:numId w:val="12"/>
        </w:numPr>
        <w:tabs>
          <w:tab w:pos="1330" w:val="left" w:leader="none"/>
        </w:tabs>
        <w:spacing w:line="240" w:lineRule="auto" w:before="194" w:after="0"/>
        <w:ind w:left="1330" w:right="0" w:hanging="359"/>
        <w:jc w:val="left"/>
        <w:rPr>
          <w:b/>
          <w:sz w:val="24"/>
        </w:rPr>
      </w:pPr>
      <w:r>
        <w:rPr>
          <w:b/>
          <w:sz w:val="24"/>
        </w:rPr>
        <w:t>- Torts Committed in the Course of Performance of a </w:t>
      </w:r>
      <w:r>
        <w:rPr>
          <w:b/>
          <w:spacing w:val="-2"/>
          <w:sz w:val="24"/>
        </w:rPr>
        <w:t>Contract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General</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165</w:t>
      </w:r>
    </w:p>
    <w:p>
      <w:pPr>
        <w:pStyle w:val="BodyText"/>
        <w:spacing w:before="199"/>
        <w:ind w:left="164"/>
        <w:jc w:val="both"/>
      </w:pPr>
      <w:r>
        <w:rPr/>
        <w:t>As Greer L.J. observed in </w:t>
      </w:r>
      <w:r>
        <w:rPr>
          <w:spacing w:val="-2"/>
        </w:rPr>
        <w:t>1936:</w:t>
      </w:r>
    </w:p>
    <w:p>
      <w:pPr>
        <w:pStyle w:val="BodyText"/>
      </w:pPr>
    </w:p>
    <w:p>
      <w:pPr>
        <w:pStyle w:val="BodyText"/>
        <w:spacing w:before="125"/>
      </w:pPr>
    </w:p>
    <w:p>
      <w:pPr>
        <w:pStyle w:val="BodyText"/>
        <w:spacing w:line="235" w:lineRule="auto"/>
        <w:ind w:left="1244" w:right="167"/>
        <w:jc w:val="both"/>
      </w:pPr>
      <w:r>
        <w:rPr/>
        <w:t>“… where the breach of duty alleged arises out of a liability independent of the personal obligation undertaken by contract, it is tort, and it may be tort even though there </w:t>
      </w:r>
      <w:r>
        <w:rPr/>
        <w:t>may happen</w:t>
      </w:r>
      <w:r>
        <w:rPr>
          <w:spacing w:val="-2"/>
        </w:rPr>
        <w:t> </w:t>
      </w:r>
      <w:r>
        <w:rPr/>
        <w:t>to</w:t>
      </w:r>
      <w:r>
        <w:rPr>
          <w:spacing w:val="-2"/>
        </w:rPr>
        <w:t> </w:t>
      </w:r>
      <w:r>
        <w:rPr/>
        <w:t>be</w:t>
      </w:r>
      <w:r>
        <w:rPr>
          <w:spacing w:val="-2"/>
        </w:rPr>
        <w:t> </w:t>
      </w:r>
      <w:r>
        <w:rPr/>
        <w:t>a</w:t>
      </w:r>
      <w:r>
        <w:rPr>
          <w:spacing w:val="-2"/>
        </w:rPr>
        <w:t> </w:t>
      </w:r>
      <w:r>
        <w:rPr/>
        <w:t>contract</w:t>
      </w:r>
      <w:r>
        <w:rPr>
          <w:spacing w:val="-2"/>
        </w:rPr>
        <w:t> </w:t>
      </w:r>
      <w:r>
        <w:rPr/>
        <w:t>between</w:t>
      </w:r>
      <w:r>
        <w:rPr>
          <w:spacing w:val="-2"/>
        </w:rPr>
        <w:t> </w:t>
      </w:r>
      <w:r>
        <w:rPr/>
        <w:t>the</w:t>
      </w:r>
      <w:r>
        <w:rPr>
          <w:spacing w:val="-2"/>
        </w:rPr>
        <w:t> </w:t>
      </w:r>
      <w:r>
        <w:rPr/>
        <w:t>parties,</w:t>
      </w:r>
      <w:r>
        <w:rPr>
          <w:spacing w:val="-2"/>
        </w:rPr>
        <w:t> </w:t>
      </w:r>
      <w:r>
        <w:rPr/>
        <w:t>if</w:t>
      </w:r>
      <w:r>
        <w:rPr>
          <w:spacing w:val="-2"/>
        </w:rPr>
        <w:t> </w:t>
      </w:r>
      <w:r>
        <w:rPr/>
        <w:t>the</w:t>
      </w:r>
      <w:r>
        <w:rPr>
          <w:spacing w:val="-2"/>
        </w:rPr>
        <w:t> </w:t>
      </w:r>
      <w:r>
        <w:rPr/>
        <w:t>duty</w:t>
      </w:r>
      <w:r>
        <w:rPr>
          <w:spacing w:val="-2"/>
        </w:rPr>
        <w:t> </w:t>
      </w:r>
      <w:r>
        <w:rPr/>
        <w:t>in</w:t>
      </w:r>
      <w:r>
        <w:rPr>
          <w:spacing w:val="-2"/>
        </w:rPr>
        <w:t> </w:t>
      </w:r>
      <w:r>
        <w:rPr/>
        <w:t>fact</w:t>
      </w:r>
      <w:r>
        <w:rPr>
          <w:spacing w:val="-2"/>
        </w:rPr>
        <w:t> </w:t>
      </w:r>
      <w:r>
        <w:rPr/>
        <w:t>arises</w:t>
      </w:r>
      <w:r>
        <w:rPr>
          <w:spacing w:val="-2"/>
        </w:rPr>
        <w:t> </w:t>
      </w:r>
      <w:r>
        <w:rPr/>
        <w:t>independently</w:t>
      </w:r>
      <w:r>
        <w:rPr>
          <w:spacing w:val="-2"/>
        </w:rPr>
        <w:t> </w:t>
      </w:r>
      <w:r>
        <w:rPr/>
        <w:t>of</w:t>
      </w:r>
      <w:r>
        <w:rPr>
          <w:spacing w:val="-2"/>
        </w:rPr>
        <w:t> </w:t>
      </w:r>
      <w:r>
        <w:rPr/>
        <w:t>the contract.” </w:t>
      </w:r>
      <w:r>
        <w:rPr>
          <w:color w:val="005DA1"/>
          <w:u w:val="single" w:color="005DA1"/>
          <w:vertAlign w:val="superscript"/>
        </w:rPr>
        <w:t>1147</w:t>
      </w:r>
    </w:p>
    <w:p>
      <w:pPr>
        <w:pStyle w:val="BodyText"/>
        <w:spacing w:before="115"/>
      </w:pPr>
    </w:p>
    <w:p>
      <w:pPr>
        <w:pStyle w:val="BodyText"/>
        <w:spacing w:line="235" w:lineRule="auto"/>
        <w:ind w:left="165" w:right="167"/>
        <w:jc w:val="both"/>
      </w:pPr>
      <w:r>
        <w:rPr/>
        <w:t>In the modern law, it may be stated that a party to a contract may choose to base his claim on an established and independent tort against the other party, but this choice will not be allowed to </w:t>
      </w:r>
      <w:r>
        <w:rPr/>
        <w:t>subvert the</w:t>
      </w:r>
      <w:r>
        <w:rPr>
          <w:spacing w:val="-1"/>
        </w:rPr>
        <w:t> </w:t>
      </w:r>
      <w:r>
        <w:rPr/>
        <w:t>contract’s</w:t>
      </w:r>
      <w:r>
        <w:rPr>
          <w:spacing w:val="-1"/>
        </w:rPr>
        <w:t> </w:t>
      </w:r>
      <w:r>
        <w:rPr/>
        <w:t>express</w:t>
      </w:r>
      <w:r>
        <w:rPr>
          <w:spacing w:val="-1"/>
        </w:rPr>
        <w:t> </w:t>
      </w:r>
      <w:r>
        <w:rPr>
          <w:color w:val="005DA1"/>
          <w:u w:val="single" w:color="005DA1"/>
          <w:vertAlign w:val="superscript"/>
        </w:rPr>
        <w:t>1148</w:t>
      </w:r>
      <w:r>
        <w:rPr>
          <w:color w:val="005DA1"/>
          <w:spacing w:val="-1"/>
          <w:vertAlign w:val="baseline"/>
        </w:rPr>
        <w:t> </w:t>
      </w:r>
      <w:r>
        <w:rPr>
          <w:vertAlign w:val="baseline"/>
        </w:rPr>
        <w:t>or</w:t>
      </w:r>
      <w:r>
        <w:rPr>
          <w:spacing w:val="-1"/>
          <w:vertAlign w:val="baseline"/>
        </w:rPr>
        <w:t> </w:t>
      </w:r>
      <w:r>
        <w:rPr>
          <w:vertAlign w:val="baseline"/>
        </w:rPr>
        <w:t>implied</w:t>
      </w:r>
      <w:r>
        <w:rPr>
          <w:spacing w:val="-1"/>
          <w:vertAlign w:val="baseline"/>
        </w:rPr>
        <w:t> </w:t>
      </w:r>
      <w:r>
        <w:rPr>
          <w:vertAlign w:val="baseline"/>
        </w:rPr>
        <w:t>terms</w:t>
      </w:r>
      <w:r>
        <w:rPr>
          <w:spacing w:val="-1"/>
          <w:vertAlign w:val="baseline"/>
        </w:rPr>
        <w:t> </w:t>
      </w:r>
      <w:r>
        <w:rPr>
          <w:color w:val="005DA1"/>
          <w:u w:val="single" w:color="005DA1"/>
          <w:vertAlign w:val="superscript"/>
        </w:rPr>
        <w:t>1149</w:t>
      </w:r>
      <w:r>
        <w:rPr>
          <w:color w:val="005DA1"/>
          <w:spacing w:val="-1"/>
          <w:vertAlign w:val="baseline"/>
        </w:rPr>
        <w:t> </w:t>
      </w:r>
      <w:r>
        <w:rPr>
          <w:vertAlign w:val="baseline"/>
        </w:rPr>
        <w:t>nor</w:t>
      </w:r>
      <w:r>
        <w:rPr>
          <w:spacing w:val="-1"/>
          <w:vertAlign w:val="baseline"/>
        </w:rPr>
        <w:t> </w:t>
      </w:r>
      <w:r>
        <w:rPr>
          <w:vertAlign w:val="baseline"/>
        </w:rPr>
        <w:t>any</w:t>
      </w:r>
      <w:r>
        <w:rPr>
          <w:spacing w:val="-1"/>
          <w:vertAlign w:val="baseline"/>
        </w:rPr>
        <w:t> </w:t>
      </w:r>
      <w:r>
        <w:rPr>
          <w:vertAlign w:val="baseline"/>
        </w:rPr>
        <w:t>legal</w:t>
      </w:r>
      <w:r>
        <w:rPr>
          <w:spacing w:val="-1"/>
          <w:vertAlign w:val="baseline"/>
        </w:rPr>
        <w:t> </w:t>
      </w:r>
      <w:r>
        <w:rPr>
          <w:vertAlign w:val="baseline"/>
        </w:rPr>
        <w:t>immunity</w:t>
      </w:r>
      <w:r>
        <w:rPr>
          <w:spacing w:val="-1"/>
          <w:vertAlign w:val="baseline"/>
        </w:rPr>
        <w:t> </w:t>
      </w:r>
      <w:r>
        <w:rPr>
          <w:vertAlign w:val="baseline"/>
        </w:rPr>
        <w:t>attaching</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party</w:t>
      </w:r>
      <w:r>
        <w:rPr>
          <w:spacing w:val="-1"/>
          <w:vertAlign w:val="baseline"/>
        </w:rPr>
        <w:t> </w:t>
      </w:r>
      <w:r>
        <w:rPr>
          <w:vertAlign w:val="baseline"/>
        </w:rPr>
        <w:t>qua contractor.</w:t>
      </w:r>
      <w:r>
        <w:rPr>
          <w:spacing w:val="-2"/>
          <w:vertAlign w:val="baseline"/>
        </w:rPr>
        <w:t> </w:t>
      </w:r>
      <w:r>
        <w:rPr>
          <w:color w:val="005DA1"/>
          <w:u w:val="single" w:color="005DA1"/>
          <w:vertAlign w:val="superscript"/>
        </w:rPr>
        <w:t>1150</w:t>
      </w:r>
      <w:r>
        <w:rPr>
          <w:color w:val="005DA1"/>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hand,</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is</w:t>
      </w:r>
      <w:r>
        <w:rPr>
          <w:spacing w:val="-2"/>
          <w:vertAlign w:val="baseline"/>
        </w:rPr>
        <w:t> </w:t>
      </w:r>
      <w:r>
        <w:rPr>
          <w:vertAlign w:val="baseline"/>
        </w:rPr>
        <w:t>silent</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issue</w:t>
      </w:r>
      <w:r>
        <w:rPr>
          <w:spacing w:val="-2"/>
          <w:vertAlign w:val="baseline"/>
        </w:rPr>
        <w:t> </w:t>
      </w:r>
      <w:r>
        <w:rPr>
          <w:vertAlign w:val="baseline"/>
        </w:rPr>
        <w:t>to</w:t>
      </w:r>
      <w:r>
        <w:rPr>
          <w:spacing w:val="-2"/>
          <w:vertAlign w:val="baseline"/>
        </w:rPr>
        <w:t> </w:t>
      </w:r>
      <w:r>
        <w:rPr>
          <w:vertAlign w:val="baseline"/>
        </w:rPr>
        <w:t>which</w:t>
      </w:r>
      <w:r>
        <w:rPr>
          <w:spacing w:val="-2"/>
          <w:vertAlign w:val="baseline"/>
        </w:rPr>
        <w:t> </w:t>
      </w:r>
      <w:r>
        <w:rPr>
          <w:vertAlign w:val="baseline"/>
        </w:rPr>
        <w:t>a</w:t>
      </w:r>
      <w:r>
        <w:rPr>
          <w:spacing w:val="-2"/>
          <w:vertAlign w:val="baseline"/>
        </w:rPr>
        <w:t> </w:t>
      </w:r>
      <w:r>
        <w:rPr>
          <w:vertAlign w:val="baseline"/>
        </w:rPr>
        <w:t>tort</w:t>
      </w:r>
      <w:r>
        <w:rPr>
          <w:spacing w:val="-2"/>
          <w:vertAlign w:val="baseline"/>
        </w:rPr>
        <w:t> </w:t>
      </w:r>
      <w:r>
        <w:rPr>
          <w:vertAlign w:val="baseline"/>
        </w:rPr>
        <w:t>relates,</w:t>
      </w:r>
      <w:r>
        <w:rPr>
          <w:spacing w:val="-2"/>
          <w:vertAlign w:val="baseline"/>
        </w:rPr>
        <w:t> </w:t>
      </w:r>
      <w:r>
        <w:rPr>
          <w:vertAlign w:val="baseline"/>
        </w:rPr>
        <w:t>in principle this is no reason for denying the existence of that tort, though an exception may properly be made where the tort is based on the defendant’s “assumption of responsibility”. </w:t>
      </w:r>
      <w:r>
        <w:rPr>
          <w:color w:val="005DA1"/>
          <w:u w:val="single" w:color="005DA1"/>
          <w:vertAlign w:val="superscript"/>
        </w:rPr>
        <w:t>1151</w:t>
      </w:r>
      <w:r>
        <w:rPr>
          <w:color w:val="005DA1"/>
          <w:vertAlign w:val="baseline"/>
        </w:rPr>
        <w:t> </w:t>
      </w:r>
      <w:r>
        <w:rPr>
          <w:vertAlign w:val="baseline"/>
        </w:rPr>
        <w:t>In general, </w:t>
      </w:r>
      <w:r>
        <w:rPr>
          <w:color w:val="005DA1"/>
          <w:u w:val="single" w:color="005DA1"/>
          <w:vertAlign w:val="superscript"/>
        </w:rPr>
        <w:t>1152</w:t>
      </w:r>
      <w:r>
        <w:rPr>
          <w:color w:val="005DA1"/>
          <w:vertAlign w:val="baseline"/>
        </w:rPr>
        <w:t> </w:t>
      </w:r>
      <w:r>
        <w:rPr>
          <w:vertAlign w:val="baseline"/>
        </w:rPr>
        <w:t>though, the choice whether to sue in tort or contract does allow a claimant to gain the benefit of any incidental rules of the regime of liability applicable, </w:t>
      </w:r>
      <w:r>
        <w:rPr>
          <w:color w:val="005DA1"/>
          <w:u w:val="single" w:color="005DA1"/>
          <w:vertAlign w:val="superscript"/>
        </w:rPr>
        <w:t>1153</w:t>
      </w:r>
      <w:r>
        <w:rPr>
          <w:color w:val="005DA1"/>
          <w:vertAlign w:val="baseline"/>
        </w:rPr>
        <w:t> </w:t>
      </w:r>
      <w:r>
        <w:rPr>
          <w:vertAlign w:val="baseline"/>
        </w:rPr>
        <w:t>though the modern tendency has been to reduce the differences between these two regimes in cases of concurrence. </w:t>
      </w:r>
      <w:r>
        <w:rPr>
          <w:color w:val="005DA1"/>
          <w:u w:val="single" w:color="005DA1"/>
          <w:vertAlign w:val="superscript"/>
        </w:rPr>
        <w:t>1154</w:t>
      </w:r>
    </w:p>
    <w:p>
      <w:pPr>
        <w:pStyle w:val="BodyText"/>
      </w:pPr>
    </w:p>
    <w:p>
      <w:pPr>
        <w:pStyle w:val="BodyText"/>
        <w:spacing w:before="35"/>
      </w:pPr>
    </w:p>
    <w:p>
      <w:pPr>
        <w:spacing w:before="1"/>
        <w:ind w:left="165" w:right="0" w:firstLine="0"/>
        <w:jc w:val="left"/>
        <w:rPr>
          <w:rFonts w:ascii="Arial"/>
          <w:b/>
          <w:sz w:val="18"/>
        </w:rPr>
      </w:pPr>
      <w:r>
        <w:rPr>
          <w:rFonts w:ascii="Arial"/>
          <w:b/>
          <w:sz w:val="18"/>
        </w:rPr>
        <w:t>Henderson v Merrett Syndicates </w:t>
      </w:r>
      <w:r>
        <w:rPr>
          <w:rFonts w:ascii="Arial"/>
          <w:b/>
          <w:spacing w:val="-5"/>
          <w:sz w:val="18"/>
        </w:rPr>
        <w:t>Ltd</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166</w:t>
      </w:r>
    </w:p>
    <w:p>
      <w:pPr>
        <w:pStyle w:val="BodyText"/>
        <w:spacing w:line="235" w:lineRule="auto" w:before="203"/>
        <w:ind w:left="165" w:right="167"/>
        <w:jc w:val="both"/>
      </w:pPr>
      <w:r>
        <w:rPr/>
        <w:t>As has been noted, in </w:t>
      </w:r>
      <w:r>
        <w:rPr>
          <w:rFonts w:ascii="Arial" w:hAnsi="Arial"/>
          <w:i/>
        </w:rPr>
        <w:t>Henderson v Merrett Syndicates Ltd </w:t>
      </w:r>
      <w:r>
        <w:rPr>
          <w:color w:val="005DA1"/>
          <w:u w:val="single" w:color="005DA1"/>
          <w:vertAlign w:val="superscript"/>
        </w:rPr>
        <w:t>1155</w:t>
      </w:r>
      <w:r>
        <w:rPr>
          <w:color w:val="005DA1"/>
          <w:vertAlign w:val="baseline"/>
        </w:rPr>
        <w:t> </w:t>
      </w:r>
      <w:r>
        <w:rPr>
          <w:vertAlign w:val="baseline"/>
        </w:rPr>
        <w:t>(</w:t>
      </w:r>
      <w:r>
        <w:rPr>
          <w:rFonts w:ascii="Arial" w:hAnsi="Arial"/>
          <w:i/>
          <w:vertAlign w:val="baseline"/>
        </w:rPr>
        <w:t>Henderson</w:t>
      </w:r>
      <w:r>
        <w:rPr>
          <w:vertAlign w:val="baseline"/>
        </w:rPr>
        <w:t>) the House of Lords </w:t>
      </w:r>
      <w:r>
        <w:rPr>
          <w:vertAlign w:val="baseline"/>
        </w:rPr>
        <w:t>held that a party to a contract may rely on a tort committed by the other party, as long as doing so is not inconsistent with the express or implied terms of the contract. However, in finding a duty of care on which to base the plaintiffs’ claim in tort, Lord Goff of Chieveley relied on </w:t>
      </w:r>
      <w:r>
        <w:rPr>
          <w:rFonts w:ascii="Arial" w:hAnsi="Arial"/>
          <w:i/>
          <w:vertAlign w:val="baseline"/>
        </w:rPr>
        <w:t>Hedley Byrne </w:t>
      </w:r>
      <w:r>
        <w:rPr>
          <w:vertAlign w:val="baseline"/>
        </w:rPr>
        <w:t>as</w:t>
      </w:r>
      <w:r>
        <w:rPr>
          <w:spacing w:val="40"/>
          <w:vertAlign w:val="baseline"/>
        </w:rPr>
        <w:t> </w:t>
      </w:r>
      <w:r>
        <w:rPr>
          <w:vertAlign w:val="baseline"/>
        </w:rPr>
        <w:t>establishing a very broad principle of liability based on an “assumption of responsibility” and this principle suggests a very considerable overlap between the tort of negligence and liability in contract between parties to contracts. </w:t>
      </w:r>
      <w:r>
        <w:rPr>
          <w:color w:val="005DA1"/>
          <w:u w:val="single" w:color="005DA1"/>
          <w:vertAlign w:val="superscript"/>
        </w:rPr>
        <w:t>1156</w:t>
      </w:r>
      <w:r>
        <w:rPr>
          <w:color w:val="005DA1"/>
          <w:vertAlign w:val="baseline"/>
        </w:rPr>
        <w:t> </w:t>
      </w:r>
      <w:r>
        <w:rPr>
          <w:vertAlign w:val="baseline"/>
        </w:rPr>
        <w:t>As will be seen, moreover, the basis of a finding of an “assumption of</w:t>
      </w:r>
      <w:r>
        <w:rPr>
          <w:spacing w:val="-1"/>
          <w:vertAlign w:val="baseline"/>
        </w:rPr>
        <w:t> </w:t>
      </w:r>
      <w:r>
        <w:rPr>
          <w:vertAlign w:val="baseline"/>
        </w:rPr>
        <w:t>responsibility”</w:t>
      </w:r>
      <w:r>
        <w:rPr>
          <w:spacing w:val="-1"/>
          <w:vertAlign w:val="baseline"/>
        </w:rPr>
        <w:t> </w:t>
      </w:r>
      <w:r>
        <w:rPr>
          <w:vertAlign w:val="baseline"/>
        </w:rPr>
        <w:t>is</w:t>
      </w:r>
      <w:r>
        <w:rPr>
          <w:spacing w:val="-1"/>
          <w:vertAlign w:val="baseline"/>
        </w:rPr>
        <w:t> </w:t>
      </w:r>
      <w:r>
        <w:rPr>
          <w:vertAlign w:val="baseline"/>
        </w:rPr>
        <w:t>so</w:t>
      </w:r>
      <w:r>
        <w:rPr>
          <w:spacing w:val="-1"/>
          <w:vertAlign w:val="baseline"/>
        </w:rPr>
        <w:t> </w:t>
      </w:r>
      <w:r>
        <w:rPr>
          <w:vertAlign w:val="baseline"/>
        </w:rPr>
        <w:t>closely</w:t>
      </w:r>
      <w:r>
        <w:rPr>
          <w:spacing w:val="-1"/>
          <w:vertAlign w:val="baseline"/>
        </w:rPr>
        <w:t> </w:t>
      </w:r>
      <w:r>
        <w:rPr>
          <w:vertAlign w:val="baseline"/>
        </w:rPr>
        <w:t>related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finding</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agreement</w:t>
      </w:r>
      <w:r>
        <w:rPr>
          <w:spacing w:val="-1"/>
          <w:vertAlign w:val="baseline"/>
        </w:rPr>
        <w:t> </w:t>
      </w:r>
      <w:r>
        <w:rPr>
          <w:vertAlign w:val="baseline"/>
        </w:rPr>
        <w:t>in</w:t>
      </w:r>
      <w:r>
        <w:rPr>
          <w:spacing w:val="-1"/>
          <w:vertAlign w:val="baseline"/>
        </w:rPr>
        <w:t> </w:t>
      </w:r>
      <w:r>
        <w:rPr>
          <w:vertAlign w:val="baseline"/>
        </w:rPr>
        <w:t>respect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matter</w:t>
      </w:r>
      <w:r>
        <w:rPr>
          <w:spacing w:val="-1"/>
          <w:vertAlign w:val="baseline"/>
        </w:rPr>
        <w:t> </w:t>
      </w:r>
      <w:r>
        <w:rPr>
          <w:vertAlign w:val="baseline"/>
        </w:rPr>
        <w:t>that the claim to true independence of the tortious liability thereby established is open to question.</w:t>
      </w:r>
    </w:p>
    <w:p>
      <w:pPr>
        <w:pStyle w:val="BodyText"/>
        <w:spacing w:before="77"/>
      </w:pPr>
    </w:p>
    <w:p>
      <w:pPr>
        <w:spacing w:before="1"/>
        <w:ind w:left="165" w:right="0" w:firstLine="0"/>
        <w:jc w:val="left"/>
        <w:rPr>
          <w:rFonts w:ascii="Arial"/>
          <w:b/>
          <w:sz w:val="24"/>
        </w:rPr>
      </w:pPr>
      <w:r>
        <w:rPr>
          <w:rFonts w:ascii="Arial"/>
          <w:b/>
          <w:sz w:val="24"/>
        </w:rPr>
        <w:t>1-</w:t>
      </w:r>
      <w:r>
        <w:rPr>
          <w:rFonts w:ascii="Arial"/>
          <w:b/>
          <w:spacing w:val="-5"/>
          <w:sz w:val="24"/>
        </w:rPr>
        <w:t>167</w:t>
      </w:r>
    </w:p>
    <w:p>
      <w:pPr>
        <w:pStyle w:val="BodyText"/>
        <w:spacing w:before="198"/>
        <w:ind w:left="165"/>
        <w:jc w:val="both"/>
      </w:pPr>
      <w:r>
        <w:rPr/>
        <w:t>In</w:t>
      </w:r>
      <w:r>
        <w:rPr>
          <w:spacing w:val="33"/>
        </w:rPr>
        <w:t> </w:t>
      </w:r>
      <w:r>
        <w:rPr>
          <w:rFonts w:ascii="Arial" w:hAnsi="Arial"/>
          <w:i/>
        </w:rPr>
        <w:t>Henderson</w:t>
      </w:r>
      <w:r>
        <w:rPr/>
        <w:t>,</w:t>
      </w:r>
      <w:r>
        <w:rPr>
          <w:spacing w:val="34"/>
        </w:rPr>
        <w:t> </w:t>
      </w:r>
      <w:r>
        <w:rPr/>
        <w:t>the</w:t>
      </w:r>
      <w:r>
        <w:rPr>
          <w:spacing w:val="34"/>
        </w:rPr>
        <w:t> </w:t>
      </w:r>
      <w:r>
        <w:rPr/>
        <w:t>plaintiffs</w:t>
      </w:r>
      <w:r>
        <w:rPr>
          <w:spacing w:val="34"/>
        </w:rPr>
        <w:t> </w:t>
      </w:r>
      <w:r>
        <w:rPr/>
        <w:t>were</w:t>
      </w:r>
      <w:r>
        <w:rPr>
          <w:spacing w:val="34"/>
        </w:rPr>
        <w:t> </w:t>
      </w:r>
      <w:r>
        <w:rPr/>
        <w:t>all</w:t>
      </w:r>
      <w:r>
        <w:rPr>
          <w:spacing w:val="34"/>
        </w:rPr>
        <w:t> </w:t>
      </w:r>
      <w:r>
        <w:rPr/>
        <w:t>Lloyd’s</w:t>
      </w:r>
      <w:r>
        <w:rPr>
          <w:spacing w:val="34"/>
        </w:rPr>
        <w:t> </w:t>
      </w:r>
      <w:r>
        <w:rPr/>
        <w:t>“Names”</w:t>
      </w:r>
      <w:r>
        <w:rPr>
          <w:spacing w:val="34"/>
        </w:rPr>
        <w:t> </w:t>
      </w:r>
      <w:r>
        <w:rPr/>
        <w:t>who</w:t>
      </w:r>
      <w:r>
        <w:rPr>
          <w:spacing w:val="34"/>
        </w:rPr>
        <w:t> </w:t>
      </w:r>
      <w:r>
        <w:rPr/>
        <w:t>had</w:t>
      </w:r>
      <w:r>
        <w:rPr>
          <w:spacing w:val="34"/>
        </w:rPr>
        <w:t> </w:t>
      </w:r>
      <w:r>
        <w:rPr/>
        <w:t>agreed</w:t>
      </w:r>
      <w:r>
        <w:rPr>
          <w:spacing w:val="34"/>
        </w:rPr>
        <w:t> </w:t>
      </w:r>
      <w:r>
        <w:rPr/>
        <w:t>to</w:t>
      </w:r>
      <w:r>
        <w:rPr>
          <w:spacing w:val="34"/>
        </w:rPr>
        <w:t> </w:t>
      </w:r>
      <w:r>
        <w:rPr/>
        <w:t>take</w:t>
      </w:r>
      <w:r>
        <w:rPr>
          <w:spacing w:val="34"/>
        </w:rPr>
        <w:t> </w:t>
      </w:r>
      <w:r>
        <w:rPr/>
        <w:t>unlimited</w:t>
      </w:r>
      <w:r>
        <w:rPr>
          <w:spacing w:val="34"/>
        </w:rPr>
        <w:t> </w:t>
      </w:r>
      <w:r>
        <w:rPr/>
        <w:t>liability</w:t>
      </w:r>
      <w:r>
        <w:rPr>
          <w:spacing w:val="34"/>
        </w:rPr>
        <w:t> </w:t>
      </w:r>
      <w:r>
        <w:rPr>
          <w:spacing w:val="-5"/>
        </w:rPr>
        <w:t>in</w:t>
      </w:r>
    </w:p>
    <w:p>
      <w:pPr>
        <w:pStyle w:val="BodyText"/>
        <w:spacing w:after="0"/>
        <w:jc w:val="both"/>
        <w:sectPr>
          <w:headerReference w:type="default" r:id="rId47"/>
          <w:pgSz w:w="11900" w:h="16840"/>
          <w:pgMar w:header="971" w:footer="0" w:top="1300" w:bottom="280" w:left="1275" w:right="1275"/>
          <w:pgNumType w:start="1"/>
        </w:sectPr>
      </w:pPr>
    </w:p>
    <w:p>
      <w:pPr>
        <w:pStyle w:val="BodyText"/>
        <w:spacing w:line="235" w:lineRule="auto" w:before="110"/>
        <w:ind w:left="165" w:right="167"/>
        <w:jc w:val="both"/>
      </w:pPr>
      <w:r>
        <w:rPr/>
        <w:t>respect of certain proportions of risks to be underwritten in the insurance market, but who had </w:t>
      </w:r>
      <w:r>
        <w:rPr/>
        <w:t>done</w:t>
      </w:r>
      <w:r>
        <w:rPr>
          <w:spacing w:val="40"/>
        </w:rPr>
        <w:t> </w:t>
      </w:r>
      <w:r>
        <w:rPr/>
        <w:t>so through different forms of arrangement. In the case of “direct Names”, </w:t>
      </w:r>
      <w:r>
        <w:rPr>
          <w:color w:val="005DA1"/>
          <w:u w:val="single" w:color="005DA1"/>
          <w:vertAlign w:val="superscript"/>
        </w:rPr>
        <w:t>1157</w:t>
      </w:r>
      <w:r>
        <w:rPr>
          <w:color w:val="005DA1"/>
          <w:vertAlign w:val="baseline"/>
        </w:rPr>
        <w:t> </w:t>
      </w:r>
      <w:r>
        <w:rPr>
          <w:vertAlign w:val="baseline"/>
        </w:rPr>
        <w:t>those persons who</w:t>
      </w:r>
      <w:r>
        <w:rPr>
          <w:spacing w:val="40"/>
          <w:vertAlign w:val="baseline"/>
        </w:rPr>
        <w:t> </w:t>
      </w:r>
      <w:r>
        <w:rPr>
          <w:vertAlign w:val="baseline"/>
        </w:rPr>
        <w:t>acted as their members’ agents also acted as their managing agents (being known sometimes as “combined agents”, though being termed “managing agents” here) and therefore any claim for negligence in respect of their claims was within privity of contract. The issue which came before the House of Lords was whether the “direct Names” could opt to sue their managing agents in the tort of negligence in respect of the management of the underwriting, the limitation period for their action for breach of contract having expired. In this respect, Lord Goff of Chieveley, who gave the leading speech and with whom Lords Keith of Kinkel, Browne-Wilkinson, Mustill and Nolan concurred, held that prima facie the managing agents did owe a duty of care in the tort of negligence to the “Names”. Such a duty was, according to Lord Goff, to be based on a broad principle found in </w:t>
      </w:r>
      <w:r>
        <w:rPr>
          <w:rFonts w:ascii="Arial" w:hAnsi="Arial"/>
          <w:i/>
          <w:vertAlign w:val="baseline"/>
        </w:rPr>
        <w:t>Hedley Byrne &amp;</w:t>
      </w:r>
      <w:r>
        <w:rPr>
          <w:rFonts w:ascii="Arial" w:hAnsi="Arial"/>
          <w:i/>
          <w:spacing w:val="40"/>
          <w:vertAlign w:val="baseline"/>
        </w:rPr>
        <w:t> </w:t>
      </w:r>
      <w:r>
        <w:rPr>
          <w:rFonts w:ascii="Arial" w:hAnsi="Arial"/>
          <w:i/>
          <w:vertAlign w:val="baseline"/>
        </w:rPr>
        <w:t>Co Ltd v Heller &amp; Partners Ltd</w:t>
      </w:r>
      <w:r>
        <w:rPr>
          <w:vertAlign w:val="baseline"/>
        </w:rPr>
        <w:t>, </w:t>
      </w:r>
      <w:r>
        <w:rPr>
          <w:color w:val="005DA1"/>
          <w:u w:val="single" w:color="005DA1"/>
          <w:vertAlign w:val="superscript"/>
        </w:rPr>
        <w:t>1158</w:t>
      </w:r>
      <w:r>
        <w:rPr>
          <w:color w:val="005DA1"/>
          <w:vertAlign w:val="baseline"/>
        </w:rPr>
        <w:t> </w:t>
      </w:r>
      <w:r>
        <w:rPr>
          <w:vertAlign w:val="baseline"/>
        </w:rPr>
        <w:t>according to which a person possessed of special skill or knowledge may owe a duty of care in tort by assuming a responsibility to another person within a relationship (whether special or particular to a transaction and whether contractual or not): the principle was not, therefore, restricted to cases of statements. </w:t>
      </w:r>
      <w:r>
        <w:rPr>
          <w:color w:val="005DA1"/>
          <w:u w:val="single" w:color="005DA1"/>
          <w:vertAlign w:val="superscript"/>
        </w:rPr>
        <w:t>1159</w:t>
      </w:r>
      <w:r>
        <w:rPr>
          <w:color w:val="005DA1"/>
          <w:vertAlign w:val="baseline"/>
        </w:rPr>
        <w:t> </w:t>
      </w:r>
      <w:r>
        <w:rPr>
          <w:vertAlign w:val="baseline"/>
        </w:rPr>
        <w:t>The House of Lords further held that, on the facts of the case, there was no reason why the “Names” should not opt to sue on the breach</w:t>
      </w:r>
      <w:r>
        <w:rPr>
          <w:spacing w:val="-1"/>
          <w:vertAlign w:val="baseline"/>
        </w:rPr>
        <w:t> </w:t>
      </w:r>
      <w:r>
        <w:rPr>
          <w:vertAlign w:val="baseline"/>
        </w:rPr>
        <w:t>of</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duty</w:t>
      </w:r>
      <w:r>
        <w:rPr>
          <w:spacing w:val="-1"/>
          <w:vertAlign w:val="baseline"/>
        </w:rPr>
        <w:t> </w:t>
      </w:r>
      <w:r>
        <w:rPr>
          <w:vertAlign w:val="baseline"/>
        </w:rPr>
        <w:t>of</w:t>
      </w:r>
      <w:r>
        <w:rPr>
          <w:spacing w:val="-1"/>
          <w:vertAlign w:val="baseline"/>
        </w:rPr>
        <w:t> </w:t>
      </w:r>
      <w:r>
        <w:rPr>
          <w:vertAlign w:val="baseline"/>
        </w:rPr>
        <w:t>care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tort</w:t>
      </w:r>
      <w:r>
        <w:rPr>
          <w:spacing w:val="-1"/>
          <w:vertAlign w:val="baseline"/>
        </w:rPr>
        <w:t> </w:t>
      </w:r>
      <w:r>
        <w:rPr>
          <w:vertAlign w:val="baseline"/>
        </w:rPr>
        <w:t>of</w:t>
      </w:r>
      <w:r>
        <w:rPr>
          <w:spacing w:val="-1"/>
          <w:vertAlign w:val="baseline"/>
        </w:rPr>
        <w:t> </w:t>
      </w:r>
      <w:r>
        <w:rPr>
          <w:vertAlign w:val="baseline"/>
        </w:rPr>
        <w:t>negligence</w:t>
      </w:r>
      <w:r>
        <w:rPr>
          <w:spacing w:val="-1"/>
          <w:vertAlign w:val="baseline"/>
        </w:rPr>
        <w:t> </w:t>
      </w:r>
      <w:r>
        <w:rPr>
          <w:vertAlign w:val="baseline"/>
        </w:rPr>
        <w:t>rather</w:t>
      </w:r>
      <w:r>
        <w:rPr>
          <w:spacing w:val="-1"/>
          <w:vertAlign w:val="baseline"/>
        </w:rPr>
        <w:t> </w:t>
      </w:r>
      <w:r>
        <w:rPr>
          <w:vertAlign w:val="baseline"/>
        </w:rPr>
        <w:t>than</w:t>
      </w:r>
      <w:r>
        <w:rPr>
          <w:spacing w:val="-1"/>
          <w:vertAlign w:val="baseline"/>
        </w:rPr>
        <w:t> </w:t>
      </w:r>
      <w:r>
        <w:rPr>
          <w:vertAlign w:val="baseline"/>
        </w:rPr>
        <w:t>for</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implied</w:t>
      </w:r>
      <w:r>
        <w:rPr>
          <w:spacing w:val="-1"/>
          <w:vertAlign w:val="baseline"/>
        </w:rPr>
        <w:t> </w:t>
      </w:r>
      <w:r>
        <w:rPr>
          <w:vertAlign w:val="baseline"/>
        </w:rPr>
        <w:t>term</w:t>
      </w:r>
      <w:r>
        <w:rPr>
          <w:spacing w:val="-1"/>
          <w:vertAlign w:val="baseline"/>
        </w:rPr>
        <w:t> </w:t>
      </w:r>
      <w:r>
        <w:rPr>
          <w:vertAlign w:val="baseline"/>
        </w:rPr>
        <w:t>in</w:t>
      </w:r>
      <w:r>
        <w:rPr>
          <w:spacing w:val="-1"/>
          <w:vertAlign w:val="baseline"/>
        </w:rPr>
        <w:t> </w:t>
      </w:r>
      <w:r>
        <w:rPr>
          <w:vertAlign w:val="baseline"/>
        </w:rPr>
        <w:t>their contract with the managing agents. Lord Goff considered that there was “no sound basis for a rule which automatically restricts the claimant to either a tortious or a contractual remedy”, </w:t>
      </w:r>
      <w:r>
        <w:rPr>
          <w:color w:val="005DA1"/>
          <w:u w:val="single" w:color="005DA1"/>
          <w:vertAlign w:val="superscript"/>
        </w:rPr>
        <w:t>1160</w:t>
      </w:r>
      <w:r>
        <w:rPr>
          <w:color w:val="005DA1"/>
          <w:vertAlign w:val="baseline"/>
        </w:rPr>
        <w:t> </w:t>
      </w:r>
      <w:r>
        <w:rPr>
          <w:vertAlign w:val="baseline"/>
        </w:rPr>
        <w:t>though he added that this general right of option was:</w:t>
      </w:r>
    </w:p>
    <w:p>
      <w:pPr>
        <w:pStyle w:val="BodyText"/>
      </w:pPr>
    </w:p>
    <w:p>
      <w:pPr>
        <w:pStyle w:val="BodyText"/>
        <w:spacing w:before="119"/>
      </w:pPr>
    </w:p>
    <w:p>
      <w:pPr>
        <w:pStyle w:val="BodyText"/>
        <w:spacing w:line="235" w:lineRule="auto"/>
        <w:ind w:left="1245" w:right="167"/>
        <w:jc w:val="both"/>
      </w:pPr>
      <w:r>
        <w:rPr/>
        <w:t>“… subject only to ascertaining whether the tortious duty is so inconsistent with </w:t>
      </w:r>
      <w:r>
        <w:rPr/>
        <w:t>the applicable contract that, in accordance with ordinary principle, the parties must be taken to have agreed that the tortious remedy is to be limited or excluded.” </w:t>
      </w:r>
      <w:r>
        <w:rPr>
          <w:color w:val="005DA1"/>
          <w:u w:val="single" w:color="005DA1"/>
          <w:vertAlign w:val="superscript"/>
        </w:rPr>
        <w:t>1161</w:t>
      </w:r>
    </w:p>
    <w:p>
      <w:pPr>
        <w:pStyle w:val="BodyText"/>
      </w:pPr>
    </w:p>
    <w:p>
      <w:pPr>
        <w:pStyle w:val="BodyText"/>
      </w:pPr>
    </w:p>
    <w:p>
      <w:pPr>
        <w:pStyle w:val="BodyText"/>
        <w:spacing w:before="155"/>
      </w:pPr>
    </w:p>
    <w:p>
      <w:pPr>
        <w:spacing w:before="0"/>
        <w:ind w:left="165" w:right="0" w:firstLine="0"/>
        <w:jc w:val="both"/>
        <w:rPr>
          <w:rFonts w:ascii="Arial"/>
          <w:b/>
          <w:sz w:val="18"/>
        </w:rPr>
      </w:pPr>
      <w:r>
        <w:rPr>
          <w:rFonts w:ascii="Arial"/>
          <w:b/>
          <w:sz w:val="18"/>
        </w:rPr>
        <w:t>Contract inconsistent with liability in </w:t>
      </w:r>
      <w:r>
        <w:rPr>
          <w:rFonts w:ascii="Arial"/>
          <w:b/>
          <w:spacing w:val="-4"/>
          <w:sz w:val="18"/>
        </w:rPr>
        <w:t>tort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168</w:t>
      </w:r>
    </w:p>
    <w:p>
      <w:pPr>
        <w:pStyle w:val="BodyText"/>
        <w:spacing w:line="235" w:lineRule="auto" w:before="203"/>
        <w:ind w:left="165" w:right="167"/>
        <w:jc w:val="both"/>
      </w:pPr>
      <w:r>
        <w:rPr/>
        <w:t>This decision therefore affirms the general availability of an option to sue in either tort or contract where the constituent elements allow, the exception being where the contract is inconsistent with </w:t>
      </w:r>
      <w:r>
        <w:rPr/>
        <w:t>a claim in tort. While Lord Goff’s discussion of the “inconsistency of the contract” did not go beyond reference to its express or implied terms (on the facts there was no reason for it to do so), it is submitted that neither the decision itself in </w:t>
      </w:r>
      <w:r>
        <w:rPr>
          <w:rFonts w:ascii="Arial" w:hAnsi="Arial"/>
          <w:i/>
        </w:rPr>
        <w:t>Henderson </w:t>
      </w:r>
      <w:r>
        <w:rPr/>
        <w:t>nor Lord Goff’s speech casts doubt on the proposition that such an “inconsistency” may be found in other features of the contract, notably the existence of a certain contractual immunity enjoyed by the party to the contract against whom the claim in tort is brought. </w:t>
      </w:r>
      <w:r>
        <w:rPr>
          <w:color w:val="005DA1"/>
          <w:u w:val="single" w:color="005DA1"/>
          <w:vertAlign w:val="superscript"/>
        </w:rPr>
        <w:t>1162</w:t>
      </w:r>
    </w:p>
    <w:p>
      <w:pPr>
        <w:pStyle w:val="BodyText"/>
      </w:pPr>
    </w:p>
    <w:p>
      <w:pPr>
        <w:pStyle w:val="BodyText"/>
        <w:spacing w:before="35"/>
      </w:pPr>
    </w:p>
    <w:p>
      <w:pPr>
        <w:spacing w:before="0"/>
        <w:ind w:left="165" w:right="0" w:firstLine="0"/>
        <w:jc w:val="left"/>
        <w:rPr>
          <w:rFonts w:ascii="Arial"/>
          <w:b/>
          <w:sz w:val="18"/>
        </w:rPr>
      </w:pPr>
      <w:r>
        <w:rPr>
          <w:rFonts w:ascii="Arial"/>
          <w:b/>
          <w:sz w:val="18"/>
        </w:rPr>
        <w:t>Assumption of </w:t>
      </w:r>
      <w:r>
        <w:rPr>
          <w:rFonts w:ascii="Arial"/>
          <w:b/>
          <w:spacing w:val="-2"/>
          <w:sz w:val="18"/>
        </w:rPr>
        <w:t>responsibility</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169</w:t>
      </w:r>
    </w:p>
    <w:p>
      <w:pPr>
        <w:pStyle w:val="BodyText"/>
        <w:spacing w:line="235" w:lineRule="auto" w:before="202"/>
        <w:ind w:left="165" w:right="166"/>
        <w:jc w:val="both"/>
      </w:pPr>
      <w:r>
        <w:rPr/>
        <w:t>However, with respect, Lord Goff’s approach in</w:t>
      </w:r>
      <w:r>
        <w:rPr>
          <w:spacing w:val="-1"/>
        </w:rPr>
        <w:t> </w:t>
      </w:r>
      <w:r>
        <w:rPr>
          <w:rFonts w:ascii="Arial" w:hAnsi="Arial"/>
          <w:i/>
        </w:rPr>
        <w:t>Henderson </w:t>
      </w:r>
      <w:r>
        <w:rPr/>
        <w:t>to the existence of a duty of care in tort on which a party to a contract may choose to rely is more problematic. As has been noted, this </w:t>
      </w:r>
      <w:r>
        <w:rPr/>
        <w:t>approach rested on a broad principle of assumption of responsibility drawn from the speeches of the members of the House of Lords in </w:t>
      </w:r>
      <w:r>
        <w:rPr>
          <w:rFonts w:ascii="Arial" w:hAnsi="Arial"/>
          <w:i/>
        </w:rPr>
        <w:t>Hedley Byrne</w:t>
      </w:r>
      <w:r>
        <w:rPr/>
        <w:t>. </w:t>
      </w:r>
      <w:r>
        <w:rPr>
          <w:color w:val="005DA1"/>
          <w:u w:val="single" w:color="005DA1"/>
          <w:vertAlign w:val="superscript"/>
        </w:rPr>
        <w:t>1163</w:t>
      </w:r>
      <w:r>
        <w:rPr>
          <w:color w:val="005DA1"/>
          <w:vertAlign w:val="baseline"/>
        </w:rPr>
        <w:t> </w:t>
      </w:r>
      <w:r>
        <w:rPr>
          <w:vertAlign w:val="baseline"/>
        </w:rPr>
        <w:t>While the notion of “assumption of responsibility” is clearly present in those speeches, they also contained various other elements on which the imposition of a duty of care was to be based, including the special skill and knowledge of the defendant and his or</w:t>
      </w:r>
      <w:r>
        <w:rPr>
          <w:spacing w:val="40"/>
          <w:vertAlign w:val="baseline"/>
        </w:rPr>
        <w:t> </w:t>
      </w:r>
      <w:r>
        <w:rPr>
          <w:vertAlign w:val="baseline"/>
        </w:rPr>
        <w:t>her</w:t>
      </w:r>
      <w:r>
        <w:rPr>
          <w:spacing w:val="40"/>
          <w:vertAlign w:val="baseline"/>
        </w:rPr>
        <w:t> </w:t>
      </w:r>
      <w:r>
        <w:rPr>
          <w:vertAlign w:val="baseline"/>
        </w:rPr>
        <w:t>“special</w:t>
      </w:r>
      <w:r>
        <w:rPr>
          <w:spacing w:val="40"/>
          <w:vertAlign w:val="baseline"/>
        </w:rPr>
        <w:t> </w:t>
      </w:r>
      <w:r>
        <w:rPr>
          <w:vertAlign w:val="baseline"/>
        </w:rPr>
        <w:t>relationship”</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plaintiff.</w:t>
      </w:r>
      <w:r>
        <w:rPr>
          <w:spacing w:val="40"/>
          <w:vertAlign w:val="baseline"/>
        </w:rPr>
        <w:t> </w:t>
      </w:r>
      <w:r>
        <w:rPr>
          <w:vertAlign w:val="baseline"/>
        </w:rPr>
        <w:t>During</w:t>
      </w:r>
      <w:r>
        <w:rPr>
          <w:spacing w:val="40"/>
          <w:vertAlign w:val="baseline"/>
        </w:rPr>
        <w:t> </w:t>
      </w:r>
      <w:r>
        <w:rPr>
          <w:vertAlign w:val="baseline"/>
        </w:rPr>
        <w:t>the</w:t>
      </w:r>
      <w:r>
        <w:rPr>
          <w:spacing w:val="40"/>
          <w:vertAlign w:val="baseline"/>
        </w:rPr>
        <w:t> </w:t>
      </w:r>
      <w:r>
        <w:rPr>
          <w:vertAlign w:val="baseline"/>
        </w:rPr>
        <w:t>period</w:t>
      </w:r>
      <w:r>
        <w:rPr>
          <w:spacing w:val="40"/>
          <w:vertAlign w:val="baseline"/>
        </w:rPr>
        <w:t> </w:t>
      </w:r>
      <w:r>
        <w:rPr>
          <w:vertAlign w:val="baseline"/>
        </w:rPr>
        <w:t>from</w:t>
      </w:r>
      <w:r>
        <w:rPr>
          <w:spacing w:val="40"/>
          <w:vertAlign w:val="baseline"/>
        </w:rPr>
        <w:t> </w:t>
      </w:r>
      <w:r>
        <w:rPr>
          <w:vertAlign w:val="baseline"/>
        </w:rPr>
        <w:t>its</w:t>
      </w:r>
      <w:r>
        <w:rPr>
          <w:spacing w:val="40"/>
          <w:vertAlign w:val="baseline"/>
        </w:rPr>
        <w:t> </w:t>
      </w:r>
      <w:r>
        <w:rPr>
          <w:vertAlign w:val="baseline"/>
        </w:rPr>
        <w:t>decision</w:t>
      </w:r>
      <w:r>
        <w:rPr>
          <w:spacing w:val="40"/>
          <w:vertAlign w:val="baseline"/>
        </w:rPr>
        <w:t> </w:t>
      </w:r>
      <w:r>
        <w:rPr>
          <w:vertAlign w:val="baseline"/>
        </w:rPr>
        <w:t>in</w:t>
      </w:r>
      <w:r>
        <w:rPr>
          <w:spacing w:val="40"/>
          <w:vertAlign w:val="baseline"/>
        </w:rPr>
        <w:t> </w:t>
      </w:r>
      <w:r>
        <w:rPr>
          <w:vertAlign w:val="baseline"/>
        </w:rPr>
        <w:t>1963</w:t>
      </w:r>
      <w:r>
        <w:rPr>
          <w:spacing w:val="40"/>
          <w:vertAlign w:val="baseline"/>
        </w:rPr>
        <w:t> </w:t>
      </w:r>
      <w:r>
        <w:rPr>
          <w:vertAlign w:val="baseline"/>
        </w:rPr>
        <w:t>to</w:t>
      </w:r>
      <w:r>
        <w:rPr>
          <w:spacing w:val="40"/>
          <w:vertAlign w:val="baseline"/>
        </w:rPr>
        <w:t> </w:t>
      </w:r>
      <w:r>
        <w:rPr>
          <w:vertAlign w:val="baseline"/>
        </w:rPr>
        <w:t>the mid-1990s, </w:t>
      </w:r>
      <w:r>
        <w:rPr>
          <w:color w:val="005DA1"/>
          <w:u w:val="single" w:color="005DA1"/>
          <w:vertAlign w:val="superscript"/>
        </w:rPr>
        <w:t>1164</w:t>
      </w:r>
      <w:r>
        <w:rPr>
          <w:color w:val="005DA1"/>
          <w:vertAlign w:val="baseline"/>
        </w:rPr>
        <w:t> </w:t>
      </w:r>
      <w:r>
        <w:rPr>
          <w:vertAlign w:val="baseline"/>
        </w:rPr>
        <w:t>the courts either combined these various elements or emphasised one or more of them as the facts of the case or their own preference suggested, </w:t>
      </w:r>
      <w:r>
        <w:rPr>
          <w:color w:val="005DA1"/>
          <w:u w:val="single" w:color="005DA1"/>
          <w:vertAlign w:val="superscript"/>
        </w:rPr>
        <w:t>1165</w:t>
      </w:r>
      <w:r>
        <w:rPr>
          <w:color w:val="005DA1"/>
          <w:vertAlign w:val="baseline"/>
        </w:rPr>
        <w:t> </w:t>
      </w:r>
      <w:r>
        <w:rPr>
          <w:vertAlign w:val="baseline"/>
        </w:rPr>
        <w:t>but </w:t>
      </w:r>
      <w:r>
        <w:rPr>
          <w:rFonts w:ascii="Arial" w:hAnsi="Arial"/>
          <w:i/>
          <w:vertAlign w:val="baseline"/>
        </w:rPr>
        <w:t>Hedley Byrne </w:t>
      </w:r>
      <w:r>
        <w:rPr>
          <w:vertAlign w:val="baseline"/>
        </w:rPr>
        <w:t>was not, in general, used to expand liability for pure economic loss beyond the situation of liability for negligent </w:t>
      </w:r>
      <w:r>
        <w:rPr>
          <w:rFonts w:ascii="Arial" w:hAnsi="Arial"/>
          <w:i/>
          <w:vertAlign w:val="baseline"/>
        </w:rPr>
        <w:t>misstatements</w:t>
      </w:r>
      <w:r>
        <w:rPr>
          <w:vertAlign w:val="baseline"/>
        </w:rPr>
        <w:t>.</w:t>
      </w:r>
      <w:r>
        <w:rPr>
          <w:spacing w:val="-2"/>
          <w:vertAlign w:val="baseline"/>
        </w:rPr>
        <w:t> </w:t>
      </w:r>
      <w:r>
        <w:rPr>
          <w:color w:val="005DA1"/>
          <w:u w:val="single" w:color="005DA1"/>
          <w:vertAlign w:val="superscript"/>
        </w:rPr>
        <w:t>1166</w:t>
      </w:r>
      <w:r>
        <w:rPr>
          <w:color w:val="005DA1"/>
          <w:spacing w:val="-2"/>
          <w:vertAlign w:val="baseline"/>
        </w:rPr>
        <w:t> </w:t>
      </w:r>
      <w:r>
        <w:rPr>
          <w:vertAlign w:val="baseline"/>
        </w:rPr>
        <w:t>This</w:t>
      </w:r>
      <w:r>
        <w:rPr>
          <w:spacing w:val="-2"/>
          <w:vertAlign w:val="baseline"/>
        </w:rPr>
        <w:t> </w:t>
      </w:r>
      <w:r>
        <w:rPr>
          <w:vertAlign w:val="baseline"/>
        </w:rPr>
        <w:t>restriction</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ambit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“broad</w:t>
      </w:r>
      <w:r>
        <w:rPr>
          <w:spacing w:val="-2"/>
          <w:vertAlign w:val="baseline"/>
        </w:rPr>
        <w:t> </w:t>
      </w:r>
      <w:r>
        <w:rPr>
          <w:vertAlign w:val="baseline"/>
        </w:rPr>
        <w:t>principle</w:t>
      </w:r>
      <w:r>
        <w:rPr>
          <w:spacing w:val="-2"/>
          <w:vertAlign w:val="baseline"/>
        </w:rPr>
        <w:t> </w:t>
      </w:r>
      <w:r>
        <w:rPr>
          <w:vertAlign w:val="baseline"/>
        </w:rPr>
        <w:t>of</w:t>
      </w:r>
      <w:r>
        <w:rPr>
          <w:spacing w:val="-2"/>
          <w:vertAlign w:val="baseline"/>
        </w:rPr>
        <w:t> </w:t>
      </w:r>
      <w:r>
        <w:rPr>
          <w:vertAlign w:val="baseline"/>
        </w:rPr>
        <w:t>assumption</w:t>
      </w:r>
      <w:r>
        <w:rPr>
          <w:spacing w:val="-2"/>
          <w:vertAlign w:val="baseline"/>
        </w:rPr>
        <w:t> </w:t>
      </w:r>
      <w:r>
        <w:rPr>
          <w:vertAlign w:val="baseline"/>
        </w:rPr>
        <w:t>of</w:t>
      </w:r>
      <w:r>
        <w:rPr>
          <w:spacing w:val="-2"/>
          <w:vertAlign w:val="baseline"/>
        </w:rPr>
        <w:t> </w:t>
      </w:r>
      <w:r>
        <w:rPr>
          <w:vertAlign w:val="baseline"/>
        </w:rPr>
        <w:t>responsibility” was, however, firmly rejected by Lord Goff in </w:t>
      </w:r>
      <w:r>
        <w:rPr>
          <w:rFonts w:ascii="Arial" w:hAnsi="Arial"/>
          <w:i/>
          <w:vertAlign w:val="baseline"/>
        </w:rPr>
        <w:t>Henderson </w:t>
      </w:r>
      <w:r>
        <w:rPr>
          <w:color w:val="005DA1"/>
          <w:u w:val="single" w:color="005DA1"/>
          <w:vertAlign w:val="superscript"/>
        </w:rPr>
        <w:t>1167</w:t>
      </w:r>
      <w:r>
        <w:rPr>
          <w:color w:val="005DA1"/>
          <w:vertAlign w:val="baseline"/>
        </w:rPr>
        <w:t> </w:t>
      </w:r>
      <w:r>
        <w:rPr>
          <w:vertAlign w:val="baseline"/>
        </w:rPr>
        <w:t>and it seems that the principle applies where: (i) the defendant has agreed to perform a service or otherwise to do something for the claimant,</w:t>
      </w:r>
      <w:r>
        <w:rPr>
          <w:spacing w:val="27"/>
          <w:vertAlign w:val="baseline"/>
        </w:rPr>
        <w:t> </w:t>
      </w:r>
      <w:r>
        <w:rPr>
          <w:vertAlign w:val="baseline"/>
        </w:rPr>
        <w:t>whether</w:t>
      </w:r>
      <w:r>
        <w:rPr>
          <w:spacing w:val="27"/>
          <w:vertAlign w:val="baseline"/>
        </w:rPr>
        <w:t> </w:t>
      </w:r>
      <w:r>
        <w:rPr>
          <w:vertAlign w:val="baseline"/>
        </w:rPr>
        <w:t>under</w:t>
      </w:r>
      <w:r>
        <w:rPr>
          <w:spacing w:val="28"/>
          <w:vertAlign w:val="baseline"/>
        </w:rPr>
        <w:t> </w:t>
      </w:r>
      <w:r>
        <w:rPr>
          <w:vertAlign w:val="baseline"/>
        </w:rPr>
        <w:t>a</w:t>
      </w:r>
      <w:r>
        <w:rPr>
          <w:spacing w:val="27"/>
          <w:vertAlign w:val="baseline"/>
        </w:rPr>
        <w:t> </w:t>
      </w:r>
      <w:r>
        <w:rPr>
          <w:vertAlign w:val="baseline"/>
        </w:rPr>
        <w:t>contract</w:t>
      </w:r>
      <w:r>
        <w:rPr>
          <w:spacing w:val="28"/>
          <w:vertAlign w:val="baseline"/>
        </w:rPr>
        <w:t> </w:t>
      </w:r>
      <w:r>
        <w:rPr>
          <w:vertAlign w:val="baseline"/>
        </w:rPr>
        <w:t>or</w:t>
      </w:r>
      <w:r>
        <w:rPr>
          <w:spacing w:val="27"/>
          <w:vertAlign w:val="baseline"/>
        </w:rPr>
        <w:t> </w:t>
      </w:r>
      <w:r>
        <w:rPr>
          <w:vertAlign w:val="baseline"/>
        </w:rPr>
        <w:t>not</w:t>
      </w:r>
      <w:r>
        <w:rPr>
          <w:spacing w:val="27"/>
          <w:vertAlign w:val="baseline"/>
        </w:rPr>
        <w:t> </w:t>
      </w:r>
      <w:r>
        <w:rPr>
          <w:color w:val="005DA1"/>
          <w:u w:val="single" w:color="005DA1"/>
          <w:vertAlign w:val="superscript"/>
        </w:rPr>
        <w:t>1168</w:t>
      </w:r>
      <w:r>
        <w:rPr>
          <w:vertAlign w:val="baseline"/>
        </w:rPr>
        <w:t>;</w:t>
      </w:r>
      <w:r>
        <w:rPr>
          <w:spacing w:val="27"/>
          <w:vertAlign w:val="baseline"/>
        </w:rPr>
        <w:t> </w:t>
      </w:r>
      <w:r>
        <w:rPr>
          <w:vertAlign w:val="baseline"/>
        </w:rPr>
        <w:t>(ii)</w:t>
      </w:r>
      <w:r>
        <w:rPr>
          <w:spacing w:val="28"/>
          <w:vertAlign w:val="baseline"/>
        </w:rPr>
        <w:t> </w:t>
      </w:r>
      <w:r>
        <w:rPr>
          <w:vertAlign w:val="baseline"/>
        </w:rPr>
        <w:t>the</w:t>
      </w:r>
      <w:r>
        <w:rPr>
          <w:spacing w:val="27"/>
          <w:vertAlign w:val="baseline"/>
        </w:rPr>
        <w:t> </w:t>
      </w:r>
      <w:r>
        <w:rPr>
          <w:vertAlign w:val="baseline"/>
        </w:rPr>
        <w:t>defendant</w:t>
      </w:r>
      <w:r>
        <w:rPr>
          <w:spacing w:val="28"/>
          <w:vertAlign w:val="baseline"/>
        </w:rPr>
        <w:t> </w:t>
      </w:r>
      <w:r>
        <w:rPr>
          <w:vertAlign w:val="baseline"/>
        </w:rPr>
        <w:t>possessed</w:t>
      </w:r>
      <w:r>
        <w:rPr>
          <w:spacing w:val="27"/>
          <w:vertAlign w:val="baseline"/>
        </w:rPr>
        <w:t> </w:t>
      </w:r>
      <w:r>
        <w:rPr>
          <w:vertAlign w:val="baseline"/>
        </w:rPr>
        <w:t>or</w:t>
      </w:r>
      <w:r>
        <w:rPr>
          <w:spacing w:val="28"/>
          <w:vertAlign w:val="baseline"/>
        </w:rPr>
        <w:t> </w:t>
      </w:r>
      <w:r>
        <w:rPr>
          <w:vertAlign w:val="baseline"/>
        </w:rPr>
        <w:t>held</w:t>
      </w:r>
      <w:r>
        <w:rPr>
          <w:spacing w:val="27"/>
          <w:vertAlign w:val="baseline"/>
        </w:rPr>
        <w:t> </w:t>
      </w:r>
      <w:r>
        <w:rPr>
          <w:vertAlign w:val="baseline"/>
        </w:rPr>
        <w:t>himself</w:t>
      </w:r>
      <w:r>
        <w:rPr>
          <w:spacing w:val="28"/>
          <w:vertAlign w:val="baseline"/>
        </w:rPr>
        <w:t> </w:t>
      </w:r>
      <w:r>
        <w:rPr>
          <w:vertAlign w:val="baseline"/>
        </w:rPr>
        <w:t>out</w:t>
      </w:r>
      <w:r>
        <w:rPr>
          <w:spacing w:val="27"/>
          <w:vertAlign w:val="baseline"/>
        </w:rPr>
        <w:t> </w:t>
      </w:r>
      <w:r>
        <w:rPr>
          <w:spacing w:val="-5"/>
          <w:vertAlign w:val="baseline"/>
        </w:rPr>
        <w:t>as</w:t>
      </w:r>
    </w:p>
    <w:p>
      <w:pPr>
        <w:pStyle w:val="BodyText"/>
        <w:spacing w:after="0" w:line="235" w:lineRule="auto"/>
        <w:jc w:val="both"/>
        <w:sectPr>
          <w:pgSz w:w="11900" w:h="16840"/>
          <w:pgMar w:header="971" w:footer="0" w:top="1300" w:bottom="280" w:left="1275" w:right="1275"/>
        </w:sectPr>
      </w:pPr>
    </w:p>
    <w:p>
      <w:pPr>
        <w:pStyle w:val="BodyText"/>
        <w:spacing w:line="230" w:lineRule="auto" w:before="114"/>
        <w:ind w:left="164" w:right="167"/>
        <w:jc w:val="both"/>
        <w:rPr>
          <w:sz w:val="12"/>
        </w:rPr>
      </w:pPr>
      <w:r>
        <w:rPr/>
        <w:t>possessing special skill or knowledge in relation to these services or this task </w:t>
      </w:r>
      <w:r>
        <w:rPr>
          <w:color w:val="005DA1"/>
          <w:u w:val="single" w:color="005DA1"/>
          <w:vertAlign w:val="superscript"/>
        </w:rPr>
        <w:t>1169</w:t>
      </w:r>
      <w:r>
        <w:rPr>
          <w:vertAlign w:val="baseline"/>
        </w:rPr>
        <w:t>; and (iii) some evidence of reliance by the claimant can be made out. As regards the last of these conditions, </w:t>
      </w:r>
      <w:r>
        <w:rPr>
          <w:vertAlign w:val="baseline"/>
        </w:rPr>
        <w:t>in cases of negligent misstatement the claimant’s reliance provides the causal link between the defendant’s</w:t>
      </w:r>
      <w:r>
        <w:rPr>
          <w:spacing w:val="-3"/>
          <w:vertAlign w:val="baseline"/>
        </w:rPr>
        <w:t> </w:t>
      </w:r>
      <w:r>
        <w:rPr>
          <w:vertAlign w:val="baseline"/>
        </w:rPr>
        <w:t>statement</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claimant’s</w:t>
      </w:r>
      <w:r>
        <w:rPr>
          <w:spacing w:val="-3"/>
          <w:vertAlign w:val="baseline"/>
        </w:rPr>
        <w:t> </w:t>
      </w:r>
      <w:r>
        <w:rPr>
          <w:vertAlign w:val="baseline"/>
        </w:rPr>
        <w:t>loss.</w:t>
      </w:r>
      <w:r>
        <w:rPr>
          <w:spacing w:val="-4"/>
          <w:vertAlign w:val="baseline"/>
        </w:rPr>
        <w:t> </w:t>
      </w:r>
      <w:r>
        <w:rPr>
          <w:color w:val="005DA1"/>
          <w:u w:val="single" w:color="005DA1"/>
          <w:vertAlign w:val="superscript"/>
        </w:rPr>
        <w:t>1170</w:t>
      </w:r>
      <w:r>
        <w:rPr>
          <w:color w:val="005DA1"/>
          <w:spacing w:val="-3"/>
          <w:vertAlign w:val="baseline"/>
        </w:rPr>
        <w:t> </w:t>
      </w:r>
      <w:r>
        <w:rPr>
          <w:vertAlign w:val="baseline"/>
        </w:rPr>
        <w:t>However,</w:t>
      </w:r>
      <w:r>
        <w:rPr>
          <w:spacing w:val="-3"/>
          <w:vertAlign w:val="baseline"/>
        </w:rPr>
        <w:t> </w:t>
      </w:r>
      <w:r>
        <w:rPr>
          <w:vertAlign w:val="baseline"/>
        </w:rPr>
        <w:t>outside</w:t>
      </w:r>
      <w:r>
        <w:rPr>
          <w:spacing w:val="-3"/>
          <w:vertAlign w:val="baseline"/>
        </w:rPr>
        <w:t> </w:t>
      </w:r>
      <w:r>
        <w:rPr>
          <w:vertAlign w:val="baseline"/>
        </w:rPr>
        <w:t>this</w:t>
      </w:r>
      <w:r>
        <w:rPr>
          <w:spacing w:val="-3"/>
          <w:vertAlign w:val="baseline"/>
        </w:rPr>
        <w:t> </w:t>
      </w:r>
      <w:r>
        <w:rPr>
          <w:vertAlign w:val="baseline"/>
        </w:rPr>
        <w:t>type</w:t>
      </w:r>
      <w:r>
        <w:rPr>
          <w:spacing w:val="-3"/>
          <w:vertAlign w:val="baseline"/>
        </w:rPr>
        <w:t> </w:t>
      </w:r>
      <w:r>
        <w:rPr>
          <w:vertAlign w:val="baseline"/>
        </w:rPr>
        <w:t>of</w:t>
      </w:r>
      <w:r>
        <w:rPr>
          <w:spacing w:val="-3"/>
          <w:vertAlign w:val="baseline"/>
        </w:rPr>
        <w:t> </w:t>
      </w:r>
      <w:r>
        <w:rPr>
          <w:vertAlign w:val="baseline"/>
        </w:rPr>
        <w:t>case</w:t>
      </w:r>
      <w:r>
        <w:rPr>
          <w:spacing w:val="-3"/>
          <w:vertAlign w:val="baseline"/>
        </w:rPr>
        <w:t> </w:t>
      </w:r>
      <w:r>
        <w:rPr>
          <w:vertAlign w:val="baseline"/>
        </w:rPr>
        <w:t>and</w:t>
      </w:r>
      <w:r>
        <w:rPr>
          <w:spacing w:val="-3"/>
          <w:vertAlign w:val="baseline"/>
        </w:rPr>
        <w:t> </w:t>
      </w:r>
      <w:r>
        <w:rPr>
          <w:vertAlign w:val="baseline"/>
        </w:rPr>
        <w:t>as</w:t>
      </w:r>
      <w:r>
        <w:rPr>
          <w:spacing w:val="-3"/>
          <w:vertAlign w:val="baseline"/>
        </w:rPr>
        <w:t> </w:t>
      </w:r>
      <w:r>
        <w:rPr>
          <w:vertAlign w:val="baseline"/>
        </w:rPr>
        <w:t>between parties to a contract, the element of “reliance” by the claimant may be found in the claimant’s entering the contract under which the services, etc. are agreed to be done by the defendant. </w:t>
      </w:r>
      <w:r>
        <w:rPr>
          <w:color w:val="005DA1"/>
          <w:u w:val="single" w:color="005DA1"/>
          <w:vertAlign w:val="superscript"/>
        </w:rPr>
        <w:t>1171</w:t>
      </w:r>
      <w:r>
        <w:rPr>
          <w:color w:val="005DA1"/>
          <w:vertAlign w:val="baseline"/>
        </w:rPr>
        <w:t> </w:t>
      </w:r>
      <w:r>
        <w:rPr>
          <w:vertAlign w:val="baseline"/>
        </w:rPr>
        <w:t>Such a basis of liability in tort is not merely “equivalent to contract”; it is likely in very many cases to be parasitic on </w:t>
      </w:r>
      <w:r>
        <w:rPr>
          <w:position w:val="-9"/>
          <w:vertAlign w:val="baseline"/>
        </w:rPr>
        <w:t>it. </w:t>
      </w:r>
      <w:r>
        <w:rPr>
          <w:color w:val="005DA1"/>
          <w:sz w:val="12"/>
          <w:u w:val="single" w:color="005DA1"/>
          <w:vertAlign w:val="baseline"/>
        </w:rPr>
        <w:t>1172</w:t>
      </w:r>
    </w:p>
    <w:p>
      <w:pPr>
        <w:pStyle w:val="BodyText"/>
      </w:pPr>
    </w:p>
    <w:p>
      <w:pPr>
        <w:pStyle w:val="BodyText"/>
        <w:spacing w:before="44"/>
      </w:pPr>
    </w:p>
    <w:p>
      <w:pPr>
        <w:spacing w:before="0"/>
        <w:ind w:left="165" w:right="0" w:firstLine="0"/>
        <w:jc w:val="left"/>
        <w:rPr>
          <w:rFonts w:ascii="Arial"/>
          <w:b/>
          <w:sz w:val="18"/>
        </w:rPr>
      </w:pPr>
      <w:r>
        <w:rPr>
          <w:rFonts w:ascii="Arial"/>
          <w:b/>
          <w:sz w:val="18"/>
        </w:rPr>
        <w:t>Robinson v P E Jones (Contractors) Ltd. </w:t>
      </w:r>
      <w:r>
        <w:rPr>
          <w:rFonts w:ascii="Arial"/>
          <w:b/>
          <w:color w:val="005DA1"/>
          <w:spacing w:val="-4"/>
          <w:sz w:val="18"/>
          <w:u w:val="single" w:color="005DA1"/>
          <w:vertAlign w:val="superscript"/>
        </w:rPr>
        <w:t>1173</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170</w:t>
      </w:r>
    </w:p>
    <w:p>
      <w:pPr>
        <w:pStyle w:val="BodyText"/>
        <w:spacing w:line="235" w:lineRule="auto" w:before="203"/>
        <w:ind w:left="165" w:right="167"/>
        <w:jc w:val="both"/>
      </w:pPr>
      <w:r>
        <w:rPr/>
        <w:t>However, in 2011 the Court of Appeal took a step back from this apparent result of the reasoning </w:t>
      </w:r>
      <w:r>
        <w:rPr/>
        <w:t>in </w:t>
      </w:r>
      <w:r>
        <w:rPr>
          <w:rFonts w:ascii="Arial" w:hAnsi="Arial"/>
          <w:i/>
        </w:rPr>
        <w:t>Henderson</w:t>
      </w:r>
      <w:r>
        <w:rPr/>
        <w:t>. There the claimants had bought a house from the defendant, a builder, on terms which included a clause which limited the defendant’s liability to the liability arising under the National House-Building Council’s standard form of agreement (which the parties also executed). The claimants later claimed damages for the financial consequences of a defect in the house as built for them in the tort of negligence, their claim in contract being time-barred. In these circumstances, the Court of Appeal denied the existence of a duty of care in the tort of negligence on the basis that the claimants’ claim was for pure economic loss against a builder for defects in the building. </w:t>
      </w:r>
      <w:r>
        <w:rPr>
          <w:color w:val="005DA1"/>
          <w:u w:val="single" w:color="005DA1"/>
          <w:vertAlign w:val="superscript"/>
        </w:rPr>
        <w:t>1174</w:t>
      </w:r>
      <w:r>
        <w:rPr>
          <w:color w:val="005DA1"/>
          <w:vertAlign w:val="baseline"/>
        </w:rPr>
        <w:t> </w:t>
      </w:r>
      <w:r>
        <w:rPr>
          <w:vertAlign w:val="baseline"/>
        </w:rPr>
        <w:t>For the Court</w:t>
      </w:r>
      <w:r>
        <w:rPr>
          <w:spacing w:val="-4"/>
          <w:vertAlign w:val="baseline"/>
        </w:rPr>
        <w:t> </w:t>
      </w:r>
      <w:r>
        <w:rPr>
          <w:vertAlign w:val="baseline"/>
        </w:rPr>
        <w:t>of</w:t>
      </w:r>
      <w:r>
        <w:rPr>
          <w:spacing w:val="-4"/>
          <w:vertAlign w:val="baseline"/>
        </w:rPr>
        <w:t> </w:t>
      </w:r>
      <w:r>
        <w:rPr>
          <w:vertAlign w:val="baseline"/>
        </w:rPr>
        <w:t>Appeal,</w:t>
      </w:r>
      <w:r>
        <w:rPr>
          <w:spacing w:val="-4"/>
          <w:vertAlign w:val="baseline"/>
        </w:rPr>
        <w:t> </w:t>
      </w:r>
      <w:r>
        <w:rPr>
          <w:vertAlign w:val="baseline"/>
        </w:rPr>
        <w:t>the</w:t>
      </w:r>
      <w:r>
        <w:rPr>
          <w:spacing w:val="-4"/>
          <w:vertAlign w:val="baseline"/>
        </w:rPr>
        <w:t> </w:t>
      </w:r>
      <w:r>
        <w:rPr>
          <w:vertAlign w:val="baseline"/>
        </w:rPr>
        <w:t>existence</w:t>
      </w:r>
      <w:r>
        <w:rPr>
          <w:spacing w:val="-4"/>
          <w:vertAlign w:val="baseline"/>
        </w:rPr>
        <w:t> </w:t>
      </w:r>
      <w:r>
        <w:rPr>
          <w:vertAlign w:val="baseline"/>
        </w:rPr>
        <w:t>of</w:t>
      </w:r>
      <w:r>
        <w:rPr>
          <w:spacing w:val="-4"/>
          <w:vertAlign w:val="baseline"/>
        </w:rPr>
        <w:t> </w:t>
      </w:r>
      <w:r>
        <w:rPr>
          <w:vertAlign w:val="baseline"/>
        </w:rPr>
        <w:t>an</w:t>
      </w:r>
      <w:r>
        <w:rPr>
          <w:spacing w:val="-4"/>
          <w:vertAlign w:val="baseline"/>
        </w:rPr>
        <w:t> </w:t>
      </w:r>
      <w:r>
        <w:rPr>
          <w:vertAlign w:val="baseline"/>
        </w:rPr>
        <w:t>effective</w:t>
      </w:r>
      <w:r>
        <w:rPr>
          <w:spacing w:val="-4"/>
          <w:vertAlign w:val="baseline"/>
        </w:rPr>
        <w:t> </w:t>
      </w:r>
      <w:r>
        <w:rPr>
          <w:vertAlign w:val="baseline"/>
        </w:rPr>
        <w:t>limitation</w:t>
      </w:r>
      <w:r>
        <w:rPr>
          <w:spacing w:val="-4"/>
          <w:vertAlign w:val="baseline"/>
        </w:rPr>
        <w:t> </w:t>
      </w:r>
      <w:r>
        <w:rPr>
          <w:vertAlign w:val="baseline"/>
        </w:rPr>
        <w:t>clause</w:t>
      </w:r>
      <w:r>
        <w:rPr>
          <w:spacing w:val="-4"/>
          <w:vertAlign w:val="baseline"/>
        </w:rPr>
        <w:t> </w:t>
      </w:r>
      <w:r>
        <w:rPr>
          <w:color w:val="005DA1"/>
          <w:u w:val="single" w:color="005DA1"/>
          <w:vertAlign w:val="superscript"/>
        </w:rPr>
        <w:t>1175</w:t>
      </w:r>
      <w:r>
        <w:rPr>
          <w:color w:val="005DA1"/>
          <w:spacing w:val="-4"/>
          <w:vertAlign w:val="baseline"/>
        </w:rPr>
        <w:t> </w:t>
      </w:r>
      <w:r>
        <w:rPr>
          <w:vertAlign w:val="baseline"/>
        </w:rPr>
        <w:t>was</w:t>
      </w:r>
      <w:r>
        <w:rPr>
          <w:spacing w:val="-4"/>
          <w:vertAlign w:val="baseline"/>
        </w:rPr>
        <w:t> </w:t>
      </w:r>
      <w:r>
        <w:rPr>
          <w:vertAlign w:val="baseline"/>
        </w:rPr>
        <w:t>inconsistent</w:t>
      </w:r>
      <w:r>
        <w:rPr>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imposition of a duty of care in tort based on an assumption of responsibility, applying the clear approach taken</w:t>
      </w:r>
      <w:r>
        <w:rPr>
          <w:spacing w:val="40"/>
          <w:vertAlign w:val="baseline"/>
        </w:rPr>
        <w:t> </w:t>
      </w:r>
      <w:r>
        <w:rPr>
          <w:vertAlign w:val="baseline"/>
        </w:rPr>
        <w:t>by the House of Lords in </w:t>
      </w:r>
      <w:r>
        <w:rPr>
          <w:rFonts w:ascii="Arial" w:hAnsi="Arial"/>
          <w:i/>
          <w:vertAlign w:val="baseline"/>
        </w:rPr>
        <w:t>Henderson</w:t>
      </w:r>
      <w:r>
        <w:rPr>
          <w:vertAlign w:val="baseline"/>
        </w:rPr>
        <w:t>. </w:t>
      </w:r>
      <w:r>
        <w:rPr>
          <w:color w:val="005DA1"/>
          <w:u w:val="single" w:color="005DA1"/>
          <w:vertAlign w:val="superscript"/>
        </w:rPr>
        <w:t>1176</w:t>
      </w:r>
      <w:r>
        <w:rPr>
          <w:color w:val="005DA1"/>
          <w:vertAlign w:val="baseline"/>
        </w:rPr>
        <w:t> </w:t>
      </w:r>
      <w:r>
        <w:rPr>
          <w:vertAlign w:val="baseline"/>
        </w:rPr>
        <w:t>However, the Court of Appeal expressed views which more generally took a more cautious approach to assumption of responsibility under </w:t>
      </w:r>
      <w:r>
        <w:rPr>
          <w:rFonts w:ascii="Arial" w:hAnsi="Arial"/>
          <w:i/>
          <w:vertAlign w:val="baseline"/>
        </w:rPr>
        <w:t>Hedley Byrne</w:t>
      </w:r>
      <w:r>
        <w:rPr>
          <w:vertAlign w:val="baseline"/>
        </w:rPr>
        <w:t>. So, Jackson L.J. (with whom Maurice Kay L.J. and Stanley Burton L.J. agreed) saw nothing in the case before him:</w:t>
      </w:r>
    </w:p>
    <w:p>
      <w:pPr>
        <w:pStyle w:val="BodyText"/>
      </w:pPr>
    </w:p>
    <w:p>
      <w:pPr>
        <w:pStyle w:val="BodyText"/>
        <w:spacing w:before="121"/>
      </w:pPr>
    </w:p>
    <w:p>
      <w:pPr>
        <w:pStyle w:val="BodyText"/>
        <w:spacing w:line="235" w:lineRule="auto"/>
        <w:ind w:left="1245" w:right="167"/>
        <w:jc w:val="both"/>
      </w:pPr>
      <w:r>
        <w:rPr/>
        <w:t>“to suggest that the defendant “assumed responsibility” to the claimant in the Hedley Byrne sense. The parties entered into a normal contract whereby the defendant </w:t>
      </w:r>
      <w:r>
        <w:rPr/>
        <w:t>would complete the construction of a house for the claimant to an agreed specification and the claimant</w:t>
      </w:r>
      <w:r>
        <w:rPr>
          <w:spacing w:val="-3"/>
        </w:rPr>
        <w:t> </w:t>
      </w:r>
      <w:r>
        <w:rPr/>
        <w:t>would</w:t>
      </w:r>
      <w:r>
        <w:rPr>
          <w:spacing w:val="-3"/>
        </w:rPr>
        <w:t> </w:t>
      </w:r>
      <w:r>
        <w:rPr/>
        <w:t>pay</w:t>
      </w:r>
      <w:r>
        <w:rPr>
          <w:spacing w:val="-3"/>
        </w:rPr>
        <w:t> </w:t>
      </w:r>
      <w:r>
        <w:rPr/>
        <w:t>the</w:t>
      </w:r>
      <w:r>
        <w:rPr>
          <w:spacing w:val="-3"/>
        </w:rPr>
        <w:t> </w:t>
      </w:r>
      <w:r>
        <w:rPr/>
        <w:t>purchase</w:t>
      </w:r>
      <w:r>
        <w:rPr>
          <w:spacing w:val="-3"/>
        </w:rPr>
        <w:t> </w:t>
      </w:r>
      <w:r>
        <w:rPr/>
        <w:t>price.</w:t>
      </w:r>
      <w:r>
        <w:rPr>
          <w:spacing w:val="-3"/>
        </w:rPr>
        <w:t> </w:t>
      </w:r>
      <w:r>
        <w:rPr/>
        <w:t>The</w:t>
      </w:r>
      <w:r>
        <w:rPr>
          <w:spacing w:val="-3"/>
        </w:rPr>
        <w:t> </w:t>
      </w:r>
      <w:r>
        <w:rPr/>
        <w:t>defendant’s</w:t>
      </w:r>
      <w:r>
        <w:rPr>
          <w:spacing w:val="-3"/>
        </w:rPr>
        <w:t> </w:t>
      </w:r>
      <w:r>
        <w:rPr/>
        <w:t>warranties</w:t>
      </w:r>
      <w:r>
        <w:rPr>
          <w:spacing w:val="-3"/>
        </w:rPr>
        <w:t> </w:t>
      </w:r>
      <w:r>
        <w:rPr/>
        <w:t>of</w:t>
      </w:r>
      <w:r>
        <w:rPr>
          <w:spacing w:val="-3"/>
        </w:rPr>
        <w:t> </w:t>
      </w:r>
      <w:r>
        <w:rPr/>
        <w:t>quality</w:t>
      </w:r>
      <w:r>
        <w:rPr>
          <w:spacing w:val="-3"/>
        </w:rPr>
        <w:t> </w:t>
      </w:r>
      <w:r>
        <w:rPr/>
        <w:t>were</w:t>
      </w:r>
      <w:r>
        <w:rPr>
          <w:spacing w:val="-3"/>
        </w:rPr>
        <w:t> </w:t>
      </w:r>
      <w:r>
        <w:rPr/>
        <w:t>set</w:t>
      </w:r>
      <w:r>
        <w:rPr>
          <w:spacing w:val="-3"/>
        </w:rPr>
        <w:t> </w:t>
      </w:r>
      <w:r>
        <w:rPr/>
        <w:t>out and the claimant’s remedies in the event of breach of warranty were also set out. The parties were not in a professional relationship whereby, for example, the claimant was paying the defendant to give advice or to prepare reports or plans upon which the claimant would act.” </w:t>
      </w:r>
      <w:r>
        <w:rPr>
          <w:color w:val="005DA1"/>
          <w:u w:val="single" w:color="005DA1"/>
          <w:vertAlign w:val="superscript"/>
        </w:rPr>
        <w:t>1177</w:t>
      </w:r>
    </w:p>
    <w:p>
      <w:pPr>
        <w:pStyle w:val="BodyText"/>
        <w:spacing w:before="114"/>
      </w:pPr>
    </w:p>
    <w:p>
      <w:pPr>
        <w:pStyle w:val="BodyText"/>
        <w:spacing w:line="235" w:lineRule="auto"/>
        <w:ind w:left="165" w:right="167"/>
        <w:jc w:val="both"/>
      </w:pPr>
      <w:r>
        <w:rPr/>
        <w:t>Even apart from the limitation clause, Jackson L.J. therefore would have been disinclined to find </w:t>
      </w:r>
      <w:r>
        <w:rPr/>
        <w:t>a duty of care based on assumption of responsibility. Stanley Burton L.J. added that:</w:t>
      </w:r>
    </w:p>
    <w:p>
      <w:pPr>
        <w:pStyle w:val="BodyText"/>
      </w:pPr>
    </w:p>
    <w:p>
      <w:pPr>
        <w:pStyle w:val="BodyText"/>
        <w:spacing w:before="126"/>
      </w:pPr>
    </w:p>
    <w:p>
      <w:pPr>
        <w:pStyle w:val="BodyText"/>
        <w:spacing w:line="235" w:lineRule="auto"/>
        <w:ind w:left="1245" w:right="167"/>
        <w:jc w:val="both"/>
      </w:pPr>
      <w:r>
        <w:rPr/>
        <w:t>“It is important to note that a person who assumes a contractual duty of care does not thereby assume an identical duty of care in tort to the other contracting party. The duty of care in contract extends to any defect in the building, goods or service supplied under the contract, as well as to loss or damage caused by such a defect to another building or goods. The duty of care in tort, although said to arise from an assumption of liability, </w:t>
      </w:r>
      <w:r>
        <w:rPr/>
        <w:t>is imposed by the law. In cases of purely financial loss, assumption of liability is used both as a means of imposing liability in tort and as a restriction on the persons to whom the duty is owed … The provider of a service, such as an accountant or solicitor, owes a duty of</w:t>
      </w:r>
      <w:r>
        <w:rPr>
          <w:spacing w:val="9"/>
        </w:rPr>
        <w:t> </w:t>
      </w:r>
      <w:r>
        <w:rPr/>
        <w:t>care</w:t>
      </w:r>
      <w:r>
        <w:rPr>
          <w:spacing w:val="9"/>
        </w:rPr>
        <w:t> </w:t>
      </w:r>
      <w:r>
        <w:rPr/>
        <w:t>in</w:t>
      </w:r>
      <w:r>
        <w:rPr>
          <w:spacing w:val="9"/>
        </w:rPr>
        <w:t> </w:t>
      </w:r>
      <w:r>
        <w:rPr/>
        <w:t>tort</w:t>
      </w:r>
      <w:r>
        <w:rPr>
          <w:spacing w:val="9"/>
        </w:rPr>
        <w:t> </w:t>
      </w:r>
      <w:r>
        <w:rPr/>
        <w:t>to</w:t>
      </w:r>
      <w:r>
        <w:rPr>
          <w:spacing w:val="9"/>
        </w:rPr>
        <w:t> </w:t>
      </w:r>
      <w:r>
        <w:rPr/>
        <w:t>his</w:t>
      </w:r>
      <w:r>
        <w:rPr>
          <w:spacing w:val="9"/>
        </w:rPr>
        <w:t> </w:t>
      </w:r>
      <w:r>
        <w:rPr/>
        <w:t>client</w:t>
      </w:r>
      <w:r>
        <w:rPr>
          <w:spacing w:val="9"/>
        </w:rPr>
        <w:t> </w:t>
      </w:r>
      <w:r>
        <w:rPr/>
        <w:t>because</w:t>
      </w:r>
      <w:r>
        <w:rPr>
          <w:spacing w:val="9"/>
        </w:rPr>
        <w:t> </w:t>
      </w:r>
      <w:r>
        <w:rPr/>
        <w:t>his</w:t>
      </w:r>
      <w:r>
        <w:rPr>
          <w:spacing w:val="9"/>
        </w:rPr>
        <w:t> </w:t>
      </w:r>
      <w:r>
        <w:rPr/>
        <w:t>negligence</w:t>
      </w:r>
      <w:r>
        <w:rPr>
          <w:spacing w:val="9"/>
        </w:rPr>
        <w:t> </w:t>
      </w:r>
      <w:r>
        <w:rPr/>
        <w:t>may</w:t>
      </w:r>
      <w:r>
        <w:rPr>
          <w:spacing w:val="9"/>
        </w:rPr>
        <w:t> </w:t>
      </w:r>
      <w:r>
        <w:rPr/>
        <w:t>cause</w:t>
      </w:r>
      <w:r>
        <w:rPr>
          <w:spacing w:val="9"/>
        </w:rPr>
        <w:t> </w:t>
      </w:r>
      <w:r>
        <w:rPr/>
        <w:t>loss</w:t>
      </w:r>
      <w:r>
        <w:rPr>
          <w:spacing w:val="9"/>
        </w:rPr>
        <w:t> </w:t>
      </w:r>
      <w:r>
        <w:rPr/>
        <w:t>of</w:t>
      </w:r>
      <w:r>
        <w:rPr>
          <w:spacing w:val="9"/>
        </w:rPr>
        <w:t> </w:t>
      </w:r>
      <w:r>
        <w:rPr/>
        <w:t>the</w:t>
      </w:r>
      <w:r>
        <w:rPr>
          <w:spacing w:val="9"/>
        </w:rPr>
        <w:t> </w:t>
      </w:r>
      <w:r>
        <w:rPr/>
        <w:t>client’s</w:t>
      </w:r>
      <w:r>
        <w:rPr>
          <w:spacing w:val="9"/>
        </w:rPr>
        <w:t> </w:t>
      </w:r>
      <w:r>
        <w:rPr>
          <w:spacing w:val="-2"/>
        </w:rPr>
        <w:t>assets.”</w:t>
      </w:r>
    </w:p>
    <w:p>
      <w:pPr>
        <w:spacing w:line="110" w:lineRule="exact" w:before="0"/>
        <w:ind w:left="1245" w:right="0" w:firstLine="0"/>
        <w:jc w:val="left"/>
        <w:rPr>
          <w:sz w:val="12"/>
        </w:rPr>
      </w:pPr>
      <w:r>
        <w:rPr>
          <w:color w:val="005DA1"/>
          <w:spacing w:val="-4"/>
          <w:sz w:val="12"/>
          <w:u w:val="single" w:color="005DA1"/>
        </w:rPr>
        <w:t>1178</w:t>
      </w:r>
    </w:p>
    <w:p>
      <w:pPr>
        <w:pStyle w:val="BodyText"/>
        <w:rPr>
          <w:sz w:val="12"/>
        </w:rPr>
      </w:pPr>
    </w:p>
    <w:p>
      <w:pPr>
        <w:pStyle w:val="BodyText"/>
        <w:rPr>
          <w:sz w:val="12"/>
        </w:rPr>
      </w:pPr>
    </w:p>
    <w:p>
      <w:pPr>
        <w:pStyle w:val="BodyText"/>
        <w:spacing w:before="44"/>
        <w:rPr>
          <w:sz w:val="12"/>
        </w:rPr>
      </w:pPr>
    </w:p>
    <w:p>
      <w:pPr>
        <w:pStyle w:val="BodyText"/>
        <w:spacing w:line="235" w:lineRule="auto"/>
        <w:ind w:left="165" w:right="167"/>
        <w:jc w:val="both"/>
      </w:pPr>
      <w:r>
        <w:rPr/>
        <w:t>These passages therefore emphasise that the mere existence of a contractual agreement </w:t>
      </w:r>
      <w:r>
        <w:rPr/>
        <w:t>to undertake something for the contracting party will not necessarily be treated as an “assumption of responsibility” for the task which is the subject matter of their contractual obligation.</w:t>
      </w:r>
    </w:p>
    <w:p>
      <w:pPr>
        <w:pStyle w:val="BodyText"/>
        <w:spacing w:after="0" w:line="235" w:lineRule="auto"/>
        <w:jc w:val="both"/>
        <w:sectPr>
          <w:pgSz w:w="11900" w:h="16840"/>
          <w:pgMar w:header="971" w:footer="0" w:top="1300" w:bottom="280" w:left="1275" w:right="1275"/>
        </w:sectPr>
      </w:pPr>
    </w:p>
    <w:p>
      <w:pPr>
        <w:pStyle w:val="BodyText"/>
        <w:spacing w:before="2"/>
        <w:rPr>
          <w:sz w:val="18"/>
        </w:rPr>
      </w:pPr>
    </w:p>
    <w:p>
      <w:pPr>
        <w:spacing w:before="0"/>
        <w:ind w:left="165" w:right="0" w:firstLine="0"/>
        <w:jc w:val="left"/>
        <w:rPr>
          <w:rFonts w:ascii="Arial"/>
          <w:b/>
          <w:sz w:val="18"/>
        </w:rPr>
      </w:pPr>
      <w:r>
        <w:rPr>
          <w:rFonts w:ascii="Arial"/>
          <w:b/>
          <w:sz w:val="18"/>
        </w:rPr>
        <w:t>Fair, just and </w:t>
      </w:r>
      <w:r>
        <w:rPr>
          <w:rFonts w:ascii="Arial"/>
          <w:b/>
          <w:spacing w:val="-2"/>
          <w:sz w:val="18"/>
        </w:rPr>
        <w:t>reasonable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171</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52" name="Image 452"/>
            <wp:cNvGraphicFramePr>
              <a:graphicFrameLocks/>
            </wp:cNvGraphicFramePr>
            <a:graphic>
              <a:graphicData uri="http://schemas.openxmlformats.org/drawingml/2006/picture">
                <pic:pic>
                  <pic:nvPicPr>
                    <pic:cNvPr id="452" name="Image 45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According to Lord Goff in </w:t>
      </w:r>
      <w:r>
        <w:rPr>
          <w:rFonts w:ascii="Arial" w:hAnsi="Arial"/>
          <w:i/>
        </w:rPr>
        <w:t>Henderson</w:t>
      </w:r>
      <w:r>
        <w:rPr/>
        <w:t>, where an alleged duty of care is based on the doctrine of assumption of responsibility there is no need to enter the question of whether it is “fair, just and reasonable” to impose such a duty, even in cases where the claimant’s loss is purely economic:</w:t>
      </w:r>
    </w:p>
    <w:p>
      <w:pPr>
        <w:pStyle w:val="BodyText"/>
      </w:pPr>
    </w:p>
    <w:p>
      <w:pPr>
        <w:pStyle w:val="BodyText"/>
        <w:spacing w:before="125"/>
      </w:pPr>
    </w:p>
    <w:p>
      <w:pPr>
        <w:pStyle w:val="BodyText"/>
        <w:spacing w:line="235" w:lineRule="auto"/>
        <w:ind w:left="1245" w:right="167"/>
        <w:jc w:val="both"/>
      </w:pPr>
      <w:r>
        <w:rPr/>
        <w:t>“… the concept [of assumption of responsibility] provides its own explanation why there </w:t>
      </w:r>
      <w:r>
        <w:rPr/>
        <w:t>is no problem in cases of this kind about liability for economic loss; for if a person assumes responsibility to another in respect of certain services, there is no reason why he should not be liable in damages for [</w:t>
      </w:r>
      <w:r>
        <w:rPr>
          <w:rFonts w:ascii="Arial" w:hAnsi="Arial"/>
          <w:i/>
        </w:rPr>
        <w:t>sic</w:t>
      </w:r>
      <w:r>
        <w:rPr/>
        <w:t>, to] that other in respect of economic loss which flows from the negligent performance of those services.” </w:t>
      </w:r>
      <w:r>
        <w:rPr>
          <w:color w:val="005DA1"/>
          <w:u w:val="single" w:color="005DA1"/>
          <w:vertAlign w:val="superscript"/>
        </w:rPr>
        <w:t>1179</w:t>
      </w:r>
    </w:p>
    <w:p>
      <w:pPr>
        <w:pStyle w:val="BodyText"/>
        <w:spacing w:before="115"/>
      </w:pPr>
    </w:p>
    <w:p>
      <w:pPr>
        <w:pStyle w:val="BodyText"/>
        <w:spacing w:line="235" w:lineRule="auto"/>
        <w:ind w:left="165" w:right="167"/>
        <w:jc w:val="both"/>
      </w:pPr>
      <w:r>
        <w:rPr/>
        <w:t>It may be argued in support of this proposition that where a claimant has satisfied the conditions </w:t>
      </w:r>
      <w:r>
        <w:rPr/>
        <w:t>for the</w:t>
      </w:r>
      <w:r>
        <w:rPr>
          <w:spacing w:val="-1"/>
        </w:rPr>
        <w:t> </w:t>
      </w:r>
      <w:r>
        <w:rPr/>
        <w:t>application</w:t>
      </w:r>
      <w:r>
        <w:rPr>
          <w:spacing w:val="-1"/>
        </w:rPr>
        <w:t> </w:t>
      </w:r>
      <w:r>
        <w:rPr/>
        <w:t>of</w:t>
      </w:r>
      <w:r>
        <w:rPr>
          <w:spacing w:val="-1"/>
        </w:rPr>
        <w:t> </w:t>
      </w:r>
      <w:r>
        <w:rPr/>
        <w:t>the</w:t>
      </w:r>
      <w:r>
        <w:rPr>
          <w:spacing w:val="-1"/>
        </w:rPr>
        <w:t> </w:t>
      </w:r>
      <w:r>
        <w:rPr/>
        <w:t>“broad</w:t>
      </w:r>
      <w:r>
        <w:rPr>
          <w:spacing w:val="-1"/>
        </w:rPr>
        <w:t> </w:t>
      </w:r>
      <w:r>
        <w:rPr/>
        <w:t>principle”,</w:t>
      </w:r>
      <w:r>
        <w:rPr>
          <w:spacing w:val="-1"/>
        </w:rPr>
        <w:t> </w:t>
      </w:r>
      <w:r>
        <w:rPr/>
        <w:t>there</w:t>
      </w:r>
      <w:r>
        <w:rPr>
          <w:spacing w:val="-1"/>
        </w:rPr>
        <w:t> </w:t>
      </w:r>
      <w:r>
        <w:rPr/>
        <w:t>is</w:t>
      </w:r>
      <w:r>
        <w:rPr>
          <w:spacing w:val="-1"/>
        </w:rPr>
        <w:t> </w:t>
      </w:r>
      <w:r>
        <w:rPr/>
        <w:t>no</w:t>
      </w:r>
      <w:r>
        <w:rPr>
          <w:spacing w:val="-1"/>
        </w:rPr>
        <w:t> </w:t>
      </w:r>
      <w:r>
        <w:rPr/>
        <w:t>need</w:t>
      </w:r>
      <w:r>
        <w:rPr>
          <w:spacing w:val="-1"/>
        </w:rPr>
        <w:t> </w:t>
      </w:r>
      <w:r>
        <w:rPr/>
        <w:t>for</w:t>
      </w:r>
      <w:r>
        <w:rPr>
          <w:spacing w:val="-1"/>
        </w:rPr>
        <w:t> </w:t>
      </w:r>
      <w:r>
        <w:rPr/>
        <w:t>an</w:t>
      </w:r>
      <w:r>
        <w:rPr>
          <w:spacing w:val="-1"/>
        </w:rPr>
        <w:t> </w:t>
      </w:r>
      <w:r>
        <w:rPr/>
        <w:t>inquiry</w:t>
      </w:r>
      <w:r>
        <w:rPr>
          <w:spacing w:val="-1"/>
        </w:rPr>
        <w:t> </w:t>
      </w:r>
      <w:r>
        <w:rPr/>
        <w:t>as</w:t>
      </w:r>
      <w:r>
        <w:rPr>
          <w:spacing w:val="-1"/>
        </w:rPr>
        <w:t> </w:t>
      </w:r>
      <w:r>
        <w:rPr/>
        <w:t>to</w:t>
      </w:r>
      <w:r>
        <w:rPr>
          <w:spacing w:val="-1"/>
        </w:rPr>
        <w:t> </w:t>
      </w:r>
      <w:r>
        <w:rPr/>
        <w:t>the</w:t>
      </w:r>
      <w:r>
        <w:rPr>
          <w:spacing w:val="-1"/>
        </w:rPr>
        <w:t> </w:t>
      </w:r>
      <w:r>
        <w:rPr/>
        <w:t>desirability</w:t>
      </w:r>
      <w:r>
        <w:rPr>
          <w:spacing w:val="-1"/>
        </w:rPr>
        <w:t> </w:t>
      </w:r>
      <w:r>
        <w:rPr/>
        <w:t>as</w:t>
      </w:r>
      <w:r>
        <w:rPr>
          <w:spacing w:val="-1"/>
        </w:rPr>
        <w:t> </w:t>
      </w:r>
      <w:r>
        <w:rPr/>
        <w:t>a</w:t>
      </w:r>
      <w:r>
        <w:rPr>
          <w:spacing w:val="-1"/>
        </w:rPr>
        <w:t> </w:t>
      </w:r>
      <w:r>
        <w:rPr/>
        <w:t>matter of</w:t>
      </w:r>
      <w:r>
        <w:rPr>
          <w:spacing w:val="-2"/>
        </w:rPr>
        <w:t> </w:t>
      </w:r>
      <w:r>
        <w:rPr/>
        <w:t>policy</w:t>
      </w:r>
      <w:r>
        <w:rPr>
          <w:spacing w:val="-2"/>
        </w:rPr>
        <w:t> </w:t>
      </w:r>
      <w:r>
        <w:rPr/>
        <w:t>of</w:t>
      </w:r>
      <w:r>
        <w:rPr>
          <w:spacing w:val="-2"/>
        </w:rPr>
        <w:t> </w:t>
      </w:r>
      <w:r>
        <w:rPr/>
        <w:t>the</w:t>
      </w:r>
      <w:r>
        <w:rPr>
          <w:spacing w:val="-2"/>
        </w:rPr>
        <w:t> </w:t>
      </w:r>
      <w:r>
        <w:rPr/>
        <w:t>imposition</w:t>
      </w:r>
      <w:r>
        <w:rPr>
          <w:spacing w:val="-2"/>
        </w:rPr>
        <w:t> </w:t>
      </w:r>
      <w:r>
        <w:rPr/>
        <w:t>of</w:t>
      </w:r>
      <w:r>
        <w:rPr>
          <w:spacing w:val="-2"/>
        </w:rPr>
        <w:t> </w:t>
      </w:r>
      <w:r>
        <w:rPr/>
        <w:t>liability</w:t>
      </w:r>
      <w:r>
        <w:rPr>
          <w:spacing w:val="-2"/>
        </w:rPr>
        <w:t> </w:t>
      </w:r>
      <w:r>
        <w:rPr>
          <w:rFonts w:ascii="Arial" w:hAnsi="Arial"/>
          <w:i/>
        </w:rPr>
        <w:t>for</w:t>
      </w:r>
      <w:r>
        <w:rPr>
          <w:rFonts w:ascii="Arial" w:hAnsi="Arial"/>
          <w:i/>
          <w:spacing w:val="-2"/>
        </w:rPr>
        <w:t> </w:t>
      </w:r>
      <w:r>
        <w:rPr>
          <w:rFonts w:ascii="Arial" w:hAnsi="Arial"/>
          <w:i/>
        </w:rPr>
        <w:t>pure</w:t>
      </w:r>
      <w:r>
        <w:rPr>
          <w:rFonts w:ascii="Arial" w:hAnsi="Arial"/>
          <w:i/>
          <w:spacing w:val="-2"/>
        </w:rPr>
        <w:t> </w:t>
      </w:r>
      <w:r>
        <w:rPr>
          <w:rFonts w:ascii="Arial" w:hAnsi="Arial"/>
          <w:i/>
        </w:rPr>
        <w:t>economic</w:t>
      </w:r>
      <w:r>
        <w:rPr>
          <w:rFonts w:ascii="Arial" w:hAnsi="Arial"/>
          <w:i/>
          <w:spacing w:val="-2"/>
        </w:rPr>
        <w:t> </w:t>
      </w:r>
      <w:r>
        <w:rPr>
          <w:rFonts w:ascii="Arial" w:hAnsi="Arial"/>
          <w:i/>
        </w:rPr>
        <w:t>loss</w:t>
      </w:r>
      <w:r>
        <w:rPr>
          <w:rFonts w:ascii="Arial" w:hAnsi="Arial"/>
          <w:i/>
          <w:spacing w:val="-2"/>
        </w:rPr>
        <w:t> </w:t>
      </w:r>
      <w:r>
        <w:rPr/>
        <w:t>as</w:t>
      </w:r>
      <w:r>
        <w:rPr>
          <w:spacing w:val="-2"/>
        </w:rPr>
        <w:t> </w:t>
      </w:r>
      <w:r>
        <w:rPr/>
        <w:t>the</w:t>
      </w:r>
      <w:r>
        <w:rPr>
          <w:spacing w:val="-2"/>
        </w:rPr>
        <w:t> </w:t>
      </w:r>
      <w:r>
        <w:rPr/>
        <w:t>principle</w:t>
      </w:r>
      <w:r>
        <w:rPr>
          <w:spacing w:val="-2"/>
        </w:rPr>
        <w:t> </w:t>
      </w:r>
      <w:r>
        <w:rPr/>
        <w:t>itself</w:t>
      </w:r>
      <w:r>
        <w:rPr>
          <w:spacing w:val="-2"/>
        </w:rPr>
        <w:t> </w:t>
      </w:r>
      <w:r>
        <w:rPr/>
        <w:t>contains</w:t>
      </w:r>
      <w:r>
        <w:rPr>
          <w:spacing w:val="-2"/>
        </w:rPr>
        <w:t> </w:t>
      </w:r>
      <w:r>
        <w:rPr/>
        <w:t>the</w:t>
      </w:r>
      <w:r>
        <w:rPr>
          <w:spacing w:val="-2"/>
        </w:rPr>
        <w:t> </w:t>
      </w:r>
      <w:r>
        <w:rPr/>
        <w:t>requisite factors—such as “special skill or knowledge” and “reliance”—which balance the justice of its imposition. </w:t>
      </w:r>
      <w:r>
        <w:rPr>
          <w:color w:val="005DA1"/>
          <w:u w:val="single" w:color="005DA1"/>
          <w:vertAlign w:val="superscript"/>
        </w:rPr>
        <w:t>1180</w:t>
      </w:r>
      <w:r>
        <w:rPr>
          <w:color w:val="005DA1"/>
          <w:vertAlign w:val="baseline"/>
        </w:rPr>
        <w:t> </w:t>
      </w:r>
      <w:r>
        <w:rPr>
          <w:vertAlign w:val="baseline"/>
        </w:rPr>
        <w:t>However, in the dictum quoted above Lord Goff may be thought to go further: for it appears to suggest, if not that a person who “assumes responsibility” does so </w:t>
      </w:r>
      <w:r>
        <w:rPr>
          <w:rFonts w:ascii="Arial" w:hAnsi="Arial"/>
          <w:i/>
          <w:vertAlign w:val="baseline"/>
        </w:rPr>
        <w:t>for </w:t>
      </w:r>
      <w:r>
        <w:rPr>
          <w:vertAlign w:val="baseline"/>
        </w:rPr>
        <w:t>economic loss (a position which gives to </w:t>
      </w:r>
      <w:r>
        <w:rPr>
          <w:rFonts w:ascii="Arial" w:hAnsi="Arial"/>
          <w:i/>
          <w:vertAlign w:val="baseline"/>
        </w:rPr>
        <w:t>"assumption of responsibility"</w:t>
      </w:r>
      <w:r>
        <w:rPr>
          <w:rFonts w:ascii="Arial" w:hAnsi="Arial"/>
          <w:i/>
          <w:spacing w:val="40"/>
          <w:vertAlign w:val="baseline"/>
        </w:rPr>
        <w:t> </w:t>
      </w:r>
      <w:r>
        <w:rPr>
          <w:vertAlign w:val="baseline"/>
        </w:rPr>
        <w:t>the meaning of agreeing </w:t>
      </w:r>
      <w:r>
        <w:rPr>
          <w:rFonts w:ascii="Arial" w:hAnsi="Arial"/>
          <w:i/>
          <w:vertAlign w:val="baseline"/>
        </w:rPr>
        <w:t>to be liable </w:t>
      </w:r>
      <w:r>
        <w:rPr>
          <w:vertAlign w:val="baseline"/>
        </w:rPr>
        <w:t>which was clearly rejected by the House of Lords), then at least that such a person is to be held liable for a type of loss which flows from the nature of his agreement (to perform a certain type of service) which he has made. If so, this surely expresses no more than the idea that in these circumstances pure economic loss is a natural and probable (or indeed forseeable) type of harm arising from the breach</w:t>
      </w:r>
      <w:r>
        <w:rPr>
          <w:spacing w:val="40"/>
          <w:vertAlign w:val="baseline"/>
        </w:rPr>
        <w:t> </w:t>
      </w:r>
      <w:r>
        <w:rPr>
          <w:vertAlign w:val="baseline"/>
        </w:rPr>
        <w:t>of his agreement. And if this is so, then it is at most an argument in favour of recovery for pure economic loss, rather than a unanswerable reason for it. With the greatest respect, Lord Goff’s suggestion that there “should be no need” to inquire into the “fairness, justice and reasonableness” of imposition of a duty of care should not be interpreted to mean that, apart from the issue of liability for pure economic loss, questions of policy are incapable of acting to negative a prima facie duty arising from an assumption of responsibility. Such an interpretation would, it is submitted, be inconsistent</w:t>
      </w:r>
      <w:r>
        <w:rPr>
          <w:spacing w:val="40"/>
          <w:vertAlign w:val="baseline"/>
        </w:rPr>
        <w:t> </w:t>
      </w:r>
      <w:r>
        <w:rPr>
          <w:vertAlign w:val="baseline"/>
        </w:rPr>
        <w:t>with the careful enquiry undertaken by members of the House of Lords in </w:t>
      </w:r>
      <w:r>
        <w:rPr>
          <w:rFonts w:ascii="Arial" w:hAnsi="Arial"/>
          <w:i/>
          <w:vertAlign w:val="baseline"/>
        </w:rPr>
        <w:t>Arthur J.S. Hall v Simons </w:t>
      </w:r>
      <w:r>
        <w:rPr>
          <w:color w:val="005DA1"/>
          <w:u w:val="single" w:color="005DA1"/>
          <w:vertAlign w:val="superscript"/>
        </w:rPr>
        <w:t>1181</w:t>
      </w:r>
      <w:r>
        <w:rPr>
          <w:color w:val="005DA1"/>
          <w:vertAlign w:val="baseline"/>
        </w:rPr>
        <w:t> </w:t>
      </w:r>
      <w:r>
        <w:rPr>
          <w:vertAlign w:val="baseline"/>
        </w:rPr>
        <w:t>into the considerations of policy relevant to the question whether barristers and other advocates should enjoy a degree of immunity from liability in respect of the conduct and management of litigation. Rather, as Hamblen L.J. (with whom Gloster V.P. and Irwin L.J. agreed) observed in </w:t>
      </w:r>
      <w:r>
        <w:rPr>
          <w:rFonts w:ascii="Arial" w:hAnsi="Arial"/>
          <w:i/>
          <w:vertAlign w:val="baseline"/>
        </w:rPr>
        <w:t>Burgess v Lejonvarn</w:t>
      </w:r>
      <w:r>
        <w:rPr>
          <w:vertAlign w:val="baseline"/>
        </w:rPr>
        <w:t>, in cases of assumption of responsibility,</w:t>
      </w:r>
    </w:p>
    <w:p>
      <w:pPr>
        <w:pStyle w:val="BodyText"/>
      </w:pPr>
    </w:p>
    <w:p>
      <w:pPr>
        <w:pStyle w:val="BodyText"/>
        <w:spacing w:before="119"/>
      </w:pPr>
    </w:p>
    <w:p>
      <w:pPr>
        <w:pStyle w:val="BodyText"/>
        <w:spacing w:line="235" w:lineRule="auto"/>
        <w:ind w:left="1245" w:right="167"/>
        <w:jc w:val="both"/>
      </w:pPr>
      <w:r>
        <w:rPr/>
        <w:t>“[w]hilst there is no need to make a further inquiry into whether it would be fair, just and reasonable</w:t>
      </w:r>
      <w:r>
        <w:rPr>
          <w:spacing w:val="18"/>
        </w:rPr>
        <w:t> </w:t>
      </w:r>
      <w:r>
        <w:rPr/>
        <w:t>to</w:t>
      </w:r>
      <w:r>
        <w:rPr>
          <w:spacing w:val="18"/>
        </w:rPr>
        <w:t> </w:t>
      </w:r>
      <w:r>
        <w:rPr/>
        <w:t>impose</w:t>
      </w:r>
      <w:r>
        <w:rPr>
          <w:spacing w:val="18"/>
        </w:rPr>
        <w:t> </w:t>
      </w:r>
      <w:r>
        <w:rPr/>
        <w:t>liability,</w:t>
      </w:r>
      <w:r>
        <w:rPr>
          <w:spacing w:val="18"/>
        </w:rPr>
        <w:t> </w:t>
      </w:r>
      <w:r>
        <w:rPr/>
        <w:t>that</w:t>
      </w:r>
      <w:r>
        <w:rPr>
          <w:spacing w:val="18"/>
        </w:rPr>
        <w:t> </w:t>
      </w:r>
      <w:r>
        <w:rPr/>
        <w:t>is</w:t>
      </w:r>
      <w:r>
        <w:rPr>
          <w:spacing w:val="18"/>
        </w:rPr>
        <w:t> </w:t>
      </w:r>
      <w:r>
        <w:rPr/>
        <w:t>because</w:t>
      </w:r>
      <w:r>
        <w:rPr>
          <w:spacing w:val="18"/>
        </w:rPr>
        <w:t> </w:t>
      </w:r>
      <w:r>
        <w:rPr/>
        <w:t>such</w:t>
      </w:r>
      <w:r>
        <w:rPr>
          <w:spacing w:val="18"/>
        </w:rPr>
        <w:t> </w:t>
      </w:r>
      <w:r>
        <w:rPr/>
        <w:t>considerations</w:t>
      </w:r>
      <w:r>
        <w:rPr>
          <w:spacing w:val="18"/>
        </w:rPr>
        <w:t> </w:t>
      </w:r>
      <w:r>
        <w:rPr/>
        <w:t>will</w:t>
      </w:r>
      <w:r>
        <w:rPr>
          <w:spacing w:val="18"/>
        </w:rPr>
        <w:t> </w:t>
      </w:r>
      <w:r>
        <w:rPr/>
        <w:t>have</w:t>
      </w:r>
      <w:r>
        <w:rPr>
          <w:spacing w:val="18"/>
        </w:rPr>
        <w:t> </w:t>
      </w:r>
      <w:r>
        <w:rPr/>
        <w:t>been</w:t>
      </w:r>
      <w:r>
        <w:rPr>
          <w:spacing w:val="18"/>
        </w:rPr>
        <w:t> </w:t>
      </w:r>
      <w:r>
        <w:rPr>
          <w:spacing w:val="-2"/>
        </w:rPr>
        <w:t>taken</w:t>
      </w:r>
    </w:p>
    <w:p>
      <w:pPr>
        <w:pStyle w:val="BodyText"/>
        <w:spacing w:before="115"/>
        <w:ind w:left="1245"/>
        <w:jc w:val="both"/>
      </w:pPr>
      <w:r>
        <w:rPr/>
        <w:drawing>
          <wp:anchor distT="0" distB="0" distL="0" distR="0" allowOverlap="1" layoutInCell="1" locked="0" behindDoc="1" simplePos="0" relativeHeight="487693312">
            <wp:simplePos x="0" y="0"/>
            <wp:positionH relativeFrom="page">
              <wp:posOffset>1600200</wp:posOffset>
            </wp:positionH>
            <wp:positionV relativeFrom="paragraph">
              <wp:posOffset>244194</wp:posOffset>
            </wp:positionV>
            <wp:extent cx="107727" cy="107727"/>
            <wp:effectExtent l="0" t="0" r="0" b="0"/>
            <wp:wrapTopAndBottom/>
            <wp:docPr id="453" name="Image 453"/>
            <wp:cNvGraphicFramePr>
              <a:graphicFrameLocks/>
            </wp:cNvGraphicFramePr>
            <a:graphic>
              <a:graphicData uri="http://schemas.openxmlformats.org/drawingml/2006/picture">
                <pic:pic>
                  <pic:nvPicPr>
                    <pic:cNvPr id="453" name="Image 453"/>
                    <pic:cNvPicPr/>
                  </pic:nvPicPr>
                  <pic:blipFill>
                    <a:blip r:embed="rId6" cstate="print"/>
                    <a:stretch>
                      <a:fillRect/>
                    </a:stretch>
                  </pic:blipFill>
                  <pic:spPr>
                    <a:xfrm>
                      <a:off x="0" y="0"/>
                      <a:ext cx="107727" cy="107727"/>
                    </a:xfrm>
                    <a:prstGeom prst="rect">
                      <a:avLst/>
                    </a:prstGeom>
                  </pic:spPr>
                </pic:pic>
              </a:graphicData>
            </a:graphic>
          </wp:anchor>
        </w:drawing>
      </w:r>
      <w:r>
        <w:rPr/>
        <w:t>into</w:t>
      </w:r>
      <w:r>
        <w:rPr>
          <w:spacing w:val="-1"/>
        </w:rPr>
        <w:t> </w:t>
      </w:r>
      <w:r>
        <w:rPr/>
        <w:t>account</w:t>
      </w:r>
      <w:r>
        <w:rPr>
          <w:spacing w:val="-1"/>
        </w:rPr>
        <w:t> </w:t>
      </w:r>
      <w:r>
        <w:rPr/>
        <w:t>in</w:t>
      </w:r>
      <w:r>
        <w:rPr>
          <w:spacing w:val="-1"/>
        </w:rPr>
        <w:t> </w:t>
      </w:r>
      <w:r>
        <w:rPr/>
        <w:t>determining</w:t>
      </w:r>
      <w:r>
        <w:rPr>
          <w:spacing w:val="-1"/>
        </w:rPr>
        <w:t> </w:t>
      </w:r>
      <w:r>
        <w:rPr/>
        <w:t>whether</w:t>
      </w:r>
      <w:r>
        <w:rPr>
          <w:spacing w:val="-1"/>
        </w:rPr>
        <w:t> </w:t>
      </w:r>
      <w:r>
        <w:rPr/>
        <w:t>there</w:t>
      </w:r>
      <w:r>
        <w:rPr>
          <w:spacing w:val="-1"/>
        </w:rPr>
        <w:t> </w:t>
      </w:r>
      <w:r>
        <w:rPr/>
        <w:t>has</w:t>
      </w:r>
      <w:r>
        <w:rPr>
          <w:spacing w:val="-1"/>
        </w:rPr>
        <w:t> </w:t>
      </w:r>
      <w:r>
        <w:rPr/>
        <w:t>been</w:t>
      </w:r>
      <w:r>
        <w:rPr>
          <w:spacing w:val="-1"/>
        </w:rPr>
        <w:t> </w:t>
      </w:r>
      <w:r>
        <w:rPr/>
        <w:t>an</w:t>
      </w:r>
      <w:r>
        <w:rPr>
          <w:spacing w:val="-1"/>
        </w:rPr>
        <w:t> </w:t>
      </w:r>
      <w:r>
        <w:rPr/>
        <w:t>assumption</w:t>
      </w:r>
      <w:r>
        <w:rPr>
          <w:spacing w:val="-1"/>
        </w:rPr>
        <w:t> </w:t>
      </w:r>
      <w:r>
        <w:rPr/>
        <w:t>of</w:t>
      </w:r>
      <w:r>
        <w:rPr>
          <w:spacing w:val="-1"/>
        </w:rPr>
        <w:t> </w:t>
      </w:r>
      <w:r>
        <w:rPr/>
        <w:t>responsibility.”</w:t>
      </w:r>
      <w:r>
        <w:rPr>
          <w:spacing w:val="-3"/>
        </w:rPr>
        <w:t> </w:t>
      </w:r>
      <w:r>
        <w:rPr>
          <w:color w:val="005DA1"/>
          <w:spacing w:val="-4"/>
          <w:u w:val="single" w:color="005DA1"/>
          <w:vertAlign w:val="superscript"/>
        </w:rPr>
        <w:t>1182</w:t>
      </w:r>
    </w:p>
    <w:p>
      <w:pPr>
        <w:pStyle w:val="BodyText"/>
        <w:spacing w:before="131"/>
      </w:pPr>
    </w:p>
    <w:p>
      <w:pPr>
        <w:pStyle w:val="BodyText"/>
        <w:spacing w:line="235" w:lineRule="auto" w:before="1"/>
        <w:ind w:left="165" w:right="167"/>
        <w:jc w:val="both"/>
      </w:pPr>
      <w:r>
        <w:rPr/>
        <w:t>Moreover,</w:t>
      </w:r>
      <w:r>
        <w:rPr>
          <w:spacing w:val="-3"/>
        </w:rPr>
        <w:t> </w:t>
      </w:r>
      <w:r>
        <w:rPr/>
        <w:t>in</w:t>
      </w:r>
      <w:r>
        <w:rPr>
          <w:spacing w:val="-3"/>
        </w:rPr>
        <w:t> </w:t>
      </w:r>
      <w:r>
        <w:rPr>
          <w:rFonts w:ascii="Arial" w:hAnsi="Arial"/>
          <w:i/>
        </w:rPr>
        <w:t>Marc</w:t>
      </w:r>
      <w:r>
        <w:rPr>
          <w:rFonts w:ascii="Arial" w:hAnsi="Arial"/>
          <w:i/>
          <w:spacing w:val="-3"/>
        </w:rPr>
        <w:t> </w:t>
      </w:r>
      <w:r>
        <w:rPr>
          <w:rFonts w:ascii="Arial" w:hAnsi="Arial"/>
          <w:i/>
        </w:rPr>
        <w:t>Rich</w:t>
      </w:r>
      <w:r>
        <w:rPr>
          <w:rFonts w:ascii="Arial" w:hAnsi="Arial"/>
          <w:i/>
          <w:spacing w:val="-3"/>
        </w:rPr>
        <w:t> </w:t>
      </w:r>
      <w:r>
        <w:rPr>
          <w:rFonts w:ascii="Arial" w:hAnsi="Arial"/>
          <w:i/>
        </w:rPr>
        <w:t>&amp;</w:t>
      </w:r>
      <w:r>
        <w:rPr>
          <w:rFonts w:ascii="Arial" w:hAnsi="Arial"/>
          <w:i/>
          <w:spacing w:val="-3"/>
        </w:rPr>
        <w:t> </w:t>
      </w:r>
      <w:r>
        <w:rPr>
          <w:rFonts w:ascii="Arial" w:hAnsi="Arial"/>
          <w:i/>
        </w:rPr>
        <w:t>Co</w:t>
      </w:r>
      <w:r>
        <w:rPr>
          <w:rFonts w:ascii="Arial" w:hAnsi="Arial"/>
          <w:i/>
          <w:spacing w:val="-3"/>
        </w:rPr>
        <w:t> </w:t>
      </w:r>
      <w:r>
        <w:rPr>
          <w:rFonts w:ascii="Arial" w:hAnsi="Arial"/>
          <w:i/>
        </w:rPr>
        <w:t>AG</w:t>
      </w:r>
      <w:r>
        <w:rPr>
          <w:rFonts w:ascii="Arial" w:hAnsi="Arial"/>
          <w:i/>
          <w:spacing w:val="-3"/>
        </w:rPr>
        <w:t> </w:t>
      </w:r>
      <w:r>
        <w:rPr>
          <w:rFonts w:ascii="Arial" w:hAnsi="Arial"/>
          <w:i/>
        </w:rPr>
        <w:t>v</w:t>
      </w:r>
      <w:r>
        <w:rPr>
          <w:rFonts w:ascii="Arial" w:hAnsi="Arial"/>
          <w:i/>
          <w:spacing w:val="-3"/>
        </w:rPr>
        <w:t> </w:t>
      </w:r>
      <w:r>
        <w:rPr>
          <w:rFonts w:ascii="Arial" w:hAnsi="Arial"/>
          <w:i/>
        </w:rPr>
        <w:t>Bishop</w:t>
      </w:r>
      <w:r>
        <w:rPr>
          <w:rFonts w:ascii="Arial" w:hAnsi="Arial"/>
          <w:i/>
          <w:spacing w:val="-3"/>
        </w:rPr>
        <w:t> </w:t>
      </w:r>
      <w:r>
        <w:rPr>
          <w:rFonts w:ascii="Arial" w:hAnsi="Arial"/>
          <w:i/>
        </w:rPr>
        <w:t>Rock</w:t>
      </w:r>
      <w:r>
        <w:rPr>
          <w:rFonts w:ascii="Arial" w:hAnsi="Arial"/>
          <w:i/>
          <w:spacing w:val="-3"/>
        </w:rPr>
        <w:t> </w:t>
      </w:r>
      <w:r>
        <w:rPr>
          <w:rFonts w:ascii="Arial" w:hAnsi="Arial"/>
          <w:i/>
        </w:rPr>
        <w:t>Marine</w:t>
      </w:r>
      <w:r>
        <w:rPr>
          <w:rFonts w:ascii="Arial" w:hAnsi="Arial"/>
          <w:i/>
          <w:spacing w:val="-3"/>
        </w:rPr>
        <w:t> </w:t>
      </w:r>
      <w:r>
        <w:rPr>
          <w:rFonts w:ascii="Arial" w:hAnsi="Arial"/>
          <w:i/>
        </w:rPr>
        <w:t>Co</w:t>
      </w:r>
      <w:r>
        <w:rPr/>
        <w:t>,</w:t>
      </w:r>
      <w:r>
        <w:rPr>
          <w:spacing w:val="-3"/>
        </w:rPr>
        <w:t> </w:t>
      </w:r>
      <w:r>
        <w:rPr>
          <w:color w:val="005DA1"/>
          <w:u w:val="single" w:color="005DA1"/>
          <w:vertAlign w:val="superscript"/>
        </w:rPr>
        <w:t>1183</w:t>
      </w:r>
      <w:r>
        <w:rPr>
          <w:color w:val="005DA1"/>
          <w:spacing w:val="-3"/>
          <w:vertAlign w:val="baseline"/>
        </w:rPr>
        <w:t> </w:t>
      </w:r>
      <w:r>
        <w:rPr>
          <w:vertAlign w:val="baseline"/>
        </w:rPr>
        <w:t>the</w:t>
      </w:r>
      <w:r>
        <w:rPr>
          <w:spacing w:val="-3"/>
          <w:vertAlign w:val="baseline"/>
        </w:rPr>
        <w:t> </w:t>
      </w:r>
      <w:r>
        <w:rPr>
          <w:vertAlign w:val="baseline"/>
        </w:rPr>
        <w:t>House</w:t>
      </w:r>
      <w:r>
        <w:rPr>
          <w:spacing w:val="-3"/>
          <w:vertAlign w:val="baseline"/>
        </w:rPr>
        <w:t> </w:t>
      </w:r>
      <w:r>
        <w:rPr>
          <w:vertAlign w:val="baseline"/>
        </w:rPr>
        <w:t>of</w:t>
      </w:r>
      <w:r>
        <w:rPr>
          <w:spacing w:val="-3"/>
          <w:vertAlign w:val="baseline"/>
        </w:rPr>
        <w:t> </w:t>
      </w:r>
      <w:r>
        <w:rPr>
          <w:vertAlign w:val="baseline"/>
        </w:rPr>
        <w:t>Lords</w:t>
      </w:r>
      <w:r>
        <w:rPr>
          <w:spacing w:val="-3"/>
          <w:vertAlign w:val="baseline"/>
        </w:rPr>
        <w:t> </w:t>
      </w:r>
      <w:r>
        <w:rPr>
          <w:vertAlign w:val="baseline"/>
        </w:rPr>
        <w:t>confirmed</w:t>
      </w:r>
      <w:r>
        <w:rPr>
          <w:spacing w:val="-3"/>
          <w:vertAlign w:val="baseline"/>
        </w:rPr>
        <w:t> </w:t>
      </w:r>
      <w:r>
        <w:rPr>
          <w:vertAlign w:val="baseline"/>
        </w:rPr>
        <w:t>that</w:t>
      </w:r>
      <w:r>
        <w:rPr>
          <w:spacing w:val="-3"/>
          <w:vertAlign w:val="baseline"/>
        </w:rPr>
        <w:t> </w:t>
      </w:r>
      <w:r>
        <w:rPr>
          <w:vertAlign w:val="baseline"/>
        </w:rPr>
        <w:t>the mere fact that a defendant’s conduct has caused damage to property of a forseeable type does </w:t>
      </w:r>
      <w:r>
        <w:rPr>
          <w:vertAlign w:val="baseline"/>
        </w:rPr>
        <w:t>not rule out an inquiry as to the “justice and reasonableness” of the imposition of a duty of care in the tort of negligence. It would be indeed a paradox if the courts were to inquire into the justice and reasonableness of imposing liability for forseeable damage to property caused by negligence, but not into the justice and reasonableness of imposing liability for albeit forseeable pure economic loss.</w:t>
      </w:r>
    </w:p>
    <w:p>
      <w:pPr>
        <w:pStyle w:val="BodyText"/>
      </w:pPr>
    </w:p>
    <w:p>
      <w:pPr>
        <w:pStyle w:val="BodyText"/>
        <w:spacing w:before="36"/>
      </w:pPr>
    </w:p>
    <w:p>
      <w:pPr>
        <w:spacing w:before="0"/>
        <w:ind w:left="165" w:right="0" w:firstLine="0"/>
        <w:jc w:val="both"/>
        <w:rPr>
          <w:rFonts w:ascii="Arial"/>
          <w:b/>
          <w:sz w:val="18"/>
        </w:rPr>
      </w:pPr>
      <w:r>
        <w:rPr>
          <w:rFonts w:ascii="Arial"/>
          <w:b/>
          <w:sz w:val="18"/>
        </w:rPr>
        <w:t>Effect of broad liability in </w:t>
      </w:r>
      <w:r>
        <w:rPr>
          <w:rFonts w:ascii="Arial"/>
          <w:b/>
          <w:spacing w:val="-4"/>
          <w:sz w:val="18"/>
        </w:rPr>
        <w:t>tort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172</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454" name="Image 454"/>
            <wp:cNvGraphicFramePr>
              <a:graphicFrameLocks/>
            </wp:cNvGraphicFramePr>
            <a:graphic>
              <a:graphicData uri="http://schemas.openxmlformats.org/drawingml/2006/picture">
                <pic:pic>
                  <pic:nvPicPr>
                    <pic:cNvPr id="454" name="Image 45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5"/>
        </w:rPr>
        <w:t> </w:t>
      </w:r>
      <w:r>
        <w:rPr/>
        <w:t>One</w:t>
      </w:r>
      <w:r>
        <w:rPr>
          <w:spacing w:val="20"/>
        </w:rPr>
        <w:t> </w:t>
      </w:r>
      <w:r>
        <w:rPr/>
        <w:t>effect</w:t>
      </w:r>
      <w:r>
        <w:rPr>
          <w:spacing w:val="20"/>
        </w:rPr>
        <w:t> </w:t>
      </w:r>
      <w:r>
        <w:rPr/>
        <w:t>of</w:t>
      </w:r>
      <w:r>
        <w:rPr>
          <w:spacing w:val="20"/>
        </w:rPr>
        <w:t> </w:t>
      </w:r>
      <w:r>
        <w:rPr/>
        <w:t>judicial</w:t>
      </w:r>
      <w:r>
        <w:rPr>
          <w:spacing w:val="20"/>
        </w:rPr>
        <w:t> </w:t>
      </w:r>
      <w:r>
        <w:rPr/>
        <w:t>acceptance</w:t>
      </w:r>
      <w:r>
        <w:rPr>
          <w:spacing w:val="20"/>
        </w:rPr>
        <w:t> </w:t>
      </w:r>
      <w:r>
        <w:rPr/>
        <w:t>of</w:t>
      </w:r>
      <w:r>
        <w:rPr>
          <w:spacing w:val="20"/>
        </w:rPr>
        <w:t> </w:t>
      </w:r>
      <w:r>
        <w:rPr/>
        <w:t>a</w:t>
      </w:r>
      <w:r>
        <w:rPr>
          <w:spacing w:val="20"/>
        </w:rPr>
        <w:t> </w:t>
      </w:r>
      <w:r>
        <w:rPr/>
        <w:t>very</w:t>
      </w:r>
      <w:r>
        <w:rPr>
          <w:spacing w:val="20"/>
        </w:rPr>
        <w:t> </w:t>
      </w:r>
      <w:r>
        <w:rPr/>
        <w:t>broad</w:t>
      </w:r>
      <w:r>
        <w:rPr>
          <w:spacing w:val="20"/>
        </w:rPr>
        <w:t> </w:t>
      </w:r>
      <w:r>
        <w:rPr/>
        <w:t>principle</w:t>
      </w:r>
      <w:r>
        <w:rPr>
          <w:spacing w:val="20"/>
        </w:rPr>
        <w:t> </w:t>
      </w:r>
      <w:r>
        <w:rPr/>
        <w:t>of</w:t>
      </w:r>
      <w:r>
        <w:rPr>
          <w:spacing w:val="20"/>
        </w:rPr>
        <w:t> </w:t>
      </w:r>
      <w:r>
        <w:rPr/>
        <w:t>“assumption</w:t>
      </w:r>
      <w:r>
        <w:rPr>
          <w:spacing w:val="20"/>
        </w:rPr>
        <w:t> </w:t>
      </w:r>
      <w:r>
        <w:rPr/>
        <w:t>of</w:t>
      </w:r>
      <w:r>
        <w:rPr>
          <w:spacing w:val="20"/>
        </w:rPr>
        <w:t> </w:t>
      </w:r>
      <w:r>
        <w:rPr/>
        <w:t>responsibility”</w:t>
      </w:r>
      <w:r>
        <w:rPr>
          <w:spacing w:val="20"/>
        </w:rPr>
        <w:t> </w:t>
      </w:r>
      <w:r>
        <w:rPr/>
        <w:t>under</w:t>
      </w:r>
    </w:p>
    <w:p>
      <w:pPr>
        <w:pStyle w:val="BodyText"/>
        <w:spacing w:after="0"/>
        <w:sectPr>
          <w:pgSz w:w="11900" w:h="16840"/>
          <w:pgMar w:header="971" w:footer="0" w:top="1300" w:bottom="280" w:left="1275" w:right="1275"/>
        </w:sectPr>
      </w:pPr>
    </w:p>
    <w:p>
      <w:pPr>
        <w:pStyle w:val="BodyText"/>
        <w:spacing w:line="235" w:lineRule="auto" w:before="110"/>
        <w:ind w:left="164" w:right="167"/>
        <w:jc w:val="both"/>
      </w:pPr>
      <w:r>
        <w:rPr>
          <w:rFonts w:ascii="Arial"/>
          <w:i/>
        </w:rPr>
        <w:t>Hedley Byrne </w:t>
      </w:r>
      <w:r>
        <w:rPr/>
        <w:t>may be seen to be the creation of a very wide means of circumventing the doctrine of consideration: for as long as a defendant is possessed of special skill or knowledge, his agreement with the claimant to perform a service within that skill or pertaining to that knowledge will give rise to a cause</w:t>
      </w:r>
      <w:r>
        <w:rPr>
          <w:spacing w:val="3"/>
        </w:rPr>
        <w:t> </w:t>
      </w:r>
      <w:r>
        <w:rPr/>
        <w:t>of</w:t>
      </w:r>
      <w:r>
        <w:rPr>
          <w:spacing w:val="3"/>
        </w:rPr>
        <w:t> </w:t>
      </w:r>
      <w:r>
        <w:rPr/>
        <w:t>action</w:t>
      </w:r>
      <w:r>
        <w:rPr>
          <w:spacing w:val="3"/>
        </w:rPr>
        <w:t> </w:t>
      </w:r>
      <w:r>
        <w:rPr/>
        <w:t>in</w:t>
      </w:r>
      <w:r>
        <w:rPr>
          <w:spacing w:val="3"/>
        </w:rPr>
        <w:t> </w:t>
      </w:r>
      <w:r>
        <w:rPr/>
        <w:t>tort</w:t>
      </w:r>
      <w:r>
        <w:rPr>
          <w:spacing w:val="3"/>
        </w:rPr>
        <w:t> </w:t>
      </w:r>
      <w:r>
        <w:rPr/>
        <w:t>based</w:t>
      </w:r>
      <w:r>
        <w:rPr>
          <w:spacing w:val="3"/>
        </w:rPr>
        <w:t> </w:t>
      </w:r>
      <w:r>
        <w:rPr/>
        <w:t>on</w:t>
      </w:r>
      <w:r>
        <w:rPr>
          <w:spacing w:val="3"/>
        </w:rPr>
        <w:t> </w:t>
      </w:r>
      <w:r>
        <w:rPr/>
        <w:t>the</w:t>
      </w:r>
      <w:r>
        <w:rPr>
          <w:spacing w:val="3"/>
        </w:rPr>
        <w:t> </w:t>
      </w:r>
      <w:r>
        <w:rPr/>
        <w:t>negligent</w:t>
      </w:r>
      <w:r>
        <w:rPr>
          <w:spacing w:val="3"/>
        </w:rPr>
        <w:t> </w:t>
      </w:r>
      <w:r>
        <w:rPr/>
        <w:t>performance</w:t>
      </w:r>
      <w:r>
        <w:rPr>
          <w:spacing w:val="3"/>
        </w:rPr>
        <w:t> </w:t>
      </w:r>
      <w:r>
        <w:rPr/>
        <w:t>of</w:t>
      </w:r>
      <w:r>
        <w:rPr>
          <w:spacing w:val="3"/>
        </w:rPr>
        <w:t> </w:t>
      </w:r>
      <w:r>
        <w:rPr/>
        <w:t>those</w:t>
      </w:r>
      <w:r>
        <w:rPr>
          <w:spacing w:val="3"/>
        </w:rPr>
        <w:t> </w:t>
      </w:r>
      <w:r>
        <w:rPr/>
        <w:t>services,</w:t>
      </w:r>
      <w:r>
        <w:rPr>
          <w:spacing w:val="3"/>
        </w:rPr>
        <w:t> </w:t>
      </w:r>
      <w:r>
        <w:rPr/>
        <w:t>whether</w:t>
      </w:r>
      <w:r>
        <w:rPr>
          <w:spacing w:val="3"/>
        </w:rPr>
        <w:t> </w:t>
      </w:r>
      <w:r>
        <w:rPr/>
        <w:t>they</w:t>
      </w:r>
      <w:r>
        <w:rPr>
          <w:spacing w:val="3"/>
        </w:rPr>
        <w:t> </w:t>
      </w:r>
      <w:r>
        <w:rPr/>
        <w:t>were</w:t>
      </w:r>
      <w:r>
        <w:rPr>
          <w:spacing w:val="3"/>
        </w:rPr>
        <w:t> </w:t>
      </w:r>
      <w:r>
        <w:rPr/>
        <w:t>to</w:t>
      </w:r>
      <w:r>
        <w:rPr>
          <w:spacing w:val="3"/>
        </w:rPr>
        <w:t> </w:t>
      </w:r>
      <w:r>
        <w:rPr>
          <w:spacing w:val="-5"/>
        </w:rPr>
        <w:t>be</w:t>
      </w:r>
    </w:p>
    <w:p>
      <w:pPr>
        <w:pStyle w:val="BodyText"/>
        <w:spacing w:line="235" w:lineRule="auto" w:before="119"/>
        <w:ind w:left="165" w:right="167"/>
        <w:jc w:val="both"/>
      </w:pPr>
      <w:r>
        <w:rPr/>
        <w:t>paid for or not. </w:t>
      </w:r>
      <w:r>
        <w:rPr>
          <w:color w:val="005DA1"/>
          <w:u w:val="single" w:color="005DA1"/>
          <w:vertAlign w:val="superscript"/>
        </w:rPr>
        <w:t>1184</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spacing w:val="-11"/>
          <w:vertAlign w:val="baseline"/>
        </w:rPr>
        <w:t> </w:t>
      </w:r>
      <w:r>
        <w:rPr>
          <w:vertAlign w:val="baseline"/>
        </w:rPr>
        <w:t>A second type of effect may be the disapplication of other established rules of contract</w:t>
      </w:r>
      <w:r>
        <w:rPr>
          <w:spacing w:val="40"/>
          <w:vertAlign w:val="baseline"/>
        </w:rPr>
        <w:t> </w:t>
      </w:r>
      <w:r>
        <w:rPr>
          <w:vertAlign w:val="baseline"/>
        </w:rPr>
        <w:t>law.</w:t>
      </w:r>
      <w:r>
        <w:rPr>
          <w:spacing w:val="40"/>
          <w:vertAlign w:val="baseline"/>
        </w:rPr>
        <w:t> </w:t>
      </w:r>
      <w:r>
        <w:rPr>
          <w:vertAlign w:val="baseline"/>
        </w:rPr>
        <w:t>For</w:t>
      </w:r>
      <w:r>
        <w:rPr>
          <w:spacing w:val="40"/>
          <w:vertAlign w:val="baseline"/>
        </w:rPr>
        <w:t> </w:t>
      </w:r>
      <w:r>
        <w:rPr>
          <w:vertAlign w:val="baseline"/>
        </w:rPr>
        <w:t>example,</w:t>
      </w:r>
      <w:r>
        <w:rPr>
          <w:spacing w:val="40"/>
          <w:vertAlign w:val="baseline"/>
        </w:rPr>
        <w:t> </w:t>
      </w:r>
      <w:r>
        <w:rPr>
          <w:vertAlign w:val="baseline"/>
        </w:rPr>
        <w:t>in</w:t>
      </w:r>
      <w:r>
        <w:rPr>
          <w:spacing w:val="40"/>
          <w:vertAlign w:val="baseline"/>
        </w:rPr>
        <w:t> </w:t>
      </w:r>
      <w:r>
        <w:rPr>
          <w:rFonts w:ascii="Arial" w:hAnsi="Arial"/>
          <w:i/>
          <w:vertAlign w:val="baseline"/>
        </w:rPr>
        <w:t>Barclays</w:t>
      </w:r>
      <w:r>
        <w:rPr>
          <w:rFonts w:ascii="Arial" w:hAnsi="Arial"/>
          <w:i/>
          <w:spacing w:val="40"/>
          <w:vertAlign w:val="baseline"/>
        </w:rPr>
        <w:t> </w:t>
      </w:r>
      <w:r>
        <w:rPr>
          <w:rFonts w:ascii="Arial" w:hAnsi="Arial"/>
          <w:i/>
          <w:vertAlign w:val="baseline"/>
        </w:rPr>
        <w:t>Bank</w:t>
      </w:r>
      <w:r>
        <w:rPr>
          <w:rFonts w:ascii="Arial" w:hAnsi="Arial"/>
          <w:i/>
          <w:spacing w:val="40"/>
          <w:vertAlign w:val="baseline"/>
        </w:rPr>
        <w:t> </w:t>
      </w:r>
      <w:r>
        <w:rPr>
          <w:rFonts w:ascii="Arial" w:hAnsi="Arial"/>
          <w:i/>
          <w:vertAlign w:val="baseline"/>
        </w:rPr>
        <w:t>Plc</w:t>
      </w:r>
      <w:r>
        <w:rPr>
          <w:rFonts w:ascii="Arial" w:hAnsi="Arial"/>
          <w:i/>
          <w:spacing w:val="40"/>
          <w:vertAlign w:val="baseline"/>
        </w:rPr>
        <w:t> </w:t>
      </w:r>
      <w:r>
        <w:rPr>
          <w:rFonts w:ascii="Arial" w:hAnsi="Arial"/>
          <w:i/>
          <w:vertAlign w:val="baseline"/>
        </w:rPr>
        <w:t>v</w:t>
      </w:r>
      <w:r>
        <w:rPr>
          <w:rFonts w:ascii="Arial" w:hAnsi="Arial"/>
          <w:i/>
          <w:spacing w:val="40"/>
          <w:vertAlign w:val="baseline"/>
        </w:rPr>
        <w:t> </w:t>
      </w:r>
      <w:r>
        <w:rPr>
          <w:rFonts w:ascii="Arial" w:hAnsi="Arial"/>
          <w:i/>
          <w:vertAlign w:val="baseline"/>
        </w:rPr>
        <w:t>Fairclough</w:t>
      </w:r>
      <w:r>
        <w:rPr>
          <w:rFonts w:ascii="Arial" w:hAnsi="Arial"/>
          <w:i/>
          <w:spacing w:val="40"/>
          <w:vertAlign w:val="baseline"/>
        </w:rPr>
        <w:t> </w:t>
      </w:r>
      <w:r>
        <w:rPr>
          <w:rFonts w:ascii="Arial" w:hAnsi="Arial"/>
          <w:i/>
          <w:vertAlign w:val="baseline"/>
        </w:rPr>
        <w:t>Building</w:t>
      </w:r>
      <w:r>
        <w:rPr>
          <w:rFonts w:ascii="Arial" w:hAnsi="Arial"/>
          <w:i/>
          <w:spacing w:val="40"/>
          <w:vertAlign w:val="baseline"/>
        </w:rPr>
        <w:t> </w:t>
      </w:r>
      <w:r>
        <w:rPr>
          <w:rFonts w:ascii="Arial" w:hAnsi="Arial"/>
          <w:i/>
          <w:vertAlign w:val="baseline"/>
        </w:rPr>
        <w:t>Ltd</w:t>
      </w:r>
      <w:r>
        <w:rPr>
          <w:rFonts w:ascii="Arial" w:hAnsi="Arial"/>
          <w:i/>
          <w:spacing w:val="40"/>
          <w:vertAlign w:val="baseline"/>
        </w:rPr>
        <w:t> </w:t>
      </w:r>
      <w:r>
        <w:rPr>
          <w:rFonts w:ascii="Arial" w:hAnsi="Arial"/>
          <w:i/>
          <w:vertAlign w:val="baseline"/>
        </w:rPr>
        <w:t>(No.2)</w:t>
      </w:r>
      <w:r>
        <w:rPr>
          <w:vertAlign w:val="baseline"/>
        </w:rPr>
        <w:t>,</w:t>
      </w:r>
      <w:r>
        <w:rPr>
          <w:spacing w:val="40"/>
          <w:vertAlign w:val="baseline"/>
        </w:rPr>
        <w:t> </w:t>
      </w:r>
      <w:r>
        <w:rPr>
          <w:color w:val="005DA1"/>
          <w:u w:val="single" w:color="005DA1"/>
          <w:vertAlign w:val="superscript"/>
        </w:rPr>
        <w:t>1185</w:t>
      </w:r>
      <w:r>
        <w:rPr>
          <w:color w:val="005DA1"/>
          <w:spacing w:val="40"/>
          <w:vertAlign w:val="baseline"/>
        </w:rPr>
        <w:t> </w:t>
      </w:r>
      <w:r>
        <w:rPr>
          <w:vertAlign w:val="baseline"/>
        </w:rPr>
        <w:t>building sub-contractors had engaged cleaning contractors to clean an asbestos cement roof, but in doing so negligently the cleaners created a danger from the asbestos which required considerable expenditure by the owner of the building to make it safe. </w:t>
      </w:r>
      <w:r>
        <w:rPr>
          <w:color w:val="005DA1"/>
          <w:u w:val="single" w:color="005DA1"/>
          <w:vertAlign w:val="superscript"/>
        </w:rPr>
        <w:t>1186</w:t>
      </w:r>
      <w:r>
        <w:rPr>
          <w:color w:val="005DA1"/>
          <w:vertAlign w:val="baseline"/>
        </w:rPr>
        <w:t> </w:t>
      </w:r>
      <w:r>
        <w:rPr>
          <w:vertAlign w:val="baseline"/>
        </w:rPr>
        <w:t>The Court of Appeal upheld the builders’ claim for an indemnity</w:t>
      </w:r>
      <w:r>
        <w:rPr>
          <w:spacing w:val="-1"/>
          <w:vertAlign w:val="baseline"/>
        </w:rPr>
        <w:t> </w:t>
      </w:r>
      <w:r>
        <w:rPr>
          <w:vertAlign w:val="baseline"/>
        </w:rPr>
        <w:t>against</w:t>
      </w:r>
      <w:r>
        <w:rPr>
          <w:spacing w:val="-1"/>
          <w:vertAlign w:val="baseline"/>
        </w:rPr>
        <w:t> </w:t>
      </w:r>
      <w:r>
        <w:rPr>
          <w:vertAlign w:val="baseline"/>
        </w:rPr>
        <w:t>the</w:t>
      </w:r>
      <w:r>
        <w:rPr>
          <w:spacing w:val="-1"/>
          <w:vertAlign w:val="baseline"/>
        </w:rPr>
        <w:t> </w:t>
      </w:r>
      <w:r>
        <w:rPr>
          <w:vertAlign w:val="baseline"/>
        </w:rPr>
        <w:t>cleaners</w:t>
      </w:r>
      <w:r>
        <w:rPr>
          <w:spacing w:val="-1"/>
          <w:vertAlign w:val="baseline"/>
        </w:rPr>
        <w:t> </w:t>
      </w:r>
      <w:r>
        <w:rPr>
          <w:vertAlign w:val="baseline"/>
        </w:rPr>
        <w:t>in</w:t>
      </w:r>
      <w:r>
        <w:rPr>
          <w:spacing w:val="-1"/>
          <w:vertAlign w:val="baseline"/>
        </w:rPr>
        <w:t> </w:t>
      </w:r>
      <w:r>
        <w:rPr>
          <w:vertAlign w:val="baseline"/>
        </w:rPr>
        <w:t>respect</w:t>
      </w:r>
      <w:r>
        <w:rPr>
          <w:spacing w:val="-1"/>
          <w:vertAlign w:val="baseline"/>
        </w:rPr>
        <w:t> </w:t>
      </w:r>
      <w:r>
        <w:rPr>
          <w:vertAlign w:val="baseline"/>
        </w:rPr>
        <w:t>of</w:t>
      </w:r>
      <w:r>
        <w:rPr>
          <w:spacing w:val="-1"/>
          <w:vertAlign w:val="baseline"/>
        </w:rPr>
        <w:t> </w:t>
      </w:r>
      <w:r>
        <w:rPr>
          <w:vertAlign w:val="baseline"/>
        </w:rPr>
        <w:t>their</w:t>
      </w:r>
      <w:r>
        <w:rPr>
          <w:spacing w:val="-1"/>
          <w:vertAlign w:val="baseline"/>
        </w:rPr>
        <w:t> </w:t>
      </w:r>
      <w:r>
        <w:rPr>
          <w:vertAlign w:val="baseline"/>
        </w:rPr>
        <w:t>own</w:t>
      </w:r>
      <w:r>
        <w:rPr>
          <w:spacing w:val="-1"/>
          <w:vertAlign w:val="baseline"/>
        </w:rPr>
        <w:t> </w:t>
      </w:r>
      <w:r>
        <w:rPr>
          <w:vertAlign w:val="baseline"/>
        </w:rPr>
        <w:t>liabilities,</w:t>
      </w:r>
      <w:r>
        <w:rPr>
          <w:spacing w:val="-1"/>
          <w:vertAlign w:val="baseline"/>
        </w:rPr>
        <w:t> </w:t>
      </w:r>
      <w:r>
        <w:rPr>
          <w:vertAlign w:val="baseline"/>
        </w:rPr>
        <w:t>but</w:t>
      </w:r>
      <w:r>
        <w:rPr>
          <w:spacing w:val="-1"/>
          <w:vertAlign w:val="baseline"/>
        </w:rPr>
        <w:t> </w:t>
      </w:r>
      <w:r>
        <w:rPr>
          <w:vertAlign w:val="baseline"/>
        </w:rPr>
        <w:t>reduced</w:t>
      </w:r>
      <w:r>
        <w:rPr>
          <w:spacing w:val="-1"/>
          <w:vertAlign w:val="baseline"/>
        </w:rPr>
        <w:t> </w:t>
      </w:r>
      <w:r>
        <w:rPr>
          <w:vertAlign w:val="baseline"/>
        </w:rPr>
        <w:t>the</w:t>
      </w:r>
      <w:r>
        <w:rPr>
          <w:spacing w:val="-1"/>
          <w:vertAlign w:val="baseline"/>
        </w:rPr>
        <w:t> </w:t>
      </w:r>
      <w:r>
        <w:rPr>
          <w:vertAlign w:val="baseline"/>
        </w:rPr>
        <w:t>award</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basis</w:t>
      </w:r>
      <w:r>
        <w:rPr>
          <w:spacing w:val="-1"/>
          <w:vertAlign w:val="baseline"/>
        </w:rPr>
        <w:t> </w:t>
      </w:r>
      <w:r>
        <w:rPr>
          <w:vertAlign w:val="baseline"/>
        </w:rPr>
        <w:t>of their contributory negligence in failing to take steps to inform themselves of the problems involved in the cleaning of the asbestos cement in the way intended. The Court of Appeal accepted that contributory negligence is a defence to a claim for breach of contract only where it is concurrent with the existence of a liability in tort based on negligence, </w:t>
      </w:r>
      <w:r>
        <w:rPr>
          <w:color w:val="005DA1"/>
          <w:u w:val="single" w:color="005DA1"/>
          <w:vertAlign w:val="superscript"/>
        </w:rPr>
        <w:t>1187</w:t>
      </w:r>
      <w:r>
        <w:rPr>
          <w:color w:val="005DA1"/>
          <w:vertAlign w:val="baseline"/>
        </w:rPr>
        <w:t> </w:t>
      </w:r>
      <w:r>
        <w:rPr>
          <w:vertAlign w:val="baseline"/>
        </w:rPr>
        <w:t>but found such a liability in the cleaners in their breach of a duty of care based on their “assumption of responsibility”, the latter arising simply from their contractual undertaking to do a job which required special skill and which they held themselves out as capable of doing, coupled with the roofing contractors’ reliance on this, as evidenced by their entering into the same contract. In the result, the cleaners were entitled to rely on their own duty of care in tort to allow them to reduce by one half their own liability for breach of contract. Clearly, then, while in some cases, notably those turning on issues of limitation of actions such as </w:t>
      </w:r>
      <w:r>
        <w:rPr>
          <w:rFonts w:ascii="Arial" w:hAnsi="Arial"/>
          <w:i/>
          <w:vertAlign w:val="baseline"/>
        </w:rPr>
        <w:t>Henderson </w:t>
      </w:r>
      <w:r>
        <w:rPr>
          <w:vertAlign w:val="baseline"/>
        </w:rPr>
        <w:t>itself, judicial acceptance of such a wide basis for establishing a duty of care in tort will benefit claimants, allowing them to avoid disadvantageous incidental rules applicable to actions in contract, paradoxically in others, it will instead benefit defendants.</w:t>
      </w:r>
    </w:p>
    <w:p>
      <w:pPr>
        <w:pStyle w:val="BodyText"/>
        <w:spacing w:before="74"/>
      </w:pPr>
    </w:p>
    <w:p>
      <w:pPr>
        <w:spacing w:before="0"/>
        <w:ind w:left="165" w:right="0" w:firstLine="0"/>
        <w:jc w:val="left"/>
        <w:rPr>
          <w:rFonts w:ascii="Arial"/>
          <w:b/>
          <w:sz w:val="24"/>
        </w:rPr>
      </w:pPr>
      <w:r>
        <w:rPr>
          <w:rFonts w:ascii="Arial"/>
          <w:b/>
          <w:sz w:val="24"/>
        </w:rPr>
        <w:t>1-</w:t>
      </w:r>
      <w:r>
        <w:rPr>
          <w:rFonts w:ascii="Arial"/>
          <w:b/>
          <w:spacing w:val="-5"/>
          <w:sz w:val="24"/>
        </w:rPr>
        <w:t>173</w:t>
      </w:r>
    </w:p>
    <w:p>
      <w:pPr>
        <w:pStyle w:val="BodyText"/>
        <w:spacing w:line="235" w:lineRule="auto" w:before="203"/>
        <w:ind w:left="165" w:right="167"/>
        <w:jc w:val="both"/>
      </w:pPr>
      <w:r>
        <w:rPr/>
        <w:t>The following discussion will look first at the question whether a threatened breach of contract gives rise to liability in the tort of intimidation, before turning to examine the qualifications on the general</w:t>
      </w:r>
      <w:r>
        <w:rPr>
          <w:spacing w:val="40"/>
        </w:rPr>
        <w:t> </w:t>
      </w:r>
      <w:r>
        <w:rPr/>
        <w:t>rule allowing a claimant to opt whether to sue in contract or in tort and at how such an option affects the regime of liability applicable to the plaintiff’s claim.</w:t>
      </w:r>
    </w:p>
    <w:p>
      <w:pPr>
        <w:pStyle w:val="BodyText"/>
      </w:pPr>
    </w:p>
    <w:p>
      <w:pPr>
        <w:pStyle w:val="BodyText"/>
        <w:spacing w:before="36"/>
      </w:pPr>
    </w:p>
    <w:p>
      <w:pPr>
        <w:spacing w:before="1"/>
        <w:ind w:left="165" w:right="0" w:firstLine="0"/>
        <w:jc w:val="left"/>
        <w:rPr>
          <w:rFonts w:ascii="Arial"/>
          <w:b/>
          <w:sz w:val="18"/>
        </w:rPr>
      </w:pPr>
      <w:r>
        <w:rPr>
          <w:rFonts w:ascii="Arial"/>
          <w:b/>
          <w:sz w:val="18"/>
        </w:rPr>
        <w:t>Threatened breach of contract as a </w:t>
      </w:r>
      <w:r>
        <w:rPr>
          <w:rFonts w:ascii="Arial"/>
          <w:b/>
          <w:spacing w:val="-4"/>
          <w:sz w:val="18"/>
        </w:rPr>
        <w:t>tort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174</w:t>
      </w:r>
    </w:p>
    <w:p>
      <w:pPr>
        <w:pStyle w:val="BodyText"/>
        <w:spacing w:line="235" w:lineRule="auto" w:before="203"/>
        <w:ind w:left="164" w:right="167"/>
        <w:jc w:val="both"/>
      </w:pPr>
      <w:r>
        <w:rPr/>
        <w:t>While some dicta in </w:t>
      </w:r>
      <w:r>
        <w:rPr>
          <w:rFonts w:ascii="Arial" w:hAnsi="Arial"/>
          <w:i/>
        </w:rPr>
        <w:t>Brown v Boorman </w:t>
      </w:r>
      <w:r>
        <w:rPr>
          <w:color w:val="005DA1"/>
          <w:u w:val="single" w:color="005DA1"/>
          <w:vertAlign w:val="superscript"/>
        </w:rPr>
        <w:t>1188</w:t>
      </w:r>
      <w:r>
        <w:rPr>
          <w:color w:val="005DA1"/>
          <w:vertAlign w:val="baseline"/>
        </w:rPr>
        <w:t> </w:t>
      </w:r>
      <w:r>
        <w:rPr>
          <w:vertAlign w:val="baseline"/>
        </w:rPr>
        <w:t>suggest that any breach of contract gives rise to liability </w:t>
      </w:r>
      <w:r>
        <w:rPr>
          <w:vertAlign w:val="baseline"/>
        </w:rPr>
        <w:t>in tort, </w:t>
      </w:r>
      <w:r>
        <w:rPr>
          <w:color w:val="005DA1"/>
          <w:u w:val="single" w:color="005DA1"/>
          <w:vertAlign w:val="superscript"/>
        </w:rPr>
        <w:t>1189</w:t>
      </w:r>
      <w:r>
        <w:rPr>
          <w:color w:val="005DA1"/>
          <w:vertAlign w:val="baseline"/>
        </w:rPr>
        <w:t> </w:t>
      </w:r>
      <w:r>
        <w:rPr>
          <w:vertAlign w:val="baseline"/>
        </w:rPr>
        <w:t>such a broad interpretation of that case does not reflect the modern law: a breach of contract may be linked historically to tort, but does not itself constitute one. </w:t>
      </w:r>
      <w:r>
        <w:rPr>
          <w:color w:val="005DA1"/>
          <w:u w:val="single" w:color="005DA1"/>
          <w:vertAlign w:val="superscript"/>
        </w:rPr>
        <w:t>1190</w:t>
      </w:r>
      <w:r>
        <w:rPr>
          <w:color w:val="005DA1"/>
          <w:vertAlign w:val="baseline"/>
        </w:rPr>
        <w:t> </w:t>
      </w:r>
      <w:r>
        <w:rPr>
          <w:vertAlign w:val="baseline"/>
        </w:rPr>
        <w:t>However, it would seem that what has often been called the tort of intimidation (and is now likely to be known as the tort of causing loss</w:t>
      </w:r>
      <w:r>
        <w:rPr>
          <w:spacing w:val="-2"/>
          <w:vertAlign w:val="baseline"/>
        </w:rPr>
        <w:t> </w:t>
      </w:r>
      <w:r>
        <w:rPr>
          <w:vertAlign w:val="baseline"/>
        </w:rPr>
        <w:t>by</w:t>
      </w:r>
      <w:r>
        <w:rPr>
          <w:spacing w:val="-2"/>
          <w:vertAlign w:val="baseline"/>
        </w:rPr>
        <w:t> </w:t>
      </w:r>
      <w:r>
        <w:rPr>
          <w:vertAlign w:val="baseline"/>
        </w:rPr>
        <w:t>unlawful</w:t>
      </w:r>
      <w:r>
        <w:rPr>
          <w:spacing w:val="-2"/>
          <w:vertAlign w:val="baseline"/>
        </w:rPr>
        <w:t> </w:t>
      </w:r>
      <w:r>
        <w:rPr>
          <w:vertAlign w:val="baseline"/>
        </w:rPr>
        <w:t>means</w:t>
      </w:r>
      <w:r>
        <w:rPr>
          <w:spacing w:val="-2"/>
          <w:vertAlign w:val="baseline"/>
        </w:rPr>
        <w:t> </w:t>
      </w:r>
      <w:r>
        <w:rPr>
          <w:color w:val="005DA1"/>
          <w:u w:val="single" w:color="005DA1"/>
          <w:vertAlign w:val="superscript"/>
        </w:rPr>
        <w:t>1191</w:t>
      </w:r>
      <w:r>
        <w:rPr>
          <w:vertAlign w:val="baseline"/>
        </w:rPr>
        <w:t>)</w:t>
      </w:r>
      <w:r>
        <w:rPr>
          <w:spacing w:val="-2"/>
          <w:vertAlign w:val="baseline"/>
        </w:rPr>
        <w:t> </w:t>
      </w:r>
      <w:r>
        <w:rPr>
          <w:vertAlign w:val="baseline"/>
        </w:rPr>
        <w:t>could</w:t>
      </w:r>
      <w:r>
        <w:rPr>
          <w:spacing w:val="-2"/>
          <w:vertAlign w:val="baseline"/>
        </w:rPr>
        <w:t> </w:t>
      </w:r>
      <w:r>
        <w:rPr>
          <w:vertAlign w:val="baseline"/>
        </w:rPr>
        <w:t>allow</w:t>
      </w:r>
      <w:r>
        <w:rPr>
          <w:spacing w:val="-2"/>
          <w:vertAlign w:val="baseline"/>
        </w:rPr>
        <w:t> </w:t>
      </w:r>
      <w:r>
        <w:rPr>
          <w:vertAlign w:val="baseline"/>
        </w:rPr>
        <w:t>at</w:t>
      </w:r>
      <w:r>
        <w:rPr>
          <w:spacing w:val="-2"/>
          <w:vertAlign w:val="baseline"/>
        </w:rPr>
        <w:t> </w:t>
      </w:r>
      <w:r>
        <w:rPr>
          <w:vertAlign w:val="baseline"/>
        </w:rPr>
        <w:t>least</w:t>
      </w:r>
      <w:r>
        <w:rPr>
          <w:spacing w:val="-2"/>
          <w:vertAlign w:val="baseline"/>
        </w:rPr>
        <w:t> </w:t>
      </w:r>
      <w:r>
        <w:rPr>
          <w:rFonts w:ascii="Arial" w:hAnsi="Arial"/>
          <w:i/>
          <w:vertAlign w:val="baseline"/>
        </w:rPr>
        <w:t>threatened</w:t>
      </w:r>
      <w:r>
        <w:rPr>
          <w:rFonts w:ascii="Arial" w:hAnsi="Arial"/>
          <w:i/>
          <w:spacing w:val="-2"/>
          <w:vertAlign w:val="baseline"/>
        </w:rPr>
        <w:t> </w:t>
      </w:r>
      <w:r>
        <w:rPr>
          <w:vertAlign w:val="baseline"/>
        </w:rPr>
        <w:t>breaches</w:t>
      </w:r>
      <w:r>
        <w:rPr>
          <w:spacing w:val="-2"/>
          <w:vertAlign w:val="baseline"/>
        </w:rPr>
        <w:t> </w:t>
      </w:r>
      <w:r>
        <w:rPr>
          <w:vertAlign w:val="baseline"/>
        </w:rPr>
        <w:t>of</w:t>
      </w:r>
      <w:r>
        <w:rPr>
          <w:spacing w:val="-2"/>
          <w:vertAlign w:val="baseline"/>
        </w:rPr>
        <w:t> </w:t>
      </w:r>
      <w:r>
        <w:rPr>
          <w:vertAlign w:val="baseline"/>
        </w:rPr>
        <w:t>contract</w:t>
      </w:r>
      <w:r>
        <w:rPr>
          <w:spacing w:val="-2"/>
          <w:vertAlign w:val="baseline"/>
        </w:rPr>
        <w:t> </w:t>
      </w:r>
      <w:r>
        <w:rPr>
          <w:vertAlign w:val="baseline"/>
        </w:rPr>
        <w:t>to</w:t>
      </w:r>
      <w:r>
        <w:rPr>
          <w:spacing w:val="-2"/>
          <w:vertAlign w:val="baseline"/>
        </w:rPr>
        <w:t> </w:t>
      </w:r>
      <w:r>
        <w:rPr>
          <w:vertAlign w:val="baseline"/>
        </w:rPr>
        <w:t>give</w:t>
      </w:r>
      <w:r>
        <w:rPr>
          <w:spacing w:val="-2"/>
          <w:vertAlign w:val="baseline"/>
        </w:rPr>
        <w:t> </w:t>
      </w:r>
      <w:r>
        <w:rPr>
          <w:vertAlign w:val="baseline"/>
        </w:rPr>
        <w:t>rise</w:t>
      </w:r>
      <w:r>
        <w:rPr>
          <w:spacing w:val="-2"/>
          <w:vertAlign w:val="baseline"/>
        </w:rPr>
        <w:t> </w:t>
      </w:r>
      <w:r>
        <w:rPr>
          <w:vertAlign w:val="baseline"/>
        </w:rPr>
        <w:t>to</w:t>
      </w:r>
      <w:r>
        <w:rPr>
          <w:spacing w:val="-2"/>
          <w:vertAlign w:val="baseline"/>
        </w:rPr>
        <w:t> </w:t>
      </w:r>
      <w:r>
        <w:rPr>
          <w:vertAlign w:val="baseline"/>
        </w:rPr>
        <w:t>liability in tort. The tort is committed, inter alia, where A uses “unlawful means” to force B to do something to his prejudice and it is clear that it includes a threatened breach of contract </w:t>
      </w:r>
      <w:r>
        <w:rPr>
          <w:color w:val="005DA1"/>
          <w:u w:val="single" w:color="005DA1"/>
          <w:vertAlign w:val="superscript"/>
        </w:rPr>
        <w:t>1192</w:t>
      </w:r>
      <w:r>
        <w:rPr>
          <w:color w:val="005DA1"/>
          <w:vertAlign w:val="baseline"/>
        </w:rPr>
        <w:t> </w:t>
      </w:r>
      <w:r>
        <w:rPr>
          <w:vertAlign w:val="baseline"/>
        </w:rPr>
        <w:t>and it appears that this applies to “two-party” intimidation as much as to “three-party” intimidation. </w:t>
      </w:r>
      <w:r>
        <w:rPr>
          <w:color w:val="005DA1"/>
          <w:u w:val="single" w:color="005DA1"/>
          <w:vertAlign w:val="superscript"/>
        </w:rPr>
        <w:t>1193</w:t>
      </w:r>
      <w:r>
        <w:rPr>
          <w:color w:val="005DA1"/>
          <w:vertAlign w:val="baseline"/>
        </w:rPr>
        <w:t> </w:t>
      </w:r>
      <w:r>
        <w:rPr>
          <w:vertAlign w:val="baseline"/>
        </w:rPr>
        <w:t>Thus, according to Clerk &amp; Lindsell on Torts, the tort of intimidation extends to a threat of breach of contract or at least to a threat of </w:t>
      </w:r>
      <w:r>
        <w:rPr>
          <w:rFonts w:ascii="Arial" w:hAnsi="Arial"/>
          <w:i/>
          <w:vertAlign w:val="baseline"/>
        </w:rPr>
        <w:t>some </w:t>
      </w:r>
      <w:r>
        <w:rPr>
          <w:vertAlign w:val="baseline"/>
        </w:rPr>
        <w:t>breaches of contract, </w:t>
      </w:r>
      <w:r>
        <w:rPr>
          <w:color w:val="005DA1"/>
          <w:u w:val="single" w:color="005DA1"/>
          <w:vertAlign w:val="superscript"/>
        </w:rPr>
        <w:t>1194</w:t>
      </w:r>
      <w:r>
        <w:rPr>
          <w:color w:val="005DA1"/>
          <w:vertAlign w:val="baseline"/>
        </w:rPr>
        <w:t> </w:t>
      </w:r>
      <w:r>
        <w:rPr>
          <w:vertAlign w:val="baseline"/>
        </w:rPr>
        <w:t>despite the fact that the victim of such a threat may also have an action for anticipatory breach of contract. </w:t>
      </w:r>
      <w:r>
        <w:rPr>
          <w:color w:val="005DA1"/>
          <w:u w:val="single" w:color="005DA1"/>
          <w:vertAlign w:val="superscript"/>
        </w:rPr>
        <w:t>1195</w:t>
      </w:r>
    </w:p>
    <w:p>
      <w:pPr>
        <w:pStyle w:val="BodyText"/>
        <w:spacing w:before="77"/>
      </w:pPr>
    </w:p>
    <w:p>
      <w:pPr>
        <w:spacing w:before="0"/>
        <w:ind w:left="164" w:right="0" w:firstLine="0"/>
        <w:jc w:val="left"/>
        <w:rPr>
          <w:rFonts w:ascii="Arial"/>
          <w:b/>
          <w:sz w:val="24"/>
        </w:rPr>
      </w:pPr>
      <w:r>
        <w:rPr>
          <w:rFonts w:ascii="Arial"/>
          <w:b/>
          <w:sz w:val="24"/>
        </w:rPr>
        <w:t>1-</w:t>
      </w:r>
      <w:r>
        <w:rPr>
          <w:rFonts w:ascii="Arial"/>
          <w:b/>
          <w:spacing w:val="-5"/>
          <w:sz w:val="24"/>
        </w:rPr>
        <w:t>175</w:t>
      </w:r>
    </w:p>
    <w:p>
      <w:pPr>
        <w:pStyle w:val="BodyText"/>
        <w:spacing w:line="235" w:lineRule="auto" w:before="202"/>
        <w:ind w:left="164" w:right="167"/>
        <w:jc w:val="both"/>
      </w:pPr>
      <w:r>
        <w:rPr/>
        <w:t>If so, then it would appear that rules which govern claims in contract, for example ruling out punitive damages or relating to remoteness of damage, could be avoided. </w:t>
      </w:r>
      <w:r>
        <w:rPr>
          <w:color w:val="005DA1"/>
          <w:u w:val="single" w:color="005DA1"/>
          <w:vertAlign w:val="superscript"/>
        </w:rPr>
        <w:t>1196</w:t>
      </w:r>
      <w:r>
        <w:rPr>
          <w:color w:val="005DA1"/>
          <w:vertAlign w:val="baseline"/>
        </w:rPr>
        <w:t> </w:t>
      </w:r>
      <w:r>
        <w:rPr>
          <w:vertAlign w:val="baseline"/>
        </w:rPr>
        <w:t>Indeed, an earlier edition </w:t>
      </w:r>
      <w:r>
        <w:rPr>
          <w:vertAlign w:val="baseline"/>
        </w:rPr>
        <w:t>of Clerk &amp; Lindsell on Torts suggests that it is not clear whether a party who has affirmed the contract after a threatened breach is thereby prevented from relying on the tort of intimidation. </w:t>
      </w:r>
      <w:r>
        <w:rPr>
          <w:color w:val="005DA1"/>
          <w:u w:val="single" w:color="005DA1"/>
          <w:vertAlign w:val="superscript"/>
        </w:rPr>
        <w:t>1197</w:t>
      </w:r>
      <w:r>
        <w:rPr>
          <w:color w:val="005DA1"/>
          <w:vertAlign w:val="baseline"/>
        </w:rPr>
        <w:t> </w:t>
      </w:r>
      <w:r>
        <w:rPr>
          <w:vertAlign w:val="baseline"/>
        </w:rPr>
        <w:t>However, if a claimant who was the victim of such a threat were allowed to rely on this tort rather than on the contract, it would be odd to deny him the same option where the other party had not merely threatened to break the contract, but had carried out this threat. </w:t>
      </w:r>
      <w:r>
        <w:rPr>
          <w:color w:val="005DA1"/>
          <w:u w:val="single" w:color="005DA1"/>
          <w:vertAlign w:val="superscript"/>
        </w:rPr>
        <w:t>1198</w:t>
      </w:r>
      <w:r>
        <w:rPr>
          <w:color w:val="005DA1"/>
          <w:vertAlign w:val="baseline"/>
        </w:rPr>
        <w:t> </w:t>
      </w:r>
      <w:r>
        <w:rPr>
          <w:vertAlign w:val="baseline"/>
        </w:rPr>
        <w:t>If this situation were allowed to give rise to liability in the tort of intimidation, then the law would be fast approaching the recognition of a distinction based on whether or not a defendant’s breach of contract was “wilful” or “intended to injure”</w:t>
      </w:r>
      <w:r>
        <w:rPr>
          <w:spacing w:val="3"/>
          <w:vertAlign w:val="baseline"/>
        </w:rPr>
        <w:t> </w:t>
      </w:r>
      <w:r>
        <w:rPr>
          <w:vertAlign w:val="baseline"/>
        </w:rPr>
        <w:t>and</w:t>
      </w:r>
      <w:r>
        <w:rPr>
          <w:spacing w:val="4"/>
          <w:vertAlign w:val="baseline"/>
        </w:rPr>
        <w:t> </w:t>
      </w:r>
      <w:r>
        <w:rPr>
          <w:vertAlign w:val="baseline"/>
        </w:rPr>
        <w:t>there</w:t>
      </w:r>
      <w:r>
        <w:rPr>
          <w:spacing w:val="4"/>
          <w:vertAlign w:val="baseline"/>
        </w:rPr>
        <w:t> </w:t>
      </w:r>
      <w:r>
        <w:rPr>
          <w:vertAlign w:val="baseline"/>
        </w:rPr>
        <w:t>is</w:t>
      </w:r>
      <w:r>
        <w:rPr>
          <w:spacing w:val="4"/>
          <w:vertAlign w:val="baseline"/>
        </w:rPr>
        <w:t> </w:t>
      </w:r>
      <w:r>
        <w:rPr>
          <w:vertAlign w:val="baseline"/>
        </w:rPr>
        <w:t>no</w:t>
      </w:r>
      <w:r>
        <w:rPr>
          <w:spacing w:val="4"/>
          <w:vertAlign w:val="baseline"/>
        </w:rPr>
        <w:t> </w:t>
      </w:r>
      <w:r>
        <w:rPr>
          <w:vertAlign w:val="baseline"/>
        </w:rPr>
        <w:t>reason</w:t>
      </w:r>
      <w:r>
        <w:rPr>
          <w:spacing w:val="4"/>
          <w:vertAlign w:val="baseline"/>
        </w:rPr>
        <w:t> </w:t>
      </w:r>
      <w:r>
        <w:rPr>
          <w:vertAlign w:val="baseline"/>
        </w:rPr>
        <w:t>to</w:t>
      </w:r>
      <w:r>
        <w:rPr>
          <w:spacing w:val="3"/>
          <w:vertAlign w:val="baseline"/>
        </w:rPr>
        <w:t> </w:t>
      </w:r>
      <w:r>
        <w:rPr>
          <w:vertAlign w:val="baseline"/>
        </w:rPr>
        <w:t>think</w:t>
      </w:r>
      <w:r>
        <w:rPr>
          <w:spacing w:val="4"/>
          <w:vertAlign w:val="baseline"/>
        </w:rPr>
        <w:t> </w:t>
      </w:r>
      <w:r>
        <w:rPr>
          <w:vertAlign w:val="baseline"/>
        </w:rPr>
        <w:t>that</w:t>
      </w:r>
      <w:r>
        <w:rPr>
          <w:spacing w:val="4"/>
          <w:vertAlign w:val="baseline"/>
        </w:rPr>
        <w:t> </w:t>
      </w:r>
      <w:r>
        <w:rPr>
          <w:vertAlign w:val="baseline"/>
        </w:rPr>
        <w:t>English</w:t>
      </w:r>
      <w:r>
        <w:rPr>
          <w:spacing w:val="4"/>
          <w:vertAlign w:val="baseline"/>
        </w:rPr>
        <w:t> </w:t>
      </w:r>
      <w:r>
        <w:rPr>
          <w:vertAlign w:val="baseline"/>
        </w:rPr>
        <w:t>courts</w:t>
      </w:r>
      <w:r>
        <w:rPr>
          <w:spacing w:val="4"/>
          <w:vertAlign w:val="baseline"/>
        </w:rPr>
        <w:t> </w:t>
      </w:r>
      <w:r>
        <w:rPr>
          <w:vertAlign w:val="baseline"/>
        </w:rPr>
        <w:t>are</w:t>
      </w:r>
      <w:r>
        <w:rPr>
          <w:spacing w:val="4"/>
          <w:vertAlign w:val="baseline"/>
        </w:rPr>
        <w:t> </w:t>
      </w:r>
      <w:r>
        <w:rPr>
          <w:vertAlign w:val="baseline"/>
        </w:rPr>
        <w:t>inclined</w:t>
      </w:r>
      <w:r>
        <w:rPr>
          <w:spacing w:val="3"/>
          <w:vertAlign w:val="baseline"/>
        </w:rPr>
        <w:t> </w:t>
      </w:r>
      <w:r>
        <w:rPr>
          <w:vertAlign w:val="baseline"/>
        </w:rPr>
        <w:t>to</w:t>
      </w:r>
      <w:r>
        <w:rPr>
          <w:spacing w:val="4"/>
          <w:vertAlign w:val="baseline"/>
        </w:rPr>
        <w:t> </w:t>
      </w:r>
      <w:r>
        <w:rPr>
          <w:vertAlign w:val="baseline"/>
        </w:rPr>
        <w:t>do</w:t>
      </w:r>
      <w:r>
        <w:rPr>
          <w:spacing w:val="4"/>
          <w:vertAlign w:val="baseline"/>
        </w:rPr>
        <w:t> </w:t>
      </w:r>
      <w:r>
        <w:rPr>
          <w:vertAlign w:val="baseline"/>
        </w:rPr>
        <w:t>so.</w:t>
      </w:r>
      <w:r>
        <w:rPr>
          <w:spacing w:val="3"/>
          <w:vertAlign w:val="baseline"/>
        </w:rPr>
        <w:t> </w:t>
      </w:r>
      <w:r>
        <w:rPr>
          <w:color w:val="005DA1"/>
          <w:u w:val="single" w:color="005DA1"/>
          <w:vertAlign w:val="superscript"/>
        </w:rPr>
        <w:t>1199</w:t>
      </w:r>
      <w:r>
        <w:rPr>
          <w:color w:val="005DA1"/>
          <w:spacing w:val="4"/>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submitted</w:t>
      </w:r>
      <w:r>
        <w:rPr>
          <w:spacing w:val="3"/>
          <w:vertAlign w:val="baseline"/>
        </w:rPr>
        <w:t> </w:t>
      </w:r>
      <w:r>
        <w:rPr>
          <w:spacing w:val="-4"/>
          <w:vertAlign w:val="baseline"/>
        </w:rPr>
        <w:t>that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there is no convincing reason for allowing a party to a contract to avoid the restrictions which the law already has decided should apply to that party’s claim simply by claiming in tort. For this reason, the view that “two-party” and “three-party” intimidation should be treated differently where breach </w:t>
      </w:r>
      <w:r>
        <w:rPr/>
        <w:t>of contract is relied on as the unlawful means is to be preferred. </w:t>
      </w:r>
      <w:r>
        <w:rPr>
          <w:color w:val="005DA1"/>
          <w:u w:val="single" w:color="005DA1"/>
          <w:vertAlign w:val="superscript"/>
        </w:rPr>
        <w:t>1200</w:t>
      </w:r>
      <w:r>
        <w:rPr>
          <w:color w:val="005DA1"/>
          <w:vertAlign w:val="baseline"/>
        </w:rPr>
        <w:t> </w:t>
      </w:r>
      <w:r>
        <w:rPr>
          <w:vertAlign w:val="baseline"/>
        </w:rPr>
        <w:t>Thus, while a threatened breach of contract may constitute the tort of intimidation/tort of causing harm by unlawful means, as between parties</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a</w:t>
      </w:r>
      <w:r>
        <w:rPr>
          <w:spacing w:val="-2"/>
          <w:vertAlign w:val="baseline"/>
        </w:rPr>
        <w:t> </w:t>
      </w:r>
      <w:r>
        <w:rPr>
          <w:vertAlign w:val="baseline"/>
        </w:rPr>
        <w:t>threatened</w:t>
      </w:r>
      <w:r>
        <w:rPr>
          <w:spacing w:val="-2"/>
          <w:vertAlign w:val="baseline"/>
        </w:rPr>
        <w:t> </w:t>
      </w:r>
      <w:r>
        <w:rPr>
          <w:vertAlign w:val="baseline"/>
        </w:rPr>
        <w:t>breach</w:t>
      </w:r>
      <w:r>
        <w:rPr>
          <w:spacing w:val="-2"/>
          <w:vertAlign w:val="baseline"/>
        </w:rPr>
        <w:t> </w:t>
      </w:r>
      <w:r>
        <w:rPr>
          <w:vertAlign w:val="baseline"/>
        </w:rPr>
        <w:t>should</w:t>
      </w:r>
      <w:r>
        <w:rPr>
          <w:spacing w:val="-2"/>
          <w:vertAlign w:val="baseline"/>
        </w:rPr>
        <w:t> </w:t>
      </w:r>
      <w:r>
        <w:rPr>
          <w:vertAlign w:val="baseline"/>
        </w:rPr>
        <w:t>not</w:t>
      </w:r>
      <w:r>
        <w:rPr>
          <w:spacing w:val="-2"/>
          <w:vertAlign w:val="baseline"/>
        </w:rPr>
        <w:t> </w:t>
      </w:r>
      <w:r>
        <w:rPr>
          <w:vertAlign w:val="baseline"/>
        </w:rPr>
        <w:t>in</w:t>
      </w:r>
      <w:r>
        <w:rPr>
          <w:spacing w:val="-2"/>
          <w:vertAlign w:val="baseline"/>
        </w:rPr>
        <w:t> </w:t>
      </w:r>
      <w:r>
        <w:rPr>
          <w:vertAlign w:val="baseline"/>
        </w:rPr>
        <w:t>itself</w:t>
      </w:r>
      <w:r>
        <w:rPr>
          <w:spacing w:val="-2"/>
          <w:vertAlign w:val="baseline"/>
        </w:rPr>
        <w:t> </w:t>
      </w:r>
      <w:r>
        <w:rPr>
          <w:vertAlign w:val="baseline"/>
        </w:rPr>
        <w:t>be</w:t>
      </w:r>
      <w:r>
        <w:rPr>
          <w:spacing w:val="-2"/>
          <w:vertAlign w:val="baseline"/>
        </w:rPr>
        <w:t> </w:t>
      </w:r>
      <w:r>
        <w:rPr>
          <w:vertAlign w:val="baseline"/>
        </w:rPr>
        <w:t>considered</w:t>
      </w:r>
      <w:r>
        <w:rPr>
          <w:spacing w:val="-2"/>
          <w:vertAlign w:val="baseline"/>
        </w:rPr>
        <w:t> </w:t>
      </w:r>
      <w:r>
        <w:rPr>
          <w:vertAlign w:val="baseline"/>
        </w:rPr>
        <w:t>sufficient</w:t>
      </w:r>
      <w:r>
        <w:rPr>
          <w:spacing w:val="-2"/>
          <w:vertAlign w:val="baseline"/>
        </w:rPr>
        <w:t> </w:t>
      </w:r>
      <w:r>
        <w:rPr>
          <w:vertAlign w:val="baseline"/>
        </w:rPr>
        <w:t>“unlawful</w:t>
      </w:r>
      <w:r>
        <w:rPr>
          <w:spacing w:val="-2"/>
          <w:vertAlign w:val="baseline"/>
        </w:rPr>
        <w:t> </w:t>
      </w:r>
      <w:r>
        <w:rPr>
          <w:vertAlign w:val="baseline"/>
        </w:rPr>
        <w:t>means” for the purposes of that tort; other </w:t>
      </w:r>
      <w:r>
        <w:rPr>
          <w:rFonts w:ascii="Arial" w:hAnsi="Arial"/>
          <w:i/>
          <w:vertAlign w:val="baseline"/>
        </w:rPr>
        <w:t>independent </w:t>
      </w:r>
      <w:r>
        <w:rPr>
          <w:vertAlign w:val="baseline"/>
        </w:rPr>
        <w:t>“unlawful” elements should be required, for example, tortious means. </w:t>
      </w:r>
      <w:r>
        <w:rPr>
          <w:color w:val="005DA1"/>
          <w:u w:val="single" w:color="005DA1"/>
          <w:vertAlign w:val="superscript"/>
        </w:rPr>
        <w:t>1201</w:t>
      </w:r>
    </w:p>
    <w:p>
      <w:pPr>
        <w:pStyle w:val="BodyText"/>
      </w:pPr>
    </w:p>
    <w:p>
      <w:pPr>
        <w:pStyle w:val="BodyText"/>
        <w:spacing w:before="36"/>
      </w:pPr>
    </w:p>
    <w:p>
      <w:pPr>
        <w:spacing w:before="0"/>
        <w:ind w:left="164" w:right="0" w:firstLine="0"/>
        <w:jc w:val="both"/>
        <w:rPr>
          <w:rFonts w:ascii="Arial" w:hAnsi="Arial"/>
          <w:b/>
          <w:sz w:val="18"/>
        </w:rPr>
      </w:pPr>
      <w:r>
        <w:rPr>
          <w:rFonts w:ascii="Arial" w:hAnsi="Arial"/>
          <w:b/>
          <w:sz w:val="18"/>
        </w:rPr>
        <w:t>Breach of contract as an “aggressive commercial </w:t>
      </w:r>
      <w:r>
        <w:rPr>
          <w:rFonts w:ascii="Arial" w:hAnsi="Arial"/>
          <w:b/>
          <w:spacing w:val="-2"/>
          <w:sz w:val="18"/>
        </w:rPr>
        <w:t>practice”</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176</w:t>
      </w:r>
    </w:p>
    <w:p>
      <w:pPr>
        <w:pStyle w:val="BodyText"/>
        <w:spacing w:line="235" w:lineRule="auto" w:before="203"/>
        <w:ind w:left="164" w:right="167"/>
        <w:jc w:val="both"/>
      </w:pPr>
      <w:r>
        <w:rPr/>
        <w:t>In 2014 the Consumer Protection from Unfair Trading Regulations 2008 were amended so as </w:t>
      </w:r>
      <w:r>
        <w:rPr/>
        <w:t>to create new “rights to redress” for consumers in respect of certain categories of unfair commercial practices. </w:t>
      </w:r>
      <w:r>
        <w:rPr>
          <w:color w:val="005DA1"/>
          <w:u w:val="single" w:color="005DA1"/>
          <w:vertAlign w:val="superscript"/>
        </w:rPr>
        <w:t>1202</w:t>
      </w:r>
      <w:r>
        <w:rPr>
          <w:color w:val="005DA1"/>
          <w:vertAlign w:val="baseline"/>
        </w:rPr>
        <w:t> </w:t>
      </w:r>
      <w:r>
        <w:rPr>
          <w:vertAlign w:val="baseline"/>
        </w:rPr>
        <w:t>Under this new law, a consumer may recover, inter alia, damages in respect of an “aggressive</w:t>
      </w:r>
      <w:r>
        <w:rPr>
          <w:spacing w:val="-2"/>
          <w:vertAlign w:val="baseline"/>
        </w:rPr>
        <w:t> </w:t>
      </w:r>
      <w:r>
        <w:rPr>
          <w:vertAlign w:val="baseline"/>
        </w:rPr>
        <w:t>commercial</w:t>
      </w:r>
      <w:r>
        <w:rPr>
          <w:spacing w:val="-2"/>
          <w:vertAlign w:val="baseline"/>
        </w:rPr>
        <w:t> </w:t>
      </w:r>
      <w:r>
        <w:rPr>
          <w:vertAlign w:val="baseline"/>
        </w:rPr>
        <w:t>practice”</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consumer</w:t>
      </w:r>
      <w:r>
        <w:rPr>
          <w:spacing w:val="-2"/>
          <w:vertAlign w:val="baseline"/>
        </w:rPr>
        <w:t> </w:t>
      </w:r>
      <w:r>
        <w:rPr>
          <w:vertAlign w:val="baseline"/>
        </w:rPr>
        <w:t>has</w:t>
      </w:r>
      <w:r>
        <w:rPr>
          <w:spacing w:val="-2"/>
          <w:vertAlign w:val="baseline"/>
        </w:rPr>
        <w:t> </w:t>
      </w:r>
      <w:r>
        <w:rPr>
          <w:vertAlign w:val="baseline"/>
        </w:rPr>
        <w:t>entered</w:t>
      </w:r>
      <w:r>
        <w:rPr>
          <w:spacing w:val="-2"/>
          <w:vertAlign w:val="baseline"/>
        </w:rPr>
        <w:t> </w:t>
      </w:r>
      <w:r>
        <w:rPr>
          <w:vertAlign w:val="baseline"/>
        </w:rPr>
        <w:t>into</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with</w:t>
      </w:r>
      <w:r>
        <w:rPr>
          <w:spacing w:val="-2"/>
          <w:vertAlign w:val="baseline"/>
        </w:rPr>
        <w:t> </w:t>
      </w:r>
      <w:r>
        <w:rPr>
          <w:vertAlign w:val="baseline"/>
        </w:rPr>
        <w:t>a</w:t>
      </w:r>
      <w:r>
        <w:rPr>
          <w:spacing w:val="-2"/>
          <w:vertAlign w:val="baseline"/>
        </w:rPr>
        <w:t> </w:t>
      </w:r>
      <w:r>
        <w:rPr>
          <w:vertAlign w:val="baseline"/>
        </w:rPr>
        <w:t>trader</w:t>
      </w:r>
      <w:r>
        <w:rPr>
          <w:spacing w:val="-2"/>
          <w:vertAlign w:val="baseline"/>
        </w:rPr>
        <w:t> </w:t>
      </w:r>
      <w:r>
        <w:rPr>
          <w:vertAlign w:val="baseline"/>
        </w:rPr>
        <w:t>for</w:t>
      </w:r>
      <w:r>
        <w:rPr>
          <w:spacing w:val="-2"/>
          <w:vertAlign w:val="baseline"/>
        </w:rPr>
        <w:t> </w:t>
      </w:r>
      <w:r>
        <w:rPr>
          <w:vertAlign w:val="baseline"/>
        </w:rPr>
        <w:t>the sale or supply of a “product” (as specially defined by the Regulations </w:t>
      </w:r>
      <w:r>
        <w:rPr>
          <w:color w:val="005DA1"/>
          <w:u w:val="single" w:color="005DA1"/>
          <w:vertAlign w:val="superscript"/>
        </w:rPr>
        <w:t>1203</w:t>
      </w:r>
      <w:r>
        <w:rPr>
          <w:vertAlign w:val="baseline"/>
        </w:rPr>
        <w:t>) by the trader or a contract with a trader for the sale of goods to the trader, or where the consumer makes a payment to a trader for the supply of a product, and the aggressive commercial practice is a significant factor in the consumer’s decision to enter into the contract or make the payment. </w:t>
      </w:r>
      <w:r>
        <w:rPr>
          <w:color w:val="005DA1"/>
          <w:u w:val="single" w:color="005DA1"/>
          <w:vertAlign w:val="superscript"/>
        </w:rPr>
        <w:t>1204</w:t>
      </w:r>
      <w:r>
        <w:rPr>
          <w:color w:val="005DA1"/>
          <w:vertAlign w:val="baseline"/>
        </w:rPr>
        <w:t> </w:t>
      </w:r>
      <w:r>
        <w:rPr>
          <w:vertAlign w:val="baseline"/>
        </w:rPr>
        <w:t>For these purposes, a “commercial practice” is aggressive if:</w:t>
      </w:r>
    </w:p>
    <w:p>
      <w:pPr>
        <w:pStyle w:val="BodyText"/>
      </w:pPr>
    </w:p>
    <w:p>
      <w:pPr>
        <w:pStyle w:val="BodyText"/>
      </w:pPr>
    </w:p>
    <w:p>
      <w:pPr>
        <w:pStyle w:val="BodyText"/>
      </w:pPr>
    </w:p>
    <w:p>
      <w:pPr>
        <w:pStyle w:val="BodyText"/>
        <w:spacing w:before="92"/>
      </w:pPr>
    </w:p>
    <w:p>
      <w:pPr>
        <w:pStyle w:val="BodyText"/>
        <w:spacing w:before="1"/>
        <w:ind w:left="1245"/>
      </w:pPr>
      <w:r>
        <w:rPr>
          <w:spacing w:val="-4"/>
        </w:rPr>
        <w:t>“(a)</w:t>
      </w:r>
    </w:p>
    <w:p>
      <w:pPr>
        <w:pStyle w:val="BodyText"/>
        <w:spacing w:line="235" w:lineRule="auto" w:before="113"/>
        <w:ind w:left="1725" w:right="167"/>
        <w:jc w:val="both"/>
      </w:pPr>
      <w:r>
        <w:rPr/>
        <w:t>it significantly impairs or is likely significantly to impair the average </w:t>
      </w:r>
      <w:r>
        <w:rPr/>
        <w:t>consumer’s freedom</w:t>
      </w:r>
      <w:r>
        <w:rPr>
          <w:spacing w:val="-2"/>
        </w:rPr>
        <w:t> </w:t>
      </w:r>
      <w:r>
        <w:rPr/>
        <w:t>of</w:t>
      </w:r>
      <w:r>
        <w:rPr>
          <w:spacing w:val="-2"/>
        </w:rPr>
        <w:t> </w:t>
      </w:r>
      <w:r>
        <w:rPr/>
        <w:t>choice</w:t>
      </w:r>
      <w:r>
        <w:rPr>
          <w:spacing w:val="-2"/>
        </w:rPr>
        <w:t> </w:t>
      </w:r>
      <w:r>
        <w:rPr/>
        <w:t>or</w:t>
      </w:r>
      <w:r>
        <w:rPr>
          <w:spacing w:val="-2"/>
        </w:rPr>
        <w:t> </w:t>
      </w:r>
      <w:r>
        <w:rPr/>
        <w:t>conduct</w:t>
      </w:r>
      <w:r>
        <w:rPr>
          <w:spacing w:val="-2"/>
        </w:rPr>
        <w:t> </w:t>
      </w:r>
      <w:r>
        <w:rPr/>
        <w:t>in</w:t>
      </w:r>
      <w:r>
        <w:rPr>
          <w:spacing w:val="-2"/>
        </w:rPr>
        <w:t> </w:t>
      </w:r>
      <w:r>
        <w:rPr/>
        <w:t>relation</w:t>
      </w:r>
      <w:r>
        <w:rPr>
          <w:spacing w:val="-2"/>
        </w:rPr>
        <w:t> </w:t>
      </w:r>
      <w:r>
        <w:rPr/>
        <w:t>to</w:t>
      </w:r>
      <w:r>
        <w:rPr>
          <w:spacing w:val="-2"/>
        </w:rPr>
        <w:t> </w:t>
      </w:r>
      <w:r>
        <w:rPr/>
        <w:t>the</w:t>
      </w:r>
      <w:r>
        <w:rPr>
          <w:spacing w:val="-2"/>
        </w:rPr>
        <w:t> </w:t>
      </w:r>
      <w:r>
        <w:rPr/>
        <w:t>product</w:t>
      </w:r>
      <w:r>
        <w:rPr>
          <w:spacing w:val="-2"/>
        </w:rPr>
        <w:t> </w:t>
      </w:r>
      <w:r>
        <w:rPr/>
        <w:t>concerned</w:t>
      </w:r>
      <w:r>
        <w:rPr>
          <w:spacing w:val="-2"/>
        </w:rPr>
        <w:t> </w:t>
      </w:r>
      <w:r>
        <w:rPr/>
        <w:t>through</w:t>
      </w:r>
      <w:r>
        <w:rPr>
          <w:spacing w:val="-2"/>
        </w:rPr>
        <w:t> </w:t>
      </w:r>
      <w:r>
        <w:rPr/>
        <w:t>the</w:t>
      </w:r>
      <w:r>
        <w:rPr>
          <w:spacing w:val="-2"/>
        </w:rPr>
        <w:t> </w:t>
      </w:r>
      <w:r>
        <w:rPr/>
        <w:t>use</w:t>
      </w:r>
      <w:r>
        <w:rPr>
          <w:spacing w:val="-2"/>
        </w:rPr>
        <w:t> </w:t>
      </w:r>
      <w:r>
        <w:rPr/>
        <w:t>of harassment, coercion or undue influence; and</w:t>
      </w:r>
    </w:p>
    <w:p>
      <w:pPr>
        <w:pStyle w:val="BodyText"/>
      </w:pPr>
    </w:p>
    <w:p>
      <w:pPr>
        <w:pStyle w:val="BodyText"/>
        <w:spacing w:before="35"/>
      </w:pPr>
    </w:p>
    <w:p>
      <w:pPr>
        <w:pStyle w:val="BodyText"/>
        <w:spacing w:before="1"/>
        <w:ind w:left="1245"/>
      </w:pPr>
      <w:r>
        <w:rPr>
          <w:spacing w:val="-5"/>
        </w:rPr>
        <w:t>(b)</w:t>
      </w:r>
    </w:p>
    <w:p>
      <w:pPr>
        <w:pStyle w:val="BodyText"/>
        <w:spacing w:line="235" w:lineRule="auto" w:before="113"/>
        <w:ind w:left="1725" w:right="168"/>
      </w:pPr>
      <w:r>
        <w:rPr/>
        <w:t>it thereby causes or is likely to cause him to take a transactional decision he would not have taken otherwise.” </w:t>
      </w:r>
      <w:r>
        <w:rPr>
          <w:color w:val="005DA1"/>
          <w:u w:val="single" w:color="005DA1"/>
          <w:vertAlign w:val="superscript"/>
        </w:rPr>
        <w:t>1205</w:t>
      </w:r>
    </w:p>
    <w:p>
      <w:pPr>
        <w:pStyle w:val="BodyText"/>
      </w:pPr>
    </w:p>
    <w:p>
      <w:pPr>
        <w:pStyle w:val="BodyText"/>
        <w:spacing w:before="99"/>
      </w:pPr>
    </w:p>
    <w:p>
      <w:pPr>
        <w:pStyle w:val="BodyText"/>
        <w:spacing w:line="235" w:lineRule="auto" w:before="1"/>
        <w:ind w:left="165" w:right="167"/>
        <w:jc w:val="both"/>
      </w:pPr>
      <w:r>
        <w:rPr/>
        <w:t>It is clear that a threat to break a contract or a breach itself may constitute an aggressive commercial practice for these purposes and, where this threat or breach is a significant factor in the consumer’s decision to make a payment to the trader which was not due, the consumer may have a right </w:t>
      </w:r>
      <w:r>
        <w:rPr/>
        <w:t>to receive</w:t>
      </w:r>
      <w:r>
        <w:rPr>
          <w:spacing w:val="-3"/>
        </w:rPr>
        <w:t> </w:t>
      </w:r>
      <w:r>
        <w:rPr/>
        <w:t>back</w:t>
      </w:r>
      <w:r>
        <w:rPr>
          <w:spacing w:val="-3"/>
        </w:rPr>
        <w:t> </w:t>
      </w:r>
      <w:r>
        <w:rPr/>
        <w:t>the</w:t>
      </w:r>
      <w:r>
        <w:rPr>
          <w:spacing w:val="-3"/>
        </w:rPr>
        <w:t> </w:t>
      </w:r>
      <w:r>
        <w:rPr/>
        <w:t>payment</w:t>
      </w:r>
      <w:r>
        <w:rPr>
          <w:spacing w:val="-3"/>
        </w:rPr>
        <w:t> </w:t>
      </w:r>
      <w:r>
        <w:rPr/>
        <w:t>from</w:t>
      </w:r>
      <w:r>
        <w:rPr>
          <w:spacing w:val="-3"/>
        </w:rPr>
        <w:t> </w:t>
      </w:r>
      <w:r>
        <w:rPr/>
        <w:t>the</w:t>
      </w:r>
      <w:r>
        <w:rPr>
          <w:spacing w:val="-3"/>
        </w:rPr>
        <w:t> </w:t>
      </w:r>
      <w:r>
        <w:rPr/>
        <w:t>trader</w:t>
      </w:r>
      <w:r>
        <w:rPr>
          <w:spacing w:val="-4"/>
        </w:rPr>
        <w:t> </w:t>
      </w:r>
      <w:r>
        <w:rPr>
          <w:color w:val="005DA1"/>
          <w:u w:val="single" w:color="005DA1"/>
          <w:vertAlign w:val="superscript"/>
        </w:rPr>
        <w:t>1206</w:t>
      </w:r>
      <w:r>
        <w:rPr>
          <w:color w:val="005DA1"/>
          <w:spacing w:val="-3"/>
          <w:vertAlign w:val="baseline"/>
        </w:rPr>
        <w:t> </w:t>
      </w:r>
      <w:r>
        <w:rPr>
          <w:vertAlign w:val="baseline"/>
        </w:rPr>
        <w:t>and/or</w:t>
      </w:r>
      <w:r>
        <w:rPr>
          <w:spacing w:val="-3"/>
          <w:vertAlign w:val="baseline"/>
        </w:rPr>
        <w:t> </w:t>
      </w:r>
      <w:r>
        <w:rPr>
          <w:vertAlign w:val="baseline"/>
        </w:rPr>
        <w:t>a</w:t>
      </w:r>
      <w:r>
        <w:rPr>
          <w:spacing w:val="-3"/>
          <w:vertAlign w:val="baseline"/>
        </w:rPr>
        <w:t> </w:t>
      </w:r>
      <w:r>
        <w:rPr>
          <w:vertAlign w:val="baseline"/>
        </w:rPr>
        <w:t>right</w:t>
      </w:r>
      <w:r>
        <w:rPr>
          <w:spacing w:val="-3"/>
          <w:vertAlign w:val="baseline"/>
        </w:rPr>
        <w:t> </w:t>
      </w:r>
      <w:r>
        <w:rPr>
          <w:vertAlign w:val="baseline"/>
        </w:rPr>
        <w:t>to</w:t>
      </w:r>
      <w:r>
        <w:rPr>
          <w:spacing w:val="-3"/>
          <w:vertAlign w:val="baseline"/>
        </w:rPr>
        <w:t> </w:t>
      </w:r>
      <w:r>
        <w:rPr>
          <w:vertAlign w:val="baseline"/>
        </w:rPr>
        <w:t>damages</w:t>
      </w:r>
      <w:r>
        <w:rPr>
          <w:spacing w:val="-3"/>
          <w:vertAlign w:val="baseline"/>
        </w:rPr>
        <w:t> </w:t>
      </w:r>
      <w:r>
        <w:rPr>
          <w:vertAlign w:val="baseline"/>
        </w:rPr>
        <w:t>against</w:t>
      </w:r>
      <w:r>
        <w:rPr>
          <w:spacing w:val="-3"/>
          <w:vertAlign w:val="baseline"/>
        </w:rPr>
        <w:t> </w:t>
      </w:r>
      <w:r>
        <w:rPr>
          <w:vertAlign w:val="baseline"/>
        </w:rPr>
        <w:t>the</w:t>
      </w:r>
      <w:r>
        <w:rPr>
          <w:spacing w:val="-3"/>
          <w:vertAlign w:val="baseline"/>
        </w:rPr>
        <w:t> </w:t>
      </w:r>
      <w:r>
        <w:rPr>
          <w:vertAlign w:val="baseline"/>
        </w:rPr>
        <w:t>trader</w:t>
      </w:r>
      <w:r>
        <w:rPr>
          <w:spacing w:val="-3"/>
          <w:vertAlign w:val="baseline"/>
        </w:rPr>
        <w:t> </w:t>
      </w:r>
      <w:r>
        <w:rPr>
          <w:vertAlign w:val="baseline"/>
        </w:rPr>
        <w:t>for</w:t>
      </w:r>
      <w:r>
        <w:rPr>
          <w:spacing w:val="-3"/>
          <w:vertAlign w:val="baseline"/>
        </w:rPr>
        <w:t> </w:t>
      </w:r>
      <w:r>
        <w:rPr>
          <w:vertAlign w:val="baseline"/>
        </w:rPr>
        <w:t>any</w:t>
      </w:r>
      <w:r>
        <w:rPr>
          <w:spacing w:val="-3"/>
          <w:vertAlign w:val="baseline"/>
        </w:rPr>
        <w:t> </w:t>
      </w:r>
      <w:r>
        <w:rPr>
          <w:vertAlign w:val="baseline"/>
        </w:rPr>
        <w:t>loss caused, to include financial loss or “alarm, distress or physical inconvenience or discomfort” if the aggressive commercial practice had not taken place. </w:t>
      </w:r>
      <w:r>
        <w:rPr>
          <w:color w:val="005DA1"/>
          <w:u w:val="single" w:color="005DA1"/>
          <w:vertAlign w:val="superscript"/>
        </w:rPr>
        <w:t>1207</w:t>
      </w:r>
    </w:p>
    <w:p>
      <w:pPr>
        <w:pStyle w:val="BodyText"/>
      </w:pPr>
    </w:p>
    <w:p>
      <w:pPr>
        <w:pStyle w:val="BodyText"/>
        <w:spacing w:before="36"/>
      </w:pPr>
    </w:p>
    <w:p>
      <w:pPr>
        <w:spacing w:before="0"/>
        <w:ind w:left="164" w:right="0" w:firstLine="0"/>
        <w:jc w:val="both"/>
        <w:rPr>
          <w:rFonts w:ascii="Arial"/>
          <w:b/>
          <w:sz w:val="18"/>
        </w:rPr>
      </w:pPr>
      <w:r>
        <w:rPr>
          <w:rFonts w:ascii="Arial"/>
          <w:b/>
          <w:sz w:val="18"/>
        </w:rPr>
        <w:t>Contractual standards of care: can tort be </w:t>
      </w:r>
      <w:r>
        <w:rPr>
          <w:rFonts w:ascii="Arial"/>
          <w:b/>
          <w:spacing w:val="-2"/>
          <w:sz w:val="18"/>
        </w:rPr>
        <w:t>stricter?</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177</w:t>
      </w:r>
    </w:p>
    <w:p>
      <w:pPr>
        <w:pStyle w:val="BodyText"/>
        <w:spacing w:line="235" w:lineRule="auto" w:before="203"/>
        <w:ind w:left="164" w:right="167"/>
        <w:jc w:val="both"/>
      </w:pPr>
      <w:r>
        <w:rPr/>
        <w:t>It is clear that where either the express or implied terms of the contract or the law itself governs </w:t>
      </w:r>
      <w:r>
        <w:rPr/>
        <w:t>the standard of care owed by the defendant to the claimant, the latter cannot seek to impose a higher standard by claiming in tort, notably the tort of negligence. </w:t>
      </w:r>
      <w:r>
        <w:rPr>
          <w:color w:val="005DA1"/>
          <w:u w:val="single" w:color="005DA1"/>
          <w:vertAlign w:val="superscript"/>
        </w:rPr>
        <w:t>1208</w:t>
      </w:r>
      <w:r>
        <w:rPr>
          <w:color w:val="005DA1"/>
          <w:vertAlign w:val="baseline"/>
        </w:rPr>
        <w:t> </w:t>
      </w:r>
      <w:r>
        <w:rPr>
          <w:vertAlign w:val="baseline"/>
        </w:rPr>
        <w:t>Where a contract expressly restricts a party’s standard of care, it would seem that ordinary principles of construction apply, rather than construction contra proferentum which applies to exemption clauses proper, i.e. those clauses which intend to restrict or exclude a party’s </w:t>
      </w:r>
      <w:r>
        <w:rPr>
          <w:rFonts w:ascii="Arial" w:hAnsi="Arial"/>
          <w:i/>
          <w:vertAlign w:val="baseline"/>
        </w:rPr>
        <w:t>liability</w:t>
      </w:r>
      <w:r>
        <w:rPr>
          <w:vertAlign w:val="baseline"/>
        </w:rPr>
        <w:t>. </w:t>
      </w:r>
      <w:r>
        <w:rPr>
          <w:color w:val="005DA1"/>
          <w:u w:val="single" w:color="005DA1"/>
          <w:vertAlign w:val="superscript"/>
        </w:rPr>
        <w:t>1209</w:t>
      </w:r>
      <w:r>
        <w:rPr>
          <w:color w:val="005DA1"/>
          <w:vertAlign w:val="baseline"/>
        </w:rPr>
        <w:t> </w:t>
      </w:r>
      <w:r>
        <w:rPr>
          <w:vertAlign w:val="baseline"/>
        </w:rPr>
        <w:t>In the case of implied terms, those which relate to</w:t>
      </w:r>
      <w:r>
        <w:rPr>
          <w:spacing w:val="40"/>
          <w:vertAlign w:val="baseline"/>
        </w:rPr>
        <w:t> </w:t>
      </w:r>
      <w:r>
        <w:rPr>
          <w:vertAlign w:val="baseline"/>
        </w:rPr>
        <w:t>the safety of a person or of his property often impose either reasonable care </w:t>
      </w:r>
      <w:r>
        <w:rPr>
          <w:color w:val="005DA1"/>
          <w:u w:val="single" w:color="005DA1"/>
          <w:vertAlign w:val="superscript"/>
        </w:rPr>
        <w:t>1210</w:t>
      </w:r>
      <w:r>
        <w:rPr>
          <w:color w:val="005DA1"/>
          <w:vertAlign w:val="baseline"/>
        </w:rPr>
        <w:t> </w:t>
      </w:r>
      <w:r>
        <w:rPr>
          <w:vertAlign w:val="baseline"/>
        </w:rPr>
        <w:t>or some stricter duty on</w:t>
      </w:r>
      <w:r>
        <w:rPr>
          <w:spacing w:val="20"/>
          <w:vertAlign w:val="baseline"/>
        </w:rPr>
        <w:t> </w:t>
      </w:r>
      <w:r>
        <w:rPr>
          <w:vertAlign w:val="baseline"/>
        </w:rPr>
        <w:t>the</w:t>
      </w:r>
      <w:r>
        <w:rPr>
          <w:spacing w:val="21"/>
          <w:vertAlign w:val="baseline"/>
        </w:rPr>
        <w:t> </w:t>
      </w:r>
      <w:r>
        <w:rPr>
          <w:vertAlign w:val="baseline"/>
        </w:rPr>
        <w:t>contractor,</w:t>
      </w:r>
      <w:r>
        <w:rPr>
          <w:spacing w:val="21"/>
          <w:vertAlign w:val="baseline"/>
        </w:rPr>
        <w:t> </w:t>
      </w:r>
      <w:r>
        <w:rPr>
          <w:color w:val="005DA1"/>
          <w:u w:val="single" w:color="005DA1"/>
          <w:vertAlign w:val="superscript"/>
        </w:rPr>
        <w:t>1211</w:t>
      </w:r>
      <w:r>
        <w:rPr>
          <w:color w:val="005DA1"/>
          <w:spacing w:val="20"/>
          <w:vertAlign w:val="baseline"/>
        </w:rPr>
        <w:t> </w:t>
      </w:r>
      <w:r>
        <w:rPr>
          <w:vertAlign w:val="baseline"/>
        </w:rPr>
        <w:t>and</w:t>
      </w:r>
      <w:r>
        <w:rPr>
          <w:spacing w:val="21"/>
          <w:vertAlign w:val="baseline"/>
        </w:rPr>
        <w:t> </w:t>
      </w:r>
      <w:r>
        <w:rPr>
          <w:vertAlign w:val="baseline"/>
        </w:rPr>
        <w:t>so</w:t>
      </w:r>
      <w:r>
        <w:rPr>
          <w:spacing w:val="21"/>
          <w:vertAlign w:val="baseline"/>
        </w:rPr>
        <w:t> </w:t>
      </w:r>
      <w:r>
        <w:rPr>
          <w:vertAlign w:val="baseline"/>
        </w:rPr>
        <w:t>any</w:t>
      </w:r>
      <w:r>
        <w:rPr>
          <w:spacing w:val="21"/>
          <w:vertAlign w:val="baseline"/>
        </w:rPr>
        <w:t> </w:t>
      </w:r>
      <w:r>
        <w:rPr>
          <w:vertAlign w:val="baseline"/>
        </w:rPr>
        <w:t>liability</w:t>
      </w:r>
      <w:r>
        <w:rPr>
          <w:spacing w:val="20"/>
          <w:vertAlign w:val="baseline"/>
        </w:rPr>
        <w:t> </w:t>
      </w:r>
      <w:r>
        <w:rPr>
          <w:vertAlign w:val="baseline"/>
        </w:rPr>
        <w:t>in</w:t>
      </w:r>
      <w:r>
        <w:rPr>
          <w:spacing w:val="21"/>
          <w:vertAlign w:val="baseline"/>
        </w:rPr>
        <w:t> </w:t>
      </w:r>
      <w:r>
        <w:rPr>
          <w:vertAlign w:val="baseline"/>
        </w:rPr>
        <w:t>tort</w:t>
      </w:r>
      <w:r>
        <w:rPr>
          <w:spacing w:val="21"/>
          <w:vertAlign w:val="baseline"/>
        </w:rPr>
        <w:t> </w:t>
      </w:r>
      <w:r>
        <w:rPr>
          <w:vertAlign w:val="baseline"/>
        </w:rPr>
        <w:t>in</w:t>
      </w:r>
      <w:r>
        <w:rPr>
          <w:spacing w:val="20"/>
          <w:vertAlign w:val="baseline"/>
        </w:rPr>
        <w:t> </w:t>
      </w:r>
      <w:r>
        <w:rPr>
          <w:vertAlign w:val="baseline"/>
        </w:rPr>
        <w:t>the</w:t>
      </w:r>
      <w:r>
        <w:rPr>
          <w:spacing w:val="21"/>
          <w:vertAlign w:val="baseline"/>
        </w:rPr>
        <w:t> </w:t>
      </w:r>
      <w:r>
        <w:rPr>
          <w:vertAlign w:val="baseline"/>
        </w:rPr>
        <w:t>latter</w:t>
      </w:r>
      <w:r>
        <w:rPr>
          <w:spacing w:val="21"/>
          <w:vertAlign w:val="baseline"/>
        </w:rPr>
        <w:t> </w:t>
      </w:r>
      <w:r>
        <w:rPr>
          <w:vertAlign w:val="baseline"/>
        </w:rPr>
        <w:t>would</w:t>
      </w:r>
      <w:r>
        <w:rPr>
          <w:spacing w:val="21"/>
          <w:vertAlign w:val="baseline"/>
        </w:rPr>
        <w:t> </w:t>
      </w:r>
      <w:r>
        <w:rPr>
          <w:vertAlign w:val="baseline"/>
        </w:rPr>
        <w:t>not</w:t>
      </w:r>
      <w:r>
        <w:rPr>
          <w:spacing w:val="20"/>
          <w:vertAlign w:val="baseline"/>
        </w:rPr>
        <w:t> </w:t>
      </w:r>
      <w:r>
        <w:rPr>
          <w:vertAlign w:val="baseline"/>
        </w:rPr>
        <w:t>impose</w:t>
      </w:r>
      <w:r>
        <w:rPr>
          <w:spacing w:val="21"/>
          <w:vertAlign w:val="baseline"/>
        </w:rPr>
        <w:t> </w:t>
      </w:r>
      <w:r>
        <w:rPr>
          <w:vertAlign w:val="baseline"/>
        </w:rPr>
        <w:t>any</w:t>
      </w:r>
      <w:r>
        <w:rPr>
          <w:spacing w:val="21"/>
          <w:vertAlign w:val="baseline"/>
        </w:rPr>
        <w:t> </w:t>
      </w:r>
      <w:r>
        <w:rPr>
          <w:vertAlign w:val="baseline"/>
        </w:rPr>
        <w:t>higher</w:t>
      </w:r>
      <w:r>
        <w:rPr>
          <w:spacing w:val="20"/>
          <w:vertAlign w:val="baseline"/>
        </w:rPr>
        <w:t> </w:t>
      </w:r>
      <w:r>
        <w:rPr>
          <w:spacing w:val="-2"/>
          <w:vertAlign w:val="baseline"/>
        </w:rPr>
        <w:t>standard</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t>than in contract. However, implied terms whose breach gives rise to economic loss in the other </w:t>
      </w:r>
      <w:r>
        <w:rPr/>
        <w:t>party sometimes impose a more restricted standard of care than that imposed by the general law, and here the courts have refused to allow the other party to circumvent this contractual standard by claiming in tort. This was the particular issue in </w:t>
      </w:r>
      <w:r>
        <w:rPr>
          <w:rFonts w:ascii="Arial" w:hAnsi="Arial"/>
          <w:i/>
        </w:rPr>
        <w:t>Tai Hing Cotton Mill Ltd v Liu Chong Hing Bank Ltd </w:t>
      </w:r>
      <w:r>
        <w:rPr>
          <w:color w:val="005DA1"/>
          <w:u w:val="single" w:color="005DA1"/>
          <w:vertAlign w:val="superscript"/>
        </w:rPr>
        <w:t>1212</w:t>
      </w:r>
      <w:r>
        <w:rPr>
          <w:color w:val="005DA1"/>
          <w:vertAlign w:val="baseline"/>
        </w:rPr>
        <w:t> </w:t>
      </w:r>
      <w:r>
        <w:rPr>
          <w:vertAlign w:val="baseline"/>
        </w:rPr>
        <w:t>which gave rise to Lord Scarman’s dictum advising against the intervention of tort between parties to a contract, </w:t>
      </w:r>
      <w:r>
        <w:rPr>
          <w:color w:val="005DA1"/>
          <w:u w:val="single" w:color="005DA1"/>
          <w:vertAlign w:val="superscript"/>
        </w:rPr>
        <w:t>1213</w:t>
      </w:r>
      <w:r>
        <w:rPr>
          <w:color w:val="005DA1"/>
          <w:vertAlign w:val="baseline"/>
        </w:rPr>
        <w:t> </w:t>
      </w:r>
      <w:r>
        <w:rPr>
          <w:vertAlign w:val="baseline"/>
        </w:rPr>
        <w:t>and this was the basis on which the decision of the Privy Council in that case which denied a claim in tort was explained by the House of Lords in </w:t>
      </w:r>
      <w:r>
        <w:rPr>
          <w:rFonts w:ascii="Arial" w:hAnsi="Arial"/>
          <w:i/>
          <w:vertAlign w:val="baseline"/>
        </w:rPr>
        <w:t>Henderson v Merrett Syndicates Ltd</w:t>
      </w:r>
      <w:r>
        <w:rPr>
          <w:vertAlign w:val="baseline"/>
        </w:rPr>
        <w:t>.</w:t>
      </w:r>
      <w:r>
        <w:rPr>
          <w:spacing w:val="40"/>
          <w:vertAlign w:val="baseline"/>
        </w:rPr>
        <w:t> </w:t>
      </w:r>
      <w:r>
        <w:rPr>
          <w:color w:val="005DA1"/>
          <w:u w:val="single" w:color="005DA1"/>
          <w:vertAlign w:val="superscript"/>
        </w:rPr>
        <w:t>1214</w:t>
      </w:r>
      <w:r>
        <w:rPr>
          <w:color w:val="005DA1"/>
          <w:vertAlign w:val="baseline"/>
        </w:rPr>
        <w:t> </w:t>
      </w:r>
      <w:r>
        <w:rPr>
          <w:rFonts w:ascii="Arial" w:hAnsi="Arial"/>
          <w:i/>
          <w:vertAlign w:val="baseline"/>
        </w:rPr>
        <w:t>Tai Hing Cotton Mill Ltd </w:t>
      </w:r>
      <w:r>
        <w:rPr>
          <w:vertAlign w:val="baseline"/>
        </w:rPr>
        <w:t>itself concerned a claim by a bank against its customer for economic loss caused by the latter’s alleged negligence in the running of its own account. The Privy Council held</w:t>
      </w:r>
      <w:r>
        <w:rPr>
          <w:spacing w:val="40"/>
          <w:vertAlign w:val="baseline"/>
        </w:rPr>
        <w:t> </w:t>
      </w:r>
      <w:r>
        <w:rPr>
          <w:vertAlign w:val="baseline"/>
        </w:rPr>
        <w:t>that as a matter of authority a bank customer owed only a duty to act honestly in relation to the conduct of his own account under the contract with the bank and should not, therefore, be held to a duty to take reasonable care whether by way of implied term or of breach of an alleged duty of care in the</w:t>
      </w:r>
      <w:r>
        <w:rPr>
          <w:spacing w:val="-2"/>
          <w:vertAlign w:val="baseline"/>
        </w:rPr>
        <w:t> </w:t>
      </w:r>
      <w:r>
        <w:rPr>
          <w:vertAlign w:val="baseline"/>
        </w:rPr>
        <w:t>tort</w:t>
      </w:r>
      <w:r>
        <w:rPr>
          <w:spacing w:val="-2"/>
          <w:vertAlign w:val="baseline"/>
        </w:rPr>
        <w:t> </w:t>
      </w:r>
      <w:r>
        <w:rPr>
          <w:vertAlign w:val="baseline"/>
        </w:rPr>
        <w:t>of</w:t>
      </w:r>
      <w:r>
        <w:rPr>
          <w:spacing w:val="-2"/>
          <w:vertAlign w:val="baseline"/>
        </w:rPr>
        <w:t> </w:t>
      </w:r>
      <w:r>
        <w:rPr>
          <w:vertAlign w:val="baseline"/>
        </w:rPr>
        <w:t>negligence.</w:t>
      </w:r>
      <w:r>
        <w:rPr>
          <w:spacing w:val="-3"/>
          <w:vertAlign w:val="baseline"/>
        </w:rPr>
        <w:t> </w:t>
      </w:r>
      <w:r>
        <w:rPr>
          <w:color w:val="005DA1"/>
          <w:u w:val="single" w:color="005DA1"/>
          <w:vertAlign w:val="superscript"/>
        </w:rPr>
        <w:t>1215</w:t>
      </w:r>
      <w:r>
        <w:rPr>
          <w:color w:val="005DA1"/>
          <w:spacing w:val="-2"/>
          <w:vertAlign w:val="baseline"/>
        </w:rPr>
        <w:t> </w:t>
      </w:r>
      <w:r>
        <w:rPr>
          <w:vertAlign w:val="baseline"/>
        </w:rPr>
        <w:t>Similarly,</w:t>
      </w:r>
      <w:r>
        <w:rPr>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party</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owes</w:t>
      </w:r>
      <w:r>
        <w:rPr>
          <w:spacing w:val="-2"/>
          <w:vertAlign w:val="baseline"/>
        </w:rPr>
        <w:t> </w:t>
      </w:r>
      <w:r>
        <w:rPr>
          <w:vertAlign w:val="baseline"/>
        </w:rPr>
        <w:t>only</w:t>
      </w:r>
      <w:r>
        <w:rPr>
          <w:spacing w:val="-2"/>
          <w:vertAlign w:val="baseline"/>
        </w:rPr>
        <w:t> </w:t>
      </w:r>
      <w:r>
        <w:rPr>
          <w:vertAlign w:val="baseline"/>
        </w:rPr>
        <w:t>a</w:t>
      </w:r>
      <w:r>
        <w:rPr>
          <w:spacing w:val="-2"/>
          <w:vertAlign w:val="baseline"/>
        </w:rPr>
        <w:t> </w:t>
      </w:r>
      <w:r>
        <w:rPr>
          <w:vertAlign w:val="baseline"/>
        </w:rPr>
        <w:t>“duty</w:t>
      </w:r>
      <w:r>
        <w:rPr>
          <w:spacing w:val="-2"/>
          <w:vertAlign w:val="baseline"/>
        </w:rPr>
        <w:t> </w:t>
      </w:r>
      <w:r>
        <w:rPr>
          <w:vertAlign w:val="baseline"/>
        </w:rPr>
        <w:t>to</w:t>
      </w:r>
      <w:r>
        <w:rPr>
          <w:spacing w:val="-2"/>
          <w:vertAlign w:val="baseline"/>
        </w:rPr>
        <w:t> </w:t>
      </w:r>
      <w:r>
        <w:rPr>
          <w:vertAlign w:val="baseline"/>
        </w:rPr>
        <w:t>act</w:t>
      </w:r>
      <w:r>
        <w:rPr>
          <w:spacing w:val="-2"/>
          <w:vertAlign w:val="baseline"/>
        </w:rPr>
        <w:t> </w:t>
      </w:r>
      <w:r>
        <w:rPr>
          <w:vertAlign w:val="baseline"/>
        </w:rPr>
        <w:t>rationally”,</w:t>
      </w:r>
      <w:r>
        <w:rPr>
          <w:spacing w:val="-2"/>
          <w:vertAlign w:val="baseline"/>
        </w:rPr>
        <w:t> </w:t>
      </w:r>
      <w:r>
        <w:rPr>
          <w:vertAlign w:val="baseline"/>
        </w:rPr>
        <w:t>i.e. to act honestly, in good faith and not arbitrarily, capriciously, perversely or irrationally in the exercise</w:t>
      </w:r>
      <w:r>
        <w:rPr>
          <w:spacing w:val="40"/>
          <w:vertAlign w:val="baseline"/>
        </w:rPr>
        <w:t> </w:t>
      </w:r>
      <w:r>
        <w:rPr>
          <w:vertAlign w:val="baseline"/>
        </w:rPr>
        <w:t>of a contractual discretionary power, and owes no duty to act with reasonable care under an implied term in the contract, then, apart from the situation where the party acts in excess of that power, it will owe no duty of care in tort </w:t>
      </w:r>
      <w:r>
        <w:rPr>
          <w:color w:val="005DA1"/>
          <w:u w:val="single" w:color="005DA1"/>
          <w:vertAlign w:val="superscript"/>
        </w:rPr>
        <w:t>1216</w:t>
      </w:r>
      <w:r>
        <w:rPr>
          <w:vertAlign w:val="baseline"/>
        </w:rPr>
        <w:t>: once a claimant’s:</w:t>
      </w:r>
    </w:p>
    <w:p>
      <w:pPr>
        <w:pStyle w:val="BodyText"/>
      </w:pPr>
    </w:p>
    <w:p>
      <w:pPr>
        <w:pStyle w:val="BodyText"/>
        <w:spacing w:before="120"/>
      </w:pPr>
    </w:p>
    <w:p>
      <w:pPr>
        <w:pStyle w:val="BodyText"/>
        <w:spacing w:line="235" w:lineRule="auto" w:before="1"/>
        <w:ind w:left="1245" w:right="167"/>
        <w:jc w:val="both"/>
      </w:pPr>
      <w:r>
        <w:rPr/>
        <w:t>“case on implied statutory or contractual term fails, there is … no room for the imposition of a tortious duty of care, which is more extensive than that which was provided for </w:t>
      </w:r>
      <w:r>
        <w:rPr/>
        <w:t>under the [contract].” </w:t>
      </w:r>
      <w:r>
        <w:rPr>
          <w:color w:val="005DA1"/>
          <w:u w:val="single" w:color="005DA1"/>
          <w:vertAlign w:val="superscript"/>
        </w:rPr>
        <w:t>1217</w:t>
      </w:r>
    </w:p>
    <w:p>
      <w:pPr>
        <w:pStyle w:val="BodyText"/>
        <w:spacing w:before="115"/>
      </w:pPr>
    </w:p>
    <w:p>
      <w:pPr>
        <w:pStyle w:val="BodyText"/>
        <w:spacing w:line="235" w:lineRule="auto"/>
        <w:ind w:left="164" w:right="167"/>
        <w:jc w:val="both"/>
      </w:pPr>
      <w:r>
        <w:rPr/>
        <w:t>Therefore, a clearing broker conducting a close out under a mandate with an options trader did </w:t>
      </w:r>
      <w:r>
        <w:rPr/>
        <w:t>not owe the latter a duty to take reasonable care in contract or in the tort of negligence. </w:t>
      </w:r>
      <w:r>
        <w:rPr>
          <w:color w:val="005DA1"/>
          <w:u w:val="single" w:color="005DA1"/>
          <w:vertAlign w:val="superscript"/>
        </w:rPr>
        <w:t>1218</w:t>
      </w:r>
    </w:p>
    <w:p>
      <w:pPr>
        <w:pStyle w:val="BodyText"/>
      </w:pPr>
    </w:p>
    <w:p>
      <w:pPr>
        <w:pStyle w:val="BodyText"/>
        <w:spacing w:before="38"/>
      </w:pPr>
    </w:p>
    <w:p>
      <w:pPr>
        <w:spacing w:before="0"/>
        <w:ind w:left="165" w:right="0" w:firstLine="0"/>
        <w:jc w:val="both"/>
        <w:rPr>
          <w:rFonts w:ascii="Arial"/>
          <w:b/>
          <w:sz w:val="18"/>
        </w:rPr>
      </w:pPr>
      <w:r>
        <w:rPr>
          <w:rFonts w:ascii="Arial"/>
          <w:b/>
          <w:sz w:val="18"/>
        </w:rPr>
        <w:t>Contractual standards and equitable </w:t>
      </w:r>
      <w:r>
        <w:rPr>
          <w:rFonts w:ascii="Arial"/>
          <w:b/>
          <w:spacing w:val="-2"/>
          <w:sz w:val="18"/>
        </w:rPr>
        <w:t>principles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178</w:t>
      </w:r>
    </w:p>
    <w:p>
      <w:pPr>
        <w:pStyle w:val="BodyText"/>
        <w:spacing w:line="235" w:lineRule="auto" w:before="203"/>
        <w:ind w:left="165" w:right="167"/>
        <w:jc w:val="both"/>
      </w:pPr>
      <w:r>
        <w:rPr/>
        <w:t>The courts have taken a similar approach where the relationship between the parties is </w:t>
      </w:r>
      <w:r>
        <w:rPr/>
        <w:t>contractual, but</w:t>
      </w:r>
      <w:r>
        <w:rPr>
          <w:spacing w:val="80"/>
        </w:rPr>
        <w:t> </w:t>
      </w:r>
      <w:r>
        <w:rPr/>
        <w:t>where</w:t>
      </w:r>
      <w:r>
        <w:rPr>
          <w:spacing w:val="80"/>
        </w:rPr>
        <w:t> </w:t>
      </w:r>
      <w:r>
        <w:rPr/>
        <w:t>it</w:t>
      </w:r>
      <w:r>
        <w:rPr>
          <w:spacing w:val="80"/>
        </w:rPr>
        <w:t> </w:t>
      </w:r>
      <w:r>
        <w:rPr/>
        <w:t>has</w:t>
      </w:r>
      <w:r>
        <w:rPr>
          <w:spacing w:val="80"/>
        </w:rPr>
        <w:t> </w:t>
      </w:r>
      <w:r>
        <w:rPr/>
        <w:t>traditionally</w:t>
      </w:r>
      <w:r>
        <w:rPr>
          <w:spacing w:val="80"/>
        </w:rPr>
        <w:t> </w:t>
      </w:r>
      <w:r>
        <w:rPr/>
        <w:t>been</w:t>
      </w:r>
      <w:r>
        <w:rPr>
          <w:spacing w:val="80"/>
        </w:rPr>
        <w:t> </w:t>
      </w:r>
      <w:r>
        <w:rPr/>
        <w:t>subject</w:t>
      </w:r>
      <w:r>
        <w:rPr>
          <w:spacing w:val="80"/>
        </w:rPr>
        <w:t> </w:t>
      </w:r>
      <w:r>
        <w:rPr/>
        <w:t>to</w:t>
      </w:r>
      <w:r>
        <w:rPr>
          <w:spacing w:val="80"/>
        </w:rPr>
        <w:t> </w:t>
      </w:r>
      <w:r>
        <w:rPr/>
        <w:t>regulation</w:t>
      </w:r>
      <w:r>
        <w:rPr>
          <w:spacing w:val="80"/>
        </w:rPr>
        <w:t> </w:t>
      </w:r>
      <w:r>
        <w:rPr/>
        <w:t>by</w:t>
      </w:r>
      <w:r>
        <w:rPr>
          <w:spacing w:val="80"/>
        </w:rPr>
        <w:t> </w:t>
      </w:r>
      <w:r>
        <w:rPr/>
        <w:t>equitable</w:t>
      </w:r>
      <w:r>
        <w:rPr>
          <w:spacing w:val="80"/>
        </w:rPr>
        <w:t> </w:t>
      </w:r>
      <w:r>
        <w:rPr/>
        <w:t>principle.</w:t>
      </w:r>
      <w:r>
        <w:rPr>
          <w:spacing w:val="80"/>
        </w:rPr>
        <w:t> </w:t>
      </w:r>
      <w:r>
        <w:rPr/>
        <w:t>Thus,</w:t>
      </w:r>
      <w:r>
        <w:rPr>
          <w:spacing w:val="80"/>
        </w:rPr>
        <w:t> </w:t>
      </w:r>
      <w:r>
        <w:rPr/>
        <w:t>in </w:t>
      </w:r>
      <w:r>
        <w:rPr>
          <w:rFonts w:ascii="Arial"/>
          <w:i/>
        </w:rPr>
        <w:t>Parker-Tweedale v Dunbar Bank Plc </w:t>
      </w:r>
      <w:r>
        <w:rPr>
          <w:color w:val="005DA1"/>
          <w:u w:val="single" w:color="005DA1"/>
          <w:vertAlign w:val="superscript"/>
        </w:rPr>
        <w:t>1219</w:t>
      </w:r>
      <w:r>
        <w:rPr>
          <w:color w:val="005DA1"/>
          <w:vertAlign w:val="baseline"/>
        </w:rPr>
        <w:t> </w:t>
      </w:r>
      <w:r>
        <w:rPr>
          <w:vertAlign w:val="baseline"/>
        </w:rPr>
        <w:t>Nourse L.J. stated that any duty of a mortgagee to a mortgagor or of a creditor to a guarantor in respect of the property or debt respectively arose in equity out of that particular relationship, it being:</w:t>
      </w:r>
    </w:p>
    <w:p>
      <w:pPr>
        <w:pStyle w:val="BodyText"/>
      </w:pPr>
    </w:p>
    <w:p>
      <w:pPr>
        <w:pStyle w:val="BodyText"/>
        <w:spacing w:before="125"/>
      </w:pPr>
    </w:p>
    <w:p>
      <w:pPr>
        <w:pStyle w:val="BodyText"/>
        <w:spacing w:line="235" w:lineRule="auto"/>
        <w:ind w:left="1245" w:right="167"/>
        <w:jc w:val="both"/>
      </w:pPr>
      <w:r>
        <w:rPr/>
        <w:t>“…</w:t>
      </w:r>
      <w:r>
        <w:rPr>
          <w:spacing w:val="-2"/>
        </w:rPr>
        <w:t> </w:t>
      </w:r>
      <w:r>
        <w:rPr/>
        <w:t>both</w:t>
      </w:r>
      <w:r>
        <w:rPr>
          <w:spacing w:val="-2"/>
        </w:rPr>
        <w:t> </w:t>
      </w:r>
      <w:r>
        <w:rPr/>
        <w:t>unnecessary</w:t>
      </w:r>
      <w:r>
        <w:rPr>
          <w:spacing w:val="-2"/>
        </w:rPr>
        <w:t> </w:t>
      </w:r>
      <w:r>
        <w:rPr/>
        <w:t>and</w:t>
      </w:r>
      <w:r>
        <w:rPr>
          <w:spacing w:val="-2"/>
        </w:rPr>
        <w:t> </w:t>
      </w:r>
      <w:r>
        <w:rPr/>
        <w:t>confusing</w:t>
      </w:r>
      <w:r>
        <w:rPr>
          <w:spacing w:val="-2"/>
        </w:rPr>
        <w:t> </w:t>
      </w:r>
      <w:r>
        <w:rPr/>
        <w:t>for</w:t>
      </w:r>
      <w:r>
        <w:rPr>
          <w:spacing w:val="-2"/>
        </w:rPr>
        <w:t> </w:t>
      </w:r>
      <w:r>
        <w:rPr/>
        <w:t>the</w:t>
      </w:r>
      <w:r>
        <w:rPr>
          <w:spacing w:val="-2"/>
        </w:rPr>
        <w:t> </w:t>
      </w:r>
      <w:r>
        <w:rPr/>
        <w:t>duties</w:t>
      </w:r>
      <w:r>
        <w:rPr>
          <w:spacing w:val="-2"/>
        </w:rPr>
        <w:t> </w:t>
      </w:r>
      <w:r>
        <w:rPr/>
        <w:t>owed</w:t>
      </w:r>
      <w:r>
        <w:rPr>
          <w:spacing w:val="-2"/>
        </w:rPr>
        <w:t> </w:t>
      </w:r>
      <w:r>
        <w:rPr/>
        <w:t>by</w:t>
      </w:r>
      <w:r>
        <w:rPr>
          <w:spacing w:val="-2"/>
        </w:rPr>
        <w:t> </w:t>
      </w:r>
      <w:r>
        <w:rPr/>
        <w:t>a</w:t>
      </w:r>
      <w:r>
        <w:rPr>
          <w:spacing w:val="-2"/>
        </w:rPr>
        <w:t> </w:t>
      </w:r>
      <w:r>
        <w:rPr/>
        <w:t>mortgagee</w:t>
      </w:r>
      <w:r>
        <w:rPr>
          <w:spacing w:val="-2"/>
        </w:rPr>
        <w:t> </w:t>
      </w:r>
      <w:r>
        <w:rPr/>
        <w:t>to</w:t>
      </w:r>
      <w:r>
        <w:rPr>
          <w:spacing w:val="-2"/>
        </w:rPr>
        <w:t> </w:t>
      </w:r>
      <w:r>
        <w:rPr/>
        <w:t>the</w:t>
      </w:r>
      <w:r>
        <w:rPr>
          <w:spacing w:val="-2"/>
        </w:rPr>
        <w:t> </w:t>
      </w:r>
      <w:r>
        <w:rPr/>
        <w:t>mortgagor and the surety, if there is one, to be expressed in terms of the tort of negligence.” </w:t>
      </w:r>
      <w:r>
        <w:rPr>
          <w:color w:val="005DA1"/>
          <w:u w:val="single" w:color="005DA1"/>
          <w:vertAlign w:val="superscript"/>
        </w:rPr>
        <w:t>1220</w:t>
      </w:r>
    </w:p>
    <w:p>
      <w:pPr>
        <w:pStyle w:val="BodyText"/>
        <w:spacing w:before="116"/>
      </w:pPr>
    </w:p>
    <w:p>
      <w:pPr>
        <w:pStyle w:val="BodyText"/>
        <w:spacing w:line="235" w:lineRule="auto"/>
        <w:ind w:left="165" w:right="167"/>
        <w:jc w:val="both"/>
      </w:pPr>
      <w:r>
        <w:rPr/>
        <w:t>Similarly, according to Lord Templeman, giving judgment on behalf of the Privy Council, where </w:t>
      </w:r>
      <w:r>
        <w:rPr/>
        <w:t>a creditor was “not obliged to do anything” for the benefit of a surety under these equitable principles,</w:t>
      </w:r>
      <w:r>
        <w:rPr>
          <w:spacing w:val="40"/>
        </w:rPr>
        <w:t> </w:t>
      </w:r>
      <w:r>
        <w:rPr/>
        <w:t>for</w:t>
      </w:r>
      <w:r>
        <w:rPr>
          <w:spacing w:val="8"/>
        </w:rPr>
        <w:t> </w:t>
      </w:r>
      <w:r>
        <w:rPr/>
        <w:t>example</w:t>
      </w:r>
      <w:r>
        <w:rPr>
          <w:spacing w:val="8"/>
        </w:rPr>
        <w:t> </w:t>
      </w:r>
      <w:r>
        <w:rPr/>
        <w:t>in</w:t>
      </w:r>
      <w:r>
        <w:rPr>
          <w:spacing w:val="8"/>
        </w:rPr>
        <w:t> </w:t>
      </w:r>
      <w:r>
        <w:rPr/>
        <w:t>relation</w:t>
      </w:r>
      <w:r>
        <w:rPr>
          <w:spacing w:val="8"/>
        </w:rPr>
        <w:t> </w:t>
      </w:r>
      <w:r>
        <w:rPr/>
        <w:t>to</w:t>
      </w:r>
      <w:r>
        <w:rPr>
          <w:spacing w:val="8"/>
        </w:rPr>
        <w:t> </w:t>
      </w:r>
      <w:r>
        <w:rPr/>
        <w:t>the</w:t>
      </w:r>
      <w:r>
        <w:rPr>
          <w:spacing w:val="8"/>
        </w:rPr>
        <w:t> </w:t>
      </w:r>
      <w:r>
        <w:rPr/>
        <w:t>recovery</w:t>
      </w:r>
      <w:r>
        <w:rPr>
          <w:spacing w:val="8"/>
        </w:rPr>
        <w:t> </w:t>
      </w:r>
      <w:r>
        <w:rPr/>
        <w:t>of</w:t>
      </w:r>
      <w:r>
        <w:rPr>
          <w:spacing w:val="8"/>
        </w:rPr>
        <w:t> </w:t>
      </w:r>
      <w:r>
        <w:rPr/>
        <w:t>the</w:t>
      </w:r>
      <w:r>
        <w:rPr>
          <w:spacing w:val="8"/>
        </w:rPr>
        <w:t> </w:t>
      </w:r>
      <w:r>
        <w:rPr/>
        <w:t>debt,</w:t>
      </w:r>
      <w:r>
        <w:rPr>
          <w:spacing w:val="8"/>
        </w:rPr>
        <w:t> </w:t>
      </w:r>
      <w:r>
        <w:rPr/>
        <w:t>no</w:t>
      </w:r>
      <w:r>
        <w:rPr>
          <w:spacing w:val="8"/>
        </w:rPr>
        <w:t> </w:t>
      </w:r>
      <w:r>
        <w:rPr/>
        <w:t>duty</w:t>
      </w:r>
      <w:r>
        <w:rPr>
          <w:spacing w:val="8"/>
        </w:rPr>
        <w:t> </w:t>
      </w:r>
      <w:r>
        <w:rPr/>
        <w:t>of</w:t>
      </w:r>
      <w:r>
        <w:rPr>
          <w:spacing w:val="8"/>
        </w:rPr>
        <w:t> </w:t>
      </w:r>
      <w:r>
        <w:rPr/>
        <w:t>care</w:t>
      </w:r>
      <w:r>
        <w:rPr>
          <w:spacing w:val="8"/>
        </w:rPr>
        <w:t> </w:t>
      </w:r>
      <w:r>
        <w:rPr/>
        <w:t>in</w:t>
      </w:r>
      <w:r>
        <w:rPr>
          <w:spacing w:val="8"/>
        </w:rPr>
        <w:t> </w:t>
      </w:r>
      <w:r>
        <w:rPr/>
        <w:t>the</w:t>
      </w:r>
      <w:r>
        <w:rPr>
          <w:spacing w:val="8"/>
        </w:rPr>
        <w:t> </w:t>
      </w:r>
      <w:r>
        <w:rPr/>
        <w:t>tort</w:t>
      </w:r>
      <w:r>
        <w:rPr>
          <w:spacing w:val="8"/>
        </w:rPr>
        <w:t> </w:t>
      </w:r>
      <w:r>
        <w:rPr/>
        <w:t>of</w:t>
      </w:r>
      <w:r>
        <w:rPr>
          <w:spacing w:val="8"/>
        </w:rPr>
        <w:t> </w:t>
      </w:r>
      <w:r>
        <w:rPr/>
        <w:t>negligence</w:t>
      </w:r>
      <w:r>
        <w:rPr>
          <w:spacing w:val="8"/>
        </w:rPr>
        <w:t> </w:t>
      </w:r>
      <w:r>
        <w:rPr/>
        <w:t>can</w:t>
      </w:r>
      <w:r>
        <w:rPr>
          <w:spacing w:val="8"/>
        </w:rPr>
        <w:t> </w:t>
      </w:r>
      <w:r>
        <w:rPr>
          <w:spacing w:val="-2"/>
        </w:rPr>
        <w:t>arise.</w:t>
      </w:r>
    </w:p>
    <w:p>
      <w:pPr>
        <w:pStyle w:val="BodyText"/>
        <w:spacing w:line="225" w:lineRule="exact"/>
        <w:ind w:left="165"/>
        <w:jc w:val="both"/>
      </w:pPr>
      <w:r>
        <w:rPr>
          <w:color w:val="005DA1"/>
          <w:u w:val="single" w:color="005DA1"/>
          <w:vertAlign w:val="superscript"/>
        </w:rPr>
        <w:t>1221</w:t>
      </w:r>
      <w:r>
        <w:rPr>
          <w:color w:val="005DA1"/>
          <w:spacing w:val="-3"/>
          <w:vertAlign w:val="baseline"/>
        </w:rPr>
        <w:t> </w:t>
      </w:r>
      <w:r>
        <w:rPr>
          <w:vertAlign w:val="baseline"/>
        </w:rPr>
        <w:t>Indeed,</w:t>
      </w:r>
      <w:r>
        <w:rPr>
          <w:spacing w:val="-1"/>
          <w:vertAlign w:val="baseline"/>
        </w:rPr>
        <w:t> </w:t>
      </w:r>
      <w:r>
        <w:rPr>
          <w:vertAlign w:val="baseline"/>
        </w:rPr>
        <w:t>it</w:t>
      </w:r>
      <w:r>
        <w:rPr>
          <w:spacing w:val="-2"/>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said</w:t>
      </w:r>
      <w:r>
        <w:rPr>
          <w:spacing w:val="-2"/>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duty</w:t>
      </w:r>
      <w:r>
        <w:rPr>
          <w:spacing w:val="-2"/>
          <w:vertAlign w:val="baseline"/>
        </w:rPr>
        <w:t> </w:t>
      </w:r>
      <w:r>
        <w:rPr>
          <w:vertAlign w:val="baseline"/>
        </w:rPr>
        <w:t>arises</w:t>
      </w:r>
      <w:r>
        <w:rPr>
          <w:spacing w:val="-1"/>
          <w:vertAlign w:val="baseline"/>
        </w:rPr>
        <w:t> </w:t>
      </w:r>
      <w:r>
        <w:rPr>
          <w:vertAlign w:val="baseline"/>
        </w:rPr>
        <w:t>in</w:t>
      </w:r>
      <w:r>
        <w:rPr>
          <w:spacing w:val="-1"/>
          <w:vertAlign w:val="baseline"/>
        </w:rPr>
        <w:t> </w:t>
      </w:r>
      <w:r>
        <w:rPr>
          <w:vertAlign w:val="baseline"/>
        </w:rPr>
        <w:t>equity,</w:t>
      </w:r>
      <w:r>
        <w:rPr>
          <w:spacing w:val="-2"/>
          <w:vertAlign w:val="baseline"/>
        </w:rPr>
        <w:t> </w:t>
      </w:r>
      <w:r>
        <w:rPr>
          <w:vertAlign w:val="baseline"/>
        </w:rPr>
        <w:t>not</w:t>
      </w:r>
      <w:r>
        <w:rPr>
          <w:spacing w:val="-1"/>
          <w:vertAlign w:val="baseline"/>
        </w:rPr>
        <w:t> </w:t>
      </w:r>
      <w:r>
        <w:rPr>
          <w:vertAlign w:val="baseline"/>
        </w:rPr>
        <w:t>in</w:t>
      </w:r>
      <w:r>
        <w:rPr>
          <w:spacing w:val="-2"/>
          <w:vertAlign w:val="baseline"/>
        </w:rPr>
        <w:t> </w:t>
      </w:r>
      <w:r>
        <w:rPr>
          <w:vertAlign w:val="baseline"/>
        </w:rPr>
        <w:t>contract</w:t>
      </w:r>
      <w:r>
        <w:rPr>
          <w:spacing w:val="-1"/>
          <w:vertAlign w:val="baseline"/>
        </w:rPr>
        <w:t> </w:t>
      </w:r>
      <w:r>
        <w:rPr>
          <w:vertAlign w:val="baseline"/>
        </w:rPr>
        <w:t>or</w:t>
      </w:r>
      <w:r>
        <w:rPr>
          <w:spacing w:val="-1"/>
          <w:vertAlign w:val="baseline"/>
        </w:rPr>
        <w:t> </w:t>
      </w:r>
      <w:r>
        <w:rPr>
          <w:vertAlign w:val="baseline"/>
        </w:rPr>
        <w:t>tort”.</w:t>
      </w:r>
      <w:r>
        <w:rPr>
          <w:spacing w:val="-3"/>
          <w:vertAlign w:val="baseline"/>
        </w:rPr>
        <w:t> </w:t>
      </w:r>
      <w:r>
        <w:rPr>
          <w:color w:val="005DA1"/>
          <w:spacing w:val="-4"/>
          <w:u w:val="single" w:color="005DA1"/>
          <w:vertAlign w:val="superscript"/>
        </w:rPr>
        <w:t>1222</w:t>
      </w:r>
    </w:p>
    <w:p>
      <w:pPr>
        <w:pStyle w:val="BodyText"/>
      </w:pPr>
    </w:p>
    <w:p>
      <w:pPr>
        <w:pStyle w:val="BodyText"/>
        <w:spacing w:before="37"/>
      </w:pPr>
    </w:p>
    <w:p>
      <w:pPr>
        <w:spacing w:before="0"/>
        <w:ind w:left="165" w:right="0" w:firstLine="0"/>
        <w:jc w:val="left"/>
        <w:rPr>
          <w:rFonts w:ascii="Arial"/>
          <w:b/>
          <w:sz w:val="18"/>
        </w:rPr>
      </w:pPr>
      <w:r>
        <w:rPr>
          <w:rFonts w:ascii="Arial"/>
          <w:b/>
          <w:sz w:val="18"/>
        </w:rPr>
        <w:t>Contractual standard </w:t>
      </w:r>
      <w:r>
        <w:rPr>
          <w:rFonts w:ascii="Arial"/>
          <w:b/>
          <w:spacing w:val="-2"/>
          <w:sz w:val="18"/>
        </w:rPr>
        <w:t>stricter</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179</w:t>
      </w:r>
    </w:p>
    <w:p>
      <w:pPr>
        <w:pStyle w:val="BodyText"/>
        <w:spacing w:line="235" w:lineRule="auto" w:before="202"/>
        <w:ind w:left="165" w:right="167"/>
        <w:jc w:val="both"/>
      </w:pPr>
      <w:r>
        <w:rPr/>
        <w:t>In certain types of case, the courts have refused to construe a contract or imply a term in it so as </w:t>
      </w:r>
      <w:r>
        <w:rPr/>
        <w:t>to circumvent the traditional standard of care or scope of liability applied to the type of case in question, even where this has usually been put as a matter of tort. For example, in </w:t>
      </w:r>
      <w:r>
        <w:rPr>
          <w:rFonts w:ascii="Arial"/>
          <w:i/>
        </w:rPr>
        <w:t>Thake v Maurice</w:t>
      </w:r>
      <w:r>
        <w:rPr/>
        <w:t>, </w:t>
      </w:r>
      <w:r>
        <w:rPr>
          <w:color w:val="005DA1"/>
          <w:u w:val="single" w:color="005DA1"/>
          <w:vertAlign w:val="superscript"/>
        </w:rPr>
        <w:t>1223</w:t>
      </w:r>
      <w:r>
        <w:rPr>
          <w:color w:val="005DA1"/>
          <w:vertAlign w:val="baseline"/>
        </w:rPr>
        <w:t> </w:t>
      </w:r>
      <w:r>
        <w:rPr>
          <w:vertAlign w:val="baseline"/>
        </w:rPr>
        <w:t>a majority of the Court of Appeal refused to interpret a contract to perform a vasectomy as importing an obligation that the patient would be rendered sterile as a result, holding that it contained only one of reasonable care in warning the latter of the possibility of future fertility. Although not put in these</w:t>
      </w:r>
      <w:r>
        <w:rPr>
          <w:spacing w:val="80"/>
          <w:vertAlign w:val="baseline"/>
        </w:rPr>
        <w:t> </w:t>
      </w:r>
      <w:r>
        <w:rPr>
          <w:vertAlign w:val="baseline"/>
        </w:rPr>
        <w:t>terms</w:t>
      </w:r>
      <w:r>
        <w:rPr>
          <w:spacing w:val="23"/>
          <w:vertAlign w:val="baseline"/>
        </w:rPr>
        <w:t> </w:t>
      </w:r>
      <w:r>
        <w:rPr>
          <w:vertAlign w:val="baseline"/>
        </w:rPr>
        <w:t>by</w:t>
      </w:r>
      <w:r>
        <w:rPr>
          <w:spacing w:val="23"/>
          <w:vertAlign w:val="baseline"/>
        </w:rPr>
        <w:t> </w:t>
      </w:r>
      <w:r>
        <w:rPr>
          <w:vertAlign w:val="baseline"/>
        </w:rPr>
        <w:t>the</w:t>
      </w:r>
      <w:r>
        <w:rPr>
          <w:spacing w:val="23"/>
          <w:vertAlign w:val="baseline"/>
        </w:rPr>
        <w:t> </w:t>
      </w:r>
      <w:r>
        <w:rPr>
          <w:vertAlign w:val="baseline"/>
        </w:rPr>
        <w:t>court,</w:t>
      </w:r>
      <w:r>
        <w:rPr>
          <w:spacing w:val="23"/>
          <w:vertAlign w:val="baseline"/>
        </w:rPr>
        <w:t> </w:t>
      </w:r>
      <w:r>
        <w:rPr>
          <w:vertAlign w:val="baseline"/>
        </w:rPr>
        <w:t>it</w:t>
      </w:r>
      <w:r>
        <w:rPr>
          <w:spacing w:val="23"/>
          <w:vertAlign w:val="baseline"/>
        </w:rPr>
        <w:t> </w:t>
      </w:r>
      <w:r>
        <w:rPr>
          <w:vertAlign w:val="baseline"/>
        </w:rPr>
        <w:t>could</w:t>
      </w:r>
      <w:r>
        <w:rPr>
          <w:spacing w:val="23"/>
          <w:vertAlign w:val="baseline"/>
        </w:rPr>
        <w:t> </w:t>
      </w:r>
      <w:r>
        <w:rPr>
          <w:vertAlign w:val="baseline"/>
        </w:rPr>
        <w:t>be</w:t>
      </w:r>
      <w:r>
        <w:rPr>
          <w:spacing w:val="23"/>
          <w:vertAlign w:val="baseline"/>
        </w:rPr>
        <w:t> </w:t>
      </w:r>
      <w:r>
        <w:rPr>
          <w:vertAlign w:val="baseline"/>
        </w:rPr>
        <w:t>said</w:t>
      </w:r>
      <w:r>
        <w:rPr>
          <w:spacing w:val="23"/>
          <w:vertAlign w:val="baseline"/>
        </w:rPr>
        <w:t> </w:t>
      </w:r>
      <w:r>
        <w:rPr>
          <w:vertAlign w:val="baseline"/>
        </w:rPr>
        <w:t>that</w:t>
      </w:r>
      <w:r>
        <w:rPr>
          <w:spacing w:val="23"/>
          <w:vertAlign w:val="baseline"/>
        </w:rPr>
        <w:t> </w:t>
      </w:r>
      <w:r>
        <w:rPr>
          <w:vertAlign w:val="baseline"/>
        </w:rPr>
        <w:t>the</w:t>
      </w:r>
      <w:r>
        <w:rPr>
          <w:spacing w:val="23"/>
          <w:vertAlign w:val="baseline"/>
        </w:rPr>
        <w:t> </w:t>
      </w:r>
      <w:r>
        <w:rPr>
          <w:vertAlign w:val="baseline"/>
        </w:rPr>
        <w:t>established</w:t>
      </w:r>
      <w:r>
        <w:rPr>
          <w:spacing w:val="23"/>
          <w:vertAlign w:val="baseline"/>
        </w:rPr>
        <w:t> </w:t>
      </w:r>
      <w:r>
        <w:rPr>
          <w:vertAlign w:val="baseline"/>
        </w:rPr>
        <w:t>standard</w:t>
      </w:r>
      <w:r>
        <w:rPr>
          <w:spacing w:val="23"/>
          <w:vertAlign w:val="baseline"/>
        </w:rPr>
        <w:t> </w:t>
      </w:r>
      <w:r>
        <w:rPr>
          <w:vertAlign w:val="baseline"/>
        </w:rPr>
        <w:t>of</w:t>
      </w:r>
      <w:r>
        <w:rPr>
          <w:spacing w:val="23"/>
          <w:vertAlign w:val="baseline"/>
        </w:rPr>
        <w:t> </w:t>
      </w:r>
      <w:r>
        <w:rPr>
          <w:vertAlign w:val="baseline"/>
        </w:rPr>
        <w:t>care</w:t>
      </w:r>
      <w:r>
        <w:rPr>
          <w:spacing w:val="23"/>
          <w:vertAlign w:val="baseline"/>
        </w:rPr>
        <w:t> </w:t>
      </w:r>
      <w:r>
        <w:rPr>
          <w:vertAlign w:val="baseline"/>
        </w:rPr>
        <w:t>in</w:t>
      </w:r>
      <w:r>
        <w:rPr>
          <w:spacing w:val="23"/>
          <w:vertAlign w:val="baseline"/>
        </w:rPr>
        <w:t> </w:t>
      </w:r>
      <w:r>
        <w:rPr>
          <w:vertAlign w:val="baseline"/>
        </w:rPr>
        <w:t>tort</w:t>
      </w:r>
      <w:r>
        <w:rPr>
          <w:spacing w:val="23"/>
          <w:vertAlign w:val="baseline"/>
        </w:rPr>
        <w:t> </w:t>
      </w:r>
      <w:r>
        <w:rPr>
          <w:vertAlign w:val="baseline"/>
        </w:rPr>
        <w:t>was</w:t>
      </w:r>
      <w:r>
        <w:rPr>
          <w:spacing w:val="23"/>
          <w:vertAlign w:val="baseline"/>
        </w:rPr>
        <w:t> </w:t>
      </w:r>
      <w:r>
        <w:rPr>
          <w:vertAlign w:val="baseline"/>
        </w:rPr>
        <w:t>applied</w:t>
      </w:r>
      <w:r>
        <w:rPr>
          <w:spacing w:val="23"/>
          <w:vertAlign w:val="baseline"/>
        </w:rPr>
        <w:t> </w:t>
      </w:r>
      <w:r>
        <w:rPr>
          <w:vertAlign w:val="baseline"/>
        </w:rPr>
        <w:t>to</w:t>
      </w:r>
      <w:r>
        <w:rPr>
          <w:spacing w:val="23"/>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claim in contract despite persuasive factual considerations which could have lead in a </w:t>
      </w:r>
      <w:r>
        <w:rPr/>
        <w:t>different direction. </w:t>
      </w:r>
      <w:r>
        <w:rPr>
          <w:color w:val="005DA1"/>
          <w:u w:val="single" w:color="005DA1"/>
          <w:vertAlign w:val="superscript"/>
        </w:rPr>
        <w:t>1224</w:t>
      </w:r>
      <w:r>
        <w:rPr>
          <w:color w:val="005DA1"/>
          <w:vertAlign w:val="baseline"/>
        </w:rPr>
        <w:t> </w:t>
      </w:r>
      <w:r>
        <w:rPr>
          <w:vertAlign w:val="baseline"/>
        </w:rPr>
        <w:t>However, in many other situations the courts have accepted that the standard of care owed by a defendant in contract by reason of an implied term is higher than the reasonable care which</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imposed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tort</w:t>
      </w:r>
      <w:r>
        <w:rPr>
          <w:spacing w:val="-1"/>
          <w:vertAlign w:val="baseline"/>
        </w:rPr>
        <w:t> </w:t>
      </w:r>
      <w:r>
        <w:rPr>
          <w:vertAlign w:val="baseline"/>
        </w:rPr>
        <w:t>of</w:t>
      </w:r>
      <w:r>
        <w:rPr>
          <w:spacing w:val="-1"/>
          <w:vertAlign w:val="baseline"/>
        </w:rPr>
        <w:t> </w:t>
      </w:r>
      <w:r>
        <w:rPr>
          <w:vertAlign w:val="baseline"/>
        </w:rPr>
        <w:t>negligence.</w:t>
      </w:r>
      <w:r>
        <w:rPr>
          <w:spacing w:val="-1"/>
          <w:vertAlign w:val="baseline"/>
        </w:rPr>
        <w:t> </w:t>
      </w:r>
      <w:r>
        <w:rPr>
          <w:color w:val="005DA1"/>
          <w:u w:val="single" w:color="005DA1"/>
          <w:vertAlign w:val="superscript"/>
        </w:rPr>
        <w:t>1225</w:t>
      </w:r>
      <w:r>
        <w:rPr>
          <w:color w:val="005DA1"/>
          <w:spacing w:val="-1"/>
          <w:vertAlign w:val="baseline"/>
        </w:rPr>
        <w:t> </w:t>
      </w:r>
      <w:r>
        <w:rPr>
          <w:vertAlign w:val="baseline"/>
        </w:rPr>
        <w:t>An</w:t>
      </w:r>
      <w:r>
        <w:rPr>
          <w:spacing w:val="-1"/>
          <w:vertAlign w:val="baseline"/>
        </w:rPr>
        <w:t> </w:t>
      </w:r>
      <w:r>
        <w:rPr>
          <w:vertAlign w:val="baseline"/>
        </w:rPr>
        <w:t>example</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found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decision</w:t>
      </w:r>
      <w:r>
        <w:rPr>
          <w:spacing w:val="-1"/>
          <w:vertAlign w:val="baseline"/>
        </w:rPr>
        <w:t> </w:t>
      </w:r>
      <w:r>
        <w:rPr>
          <w:vertAlign w:val="baseline"/>
        </w:rPr>
        <w:t>of</w:t>
      </w:r>
      <w:r>
        <w:rPr>
          <w:spacing w:val="-1"/>
          <w:vertAlign w:val="baseline"/>
        </w:rPr>
        <w:t> </w:t>
      </w:r>
      <w:r>
        <w:rPr>
          <w:vertAlign w:val="baseline"/>
        </w:rPr>
        <w:t>the Privy Council in </w:t>
      </w:r>
      <w:r>
        <w:rPr>
          <w:rFonts w:ascii="Arial"/>
          <w:i/>
          <w:vertAlign w:val="baseline"/>
        </w:rPr>
        <w:t>Wong Mee Wan v Kwan Kin Travel Services Ltd</w:t>
      </w:r>
      <w:r>
        <w:rPr>
          <w:vertAlign w:val="baseline"/>
        </w:rPr>
        <w:t>. </w:t>
      </w:r>
      <w:r>
        <w:rPr>
          <w:color w:val="005DA1"/>
          <w:u w:val="single" w:color="005DA1"/>
          <w:vertAlign w:val="superscript"/>
        </w:rPr>
        <w:t>1226</w:t>
      </w:r>
      <w:r>
        <w:rPr>
          <w:color w:val="005DA1"/>
          <w:vertAlign w:val="baseline"/>
        </w:rPr>
        <w:t> </w:t>
      </w:r>
      <w:r>
        <w:rPr>
          <w:vertAlign w:val="baseline"/>
        </w:rPr>
        <w:t>There a travel agent was held liable for the death of one of its customers on the basis of the negligence of one of its agents, even though there was no negligence on its own part, on the basis that the contract included an obligation that the services which the travel agent had engaged to perform </w:t>
      </w:r>
      <w:r>
        <w:rPr>
          <w:rFonts w:ascii="Arial"/>
          <w:i/>
          <w:vertAlign w:val="baseline"/>
        </w:rPr>
        <w:t>would be carried out </w:t>
      </w:r>
      <w:r>
        <w:rPr>
          <w:vertAlign w:val="baseline"/>
        </w:rPr>
        <w:t>with reasonable </w:t>
      </w:r>
      <w:r>
        <w:rPr>
          <w:spacing w:val="-2"/>
          <w:vertAlign w:val="baseline"/>
        </w:rPr>
        <w:t>care.</w:t>
      </w:r>
    </w:p>
    <w:p>
      <w:pPr>
        <w:pStyle w:val="BodyText"/>
      </w:pPr>
    </w:p>
    <w:p>
      <w:pPr>
        <w:pStyle w:val="BodyText"/>
        <w:spacing w:before="35"/>
      </w:pPr>
    </w:p>
    <w:p>
      <w:pPr>
        <w:spacing w:before="0"/>
        <w:ind w:left="165" w:right="0" w:firstLine="0"/>
        <w:jc w:val="both"/>
        <w:rPr>
          <w:rFonts w:ascii="Arial"/>
          <w:b/>
          <w:sz w:val="18"/>
        </w:rPr>
      </w:pPr>
      <w:r>
        <w:rPr>
          <w:rFonts w:ascii="Arial"/>
          <w:b/>
          <w:sz w:val="18"/>
        </w:rPr>
        <w:t>Stricter contractual standard does not affect </w:t>
      </w:r>
      <w:r>
        <w:rPr>
          <w:rFonts w:ascii="Arial"/>
          <w:b/>
          <w:spacing w:val="-4"/>
          <w:sz w:val="18"/>
        </w:rPr>
        <w:t>tort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180</w:t>
      </w:r>
    </w:p>
    <w:p>
      <w:pPr>
        <w:pStyle w:val="BodyText"/>
        <w:spacing w:line="235" w:lineRule="auto" w:before="202"/>
        <w:ind w:left="165" w:right="167"/>
        <w:jc w:val="both"/>
      </w:pPr>
      <w:r>
        <w:rPr/>
        <w:t>Finally, in </w:t>
      </w:r>
      <w:r>
        <w:rPr>
          <w:rFonts w:ascii="Arial" w:hAnsi="Arial"/>
          <w:i/>
        </w:rPr>
        <w:t>Aiken v Stewart Wrightson Members Agency Ltd </w:t>
      </w:r>
      <w:r>
        <w:rPr>
          <w:color w:val="005DA1"/>
          <w:u w:val="single" w:color="005DA1"/>
          <w:vertAlign w:val="superscript"/>
        </w:rPr>
        <w:t>1227</w:t>
      </w:r>
      <w:r>
        <w:rPr>
          <w:color w:val="005DA1"/>
          <w:vertAlign w:val="baseline"/>
        </w:rPr>
        <w:t> </w:t>
      </w:r>
      <w:r>
        <w:rPr>
          <w:vertAlign w:val="baseline"/>
        </w:rPr>
        <w:t>the question arose whether the </w:t>
      </w:r>
      <w:r>
        <w:rPr>
          <w:vertAlign w:val="baseline"/>
        </w:rPr>
        <w:t>fact that the defendant owed a contractual duty </w:t>
      </w:r>
      <w:r>
        <w:rPr>
          <w:rFonts w:ascii="Arial" w:hAnsi="Arial"/>
          <w:i/>
          <w:vertAlign w:val="baseline"/>
        </w:rPr>
        <w:t>more onerous </w:t>
      </w:r>
      <w:r>
        <w:rPr>
          <w:vertAlign w:val="baseline"/>
        </w:rPr>
        <w:t>than one of reasonable care could and should affect the standard of care owed in the tort of negligence. The case concerned a claim by Lloyd’s “indirect Names” against their “members’ agents”, i.e. the agents who had contracted with them to advise them on their choice of syndicates and to place them on any syndicate once chosen, leaving the placing of the insurance to “managing agents”. It was conceded by the members’ agents that they owed the plaintiff “Names” a contractual duty that:</w:t>
      </w:r>
    </w:p>
    <w:p>
      <w:pPr>
        <w:pStyle w:val="BodyText"/>
      </w:pPr>
    </w:p>
    <w:p>
      <w:pPr>
        <w:pStyle w:val="BodyText"/>
        <w:spacing w:before="124"/>
      </w:pPr>
    </w:p>
    <w:p>
      <w:pPr>
        <w:pStyle w:val="BodyText"/>
        <w:spacing w:line="235" w:lineRule="auto" w:before="1"/>
        <w:ind w:left="1245" w:right="167"/>
        <w:jc w:val="both"/>
      </w:pPr>
      <w:r>
        <w:rPr/>
        <w:t>“… the actual underwriting would be carried out with reasonable care and skill so that </w:t>
      </w:r>
      <w:r>
        <w:rPr/>
        <w:t>the members’ agent remains directly responsible to its Names for any failure to exercise reasonable care and skill by the managing agent of any syndicate to whom such underwriting has been delegated.” </w:t>
      </w:r>
      <w:r>
        <w:rPr>
          <w:color w:val="005DA1"/>
          <w:u w:val="single" w:color="005DA1"/>
          <w:vertAlign w:val="superscript"/>
        </w:rPr>
        <w:t>1228</w:t>
      </w:r>
    </w:p>
    <w:p>
      <w:pPr>
        <w:pStyle w:val="BodyText"/>
        <w:spacing w:before="115"/>
      </w:pPr>
    </w:p>
    <w:p>
      <w:pPr>
        <w:pStyle w:val="BodyText"/>
        <w:spacing w:line="235" w:lineRule="auto"/>
        <w:ind w:left="165" w:right="167"/>
        <w:jc w:val="both"/>
      </w:pPr>
      <w:r>
        <w:rPr/>
        <w:t>The “Names” contended that the members’ agents also owed them a duty of care in the tort </w:t>
      </w:r>
      <w:r>
        <w:rPr/>
        <w:t>of negligence of the same content, a “parallel and </w:t>
      </w:r>
      <w:r>
        <w:rPr>
          <w:rFonts w:ascii="Arial" w:hAnsi="Arial"/>
          <w:i/>
        </w:rPr>
        <w:t>co-extensive </w:t>
      </w:r>
      <w:r>
        <w:rPr/>
        <w:t>duty of care in tort”, arguing that it was inherent in Lord Goff’s view expressed in </w:t>
      </w:r>
      <w:r>
        <w:rPr>
          <w:rFonts w:ascii="Arial" w:hAnsi="Arial"/>
          <w:i/>
        </w:rPr>
        <w:t>Henderson v Merrett Syndicates Ltd </w:t>
      </w:r>
      <w:r>
        <w:rPr>
          <w:color w:val="005DA1"/>
          <w:u w:val="single" w:color="005DA1"/>
          <w:vertAlign w:val="superscript"/>
        </w:rPr>
        <w:t>1229</w:t>
      </w:r>
      <w:r>
        <w:rPr>
          <w:color w:val="005DA1"/>
          <w:vertAlign w:val="baseline"/>
        </w:rPr>
        <w:t> </w:t>
      </w:r>
      <w:r>
        <w:rPr>
          <w:vertAlign w:val="baseline"/>
        </w:rPr>
        <w:t>that any liability in tort</w:t>
      </w:r>
      <w:r>
        <w:rPr>
          <w:spacing w:val="-1"/>
          <w:vertAlign w:val="baseline"/>
        </w:rPr>
        <w:t> </w:t>
      </w:r>
      <w:r>
        <w:rPr>
          <w:vertAlign w:val="baseline"/>
        </w:rPr>
        <w:t>should</w:t>
      </w:r>
      <w:r>
        <w:rPr>
          <w:spacing w:val="-1"/>
          <w:vertAlign w:val="baseline"/>
        </w:rPr>
        <w:t> </w:t>
      </w:r>
      <w:r>
        <w:rPr>
          <w:vertAlign w:val="baseline"/>
        </w:rPr>
        <w:t>not</w:t>
      </w:r>
      <w:r>
        <w:rPr>
          <w:spacing w:val="-1"/>
          <w:vertAlign w:val="baseline"/>
        </w:rPr>
        <w:t> </w:t>
      </w:r>
      <w:r>
        <w:rPr>
          <w:vertAlign w:val="baseline"/>
        </w:rPr>
        <w:t>be</w:t>
      </w:r>
      <w:r>
        <w:rPr>
          <w:spacing w:val="-1"/>
          <w:vertAlign w:val="baseline"/>
        </w:rPr>
        <w:t> </w:t>
      </w:r>
      <w:r>
        <w:rPr>
          <w:vertAlign w:val="baseline"/>
        </w:rPr>
        <w:t>inconsistent</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terms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latter</w:t>
      </w:r>
      <w:r>
        <w:rPr>
          <w:spacing w:val="-1"/>
          <w:vertAlign w:val="baseline"/>
        </w:rPr>
        <w:t> </w:t>
      </w:r>
      <w:r>
        <w:rPr>
          <w:vertAlign w:val="baseline"/>
        </w:rPr>
        <w:t>“ought</w:t>
      </w:r>
      <w:r>
        <w:rPr>
          <w:spacing w:val="-1"/>
          <w:vertAlign w:val="baseline"/>
        </w:rPr>
        <w:t> </w:t>
      </w:r>
      <w:r>
        <w:rPr>
          <w:vertAlign w:val="baseline"/>
        </w:rPr>
        <w:t>in</w:t>
      </w:r>
      <w:r>
        <w:rPr>
          <w:spacing w:val="-1"/>
          <w:vertAlign w:val="baseline"/>
        </w:rPr>
        <w:t> </w:t>
      </w:r>
      <w:r>
        <w:rPr>
          <w:vertAlign w:val="baseline"/>
        </w:rPr>
        <w:t>logic</w:t>
      </w:r>
      <w:r>
        <w:rPr>
          <w:spacing w:val="-1"/>
          <w:vertAlign w:val="baseline"/>
        </w:rPr>
        <w:t> </w:t>
      </w:r>
      <w:r>
        <w:rPr>
          <w:vertAlign w:val="baseline"/>
        </w:rPr>
        <w:t>and</w:t>
      </w:r>
      <w:r>
        <w:rPr>
          <w:spacing w:val="-1"/>
          <w:vertAlign w:val="baseline"/>
        </w:rPr>
        <w:t> </w:t>
      </w:r>
      <w:r>
        <w:rPr>
          <w:vertAlign w:val="baseline"/>
        </w:rPr>
        <w:t>in</w:t>
      </w:r>
      <w:r>
        <w:rPr>
          <w:spacing w:val="-1"/>
          <w:vertAlign w:val="baseline"/>
        </w:rPr>
        <w:t> </w:t>
      </w:r>
      <w:r>
        <w:rPr>
          <w:vertAlign w:val="baseline"/>
        </w:rPr>
        <w:t>law</w:t>
      </w:r>
      <w:r>
        <w:rPr>
          <w:spacing w:val="-1"/>
          <w:vertAlign w:val="baseline"/>
        </w:rPr>
        <w:t> </w:t>
      </w:r>
      <w:r>
        <w:rPr>
          <w:vertAlign w:val="baseline"/>
        </w:rPr>
        <w:t>to be definitive also of the nature and extent of their duty in tort”. </w:t>
      </w:r>
      <w:r>
        <w:rPr>
          <w:color w:val="005DA1"/>
          <w:u w:val="single" w:color="005DA1"/>
          <w:vertAlign w:val="superscript"/>
        </w:rPr>
        <w:t>1230</w:t>
      </w:r>
      <w:r>
        <w:rPr>
          <w:color w:val="005DA1"/>
          <w:vertAlign w:val="baseline"/>
        </w:rPr>
        <w:t> </w:t>
      </w:r>
      <w:r>
        <w:rPr>
          <w:vertAlign w:val="baseline"/>
        </w:rPr>
        <w:t>However, Potter J. rejected this argument both as a matter of authority </w:t>
      </w:r>
      <w:r>
        <w:rPr>
          <w:color w:val="005DA1"/>
          <w:u w:val="single" w:color="005DA1"/>
          <w:vertAlign w:val="superscript"/>
        </w:rPr>
        <w:t>1231</w:t>
      </w:r>
      <w:r>
        <w:rPr>
          <w:color w:val="005DA1"/>
          <w:vertAlign w:val="baseline"/>
        </w:rPr>
        <w:t> </w:t>
      </w:r>
      <w:r>
        <w:rPr>
          <w:vertAlign w:val="baseline"/>
        </w:rPr>
        <w:t>and principle. The latter he considered well expressed in a dictum of Le Dain J. in </w:t>
      </w:r>
      <w:r>
        <w:rPr>
          <w:rFonts w:ascii="Arial" w:hAnsi="Arial"/>
          <w:i/>
          <w:vertAlign w:val="baseline"/>
        </w:rPr>
        <w:t>Central Trust Co v Refuse </w:t>
      </w:r>
      <w:r>
        <w:rPr>
          <w:color w:val="005DA1"/>
          <w:u w:val="single" w:color="005DA1"/>
          <w:vertAlign w:val="superscript"/>
        </w:rPr>
        <w:t>1232</w:t>
      </w:r>
      <w:r>
        <w:rPr>
          <w:vertAlign w:val="baseline"/>
        </w:rPr>
        <w:t>:</w:t>
      </w:r>
    </w:p>
    <w:p>
      <w:pPr>
        <w:pStyle w:val="BodyText"/>
      </w:pPr>
    </w:p>
    <w:p>
      <w:pPr>
        <w:pStyle w:val="BodyText"/>
        <w:spacing w:before="124"/>
      </w:pPr>
    </w:p>
    <w:p>
      <w:pPr>
        <w:pStyle w:val="BodyText"/>
        <w:spacing w:line="235" w:lineRule="auto"/>
        <w:ind w:left="1244" w:right="167"/>
        <w:jc w:val="both"/>
      </w:pPr>
      <w:r>
        <w:rPr/>
        <w:t>“A claim cannot be said to be in tort if it depends for the nature and scope of the asserted duty of care on the manner in which an obligation or duty has been expressly and specifically defined by a contract.”</w:t>
      </w:r>
    </w:p>
    <w:p>
      <w:pPr>
        <w:pStyle w:val="BodyText"/>
        <w:spacing w:before="112"/>
      </w:pPr>
    </w:p>
    <w:p>
      <w:pPr>
        <w:pStyle w:val="BodyText"/>
        <w:ind w:left="164"/>
        <w:jc w:val="both"/>
      </w:pPr>
      <w:r>
        <w:rPr/>
        <w:t>Potter J. therefore concluded that on the facts before him </w:t>
      </w:r>
      <w:r>
        <w:rPr>
          <w:spacing w:val="-4"/>
        </w:rPr>
        <w:t>the:</w:t>
      </w:r>
    </w:p>
    <w:p>
      <w:pPr>
        <w:pStyle w:val="BodyText"/>
      </w:pPr>
    </w:p>
    <w:p>
      <w:pPr>
        <w:pStyle w:val="BodyText"/>
        <w:spacing w:before="125"/>
      </w:pPr>
    </w:p>
    <w:p>
      <w:pPr>
        <w:pStyle w:val="BodyText"/>
        <w:spacing w:line="235" w:lineRule="auto"/>
        <w:ind w:left="1244" w:right="167"/>
        <w:jc w:val="both"/>
      </w:pPr>
      <w:r>
        <w:rPr/>
        <w:t>“… common law duty of care … falls short of the specific obligation or duty imposed by the express terms of the contract, unless that common law duty of care can be shown to be non-delegable in character for the purposes of the law of tort,”</w:t>
      </w:r>
    </w:p>
    <w:p>
      <w:pPr>
        <w:pStyle w:val="BodyText"/>
        <w:spacing w:before="112"/>
      </w:pPr>
    </w:p>
    <w:p>
      <w:pPr>
        <w:pStyle w:val="BodyText"/>
        <w:ind w:left="164"/>
        <w:jc w:val="both"/>
      </w:pPr>
      <w:r>
        <w:rPr/>
        <w:t>a proviso which was not satisfied in the case itself.</w:t>
      </w:r>
      <w:r>
        <w:rPr>
          <w:spacing w:val="-1"/>
        </w:rPr>
        <w:t> </w:t>
      </w:r>
      <w:r>
        <w:rPr>
          <w:color w:val="005DA1"/>
          <w:spacing w:val="-4"/>
          <w:u w:val="single" w:color="005DA1"/>
          <w:vertAlign w:val="superscript"/>
        </w:rPr>
        <w:t>1233</w:t>
      </w:r>
    </w:p>
    <w:p>
      <w:pPr>
        <w:pStyle w:val="BodyText"/>
      </w:pPr>
    </w:p>
    <w:p>
      <w:pPr>
        <w:pStyle w:val="BodyText"/>
        <w:spacing w:before="38"/>
      </w:pPr>
    </w:p>
    <w:p>
      <w:pPr>
        <w:spacing w:before="0"/>
        <w:ind w:left="164" w:right="0" w:firstLine="0"/>
        <w:jc w:val="left"/>
        <w:rPr>
          <w:rFonts w:ascii="Arial"/>
          <w:b/>
          <w:sz w:val="18"/>
        </w:rPr>
      </w:pPr>
      <w:r>
        <w:rPr>
          <w:rFonts w:ascii="Arial"/>
          <w:b/>
          <w:sz w:val="18"/>
        </w:rPr>
        <w:t>Contractual exclusion of liability in </w:t>
      </w:r>
      <w:r>
        <w:rPr>
          <w:rFonts w:ascii="Arial"/>
          <w:b/>
          <w:spacing w:val="-4"/>
          <w:sz w:val="18"/>
        </w:rPr>
        <w:t>tort</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181</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5"/>
        </w:rPr>
        <w:t> </w:t>
      </w:r>
      <w:r>
        <w:rPr/>
        <w:t>The</w:t>
      </w:r>
      <w:r>
        <w:rPr>
          <w:spacing w:val="9"/>
        </w:rPr>
        <w:t> </w:t>
      </w:r>
      <w:r>
        <w:rPr/>
        <w:t>law</w:t>
      </w:r>
      <w:r>
        <w:rPr>
          <w:spacing w:val="9"/>
        </w:rPr>
        <w:t> </w:t>
      </w:r>
      <w:r>
        <w:rPr/>
        <w:t>has</w:t>
      </w:r>
      <w:r>
        <w:rPr>
          <w:spacing w:val="9"/>
        </w:rPr>
        <w:t> </w:t>
      </w:r>
      <w:r>
        <w:rPr/>
        <w:t>taken</w:t>
      </w:r>
      <w:r>
        <w:rPr>
          <w:spacing w:val="9"/>
        </w:rPr>
        <w:t> </w:t>
      </w:r>
      <w:r>
        <w:rPr/>
        <w:t>a</w:t>
      </w:r>
      <w:r>
        <w:rPr>
          <w:spacing w:val="9"/>
        </w:rPr>
        <w:t> </w:t>
      </w:r>
      <w:r>
        <w:rPr/>
        <w:t>similar</w:t>
      </w:r>
      <w:r>
        <w:rPr>
          <w:spacing w:val="9"/>
        </w:rPr>
        <w:t> </w:t>
      </w:r>
      <w:r>
        <w:rPr/>
        <w:t>but</w:t>
      </w:r>
      <w:r>
        <w:rPr>
          <w:spacing w:val="9"/>
        </w:rPr>
        <w:t> </w:t>
      </w:r>
      <w:r>
        <w:rPr/>
        <w:t>not</w:t>
      </w:r>
      <w:r>
        <w:rPr>
          <w:spacing w:val="9"/>
        </w:rPr>
        <w:t> </w:t>
      </w:r>
      <w:r>
        <w:rPr/>
        <w:t>identical</w:t>
      </w:r>
      <w:r>
        <w:rPr>
          <w:spacing w:val="9"/>
        </w:rPr>
        <w:t> </w:t>
      </w:r>
      <w:r>
        <w:rPr/>
        <w:t>approach</w:t>
      </w:r>
      <w:r>
        <w:rPr>
          <w:spacing w:val="9"/>
        </w:rPr>
        <w:t> </w:t>
      </w:r>
      <w:r>
        <w:rPr/>
        <w:t>to</w:t>
      </w:r>
      <w:r>
        <w:rPr>
          <w:spacing w:val="9"/>
        </w:rPr>
        <w:t> </w:t>
      </w:r>
      <w:r>
        <w:rPr/>
        <w:t>cases</w:t>
      </w:r>
      <w:r>
        <w:rPr>
          <w:spacing w:val="9"/>
        </w:rPr>
        <w:t> </w:t>
      </w:r>
      <w:r>
        <w:rPr/>
        <w:t>where</w:t>
      </w:r>
      <w:r>
        <w:rPr>
          <w:spacing w:val="9"/>
        </w:rPr>
        <w:t> </w:t>
      </w:r>
      <w:r>
        <w:rPr/>
        <w:t>a</w:t>
      </w:r>
      <w:r>
        <w:rPr>
          <w:spacing w:val="9"/>
        </w:rPr>
        <w:t> </w:t>
      </w:r>
      <w:r>
        <w:rPr/>
        <w:t>contract</w:t>
      </w:r>
      <w:r>
        <w:rPr>
          <w:spacing w:val="9"/>
        </w:rPr>
        <w:t> </w:t>
      </w:r>
      <w:r>
        <w:rPr/>
        <w:t>term</w:t>
      </w:r>
      <w:r>
        <w:rPr>
          <w:spacing w:val="9"/>
        </w:rPr>
        <w:t> </w:t>
      </w:r>
      <w:r>
        <w:rPr/>
        <w:t>excludes</w:t>
      </w:r>
      <w:r>
        <w:rPr>
          <w:spacing w:val="9"/>
        </w:rPr>
        <w:t> </w:t>
      </w:r>
      <w:r>
        <w:rPr/>
        <w:t>or</w:t>
      </w:r>
    </w:p>
    <w:p>
      <w:pPr>
        <w:pStyle w:val="BodyText"/>
        <w:spacing w:after="0"/>
        <w:sectPr>
          <w:pgSz w:w="11900" w:h="16840"/>
          <w:pgMar w:header="971" w:footer="0" w:top="1300" w:bottom="280" w:left="1275" w:right="1275"/>
        </w:sectPr>
      </w:pPr>
    </w:p>
    <w:p>
      <w:pPr>
        <w:pStyle w:val="BodyText"/>
        <w:spacing w:line="235" w:lineRule="auto" w:before="110"/>
        <w:ind w:left="164" w:right="167"/>
        <w:jc w:val="both"/>
      </w:pPr>
      <w:r>
        <w:rPr/>
        <w:t>limits </w:t>
      </w:r>
      <w:r>
        <w:rPr>
          <w:rFonts w:ascii="Arial" w:hAnsi="Arial"/>
          <w:i/>
        </w:rPr>
        <w:t>liability </w:t>
      </w:r>
      <w:r>
        <w:rPr/>
        <w:t>of one contractor to another. Since at least the early nineteenth century, exemption clauses have been held capable of excluding or limiting liability in tort, </w:t>
      </w:r>
      <w:r>
        <w:rPr>
          <w:color w:val="005DA1"/>
          <w:u w:val="single" w:color="005DA1"/>
          <w:vertAlign w:val="superscript"/>
        </w:rPr>
        <w:t>1234</w:t>
      </w:r>
      <w:r>
        <w:rPr>
          <w:color w:val="005DA1"/>
          <w:vertAlign w:val="baseline"/>
        </w:rPr>
        <w:t> </w:t>
      </w:r>
      <w:r>
        <w:rPr>
          <w:vertAlign w:val="baseline"/>
        </w:rPr>
        <w:t>though it should be noted that where the clause limits liability, a (limited) claim in tort may still exist. </w:t>
      </w:r>
      <w:r>
        <w:rPr>
          <w:color w:val="005DA1"/>
          <w:u w:val="single" w:color="005DA1"/>
          <w:vertAlign w:val="superscript"/>
        </w:rPr>
        <w:t>1235</w:t>
      </w:r>
      <w:r>
        <w:rPr>
          <w:color w:val="005DA1"/>
          <w:vertAlign w:val="baseline"/>
        </w:rPr>
        <w:t> </w:t>
      </w:r>
      <w:r>
        <w:rPr>
          <w:vertAlign w:val="baseline"/>
        </w:rPr>
        <w:t>While at times the interpretation of exemption clauses contra proferentem has led to the courts distinguishing </w:t>
      </w:r>
      <w:r>
        <w:rPr>
          <w:vertAlign w:val="baseline"/>
        </w:rPr>
        <w:t>between the two types of liability, holding that a particular clause covered a strict contractual liability but did not cover liability for negligence in tort, </w:t>
      </w:r>
      <w:r>
        <w:rPr>
          <w:color w:val="005DA1"/>
          <w:u w:val="single" w:color="005DA1"/>
          <w:vertAlign w:val="superscript"/>
        </w:rPr>
        <w:t>1236</w:t>
      </w:r>
      <w:r>
        <w:rPr>
          <w:color w:val="005DA1"/>
          <w:vertAlign w:val="baseline"/>
        </w:rPr>
        <w:t> </w:t>
      </w:r>
      <w:r>
        <w:rPr>
          <w:vertAlign w:val="baseline"/>
        </w:rPr>
        <w:t>there would appear to be no real reason to characterise a contractor’s liability for negligence in these circumstances as tortious rather than contractual and in other cases the courts have simply inquired whether a particular clause should be construed to cover cases of negligence as well as any stricter liability. </w:t>
      </w:r>
      <w:r>
        <w:rPr>
          <w:color w:val="005DA1"/>
          <w:u w:val="single" w:color="005DA1"/>
          <w:vertAlign w:val="superscript"/>
        </w:rPr>
        <w:t>1237</w:t>
      </w:r>
      <w:r>
        <w:rPr>
          <w:color w:val="005DA1"/>
          <w:vertAlign w:val="baseline"/>
        </w:rPr>
        <w:t> </w:t>
      </w:r>
      <w:r>
        <w:rPr>
          <w:vertAlign w:val="baseline"/>
        </w:rPr>
        <w:t>Of course, in many situations, the</w:t>
      </w:r>
      <w:r>
        <w:rPr>
          <w:spacing w:val="40"/>
          <w:vertAlign w:val="baseline"/>
        </w:rPr>
        <w:t> </w:t>
      </w:r>
      <w:r>
        <w:rPr>
          <w:vertAlign w:val="baseline"/>
        </w:rPr>
        <w:t>effectiveness of such a term will be subject to the provisions of s.2 of the Unfair Contract Terms Act 1977, which applies to cases of tortious as well as to contractual negligence. </w:t>
      </w:r>
      <w:r>
        <w:rPr>
          <w:color w:val="005DA1"/>
          <w:u w:val="single" w:color="005DA1"/>
          <w:vertAlign w:val="superscript"/>
        </w:rPr>
        <w:t>1238</w:t>
      </w:r>
    </w:p>
    <w:p>
      <w:pPr>
        <w:pStyle w:val="BodyText"/>
      </w:pPr>
    </w:p>
    <w:p>
      <w:pPr>
        <w:pStyle w:val="BodyText"/>
        <w:spacing w:before="35"/>
      </w:pPr>
    </w:p>
    <w:p>
      <w:pPr>
        <w:spacing w:before="0"/>
        <w:ind w:left="165" w:right="0" w:firstLine="0"/>
        <w:jc w:val="both"/>
        <w:rPr>
          <w:rFonts w:ascii="Arial"/>
          <w:b/>
          <w:sz w:val="18"/>
        </w:rPr>
      </w:pPr>
      <w:r>
        <w:rPr>
          <w:rFonts w:ascii="Arial"/>
          <w:b/>
          <w:sz w:val="18"/>
        </w:rPr>
        <w:t>Incompatibility of express term and liability in </w:t>
      </w:r>
      <w:r>
        <w:rPr>
          <w:rFonts w:ascii="Arial"/>
          <w:b/>
          <w:spacing w:val="-4"/>
          <w:sz w:val="18"/>
        </w:rPr>
        <w:t>tort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182</w:t>
      </w:r>
    </w:p>
    <w:p>
      <w:pPr>
        <w:pStyle w:val="BodyText"/>
        <w:spacing w:line="235" w:lineRule="auto" w:before="203"/>
        <w:ind w:left="164" w:right="167"/>
        <w:jc w:val="both"/>
      </w:pPr>
      <w:r>
        <w:rPr>
          <w:rFonts w:ascii="Arial" w:hAnsi="Arial"/>
          <w:i/>
        </w:rPr>
        <w:t>Johnstone v Bloomsbury Health Authority </w:t>
      </w:r>
      <w:r>
        <w:rPr>
          <w:color w:val="005DA1"/>
          <w:u w:val="single" w:color="005DA1"/>
          <w:vertAlign w:val="superscript"/>
        </w:rPr>
        <w:t>1239</w:t>
      </w:r>
      <w:r>
        <w:rPr>
          <w:color w:val="005DA1"/>
          <w:vertAlign w:val="baseline"/>
        </w:rPr>
        <w:t> </w:t>
      </w:r>
      <w:r>
        <w:rPr>
          <w:vertAlign w:val="baseline"/>
        </w:rPr>
        <w:t>concerned an alleged incompatibility between an express term of a contract and the existence of an established liability in the tort of negligence in </w:t>
      </w:r>
      <w:r>
        <w:rPr>
          <w:vertAlign w:val="baseline"/>
        </w:rPr>
        <w:t>a rather unusual way. The plaintiff was a junior hospital doctor who worked under a contract of employment which stipulated a working week of 40 hours and provided for a possible 48 additional hours availability for work. He claimed that in compliance with this contract he had sometimes worked in excess of 88 hours per week and had become ill as a result. The issue before the Court of Appeal was whether his claim for a declaration that he should not be required to work more than a 72-hour week should be struck out. The plaintiff relied on his employer’s duty, which exists both as a matter of contract and the tort of negligence, </w:t>
      </w:r>
      <w:r>
        <w:rPr>
          <w:color w:val="005DA1"/>
          <w:u w:val="single" w:color="005DA1"/>
          <w:vertAlign w:val="superscript"/>
        </w:rPr>
        <w:t>1240</w:t>
      </w:r>
      <w:r>
        <w:rPr>
          <w:color w:val="005DA1"/>
          <w:vertAlign w:val="baseline"/>
        </w:rPr>
        <w:t> </w:t>
      </w:r>
      <w:r>
        <w:rPr>
          <w:vertAlign w:val="baseline"/>
        </w:rPr>
        <w:t>to take reasonable care as to his health at work, but the defendant countered that the express provision in the contract as to his hours of work limited the impact of this implied term and that no wider tortious duty could be imposed, relying on Lord Scarman’s</w:t>
      </w:r>
      <w:r>
        <w:rPr>
          <w:spacing w:val="-3"/>
          <w:vertAlign w:val="baseline"/>
        </w:rPr>
        <w:t> </w:t>
      </w:r>
      <w:r>
        <w:rPr>
          <w:vertAlign w:val="baseline"/>
        </w:rPr>
        <w:t>dictum</w:t>
      </w:r>
      <w:r>
        <w:rPr>
          <w:spacing w:val="-3"/>
          <w:vertAlign w:val="baseline"/>
        </w:rPr>
        <w:t> </w:t>
      </w:r>
      <w:r>
        <w:rPr>
          <w:vertAlign w:val="baseline"/>
        </w:rPr>
        <w:t>in</w:t>
      </w:r>
      <w:r>
        <w:rPr>
          <w:spacing w:val="-3"/>
          <w:vertAlign w:val="baseline"/>
        </w:rPr>
        <w:t> </w:t>
      </w:r>
      <w:r>
        <w:rPr>
          <w:rFonts w:ascii="Arial" w:hAnsi="Arial"/>
          <w:i/>
          <w:vertAlign w:val="baseline"/>
        </w:rPr>
        <w:t>Tai</w:t>
      </w:r>
      <w:r>
        <w:rPr>
          <w:rFonts w:ascii="Arial" w:hAnsi="Arial"/>
          <w:i/>
          <w:spacing w:val="-3"/>
          <w:vertAlign w:val="baseline"/>
        </w:rPr>
        <w:t> </w:t>
      </w:r>
      <w:r>
        <w:rPr>
          <w:rFonts w:ascii="Arial" w:hAnsi="Arial"/>
          <w:i/>
          <w:vertAlign w:val="baseline"/>
        </w:rPr>
        <w:t>Hing</w:t>
      </w:r>
      <w:r>
        <w:rPr>
          <w:rFonts w:ascii="Arial" w:hAnsi="Arial"/>
          <w:i/>
          <w:spacing w:val="-3"/>
          <w:vertAlign w:val="baseline"/>
        </w:rPr>
        <w:t> </w:t>
      </w:r>
      <w:r>
        <w:rPr>
          <w:rFonts w:ascii="Arial" w:hAnsi="Arial"/>
          <w:i/>
          <w:vertAlign w:val="baseline"/>
        </w:rPr>
        <w:t>Cotton</w:t>
      </w:r>
      <w:r>
        <w:rPr>
          <w:rFonts w:ascii="Arial" w:hAnsi="Arial"/>
          <w:i/>
          <w:spacing w:val="-3"/>
          <w:vertAlign w:val="baseline"/>
        </w:rPr>
        <w:t> </w:t>
      </w:r>
      <w:r>
        <w:rPr>
          <w:rFonts w:ascii="Arial" w:hAnsi="Arial"/>
          <w:i/>
          <w:vertAlign w:val="baseline"/>
        </w:rPr>
        <w:t>Mill</w:t>
      </w:r>
      <w:r>
        <w:rPr>
          <w:rFonts w:ascii="Arial" w:hAnsi="Arial"/>
          <w:i/>
          <w:spacing w:val="-3"/>
          <w:vertAlign w:val="baseline"/>
        </w:rPr>
        <w:t> </w:t>
      </w:r>
      <w:r>
        <w:rPr>
          <w:rFonts w:ascii="Arial" w:hAnsi="Arial"/>
          <w:i/>
          <w:vertAlign w:val="baseline"/>
        </w:rPr>
        <w:t>Ltd</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Liu</w:t>
      </w:r>
      <w:r>
        <w:rPr>
          <w:rFonts w:ascii="Arial" w:hAnsi="Arial"/>
          <w:i/>
          <w:spacing w:val="-3"/>
          <w:vertAlign w:val="baseline"/>
        </w:rPr>
        <w:t> </w:t>
      </w:r>
      <w:r>
        <w:rPr>
          <w:rFonts w:ascii="Arial" w:hAnsi="Arial"/>
          <w:i/>
          <w:vertAlign w:val="baseline"/>
        </w:rPr>
        <w:t>Chong</w:t>
      </w:r>
      <w:r>
        <w:rPr>
          <w:rFonts w:ascii="Arial" w:hAnsi="Arial"/>
          <w:i/>
          <w:spacing w:val="-3"/>
          <w:vertAlign w:val="baseline"/>
        </w:rPr>
        <w:t> </w:t>
      </w:r>
      <w:r>
        <w:rPr>
          <w:rFonts w:ascii="Arial" w:hAnsi="Arial"/>
          <w:i/>
          <w:vertAlign w:val="baseline"/>
        </w:rPr>
        <w:t>Hing</w:t>
      </w:r>
      <w:r>
        <w:rPr>
          <w:rFonts w:ascii="Arial" w:hAnsi="Arial"/>
          <w:i/>
          <w:spacing w:val="-3"/>
          <w:vertAlign w:val="baseline"/>
        </w:rPr>
        <w:t> </w:t>
      </w:r>
      <w:r>
        <w:rPr>
          <w:rFonts w:ascii="Arial" w:hAnsi="Arial"/>
          <w:i/>
          <w:vertAlign w:val="baseline"/>
        </w:rPr>
        <w:t>Bank</w:t>
      </w:r>
      <w:r>
        <w:rPr>
          <w:rFonts w:ascii="Arial" w:hAnsi="Arial"/>
          <w:i/>
          <w:spacing w:val="-3"/>
          <w:vertAlign w:val="baseline"/>
        </w:rPr>
        <w:t> </w:t>
      </w:r>
      <w:r>
        <w:rPr>
          <w:rFonts w:ascii="Arial" w:hAnsi="Arial"/>
          <w:i/>
          <w:vertAlign w:val="baseline"/>
        </w:rPr>
        <w:t>Ltd</w:t>
      </w:r>
      <w:r>
        <w:rPr>
          <w:vertAlign w:val="baseline"/>
        </w:rPr>
        <w:t>.</w:t>
      </w:r>
      <w:r>
        <w:rPr>
          <w:spacing w:val="-3"/>
          <w:vertAlign w:val="baseline"/>
        </w:rPr>
        <w:t> </w:t>
      </w:r>
      <w:r>
        <w:rPr>
          <w:color w:val="005DA1"/>
          <w:u w:val="single" w:color="005DA1"/>
          <w:vertAlign w:val="superscript"/>
        </w:rPr>
        <w:t>1241</w:t>
      </w:r>
      <w:r>
        <w:rPr>
          <w:color w:val="005DA1"/>
          <w:spacing w:val="-3"/>
          <w:vertAlign w:val="baseline"/>
        </w:rPr>
        <w:t> </w:t>
      </w:r>
      <w:r>
        <w:rPr>
          <w:vertAlign w:val="baseline"/>
        </w:rPr>
        <w:t>The</w:t>
      </w:r>
      <w:r>
        <w:rPr>
          <w:spacing w:val="-3"/>
          <w:vertAlign w:val="baseline"/>
        </w:rPr>
        <w:t> </w:t>
      </w:r>
      <w:r>
        <w:rPr>
          <w:vertAlign w:val="baseline"/>
        </w:rPr>
        <w:t>majority</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Court of Appeal refused to strike out the plaintiff’s claim, but for different reasons. Stuart-Smith L.J. considered that while it was quite possible for an express term to exclude an implied one, the express term in question had not attempted to do so. </w:t>
      </w:r>
      <w:r>
        <w:rPr>
          <w:color w:val="005DA1"/>
          <w:u w:val="single" w:color="005DA1"/>
          <w:vertAlign w:val="superscript"/>
        </w:rPr>
        <w:t>1242</w:t>
      </w:r>
      <w:r>
        <w:rPr>
          <w:color w:val="005DA1"/>
          <w:vertAlign w:val="baseline"/>
        </w:rPr>
        <w:t> </w:t>
      </w:r>
      <w:r>
        <w:rPr>
          <w:vertAlign w:val="baseline"/>
        </w:rPr>
        <w:t>Sir Nicolas Browne-Wilkinson V.C. agreed with Stuart-Smith L.J.’s decision on this point, but on more restricted grounds. The Vice-Chancellor considered that the approach of the Privy Council in </w:t>
      </w:r>
      <w:r>
        <w:rPr>
          <w:rFonts w:ascii="Arial" w:hAnsi="Arial"/>
          <w:i/>
          <w:vertAlign w:val="baseline"/>
        </w:rPr>
        <w:t>Tai Hing Cotton Mill Ltd</w:t>
      </w:r>
      <w:r>
        <w:rPr>
          <w:vertAlign w:val="baseline"/>
        </w:rPr>
        <w:t>:</w:t>
      </w:r>
    </w:p>
    <w:p>
      <w:pPr>
        <w:pStyle w:val="BodyText"/>
      </w:pPr>
    </w:p>
    <w:p>
      <w:pPr>
        <w:pStyle w:val="BodyText"/>
        <w:spacing w:before="120"/>
      </w:pPr>
    </w:p>
    <w:p>
      <w:pPr>
        <w:pStyle w:val="BodyText"/>
        <w:spacing w:line="235" w:lineRule="auto"/>
        <w:ind w:left="1245" w:right="167"/>
        <w:jc w:val="both"/>
      </w:pPr>
      <w:r>
        <w:rPr/>
        <w:t>“… shows that where there is a contractual relationship between the parties their respective rights and duties have to be analysed wholly in contractual terms and not </w:t>
      </w:r>
      <w:r>
        <w:rPr/>
        <w:t>a mixture of duties in tort and contract. It necessarily follows that the scope of the duties owed by one party to the other will be defined by the terms of the contract between</w:t>
      </w:r>
      <w:r>
        <w:rPr>
          <w:spacing w:val="80"/>
        </w:rPr>
        <w:t> </w:t>
      </w:r>
      <w:r>
        <w:rPr/>
        <w:t>them.” </w:t>
      </w:r>
      <w:r>
        <w:rPr>
          <w:color w:val="005DA1"/>
          <w:u w:val="single" w:color="005DA1"/>
          <w:vertAlign w:val="superscript"/>
        </w:rPr>
        <w:t>1243</w:t>
      </w:r>
    </w:p>
    <w:p>
      <w:pPr>
        <w:pStyle w:val="BodyText"/>
        <w:spacing w:before="115"/>
      </w:pPr>
    </w:p>
    <w:p>
      <w:pPr>
        <w:pStyle w:val="BodyText"/>
        <w:spacing w:line="235" w:lineRule="auto"/>
        <w:ind w:left="164" w:right="167"/>
        <w:jc w:val="both"/>
      </w:pPr>
      <w:r>
        <w:rPr/>
        <w:t>However,</w:t>
      </w:r>
      <w:r>
        <w:rPr>
          <w:spacing w:val="-1"/>
        </w:rPr>
        <w:t> </w:t>
      </w:r>
      <w:r>
        <w:rPr/>
        <w:t>the</w:t>
      </w:r>
      <w:r>
        <w:rPr>
          <w:spacing w:val="-1"/>
        </w:rPr>
        <w:t> </w:t>
      </w:r>
      <w:r>
        <w:rPr/>
        <w:t>Vice-Chancellor</w:t>
      </w:r>
      <w:r>
        <w:rPr>
          <w:spacing w:val="-1"/>
        </w:rPr>
        <w:t> </w:t>
      </w:r>
      <w:r>
        <w:rPr/>
        <w:t>held</w:t>
      </w:r>
      <w:r>
        <w:rPr>
          <w:spacing w:val="-1"/>
        </w:rPr>
        <w:t> </w:t>
      </w:r>
      <w:r>
        <w:rPr/>
        <w:t>that</w:t>
      </w:r>
      <w:r>
        <w:rPr>
          <w:spacing w:val="-1"/>
        </w:rPr>
        <w:t> </w:t>
      </w:r>
      <w:r>
        <w:rPr/>
        <w:t>the</w:t>
      </w:r>
      <w:r>
        <w:rPr>
          <w:spacing w:val="-1"/>
        </w:rPr>
        <w:t> </w:t>
      </w:r>
      <w:r>
        <w:rPr/>
        <w:t>clause</w:t>
      </w:r>
      <w:r>
        <w:rPr>
          <w:spacing w:val="-1"/>
        </w:rPr>
        <w:t> </w:t>
      </w:r>
      <w:r>
        <w:rPr/>
        <w:t>in</w:t>
      </w:r>
      <w:r>
        <w:rPr>
          <w:spacing w:val="-1"/>
        </w:rPr>
        <w:t> </w:t>
      </w:r>
      <w:r>
        <w:rPr/>
        <w:t>question</w:t>
      </w:r>
      <w:r>
        <w:rPr>
          <w:spacing w:val="-1"/>
        </w:rPr>
        <w:t> </w:t>
      </w:r>
      <w:r>
        <w:rPr/>
        <w:t>did</w:t>
      </w:r>
      <w:r>
        <w:rPr>
          <w:spacing w:val="-1"/>
        </w:rPr>
        <w:t> </w:t>
      </w:r>
      <w:r>
        <w:rPr/>
        <w:t>not</w:t>
      </w:r>
      <w:r>
        <w:rPr>
          <w:spacing w:val="-1"/>
        </w:rPr>
        <w:t> </w:t>
      </w:r>
      <w:r>
        <w:rPr/>
        <w:t>on</w:t>
      </w:r>
      <w:r>
        <w:rPr>
          <w:spacing w:val="-1"/>
        </w:rPr>
        <w:t> </w:t>
      </w:r>
      <w:r>
        <w:rPr/>
        <w:t>its</w:t>
      </w:r>
      <w:r>
        <w:rPr>
          <w:spacing w:val="-1"/>
        </w:rPr>
        <w:t> </w:t>
      </w:r>
      <w:r>
        <w:rPr/>
        <w:t>terms</w:t>
      </w:r>
      <w:r>
        <w:rPr>
          <w:spacing w:val="-1"/>
        </w:rPr>
        <w:t> </w:t>
      </w:r>
      <w:r>
        <w:rPr/>
        <w:t>impose</w:t>
      </w:r>
      <w:r>
        <w:rPr>
          <w:spacing w:val="-1"/>
        </w:rPr>
        <w:t> </w:t>
      </w:r>
      <w:r>
        <w:rPr/>
        <w:t>an</w:t>
      </w:r>
      <w:r>
        <w:rPr>
          <w:spacing w:val="-1"/>
        </w:rPr>
        <w:t> </w:t>
      </w:r>
      <w:r>
        <w:rPr/>
        <w:t>absolute obligation on the doctor to work the extra hours, but merely gave the defendant a discretion as to the number of hours extra that were to be worked and that this right should be considered subject to their ordinary duty not to injure the plaintiff. </w:t>
      </w:r>
      <w:r>
        <w:rPr>
          <w:color w:val="005DA1"/>
          <w:u w:val="single" w:color="005DA1"/>
          <w:vertAlign w:val="superscript"/>
        </w:rPr>
        <w:t>1244</w:t>
      </w:r>
      <w:r>
        <w:rPr>
          <w:color w:val="005DA1"/>
          <w:vertAlign w:val="baseline"/>
        </w:rPr>
        <w:t> </w:t>
      </w:r>
      <w:r>
        <w:rPr>
          <w:vertAlign w:val="baseline"/>
        </w:rPr>
        <w:t>Leggatt L.J., dissenting, considered that the express term on the facts did indeed cut down the impact of the employer’s implied term as to the safety of its employee and, following </w:t>
      </w:r>
      <w:r>
        <w:rPr>
          <w:rFonts w:ascii="Arial" w:hAnsi="Arial"/>
          <w:i/>
          <w:vertAlign w:val="baseline"/>
        </w:rPr>
        <w:t>Tai Hing Cotton Mill Ltd</w:t>
      </w:r>
      <w:r>
        <w:rPr>
          <w:vertAlign w:val="baseline"/>
        </w:rPr>
        <w:t>, no tortious obligation could be any greater. </w:t>
      </w:r>
      <w:r>
        <w:rPr>
          <w:color w:val="005DA1"/>
          <w:u w:val="single" w:color="005DA1"/>
          <w:vertAlign w:val="superscript"/>
        </w:rPr>
        <w:t>1245</w:t>
      </w:r>
      <w:r>
        <w:rPr>
          <w:color w:val="005DA1"/>
          <w:vertAlign w:val="baseline"/>
        </w:rPr>
        <w:t> </w:t>
      </w:r>
      <w:r>
        <w:rPr>
          <w:vertAlign w:val="baseline"/>
        </w:rPr>
        <w:t>It is submitted that the approach of all members of the Court of Appeal in </w:t>
      </w:r>
      <w:r>
        <w:rPr>
          <w:rFonts w:ascii="Arial" w:hAnsi="Arial"/>
          <w:i/>
          <w:vertAlign w:val="baseline"/>
        </w:rPr>
        <w:t>Johnstone v Bloomsbury Health Authority </w:t>
      </w:r>
      <w:r>
        <w:rPr>
          <w:vertAlign w:val="baseline"/>
        </w:rPr>
        <w:t>to these issues is consistent with that adopted subsequently by the House of Lords in </w:t>
      </w:r>
      <w:r>
        <w:rPr>
          <w:rFonts w:ascii="Arial" w:hAnsi="Arial"/>
          <w:i/>
          <w:vertAlign w:val="baseline"/>
        </w:rPr>
        <w:t>Henderson v Merrett Syndicates Ltd</w:t>
      </w:r>
      <w:r>
        <w:rPr>
          <w:vertAlign w:val="baseline"/>
        </w:rPr>
        <w:t>, </w:t>
      </w:r>
      <w:r>
        <w:rPr>
          <w:color w:val="005DA1"/>
          <w:u w:val="single" w:color="005DA1"/>
          <w:vertAlign w:val="superscript"/>
        </w:rPr>
        <w:t>1246</w:t>
      </w:r>
      <w:r>
        <w:rPr>
          <w:color w:val="005DA1"/>
          <w:vertAlign w:val="baseline"/>
        </w:rPr>
        <w:t> </w:t>
      </w:r>
      <w:r>
        <w:rPr>
          <w:vertAlign w:val="baseline"/>
        </w:rPr>
        <w:t>since the latter confirmed that no concurrent liability in tort would be allowed where this would be inconsistent with the terms of the contract between the parties. </w:t>
      </w:r>
      <w:r>
        <w:rPr>
          <w:color w:val="005DA1"/>
          <w:u w:val="single" w:color="005DA1"/>
          <w:vertAlign w:val="superscript"/>
        </w:rPr>
        <w:t>1247</w:t>
      </w:r>
      <w:r>
        <w:rPr>
          <w:color w:val="005DA1"/>
          <w:vertAlign w:val="baseline"/>
        </w:rPr>
        <w:t> </w:t>
      </w:r>
      <w:r>
        <w:rPr>
          <w:vertAlign w:val="baseline"/>
        </w:rPr>
        <w:t>However, the decisions of the majority in </w:t>
      </w:r>
      <w:r>
        <w:rPr>
          <w:rFonts w:ascii="Arial" w:hAnsi="Arial"/>
          <w:i/>
          <w:vertAlign w:val="baseline"/>
        </w:rPr>
        <w:t>Johnstone </w:t>
      </w:r>
      <w:r>
        <w:rPr>
          <w:vertAlign w:val="baseline"/>
        </w:rPr>
        <w:t>also shows that judges will be slow to interpret a contract as incompatible with an established liability in tort, perhaps particularly where this relates to personal injuries.</w:t>
      </w:r>
    </w:p>
    <w:p>
      <w:pPr>
        <w:pStyle w:val="BodyText"/>
      </w:pPr>
    </w:p>
    <w:p>
      <w:pPr>
        <w:pStyle w:val="BodyText"/>
        <w:spacing w:before="33"/>
      </w:pPr>
    </w:p>
    <w:p>
      <w:pPr>
        <w:spacing w:before="1"/>
        <w:ind w:left="164" w:right="0" w:firstLine="0"/>
        <w:jc w:val="left"/>
        <w:rPr>
          <w:rFonts w:ascii="Arial"/>
          <w:b/>
          <w:sz w:val="18"/>
        </w:rPr>
      </w:pPr>
      <w:r>
        <w:rPr>
          <w:rFonts w:ascii="Arial"/>
          <w:b/>
          <w:sz w:val="18"/>
        </w:rPr>
        <w:t>Contract removing condition of or giving rise to a defence to liability in </w:t>
      </w:r>
      <w:r>
        <w:rPr>
          <w:rFonts w:ascii="Arial"/>
          <w:b/>
          <w:spacing w:val="-4"/>
          <w:sz w:val="18"/>
        </w:rPr>
        <w:t>tort</w:t>
      </w:r>
    </w:p>
    <w:p>
      <w:pPr>
        <w:spacing w:after="0"/>
        <w:jc w:val="left"/>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1-</w:t>
      </w:r>
      <w:r>
        <w:rPr>
          <w:rFonts w:ascii="Arial"/>
          <w:b/>
          <w:spacing w:val="-5"/>
          <w:sz w:val="24"/>
        </w:rPr>
        <w:t>183</w:t>
      </w:r>
    </w:p>
    <w:p>
      <w:pPr>
        <w:pStyle w:val="BodyText"/>
        <w:spacing w:line="235" w:lineRule="auto" w:before="202"/>
        <w:ind w:left="165" w:right="167"/>
        <w:jc w:val="both"/>
      </w:pPr>
      <w:r>
        <w:rPr/>
        <w:t>A contract’s terms can affect liability in tort in another way as they may remove one of the </w:t>
      </w:r>
      <w:r>
        <w:rPr/>
        <w:t>conditions for its existence or give rise to the existence of a defence, and this is particularly clear where the consent of an injured party excludes liability. Thus, in cases concerning medical treatment involving physical contact with the patient, the contact is prima facie a battery unless the claimant has consented to the treatment, </w:t>
      </w:r>
      <w:r>
        <w:rPr>
          <w:color w:val="005DA1"/>
          <w:u w:val="single" w:color="005DA1"/>
          <w:vertAlign w:val="superscript"/>
        </w:rPr>
        <w:t>1248</w:t>
      </w:r>
      <w:r>
        <w:rPr>
          <w:color w:val="005DA1"/>
          <w:vertAlign w:val="baseline"/>
        </w:rPr>
        <w:t> </w:t>
      </w:r>
      <w:r>
        <w:rPr>
          <w:vertAlign w:val="baseline"/>
        </w:rPr>
        <w:t>but where a person is able to and has consented, this will exclude liability in tort as well as contract. </w:t>
      </w:r>
      <w:r>
        <w:rPr>
          <w:color w:val="005DA1"/>
          <w:u w:val="single" w:color="005DA1"/>
          <w:vertAlign w:val="superscript"/>
        </w:rPr>
        <w:t>1249</w:t>
      </w:r>
      <w:r>
        <w:rPr>
          <w:color w:val="005DA1"/>
          <w:vertAlign w:val="baseline"/>
        </w:rPr>
        <w:t> </w:t>
      </w:r>
      <w:r>
        <w:rPr>
          <w:vertAlign w:val="baseline"/>
        </w:rPr>
        <w:t>Similarly, a contractual licence given by an owner of land prevents any liability arising in the licensee in the tort of trespass as long as the latter does not act beyond the permission. </w:t>
      </w:r>
      <w:r>
        <w:rPr>
          <w:color w:val="005DA1"/>
          <w:u w:val="single" w:color="005DA1"/>
          <w:vertAlign w:val="superscript"/>
        </w:rPr>
        <w:t>1250</w:t>
      </w:r>
      <w:r>
        <w:rPr>
          <w:color w:val="005DA1"/>
          <w:vertAlign w:val="baseline"/>
        </w:rPr>
        <w:t> </w:t>
      </w:r>
      <w:r>
        <w:rPr>
          <w:vertAlign w:val="baseline"/>
        </w:rPr>
        <w:t>A contractual consent can also allow the application of the defence of volenti non fit injuria. For example, in </w:t>
      </w:r>
      <w:r>
        <w:rPr>
          <w:rFonts w:ascii="Arial" w:hAnsi="Arial"/>
          <w:i/>
          <w:vertAlign w:val="baseline"/>
        </w:rPr>
        <w:t>Chapman v Ellesmere</w:t>
      </w:r>
      <w:r>
        <w:rPr>
          <w:vertAlign w:val="baseline"/>
        </w:rPr>
        <w:t>, </w:t>
      </w:r>
      <w:r>
        <w:rPr>
          <w:color w:val="005DA1"/>
          <w:u w:val="single" w:color="005DA1"/>
          <w:vertAlign w:val="superscript"/>
        </w:rPr>
        <w:t>1251</w:t>
      </w:r>
      <w:r>
        <w:rPr>
          <w:color w:val="005DA1"/>
          <w:vertAlign w:val="baseline"/>
        </w:rPr>
        <w:t> </w:t>
      </w:r>
      <w:r>
        <w:rPr>
          <w:vertAlign w:val="baseline"/>
        </w:rPr>
        <w:t>a racing steward who acted under a licence from the Jockey Club was held unable to sue members of a committee appointed under that club’s rules in the tort of defamation in respect of the publication of a report on his role in a particular race, because on accepting his licence he had agreed to rules under which publication of such a report was specifically permitted.</w:t>
      </w:r>
    </w:p>
    <w:p>
      <w:pPr>
        <w:pStyle w:val="BodyText"/>
      </w:pPr>
    </w:p>
    <w:p>
      <w:pPr>
        <w:pStyle w:val="BodyText"/>
        <w:spacing w:before="34"/>
      </w:pPr>
    </w:p>
    <w:p>
      <w:pPr>
        <w:spacing w:before="0"/>
        <w:ind w:left="165" w:right="0" w:firstLine="0"/>
        <w:jc w:val="both"/>
        <w:rPr>
          <w:rFonts w:ascii="Arial"/>
          <w:b/>
          <w:sz w:val="18"/>
        </w:rPr>
      </w:pPr>
      <w:r>
        <w:rPr>
          <w:rFonts w:ascii="Arial"/>
          <w:b/>
          <w:sz w:val="18"/>
        </w:rPr>
        <w:t>Legal immunities for </w:t>
      </w:r>
      <w:r>
        <w:rPr>
          <w:rFonts w:ascii="Arial"/>
          <w:b/>
          <w:spacing w:val="-2"/>
          <w:sz w:val="18"/>
        </w:rPr>
        <w:t>contractors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184</w:t>
      </w:r>
    </w:p>
    <w:p>
      <w:pPr>
        <w:pStyle w:val="BodyText"/>
        <w:spacing w:line="235" w:lineRule="auto" w:before="203"/>
        <w:ind w:left="164" w:right="167"/>
        <w:jc w:val="both"/>
      </w:pPr>
      <w:r>
        <w:rPr/>
        <w:t>Where</w:t>
      </w:r>
      <w:r>
        <w:rPr>
          <w:spacing w:val="-1"/>
        </w:rPr>
        <w:t> </w:t>
      </w:r>
      <w:r>
        <w:rPr/>
        <w:t>the</w:t>
      </w:r>
      <w:r>
        <w:rPr>
          <w:spacing w:val="-1"/>
        </w:rPr>
        <w:t> </w:t>
      </w:r>
      <w:r>
        <w:rPr/>
        <w:t>law</w:t>
      </w:r>
      <w:r>
        <w:rPr>
          <w:spacing w:val="-1"/>
        </w:rPr>
        <w:t> </w:t>
      </w:r>
      <w:r>
        <w:rPr/>
        <w:t>itself</w:t>
      </w:r>
      <w:r>
        <w:rPr>
          <w:spacing w:val="-1"/>
        </w:rPr>
        <w:t> </w:t>
      </w:r>
      <w:r>
        <w:rPr/>
        <w:t>rather</w:t>
      </w:r>
      <w:r>
        <w:rPr>
          <w:spacing w:val="-1"/>
        </w:rPr>
        <w:t> </w:t>
      </w:r>
      <w:r>
        <w:rPr/>
        <w:t>than</w:t>
      </w:r>
      <w:r>
        <w:rPr>
          <w:spacing w:val="-1"/>
        </w:rPr>
        <w:t> </w:t>
      </w:r>
      <w:r>
        <w:rPr/>
        <w:t>a</w:t>
      </w:r>
      <w:r>
        <w:rPr>
          <w:spacing w:val="-1"/>
        </w:rPr>
        <w:t> </w:t>
      </w:r>
      <w:r>
        <w:rPr/>
        <w:t>contractual</w:t>
      </w:r>
      <w:r>
        <w:rPr>
          <w:spacing w:val="-1"/>
        </w:rPr>
        <w:t> </w:t>
      </w:r>
      <w:r>
        <w:rPr/>
        <w:t>term</w:t>
      </w:r>
      <w:r>
        <w:rPr>
          <w:spacing w:val="-1"/>
        </w:rPr>
        <w:t> </w:t>
      </w:r>
      <w:r>
        <w:rPr/>
        <w:t>grants</w:t>
      </w:r>
      <w:r>
        <w:rPr>
          <w:spacing w:val="-1"/>
        </w:rPr>
        <w:t> </w:t>
      </w:r>
      <w:r>
        <w:rPr/>
        <w:t>a</w:t>
      </w:r>
      <w:r>
        <w:rPr>
          <w:spacing w:val="-1"/>
        </w:rPr>
        <w:t> </w:t>
      </w:r>
      <w:r>
        <w:rPr/>
        <w:t>party</w:t>
      </w:r>
      <w:r>
        <w:rPr>
          <w:spacing w:val="-1"/>
        </w:rPr>
        <w:t> </w:t>
      </w:r>
      <w:r>
        <w:rPr/>
        <w:t>to</w:t>
      </w:r>
      <w:r>
        <w:rPr>
          <w:spacing w:val="-1"/>
        </w:rPr>
        <w:t> </w:t>
      </w:r>
      <w:r>
        <w:rPr/>
        <w:t>a</w:t>
      </w:r>
      <w:r>
        <w:rPr>
          <w:spacing w:val="-1"/>
        </w:rPr>
        <w:t> </w:t>
      </w:r>
      <w:r>
        <w:rPr/>
        <w:t>contract</w:t>
      </w:r>
      <w:r>
        <w:rPr>
          <w:spacing w:val="-1"/>
        </w:rPr>
        <w:t> </w:t>
      </w:r>
      <w:r>
        <w:rPr/>
        <w:t>a</w:t>
      </w:r>
      <w:r>
        <w:rPr>
          <w:spacing w:val="-1"/>
        </w:rPr>
        <w:t> </w:t>
      </w:r>
      <w:r>
        <w:rPr/>
        <w:t>certain</w:t>
      </w:r>
      <w:r>
        <w:rPr>
          <w:spacing w:val="-1"/>
        </w:rPr>
        <w:t> </w:t>
      </w:r>
      <w:r>
        <w:rPr/>
        <w:t>immunity</w:t>
      </w:r>
      <w:r>
        <w:rPr>
          <w:spacing w:val="-1"/>
        </w:rPr>
        <w:t> </w:t>
      </w:r>
      <w:r>
        <w:rPr/>
        <w:t>from liability, the courts have looked to the reason for this immunity and decided whether it applies equally to a claim in tort as to the one in contract. For example, while the courts recognised that a solicitor enjoyed a certain immunity from liability in negligence in relation to the conduct and management of a case for reasons of policy, this immunity applied both to tort and to contract. </w:t>
      </w:r>
      <w:r>
        <w:rPr>
          <w:color w:val="005DA1"/>
          <w:u w:val="single" w:color="005DA1"/>
          <w:vertAlign w:val="superscript"/>
        </w:rPr>
        <w:t>1252</w:t>
      </w:r>
      <w:r>
        <w:rPr>
          <w:color w:val="005DA1"/>
          <w:vertAlign w:val="baseline"/>
        </w:rPr>
        <w:t> </w:t>
      </w:r>
      <w:r>
        <w:rPr>
          <w:vertAlign w:val="baseline"/>
        </w:rPr>
        <w:t>However, the approach of the courts to the very wide </w:t>
      </w:r>
      <w:r>
        <w:rPr>
          <w:color w:val="005DA1"/>
          <w:u w:val="single" w:color="005DA1"/>
          <w:vertAlign w:val="superscript"/>
        </w:rPr>
        <w:t>1253</w:t>
      </w:r>
      <w:r>
        <w:rPr>
          <w:color w:val="005DA1"/>
          <w:vertAlign w:val="baseline"/>
        </w:rPr>
        <w:t> </w:t>
      </w:r>
      <w:r>
        <w:rPr>
          <w:vertAlign w:val="baseline"/>
        </w:rPr>
        <w:t>immunity from liability at common law </w:t>
      </w:r>
      <w:r>
        <w:rPr>
          <w:color w:val="005DA1"/>
          <w:u w:val="single" w:color="005DA1"/>
          <w:vertAlign w:val="superscript"/>
        </w:rPr>
        <w:t>1254</w:t>
      </w:r>
      <w:r>
        <w:rPr>
          <w:color w:val="005DA1"/>
          <w:vertAlign w:val="baseline"/>
        </w:rPr>
        <w:t> </w:t>
      </w:r>
      <w:r>
        <w:rPr>
          <w:vertAlign w:val="baseline"/>
        </w:rPr>
        <w:t>of landlords to their tenants has been very different. In </w:t>
      </w:r>
      <w:r>
        <w:rPr>
          <w:rFonts w:ascii="Arial" w:hAnsi="Arial"/>
          <w:i/>
          <w:vertAlign w:val="baseline"/>
        </w:rPr>
        <w:t>Rimmer v Liverpool City Council</w:t>
      </w:r>
      <w:r>
        <w:rPr>
          <w:vertAlign w:val="baseline"/>
        </w:rPr>
        <w:t>, </w:t>
      </w:r>
      <w:r>
        <w:rPr>
          <w:color w:val="005DA1"/>
          <w:u w:val="single" w:color="005DA1"/>
          <w:vertAlign w:val="superscript"/>
        </w:rPr>
        <w:t>1255</w:t>
      </w:r>
      <w:r>
        <w:rPr>
          <w:color w:val="005DA1"/>
          <w:vertAlign w:val="baseline"/>
        </w:rPr>
        <w:t> </w:t>
      </w:r>
      <w:r>
        <w:rPr>
          <w:vertAlign w:val="baseline"/>
        </w:rPr>
        <w:t>while the Court of Appeal did not consider itself able as a matter of authority to impose a duty of care in the tort of negligence on a landlord as to the safety of the premises at the time of letting, it did impose a duty of care on a landlord qua designer of the premises let as to the reasonable safety of their design to the tenant qua person who might reasonably be expected to be affected. </w:t>
      </w:r>
      <w:r>
        <w:rPr>
          <w:color w:val="005DA1"/>
          <w:u w:val="single" w:color="005DA1"/>
          <w:vertAlign w:val="superscript"/>
        </w:rPr>
        <w:t>1256</w:t>
      </w:r>
      <w:r>
        <w:rPr>
          <w:color w:val="005DA1"/>
          <w:vertAlign w:val="baseline"/>
        </w:rPr>
        <w:t> </w:t>
      </w:r>
      <w:r>
        <w:rPr>
          <w:vertAlign w:val="baseline"/>
        </w:rPr>
        <w:t>As Stephenson L.J. noted, </w:t>
      </w:r>
      <w:r>
        <w:rPr>
          <w:rFonts w:ascii="Arial" w:hAnsi="Arial"/>
          <w:i/>
          <w:vertAlign w:val="baseline"/>
        </w:rPr>
        <w:t>Cavalier v Pope</w:t>
      </w:r>
      <w:r>
        <w:rPr>
          <w:vertAlign w:val="baseline"/>
        </w:rPr>
        <w:t>, </w:t>
      </w:r>
      <w:r>
        <w:rPr>
          <w:color w:val="005DA1"/>
          <w:u w:val="single" w:color="005DA1"/>
          <w:vertAlign w:val="superscript"/>
        </w:rPr>
        <w:t>1257</w:t>
      </w:r>
      <w:r>
        <w:rPr>
          <w:color w:val="005DA1"/>
          <w:vertAlign w:val="baseline"/>
        </w:rPr>
        <w:t> </w:t>
      </w:r>
      <w:r>
        <w:rPr>
          <w:vertAlign w:val="baseline"/>
        </w:rPr>
        <w:t>the leading authority which supported the landlord’s immunity, should be restrictively interpreted </w:t>
      </w:r>
      <w:r>
        <w:rPr>
          <w:color w:val="005DA1"/>
          <w:u w:val="single" w:color="005DA1"/>
          <w:vertAlign w:val="superscript"/>
        </w:rPr>
        <w:t>1258</w:t>
      </w:r>
      <w:r>
        <w:rPr>
          <w:color w:val="005DA1"/>
          <w:vertAlign w:val="baseline"/>
        </w:rPr>
        <w:t> </w:t>
      </w:r>
      <w:r>
        <w:rPr>
          <w:vertAlign w:val="baseline"/>
        </w:rPr>
        <w:t>for at the time it was decided:</w:t>
      </w:r>
    </w:p>
    <w:p>
      <w:pPr>
        <w:pStyle w:val="BodyText"/>
      </w:pPr>
    </w:p>
    <w:p>
      <w:pPr>
        <w:pStyle w:val="BodyText"/>
        <w:spacing w:before="122"/>
      </w:pPr>
    </w:p>
    <w:p>
      <w:pPr>
        <w:pStyle w:val="BodyText"/>
        <w:spacing w:line="235" w:lineRule="auto"/>
        <w:ind w:left="1245" w:right="167"/>
        <w:jc w:val="both"/>
      </w:pPr>
      <w:r>
        <w:rPr/>
        <w:t>“… contractual duties were regarded as excluding delictual duties and a contractual relationship determined completely the rights and obligations of the related parties, </w:t>
      </w:r>
      <w:r>
        <w:rPr/>
        <w:t>as</w:t>
      </w:r>
      <w:r>
        <w:rPr>
          <w:spacing w:val="40"/>
        </w:rPr>
        <w:t> </w:t>
      </w:r>
      <w:r>
        <w:rPr/>
        <w:t>well as the rights of third parties.” </w:t>
      </w:r>
      <w:r>
        <w:rPr>
          <w:color w:val="005DA1"/>
          <w:u w:val="single" w:color="005DA1"/>
          <w:vertAlign w:val="superscript"/>
        </w:rPr>
        <w:t>1259</w:t>
      </w:r>
    </w:p>
    <w:p>
      <w:pPr>
        <w:pStyle w:val="BodyText"/>
      </w:pPr>
    </w:p>
    <w:p>
      <w:pPr>
        <w:pStyle w:val="BodyText"/>
        <w:spacing w:before="205"/>
      </w:pPr>
    </w:p>
    <w:p>
      <w:pPr>
        <w:pStyle w:val="BodyText"/>
        <w:spacing w:line="235" w:lineRule="auto"/>
        <w:ind w:left="165" w:right="167"/>
        <w:jc w:val="both"/>
      </w:pPr>
      <w:r>
        <w:rPr/>
        <w:t>In this context, and as regards liability for personal injuries, the courts showed themselves willing </w:t>
      </w:r>
      <w:r>
        <w:rPr/>
        <w:t>to allow the tort of negligence to develop in order to circumvent an immunity attaching to a particular contract where that immunity was no longer considered justified as a matter of policy, but which was supported by superior authority. </w:t>
      </w:r>
      <w:r>
        <w:rPr>
          <w:color w:val="005DA1"/>
          <w:u w:val="single" w:color="005DA1"/>
          <w:vertAlign w:val="superscript"/>
        </w:rPr>
        <w:t>1260</w:t>
      </w:r>
    </w:p>
    <w:p>
      <w:pPr>
        <w:pStyle w:val="BodyText"/>
        <w:spacing w:before="89"/>
      </w:pPr>
    </w:p>
    <w:p>
      <w:pPr>
        <w:pStyle w:val="BodyText"/>
        <w:spacing w:line="235" w:lineRule="auto"/>
        <w:ind w:left="164" w:right="167"/>
        <w:jc w:val="both"/>
      </w:pPr>
      <w:r>
        <w:rPr/>
        <w:t>The decision of the Court of Appeal in </w:t>
      </w:r>
      <w:r>
        <w:rPr>
          <w:rFonts w:ascii="Arial" w:hAnsi="Arial"/>
          <w:i/>
        </w:rPr>
        <w:t>Bank of Nova Scotia v Hellenic Mutual War Risks Association (Bermuda) Ltd (The Good Luck) </w:t>
      </w:r>
      <w:r>
        <w:rPr>
          <w:color w:val="005DA1"/>
          <w:u w:val="single" w:color="005DA1"/>
          <w:vertAlign w:val="superscript"/>
        </w:rPr>
        <w:t>1261</w:t>
      </w:r>
      <w:r>
        <w:rPr>
          <w:color w:val="005DA1"/>
          <w:vertAlign w:val="baseline"/>
        </w:rPr>
        <w:t> </w:t>
      </w:r>
      <w:r>
        <w:rPr>
          <w:vertAlign w:val="baseline"/>
        </w:rPr>
        <w:t>concerned a situation in which a legal rule (as opposed to </w:t>
      </w:r>
      <w:r>
        <w:rPr>
          <w:vertAlign w:val="baseline"/>
        </w:rPr>
        <w:t>the terms of the contract) provided one party to a contract with a remedy based on breach of a duty in the other, but where that breach of duty had not previously been held to give rise to liability in damages. One issue before the court was whether breach by an insurer of its duty to disclose matters to the assured during the course of the contract could give rise to liability in damages as well as the possibility of rescission of the contract by the assured. </w:t>
      </w:r>
      <w:r>
        <w:rPr>
          <w:color w:val="005DA1"/>
          <w:u w:val="single" w:color="005DA1"/>
          <w:vertAlign w:val="superscript"/>
        </w:rPr>
        <w:t>1262</w:t>
      </w:r>
      <w:r>
        <w:rPr>
          <w:color w:val="005DA1"/>
          <w:vertAlign w:val="baseline"/>
        </w:rPr>
        <w:t> </w:t>
      </w:r>
      <w:r>
        <w:rPr>
          <w:vertAlign w:val="baseline"/>
        </w:rPr>
        <w:t>Having held that it should not imply a relevant term as to disclosure into the contract either on the basis of the “bystander test” </w:t>
      </w:r>
      <w:r>
        <w:rPr>
          <w:color w:val="005DA1"/>
          <w:u w:val="single" w:color="005DA1"/>
          <w:vertAlign w:val="superscript"/>
        </w:rPr>
        <w:t>1263</w:t>
      </w:r>
      <w:r>
        <w:rPr>
          <w:color w:val="005DA1"/>
          <w:vertAlign w:val="baseline"/>
        </w:rPr>
        <w:t> </w:t>
      </w:r>
      <w:r>
        <w:rPr>
          <w:vertAlign w:val="baseline"/>
        </w:rPr>
        <w:t>or the “test</w:t>
      </w:r>
      <w:r>
        <w:rPr>
          <w:spacing w:val="-3"/>
          <w:vertAlign w:val="baseline"/>
        </w:rPr>
        <w:t> </w:t>
      </w:r>
      <w:r>
        <w:rPr>
          <w:vertAlign w:val="baseline"/>
        </w:rPr>
        <w:t>of</w:t>
      </w:r>
      <w:r>
        <w:rPr>
          <w:spacing w:val="-3"/>
          <w:vertAlign w:val="baseline"/>
        </w:rPr>
        <w:t> </w:t>
      </w:r>
      <w:r>
        <w:rPr>
          <w:vertAlign w:val="baseline"/>
        </w:rPr>
        <w:t>necessity”,</w:t>
      </w:r>
      <w:r>
        <w:rPr>
          <w:spacing w:val="-3"/>
          <w:vertAlign w:val="baseline"/>
        </w:rPr>
        <w:t> </w:t>
      </w:r>
      <w:r>
        <w:rPr>
          <w:color w:val="005DA1"/>
          <w:u w:val="single" w:color="005DA1"/>
          <w:vertAlign w:val="superscript"/>
        </w:rPr>
        <w:t>1264</w:t>
      </w:r>
      <w:r>
        <w:rPr>
          <w:color w:val="005DA1"/>
          <w:spacing w:val="-3"/>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considered</w:t>
      </w:r>
      <w:r>
        <w:rPr>
          <w:spacing w:val="-3"/>
          <w:vertAlign w:val="baseline"/>
        </w:rPr>
        <w:t> </w:t>
      </w:r>
      <w:r>
        <w:rPr>
          <w:vertAlign w:val="baseline"/>
        </w:rPr>
        <w:t>that,</w:t>
      </w:r>
      <w:r>
        <w:rPr>
          <w:spacing w:val="-3"/>
          <w:vertAlign w:val="baseline"/>
        </w:rPr>
        <w:t> </w:t>
      </w:r>
      <w:r>
        <w:rPr>
          <w:vertAlign w:val="baseline"/>
        </w:rPr>
        <w:t>whatever</w:t>
      </w:r>
      <w:r>
        <w:rPr>
          <w:spacing w:val="-3"/>
          <w:vertAlign w:val="baseline"/>
        </w:rPr>
        <w:t> </w:t>
      </w:r>
      <w:r>
        <w:rPr>
          <w:vertAlign w:val="baseline"/>
        </w:rPr>
        <w:t>the</w:t>
      </w:r>
      <w:r>
        <w:rPr>
          <w:spacing w:val="-3"/>
          <w:vertAlign w:val="baseline"/>
        </w:rPr>
        <w:t> </w:t>
      </w:r>
      <w:r>
        <w:rPr>
          <w:vertAlign w:val="baseline"/>
        </w:rPr>
        <w:t>degree</w:t>
      </w:r>
      <w:r>
        <w:rPr>
          <w:spacing w:val="-3"/>
          <w:vertAlign w:val="baseline"/>
        </w:rPr>
        <w:t> </w:t>
      </w:r>
      <w:r>
        <w:rPr>
          <w:vertAlign w:val="baseline"/>
        </w:rPr>
        <w:t>of</w:t>
      </w:r>
      <w:r>
        <w:rPr>
          <w:spacing w:val="-3"/>
          <w:vertAlign w:val="baseline"/>
        </w:rPr>
        <w:t> </w:t>
      </w:r>
      <w:r>
        <w:rPr>
          <w:vertAlign w:val="baseline"/>
        </w:rPr>
        <w:t>proximity</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parties</w:t>
      </w:r>
      <w:r>
        <w:rPr>
          <w:spacing w:val="-3"/>
          <w:vertAlign w:val="baseline"/>
        </w:rPr>
        <w:t> </w:t>
      </w:r>
      <w:r>
        <w:rPr>
          <w:vertAlign w:val="baseline"/>
        </w:rPr>
        <w:t>or</w:t>
      </w:r>
      <w:r>
        <w:rPr>
          <w:spacing w:val="-3"/>
          <w:vertAlign w:val="baseline"/>
        </w:rPr>
        <w:t> </w:t>
      </w:r>
      <w:r>
        <w:rPr>
          <w:vertAlign w:val="baseline"/>
        </w:rPr>
        <w:t>the fairness and reasonableness of recognising a duty of care in tort, it should still apply the “principle established in </w:t>
      </w:r>
      <w:r>
        <w:rPr>
          <w:rFonts w:ascii="Arial" w:hAnsi="Arial"/>
          <w:i/>
          <w:vertAlign w:val="baseline"/>
        </w:rPr>
        <w:t>Tai Hing Cotton Mill Ltd v Lui Chong Hing Bank Ltd</w:t>
      </w:r>
      <w:r>
        <w:rPr>
          <w:vertAlign w:val="baseline"/>
        </w:rPr>
        <w:t>”. </w:t>
      </w:r>
      <w:r>
        <w:rPr>
          <w:color w:val="005DA1"/>
          <w:u w:val="single" w:color="005DA1"/>
          <w:vertAlign w:val="superscript"/>
        </w:rPr>
        <w:t>1265</w:t>
      </w:r>
      <w:r>
        <w:rPr>
          <w:color w:val="005DA1"/>
          <w:vertAlign w:val="baseline"/>
        </w:rPr>
        <w:t> </w:t>
      </w:r>
      <w:r>
        <w:rPr>
          <w:vertAlign w:val="baseline"/>
        </w:rPr>
        <w:t>According to May L.J.:</w:t>
      </w:r>
    </w:p>
    <w:p>
      <w:pPr>
        <w:pStyle w:val="BodyText"/>
        <w:spacing w:after="0" w:line="235" w:lineRule="auto"/>
        <w:jc w:val="both"/>
        <w:sectPr>
          <w:pgSz w:w="11900" w:h="16840"/>
          <w:pgMar w:header="971" w:footer="0" w:top="1300" w:bottom="280" w:left="1275" w:right="1275"/>
        </w:sectPr>
      </w:pPr>
    </w:p>
    <w:p>
      <w:pPr>
        <w:pStyle w:val="BodyText"/>
      </w:pPr>
    </w:p>
    <w:p>
      <w:pPr>
        <w:pStyle w:val="BodyText"/>
      </w:pPr>
    </w:p>
    <w:p>
      <w:pPr>
        <w:pStyle w:val="BodyText"/>
        <w:spacing w:before="7"/>
      </w:pPr>
    </w:p>
    <w:p>
      <w:pPr>
        <w:pStyle w:val="BodyText"/>
        <w:spacing w:line="235" w:lineRule="auto"/>
        <w:ind w:left="1245"/>
      </w:pPr>
      <w:r>
        <w:rPr/>
        <w:t>“…</w:t>
      </w:r>
      <w:r>
        <w:rPr>
          <w:spacing w:val="24"/>
        </w:rPr>
        <w:t> </w:t>
      </w:r>
      <w:r>
        <w:rPr/>
        <w:t>the</w:t>
      </w:r>
      <w:r>
        <w:rPr>
          <w:spacing w:val="24"/>
        </w:rPr>
        <w:t> </w:t>
      </w:r>
      <w:r>
        <w:rPr/>
        <w:t>[insurer]</w:t>
      </w:r>
      <w:r>
        <w:rPr>
          <w:spacing w:val="24"/>
        </w:rPr>
        <w:t> </w:t>
      </w:r>
      <w:r>
        <w:rPr/>
        <w:t>was</w:t>
      </w:r>
      <w:r>
        <w:rPr>
          <w:spacing w:val="24"/>
        </w:rPr>
        <w:t> </w:t>
      </w:r>
      <w:r>
        <w:rPr/>
        <w:t>entitled</w:t>
      </w:r>
      <w:r>
        <w:rPr>
          <w:spacing w:val="24"/>
        </w:rPr>
        <w:t> </w:t>
      </w:r>
      <w:r>
        <w:rPr/>
        <w:t>…</w:t>
      </w:r>
      <w:r>
        <w:rPr>
          <w:spacing w:val="24"/>
        </w:rPr>
        <w:t> </w:t>
      </w:r>
      <w:r>
        <w:rPr/>
        <w:t>to</w:t>
      </w:r>
      <w:r>
        <w:rPr>
          <w:spacing w:val="24"/>
        </w:rPr>
        <w:t> </w:t>
      </w:r>
      <w:r>
        <w:rPr/>
        <w:t>look</w:t>
      </w:r>
      <w:r>
        <w:rPr>
          <w:spacing w:val="24"/>
        </w:rPr>
        <w:t> </w:t>
      </w:r>
      <w:r>
        <w:rPr/>
        <w:t>to</w:t>
      </w:r>
      <w:r>
        <w:rPr>
          <w:spacing w:val="24"/>
        </w:rPr>
        <w:t> </w:t>
      </w:r>
      <w:r>
        <w:rPr/>
        <w:t>the</w:t>
      </w:r>
      <w:r>
        <w:rPr>
          <w:spacing w:val="24"/>
        </w:rPr>
        <w:t> </w:t>
      </w:r>
      <w:r>
        <w:rPr/>
        <w:t>contract</w:t>
      </w:r>
      <w:r>
        <w:rPr>
          <w:spacing w:val="24"/>
        </w:rPr>
        <w:t> </w:t>
      </w:r>
      <w:r>
        <w:rPr/>
        <w:t>between</w:t>
      </w:r>
      <w:r>
        <w:rPr>
          <w:spacing w:val="24"/>
        </w:rPr>
        <w:t> </w:t>
      </w:r>
      <w:r>
        <w:rPr/>
        <w:t>the</w:t>
      </w:r>
      <w:r>
        <w:rPr>
          <w:spacing w:val="24"/>
        </w:rPr>
        <w:t> </w:t>
      </w:r>
      <w:r>
        <w:rPr/>
        <w:t>parties</w:t>
      </w:r>
      <w:r>
        <w:rPr>
          <w:spacing w:val="24"/>
        </w:rPr>
        <w:t> </w:t>
      </w:r>
      <w:r>
        <w:rPr/>
        <w:t>to</w:t>
      </w:r>
      <w:r>
        <w:rPr>
          <w:spacing w:val="24"/>
        </w:rPr>
        <w:t> </w:t>
      </w:r>
      <w:r>
        <w:rPr/>
        <w:t>discover what was the obligation of the [insurer] with regard to reporting to the [assured].” </w:t>
      </w:r>
      <w:r>
        <w:rPr>
          <w:color w:val="005DA1"/>
          <w:u w:val="single" w:color="005DA1"/>
          <w:vertAlign w:val="superscript"/>
        </w:rPr>
        <w:t>1266</w:t>
      </w:r>
    </w:p>
    <w:p>
      <w:pPr>
        <w:pStyle w:val="BodyText"/>
        <w:spacing w:before="116"/>
      </w:pPr>
    </w:p>
    <w:p>
      <w:pPr>
        <w:pStyle w:val="BodyText"/>
        <w:spacing w:line="235" w:lineRule="auto"/>
        <w:ind w:left="165" w:right="167"/>
        <w:jc w:val="both"/>
      </w:pPr>
      <w:r>
        <w:rPr/>
        <w:t>Thus,</w:t>
      </w:r>
      <w:r>
        <w:rPr>
          <w:spacing w:val="-2"/>
        </w:rPr>
        <w:t> </w:t>
      </w:r>
      <w:r>
        <w:rPr/>
        <w:t>legal</w:t>
      </w:r>
      <w:r>
        <w:rPr>
          <w:spacing w:val="-2"/>
        </w:rPr>
        <w:t> </w:t>
      </w:r>
      <w:r>
        <w:rPr/>
        <w:t>recognition</w:t>
      </w:r>
      <w:r>
        <w:rPr>
          <w:spacing w:val="-2"/>
        </w:rPr>
        <w:t> </w:t>
      </w:r>
      <w:r>
        <w:rPr/>
        <w:t>of</w:t>
      </w:r>
      <w:r>
        <w:rPr>
          <w:spacing w:val="-2"/>
        </w:rPr>
        <w:t> </w:t>
      </w:r>
      <w:r>
        <w:rPr/>
        <w:t>a</w:t>
      </w:r>
      <w:r>
        <w:rPr>
          <w:spacing w:val="-2"/>
        </w:rPr>
        <w:t> </w:t>
      </w:r>
      <w:r>
        <w:rPr>
          <w:rFonts w:ascii="Arial"/>
          <w:i/>
        </w:rPr>
        <w:t>limited</w:t>
      </w:r>
      <w:r>
        <w:rPr>
          <w:rFonts w:ascii="Arial"/>
          <w:i/>
          <w:spacing w:val="-2"/>
        </w:rPr>
        <w:t> </w:t>
      </w:r>
      <w:r>
        <w:rPr/>
        <w:t>remedy</w:t>
      </w:r>
      <w:r>
        <w:rPr>
          <w:spacing w:val="-2"/>
        </w:rPr>
        <w:t> </w:t>
      </w:r>
      <w:r>
        <w:rPr/>
        <w:t>for</w:t>
      </w:r>
      <w:r>
        <w:rPr>
          <w:spacing w:val="-2"/>
        </w:rPr>
        <w:t> </w:t>
      </w:r>
      <w:r>
        <w:rPr/>
        <w:t>a</w:t>
      </w:r>
      <w:r>
        <w:rPr>
          <w:spacing w:val="-2"/>
        </w:rPr>
        <w:t> </w:t>
      </w:r>
      <w:r>
        <w:rPr/>
        <w:t>party</w:t>
      </w:r>
      <w:r>
        <w:rPr>
          <w:spacing w:val="-2"/>
        </w:rPr>
        <w:t> </w:t>
      </w:r>
      <w:r>
        <w:rPr/>
        <w:t>to</w:t>
      </w:r>
      <w:r>
        <w:rPr>
          <w:spacing w:val="-2"/>
        </w:rPr>
        <w:t> </w:t>
      </w:r>
      <w:r>
        <w:rPr/>
        <w:t>a</w:t>
      </w:r>
      <w:r>
        <w:rPr>
          <w:spacing w:val="-2"/>
        </w:rPr>
        <w:t> </w:t>
      </w:r>
      <w:r>
        <w:rPr/>
        <w:t>contract</w:t>
      </w:r>
      <w:r>
        <w:rPr>
          <w:spacing w:val="-2"/>
        </w:rPr>
        <w:t> </w:t>
      </w:r>
      <w:r>
        <w:rPr/>
        <w:t>for</w:t>
      </w:r>
      <w:r>
        <w:rPr>
          <w:spacing w:val="-2"/>
        </w:rPr>
        <w:t> </w:t>
      </w:r>
      <w:r>
        <w:rPr/>
        <w:t>breach</w:t>
      </w:r>
      <w:r>
        <w:rPr>
          <w:spacing w:val="-2"/>
        </w:rPr>
        <w:t> </w:t>
      </w:r>
      <w:r>
        <w:rPr/>
        <w:t>of</w:t>
      </w:r>
      <w:r>
        <w:rPr>
          <w:spacing w:val="-2"/>
        </w:rPr>
        <w:t> </w:t>
      </w:r>
      <w:r>
        <w:rPr/>
        <w:t>a</w:t>
      </w:r>
      <w:r>
        <w:rPr>
          <w:spacing w:val="-2"/>
        </w:rPr>
        <w:t> </w:t>
      </w:r>
      <w:r>
        <w:rPr/>
        <w:t>particular</w:t>
      </w:r>
      <w:r>
        <w:rPr>
          <w:spacing w:val="-2"/>
        </w:rPr>
        <w:t> </w:t>
      </w:r>
      <w:r>
        <w:rPr/>
        <w:t>legal</w:t>
      </w:r>
      <w:r>
        <w:rPr>
          <w:spacing w:val="-2"/>
        </w:rPr>
        <w:t> </w:t>
      </w:r>
      <w:r>
        <w:rPr/>
        <w:t>duty imposed</w:t>
      </w:r>
      <w:r>
        <w:rPr>
          <w:spacing w:val="-1"/>
        </w:rPr>
        <w:t> </w:t>
      </w:r>
      <w:r>
        <w:rPr/>
        <w:t>on</w:t>
      </w:r>
      <w:r>
        <w:rPr>
          <w:spacing w:val="-1"/>
        </w:rPr>
        <w:t> </w:t>
      </w:r>
      <w:r>
        <w:rPr/>
        <w:t>the</w:t>
      </w:r>
      <w:r>
        <w:rPr>
          <w:spacing w:val="-1"/>
        </w:rPr>
        <w:t> </w:t>
      </w:r>
      <w:r>
        <w:rPr/>
        <w:t>other</w:t>
      </w:r>
      <w:r>
        <w:rPr>
          <w:spacing w:val="-1"/>
        </w:rPr>
        <w:t> </w:t>
      </w:r>
      <w:r>
        <w:rPr/>
        <w:t>party,</w:t>
      </w:r>
      <w:r>
        <w:rPr>
          <w:spacing w:val="-1"/>
        </w:rPr>
        <w:t> </w:t>
      </w:r>
      <w:r>
        <w:rPr/>
        <w:t>was</w:t>
      </w:r>
      <w:r>
        <w:rPr>
          <w:spacing w:val="-1"/>
        </w:rPr>
        <w:t> </w:t>
      </w:r>
      <w:r>
        <w:rPr/>
        <w:t>seen</w:t>
      </w:r>
      <w:r>
        <w:rPr>
          <w:spacing w:val="-1"/>
        </w:rPr>
        <w:t> </w:t>
      </w:r>
      <w:r>
        <w:rPr/>
        <w:t>by</w:t>
      </w:r>
      <w:r>
        <w:rPr>
          <w:spacing w:val="-1"/>
        </w:rPr>
        <w:t> </w:t>
      </w:r>
      <w:r>
        <w:rPr/>
        <w:t>the</w:t>
      </w:r>
      <w:r>
        <w:rPr>
          <w:spacing w:val="-1"/>
        </w:rPr>
        <w:t> </w:t>
      </w:r>
      <w:r>
        <w:rPr/>
        <w:t>court</w:t>
      </w:r>
      <w:r>
        <w:rPr>
          <w:spacing w:val="-1"/>
        </w:rPr>
        <w:t> </w:t>
      </w:r>
      <w:r>
        <w:rPr/>
        <w:t>as</w:t>
      </w:r>
      <w:r>
        <w:rPr>
          <w:spacing w:val="-1"/>
        </w:rPr>
        <w:t> </w:t>
      </w:r>
      <w:r>
        <w:rPr/>
        <w:t>a</w:t>
      </w:r>
      <w:r>
        <w:rPr>
          <w:spacing w:val="-1"/>
        </w:rPr>
        <w:t> </w:t>
      </w:r>
      <w:r>
        <w:rPr/>
        <w:t>reason</w:t>
      </w:r>
      <w:r>
        <w:rPr>
          <w:spacing w:val="-1"/>
        </w:rPr>
        <w:t> </w:t>
      </w:r>
      <w:r>
        <w:rPr/>
        <w:t>for</w:t>
      </w:r>
      <w:r>
        <w:rPr>
          <w:spacing w:val="-1"/>
        </w:rPr>
        <w:t> </w:t>
      </w:r>
      <w:r>
        <w:rPr/>
        <w:t>refusing</w:t>
      </w:r>
      <w:r>
        <w:rPr>
          <w:spacing w:val="-1"/>
        </w:rPr>
        <w:t> </w:t>
      </w:r>
      <w:r>
        <w:rPr/>
        <w:t>to</w:t>
      </w:r>
      <w:r>
        <w:rPr>
          <w:spacing w:val="-1"/>
        </w:rPr>
        <w:t> </w:t>
      </w:r>
      <w:r>
        <w:rPr/>
        <w:t>impose</w:t>
      </w:r>
      <w:r>
        <w:rPr>
          <w:spacing w:val="-1"/>
        </w:rPr>
        <w:t> </w:t>
      </w:r>
      <w:r>
        <w:rPr/>
        <w:t>a</w:t>
      </w:r>
      <w:r>
        <w:rPr>
          <w:spacing w:val="-1"/>
        </w:rPr>
        <w:t> </w:t>
      </w:r>
      <w:r>
        <w:rPr/>
        <w:t>duty</w:t>
      </w:r>
      <w:r>
        <w:rPr>
          <w:spacing w:val="-1"/>
        </w:rPr>
        <w:t> </w:t>
      </w:r>
      <w:r>
        <w:rPr/>
        <w:t>of</w:t>
      </w:r>
      <w:r>
        <w:rPr>
          <w:spacing w:val="-1"/>
        </w:rPr>
        <w:t> </w:t>
      </w:r>
      <w:r>
        <w:rPr/>
        <w:t>care</w:t>
      </w:r>
      <w:r>
        <w:rPr>
          <w:spacing w:val="-1"/>
        </w:rPr>
        <w:t> </w:t>
      </w:r>
      <w:r>
        <w:rPr/>
        <w:t>in the tort of negligence so as to give an </w:t>
      </w:r>
      <w:r>
        <w:rPr>
          <w:rFonts w:ascii="Arial"/>
          <w:i/>
        </w:rPr>
        <w:t>additional </w:t>
      </w:r>
      <w:r>
        <w:rPr/>
        <w:t>remedy.</w:t>
      </w:r>
    </w:p>
    <w:p>
      <w:pPr>
        <w:pStyle w:val="BodyText"/>
        <w:spacing w:before="80"/>
      </w:pPr>
    </w:p>
    <w:p>
      <w:pPr>
        <w:spacing w:before="0"/>
        <w:ind w:left="165" w:right="0" w:firstLine="0"/>
        <w:jc w:val="left"/>
        <w:rPr>
          <w:rFonts w:ascii="Arial"/>
          <w:b/>
          <w:sz w:val="24"/>
        </w:rPr>
      </w:pPr>
      <w:r>
        <w:rPr>
          <w:rFonts w:ascii="Arial"/>
          <w:b/>
          <w:sz w:val="24"/>
        </w:rPr>
        <w:t>1-</w:t>
      </w:r>
      <w:r>
        <w:rPr>
          <w:rFonts w:ascii="Arial"/>
          <w:b/>
          <w:spacing w:val="-5"/>
          <w:sz w:val="24"/>
        </w:rPr>
        <w:t>185</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It should be noted, however, that </w:t>
      </w:r>
      <w:r>
        <w:rPr>
          <w:rFonts w:ascii="Arial"/>
          <w:i/>
        </w:rPr>
        <w:t>Bank of Nova Scotia </w:t>
      </w:r>
      <w:r>
        <w:rPr/>
        <w:t>was decided before the decision of the House of Lords in </w:t>
      </w:r>
      <w:r>
        <w:rPr>
          <w:rFonts w:ascii="Arial"/>
          <w:i/>
        </w:rPr>
        <w:t>Henderson v Merrett Syndicates Ltd </w:t>
      </w:r>
      <w:r>
        <w:rPr>
          <w:color w:val="005DA1"/>
          <w:u w:val="single" w:color="005DA1"/>
          <w:vertAlign w:val="superscript"/>
        </w:rPr>
        <w:t>1267</w:t>
      </w:r>
      <w:r>
        <w:rPr>
          <w:color w:val="005DA1"/>
          <w:vertAlign w:val="baseline"/>
        </w:rPr>
        <w:t> </w:t>
      </w:r>
      <w:r>
        <w:rPr>
          <w:vertAlign w:val="baseline"/>
        </w:rPr>
        <w:t>and therefore at a time when </w:t>
      </w:r>
      <w:r>
        <w:rPr>
          <w:rFonts w:ascii="Arial"/>
          <w:i/>
          <w:vertAlign w:val="baseline"/>
        </w:rPr>
        <w:t>Tai Hing Cotton Mill Ltd v Liu Chong Hing Bank Ltd</w:t>
      </w:r>
      <w:r>
        <w:rPr>
          <w:rFonts w:ascii="Arial"/>
          <w:i/>
          <w:spacing w:val="-1"/>
          <w:vertAlign w:val="baseline"/>
        </w:rPr>
        <w:t> </w:t>
      </w:r>
      <w:r>
        <w:rPr>
          <w:color w:val="005DA1"/>
          <w:u w:val="single" w:color="005DA1"/>
          <w:vertAlign w:val="superscript"/>
        </w:rPr>
        <w:t>1268</w:t>
      </w:r>
      <w:r>
        <w:rPr>
          <w:color w:val="005DA1"/>
          <w:vertAlign w:val="baseline"/>
        </w:rPr>
        <w:t> </w:t>
      </w:r>
      <w:r>
        <w:rPr>
          <w:vertAlign w:val="baseline"/>
        </w:rPr>
        <w:t>was still seen as an authority against allowing a liability in tort (at least for economic loss) to be relied on by one party to a contract against the other and some of these dicta should be seen in this light. </w:t>
      </w:r>
      <w:r>
        <w:rPr>
          <w:color w:val="005DA1"/>
          <w:u w:val="single" w:color="005DA1"/>
          <w:vertAlign w:val="superscript"/>
        </w:rPr>
        <w:t>1269</w:t>
      </w:r>
      <w:r>
        <w:rPr>
          <w:color w:val="005DA1"/>
          <w:vertAlign w:val="baseline"/>
        </w:rPr>
        <w:t> </w:t>
      </w:r>
      <w:r>
        <w:rPr>
          <w:vertAlign w:val="baseline"/>
        </w:rPr>
        <w:t>While it would be open to a future court simply to distinguish the decision on this basis, it is submitted that it is more likely that the latter will be interpreted as an illustration of the proposition that new or doubtful liabilities in tort should not be imposed between parties to a contract where to do so would subvert the policy of the law of contract as reflected in its grant of a more limited remedy than recognition of the tort would entail. Such a proposition could be seen as the reflection of the idea that any liability in tort between the parties to a contract should not be inconsistent with that contract or, more directly, as constituting a consideration of</w:t>
      </w:r>
      <w:r>
        <w:rPr>
          <w:spacing w:val="-2"/>
          <w:vertAlign w:val="baseline"/>
        </w:rPr>
        <w:t> </w:t>
      </w:r>
      <w:r>
        <w:rPr>
          <w:vertAlign w:val="baseline"/>
        </w:rPr>
        <w:t>policy</w:t>
      </w:r>
      <w:r>
        <w:rPr>
          <w:spacing w:val="-2"/>
          <w:vertAlign w:val="baseline"/>
        </w:rPr>
        <w:t> </w:t>
      </w:r>
      <w:r>
        <w:rPr>
          <w:vertAlign w:val="baseline"/>
        </w:rPr>
        <w:t>arguing</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rejection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duty</w:t>
      </w:r>
      <w:r>
        <w:rPr>
          <w:spacing w:val="-2"/>
          <w:vertAlign w:val="baseline"/>
        </w:rPr>
        <w:t> </w:t>
      </w:r>
      <w:r>
        <w:rPr>
          <w:vertAlign w:val="baseline"/>
        </w:rPr>
        <w:t>of</w:t>
      </w:r>
      <w:r>
        <w:rPr>
          <w:spacing w:val="-2"/>
          <w:vertAlign w:val="baseline"/>
        </w:rPr>
        <w:t> </w:t>
      </w:r>
      <w:r>
        <w:rPr>
          <w:vertAlign w:val="baseline"/>
        </w:rPr>
        <w:t>care</w:t>
      </w:r>
      <w:r>
        <w:rPr>
          <w:spacing w:val="-2"/>
          <w:vertAlign w:val="baseline"/>
        </w:rPr>
        <w:t> </w:t>
      </w:r>
      <w:r>
        <w:rPr>
          <w:vertAlign w:val="baseline"/>
        </w:rPr>
        <w:t>in</w:t>
      </w:r>
      <w:r>
        <w:rPr>
          <w:spacing w:val="-2"/>
          <w:vertAlign w:val="baseline"/>
        </w:rPr>
        <w:t> </w:t>
      </w:r>
      <w:r>
        <w:rPr>
          <w:vertAlign w:val="baseline"/>
        </w:rPr>
        <w:t>tort.</w:t>
      </w:r>
      <w:r>
        <w:rPr>
          <w:spacing w:val="-3"/>
          <w:vertAlign w:val="baseline"/>
        </w:rPr>
        <w:t> </w:t>
      </w:r>
      <w:r>
        <w:rPr>
          <w:color w:val="005DA1"/>
          <w:u w:val="single" w:color="005DA1"/>
          <w:vertAlign w:val="superscript"/>
        </w:rPr>
        <w:t>1270</w:t>
      </w:r>
      <w:r>
        <w:rPr>
          <w:color w:val="005DA1"/>
          <w:spacing w:val="-3"/>
          <w:vertAlign w:val="baseline"/>
        </w:rPr>
        <w:t> </w:t>
      </w:r>
      <w:r>
        <w:rPr>
          <w:vertAlign w:val="baseline"/>
        </w:rPr>
        <w:t>So,</w:t>
      </w:r>
      <w:r>
        <w:rPr>
          <w:spacing w:val="-2"/>
          <w:vertAlign w:val="baseline"/>
        </w:rPr>
        <w:t> </w:t>
      </w:r>
      <w:r>
        <w:rPr>
          <w:vertAlign w:val="baseline"/>
        </w:rPr>
        <w:t>for</w:t>
      </w:r>
      <w:r>
        <w:rPr>
          <w:spacing w:val="-2"/>
          <w:vertAlign w:val="baseline"/>
        </w:rPr>
        <w:t> </w:t>
      </w:r>
      <w:r>
        <w:rPr>
          <w:vertAlign w:val="baseline"/>
        </w:rPr>
        <w:t>example,</w:t>
      </w:r>
      <w:r>
        <w:rPr>
          <w:spacing w:val="-2"/>
          <w:vertAlign w:val="baseline"/>
        </w:rPr>
        <w:t> </w:t>
      </w:r>
      <w:r>
        <w:rPr>
          <w:vertAlign w:val="baseline"/>
        </w:rPr>
        <w:t>in</w:t>
      </w:r>
      <w:r>
        <w:rPr>
          <w:spacing w:val="-3"/>
          <w:vertAlign w:val="baseline"/>
        </w:rPr>
        <w:t> </w:t>
      </w:r>
      <w:r>
        <w:rPr>
          <w:rFonts w:ascii="Arial"/>
          <w:i/>
          <w:vertAlign w:val="baseline"/>
        </w:rPr>
        <w:t>Johnson</w:t>
      </w:r>
      <w:r>
        <w:rPr>
          <w:rFonts w:ascii="Arial"/>
          <w:i/>
          <w:spacing w:val="-2"/>
          <w:vertAlign w:val="baseline"/>
        </w:rPr>
        <w:t> </w:t>
      </w:r>
      <w:r>
        <w:rPr>
          <w:rFonts w:ascii="Arial"/>
          <w:i/>
          <w:vertAlign w:val="baseline"/>
        </w:rPr>
        <w:t>v</w:t>
      </w:r>
      <w:r>
        <w:rPr>
          <w:rFonts w:ascii="Arial"/>
          <w:i/>
          <w:spacing w:val="-2"/>
          <w:vertAlign w:val="baseline"/>
        </w:rPr>
        <w:t> </w:t>
      </w:r>
      <w:r>
        <w:rPr>
          <w:rFonts w:ascii="Arial"/>
          <w:i/>
          <w:vertAlign w:val="baseline"/>
        </w:rPr>
        <w:t>Unisys</w:t>
      </w:r>
      <w:r>
        <w:rPr>
          <w:rFonts w:ascii="Arial"/>
          <w:i/>
          <w:spacing w:val="-2"/>
          <w:vertAlign w:val="baseline"/>
        </w:rPr>
        <w:t> </w:t>
      </w:r>
      <w:r>
        <w:rPr>
          <w:rFonts w:ascii="Arial"/>
          <w:i/>
          <w:vertAlign w:val="baseline"/>
        </w:rPr>
        <w:t>Ltd </w:t>
      </w:r>
      <w:r>
        <w:rPr>
          <w:color w:val="005DA1"/>
          <w:u w:val="single" w:color="005DA1"/>
          <w:vertAlign w:val="superscript"/>
        </w:rPr>
        <w:t>1271</w:t>
      </w:r>
      <w:r>
        <w:rPr>
          <w:color w:val="005DA1"/>
          <w:vertAlign w:val="baseline"/>
        </w:rPr>
        <w:t> </w:t>
      </w:r>
      <w:r>
        <w:rPr>
          <w:vertAlign w:val="baseline"/>
        </w:rPr>
        <w:t>a majority of the House of Lords held that a claim for damages by an employee for breach of contract for the manner of his dismissal by his employer had rightly been struck out as disclosing no reasonable cause of action on the basis that any implied term concerning the manner of dismissal would be inconsistent with the statutory scheme of unfair dismissal put in place by Parliament. Lord Hoffmann considered that the same reasoning precluded any imposition of a duty of care in the tort of negligence and observed that:</w:t>
      </w:r>
    </w:p>
    <w:p>
      <w:pPr>
        <w:pStyle w:val="BodyText"/>
      </w:pPr>
    </w:p>
    <w:p>
      <w:pPr>
        <w:pStyle w:val="BodyText"/>
        <w:spacing w:before="120"/>
      </w:pPr>
    </w:p>
    <w:p>
      <w:pPr>
        <w:pStyle w:val="BodyText"/>
        <w:spacing w:line="235" w:lineRule="auto"/>
        <w:ind w:left="1245" w:right="167"/>
        <w:jc w:val="both"/>
      </w:pPr>
      <w:r>
        <w:rPr/>
        <w:t>“It is of course true that a duty of care can exist independently of the contractual relationship. But the grounds upon which … it would be wrong to impose an implied contractual duty would make it equally wrong to achieve the same result by the </w:t>
      </w:r>
      <w:r>
        <w:rPr>
          <w:spacing w:val="-2"/>
        </w:rPr>
        <w:t>imposition</w:t>
      </w:r>
    </w:p>
    <w:p>
      <w:pPr>
        <w:pStyle w:val="BodyText"/>
        <w:spacing w:before="115"/>
        <w:ind w:left="1245"/>
        <w:jc w:val="both"/>
        <w:rPr>
          <w:position w:val="-2"/>
        </w:rPr>
      </w:pPr>
      <w:r>
        <w:rPr/>
        <w:t>of a duty of care.” </w:t>
      </w:r>
      <w:r>
        <w:rPr>
          <w:color w:val="005DA1"/>
          <w:u w:val="single" w:color="005DA1"/>
          <w:vertAlign w:val="superscript"/>
        </w:rPr>
        <w:t>1272</w:t>
      </w:r>
      <w:r>
        <w:rPr>
          <w:color w:val="005DA1"/>
          <w:spacing w:val="80"/>
          <w:w w:val="150"/>
          <w:vertAlign w:val="baseline"/>
        </w:rPr>
        <w:t> </w:t>
      </w:r>
      <w:r>
        <w:rPr>
          <w:color w:val="005DA1"/>
          <w:position w:val="-2"/>
          <w:vertAlign w:val="baseline"/>
        </w:rPr>
        <w:drawing>
          <wp:inline distT="0" distB="0" distL="0" distR="0">
            <wp:extent cx="107988" cy="107988"/>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rPr>
          <w:sz w:val="18"/>
        </w:rPr>
      </w:pPr>
    </w:p>
    <w:p>
      <w:pPr>
        <w:pStyle w:val="BodyText"/>
        <w:rPr>
          <w:sz w:val="18"/>
        </w:rPr>
      </w:pPr>
    </w:p>
    <w:p>
      <w:pPr>
        <w:pStyle w:val="BodyText"/>
        <w:spacing w:before="16"/>
        <w:rPr>
          <w:sz w:val="18"/>
        </w:rPr>
      </w:pPr>
    </w:p>
    <w:p>
      <w:pPr>
        <w:spacing w:before="0"/>
        <w:ind w:left="165" w:right="0" w:firstLine="0"/>
        <w:jc w:val="left"/>
        <w:rPr>
          <w:rFonts w:ascii="Arial"/>
          <w:b/>
          <w:sz w:val="18"/>
        </w:rPr>
      </w:pPr>
      <w:r>
        <w:rPr>
          <w:rFonts w:ascii="Arial"/>
          <w:b/>
          <w:sz w:val="18"/>
        </w:rPr>
        <w:t>Contractual </w:t>
      </w:r>
      <w:r>
        <w:rPr>
          <w:rFonts w:ascii="Arial"/>
          <w:b/>
          <w:spacing w:val="-2"/>
          <w:sz w:val="18"/>
        </w:rPr>
        <w:t>silence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186</w:t>
      </w:r>
    </w:p>
    <w:p>
      <w:pPr>
        <w:pStyle w:val="BodyText"/>
        <w:spacing w:line="235" w:lineRule="auto" w:before="202"/>
        <w:ind w:left="165" w:right="167"/>
        <w:jc w:val="both"/>
      </w:pPr>
      <w:r>
        <w:rPr/>
        <w:t>In the preceding situations, either the contract’s terms or the law itself has regulated the obligation </w:t>
      </w:r>
      <w:r>
        <w:rPr/>
        <w:t>or liability imposed on the defendant. More difficult has been the case where the contract is silent as to an issue which is allegedly governed by a tort, for silence is ambiguous: where the parties have not provided for a certain issue, this can mean either that they did not address that issue, even implicitly, or it can mean that they consciously chose </w:t>
      </w:r>
      <w:r>
        <w:rPr>
          <w:rFonts w:ascii="Arial" w:hAnsi="Arial"/>
          <w:i/>
        </w:rPr>
        <w:t>not </w:t>
      </w:r>
      <w:r>
        <w:rPr/>
        <w:t>to provide for that issue. </w:t>
      </w:r>
      <w:r>
        <w:rPr>
          <w:color w:val="005DA1"/>
          <w:u w:val="single" w:color="005DA1"/>
          <w:vertAlign w:val="superscript"/>
        </w:rPr>
        <w:t>1273</w:t>
      </w:r>
      <w:r>
        <w:rPr>
          <w:color w:val="005DA1"/>
          <w:vertAlign w:val="baseline"/>
        </w:rPr>
        <w:t> </w:t>
      </w:r>
      <w:r>
        <w:rPr>
          <w:vertAlign w:val="baseline"/>
        </w:rPr>
        <w:t>The typical case in which this problem has arisen has been where a contract has been held not to contain a relevant implied term and so the claimant has sued instead in the tort of negligence. Clearly, the choice for a court is whether to hold that the contract’s silence excludes the recognition of any liability in tort, or, conversely, that it has no effect on the recognition of any liability in tort, which arises or does not arise according to its own rules. The acceptance by the House of Lords in </w:t>
      </w:r>
      <w:r>
        <w:rPr>
          <w:rFonts w:ascii="Arial" w:hAnsi="Arial"/>
          <w:i/>
          <w:vertAlign w:val="baseline"/>
        </w:rPr>
        <w:t>Henderson v Merrett Syndicates Ltd </w:t>
      </w:r>
      <w:r>
        <w:rPr>
          <w:vertAlign w:val="baseline"/>
        </w:rPr>
        <w:t>of the general rule that a party to a contract may rely on a tort committed by the other party even</w:t>
      </w:r>
      <w:r>
        <w:rPr>
          <w:spacing w:val="40"/>
          <w:vertAlign w:val="baseline"/>
        </w:rPr>
        <w:t> </w:t>
      </w:r>
      <w:r>
        <w:rPr>
          <w:vertAlign w:val="baseline"/>
        </w:rPr>
        <w:t>in the course of performance of the contract would appear at first sight to have settled this question in favour of the latter position, but, as been already noted, that same decision’s acceptance of the</w:t>
      </w:r>
      <w:r>
        <w:rPr>
          <w:spacing w:val="40"/>
          <w:vertAlign w:val="baseline"/>
        </w:rPr>
        <w:t> </w:t>
      </w:r>
      <w:r>
        <w:rPr>
          <w:vertAlign w:val="baseline"/>
        </w:rPr>
        <w:t>“broad</w:t>
      </w:r>
      <w:r>
        <w:rPr>
          <w:spacing w:val="-3"/>
          <w:vertAlign w:val="baseline"/>
        </w:rPr>
        <w:t> </w:t>
      </w:r>
      <w:r>
        <w:rPr>
          <w:vertAlign w:val="baseline"/>
        </w:rPr>
        <w:t>principle”</w:t>
      </w:r>
      <w:r>
        <w:rPr>
          <w:spacing w:val="-3"/>
          <w:vertAlign w:val="baseline"/>
        </w:rPr>
        <w:t> </w:t>
      </w:r>
      <w:r>
        <w:rPr>
          <w:vertAlign w:val="baseline"/>
        </w:rPr>
        <w:t>of</w:t>
      </w:r>
      <w:r>
        <w:rPr>
          <w:spacing w:val="-3"/>
          <w:vertAlign w:val="baseline"/>
        </w:rPr>
        <w:t> </w:t>
      </w:r>
      <w:r>
        <w:rPr>
          <w:vertAlign w:val="baseline"/>
        </w:rPr>
        <w:t>assumption</w:t>
      </w:r>
      <w:r>
        <w:rPr>
          <w:spacing w:val="-3"/>
          <w:vertAlign w:val="baseline"/>
        </w:rPr>
        <w:t> </w:t>
      </w:r>
      <w:r>
        <w:rPr>
          <w:vertAlign w:val="baseline"/>
        </w:rPr>
        <w:t>of</w:t>
      </w:r>
      <w:r>
        <w:rPr>
          <w:spacing w:val="-3"/>
          <w:vertAlign w:val="baseline"/>
        </w:rPr>
        <w:t> </w:t>
      </w:r>
      <w:r>
        <w:rPr>
          <w:vertAlign w:val="baseline"/>
        </w:rPr>
        <w:t>responsibility</w:t>
      </w:r>
      <w:r>
        <w:rPr>
          <w:spacing w:val="-3"/>
          <w:vertAlign w:val="baseline"/>
        </w:rPr>
        <w:t> </w:t>
      </w:r>
      <w:r>
        <w:rPr>
          <w:vertAlign w:val="baseline"/>
        </w:rPr>
        <w:t>drawn</w:t>
      </w:r>
      <w:r>
        <w:rPr>
          <w:spacing w:val="-3"/>
          <w:vertAlign w:val="baseline"/>
        </w:rPr>
        <w:t> </w:t>
      </w:r>
      <w:r>
        <w:rPr>
          <w:vertAlign w:val="baseline"/>
        </w:rPr>
        <w:t>from</w:t>
      </w:r>
      <w:r>
        <w:rPr>
          <w:spacing w:val="-3"/>
          <w:vertAlign w:val="baseline"/>
        </w:rPr>
        <w:t> </w:t>
      </w:r>
      <w:r>
        <w:rPr>
          <w:rFonts w:ascii="Arial" w:hAnsi="Arial"/>
          <w:i/>
          <w:vertAlign w:val="baseline"/>
        </w:rPr>
        <w:t>Hedley</w:t>
      </w:r>
      <w:r>
        <w:rPr>
          <w:rFonts w:ascii="Arial" w:hAnsi="Arial"/>
          <w:i/>
          <w:spacing w:val="-3"/>
          <w:vertAlign w:val="baseline"/>
        </w:rPr>
        <w:t> </w:t>
      </w:r>
      <w:r>
        <w:rPr>
          <w:rFonts w:ascii="Arial" w:hAnsi="Arial"/>
          <w:i/>
          <w:vertAlign w:val="baseline"/>
        </w:rPr>
        <w:t>Byrne</w:t>
      </w:r>
      <w:r>
        <w:rPr>
          <w:rFonts w:ascii="Arial" w:hAnsi="Arial"/>
          <w:i/>
          <w:spacing w:val="-3"/>
          <w:vertAlign w:val="baseline"/>
        </w:rPr>
        <w:t> </w:t>
      </w:r>
      <w:r>
        <w:rPr>
          <w:vertAlign w:val="baseline"/>
        </w:rPr>
        <w:t>reintroduces</w:t>
      </w:r>
      <w:r>
        <w:rPr>
          <w:spacing w:val="-3"/>
          <w:vertAlign w:val="baseline"/>
        </w:rPr>
        <w:t> </w:t>
      </w:r>
      <w:r>
        <w:rPr>
          <w:vertAlign w:val="baseline"/>
        </w:rPr>
        <w:t>the</w:t>
      </w:r>
      <w:r>
        <w:rPr>
          <w:spacing w:val="-3"/>
          <w:vertAlign w:val="baseline"/>
        </w:rPr>
        <w:t> </w:t>
      </w:r>
      <w:r>
        <w:rPr>
          <w:vertAlign w:val="baseline"/>
        </w:rPr>
        <w:t>question</w:t>
      </w:r>
      <w:r>
        <w:rPr>
          <w:spacing w:val="-3"/>
          <w:vertAlign w:val="baseline"/>
        </w:rPr>
        <w:t> </w:t>
      </w:r>
      <w:r>
        <w:rPr>
          <w:vertAlign w:val="baseline"/>
        </w:rPr>
        <w:t>in this</w:t>
      </w:r>
      <w:r>
        <w:rPr>
          <w:spacing w:val="20"/>
          <w:vertAlign w:val="baseline"/>
        </w:rPr>
        <w:t> </w:t>
      </w:r>
      <w:r>
        <w:rPr>
          <w:vertAlign w:val="baseline"/>
        </w:rPr>
        <w:t>particular</w:t>
      </w:r>
      <w:r>
        <w:rPr>
          <w:spacing w:val="20"/>
          <w:vertAlign w:val="baseline"/>
        </w:rPr>
        <w:t> </w:t>
      </w:r>
      <w:r>
        <w:rPr>
          <w:vertAlign w:val="baseline"/>
        </w:rPr>
        <w:t>context.</w:t>
      </w:r>
      <w:r>
        <w:rPr>
          <w:spacing w:val="20"/>
          <w:vertAlign w:val="baseline"/>
        </w:rPr>
        <w:t> </w:t>
      </w:r>
      <w:r>
        <w:rPr>
          <w:vertAlign w:val="baseline"/>
        </w:rPr>
        <w:t>The</w:t>
      </w:r>
      <w:r>
        <w:rPr>
          <w:spacing w:val="20"/>
          <w:vertAlign w:val="baseline"/>
        </w:rPr>
        <w:t> </w:t>
      </w:r>
      <w:r>
        <w:rPr>
          <w:vertAlign w:val="baseline"/>
        </w:rPr>
        <w:t>following</w:t>
      </w:r>
      <w:r>
        <w:rPr>
          <w:spacing w:val="20"/>
          <w:vertAlign w:val="baseline"/>
        </w:rPr>
        <w:t> </w:t>
      </w:r>
      <w:r>
        <w:rPr>
          <w:vertAlign w:val="baseline"/>
        </w:rPr>
        <w:t>will,</w:t>
      </w:r>
      <w:r>
        <w:rPr>
          <w:spacing w:val="20"/>
          <w:vertAlign w:val="baseline"/>
        </w:rPr>
        <w:t> </w:t>
      </w:r>
      <w:r>
        <w:rPr>
          <w:vertAlign w:val="baseline"/>
        </w:rPr>
        <w:t>therefore,</w:t>
      </w:r>
      <w:r>
        <w:rPr>
          <w:spacing w:val="20"/>
          <w:vertAlign w:val="baseline"/>
        </w:rPr>
        <w:t> </w:t>
      </w:r>
      <w:r>
        <w:rPr>
          <w:vertAlign w:val="baseline"/>
        </w:rPr>
        <w:t>look</w:t>
      </w:r>
      <w:r>
        <w:rPr>
          <w:spacing w:val="20"/>
          <w:vertAlign w:val="baseline"/>
        </w:rPr>
        <w:t> </w:t>
      </w:r>
      <w:r>
        <w:rPr>
          <w:vertAlign w:val="baseline"/>
        </w:rPr>
        <w:t>first</w:t>
      </w:r>
      <w:r>
        <w:rPr>
          <w:spacing w:val="20"/>
          <w:vertAlign w:val="baseline"/>
        </w:rPr>
        <w:t> </w:t>
      </w:r>
      <w:r>
        <w:rPr>
          <w:vertAlign w:val="baseline"/>
        </w:rPr>
        <w:t>at</w:t>
      </w:r>
      <w:r>
        <w:rPr>
          <w:spacing w:val="20"/>
          <w:vertAlign w:val="baseline"/>
        </w:rPr>
        <w:t> </w:t>
      </w:r>
      <w:r>
        <w:rPr>
          <w:vertAlign w:val="baseline"/>
        </w:rPr>
        <w:t>the</w:t>
      </w:r>
      <w:r>
        <w:rPr>
          <w:spacing w:val="20"/>
          <w:vertAlign w:val="baseline"/>
        </w:rPr>
        <w:t> </w:t>
      </w:r>
      <w:r>
        <w:rPr>
          <w:vertAlign w:val="baseline"/>
        </w:rPr>
        <w:t>general</w:t>
      </w:r>
      <w:r>
        <w:rPr>
          <w:spacing w:val="20"/>
          <w:vertAlign w:val="baseline"/>
        </w:rPr>
        <w:t> </w:t>
      </w:r>
      <w:r>
        <w:rPr>
          <w:vertAlign w:val="baseline"/>
        </w:rPr>
        <w:t>position</w:t>
      </w:r>
      <w:r>
        <w:rPr>
          <w:spacing w:val="20"/>
          <w:vertAlign w:val="baseline"/>
        </w:rPr>
        <w:t> </w:t>
      </w:r>
      <w:r>
        <w:rPr>
          <w:vertAlign w:val="baseline"/>
        </w:rPr>
        <w:t>and</w:t>
      </w:r>
      <w:r>
        <w:rPr>
          <w:spacing w:val="20"/>
          <w:vertAlign w:val="baseline"/>
        </w:rPr>
        <w:t> </w:t>
      </w:r>
      <w:r>
        <w:rPr>
          <w:vertAlign w:val="baseline"/>
        </w:rPr>
        <w:t>then</w:t>
      </w:r>
      <w:r>
        <w:rPr>
          <w:spacing w:val="20"/>
          <w:vertAlign w:val="baseline"/>
        </w:rPr>
        <w:t> </w:t>
      </w:r>
      <w:r>
        <w:rPr>
          <w:vertAlign w:val="baseline"/>
        </w:rPr>
        <w:t>at</w:t>
      </w:r>
      <w:r>
        <w:rPr>
          <w:spacing w:val="20"/>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approach taken by the courts to the question of tortious “assumptions of responsibility” between parties to a contract which is silent as to the issue on which the assumption is alleged to have been </w:t>
      </w:r>
      <w:r>
        <w:rPr>
          <w:spacing w:val="-2"/>
        </w:rPr>
        <w:t>made.</w:t>
      </w:r>
    </w:p>
    <w:p>
      <w:pPr>
        <w:pStyle w:val="BodyText"/>
      </w:pPr>
    </w:p>
    <w:p>
      <w:pPr>
        <w:pStyle w:val="BodyText"/>
        <w:spacing w:before="38"/>
      </w:pPr>
    </w:p>
    <w:p>
      <w:pPr>
        <w:spacing w:before="0"/>
        <w:ind w:left="165" w:right="0" w:firstLine="0"/>
        <w:jc w:val="both"/>
        <w:rPr>
          <w:rFonts w:ascii="Arial"/>
          <w:b/>
          <w:sz w:val="18"/>
        </w:rPr>
      </w:pPr>
      <w:r>
        <w:rPr>
          <w:rFonts w:ascii="Arial"/>
          <w:b/>
          <w:sz w:val="18"/>
        </w:rPr>
        <w:t>The general </w:t>
      </w:r>
      <w:r>
        <w:rPr>
          <w:rFonts w:ascii="Arial"/>
          <w:b/>
          <w:spacing w:val="-2"/>
          <w:sz w:val="18"/>
        </w:rPr>
        <w:t>position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187</w:t>
      </w:r>
    </w:p>
    <w:p>
      <w:pPr>
        <w:pStyle w:val="BodyText"/>
        <w:spacing w:line="235" w:lineRule="auto" w:before="203"/>
        <w:ind w:left="164" w:right="167"/>
        <w:jc w:val="both"/>
      </w:pPr>
      <w:r>
        <w:rPr/>
        <w:t>In </w:t>
      </w:r>
      <w:r>
        <w:rPr>
          <w:rFonts w:ascii="Arial" w:hAnsi="Arial"/>
          <w:i/>
        </w:rPr>
        <w:t>Henderson v Merrett Syndicates Ltd </w:t>
      </w:r>
      <w:r>
        <w:rPr/>
        <w:t>it was held, inter alia, that a party to a contract may rely on a tort committed by the other party, as long as doing so is not inconsistent with its express or </w:t>
      </w:r>
      <w:r>
        <w:rPr/>
        <w:t>implied terms:</w:t>
      </w:r>
      <w:r>
        <w:rPr>
          <w:spacing w:val="-1"/>
        </w:rPr>
        <w:t> </w:t>
      </w:r>
      <w:r>
        <w:rPr/>
        <w:t>contract</w:t>
      </w:r>
      <w:r>
        <w:rPr>
          <w:spacing w:val="-1"/>
        </w:rPr>
        <w:t> </w:t>
      </w:r>
      <w:r>
        <w:rPr/>
        <w:t>does</w:t>
      </w:r>
      <w:r>
        <w:rPr>
          <w:spacing w:val="-1"/>
        </w:rPr>
        <w:t> </w:t>
      </w:r>
      <w:r>
        <w:rPr/>
        <w:t>not</w:t>
      </w:r>
      <w:r>
        <w:rPr>
          <w:spacing w:val="-1"/>
        </w:rPr>
        <w:t> </w:t>
      </w:r>
      <w:r>
        <w:rPr/>
        <w:t>necessarily</w:t>
      </w:r>
      <w:r>
        <w:rPr>
          <w:spacing w:val="-1"/>
        </w:rPr>
        <w:t> </w:t>
      </w:r>
      <w:r>
        <w:rPr/>
        <w:t>exclude</w:t>
      </w:r>
      <w:r>
        <w:rPr>
          <w:spacing w:val="-1"/>
        </w:rPr>
        <w:t> </w:t>
      </w:r>
      <w:r>
        <w:rPr/>
        <w:t>tort.</w:t>
      </w:r>
      <w:r>
        <w:rPr>
          <w:spacing w:val="-1"/>
        </w:rPr>
        <w:t> </w:t>
      </w:r>
      <w:r>
        <w:rPr>
          <w:color w:val="005DA1"/>
          <w:u w:val="single" w:color="005DA1"/>
          <w:vertAlign w:val="superscript"/>
        </w:rPr>
        <w:t>1274</w:t>
      </w:r>
      <w:r>
        <w:rPr>
          <w:color w:val="005DA1"/>
          <w:spacing w:val="-1"/>
          <w:vertAlign w:val="baseline"/>
        </w:rPr>
        <w:t> </w:t>
      </w:r>
      <w:r>
        <w:rPr>
          <w:vertAlign w:val="baseline"/>
        </w:rPr>
        <w:t>While</w:t>
      </w:r>
      <w:r>
        <w:rPr>
          <w:spacing w:val="-1"/>
          <w:vertAlign w:val="baseline"/>
        </w:rPr>
        <w:t> </w:t>
      </w:r>
      <w:r>
        <w:rPr>
          <w:rFonts w:ascii="Arial" w:hAnsi="Arial"/>
          <w:i/>
          <w:vertAlign w:val="baseline"/>
        </w:rPr>
        <w:t>Henderson</w:t>
      </w:r>
      <w:r>
        <w:rPr>
          <w:rFonts w:ascii="Arial" w:hAnsi="Arial"/>
          <w:i/>
          <w:spacing w:val="-1"/>
          <w:vertAlign w:val="baseline"/>
        </w:rPr>
        <w:t> </w:t>
      </w:r>
      <w:r>
        <w:rPr>
          <w:vertAlign w:val="baseline"/>
        </w:rPr>
        <w:t>itself</w:t>
      </w:r>
      <w:r>
        <w:rPr>
          <w:spacing w:val="-1"/>
          <w:vertAlign w:val="baseline"/>
        </w:rPr>
        <w:t> </w:t>
      </w:r>
      <w:r>
        <w:rPr>
          <w:vertAlign w:val="baseline"/>
        </w:rPr>
        <w:t>concerned</w:t>
      </w:r>
      <w:r>
        <w:rPr>
          <w:spacing w:val="-1"/>
          <w:vertAlign w:val="baseline"/>
        </w:rPr>
        <w:t> </w:t>
      </w:r>
      <w:r>
        <w:rPr>
          <w:vertAlign w:val="baseline"/>
        </w:rPr>
        <w:t>a</w:t>
      </w:r>
      <w:r>
        <w:rPr>
          <w:spacing w:val="-1"/>
          <w:vertAlign w:val="baseline"/>
        </w:rPr>
        <w:t> </w:t>
      </w:r>
      <w:r>
        <w:rPr>
          <w:vertAlign w:val="baseline"/>
        </w:rPr>
        <w:t>case</w:t>
      </w:r>
      <w:r>
        <w:rPr>
          <w:spacing w:val="-1"/>
          <w:vertAlign w:val="baseline"/>
        </w:rPr>
        <w:t> </w:t>
      </w:r>
      <w:r>
        <w:rPr>
          <w:vertAlign w:val="baseline"/>
        </w:rPr>
        <w:t>where the defendant owed a contractual duty </w:t>
      </w:r>
      <w:r>
        <w:rPr>
          <w:rFonts w:ascii="Arial" w:hAnsi="Arial"/>
          <w:i/>
          <w:vertAlign w:val="baseline"/>
        </w:rPr>
        <w:t>concurrent </w:t>
      </w:r>
      <w:r>
        <w:rPr>
          <w:vertAlign w:val="baseline"/>
        </w:rPr>
        <w:t>with the alleged tortious duty, it could be argued that a contract’s silence is by its nature not inconsistent with the existence of any liability in tort. In support of this interpretation, it can be noted that to allow a person’s mere entering into a contract</w:t>
      </w:r>
      <w:r>
        <w:rPr>
          <w:spacing w:val="80"/>
          <w:vertAlign w:val="baseline"/>
        </w:rPr>
        <w:t> </w:t>
      </w:r>
      <w:r>
        <w:rPr>
          <w:vertAlign w:val="baseline"/>
        </w:rPr>
        <w:t>with another to have the effect of excluding the latter’s liability in tort would mean that the law allowed by </w:t>
      </w:r>
      <w:r>
        <w:rPr>
          <w:rFonts w:ascii="Arial" w:hAnsi="Arial"/>
          <w:i/>
          <w:vertAlign w:val="baseline"/>
        </w:rPr>
        <w:t>implication </w:t>
      </w:r>
      <w:r>
        <w:rPr>
          <w:vertAlign w:val="baseline"/>
        </w:rPr>
        <w:t>(the implication that by their silence the parties had intended that the issue in question should</w:t>
      </w:r>
      <w:r>
        <w:rPr>
          <w:spacing w:val="-1"/>
          <w:vertAlign w:val="baseline"/>
        </w:rPr>
        <w:t> </w:t>
      </w:r>
      <w:r>
        <w:rPr>
          <w:vertAlign w:val="baseline"/>
        </w:rPr>
        <w:t>not</w:t>
      </w:r>
      <w:r>
        <w:rPr>
          <w:spacing w:val="-1"/>
          <w:vertAlign w:val="baseline"/>
        </w:rPr>
        <w:t> </w:t>
      </w:r>
      <w:r>
        <w:rPr>
          <w:vertAlign w:val="baseline"/>
        </w:rPr>
        <w:t>be</w:t>
      </w:r>
      <w:r>
        <w:rPr>
          <w:spacing w:val="-1"/>
          <w:vertAlign w:val="baseline"/>
        </w:rPr>
        <w:t> </w:t>
      </w:r>
      <w:r>
        <w:rPr>
          <w:vertAlign w:val="baseline"/>
        </w:rPr>
        <w:t>regulated)</w:t>
      </w:r>
      <w:r>
        <w:rPr>
          <w:spacing w:val="-1"/>
          <w:vertAlign w:val="baseline"/>
        </w:rPr>
        <w:t> </w:t>
      </w:r>
      <w:r>
        <w:rPr>
          <w:vertAlign w:val="baseline"/>
        </w:rPr>
        <w:t>what</w:t>
      </w:r>
      <w:r>
        <w:rPr>
          <w:spacing w:val="-1"/>
          <w:vertAlign w:val="baseline"/>
        </w:rPr>
        <w:t> </w:t>
      </w:r>
      <w:r>
        <w:rPr>
          <w:vertAlign w:val="baseline"/>
        </w:rPr>
        <w:t>it</w:t>
      </w:r>
      <w:r>
        <w:rPr>
          <w:spacing w:val="-1"/>
          <w:vertAlign w:val="baseline"/>
        </w:rPr>
        <w:t> </w:t>
      </w:r>
      <w:r>
        <w:rPr>
          <w:vertAlign w:val="baseline"/>
        </w:rPr>
        <w:t>traditionally</w:t>
      </w:r>
      <w:r>
        <w:rPr>
          <w:spacing w:val="-1"/>
          <w:vertAlign w:val="baseline"/>
        </w:rPr>
        <w:t> </w:t>
      </w:r>
      <w:r>
        <w:rPr>
          <w:vertAlign w:val="baseline"/>
        </w:rPr>
        <w:t>allowed</w:t>
      </w:r>
      <w:r>
        <w:rPr>
          <w:spacing w:val="-1"/>
          <w:vertAlign w:val="baseline"/>
        </w:rPr>
        <w:t> </w:t>
      </w:r>
      <w:r>
        <w:rPr>
          <w:vertAlign w:val="baseline"/>
        </w:rPr>
        <w:t>only</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very</w:t>
      </w:r>
      <w:r>
        <w:rPr>
          <w:spacing w:val="-1"/>
          <w:vertAlign w:val="baseline"/>
        </w:rPr>
        <w:t> </w:t>
      </w:r>
      <w:r>
        <w:rPr>
          <w:vertAlign w:val="baseline"/>
        </w:rPr>
        <w:t>clear</w:t>
      </w:r>
      <w:r>
        <w:rPr>
          <w:spacing w:val="-1"/>
          <w:vertAlign w:val="baseline"/>
        </w:rPr>
        <w:t> </w:t>
      </w:r>
      <w:r>
        <w:rPr>
          <w:vertAlign w:val="baseline"/>
        </w:rPr>
        <w:t>contractual</w:t>
      </w:r>
      <w:r>
        <w:rPr>
          <w:spacing w:val="-2"/>
          <w:vertAlign w:val="baseline"/>
        </w:rPr>
        <w:t> </w:t>
      </w:r>
      <w:r>
        <w:rPr>
          <w:rFonts w:ascii="Arial" w:hAnsi="Arial"/>
          <w:i/>
          <w:vertAlign w:val="baseline"/>
        </w:rPr>
        <w:t>expression</w:t>
      </w:r>
      <w:r>
        <w:rPr>
          <w:vertAlign w:val="baseline"/>
        </w:rPr>
        <w:t>,</w:t>
      </w:r>
      <w:r>
        <w:rPr>
          <w:spacing w:val="-1"/>
          <w:vertAlign w:val="baseline"/>
        </w:rPr>
        <w:t> </w:t>
      </w:r>
      <w:r>
        <w:rPr>
          <w:color w:val="005DA1"/>
          <w:u w:val="single" w:color="005DA1"/>
          <w:vertAlign w:val="superscript"/>
        </w:rPr>
        <w:t>1275</w:t>
      </w:r>
      <w:r>
        <w:rPr>
          <w:color w:val="005DA1"/>
          <w:spacing w:val="-1"/>
          <w:vertAlign w:val="baseline"/>
        </w:rPr>
        <w:t> </w:t>
      </w:r>
      <w:r>
        <w:rPr>
          <w:vertAlign w:val="baseline"/>
        </w:rPr>
        <w:t>a paradox which would only be heightened by the fact that such an express exemption clause would, in many cases, be subject to legislative control. </w:t>
      </w:r>
      <w:r>
        <w:rPr>
          <w:color w:val="005DA1"/>
          <w:u w:val="single" w:color="005DA1"/>
          <w:vertAlign w:val="superscript"/>
        </w:rPr>
        <w:t>1276</w:t>
      </w:r>
      <w:r>
        <w:rPr>
          <w:color w:val="005DA1"/>
          <w:vertAlign w:val="baseline"/>
        </w:rPr>
        <w:t> </w:t>
      </w:r>
      <w:r>
        <w:rPr>
          <w:vertAlign w:val="baseline"/>
        </w:rPr>
        <w:t>In general, therefore, a contract’s silence should not be interpreted as a choice to oust the general law of tort.</w:t>
      </w:r>
    </w:p>
    <w:p>
      <w:pPr>
        <w:pStyle w:val="BodyText"/>
      </w:pPr>
    </w:p>
    <w:p>
      <w:pPr>
        <w:pStyle w:val="BodyText"/>
        <w:spacing w:before="34"/>
      </w:pPr>
    </w:p>
    <w:p>
      <w:pPr>
        <w:spacing w:before="0"/>
        <w:ind w:left="164" w:right="0" w:firstLine="0"/>
        <w:jc w:val="left"/>
        <w:rPr>
          <w:rFonts w:ascii="Arial" w:hAnsi="Arial"/>
          <w:b/>
          <w:sz w:val="18"/>
        </w:rPr>
      </w:pPr>
      <w:r>
        <w:rPr>
          <w:rFonts w:ascii="Arial" w:hAnsi="Arial"/>
          <w:b/>
          <w:sz w:val="18"/>
        </w:rPr>
        <w:t>Contractual silence and “assumption of </w:t>
      </w:r>
      <w:r>
        <w:rPr>
          <w:rFonts w:ascii="Arial" w:hAnsi="Arial"/>
          <w:b/>
          <w:spacing w:val="-2"/>
          <w:sz w:val="18"/>
        </w:rPr>
        <w:t>responsibility”</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188</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However, more difficulty arises in relation to cases of recovery of pure economic loss in the tort </w:t>
      </w:r>
      <w:r>
        <w:rPr/>
        <w:t>of negligence based on the idea of “assumption of responsibility” drawn from the speeches of the members of the House of Lords in </w:t>
      </w:r>
      <w:r>
        <w:rPr>
          <w:rFonts w:ascii="Arial" w:hAnsi="Arial"/>
          <w:i/>
        </w:rPr>
        <w:t>Hedley Byrne</w:t>
      </w:r>
      <w:r>
        <w:rPr/>
        <w:t>. Certainly, until the decision of the House of Lords in </w:t>
      </w:r>
      <w:r>
        <w:rPr>
          <w:rFonts w:ascii="Arial" w:hAnsi="Arial"/>
          <w:i/>
        </w:rPr>
        <w:t>Henderson v Merrett Syndicates Ltd</w:t>
      </w:r>
      <w:r>
        <w:rPr>
          <w:rFonts w:ascii="Arial" w:hAnsi="Arial"/>
          <w:i/>
          <w:spacing w:val="-1"/>
        </w:rPr>
        <w:t> </w:t>
      </w:r>
      <w:r>
        <w:rPr>
          <w:color w:val="005DA1"/>
          <w:u w:val="single" w:color="005DA1"/>
          <w:vertAlign w:val="superscript"/>
        </w:rPr>
        <w:t>1277</w:t>
      </w:r>
      <w:r>
        <w:rPr>
          <w:color w:val="005DA1"/>
          <w:vertAlign w:val="baseline"/>
        </w:rPr>
        <w:t> </w:t>
      </w:r>
      <w:r>
        <w:rPr>
          <w:vertAlign w:val="baseline"/>
        </w:rPr>
        <w:t>the courts on more than one occasion refused to recognise a duty of care in the tort of negligence in respect of pure economic loss based on an “assumption of responsibility”</w:t>
      </w:r>
      <w:r>
        <w:rPr>
          <w:spacing w:val="11"/>
          <w:vertAlign w:val="baseline"/>
        </w:rPr>
        <w:t> </w:t>
      </w:r>
      <w:r>
        <w:rPr>
          <w:vertAlign w:val="baseline"/>
        </w:rPr>
        <w:t>of</w:t>
      </w:r>
      <w:r>
        <w:rPr>
          <w:spacing w:val="11"/>
          <w:vertAlign w:val="baseline"/>
        </w:rPr>
        <w:t> </w:t>
      </w:r>
      <w:r>
        <w:rPr>
          <w:vertAlign w:val="baseline"/>
        </w:rPr>
        <w:t>one</w:t>
      </w:r>
      <w:r>
        <w:rPr>
          <w:spacing w:val="11"/>
          <w:vertAlign w:val="baseline"/>
        </w:rPr>
        <w:t> </w:t>
      </w:r>
      <w:r>
        <w:rPr>
          <w:vertAlign w:val="baseline"/>
        </w:rPr>
        <w:t>party</w:t>
      </w:r>
      <w:r>
        <w:rPr>
          <w:spacing w:val="11"/>
          <w:vertAlign w:val="baseline"/>
        </w:rPr>
        <w:t> </w:t>
      </w:r>
      <w:r>
        <w:rPr>
          <w:vertAlign w:val="baseline"/>
        </w:rPr>
        <w:t>to</w:t>
      </w:r>
      <w:r>
        <w:rPr>
          <w:spacing w:val="11"/>
          <w:vertAlign w:val="baseline"/>
        </w:rPr>
        <w:t> </w:t>
      </w:r>
      <w:r>
        <w:rPr>
          <w:vertAlign w:val="baseline"/>
        </w:rPr>
        <w:t>a</w:t>
      </w:r>
      <w:r>
        <w:rPr>
          <w:spacing w:val="11"/>
          <w:vertAlign w:val="baseline"/>
        </w:rPr>
        <w:t> </w:t>
      </w:r>
      <w:r>
        <w:rPr>
          <w:vertAlign w:val="baseline"/>
        </w:rPr>
        <w:t>contract</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other</w:t>
      </w:r>
      <w:r>
        <w:rPr>
          <w:spacing w:val="11"/>
          <w:vertAlign w:val="baseline"/>
        </w:rPr>
        <w:t> </w:t>
      </w:r>
      <w:r>
        <w:rPr>
          <w:vertAlign w:val="baseline"/>
        </w:rPr>
        <w:t>where</w:t>
      </w:r>
      <w:r>
        <w:rPr>
          <w:spacing w:val="11"/>
          <w:vertAlign w:val="baseline"/>
        </w:rPr>
        <w:t> </w:t>
      </w:r>
      <w:r>
        <w:rPr>
          <w:vertAlign w:val="baseline"/>
        </w:rPr>
        <w:t>that</w:t>
      </w:r>
      <w:r>
        <w:rPr>
          <w:spacing w:val="11"/>
          <w:vertAlign w:val="baseline"/>
        </w:rPr>
        <w:t> </w:t>
      </w:r>
      <w:r>
        <w:rPr>
          <w:vertAlign w:val="baseline"/>
        </w:rPr>
        <w:t>contract</w:t>
      </w:r>
      <w:r>
        <w:rPr>
          <w:spacing w:val="11"/>
          <w:vertAlign w:val="baseline"/>
        </w:rPr>
        <w:t> </w:t>
      </w:r>
      <w:r>
        <w:rPr>
          <w:vertAlign w:val="baseline"/>
        </w:rPr>
        <w:t>was</w:t>
      </w:r>
      <w:r>
        <w:rPr>
          <w:spacing w:val="11"/>
          <w:vertAlign w:val="baseline"/>
        </w:rPr>
        <w:t> </w:t>
      </w:r>
      <w:r>
        <w:rPr>
          <w:vertAlign w:val="baseline"/>
        </w:rPr>
        <w:t>silent</w:t>
      </w:r>
      <w:r>
        <w:rPr>
          <w:spacing w:val="11"/>
          <w:vertAlign w:val="baseline"/>
        </w:rPr>
        <w:t> </w:t>
      </w:r>
      <w:r>
        <w:rPr>
          <w:vertAlign w:val="baseline"/>
        </w:rPr>
        <w:t>as</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issue</w:t>
      </w:r>
      <w:r>
        <w:rPr>
          <w:spacing w:val="11"/>
          <w:vertAlign w:val="baseline"/>
        </w:rPr>
        <w:t> </w:t>
      </w:r>
      <w:r>
        <w:rPr>
          <w:spacing w:val="-5"/>
          <w:vertAlign w:val="baseline"/>
        </w:rPr>
        <w:t>in</w:t>
      </w:r>
    </w:p>
    <w:p>
      <w:pPr>
        <w:pStyle w:val="BodyText"/>
        <w:spacing w:line="235" w:lineRule="auto" w:before="117"/>
        <w:ind w:left="165" w:right="167"/>
        <w:jc w:val="both"/>
      </w:pPr>
      <w:r>
        <w:rPr/>
        <w:t>question. For example, in </w:t>
      </w:r>
      <w:r>
        <w:rPr>
          <w:rFonts w:ascii="Arial"/>
          <w:i/>
        </w:rPr>
        <w:t>Reid v Rush &amp; Tompkins Group Plc </w:t>
      </w:r>
      <w:r>
        <w:rPr>
          <w:color w:val="005DA1"/>
          <w:u w:val="single" w:color="005DA1"/>
          <w:vertAlign w:val="superscript"/>
        </w:rPr>
        <w:t>1278</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7"/>
          <w:vertAlign w:val="baseline"/>
        </w:rPr>
        <w:t> </w:t>
      </w:r>
      <w:r>
        <w:rPr>
          <w:vertAlign w:val="baseline"/>
        </w:rPr>
        <w:t>the plaintiff was injured in a car accident in Ethiopia in the course of his employment for his English employer, but as he could </w:t>
      </w:r>
      <w:r>
        <w:rPr>
          <w:vertAlign w:val="baseline"/>
        </w:rPr>
        <w:t>not recover compensation there from the person responsible, he sued his employer, arguing that the</w:t>
      </w:r>
      <w:r>
        <w:rPr>
          <w:spacing w:val="40"/>
          <w:vertAlign w:val="baseline"/>
        </w:rPr>
        <w:t> </w:t>
      </w:r>
      <w:r>
        <w:rPr>
          <w:vertAlign w:val="baseline"/>
        </w:rPr>
        <w:t>latter owed him an obligation either to insure him against this type of accident or to advise him that he ought himself to take out appropriate insurance. However, having refused to find an implied term in</w:t>
      </w:r>
      <w:r>
        <w:rPr>
          <w:spacing w:val="40"/>
          <w:vertAlign w:val="baseline"/>
        </w:rPr>
        <w:t> </w:t>
      </w:r>
      <w:r>
        <w:rPr>
          <w:vertAlign w:val="baseline"/>
        </w:rPr>
        <w:t>his contract of employment either as to insurance or advising him of his position, </w:t>
      </w:r>
      <w:r>
        <w:rPr>
          <w:color w:val="005DA1"/>
          <w:u w:val="single" w:color="005DA1"/>
          <w:vertAlign w:val="superscript"/>
        </w:rPr>
        <w:t>1279</w:t>
      </w:r>
      <w:r>
        <w:rPr>
          <w:color w:val="005DA1"/>
          <w:vertAlign w:val="baseline"/>
        </w:rPr>
        <w:t> </w:t>
      </w:r>
      <w:r>
        <w:rPr>
          <w:vertAlign w:val="baseline"/>
        </w:rPr>
        <w:t>the Court of Appeal rejected his claim for pure economic loss in the tort of negligence, refusing to accept his argument that the defendant had voluntarily accepted this responsibility. According to Ralph Gibson </w:t>
      </w:r>
      <w:r>
        <w:rPr>
          <w:spacing w:val="-2"/>
          <w:vertAlign w:val="baseline"/>
        </w:rPr>
        <w:t>L.J.:</w:t>
      </w:r>
    </w:p>
    <w:p>
      <w:pPr>
        <w:pStyle w:val="BodyText"/>
      </w:pPr>
    </w:p>
    <w:p>
      <w:pPr>
        <w:pStyle w:val="BodyText"/>
        <w:spacing w:before="124"/>
      </w:pPr>
    </w:p>
    <w:p>
      <w:pPr>
        <w:pStyle w:val="BodyText"/>
        <w:spacing w:line="235" w:lineRule="auto"/>
        <w:ind w:left="1245" w:right="167"/>
        <w:jc w:val="both"/>
      </w:pPr>
      <w:r>
        <w:rPr/>
        <w:t>“Where there is a contract between the parties, and any ‘voluntary assumption of responsibility’ occurred, if at all, at the time of making and by reason of the contract, </w:t>
      </w:r>
      <w:r>
        <w:rPr/>
        <w:t>it seems unreal to me to try to separate a duty of care arising from the relationship created by the contract from one ‘voluntarily assumed’ but not specifically assumed by a term of the contract itself.” </w:t>
      </w:r>
      <w:r>
        <w:rPr>
          <w:color w:val="005DA1"/>
          <w:u w:val="single" w:color="005DA1"/>
          <w:vertAlign w:val="superscript"/>
        </w:rPr>
        <w:t>1280</w:t>
      </w:r>
    </w:p>
    <w:p>
      <w:pPr>
        <w:pStyle w:val="BodyText"/>
        <w:spacing w:before="111"/>
      </w:pPr>
    </w:p>
    <w:p>
      <w:pPr>
        <w:spacing w:line="227" w:lineRule="exact" w:before="0"/>
        <w:ind w:left="165" w:right="0" w:firstLine="0"/>
        <w:jc w:val="both"/>
        <w:rPr>
          <w:rFonts w:ascii="Arial" w:hAnsi="Arial"/>
          <w:i/>
          <w:sz w:val="20"/>
        </w:rPr>
      </w:pPr>
      <w:r>
        <w:rPr>
          <w:sz w:val="20"/>
        </w:rPr>
        <w:t>Having</w:t>
      </w:r>
      <w:r>
        <w:rPr>
          <w:spacing w:val="9"/>
          <w:sz w:val="20"/>
        </w:rPr>
        <w:t> </w:t>
      </w:r>
      <w:r>
        <w:rPr>
          <w:sz w:val="20"/>
        </w:rPr>
        <w:t>cited</w:t>
      </w:r>
      <w:r>
        <w:rPr>
          <w:spacing w:val="9"/>
          <w:sz w:val="20"/>
        </w:rPr>
        <w:t> </w:t>
      </w:r>
      <w:r>
        <w:rPr>
          <w:sz w:val="20"/>
        </w:rPr>
        <w:t>with</w:t>
      </w:r>
      <w:r>
        <w:rPr>
          <w:spacing w:val="9"/>
          <w:sz w:val="20"/>
        </w:rPr>
        <w:t> </w:t>
      </w:r>
      <w:r>
        <w:rPr>
          <w:sz w:val="20"/>
        </w:rPr>
        <w:t>approval</w:t>
      </w:r>
      <w:r>
        <w:rPr>
          <w:spacing w:val="9"/>
          <w:sz w:val="20"/>
        </w:rPr>
        <w:t> </w:t>
      </w:r>
      <w:r>
        <w:rPr>
          <w:sz w:val="20"/>
        </w:rPr>
        <w:t>Lord</w:t>
      </w:r>
      <w:r>
        <w:rPr>
          <w:spacing w:val="9"/>
          <w:sz w:val="20"/>
        </w:rPr>
        <w:t> </w:t>
      </w:r>
      <w:r>
        <w:rPr>
          <w:sz w:val="20"/>
        </w:rPr>
        <w:t>Scarman’s</w:t>
      </w:r>
      <w:r>
        <w:rPr>
          <w:spacing w:val="9"/>
          <w:sz w:val="20"/>
        </w:rPr>
        <w:t> </w:t>
      </w:r>
      <w:r>
        <w:rPr>
          <w:sz w:val="20"/>
        </w:rPr>
        <w:t>dictum</w:t>
      </w:r>
      <w:r>
        <w:rPr>
          <w:spacing w:val="9"/>
          <w:sz w:val="20"/>
        </w:rPr>
        <w:t> </w:t>
      </w:r>
      <w:r>
        <w:rPr>
          <w:sz w:val="20"/>
        </w:rPr>
        <w:t>in</w:t>
      </w:r>
      <w:r>
        <w:rPr>
          <w:spacing w:val="8"/>
          <w:sz w:val="20"/>
        </w:rPr>
        <w:t> </w:t>
      </w:r>
      <w:r>
        <w:rPr>
          <w:rFonts w:ascii="Arial" w:hAnsi="Arial"/>
          <w:i/>
          <w:sz w:val="20"/>
        </w:rPr>
        <w:t>Tai</w:t>
      </w:r>
      <w:r>
        <w:rPr>
          <w:rFonts w:ascii="Arial" w:hAnsi="Arial"/>
          <w:i/>
          <w:spacing w:val="9"/>
          <w:sz w:val="20"/>
        </w:rPr>
        <w:t> </w:t>
      </w:r>
      <w:r>
        <w:rPr>
          <w:rFonts w:ascii="Arial" w:hAnsi="Arial"/>
          <w:i/>
          <w:sz w:val="20"/>
        </w:rPr>
        <w:t>Hing</w:t>
      </w:r>
      <w:r>
        <w:rPr>
          <w:rFonts w:ascii="Arial" w:hAnsi="Arial"/>
          <w:i/>
          <w:spacing w:val="9"/>
          <w:sz w:val="20"/>
        </w:rPr>
        <w:t> </w:t>
      </w:r>
      <w:r>
        <w:rPr>
          <w:rFonts w:ascii="Arial" w:hAnsi="Arial"/>
          <w:i/>
          <w:sz w:val="20"/>
        </w:rPr>
        <w:t>Cotton</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Liu</w:t>
      </w:r>
      <w:r>
        <w:rPr>
          <w:rFonts w:ascii="Arial" w:hAnsi="Arial"/>
          <w:i/>
          <w:spacing w:val="9"/>
          <w:sz w:val="20"/>
        </w:rPr>
        <w:t> </w:t>
      </w:r>
      <w:r>
        <w:rPr>
          <w:rFonts w:ascii="Arial" w:hAnsi="Arial"/>
          <w:i/>
          <w:sz w:val="20"/>
        </w:rPr>
        <w:t>Chong</w:t>
      </w:r>
      <w:r>
        <w:rPr>
          <w:rFonts w:ascii="Arial" w:hAnsi="Arial"/>
          <w:i/>
          <w:spacing w:val="9"/>
          <w:sz w:val="20"/>
        </w:rPr>
        <w:t> </w:t>
      </w:r>
      <w:r>
        <w:rPr>
          <w:rFonts w:ascii="Arial" w:hAnsi="Arial"/>
          <w:i/>
          <w:sz w:val="20"/>
        </w:rPr>
        <w:t>Hing</w:t>
      </w:r>
      <w:r>
        <w:rPr>
          <w:rFonts w:ascii="Arial" w:hAnsi="Arial"/>
          <w:i/>
          <w:spacing w:val="9"/>
          <w:sz w:val="20"/>
        </w:rPr>
        <w:t> </w:t>
      </w:r>
      <w:r>
        <w:rPr>
          <w:rFonts w:ascii="Arial" w:hAnsi="Arial"/>
          <w:i/>
          <w:sz w:val="20"/>
        </w:rPr>
        <w:t>Bank</w:t>
      </w:r>
      <w:r>
        <w:rPr>
          <w:rFonts w:ascii="Arial" w:hAnsi="Arial"/>
          <w:i/>
          <w:spacing w:val="9"/>
          <w:sz w:val="20"/>
        </w:rPr>
        <w:t> </w:t>
      </w:r>
      <w:r>
        <w:rPr>
          <w:rFonts w:ascii="Arial" w:hAnsi="Arial"/>
          <w:i/>
          <w:spacing w:val="-5"/>
          <w:sz w:val="20"/>
        </w:rPr>
        <w:t>Ltd</w:t>
      </w:r>
    </w:p>
    <w:p>
      <w:pPr>
        <w:pStyle w:val="BodyText"/>
        <w:spacing w:line="227" w:lineRule="exact"/>
        <w:ind w:left="165"/>
        <w:jc w:val="both"/>
      </w:pPr>
      <w:r>
        <w:rPr>
          <w:color w:val="005DA1"/>
          <w:u w:val="single" w:color="005DA1"/>
          <w:vertAlign w:val="superscript"/>
        </w:rPr>
        <w:t>1281</w:t>
      </w:r>
      <w:r>
        <w:rPr>
          <w:color w:val="005DA1"/>
          <w:spacing w:val="-5"/>
          <w:vertAlign w:val="baseline"/>
        </w:rPr>
        <w:t> </w:t>
      </w:r>
      <w:r>
        <w:rPr>
          <w:vertAlign w:val="baseline"/>
        </w:rPr>
        <w:t>the</w:t>
      </w:r>
      <w:r>
        <w:rPr>
          <w:spacing w:val="-4"/>
          <w:vertAlign w:val="baseline"/>
        </w:rPr>
        <w:t> </w:t>
      </w:r>
      <w:r>
        <w:rPr>
          <w:vertAlign w:val="baseline"/>
        </w:rPr>
        <w:t>learned</w:t>
      </w:r>
      <w:r>
        <w:rPr>
          <w:spacing w:val="-4"/>
          <w:vertAlign w:val="baseline"/>
        </w:rPr>
        <w:t> </w:t>
      </w:r>
      <w:r>
        <w:rPr>
          <w:vertAlign w:val="baseline"/>
        </w:rPr>
        <w:t>Lord</w:t>
      </w:r>
      <w:r>
        <w:rPr>
          <w:spacing w:val="-4"/>
          <w:vertAlign w:val="baseline"/>
        </w:rPr>
        <w:t> </w:t>
      </w:r>
      <w:r>
        <w:rPr>
          <w:vertAlign w:val="baseline"/>
        </w:rPr>
        <w:t>Justice</w:t>
      </w:r>
      <w:r>
        <w:rPr>
          <w:spacing w:val="-4"/>
          <w:vertAlign w:val="baseline"/>
        </w:rPr>
        <w:t> </w:t>
      </w:r>
      <w:r>
        <w:rPr>
          <w:vertAlign w:val="baseline"/>
        </w:rPr>
        <w:t>added</w:t>
      </w:r>
      <w:r>
        <w:rPr>
          <w:spacing w:val="-4"/>
          <w:vertAlign w:val="baseline"/>
        </w:rPr>
        <w:t> </w:t>
      </w:r>
      <w:r>
        <w:rPr>
          <w:spacing w:val="-2"/>
          <w:vertAlign w:val="baseline"/>
        </w:rPr>
        <w:t>that:</w:t>
      </w:r>
    </w:p>
    <w:p>
      <w:pPr>
        <w:pStyle w:val="BodyText"/>
      </w:pPr>
    </w:p>
    <w:p>
      <w:pPr>
        <w:pStyle w:val="BodyText"/>
        <w:spacing w:before="125"/>
      </w:pPr>
    </w:p>
    <w:p>
      <w:pPr>
        <w:pStyle w:val="BodyText"/>
        <w:spacing w:line="235" w:lineRule="auto" w:before="1"/>
        <w:ind w:left="1245" w:right="167"/>
        <w:jc w:val="both"/>
      </w:pPr>
      <w:r>
        <w:rPr/>
        <w:t>“… it is not open to this court to extend the duty of care owed by this defendant to the plaintiff</w:t>
      </w:r>
      <w:r>
        <w:rPr>
          <w:spacing w:val="-1"/>
        </w:rPr>
        <w:t> </w:t>
      </w:r>
      <w:r>
        <w:rPr/>
        <w:t>by</w:t>
      </w:r>
      <w:r>
        <w:rPr>
          <w:spacing w:val="-1"/>
        </w:rPr>
        <w:t> </w:t>
      </w:r>
      <w:r>
        <w:rPr/>
        <w:t>imposing</w:t>
      </w:r>
      <w:r>
        <w:rPr>
          <w:spacing w:val="-1"/>
        </w:rPr>
        <w:t> </w:t>
      </w:r>
      <w:r>
        <w:rPr/>
        <w:t>a</w:t>
      </w:r>
      <w:r>
        <w:rPr>
          <w:spacing w:val="-2"/>
        </w:rPr>
        <w:t> </w:t>
      </w:r>
      <w:r>
        <w:rPr/>
        <w:t>duty</w:t>
      </w:r>
      <w:r>
        <w:rPr>
          <w:spacing w:val="-1"/>
        </w:rPr>
        <w:t> </w:t>
      </w:r>
      <w:r>
        <w:rPr/>
        <w:t>in</w:t>
      </w:r>
      <w:r>
        <w:rPr>
          <w:spacing w:val="-1"/>
        </w:rPr>
        <w:t> </w:t>
      </w:r>
      <w:r>
        <w:rPr/>
        <w:t>tort</w:t>
      </w:r>
      <w:r>
        <w:rPr>
          <w:spacing w:val="-1"/>
        </w:rPr>
        <w:t> </w:t>
      </w:r>
      <w:r>
        <w:rPr/>
        <w:t>which</w:t>
      </w:r>
      <w:r>
        <w:rPr>
          <w:spacing w:val="-2"/>
        </w:rPr>
        <w:t> </w:t>
      </w:r>
      <w:r>
        <w:rPr/>
        <w:t>…</w:t>
      </w:r>
      <w:r>
        <w:rPr>
          <w:spacing w:val="-1"/>
        </w:rPr>
        <w:t> </w:t>
      </w:r>
      <w:r>
        <w:rPr/>
        <w:t>is</w:t>
      </w:r>
      <w:r>
        <w:rPr>
          <w:spacing w:val="-1"/>
        </w:rPr>
        <w:t> </w:t>
      </w:r>
      <w:r>
        <w:rPr/>
        <w:t>not</w:t>
      </w:r>
      <w:r>
        <w:rPr>
          <w:spacing w:val="-1"/>
        </w:rPr>
        <w:t> </w:t>
      </w:r>
      <w:r>
        <w:rPr/>
        <w:t>contained</w:t>
      </w:r>
      <w:r>
        <w:rPr>
          <w:spacing w:val="-2"/>
        </w:rPr>
        <w:t> </w:t>
      </w:r>
      <w:r>
        <w:rPr/>
        <w:t>in</w:t>
      </w:r>
      <w:r>
        <w:rPr>
          <w:spacing w:val="-1"/>
        </w:rPr>
        <w:t> </w:t>
      </w:r>
      <w:r>
        <w:rPr/>
        <w:t>any</w:t>
      </w:r>
      <w:r>
        <w:rPr>
          <w:spacing w:val="-1"/>
        </w:rPr>
        <w:t> </w:t>
      </w:r>
      <w:r>
        <w:rPr/>
        <w:t>express</w:t>
      </w:r>
      <w:r>
        <w:rPr>
          <w:spacing w:val="-1"/>
        </w:rPr>
        <w:t> </w:t>
      </w:r>
      <w:r>
        <w:rPr/>
        <w:t>or</w:t>
      </w:r>
      <w:r>
        <w:rPr>
          <w:spacing w:val="-2"/>
        </w:rPr>
        <w:t> </w:t>
      </w:r>
      <w:r>
        <w:rPr/>
        <w:t>implied</w:t>
      </w:r>
      <w:r>
        <w:rPr>
          <w:spacing w:val="-1"/>
        </w:rPr>
        <w:t> </w:t>
      </w:r>
      <w:r>
        <w:rPr/>
        <w:t>term of the contract,” </w:t>
      </w:r>
      <w:r>
        <w:rPr>
          <w:color w:val="005DA1"/>
          <w:u w:val="single" w:color="005DA1"/>
          <w:vertAlign w:val="superscript"/>
        </w:rPr>
        <w:t>1282</w:t>
      </w:r>
    </w:p>
    <w:p>
      <w:pPr>
        <w:pStyle w:val="BodyText"/>
        <w:spacing w:after="0" w:line="235" w:lineRule="auto"/>
        <w:jc w:val="both"/>
        <w:sectPr>
          <w:pgSz w:w="11900" w:h="16840"/>
          <w:pgMar w:header="971" w:footer="0" w:top="1300" w:bottom="280" w:left="1275" w:right="1275"/>
        </w:sectPr>
      </w:pPr>
    </w:p>
    <w:p>
      <w:pPr>
        <w:spacing w:line="235" w:lineRule="auto" w:before="110"/>
        <w:ind w:left="165" w:right="167" w:firstLine="0"/>
        <w:jc w:val="both"/>
        <w:rPr>
          <w:sz w:val="20"/>
        </w:rPr>
      </w:pPr>
      <w:r>
        <w:rPr>
          <w:sz w:val="20"/>
        </w:rPr>
        <w:t>Similarly, in </w:t>
      </w:r>
      <w:r>
        <w:rPr>
          <w:rFonts w:ascii="Arial" w:hAnsi="Arial"/>
          <w:i/>
          <w:sz w:val="20"/>
        </w:rPr>
        <w:t>National Bank of Greece SA v Pinios Shipping Co (No.1), The Maira</w:t>
      </w:r>
      <w:r>
        <w:rPr>
          <w:sz w:val="20"/>
        </w:rPr>
        <w:t>, </w:t>
      </w:r>
      <w:r>
        <w:rPr>
          <w:color w:val="005DA1"/>
          <w:sz w:val="20"/>
          <w:u w:val="single" w:color="005DA1"/>
          <w:vertAlign w:val="superscript"/>
        </w:rPr>
        <w:t>1283</w:t>
      </w:r>
      <w:r>
        <w:rPr>
          <w:color w:val="005DA1"/>
          <w:sz w:val="20"/>
          <w:vertAlign w:val="baseline"/>
        </w:rPr>
        <w:t> </w:t>
      </w:r>
      <w:r>
        <w:rPr>
          <w:sz w:val="20"/>
          <w:vertAlign w:val="baseline"/>
        </w:rPr>
        <w:t>while Lloyd L.J. </w:t>
      </w:r>
      <w:bookmarkStart w:name="_bookmark1833" w:id="1835"/>
      <w:bookmarkEnd w:id="1835"/>
      <w:r>
        <w:rPr>
          <w:sz w:val="20"/>
          <w:vertAlign w:val="baseline"/>
        </w:rPr>
        <w:t>accepted</w:t>
      </w:r>
      <w:r>
        <w:rPr>
          <w:sz w:val="20"/>
          <w:vertAlign w:val="baseline"/>
        </w:rPr>
        <w:t> that “in a large class of cases it was always, and maybe still is, possible for the plaintiff to sue either in contract or in tort” </w:t>
      </w:r>
      <w:r>
        <w:rPr>
          <w:color w:val="005DA1"/>
          <w:sz w:val="20"/>
          <w:u w:val="single" w:color="005DA1"/>
          <w:vertAlign w:val="superscript"/>
        </w:rPr>
        <w:t>1284</w:t>
      </w:r>
      <w:r>
        <w:rPr>
          <w:color w:val="005DA1"/>
          <w:sz w:val="20"/>
          <w:vertAlign w:val="baseline"/>
        </w:rPr>
        <w:t> </w:t>
      </w:r>
      <w:r>
        <w:rPr>
          <w:sz w:val="20"/>
          <w:vertAlign w:val="baseline"/>
        </w:rPr>
        <w:t>he considered that:</w:t>
      </w:r>
    </w:p>
    <w:p>
      <w:pPr>
        <w:pStyle w:val="BodyText"/>
      </w:pPr>
    </w:p>
    <w:p>
      <w:pPr>
        <w:pStyle w:val="BodyText"/>
        <w:spacing w:before="126"/>
      </w:pPr>
    </w:p>
    <w:p>
      <w:pPr>
        <w:pStyle w:val="BodyText"/>
        <w:spacing w:line="235" w:lineRule="auto"/>
        <w:ind w:left="1244" w:right="167"/>
        <w:jc w:val="both"/>
      </w:pPr>
      <w:r>
        <w:rPr/>
        <w:t>“… it has never been the law that a plaintiff who has the choice of suing in contract or tort </w:t>
      </w:r>
      <w:bookmarkStart w:name="_bookmark1834" w:id="1836"/>
      <w:bookmarkEnd w:id="1836"/>
      <w:r>
        <w:rPr/>
        <w:t>can</w:t>
      </w:r>
      <w:r>
        <w:rPr/>
        <w:t> fail in contract yet nevertheless succeed in tort; and if it ever was the law, it has ceased to be the law since </w:t>
      </w:r>
      <w:r>
        <w:rPr>
          <w:rFonts w:ascii="Arial" w:hAnsi="Arial"/>
          <w:i/>
        </w:rPr>
        <w:t>Tai Hing Cotton Ltd</w:t>
      </w:r>
      <w:r>
        <w:rPr/>
        <w:t>.” </w:t>
      </w:r>
      <w:r>
        <w:rPr>
          <w:color w:val="005DA1"/>
          <w:u w:val="single" w:color="005DA1"/>
          <w:vertAlign w:val="superscript"/>
        </w:rPr>
        <w:t>1285</w:t>
      </w:r>
    </w:p>
    <w:p>
      <w:pPr>
        <w:pStyle w:val="BodyText"/>
        <w:spacing w:before="112"/>
      </w:pPr>
    </w:p>
    <w:p>
      <w:pPr>
        <w:pStyle w:val="BodyText"/>
        <w:ind w:left="165"/>
        <w:jc w:val="both"/>
      </w:pPr>
      <w:bookmarkStart w:name="_bookmark1835" w:id="1837"/>
      <w:bookmarkEnd w:id="1837"/>
      <w:r>
        <w:rPr/>
      </w:r>
      <w:r>
        <w:rPr/>
        <w:t>Here, again, therefore, the silence of the contract prevented the imposition of a duty of care in tort.</w:t>
      </w:r>
      <w:r>
        <w:rPr>
          <w:spacing w:val="-1"/>
        </w:rPr>
        <w:t> </w:t>
      </w:r>
      <w:r>
        <w:rPr>
          <w:color w:val="005DA1"/>
          <w:spacing w:val="-4"/>
          <w:u w:val="single" w:color="005DA1"/>
          <w:vertAlign w:val="superscript"/>
        </w:rPr>
        <w:t>1286</w:t>
      </w:r>
    </w:p>
    <w:p>
      <w:pPr>
        <w:pStyle w:val="BodyText"/>
        <w:spacing w:before="80"/>
      </w:pPr>
    </w:p>
    <w:p>
      <w:pPr>
        <w:spacing w:before="0"/>
        <w:ind w:left="165" w:right="0" w:firstLine="0"/>
        <w:jc w:val="left"/>
        <w:rPr>
          <w:rFonts w:ascii="Arial"/>
          <w:b/>
          <w:sz w:val="24"/>
        </w:rPr>
      </w:pPr>
      <w:r>
        <w:rPr>
          <w:rFonts w:ascii="Arial"/>
          <w:b/>
          <w:sz w:val="24"/>
        </w:rPr>
        <w:t>1-</w:t>
      </w:r>
      <w:r>
        <w:rPr>
          <w:rFonts w:ascii="Arial"/>
          <w:b/>
          <w:spacing w:val="-5"/>
          <w:sz w:val="24"/>
        </w:rPr>
        <w:t>189</w:t>
      </w:r>
    </w:p>
    <w:p>
      <w:pPr>
        <w:pStyle w:val="BodyText"/>
        <w:spacing w:line="235" w:lineRule="auto" w:before="203"/>
        <w:ind w:left="165" w:right="167"/>
        <w:jc w:val="both"/>
      </w:pPr>
      <w:r>
        <w:rPr/>
        <w:t>However, as this brief discussion makes clear, this approach to the imposition of a duty of care </w:t>
      </w:r>
      <w:r>
        <w:rPr/>
        <w:t>based on an assumption of responsibility in the context of contractual silence was heavily influenced by the general judicial disfavour with which </w:t>
      </w:r>
      <w:r>
        <w:rPr>
          <w:rFonts w:ascii="Arial" w:hAnsi="Arial"/>
          <w:i/>
        </w:rPr>
        <w:t>any </w:t>
      </w:r>
      <w:r>
        <w:rPr/>
        <w:t>liability in tort between the parties to a contract was viewed, </w:t>
      </w:r>
      <w:bookmarkStart w:name="_bookmark1836" w:id="1838"/>
      <w:bookmarkEnd w:id="1838"/>
      <w:r>
        <w:rPr/>
        <w:t>and</w:t>
      </w:r>
      <w:r>
        <w:rPr/>
        <w:t> such an approach was thoroughly disapproved by the House of Lords in </w:t>
      </w:r>
      <w:r>
        <w:rPr>
          <w:rFonts w:ascii="Arial" w:hAnsi="Arial"/>
          <w:i/>
        </w:rPr>
        <w:t>Henderson v Merrett Syndicates Ltd</w:t>
      </w:r>
      <w:r>
        <w:rPr/>
        <w:t>. </w:t>
      </w:r>
      <w:r>
        <w:rPr>
          <w:color w:val="005DA1"/>
          <w:u w:val="single" w:color="005DA1"/>
          <w:vertAlign w:val="superscript"/>
        </w:rPr>
        <w:t>1287</w:t>
      </w:r>
      <w:r>
        <w:rPr>
          <w:color w:val="005DA1"/>
          <w:vertAlign w:val="baseline"/>
        </w:rPr>
        <w:t> </w:t>
      </w:r>
      <w:r>
        <w:rPr>
          <w:vertAlign w:val="baseline"/>
        </w:rPr>
        <w:t>However, even after the latter decision a logical difficulty remains with the imposition of liability in tort based on an assumption of responsibility where the contract is silent. As has been seen, the current meaning given to the notion of “assumption of responsibility” by the courts </w:t>
      </w:r>
      <w:bookmarkStart w:name="_bookmark1837" w:id="1839"/>
      <w:bookmarkEnd w:id="1839"/>
      <w:r>
        <w:rPr>
          <w:vertAlign w:val="baseline"/>
        </w:rPr>
        <w:t>is</w:t>
      </w:r>
      <w:r>
        <w:rPr>
          <w:vertAlign w:val="baseline"/>
        </w:rPr>
        <w:t> that the defendant agreed to undertake a task or perform some service for the claimant. In cases of “contractual silence”, ex hypothesi, </w:t>
      </w:r>
      <w:r>
        <w:rPr>
          <w:color w:val="005DA1"/>
          <w:u w:val="single" w:color="005DA1"/>
          <w:vertAlign w:val="superscript"/>
        </w:rPr>
        <w:t>1288</w:t>
      </w:r>
      <w:r>
        <w:rPr>
          <w:color w:val="005DA1"/>
          <w:vertAlign w:val="baseline"/>
        </w:rPr>
        <w:t> </w:t>
      </w:r>
      <w:r>
        <w:rPr>
          <w:vertAlign w:val="baseline"/>
        </w:rPr>
        <w:t>the court has already decided that a defendant did not make any relevant agreement (as a matter of the express or implied construction of the contract). How then can a court hold that a defendant did not agree for one legal purpose, but did do so for another? It would be understandable if a court should consider it illogical to find the existence of such a duty of care owed by one contractor to another having already decided that there has been no </w:t>
      </w:r>
      <w:r>
        <w:rPr>
          <w:rFonts w:ascii="Arial" w:hAnsi="Arial"/>
          <w:i/>
          <w:vertAlign w:val="baseline"/>
        </w:rPr>
        <w:t>contractual </w:t>
      </w:r>
      <w:r>
        <w:rPr>
          <w:vertAlign w:val="baseline"/>
        </w:rPr>
        <w:t>assumption of responsibility.</w:t>
      </w:r>
    </w:p>
    <w:p>
      <w:pPr>
        <w:pStyle w:val="BodyText"/>
        <w:spacing w:before="76"/>
      </w:pPr>
    </w:p>
    <w:p>
      <w:pPr>
        <w:spacing w:before="0"/>
        <w:ind w:left="165" w:right="0" w:firstLine="0"/>
        <w:jc w:val="left"/>
        <w:rPr>
          <w:rFonts w:ascii="Arial"/>
          <w:b/>
          <w:sz w:val="24"/>
        </w:rPr>
      </w:pPr>
      <w:r>
        <w:rPr>
          <w:rFonts w:ascii="Arial"/>
          <w:b/>
          <w:sz w:val="24"/>
        </w:rPr>
        <w:t>1-</w:t>
      </w:r>
      <w:r>
        <w:rPr>
          <w:rFonts w:ascii="Arial"/>
          <w:b/>
          <w:spacing w:val="-5"/>
          <w:sz w:val="24"/>
        </w:rPr>
        <w:t>190</w:t>
      </w:r>
    </w:p>
    <w:p>
      <w:pPr>
        <w:pStyle w:val="BodyText"/>
        <w:spacing w:line="235" w:lineRule="auto" w:before="202"/>
        <w:ind w:left="164" w:right="167"/>
        <w:jc w:val="both"/>
      </w:pPr>
      <w:bookmarkStart w:name="_bookmark1838" w:id="1840"/>
      <w:bookmarkEnd w:id="1840"/>
      <w:r>
        <w:rPr/>
      </w:r>
      <w:r>
        <w:rPr/>
        <w:t>However, in </w:t>
      </w:r>
      <w:r>
        <w:rPr>
          <w:rFonts w:ascii="Arial" w:hAnsi="Arial"/>
          <w:i/>
        </w:rPr>
        <w:t>Holt v Payne Skillington</w:t>
      </w:r>
      <w:r>
        <w:rPr/>
        <w:t>, </w:t>
      </w:r>
      <w:r>
        <w:rPr>
          <w:color w:val="005DA1"/>
          <w:u w:val="single" w:color="005DA1"/>
          <w:vertAlign w:val="superscript"/>
        </w:rPr>
        <w:t>1289</w:t>
      </w:r>
      <w:r>
        <w:rPr>
          <w:color w:val="005DA1"/>
          <w:vertAlign w:val="baseline"/>
        </w:rPr>
        <w:t> </w:t>
      </w:r>
      <w:r>
        <w:rPr>
          <w:vertAlign w:val="baseline"/>
        </w:rPr>
        <w:t>the Court of Appeal took a rather different view of this matter. In this case, the plaintiffs had indicated to the defendant estate agents that they wished </w:t>
      </w:r>
      <w:r>
        <w:rPr>
          <w:vertAlign w:val="baseline"/>
        </w:rPr>
        <w:t>to </w:t>
      </w:r>
      <w:bookmarkStart w:name="_bookmark1839" w:id="1841"/>
      <w:bookmarkEnd w:id="1841"/>
      <w:r>
        <w:rPr>
          <w:vertAlign w:val="baseline"/>
        </w:rPr>
        <w:t>purchase</w:t>
      </w:r>
      <w:r>
        <w:rPr>
          <w:spacing w:val="-1"/>
          <w:vertAlign w:val="baseline"/>
        </w:rPr>
        <w:t> </w:t>
      </w:r>
      <w:r>
        <w:rPr>
          <w:vertAlign w:val="baseline"/>
        </w:rPr>
        <w:t>a</w:t>
      </w:r>
      <w:r>
        <w:rPr>
          <w:spacing w:val="-1"/>
          <w:vertAlign w:val="baseline"/>
        </w:rPr>
        <w:t> </w:t>
      </w:r>
      <w:r>
        <w:rPr>
          <w:vertAlign w:val="baseline"/>
        </w:rPr>
        <w:t>property</w:t>
      </w:r>
      <w:r>
        <w:rPr>
          <w:spacing w:val="-1"/>
          <w:vertAlign w:val="baseline"/>
        </w:rPr>
        <w:t> </w:t>
      </w:r>
      <w:r>
        <w:rPr>
          <w:vertAlign w:val="baseline"/>
        </w:rPr>
        <w:t>in</w:t>
      </w:r>
      <w:r>
        <w:rPr>
          <w:spacing w:val="-1"/>
          <w:vertAlign w:val="baseline"/>
        </w:rPr>
        <w:t> </w:t>
      </w:r>
      <w:r>
        <w:rPr>
          <w:vertAlign w:val="baseline"/>
        </w:rPr>
        <w:t>London</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view</w:t>
      </w:r>
      <w:r>
        <w:rPr>
          <w:spacing w:val="-1"/>
          <w:vertAlign w:val="baseline"/>
        </w:rPr>
        <w:t> </w:t>
      </w:r>
      <w:r>
        <w:rPr>
          <w:vertAlign w:val="baseline"/>
        </w:rPr>
        <w:t>to</w:t>
      </w:r>
      <w:r>
        <w:rPr>
          <w:spacing w:val="-1"/>
          <w:vertAlign w:val="baseline"/>
        </w:rPr>
        <w:t> </w:t>
      </w:r>
      <w:r>
        <w:rPr>
          <w:vertAlign w:val="baseline"/>
        </w:rPr>
        <w:t>letting</w:t>
      </w:r>
      <w:r>
        <w:rPr>
          <w:spacing w:val="-1"/>
          <w:vertAlign w:val="baseline"/>
        </w:rPr>
        <w:t> </w:t>
      </w:r>
      <w:r>
        <w:rPr>
          <w:vertAlign w:val="baseline"/>
        </w:rPr>
        <w:t>it</w:t>
      </w:r>
      <w:r>
        <w:rPr>
          <w:spacing w:val="-1"/>
          <w:vertAlign w:val="baseline"/>
        </w:rPr>
        <w:t> </w:t>
      </w:r>
      <w:r>
        <w:rPr>
          <w:vertAlign w:val="baseline"/>
        </w:rPr>
        <w:t>on</w:t>
      </w:r>
      <w:r>
        <w:rPr>
          <w:spacing w:val="-1"/>
          <w:vertAlign w:val="baseline"/>
        </w:rPr>
        <w:t> </w:t>
      </w:r>
      <w:r>
        <w:rPr>
          <w:vertAlign w:val="baseline"/>
        </w:rPr>
        <w:t>“holiday</w:t>
      </w:r>
      <w:r>
        <w:rPr>
          <w:spacing w:val="-1"/>
          <w:vertAlign w:val="baseline"/>
        </w:rPr>
        <w:t> </w:t>
      </w:r>
      <w:r>
        <w:rPr>
          <w:vertAlign w:val="baseline"/>
        </w:rPr>
        <w:t>lets”,</w:t>
      </w:r>
      <w:r>
        <w:rPr>
          <w:spacing w:val="-1"/>
          <w:vertAlign w:val="baseline"/>
        </w:rPr>
        <w:t> </w:t>
      </w:r>
      <w:r>
        <w:rPr>
          <w:vertAlign w:val="baseline"/>
        </w:rPr>
        <w:t>a</w:t>
      </w:r>
      <w:r>
        <w:rPr>
          <w:spacing w:val="-1"/>
          <w:vertAlign w:val="baseline"/>
        </w:rPr>
        <w:t> </w:t>
      </w:r>
      <w:r>
        <w:rPr>
          <w:vertAlign w:val="baseline"/>
        </w:rPr>
        <w:t>use</w:t>
      </w:r>
      <w:r>
        <w:rPr>
          <w:spacing w:val="-1"/>
          <w:vertAlign w:val="baseline"/>
        </w:rPr>
        <w:t> </w:t>
      </w:r>
      <w:r>
        <w:rPr>
          <w:vertAlign w:val="baseline"/>
        </w:rPr>
        <w:t>which</w:t>
      </w:r>
      <w:r>
        <w:rPr>
          <w:spacing w:val="-1"/>
          <w:vertAlign w:val="baseline"/>
        </w:rPr>
        <w:t> </w:t>
      </w:r>
      <w:r>
        <w:rPr>
          <w:vertAlign w:val="baseline"/>
        </w:rPr>
        <w:t>they</w:t>
      </w:r>
      <w:r>
        <w:rPr>
          <w:spacing w:val="-1"/>
          <w:vertAlign w:val="baseline"/>
        </w:rPr>
        <w:t> </w:t>
      </w:r>
      <w:r>
        <w:rPr>
          <w:vertAlign w:val="baseline"/>
        </w:rPr>
        <w:t>made</w:t>
      </w:r>
      <w:r>
        <w:rPr>
          <w:spacing w:val="-1"/>
          <w:vertAlign w:val="baseline"/>
        </w:rPr>
        <w:t> </w:t>
      </w:r>
      <w:r>
        <w:rPr>
          <w:vertAlign w:val="baseline"/>
        </w:rPr>
        <w:t>clear they required so as to benefit from tax relief in respect of a capital gain they had already made. </w:t>
      </w:r>
      <w:r>
        <w:rPr>
          <w:color w:val="005DA1"/>
          <w:u w:val="single" w:color="005DA1"/>
          <w:vertAlign w:val="superscript"/>
        </w:rPr>
        <w:t>1290</w:t>
      </w:r>
      <w:r>
        <w:rPr>
          <w:color w:val="005DA1"/>
          <w:vertAlign w:val="baseline"/>
        </w:rPr>
        <w:t> </w:t>
      </w:r>
      <w:r>
        <w:rPr>
          <w:vertAlign w:val="baseline"/>
        </w:rPr>
        <w:t>One of the estate agent’s employees had, at some time before any retainer, assured them that he knew about the local planning requirements which would need to be satisfied to allow the plaintiffs to use whatever property they bought for this purpose. In the result, however, the property which the estate agents put forward and which the plaintiffs bought could not be used for holiday lets under the relevant planning rules. At first instance, the judge held the estate agents liable in the tort of negligence, but </w:t>
      </w:r>
      <w:r>
        <w:rPr>
          <w:rFonts w:ascii="Arial" w:hAnsi="Arial"/>
          <w:i/>
          <w:vertAlign w:val="baseline"/>
        </w:rPr>
        <w:t>not </w:t>
      </w:r>
      <w:r>
        <w:rPr>
          <w:vertAlign w:val="baseline"/>
        </w:rPr>
        <w:t>liable for breach of contract on the basis that there was no express term of the retainer agreement (nor of a second “valuation agreement”) between the parties that the agents should investigate the planning issue. The estate agents appealed against this decision as to their liability in tort, but no appeal was made by the plaintiffs on the decision made against them in</w:t>
      </w:r>
      <w:r>
        <w:rPr>
          <w:spacing w:val="40"/>
          <w:vertAlign w:val="baseline"/>
        </w:rPr>
        <w:t> </w:t>
      </w:r>
      <w:r>
        <w:rPr>
          <w:vertAlign w:val="baseline"/>
        </w:rPr>
        <w:t>contract. Before the Court of Appeal, therefore, the estate agents argued that any duty of care in tort which they might have owed to the plaintiffs could not be wider than the express and implied terms of the contract between them and contended that the judge’s decision on the terms of their contracts </w:t>
      </w:r>
      <w:bookmarkStart w:name="_bookmark1840" w:id="1842"/>
      <w:bookmarkEnd w:id="1842"/>
      <w:r>
        <w:rPr>
          <w:vertAlign w:val="baseline"/>
        </w:rPr>
        <w:t>meant</w:t>
      </w:r>
      <w:r>
        <w:rPr>
          <w:vertAlign w:val="baseline"/>
        </w:rPr>
        <w:t> that they could not be liable in tort. Hirst L.J., however, rejected this argument, relying on a passage of Lord Goff of Chieveley’s speech in </w:t>
      </w:r>
      <w:r>
        <w:rPr>
          <w:rFonts w:ascii="Arial" w:hAnsi="Arial"/>
          <w:i/>
          <w:vertAlign w:val="baseline"/>
        </w:rPr>
        <w:t>Henderson v Merrett Syndicates Ltd </w:t>
      </w:r>
      <w:r>
        <w:rPr>
          <w:color w:val="005DA1"/>
          <w:u w:val="single" w:color="005DA1"/>
          <w:vertAlign w:val="superscript"/>
        </w:rPr>
        <w:t>1291</w:t>
      </w:r>
      <w:r>
        <w:rPr>
          <w:color w:val="005DA1"/>
          <w:vertAlign w:val="baseline"/>
        </w:rPr>
        <w:t> </w:t>
      </w:r>
      <w:r>
        <w:rPr>
          <w:vertAlign w:val="baseline"/>
        </w:rPr>
        <w:t>and stating </w:t>
      </w:r>
      <w:r>
        <w:rPr>
          <w:spacing w:val="-2"/>
          <w:vertAlign w:val="baseline"/>
        </w:rPr>
        <w:t>that:</w:t>
      </w:r>
    </w:p>
    <w:p>
      <w:pPr>
        <w:pStyle w:val="BodyText"/>
      </w:pPr>
    </w:p>
    <w:p>
      <w:pPr>
        <w:pStyle w:val="BodyText"/>
        <w:spacing w:before="120"/>
      </w:pPr>
    </w:p>
    <w:p>
      <w:pPr>
        <w:pStyle w:val="BodyText"/>
        <w:spacing w:line="235" w:lineRule="auto"/>
        <w:ind w:left="1245" w:right="167"/>
        <w:jc w:val="both"/>
      </w:pPr>
      <w:r>
        <w:rPr/>
        <w:t>“… there is no reason in principle why a </w:t>
      </w:r>
      <w:r>
        <w:rPr>
          <w:rFonts w:ascii="Arial" w:hAnsi="Arial"/>
          <w:i/>
        </w:rPr>
        <w:t>Hedley Byrne </w:t>
      </w:r>
      <w:r>
        <w:rPr/>
        <w:t>type of duty of care cannot arise in an overall set of circumstances where, by reference to certain limited aspects of </w:t>
      </w:r>
      <w:r>
        <w:rPr/>
        <w:t>those circumstances, the same parties enter into a contractual relationship involving more limited obligations than those imposed by the duty of care in tort. In such circumstances, </w:t>
      </w:r>
      <w:bookmarkStart w:name="_bookmark1841" w:id="1843"/>
      <w:bookmarkEnd w:id="1843"/>
      <w:r>
        <w:rPr/>
        <w:t>the</w:t>
      </w:r>
      <w:r>
        <w:rPr/>
        <w:t> duty of care in tort and the duties imposed by the contract will be concurrent but not coextensive.” </w:t>
      </w:r>
      <w:r>
        <w:rPr>
          <w:color w:val="005DA1"/>
          <w:u w:val="single" w:color="005DA1"/>
          <w:vertAlign w:val="superscript"/>
        </w:rPr>
        <w:t>1292</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1842" w:id="1844"/>
      <w:bookmarkEnd w:id="1844"/>
      <w:r>
        <w:rPr/>
      </w:r>
      <w:r>
        <w:rPr/>
        <w:t>The Court of Appeal held, therefore, that the judge below was entitled to rely on a factual context wider than the contractual agreements between the parties to establish a duty of care in tort. </w:t>
      </w:r>
      <w:r>
        <w:rPr>
          <w:color w:val="005DA1"/>
          <w:u w:val="single" w:color="005DA1"/>
          <w:vertAlign w:val="superscript"/>
        </w:rPr>
        <w:t>1293</w:t>
      </w:r>
      <w:r>
        <w:rPr>
          <w:color w:val="005DA1"/>
          <w:vertAlign w:val="baseline"/>
        </w:rPr>
        <w:t> </w:t>
      </w:r>
      <w:r>
        <w:rPr>
          <w:vertAlign w:val="baseline"/>
        </w:rPr>
        <w:t>This approach clearly accords with the general position taken in </w:t>
      </w:r>
      <w:r>
        <w:rPr>
          <w:rFonts w:ascii="Arial" w:hAnsi="Arial"/>
          <w:i/>
          <w:vertAlign w:val="baseline"/>
        </w:rPr>
        <w:t>Henderson v Merrett Syndicates Ltd </w:t>
      </w:r>
      <w:r>
        <w:rPr>
          <w:vertAlign w:val="baseline"/>
        </w:rPr>
        <w:t>in favour of allowing tort to apply between parties to a contract, but it appears to ignore the thrust of the “logical argument” outlined in the previous paragraph against finding a tortious assumption of responsibility in a case of contractual silence. In this regard, however, there is, with respect, a </w:t>
      </w:r>
      <w:bookmarkStart w:name="_bookmark1843" w:id="1845"/>
      <w:bookmarkEnd w:id="1845"/>
      <w:r>
        <w:rPr>
          <w:vertAlign w:val="baseline"/>
        </w:rPr>
        <w:t>particular</w:t>
      </w:r>
      <w:r>
        <w:rPr>
          <w:vertAlign w:val="baseline"/>
        </w:rPr>
        <w:t> difficulty with the decision in </w:t>
      </w:r>
      <w:r>
        <w:rPr>
          <w:rFonts w:ascii="Arial" w:hAnsi="Arial"/>
          <w:i/>
          <w:vertAlign w:val="baseline"/>
        </w:rPr>
        <w:t>Holt</w:t>
      </w:r>
      <w:r>
        <w:rPr>
          <w:vertAlign w:val="baseline"/>
        </w:rPr>
        <w:t>: for while Hirst L.J. based the estate agent’s liability in tort on the principle of assumption of responsibility, </w:t>
      </w:r>
      <w:r>
        <w:rPr>
          <w:color w:val="005DA1"/>
          <w:u w:val="single" w:color="005DA1"/>
          <w:vertAlign w:val="superscript"/>
        </w:rPr>
        <w:t>1294</w:t>
      </w:r>
      <w:r>
        <w:rPr>
          <w:color w:val="005DA1"/>
          <w:vertAlign w:val="baseline"/>
        </w:rPr>
        <w:t> </w:t>
      </w:r>
      <w:r>
        <w:rPr>
          <w:vertAlign w:val="baseline"/>
        </w:rPr>
        <w:t>he found (as he had been invited to by </w:t>
      </w:r>
      <w:r>
        <w:rPr>
          <w:rFonts w:ascii="Arial" w:hAnsi="Arial"/>
          <w:i/>
          <w:vertAlign w:val="baseline"/>
        </w:rPr>
        <w:t>both </w:t>
      </w:r>
      <w:r>
        <w:rPr>
          <w:vertAlign w:val="baseline"/>
        </w:rPr>
        <w:t>parties) the: “ … essential characteristics of a situation giving rise to a cause of action in negligence </w:t>
      </w:r>
      <w:bookmarkStart w:name="_bookmark1844" w:id="1846"/>
      <w:bookmarkEnd w:id="1846"/>
      <w:r>
        <w:rPr>
          <w:vertAlign w:val="baseline"/>
        </w:rPr>
        <w:t>based</w:t>
      </w:r>
      <w:r>
        <w:rPr>
          <w:vertAlign w:val="baseline"/>
        </w:rPr>
        <w:t> on a duty of case of the </w:t>
      </w:r>
      <w:r>
        <w:rPr>
          <w:rFonts w:ascii="Arial" w:hAnsi="Arial"/>
          <w:i/>
          <w:vertAlign w:val="baseline"/>
        </w:rPr>
        <w:t>Hedley Byrne </w:t>
      </w:r>
      <w:r>
        <w:rPr>
          <w:vertAlign w:val="baseline"/>
        </w:rPr>
        <w:t>type”, in a passage of Lord Oliver’s speech in </w:t>
      </w:r>
      <w:r>
        <w:rPr>
          <w:rFonts w:ascii="Arial" w:hAnsi="Arial"/>
          <w:i/>
          <w:vertAlign w:val="baseline"/>
        </w:rPr>
        <w:t>Caparo </w:t>
      </w:r>
      <w:bookmarkStart w:name="_bookmark1845" w:id="1847"/>
      <w:bookmarkEnd w:id="1847"/>
      <w:r>
        <w:rPr>
          <w:rFonts w:ascii="Arial" w:hAnsi="Arial"/>
          <w:i/>
          <w:vertAlign w:val="baseline"/>
        </w:rPr>
        <w:t>Industries</w:t>
      </w:r>
      <w:r>
        <w:rPr>
          <w:rFonts w:ascii="Arial" w:hAnsi="Arial"/>
          <w:i/>
          <w:vertAlign w:val="baseline"/>
        </w:rPr>
        <w:t> Plc v Dickman</w:t>
      </w:r>
      <w:r>
        <w:rPr>
          <w:vertAlign w:val="baseline"/>
        </w:rPr>
        <w:t>, </w:t>
      </w:r>
      <w:r>
        <w:rPr>
          <w:color w:val="005DA1"/>
          <w:u w:val="single" w:color="005DA1"/>
          <w:vertAlign w:val="superscript"/>
        </w:rPr>
        <w:t>1295</w:t>
      </w:r>
      <w:r>
        <w:rPr>
          <w:color w:val="005DA1"/>
          <w:vertAlign w:val="baseline"/>
        </w:rPr>
        <w:t> </w:t>
      </w:r>
      <w:r>
        <w:rPr>
          <w:vertAlign w:val="baseline"/>
        </w:rPr>
        <w:t>which looks to the defendant’s giving of advice to a person who he knows is likely to rely on it, rather than to any agreement to do a task by the defendant. </w:t>
      </w:r>
      <w:r>
        <w:rPr>
          <w:color w:val="005DA1"/>
          <w:u w:val="single" w:color="005DA1"/>
          <w:vertAlign w:val="superscript"/>
        </w:rPr>
        <w:t>1296</w:t>
      </w:r>
      <w:r>
        <w:rPr>
          <w:color w:val="005DA1"/>
          <w:vertAlign w:val="baseline"/>
        </w:rPr>
        <w:t> </w:t>
      </w:r>
      <w:r>
        <w:rPr>
          <w:vertAlign w:val="baseline"/>
        </w:rPr>
        <w:t>This approach to the </w:t>
      </w:r>
      <w:r>
        <w:rPr>
          <w:rFonts w:ascii="Arial" w:hAnsi="Arial"/>
          <w:i/>
          <w:vertAlign w:val="baseline"/>
        </w:rPr>
        <w:t>Hedley Byrne </w:t>
      </w:r>
      <w:r>
        <w:rPr>
          <w:vertAlign w:val="baseline"/>
        </w:rPr>
        <w:t>principle was entirely understandable on the facts, since it was clearly the bad or inadequate advice which the plaintiffs were given by the estate agents’ employee which formed the basis of any imposition of liability in tort. Certainly, where liability under </w:t>
      </w:r>
      <w:r>
        <w:rPr>
          <w:rFonts w:ascii="Arial" w:hAnsi="Arial"/>
          <w:i/>
          <w:vertAlign w:val="baseline"/>
        </w:rPr>
        <w:t>Hedley Byrne </w:t>
      </w:r>
      <w:r>
        <w:rPr>
          <w:vertAlign w:val="baseline"/>
        </w:rPr>
        <w:t>is</w:t>
      </w:r>
      <w:r>
        <w:rPr>
          <w:spacing w:val="40"/>
          <w:vertAlign w:val="baseline"/>
        </w:rPr>
        <w:t> </w:t>
      </w:r>
      <w:r>
        <w:rPr>
          <w:vertAlign w:val="baseline"/>
        </w:rPr>
        <w:t>put in terms of a negligent misstatement given by a person who can foresee that it will be relied on rather than in the broader terms of an “assumption of responsibility” in the sense of an agreement to perform a service for the other party, then there is nothing inconsistent in finding a duty of care under </w:t>
      </w:r>
      <w:r>
        <w:rPr>
          <w:rFonts w:ascii="Arial" w:hAnsi="Arial"/>
          <w:i/>
          <w:vertAlign w:val="baseline"/>
        </w:rPr>
        <w:t>Hedley</w:t>
      </w:r>
      <w:r>
        <w:rPr>
          <w:rFonts w:ascii="Arial" w:hAnsi="Arial"/>
          <w:i/>
          <w:spacing w:val="-1"/>
          <w:vertAlign w:val="baseline"/>
        </w:rPr>
        <w:t> </w:t>
      </w:r>
      <w:r>
        <w:rPr>
          <w:rFonts w:ascii="Arial" w:hAnsi="Arial"/>
          <w:i/>
          <w:vertAlign w:val="baseline"/>
        </w:rPr>
        <w:t>Byrne</w:t>
      </w:r>
      <w:r>
        <w:rPr>
          <w:rFonts w:ascii="Arial" w:hAnsi="Arial"/>
          <w:i/>
          <w:spacing w:val="-1"/>
          <w:vertAlign w:val="baseline"/>
        </w:rPr>
        <w:t> </w:t>
      </w:r>
      <w:r>
        <w:rPr>
          <w:vertAlign w:val="baseline"/>
        </w:rPr>
        <w:t>but</w:t>
      </w:r>
      <w:r>
        <w:rPr>
          <w:spacing w:val="-1"/>
          <w:vertAlign w:val="baseline"/>
        </w:rPr>
        <w:t> </w:t>
      </w:r>
      <w:r>
        <w:rPr>
          <w:vertAlign w:val="baseline"/>
        </w:rPr>
        <w:t>no</w:t>
      </w:r>
      <w:r>
        <w:rPr>
          <w:spacing w:val="-1"/>
          <w:vertAlign w:val="baseline"/>
        </w:rPr>
        <w:t> </w:t>
      </w:r>
      <w:r>
        <w:rPr>
          <w:vertAlign w:val="baseline"/>
        </w:rPr>
        <w:t>express</w:t>
      </w:r>
      <w:r>
        <w:rPr>
          <w:spacing w:val="-1"/>
          <w:vertAlign w:val="baseline"/>
        </w:rPr>
        <w:t> </w:t>
      </w:r>
      <w:r>
        <w:rPr>
          <w:vertAlign w:val="baseline"/>
        </w:rPr>
        <w:t>or</w:t>
      </w:r>
      <w:r>
        <w:rPr>
          <w:spacing w:val="-1"/>
          <w:vertAlign w:val="baseline"/>
        </w:rPr>
        <w:t> </w:t>
      </w:r>
      <w:r>
        <w:rPr>
          <w:vertAlign w:val="baseline"/>
        </w:rPr>
        <w:t>implied</w:t>
      </w:r>
      <w:r>
        <w:rPr>
          <w:spacing w:val="-1"/>
          <w:vertAlign w:val="baseline"/>
        </w:rPr>
        <w:t> </w:t>
      </w:r>
      <w:r>
        <w:rPr>
          <w:vertAlign w:val="baseline"/>
        </w:rPr>
        <w:t>duty</w:t>
      </w:r>
      <w:r>
        <w:rPr>
          <w:spacing w:val="-1"/>
          <w:vertAlign w:val="baseline"/>
        </w:rPr>
        <w:t> </w:t>
      </w:r>
      <w:r>
        <w:rPr>
          <w:vertAlign w:val="baseline"/>
        </w:rPr>
        <w:t>of</w:t>
      </w:r>
      <w:r>
        <w:rPr>
          <w:spacing w:val="-1"/>
          <w:vertAlign w:val="baseline"/>
        </w:rPr>
        <w:t> </w:t>
      </w:r>
      <w:r>
        <w:rPr>
          <w:vertAlign w:val="baseline"/>
        </w:rPr>
        <w:t>care</w:t>
      </w:r>
      <w:r>
        <w:rPr>
          <w:spacing w:val="-1"/>
          <w:vertAlign w:val="baseline"/>
        </w:rPr>
        <w:t> </w:t>
      </w:r>
      <w:r>
        <w:rPr>
          <w:vertAlign w:val="baseline"/>
        </w:rPr>
        <w:t>in</w:t>
      </w:r>
      <w:r>
        <w:rPr>
          <w:spacing w:val="-1"/>
          <w:vertAlign w:val="baseline"/>
        </w:rPr>
        <w:t> </w:t>
      </w:r>
      <w:r>
        <w:rPr>
          <w:vertAlign w:val="baseline"/>
        </w:rPr>
        <w:t>contract.</w:t>
      </w:r>
      <w:r>
        <w:rPr>
          <w:spacing w:val="-1"/>
          <w:vertAlign w:val="baseline"/>
        </w:rPr>
        <w:t> </w:t>
      </w:r>
      <w:r>
        <w:rPr>
          <w:vertAlign w:val="baseline"/>
        </w:rPr>
        <w:t>By</w:t>
      </w:r>
      <w:r>
        <w:rPr>
          <w:spacing w:val="-1"/>
          <w:vertAlign w:val="baseline"/>
        </w:rPr>
        <w:t> </w:t>
      </w:r>
      <w:r>
        <w:rPr>
          <w:vertAlign w:val="baseline"/>
        </w:rPr>
        <w:t>contrast,</w:t>
      </w:r>
      <w:r>
        <w:rPr>
          <w:spacing w:val="-1"/>
          <w:vertAlign w:val="baseline"/>
        </w:rPr>
        <w:t> </w:t>
      </w:r>
      <w:r>
        <w:rPr>
          <w:vertAlign w:val="baseline"/>
        </w:rPr>
        <w:t>however,</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extent</w:t>
      </w:r>
      <w:r>
        <w:rPr>
          <w:spacing w:val="-1"/>
          <w:vertAlign w:val="baseline"/>
        </w:rPr>
        <w:t> </w:t>
      </w:r>
      <w:r>
        <w:rPr>
          <w:vertAlign w:val="baseline"/>
        </w:rPr>
        <w:t>to which a defendant’s having “assumed responsibility” for doing something is to mean that he “agreed</w:t>
      </w:r>
      <w:r>
        <w:rPr>
          <w:spacing w:val="40"/>
          <w:vertAlign w:val="baseline"/>
        </w:rPr>
        <w:t> </w:t>
      </w:r>
      <w:bookmarkStart w:name="_bookmark1846" w:id="1848"/>
      <w:bookmarkEnd w:id="1848"/>
      <w:r>
        <w:rPr>
          <w:vertAlign w:val="baseline"/>
        </w:rPr>
        <w:t>to</w:t>
      </w:r>
      <w:r>
        <w:rPr>
          <w:vertAlign w:val="baseline"/>
        </w:rPr>
        <w:t> do it”, then it is submitted that it is much more difficult to hold that a party “agreed to do it” for the </w:t>
      </w:r>
      <w:bookmarkStart w:name="_bookmark1847" w:id="1849"/>
      <w:bookmarkEnd w:id="1849"/>
      <w:r>
        <w:rPr>
          <w:vertAlign w:val="baseline"/>
        </w:rPr>
        <w:t>purposes</w:t>
      </w:r>
      <w:r>
        <w:rPr>
          <w:vertAlign w:val="baseline"/>
        </w:rPr>
        <w:t> of the tort but did not “agree to do it” for the purposes of the contract. </w:t>
      </w:r>
      <w:r>
        <w:rPr>
          <w:color w:val="005DA1"/>
          <w:u w:val="single" w:color="005DA1"/>
          <w:vertAlign w:val="superscript"/>
        </w:rPr>
        <w:t>1297</w:t>
      </w:r>
      <w:r>
        <w:rPr>
          <w:color w:val="005DA1"/>
          <w:vertAlign w:val="baseline"/>
        </w:rPr>
        <w:t> </w:t>
      </w:r>
      <w:r>
        <w:rPr>
          <w:vertAlign w:val="baseline"/>
        </w:rPr>
        <w:t>So, in </w:t>
      </w:r>
      <w:r>
        <w:rPr>
          <w:rFonts w:ascii="Arial" w:hAnsi="Arial"/>
          <w:i/>
          <w:vertAlign w:val="baseline"/>
        </w:rPr>
        <w:t>Outram v Academy Plastics Ltd </w:t>
      </w:r>
      <w:r>
        <w:rPr>
          <w:color w:val="005DA1"/>
          <w:u w:val="single" w:color="005DA1"/>
          <w:vertAlign w:val="superscript"/>
        </w:rPr>
        <w:t>1298</w:t>
      </w:r>
      <w:r>
        <w:rPr>
          <w:color w:val="005DA1"/>
          <w:vertAlign w:val="baseline"/>
        </w:rPr>
        <w:t> </w:t>
      </w:r>
      <w:r>
        <w:rPr>
          <w:vertAlign w:val="baseline"/>
        </w:rPr>
        <w:t>the Court of Appeal held that where a contract of employment did not contain an express or implied term imposing on the employer a duty to inform his employee of a right </w:t>
      </w:r>
      <w:bookmarkStart w:name="_bookmark1848" w:id="1850"/>
      <w:bookmarkEnd w:id="1850"/>
      <w:r>
        <w:rPr>
          <w:vertAlign w:val="baseline"/>
        </w:rPr>
        <w:t>arising</w:t>
      </w:r>
      <w:r>
        <w:rPr>
          <w:vertAlign w:val="baseline"/>
        </w:rPr>
        <w:t> from the contract, no duty of care in the tort of negligence would be imposed to the same</w:t>
      </w:r>
      <w:r>
        <w:rPr>
          <w:spacing w:val="40"/>
          <w:vertAlign w:val="baseline"/>
        </w:rPr>
        <w:t> </w:t>
      </w:r>
      <w:r>
        <w:rPr>
          <w:vertAlign w:val="baseline"/>
        </w:rPr>
        <w:t>effect based on an assumption of responsibility or otherwise. </w:t>
      </w:r>
      <w:r>
        <w:rPr>
          <w:color w:val="005DA1"/>
          <w:u w:val="single" w:color="005DA1"/>
          <w:vertAlign w:val="superscript"/>
        </w:rPr>
        <w:t>1299</w:t>
      </w:r>
    </w:p>
    <w:p>
      <w:pPr>
        <w:pStyle w:val="BodyText"/>
      </w:pPr>
    </w:p>
    <w:p>
      <w:pPr>
        <w:pStyle w:val="BodyText"/>
        <w:spacing w:before="29"/>
      </w:pPr>
    </w:p>
    <w:p>
      <w:pPr>
        <w:spacing w:before="0"/>
        <w:ind w:left="165" w:right="0" w:firstLine="0"/>
        <w:jc w:val="both"/>
        <w:rPr>
          <w:rFonts w:ascii="Arial"/>
          <w:b/>
          <w:sz w:val="18"/>
        </w:rPr>
      </w:pPr>
      <w:r>
        <w:rPr>
          <w:rFonts w:ascii="Arial"/>
          <w:b/>
          <w:sz w:val="18"/>
        </w:rPr>
        <w:t>Scope of duty in tort reflected in scope of contractual implied </w:t>
      </w:r>
      <w:r>
        <w:rPr>
          <w:rFonts w:ascii="Arial"/>
          <w:b/>
          <w:spacing w:val="-4"/>
          <w:sz w:val="18"/>
        </w:rPr>
        <w:t>term</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4"/>
          <w:sz w:val="24"/>
        </w:rPr>
        <w:t>190A</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461" name="Image 461"/>
            <wp:cNvGraphicFramePr>
              <a:graphicFrameLocks/>
            </wp:cNvGraphicFramePr>
            <a:graphic>
              <a:graphicData uri="http://schemas.openxmlformats.org/drawingml/2006/picture">
                <pic:pic>
                  <pic:nvPicPr>
                    <pic:cNvPr id="461" name="Image 46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discussion in the preceding paragraphs has considered whether the existence or content of a </w:t>
      </w:r>
      <w:bookmarkStart w:name="_bookmark1849" w:id="1851"/>
      <w:bookmarkEnd w:id="1851"/>
      <w:r>
        <w:rPr/>
        <w:t>contract</w:t>
      </w:r>
      <w:r>
        <w:rPr/>
        <w:t> between the parties should affect any claimed liability in tort arising between them, but in </w:t>
      </w:r>
      <w:r>
        <w:rPr>
          <w:rFonts w:ascii="Arial" w:hAnsi="Arial"/>
          <w:i/>
        </w:rPr>
        <w:t>Greenway v Johnson Matthey Plc </w:t>
      </w:r>
      <w:r>
        <w:rPr>
          <w:color w:val="005DA1"/>
          <w:u w:val="single" w:color="005DA1"/>
          <w:vertAlign w:val="superscript"/>
        </w:rPr>
        <w:t>1300</w:t>
      </w:r>
      <w:r>
        <w:rPr>
          <w:color w:val="005DA1"/>
          <w:vertAlign w:val="baseline"/>
        </w:rPr>
        <w:t> </w:t>
      </w:r>
      <w:r>
        <w:rPr>
          <w:vertAlign w:val="baseline"/>
        </w:rPr>
        <w:t>the High Court considered the converse question, that is, whether the scope of a duty in tort arising in one party to a contract to the other should affect the scope of the former’s liability for breach of contract. In </w:t>
      </w:r>
      <w:r>
        <w:rPr>
          <w:rFonts w:ascii="Arial" w:hAnsi="Arial"/>
          <w:i/>
          <w:vertAlign w:val="baseline"/>
        </w:rPr>
        <w:t>Greenway v Johnson Matthey Plc </w:t>
      </w:r>
      <w:r>
        <w:rPr>
          <w:vertAlign w:val="baseline"/>
        </w:rPr>
        <w:t>the</w:t>
      </w:r>
      <w:r>
        <w:rPr>
          <w:spacing w:val="80"/>
          <w:vertAlign w:val="baseline"/>
        </w:rPr>
        <w:t> </w:t>
      </w:r>
      <w:r>
        <w:rPr>
          <w:vertAlign w:val="baseline"/>
        </w:rPr>
        <w:t>claimants were employees of the defendants and had, during their employment, been exposed to platinum salts. This had created a sensitivity to the salts which would have developed into an </w:t>
      </w:r>
      <w:r>
        <w:rPr>
          <w:vertAlign w:val="baseline"/>
        </w:rPr>
        <w:t>allergy had exposure continued (which it did not, as the sensitivity was discovered), but otherwise the sensitivity was without symptoms. The claimants claimed damages alleging that they had lost earnings as they had changed jobs (or tasks within their employment) as a result of the need to avoid the</w:t>
      </w:r>
      <w:r>
        <w:rPr>
          <w:spacing w:val="-2"/>
          <w:vertAlign w:val="baseline"/>
        </w:rPr>
        <w:t> </w:t>
      </w:r>
      <w:r>
        <w:rPr>
          <w:vertAlign w:val="baseline"/>
        </w:rPr>
        <w:t>relevant</w:t>
      </w:r>
      <w:r>
        <w:rPr>
          <w:spacing w:val="-2"/>
          <w:vertAlign w:val="baseline"/>
        </w:rPr>
        <w:t> </w:t>
      </w:r>
      <w:r>
        <w:rPr>
          <w:vertAlign w:val="baseline"/>
        </w:rPr>
        <w:t>salts.</w:t>
      </w:r>
      <w:r>
        <w:rPr>
          <w:spacing w:val="-2"/>
          <w:vertAlign w:val="baseline"/>
        </w:rPr>
        <w:t> </w:t>
      </w:r>
      <w:r>
        <w:rPr>
          <w:vertAlign w:val="baseline"/>
        </w:rPr>
        <w:t>In</w:t>
      </w:r>
      <w:r>
        <w:rPr>
          <w:spacing w:val="-2"/>
          <w:vertAlign w:val="baseline"/>
        </w:rPr>
        <w:t> </w:t>
      </w:r>
      <w:r>
        <w:rPr>
          <w:vertAlign w:val="baseline"/>
        </w:rPr>
        <w:t>these</w:t>
      </w:r>
      <w:r>
        <w:rPr>
          <w:spacing w:val="-2"/>
          <w:vertAlign w:val="baseline"/>
        </w:rPr>
        <w:t> </w:t>
      </w:r>
      <w:r>
        <w:rPr>
          <w:vertAlign w:val="baseline"/>
        </w:rPr>
        <w:t>circumstances,</w:t>
      </w:r>
      <w:r>
        <w:rPr>
          <w:spacing w:val="-2"/>
          <w:vertAlign w:val="baseline"/>
        </w:rPr>
        <w:t> </w:t>
      </w:r>
      <w:r>
        <w:rPr>
          <w:vertAlign w:val="baseline"/>
        </w:rPr>
        <w:t>the</w:t>
      </w:r>
      <w:r>
        <w:rPr>
          <w:spacing w:val="-2"/>
          <w:vertAlign w:val="baseline"/>
        </w:rPr>
        <w:t> </w:t>
      </w:r>
      <w:r>
        <w:rPr>
          <w:vertAlign w:val="baseline"/>
        </w:rPr>
        <w:t>High</w:t>
      </w:r>
      <w:r>
        <w:rPr>
          <w:spacing w:val="-2"/>
          <w:vertAlign w:val="baseline"/>
        </w:rPr>
        <w:t> </w:t>
      </w:r>
      <w:r>
        <w:rPr>
          <w:vertAlign w:val="baseline"/>
        </w:rPr>
        <w:t>Court</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claimants</w:t>
      </w:r>
      <w:r>
        <w:rPr>
          <w:spacing w:val="-2"/>
          <w:vertAlign w:val="baseline"/>
        </w:rPr>
        <w:t> </w:t>
      </w:r>
      <w:r>
        <w:rPr>
          <w:vertAlign w:val="baseline"/>
        </w:rPr>
        <w:t>had</w:t>
      </w:r>
      <w:r>
        <w:rPr>
          <w:spacing w:val="-2"/>
          <w:vertAlign w:val="baseline"/>
        </w:rPr>
        <w:t> </w:t>
      </w:r>
      <w:r>
        <w:rPr>
          <w:vertAlign w:val="baseline"/>
        </w:rPr>
        <w:t>not</w:t>
      </w:r>
      <w:r>
        <w:rPr>
          <w:spacing w:val="-2"/>
          <w:vertAlign w:val="baseline"/>
        </w:rPr>
        <w:t> </w:t>
      </w:r>
      <w:r>
        <w:rPr>
          <w:vertAlign w:val="baseline"/>
        </w:rPr>
        <w:t>suffered</w:t>
      </w:r>
      <w:r>
        <w:rPr>
          <w:spacing w:val="-2"/>
          <w:vertAlign w:val="baseline"/>
        </w:rPr>
        <w:t> </w:t>
      </w:r>
      <w:r>
        <w:rPr>
          <w:vertAlign w:val="baseline"/>
        </w:rPr>
        <w:t>any </w:t>
      </w:r>
      <w:bookmarkStart w:name="_bookmark1850" w:id="1852"/>
      <w:bookmarkEnd w:id="1852"/>
      <w:r>
        <w:rPr>
          <w:vertAlign w:val="baseline"/>
        </w:rPr>
        <w:t>actionable</w:t>
      </w:r>
      <w:r>
        <w:rPr>
          <w:vertAlign w:val="baseline"/>
        </w:rPr>
        <w:t> injury for the purposes of their claims in tort (whether in the tort of negligence or for breach of</w:t>
      </w:r>
      <w:r>
        <w:rPr>
          <w:spacing w:val="-1"/>
          <w:vertAlign w:val="baseline"/>
        </w:rPr>
        <w:t> </w:t>
      </w:r>
      <w:r>
        <w:rPr>
          <w:vertAlign w:val="baseline"/>
        </w:rPr>
        <w:t>statutory</w:t>
      </w:r>
      <w:r>
        <w:rPr>
          <w:spacing w:val="-1"/>
          <w:vertAlign w:val="baseline"/>
        </w:rPr>
        <w:t> </w:t>
      </w:r>
      <w:r>
        <w:rPr>
          <w:vertAlign w:val="baseline"/>
        </w:rPr>
        <w:t>duty):</w:t>
      </w:r>
      <w:r>
        <w:rPr>
          <w:spacing w:val="-1"/>
          <w:vertAlign w:val="baseline"/>
        </w:rPr>
        <w:t> </w:t>
      </w:r>
      <w:r>
        <w:rPr>
          <w:vertAlign w:val="baseline"/>
        </w:rPr>
        <w:t>properly</w:t>
      </w:r>
      <w:r>
        <w:rPr>
          <w:spacing w:val="-1"/>
          <w:vertAlign w:val="baseline"/>
        </w:rPr>
        <w:t> </w:t>
      </w:r>
      <w:r>
        <w:rPr>
          <w:vertAlign w:val="baseline"/>
        </w:rPr>
        <w:t>analysed,</w:t>
      </w:r>
      <w:r>
        <w:rPr>
          <w:spacing w:val="-1"/>
          <w:vertAlign w:val="baseline"/>
        </w:rPr>
        <w:t> </w:t>
      </w:r>
      <w:r>
        <w:rPr>
          <w:vertAlign w:val="baseline"/>
        </w:rPr>
        <w:t>their</w:t>
      </w:r>
      <w:r>
        <w:rPr>
          <w:spacing w:val="-1"/>
          <w:vertAlign w:val="baseline"/>
        </w:rPr>
        <w:t> </w:t>
      </w:r>
      <w:r>
        <w:rPr>
          <w:vertAlign w:val="baseline"/>
        </w:rPr>
        <w:t>claim</w:t>
      </w:r>
      <w:r>
        <w:rPr>
          <w:spacing w:val="-1"/>
          <w:vertAlign w:val="baseline"/>
        </w:rPr>
        <w:t> </w:t>
      </w:r>
      <w:r>
        <w:rPr>
          <w:vertAlign w:val="baseline"/>
        </w:rPr>
        <w:t>was</w:t>
      </w:r>
      <w:r>
        <w:rPr>
          <w:spacing w:val="-1"/>
          <w:vertAlign w:val="baseline"/>
        </w:rPr>
        <w:t> </w:t>
      </w:r>
      <w:r>
        <w:rPr>
          <w:vertAlign w:val="baseline"/>
        </w:rPr>
        <w:t>for</w:t>
      </w:r>
      <w:r>
        <w:rPr>
          <w:spacing w:val="-1"/>
          <w:vertAlign w:val="baseline"/>
        </w:rPr>
        <w:t> </w:t>
      </w:r>
      <w:r>
        <w:rPr>
          <w:vertAlign w:val="baseline"/>
        </w:rPr>
        <w:t>pure</w:t>
      </w:r>
      <w:r>
        <w:rPr>
          <w:spacing w:val="-1"/>
          <w:vertAlign w:val="baseline"/>
        </w:rPr>
        <w:t> </w:t>
      </w:r>
      <w:r>
        <w:rPr>
          <w:vertAlign w:val="baseline"/>
        </w:rPr>
        <w:t>economic</w:t>
      </w:r>
      <w:r>
        <w:rPr>
          <w:spacing w:val="-1"/>
          <w:vertAlign w:val="baseline"/>
        </w:rPr>
        <w:t> </w:t>
      </w:r>
      <w:r>
        <w:rPr>
          <w:vertAlign w:val="baseline"/>
        </w:rPr>
        <w:t>loss.</w:t>
      </w:r>
      <w:r>
        <w:rPr>
          <w:spacing w:val="-2"/>
          <w:vertAlign w:val="baseline"/>
        </w:rPr>
        <w:t> </w:t>
      </w:r>
      <w:r>
        <w:rPr>
          <w:color w:val="005DA1"/>
          <w:u w:val="single" w:color="005DA1"/>
          <w:vertAlign w:val="superscript"/>
        </w:rPr>
        <w:t>1301</w:t>
      </w:r>
      <w:r>
        <w:rPr>
          <w:color w:val="005DA1"/>
          <w:spacing w:val="-1"/>
          <w:vertAlign w:val="baseline"/>
        </w:rPr>
        <w:t> </w:t>
      </w:r>
      <w:r>
        <w:rPr>
          <w:vertAlign w:val="baseline"/>
        </w:rPr>
        <w:t>Having</w:t>
      </w:r>
      <w:r>
        <w:rPr>
          <w:spacing w:val="-1"/>
          <w:vertAlign w:val="baseline"/>
        </w:rPr>
        <w:t> </w:t>
      </w:r>
      <w:r>
        <w:rPr>
          <w:vertAlign w:val="baseline"/>
        </w:rPr>
        <w:t>so</w:t>
      </w:r>
      <w:r>
        <w:rPr>
          <w:spacing w:val="-1"/>
          <w:vertAlign w:val="baseline"/>
        </w:rPr>
        <w:t> </w:t>
      </w:r>
      <w:r>
        <w:rPr>
          <w:vertAlign w:val="baseline"/>
        </w:rPr>
        <w:t>decided,</w:t>
      </w:r>
      <w:r>
        <w:rPr>
          <w:spacing w:val="-1"/>
          <w:vertAlign w:val="baseline"/>
        </w:rPr>
        <w:t> </w:t>
      </w:r>
      <w:r>
        <w:rPr>
          <w:vertAlign w:val="baseline"/>
        </w:rPr>
        <w:t>it further held that the claimants’ alternative claim for breach of the implied term in their contract of employment that their employer should take reasonable care of their safety did not lead to any different result. This implied term “arises because the law imposes it in view of the relationship </w:t>
      </w:r>
      <w:bookmarkStart w:name="_bookmark1851" w:id="1853"/>
      <w:bookmarkEnd w:id="1853"/>
      <w:r>
        <w:rPr>
          <w:vertAlign w:val="baseline"/>
        </w:rPr>
        <w:t>between</w:t>
      </w:r>
      <w:r>
        <w:rPr>
          <w:vertAlign w:val="baseline"/>
        </w:rPr>
        <w:t> the parties” and “is in substance the same as the tortious obligation which arises for exactly the</w:t>
      </w:r>
      <w:r>
        <w:rPr>
          <w:spacing w:val="-1"/>
          <w:vertAlign w:val="baseline"/>
        </w:rPr>
        <w:t> </w:t>
      </w:r>
      <w:r>
        <w:rPr>
          <w:vertAlign w:val="baseline"/>
        </w:rPr>
        <w:t>same</w:t>
      </w:r>
      <w:r>
        <w:rPr>
          <w:spacing w:val="-1"/>
          <w:vertAlign w:val="baseline"/>
        </w:rPr>
        <w:t> </w:t>
      </w:r>
      <w:r>
        <w:rPr>
          <w:vertAlign w:val="baseline"/>
        </w:rPr>
        <w:t>reasons”.</w:t>
      </w:r>
      <w:r>
        <w:rPr>
          <w:spacing w:val="-1"/>
          <w:vertAlign w:val="baseline"/>
        </w:rPr>
        <w:t> </w:t>
      </w:r>
      <w:r>
        <w:rPr>
          <w:color w:val="005DA1"/>
          <w:u w:val="single" w:color="005DA1"/>
          <w:vertAlign w:val="superscript"/>
        </w:rPr>
        <w:t>1302</w:t>
      </w:r>
      <w:r>
        <w:rPr>
          <w:color w:val="005DA1"/>
          <w:spacing w:val="-1"/>
          <w:vertAlign w:val="baseline"/>
        </w:rPr>
        <w:t> </w:t>
      </w:r>
      <w:r>
        <w:rPr>
          <w:vertAlign w:val="baseline"/>
        </w:rPr>
        <w:t>The</w:t>
      </w:r>
      <w:r>
        <w:rPr>
          <w:spacing w:val="-1"/>
          <w:vertAlign w:val="baseline"/>
        </w:rPr>
        <w:t> </w:t>
      </w:r>
      <w:r>
        <w:rPr>
          <w:vertAlign w:val="baseline"/>
        </w:rPr>
        <w:t>scope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rule</w:t>
      </w:r>
      <w:r>
        <w:rPr>
          <w:spacing w:val="-1"/>
          <w:vertAlign w:val="baseline"/>
        </w:rPr>
        <w:t> </w:t>
      </w:r>
      <w:r>
        <w:rPr>
          <w:vertAlign w:val="baseline"/>
        </w:rPr>
        <w:t>of</w:t>
      </w:r>
      <w:r>
        <w:rPr>
          <w:spacing w:val="-1"/>
          <w:vertAlign w:val="baseline"/>
        </w:rPr>
        <w:t> </w:t>
      </w:r>
      <w:r>
        <w:rPr>
          <w:vertAlign w:val="baseline"/>
        </w:rPr>
        <w:t>public</w:t>
      </w:r>
      <w:r>
        <w:rPr>
          <w:spacing w:val="-1"/>
          <w:vertAlign w:val="baseline"/>
        </w:rPr>
        <w:t> </w:t>
      </w:r>
      <w:r>
        <w:rPr>
          <w:vertAlign w:val="baseline"/>
        </w:rPr>
        <w:t>policy</w:t>
      </w:r>
      <w:r>
        <w:rPr>
          <w:spacing w:val="-1"/>
          <w:vertAlign w:val="baseline"/>
        </w:rPr>
        <w:t> </w:t>
      </w:r>
      <w:r>
        <w:rPr>
          <w:vertAlign w:val="baseline"/>
        </w:rPr>
        <w:t>in</w:t>
      </w:r>
      <w:r>
        <w:rPr>
          <w:spacing w:val="-1"/>
          <w:vertAlign w:val="baseline"/>
        </w:rPr>
        <w:t> </w:t>
      </w:r>
      <w:r>
        <w:rPr>
          <w:vertAlign w:val="baseline"/>
        </w:rPr>
        <w:t>these</w:t>
      </w:r>
      <w:r>
        <w:rPr>
          <w:spacing w:val="-1"/>
          <w:vertAlign w:val="baseline"/>
        </w:rPr>
        <w:t> </w:t>
      </w:r>
      <w:r>
        <w:rPr>
          <w:vertAlign w:val="baseline"/>
        </w:rPr>
        <w:t>cases</w:t>
      </w:r>
      <w:r>
        <w:rPr>
          <w:spacing w:val="-1"/>
          <w:vertAlign w:val="baseline"/>
        </w:rPr>
        <w:t> </w:t>
      </w:r>
      <w:r>
        <w:rPr>
          <w:vertAlign w:val="baseline"/>
        </w:rPr>
        <w:t>is</w:t>
      </w:r>
      <w:r>
        <w:rPr>
          <w:spacing w:val="-1"/>
          <w:vertAlign w:val="baseline"/>
        </w:rPr>
        <w:t> </w:t>
      </w:r>
      <w:r>
        <w:rPr>
          <w:vertAlign w:val="baseline"/>
        </w:rPr>
        <w:t>to</w:t>
      </w:r>
      <w:r>
        <w:rPr>
          <w:spacing w:val="-1"/>
          <w:vertAlign w:val="baseline"/>
        </w:rPr>
        <w:t> </w:t>
      </w:r>
      <w:r>
        <w:rPr>
          <w:vertAlign w:val="baseline"/>
        </w:rPr>
        <w:t>safeguard</w:t>
      </w:r>
      <w:r>
        <w:rPr>
          <w:spacing w:val="-1"/>
          <w:vertAlign w:val="baseline"/>
        </w:rPr>
        <w:t> </w:t>
      </w:r>
      <w:r>
        <w:rPr>
          <w:vertAlign w:val="baseline"/>
        </w:rPr>
        <w:t>the</w:t>
      </w:r>
      <w:r>
        <w:rPr>
          <w:spacing w:val="-1"/>
          <w:vertAlign w:val="baseline"/>
        </w:rPr>
        <w:t> </w:t>
      </w:r>
      <w:r>
        <w:rPr>
          <w:vertAlign w:val="baseline"/>
        </w:rPr>
        <w:t>health </w:t>
      </w:r>
      <w:bookmarkStart w:name="_bookmark1852" w:id="1854"/>
      <w:bookmarkEnd w:id="1854"/>
      <w:r>
        <w:rPr>
          <w:vertAlign w:val="baseline"/>
        </w:rPr>
        <w:t>and</w:t>
      </w:r>
      <w:r>
        <w:rPr>
          <w:vertAlign w:val="baseline"/>
        </w:rPr>
        <w:t> safety of employees and this is reflected in the fact that the protection is from personal injury but not for economic or financial loss suffered without personal injury. </w:t>
      </w:r>
      <w:r>
        <w:rPr>
          <w:color w:val="005DA1"/>
          <w:u w:val="single" w:color="005DA1"/>
          <w:vertAlign w:val="superscript"/>
        </w:rPr>
        <w:t>1303</w:t>
      </w:r>
    </w:p>
    <w:p>
      <w:pPr>
        <w:pStyle w:val="BodyText"/>
      </w:pPr>
    </w:p>
    <w:p>
      <w:pPr>
        <w:pStyle w:val="BodyText"/>
        <w:spacing w:before="119"/>
      </w:pPr>
    </w:p>
    <w:p>
      <w:pPr>
        <w:pStyle w:val="BodyText"/>
        <w:spacing w:line="235" w:lineRule="auto"/>
        <w:ind w:left="1244" w:right="167"/>
        <w:jc w:val="both"/>
      </w:pPr>
      <w:r>
        <w:rPr/>
        <w:t>“Put another way, it is because the implied contractual duty is precisely coterminous </w:t>
      </w:r>
      <w:r>
        <w:rPr/>
        <w:t>with and reflects the obligations imposed by the law of tort—and, in particular, the tort of </w:t>
      </w:r>
      <w:bookmarkStart w:name="_bookmark1853" w:id="1855"/>
      <w:bookmarkEnd w:id="1855"/>
      <w:r>
        <w:rPr/>
        <w:t>negligence,</w:t>
      </w:r>
      <w:r>
        <w:rPr/>
        <w:t> that the outcome must be the same however the cause of action is sought to be classified.” </w:t>
      </w:r>
      <w:r>
        <w:rPr>
          <w:color w:val="005DA1"/>
          <w:u w:val="single" w:color="005DA1"/>
          <w:vertAlign w:val="superscript"/>
        </w:rPr>
        <w:t>1304</w:t>
      </w:r>
    </w:p>
    <w:p>
      <w:pPr>
        <w:pStyle w:val="BodyText"/>
        <w:spacing w:after="0" w:line="235" w:lineRule="auto"/>
        <w:jc w:val="both"/>
        <w:sectPr>
          <w:pgSz w:w="11900" w:h="16840"/>
          <w:pgMar w:header="971" w:footer="0" w:top="1300" w:bottom="280" w:left="1275" w:right="1275"/>
        </w:sectPr>
      </w:pPr>
    </w:p>
    <w:p>
      <w:pPr>
        <w:pStyle w:val="BodyText"/>
        <w:spacing w:line="360" w:lineRule="auto" w:before="106"/>
        <w:ind w:left="165" w:right="167"/>
        <w:jc w:val="both"/>
      </w:pPr>
      <w:bookmarkStart w:name="_bookmark1854" w:id="1856"/>
      <w:bookmarkEnd w:id="1856"/>
      <w:r>
        <w:rPr/>
      </w:r>
      <w:r>
        <w:rPr/>
        <w:t>Subsequently, the Court of Appeal upheld the High Court’s decision in </w:t>
      </w:r>
      <w:r>
        <w:rPr>
          <w:rFonts w:ascii="Arial" w:hAnsi="Arial"/>
          <w:i/>
        </w:rPr>
        <w:t>Greenway v Johnson Matthey </w:t>
      </w:r>
      <w:bookmarkStart w:name="_bookmark1855" w:id="1857"/>
      <w:bookmarkEnd w:id="1857"/>
      <w:r>
        <w:rPr>
          <w:rFonts w:ascii="Arial" w:hAnsi="Arial"/>
          <w:i/>
        </w:rPr>
        <w:t>Pl</w:t>
      </w:r>
      <w:r>
        <w:rPr>
          <w:rFonts w:ascii="Arial" w:hAnsi="Arial"/>
          <w:i/>
        </w:rPr>
        <w:t>c</w:t>
      </w:r>
      <w:r>
        <w:rPr/>
        <w:t>,</w:t>
      </w:r>
      <w:r>
        <w:rPr>
          <w:spacing w:val="5"/>
        </w:rPr>
        <w:t> </w:t>
      </w:r>
      <w:hyperlink w:history="true" w:anchor="_bookmark1991">
        <w:r>
          <w:rPr>
            <w:color w:val="005DA1"/>
            <w:u w:val="single" w:color="005DA1"/>
            <w:vertAlign w:val="superscript"/>
          </w:rPr>
          <w:t>1305</w:t>
        </w:r>
        <w:r>
          <w:rPr>
            <w:color w:val="005DA1"/>
            <w:spacing w:val="37"/>
            <w:vertAlign w:val="baseline"/>
          </w:rPr>
          <w:t>  </w:t>
        </w:r>
        <w:r>
          <w:rPr>
            <w:color w:val="005DA1"/>
            <w:spacing w:val="23"/>
            <w:position w:val="-2"/>
            <w:vertAlign w:val="baseline"/>
          </w:rPr>
          <w:drawing>
            <wp:inline distT="0" distB="0" distL="0" distR="0">
              <wp:extent cx="107988" cy="107988"/>
              <wp:effectExtent l="0" t="0" r="0" b="0"/>
              <wp:docPr id="462" name="Image 462"/>
              <wp:cNvGraphicFramePr>
                <a:graphicFrameLocks/>
              </wp:cNvGraphicFramePr>
              <a:graphic>
                <a:graphicData uri="http://schemas.openxmlformats.org/drawingml/2006/picture">
                  <pic:pic>
                    <pic:nvPicPr>
                      <pic:cNvPr id="462" name="Image 46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10"/>
            <w:vertAlign w:val="baseline"/>
          </w:rPr>
          <w:t> </w:t>
        </w:r>
        <w:r>
          <w:rPr>
            <w:vertAlign w:val="baseline"/>
          </w:rPr>
          <w:t>agreeing</w:t>
        </w:r>
        <w:r>
          <w:rPr>
            <w:spacing w:val="5"/>
            <w:vertAlign w:val="baseline"/>
          </w:rPr>
          <w:t> </w:t>
        </w:r>
        <w:r>
          <w:rPr>
            <w:vertAlign w:val="baseline"/>
          </w:rPr>
          <w:t>that</w:t>
        </w:r>
        <w:r>
          <w:rPr>
            <w:spacing w:val="6"/>
            <w:vertAlign w:val="baseline"/>
          </w:rPr>
          <w:t> </w:t>
        </w:r>
        <w:r>
          <w:rPr>
            <w:vertAlign w:val="baseline"/>
          </w:rPr>
          <w:t>the</w:t>
        </w:r>
        <w:r>
          <w:rPr>
            <w:spacing w:val="5"/>
            <w:vertAlign w:val="baseline"/>
          </w:rPr>
          <w:t> </w:t>
        </w:r>
        <w:r>
          <w:rPr>
            <w:vertAlign w:val="baseline"/>
          </w:rPr>
          <w:t>claimants</w:t>
        </w:r>
        <w:r>
          <w:rPr>
            <w:spacing w:val="6"/>
            <w:vertAlign w:val="baseline"/>
          </w:rPr>
          <w:t> </w:t>
        </w:r>
        <w:r>
          <w:rPr>
            <w:vertAlign w:val="baseline"/>
          </w:rPr>
          <w:t>had</w:t>
        </w:r>
        <w:r>
          <w:rPr>
            <w:spacing w:val="6"/>
            <w:vertAlign w:val="baseline"/>
          </w:rPr>
          <w:t> </w:t>
        </w:r>
        <w:r>
          <w:rPr>
            <w:vertAlign w:val="baseline"/>
          </w:rPr>
          <w:t>not</w:t>
        </w:r>
        <w:r>
          <w:rPr>
            <w:spacing w:val="5"/>
            <w:vertAlign w:val="baseline"/>
          </w:rPr>
          <w:t> </w:t>
        </w:r>
        <w:r>
          <w:rPr>
            <w:vertAlign w:val="baseline"/>
          </w:rPr>
          <w:t>suffered</w:t>
        </w:r>
        <w:r>
          <w:rPr>
            <w:spacing w:val="6"/>
            <w:vertAlign w:val="baseline"/>
          </w:rPr>
          <w:t> </w:t>
        </w:r>
        <w:r>
          <w:rPr>
            <w:vertAlign w:val="baseline"/>
          </w:rPr>
          <w:t>any</w:t>
        </w:r>
        <w:r>
          <w:rPr>
            <w:spacing w:val="6"/>
            <w:vertAlign w:val="baseline"/>
          </w:rPr>
          <w:t> </w:t>
        </w:r>
        <w:r>
          <w:rPr>
            <w:vertAlign w:val="baseline"/>
          </w:rPr>
          <w:t>actionable</w:t>
        </w:r>
        <w:r>
          <w:rPr>
            <w:spacing w:val="5"/>
            <w:vertAlign w:val="baseline"/>
          </w:rPr>
          <w:t> </w:t>
        </w:r>
        <w:r>
          <w:rPr>
            <w:vertAlign w:val="baseline"/>
          </w:rPr>
          <w:t>physical</w:t>
        </w:r>
        <w:r>
          <w:rPr>
            <w:spacing w:val="6"/>
            <w:vertAlign w:val="baseline"/>
          </w:rPr>
          <w:t> </w:t>
        </w:r>
        <w:r>
          <w:rPr>
            <w:vertAlign w:val="baseline"/>
          </w:rPr>
          <w:t>injury,</w:t>
        </w:r>
        <w:r>
          <w:rPr>
            <w:spacing w:val="6"/>
            <w:vertAlign w:val="baseline"/>
          </w:rPr>
          <w:t> </w:t>
        </w:r>
        <w:r>
          <w:rPr>
            <w:vertAlign w:val="baseline"/>
          </w:rPr>
          <w:t>but</w:t>
        </w:r>
        <w:r>
          <w:rPr>
            <w:spacing w:val="5"/>
            <w:vertAlign w:val="baseline"/>
          </w:rPr>
          <w:t> </w:t>
        </w:r>
        <w:r>
          <w:rPr>
            <w:vertAlign w:val="baseline"/>
          </w:rPr>
          <w:t>only</w:t>
        </w:r>
        <w:r>
          <w:rPr>
            <w:spacing w:val="6"/>
            <w:vertAlign w:val="baseline"/>
          </w:rPr>
          <w:t> </w:t>
        </w:r>
        <w:r>
          <w:rPr>
            <w:spacing w:val="-4"/>
            <w:vertAlign w:val="baseline"/>
          </w:rPr>
          <w:t>pure</w:t>
        </w:r>
      </w:hyperlink>
    </w:p>
    <w:p>
      <w:pPr>
        <w:pStyle w:val="BodyText"/>
        <w:spacing w:line="235" w:lineRule="auto" w:before="4"/>
        <w:ind w:left="165" w:right="167"/>
        <w:jc w:val="both"/>
      </w:pPr>
      <w:r>
        <w:rPr/>
        <w:t>economic losses. </w:t>
      </w:r>
      <w:hyperlink w:history="true" w:anchor="_bookmark1992">
        <w:r>
          <w:rPr>
            <w:color w:val="005DA1"/>
            <w:u w:val="single" w:color="005DA1"/>
            <w:vertAlign w:val="superscript"/>
          </w:rPr>
          <w:t>1306</w:t>
        </w:r>
        <w:r>
          <w:rPr>
            <w:color w:val="005DA1"/>
            <w:spacing w:val="80"/>
            <w:w w:val="150"/>
            <w:vertAlign w:val="baseline"/>
          </w:rPr>
          <w:t> </w:t>
        </w:r>
        <w:r>
          <w:rPr>
            <w:color w:val="005DA1"/>
            <w:spacing w:val="26"/>
            <w:position w:val="-2"/>
            <w:vertAlign w:val="baseline"/>
          </w:rPr>
          <w:drawing>
            <wp:inline distT="0" distB="0" distL="0" distR="0">
              <wp:extent cx="107988" cy="107988"/>
              <wp:effectExtent l="0" t="0" r="0" b="0"/>
              <wp:docPr id="463" name="Image 463"/>
              <wp:cNvGraphicFramePr>
                <a:graphicFrameLocks/>
              </wp:cNvGraphicFramePr>
              <a:graphic>
                <a:graphicData uri="http://schemas.openxmlformats.org/drawingml/2006/picture">
                  <pic:pic>
                    <pic:nvPicPr>
                      <pic:cNvPr id="463" name="Image 4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4"/>
            <w:vertAlign w:val="baseline"/>
          </w:rPr>
          <w:t> </w:t>
        </w:r>
        <w:r>
          <w:rPr>
            <w:vertAlign w:val="baseline"/>
          </w:rPr>
          <w:t>The Court of Appeal considered that the “classic formulation of the duty </w:t>
        </w:r>
        <w:bookmarkStart w:name="_bookmark1856" w:id="1858"/>
        <w:bookmarkEnd w:id="1858"/>
        <w:r>
          <w:rPr>
            <w:vertAlign w:val="baseline"/>
          </w:rPr>
          <w:t>owed</w:t>
        </w:r>
        <w:r>
          <w:rPr>
            <w:spacing w:val="7"/>
            <w:vertAlign w:val="baseline"/>
          </w:rPr>
          <w:t> </w:t>
        </w:r>
        <w:r>
          <w:rPr>
            <w:vertAlign w:val="baseline"/>
          </w:rPr>
          <w:t>by</w:t>
        </w:r>
        <w:r>
          <w:rPr>
            <w:spacing w:val="7"/>
            <w:vertAlign w:val="baseline"/>
          </w:rPr>
          <w:t> </w:t>
        </w:r>
        <w:r>
          <w:rPr>
            <w:vertAlign w:val="baseline"/>
          </w:rPr>
          <w:t>an</w:t>
        </w:r>
        <w:r>
          <w:rPr>
            <w:spacing w:val="7"/>
            <w:vertAlign w:val="baseline"/>
          </w:rPr>
          <w:t> </w:t>
        </w:r>
        <w:r>
          <w:rPr>
            <w:vertAlign w:val="baseline"/>
          </w:rPr>
          <w:t>employer</w:t>
        </w:r>
        <w:r>
          <w:rPr>
            <w:spacing w:val="7"/>
            <w:vertAlign w:val="baseline"/>
          </w:rPr>
          <w:t> </w:t>
        </w:r>
        <w:r>
          <w:rPr>
            <w:vertAlign w:val="baseline"/>
          </w:rPr>
          <w:t>to</w:t>
        </w:r>
        <w:r>
          <w:rPr>
            <w:spacing w:val="7"/>
            <w:vertAlign w:val="baseline"/>
          </w:rPr>
          <w:t> </w:t>
        </w:r>
        <w:r>
          <w:rPr>
            <w:vertAlign w:val="baseline"/>
          </w:rPr>
          <w:t>an</w:t>
        </w:r>
        <w:r>
          <w:rPr>
            <w:spacing w:val="7"/>
            <w:vertAlign w:val="baseline"/>
          </w:rPr>
          <w:t> </w:t>
        </w:r>
        <w:r>
          <w:rPr>
            <w:vertAlign w:val="baseline"/>
          </w:rPr>
          <w:t>employee</w:t>
        </w:r>
        <w:r>
          <w:rPr>
            <w:spacing w:val="7"/>
            <w:vertAlign w:val="baseline"/>
          </w:rPr>
          <w:t> </w:t>
        </w:r>
        <w:r>
          <w:rPr>
            <w:vertAlign w:val="baseline"/>
          </w:rPr>
          <w:t>is</w:t>
        </w:r>
        <w:r>
          <w:rPr>
            <w:spacing w:val="7"/>
            <w:vertAlign w:val="baseline"/>
          </w:rPr>
          <w:t> </w:t>
        </w:r>
        <w:r>
          <w:rPr>
            <w:vertAlign w:val="baseline"/>
          </w:rPr>
          <w:t>focussed</w:t>
        </w:r>
        <w:r>
          <w:rPr>
            <w:spacing w:val="7"/>
            <w:vertAlign w:val="baseline"/>
          </w:rPr>
          <w:t> </w:t>
        </w:r>
        <w:r>
          <w:rPr>
            <w:vertAlign w:val="baseline"/>
          </w:rPr>
          <w:t>on</w:t>
        </w:r>
        <w:r>
          <w:rPr>
            <w:spacing w:val="7"/>
            <w:vertAlign w:val="baseline"/>
          </w:rPr>
          <w:t> </w:t>
        </w:r>
        <w:r>
          <w:rPr>
            <w:vertAlign w:val="baseline"/>
          </w:rPr>
          <w:t>protection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employee</w:t>
        </w:r>
        <w:r>
          <w:rPr>
            <w:spacing w:val="7"/>
            <w:vertAlign w:val="baseline"/>
          </w:rPr>
          <w:t> </w:t>
        </w:r>
        <w:r>
          <w:rPr>
            <w:vertAlign w:val="baseline"/>
          </w:rPr>
          <w:t>from</w:t>
        </w:r>
        <w:r>
          <w:rPr>
            <w:spacing w:val="7"/>
            <w:vertAlign w:val="baseline"/>
          </w:rPr>
          <w:t> </w:t>
        </w:r>
        <w:r>
          <w:rPr>
            <w:vertAlign w:val="baseline"/>
          </w:rPr>
          <w:t>physical</w:t>
        </w:r>
        <w:r>
          <w:rPr>
            <w:spacing w:val="7"/>
            <w:vertAlign w:val="baseline"/>
          </w:rPr>
          <w:t> </w:t>
        </w:r>
        <w:r>
          <w:rPr>
            <w:spacing w:val="-2"/>
            <w:vertAlign w:val="baseline"/>
          </w:rPr>
          <w:t>injury,</w:t>
        </w:r>
      </w:hyperlink>
    </w:p>
    <w:p>
      <w:pPr>
        <w:pStyle w:val="BodyText"/>
        <w:spacing w:line="235" w:lineRule="auto" w:before="120"/>
        <w:ind w:left="165" w:right="167"/>
        <w:jc w:val="both"/>
      </w:pPr>
      <w:r>
        <w:rPr/>
        <w:t>not protection from economic harm … and this is true both in contract and in tort”. </w:t>
      </w:r>
      <w:hyperlink w:history="true" w:anchor="_bookmark1993">
        <w:r>
          <w:rPr>
            <w:color w:val="005DA1"/>
            <w:u w:val="single" w:color="005DA1"/>
            <w:vertAlign w:val="superscript"/>
          </w:rPr>
          <w:t>1307</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464" name="Image 464"/>
              <wp:cNvGraphicFramePr>
                <a:graphicFrameLocks/>
              </wp:cNvGraphicFramePr>
              <a:graphic>
                <a:graphicData uri="http://schemas.openxmlformats.org/drawingml/2006/picture">
                  <pic:pic>
                    <pic:nvPicPr>
                      <pic:cNvPr id="464" name="Image 4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34"/>
            <w:vertAlign w:val="baseline"/>
          </w:rPr>
          <w:t> </w:t>
        </w:r>
        <w:r>
          <w:rPr>
            <w:vertAlign w:val="baseline"/>
          </w:rPr>
          <w:t>Moreover, “having regard to the general policy reasons which inform the analysis of whether a standard term or </w:t>
        </w:r>
        <w:bookmarkStart w:name="_bookmark1857" w:id="1859"/>
        <w:bookmarkEnd w:id="1859"/>
        <w:r>
          <w:rPr>
            <w:vertAlign w:val="baseline"/>
          </w:rPr>
          <w:t>duty</w:t>
        </w:r>
        <w:r>
          <w:rPr>
            <w:spacing w:val="1"/>
            <w:vertAlign w:val="baseline"/>
          </w:rPr>
          <w:t> </w:t>
        </w:r>
        <w:r>
          <w:rPr>
            <w:vertAlign w:val="baseline"/>
          </w:rPr>
          <w:t>of</w:t>
        </w:r>
        <w:r>
          <w:rPr>
            <w:spacing w:val="1"/>
            <w:vertAlign w:val="baseline"/>
          </w:rPr>
          <w:t> </w:t>
        </w:r>
        <w:r>
          <w:rPr>
            <w:vertAlign w:val="baseline"/>
          </w:rPr>
          <w:t>care</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implied</w:t>
        </w:r>
        <w:r>
          <w:rPr>
            <w:spacing w:val="1"/>
            <w:vertAlign w:val="baseline"/>
          </w:rPr>
          <w:t> </w:t>
        </w:r>
        <w:r>
          <w:rPr>
            <w:vertAlign w:val="baseline"/>
          </w:rPr>
          <w:t>into</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of</w:t>
        </w:r>
        <w:r>
          <w:rPr>
            <w:spacing w:val="1"/>
            <w:vertAlign w:val="baseline"/>
          </w:rPr>
          <w:t> </w:t>
        </w:r>
        <w:r>
          <w:rPr>
            <w:vertAlign w:val="baseline"/>
          </w:rPr>
          <w:t>employment,</w:t>
        </w:r>
        <w:r>
          <w:rPr>
            <w:spacing w:val="1"/>
            <w:vertAlign w:val="baseline"/>
          </w:rPr>
          <w:t> </w:t>
        </w:r>
        <w:r>
          <w:rPr>
            <w:vertAlign w:val="baseline"/>
          </w:rPr>
          <w:t>…</w:t>
        </w:r>
        <w:r>
          <w:rPr>
            <w:spacing w:val="1"/>
            <w:vertAlign w:val="baseline"/>
          </w:rPr>
          <w:t> </w:t>
        </w:r>
        <w:r>
          <w:rPr>
            <w:vertAlign w:val="baseline"/>
          </w:rPr>
          <w:t>the</w:t>
        </w:r>
        <w:r>
          <w:rPr>
            <w:spacing w:val="1"/>
            <w:vertAlign w:val="baseline"/>
          </w:rPr>
          <w:t> </w:t>
        </w:r>
        <w:r>
          <w:rPr>
            <w:vertAlign w:val="baseline"/>
          </w:rPr>
          <w:t>proposed</w:t>
        </w:r>
        <w:r>
          <w:rPr>
            <w:spacing w:val="1"/>
            <w:vertAlign w:val="baseline"/>
          </w:rPr>
          <w:t> </w:t>
        </w:r>
        <w:r>
          <w:rPr>
            <w:vertAlign w:val="baseline"/>
          </w:rPr>
          <w:t>term</w:t>
        </w:r>
        <w:r>
          <w:rPr>
            <w:spacing w:val="1"/>
            <w:vertAlign w:val="baseline"/>
          </w:rPr>
          <w:t> </w:t>
        </w:r>
        <w:r>
          <w:rPr>
            <w:vertAlign w:val="baseline"/>
          </w:rPr>
          <w:t>or</w:t>
        </w:r>
        <w:r>
          <w:rPr>
            <w:spacing w:val="1"/>
            <w:vertAlign w:val="baseline"/>
          </w:rPr>
          <w:t> </w:t>
        </w:r>
        <w:r>
          <w:rPr>
            <w:vertAlign w:val="baseline"/>
          </w:rPr>
          <w:t>duty</w:t>
        </w:r>
        <w:r>
          <w:rPr>
            <w:spacing w:val="1"/>
            <w:vertAlign w:val="baseline"/>
          </w:rPr>
          <w:t> </w:t>
        </w:r>
        <w:r>
          <w:rPr>
            <w:vertAlign w:val="baseline"/>
          </w:rPr>
          <w:t>to</w:t>
        </w:r>
        <w:r>
          <w:rPr>
            <w:spacing w:val="1"/>
            <w:vertAlign w:val="baseline"/>
          </w:rPr>
          <w:t> </w:t>
        </w:r>
        <w:r>
          <w:rPr>
            <w:vertAlign w:val="baseline"/>
          </w:rPr>
          <w:t>hold</w:t>
        </w:r>
        <w:r>
          <w:rPr>
            <w:spacing w:val="1"/>
            <w:vertAlign w:val="baseline"/>
          </w:rPr>
          <w:t> </w:t>
        </w:r>
        <w:r>
          <w:rPr>
            <w:spacing w:val="-5"/>
            <w:vertAlign w:val="baseline"/>
          </w:rPr>
          <w:t>the</w:t>
        </w:r>
      </w:hyperlink>
    </w:p>
    <w:p>
      <w:pPr>
        <w:pStyle w:val="BodyText"/>
        <w:spacing w:line="235" w:lineRule="auto" w:before="118"/>
        <w:ind w:left="165" w:right="167"/>
        <w:jc w:val="both"/>
      </w:pPr>
      <w:r>
        <w:rPr/>
        <w:t>employee harmless from economic loss should not be taken to be implied”. </w:t>
      </w:r>
      <w:hyperlink w:history="true" w:anchor="_bookmark1994">
        <w:r>
          <w:rPr>
            <w:color w:val="005DA1"/>
            <w:u w:val="single" w:color="005DA1"/>
            <w:vertAlign w:val="superscript"/>
          </w:rPr>
          <w:t>1308</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First, it was </w:t>
        </w:r>
        <w:r>
          <w:rPr>
            <w:vertAlign w:val="baseline"/>
          </w:rPr>
          <w:t>not possible for a term to be implied in the claimants’ contracts of employment, “either as a usual feature of employment contracts in general or in these particular contracts in their commercial setting”, especially as the terms of the collective agreement incorporated into the individual employment contracts had made specific provision as to the extent of the defendant employer’s responsibility as </w:t>
        </w:r>
        <w:bookmarkStart w:name="_bookmark1858" w:id="1860"/>
        <w:bookmarkEnd w:id="1860"/>
        <w:r>
          <w:rPr>
            <w:vertAlign w:val="baseline"/>
          </w:rPr>
          <w:t>regards</w:t>
        </w:r>
        <w:r>
          <w:rPr>
            <w:spacing w:val="76"/>
            <w:vertAlign w:val="baseline"/>
          </w:rPr>
          <w:t> </w:t>
        </w:r>
        <w:r>
          <w:rPr>
            <w:vertAlign w:val="baseline"/>
          </w:rPr>
          <w:t>the</w:t>
        </w:r>
        <w:r>
          <w:rPr>
            <w:spacing w:val="76"/>
            <w:vertAlign w:val="baseline"/>
          </w:rPr>
          <w:t> </w:t>
        </w:r>
        <w:r>
          <w:rPr>
            <w:vertAlign w:val="baseline"/>
          </w:rPr>
          <w:t>financial</w:t>
        </w:r>
        <w:r>
          <w:rPr>
            <w:spacing w:val="76"/>
            <w:vertAlign w:val="baseline"/>
          </w:rPr>
          <w:t> </w:t>
        </w:r>
        <w:r>
          <w:rPr>
            <w:vertAlign w:val="baseline"/>
          </w:rPr>
          <w:t>welfare</w:t>
        </w:r>
        <w:r>
          <w:rPr>
            <w:spacing w:val="76"/>
            <w:vertAlign w:val="baseline"/>
          </w:rPr>
          <w:t> </w:t>
        </w:r>
        <w:r>
          <w:rPr>
            <w:vertAlign w:val="baseline"/>
          </w:rPr>
          <w:t>of</w:t>
        </w:r>
        <w:r>
          <w:rPr>
            <w:spacing w:val="76"/>
            <w:vertAlign w:val="baseline"/>
          </w:rPr>
          <w:t> </w:t>
        </w:r>
        <w:r>
          <w:rPr>
            <w:vertAlign w:val="baseline"/>
          </w:rPr>
          <w:t>employees</w:t>
        </w:r>
        <w:r>
          <w:rPr>
            <w:spacing w:val="76"/>
            <w:vertAlign w:val="baseline"/>
          </w:rPr>
          <w:t> </w:t>
        </w:r>
        <w:r>
          <w:rPr>
            <w:vertAlign w:val="baseline"/>
          </w:rPr>
          <w:t>affected</w:t>
        </w:r>
        <w:r>
          <w:rPr>
            <w:spacing w:val="76"/>
            <w:vertAlign w:val="baseline"/>
          </w:rPr>
          <w:t> </w:t>
        </w:r>
        <w:r>
          <w:rPr>
            <w:vertAlign w:val="baseline"/>
          </w:rPr>
          <w:t>by</w:t>
        </w:r>
        <w:r>
          <w:rPr>
            <w:spacing w:val="76"/>
            <w:vertAlign w:val="baseline"/>
          </w:rPr>
          <w:t> </w:t>
        </w:r>
        <w:r>
          <w:rPr>
            <w:vertAlign w:val="baseline"/>
          </w:rPr>
          <w:t>the</w:t>
        </w:r>
        <w:r>
          <w:rPr>
            <w:spacing w:val="76"/>
            <w:vertAlign w:val="baseline"/>
          </w:rPr>
          <w:t> </w:t>
        </w:r>
        <w:r>
          <w:rPr>
            <w:vertAlign w:val="baseline"/>
          </w:rPr>
          <w:t>possibility</w:t>
        </w:r>
        <w:r>
          <w:rPr>
            <w:spacing w:val="76"/>
            <w:vertAlign w:val="baseline"/>
          </w:rPr>
          <w:t> </w:t>
        </w:r>
        <w:r>
          <w:rPr>
            <w:vertAlign w:val="baseline"/>
          </w:rPr>
          <w:t>of</w:t>
        </w:r>
        <w:r>
          <w:rPr>
            <w:spacing w:val="76"/>
            <w:vertAlign w:val="baseline"/>
          </w:rPr>
          <w:t> </w:t>
        </w:r>
        <w:r>
          <w:rPr>
            <w:vertAlign w:val="baseline"/>
          </w:rPr>
          <w:t>developing</w:t>
        </w:r>
        <w:r>
          <w:rPr>
            <w:spacing w:val="76"/>
            <w:vertAlign w:val="baseline"/>
          </w:rPr>
          <w:t> </w:t>
        </w:r>
        <w:r>
          <w:rPr>
            <w:spacing w:val="-2"/>
            <w:vertAlign w:val="baseline"/>
          </w:rPr>
          <w:t>platinum</w:t>
        </w:r>
      </w:hyperlink>
    </w:p>
    <w:p>
      <w:pPr>
        <w:pStyle w:val="BodyText"/>
        <w:spacing w:before="114"/>
        <w:ind w:left="165"/>
        <w:jc w:val="both"/>
      </w:pPr>
      <w:bookmarkStart w:name="_bookmark1859" w:id="1861"/>
      <w:bookmarkEnd w:id="1861"/>
      <w:r>
        <w:rPr/>
      </w:r>
      <w:r>
        <w:rPr/>
        <w:t>sensitisation.</w:t>
      </w:r>
      <w:r>
        <w:rPr>
          <w:spacing w:val="8"/>
        </w:rPr>
        <w:t> </w:t>
      </w:r>
      <w:hyperlink w:history="true" w:anchor="_bookmark1995">
        <w:r>
          <w:rPr>
            <w:color w:val="005DA1"/>
            <w:u w:val="single" w:color="005DA1"/>
            <w:vertAlign w:val="superscript"/>
          </w:rPr>
          <w:t>1309</w:t>
        </w:r>
        <w:r>
          <w:rPr>
            <w:color w:val="005DA1"/>
            <w:spacing w:val="41"/>
            <w:vertAlign w:val="baseline"/>
          </w:rPr>
          <w:t>  </w:t>
        </w:r>
        <w:r>
          <w:rPr>
            <w:color w:val="005DA1"/>
            <w:spacing w:val="-25"/>
            <w:position w:val="-2"/>
            <w:vertAlign w:val="baseline"/>
          </w:rPr>
          <w:drawing>
            <wp:inline distT="0" distB="0" distL="0" distR="0">
              <wp:extent cx="107988" cy="107988"/>
              <wp:effectExtent l="0" t="0" r="0" b="0"/>
              <wp:docPr id="466" name="Image 466"/>
              <wp:cNvGraphicFramePr>
                <a:graphicFrameLocks/>
              </wp:cNvGraphicFramePr>
              <a:graphic>
                <a:graphicData uri="http://schemas.openxmlformats.org/drawingml/2006/picture">
                  <pic:pic>
                    <pic:nvPicPr>
                      <pic:cNvPr id="466" name="Image 46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38"/>
            <w:vertAlign w:val="baseline"/>
          </w:rPr>
          <w:t> </w:t>
        </w:r>
        <w:r>
          <w:rPr>
            <w:vertAlign w:val="baseline"/>
          </w:rPr>
          <w:t>Echoing</w:t>
        </w:r>
        <w:r>
          <w:rPr>
            <w:spacing w:val="9"/>
            <w:vertAlign w:val="baseline"/>
          </w:rPr>
          <w:t> </w:t>
        </w:r>
        <w:r>
          <w:rPr>
            <w:vertAlign w:val="baseline"/>
          </w:rPr>
          <w:t>the</w:t>
        </w:r>
        <w:r>
          <w:rPr>
            <w:spacing w:val="9"/>
            <w:vertAlign w:val="baseline"/>
          </w:rPr>
          <w:t> </w:t>
        </w:r>
        <w:r>
          <w:rPr>
            <w:vertAlign w:val="baseline"/>
          </w:rPr>
          <w:t>language</w:t>
        </w:r>
        <w:r>
          <w:rPr>
            <w:spacing w:val="8"/>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famous</w:t>
        </w:r>
        <w:r>
          <w:rPr>
            <w:spacing w:val="9"/>
            <w:vertAlign w:val="baseline"/>
          </w:rPr>
          <w:t> </w:t>
        </w:r>
        <w:r>
          <w:rPr>
            <w:vertAlign w:val="baseline"/>
          </w:rPr>
          <w:t>approach</w:t>
        </w:r>
        <w:r>
          <w:rPr>
            <w:spacing w:val="8"/>
            <w:vertAlign w:val="baseline"/>
          </w:rPr>
          <w:t> </w:t>
        </w:r>
        <w:r>
          <w:rPr>
            <w:vertAlign w:val="baseline"/>
          </w:rPr>
          <w:t>of</w:t>
        </w:r>
        <w:r>
          <w:rPr>
            <w:spacing w:val="9"/>
            <w:vertAlign w:val="baseline"/>
          </w:rPr>
          <w:t> </w:t>
        </w:r>
        <w:r>
          <w:rPr>
            <w:vertAlign w:val="baseline"/>
          </w:rPr>
          <w:t>Lord</w:t>
        </w:r>
        <w:r>
          <w:rPr>
            <w:spacing w:val="9"/>
            <w:vertAlign w:val="baseline"/>
          </w:rPr>
          <w:t> </w:t>
        </w:r>
        <w:r>
          <w:rPr>
            <w:vertAlign w:val="baseline"/>
          </w:rPr>
          <w:t>Bridge</w:t>
        </w:r>
        <w:r>
          <w:rPr>
            <w:spacing w:val="9"/>
            <w:vertAlign w:val="baseline"/>
          </w:rPr>
          <w:t> </w:t>
        </w:r>
        <w:r>
          <w:rPr>
            <w:vertAlign w:val="baseline"/>
          </w:rPr>
          <w:t>of</w:t>
        </w:r>
        <w:r>
          <w:rPr>
            <w:spacing w:val="8"/>
            <w:vertAlign w:val="baseline"/>
          </w:rPr>
          <w:t> </w:t>
        </w:r>
        <w:r>
          <w:rPr>
            <w:vertAlign w:val="baseline"/>
          </w:rPr>
          <w:t>Harwich</w:t>
        </w:r>
        <w:r>
          <w:rPr>
            <w:spacing w:val="9"/>
            <w:vertAlign w:val="baseline"/>
          </w:rPr>
          <w:t> </w:t>
        </w:r>
        <w:r>
          <w:rPr>
            <w:vertAlign w:val="baseline"/>
          </w:rPr>
          <w:t>to</w:t>
        </w:r>
        <w:r>
          <w:rPr>
            <w:spacing w:val="9"/>
            <w:vertAlign w:val="baseline"/>
          </w:rPr>
          <w:t> </w:t>
        </w:r>
        <w:r>
          <w:rPr>
            <w:spacing w:val="-5"/>
            <w:vertAlign w:val="baseline"/>
          </w:rPr>
          <w:t>the</w:t>
        </w:r>
      </w:hyperlink>
    </w:p>
    <w:p>
      <w:pPr>
        <w:pStyle w:val="BodyText"/>
        <w:spacing w:line="235" w:lineRule="auto" w:before="119"/>
        <w:ind w:left="165" w:right="167"/>
        <w:jc w:val="both"/>
      </w:pPr>
      <w:r>
        <w:rPr/>
        <w:t>existence of a duty of care in the tort of negligence in </w:t>
      </w:r>
      <w:r>
        <w:rPr>
          <w:rFonts w:ascii="Arial" w:hAnsi="Arial"/>
          <w:i/>
        </w:rPr>
        <w:t>Caparo Industries Plc v Dickman</w:t>
      </w:r>
      <w:r>
        <w:rPr/>
        <w:t>, </w:t>
      </w:r>
      <w:hyperlink w:history="true" w:anchor="_bookmark1996">
        <w:r>
          <w:rPr>
            <w:color w:val="005DA1"/>
            <w:u w:val="single" w:color="005DA1"/>
            <w:vertAlign w:val="superscript"/>
          </w:rPr>
          <w:t>1310</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467" name="Image 467"/>
              <wp:cNvGraphicFramePr>
                <a:graphicFrameLocks/>
              </wp:cNvGraphicFramePr>
              <a:graphic>
                <a:graphicData uri="http://schemas.openxmlformats.org/drawingml/2006/picture">
                  <pic:pic>
                    <pic:nvPicPr>
                      <pic:cNvPr id="467" name="Image 4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vertAlign w:val="baseline"/>
          </w:rPr>
          <w:t> </w:t>
        </w:r>
        <w:r>
          <w:rPr>
            <w:vertAlign w:val="baseline"/>
          </w:rPr>
          <w:t>the Court of Appeal added that it would not be “fair, just or reasonable” to hold that the defendant’s </w:t>
        </w:r>
        <w:r>
          <w:rPr>
            <w:rFonts w:ascii="Arial" w:hAnsi="Arial"/>
            <w:i/>
            <w:vertAlign w:val="baseline"/>
          </w:rPr>
          <w:t>contractual </w:t>
        </w:r>
        <w:r>
          <w:rPr>
            <w:vertAlign w:val="baseline"/>
          </w:rPr>
          <w:t>duty extended to protecting the claimants against the financial consequences of losing </w:t>
        </w:r>
        <w:bookmarkStart w:name="_bookmark1860" w:id="1862"/>
        <w:bookmarkEnd w:id="1862"/>
        <w:r>
          <w:rPr>
            <w:vertAlign w:val="baseline"/>
          </w:rPr>
          <w:t>their</w:t>
        </w:r>
        <w:r>
          <w:rPr>
            <w:spacing w:val="9"/>
            <w:vertAlign w:val="baseline"/>
          </w:rPr>
          <w:t> </w:t>
        </w:r>
        <w:r>
          <w:rPr>
            <w:vertAlign w:val="baseline"/>
          </w:rPr>
          <w:t>jobs,</w:t>
        </w:r>
        <w:r>
          <w:rPr>
            <w:spacing w:val="9"/>
            <w:vertAlign w:val="baseline"/>
          </w:rPr>
          <w:t> </w:t>
        </w:r>
        <w:r>
          <w:rPr>
            <w:vertAlign w:val="baseline"/>
          </w:rPr>
          <w:t>etc.</w:t>
        </w:r>
        <w:r>
          <w:rPr>
            <w:spacing w:val="9"/>
            <w:vertAlign w:val="baseline"/>
          </w:rPr>
          <w:t> </w:t>
        </w:r>
        <w:r>
          <w:rPr>
            <w:vertAlign w:val="baseline"/>
          </w:rPr>
          <w:t>beyond</w:t>
        </w:r>
        <w:r>
          <w:rPr>
            <w:spacing w:val="9"/>
            <w:vertAlign w:val="baseline"/>
          </w:rPr>
          <w:t> </w:t>
        </w:r>
        <w:r>
          <w:rPr>
            <w:vertAlign w:val="baseline"/>
          </w:rPr>
          <w:t>the</w:t>
        </w:r>
        <w:r>
          <w:rPr>
            <w:spacing w:val="9"/>
            <w:vertAlign w:val="baseline"/>
          </w:rPr>
          <w:t> </w:t>
        </w:r>
        <w:r>
          <w:rPr>
            <w:vertAlign w:val="baseline"/>
          </w:rPr>
          <w:t>protection</w:t>
        </w:r>
        <w:r>
          <w:rPr>
            <w:spacing w:val="9"/>
            <w:vertAlign w:val="baseline"/>
          </w:rPr>
          <w:t> </w:t>
        </w:r>
        <w:r>
          <w:rPr>
            <w:vertAlign w:val="baseline"/>
          </w:rPr>
          <w:t>provided</w:t>
        </w:r>
        <w:r>
          <w:rPr>
            <w:spacing w:val="9"/>
            <w:vertAlign w:val="baseline"/>
          </w:rPr>
          <w:t> </w:t>
        </w:r>
        <w:r>
          <w:rPr>
            <w:vertAlign w:val="baseline"/>
          </w:rPr>
          <w:t>by</w:t>
        </w:r>
        <w:r>
          <w:rPr>
            <w:spacing w:val="9"/>
            <w:vertAlign w:val="baseline"/>
          </w:rPr>
          <w:t> </w:t>
        </w:r>
        <w:r>
          <w:rPr>
            <w:vertAlign w:val="baseline"/>
          </w:rPr>
          <w:t>those</w:t>
        </w:r>
        <w:r>
          <w:rPr>
            <w:spacing w:val="9"/>
            <w:vertAlign w:val="baseline"/>
          </w:rPr>
          <w:t> </w:t>
        </w:r>
        <w:r>
          <w:rPr>
            <w:vertAlign w:val="baseline"/>
          </w:rPr>
          <w:t>collective</w:t>
        </w:r>
        <w:r>
          <w:rPr>
            <w:spacing w:val="9"/>
            <w:vertAlign w:val="baseline"/>
          </w:rPr>
          <w:t> </w:t>
        </w:r>
        <w:r>
          <w:rPr>
            <w:vertAlign w:val="baseline"/>
          </w:rPr>
          <w:t>agreements</w:t>
        </w:r>
        <w:r>
          <w:rPr>
            <w:spacing w:val="9"/>
            <w:vertAlign w:val="baseline"/>
          </w:rPr>
          <w:t> </w:t>
        </w:r>
        <w:r>
          <w:rPr>
            <w:vertAlign w:val="baseline"/>
          </w:rPr>
          <w:t>(notably,</w:t>
        </w:r>
        <w:r>
          <w:rPr>
            <w:spacing w:val="9"/>
            <w:vertAlign w:val="baseline"/>
          </w:rPr>
          <w:t> </w:t>
        </w:r>
        <w:r>
          <w:rPr>
            <w:vertAlign w:val="baseline"/>
          </w:rPr>
          <w:t>the</w:t>
        </w:r>
        <w:r>
          <w:rPr>
            <w:spacing w:val="9"/>
            <w:vertAlign w:val="baseline"/>
          </w:rPr>
          <w:t> </w:t>
        </w:r>
        <w:r>
          <w:rPr>
            <w:vertAlign w:val="baseline"/>
          </w:rPr>
          <w:t>receipt</w:t>
        </w:r>
        <w:r>
          <w:rPr>
            <w:spacing w:val="9"/>
            <w:vertAlign w:val="baseline"/>
          </w:rPr>
          <w:t> </w:t>
        </w:r>
        <w:r>
          <w:rPr>
            <w:spacing w:val="-5"/>
            <w:vertAlign w:val="baseline"/>
          </w:rPr>
          <w:t>of</w:t>
        </w:r>
      </w:hyperlink>
    </w:p>
    <w:p>
      <w:pPr>
        <w:pStyle w:val="BodyText"/>
        <w:spacing w:line="235" w:lineRule="auto" w:before="119"/>
        <w:ind w:left="165" w:right="167"/>
        <w:jc w:val="both"/>
      </w:pPr>
      <w:r>
        <w:rPr/>
        <w:t>special</w:t>
      </w:r>
      <w:r>
        <w:rPr>
          <w:spacing w:val="-1"/>
        </w:rPr>
        <w:t> </w:t>
      </w:r>
      <w:r>
        <w:rPr/>
        <w:t>termination</w:t>
      </w:r>
      <w:r>
        <w:rPr>
          <w:spacing w:val="-1"/>
        </w:rPr>
        <w:t> </w:t>
      </w:r>
      <w:r>
        <w:rPr/>
        <w:t>payments).</w:t>
      </w:r>
      <w:r>
        <w:rPr>
          <w:spacing w:val="-1"/>
        </w:rPr>
        <w:t> </w:t>
      </w:r>
      <w:hyperlink w:history="true" w:anchor="_bookmark1997">
        <w:r>
          <w:rPr>
            <w:color w:val="005DA1"/>
            <w:u w:val="single" w:color="005DA1"/>
            <w:vertAlign w:val="superscript"/>
          </w:rPr>
          <w:t>1311</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468" name="Image 468"/>
              <wp:cNvGraphicFramePr>
                <a:graphicFrameLocks/>
              </wp:cNvGraphicFramePr>
              <a:graphic>
                <a:graphicData uri="http://schemas.openxmlformats.org/drawingml/2006/picture">
                  <pic:pic>
                    <pic:nvPicPr>
                      <pic:cNvPr id="468" name="Image 4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2"/>
            <w:vertAlign w:val="baseline"/>
          </w:rPr>
          <w:t> </w:t>
        </w:r>
        <w:r>
          <w:rPr>
            <w:vertAlign w:val="baseline"/>
          </w:rPr>
          <w:t>Finally,</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Appeal</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no</w:t>
        </w:r>
        <w:r>
          <w:rPr>
            <w:spacing w:val="-1"/>
            <w:vertAlign w:val="baseline"/>
          </w:rPr>
          <w:t> </w:t>
        </w:r>
        <w:r>
          <w:rPr>
            <w:vertAlign w:val="baseline"/>
          </w:rPr>
          <w:t>duty</w:t>
        </w:r>
        <w:r>
          <w:rPr>
            <w:spacing w:val="-1"/>
            <w:vertAlign w:val="baseline"/>
          </w:rPr>
          <w:t> </w:t>
        </w:r>
        <w:r>
          <w:rPr>
            <w:vertAlign w:val="baseline"/>
          </w:rPr>
          <w:t>of</w:t>
        </w:r>
        <w:r>
          <w:rPr>
            <w:spacing w:val="-1"/>
            <w:vertAlign w:val="baseline"/>
          </w:rPr>
          <w:t> </w:t>
        </w:r>
        <w:r>
          <w:rPr>
            <w:vertAlign w:val="baseline"/>
          </w:rPr>
          <w:t>care</w:t>
        </w:r>
        <w:r>
          <w:rPr>
            <w:spacing w:val="-1"/>
            <w:vertAlign w:val="baseline"/>
          </w:rPr>
          <w:t> </w:t>
        </w:r>
        <w:r>
          <w:rPr>
            <w:vertAlign w:val="baseline"/>
          </w:rPr>
          <w:t>should</w:t>
        </w:r>
        <w:r>
          <w:rPr>
            <w:spacing w:val="-1"/>
            <w:vertAlign w:val="baseline"/>
          </w:rPr>
          <w:t> </w:t>
        </w:r>
        <w:r>
          <w:rPr>
            <w:vertAlign w:val="baseline"/>
          </w:rPr>
          <w:t>be </w:t>
        </w:r>
        <w:bookmarkStart w:name="_bookmark1861" w:id="1863"/>
        <w:bookmarkEnd w:id="1863"/>
        <w:r>
          <w:rPr>
            <w:vertAlign w:val="baseline"/>
          </w:rPr>
          <w:t>imposed</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tort</w:t>
        </w:r>
        <w:r>
          <w:rPr>
            <w:spacing w:val="15"/>
            <w:vertAlign w:val="baseline"/>
          </w:rPr>
          <w:t> </w:t>
        </w:r>
        <w:r>
          <w:rPr>
            <w:vertAlign w:val="baseline"/>
          </w:rPr>
          <w:t>of</w:t>
        </w:r>
        <w:r>
          <w:rPr>
            <w:spacing w:val="15"/>
            <w:vertAlign w:val="baseline"/>
          </w:rPr>
          <w:t> </w:t>
        </w:r>
        <w:r>
          <w:rPr>
            <w:vertAlign w:val="baseline"/>
          </w:rPr>
          <w:t>negligence</w:t>
        </w:r>
        <w:r>
          <w:rPr>
            <w:spacing w:val="15"/>
            <w:vertAlign w:val="baseline"/>
          </w:rPr>
          <w:t> </w:t>
        </w:r>
        <w:r>
          <w:rPr>
            <w:vertAlign w:val="baseline"/>
          </w:rPr>
          <w:t>in</w:t>
        </w:r>
        <w:r>
          <w:rPr>
            <w:spacing w:val="15"/>
            <w:vertAlign w:val="baseline"/>
          </w:rPr>
          <w:t> </w:t>
        </w:r>
        <w:r>
          <w:rPr>
            <w:vertAlign w:val="baseline"/>
          </w:rPr>
          <w:t>respect</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claimants’</w:t>
        </w:r>
        <w:r>
          <w:rPr>
            <w:spacing w:val="15"/>
            <w:vertAlign w:val="baseline"/>
          </w:rPr>
          <w:t> </w:t>
        </w:r>
        <w:r>
          <w:rPr>
            <w:vertAlign w:val="baseline"/>
          </w:rPr>
          <w:t>pure</w:t>
        </w:r>
        <w:r>
          <w:rPr>
            <w:spacing w:val="15"/>
            <w:vertAlign w:val="baseline"/>
          </w:rPr>
          <w:t> </w:t>
        </w:r>
        <w:r>
          <w:rPr>
            <w:vertAlign w:val="baseline"/>
          </w:rPr>
          <w:t>economic</w:t>
        </w:r>
        <w:r>
          <w:rPr>
            <w:spacing w:val="15"/>
            <w:vertAlign w:val="baseline"/>
          </w:rPr>
          <w:t> </w:t>
        </w:r>
        <w:r>
          <w:rPr>
            <w:vertAlign w:val="baseline"/>
          </w:rPr>
          <w:t>losses,</w:t>
        </w:r>
        <w:r>
          <w:rPr>
            <w:spacing w:val="15"/>
            <w:vertAlign w:val="baseline"/>
          </w:rPr>
          <w:t> </w:t>
        </w:r>
        <w:r>
          <w:rPr>
            <w:vertAlign w:val="baseline"/>
          </w:rPr>
          <w:t>seeing</w:t>
        </w:r>
        <w:r>
          <w:rPr>
            <w:spacing w:val="15"/>
            <w:vertAlign w:val="baseline"/>
          </w:rPr>
          <w:t> </w:t>
        </w:r>
        <w:r>
          <w:rPr>
            <w:vertAlign w:val="baseline"/>
          </w:rPr>
          <w:t>such</w:t>
        </w:r>
        <w:r>
          <w:rPr>
            <w:spacing w:val="15"/>
            <w:vertAlign w:val="baseline"/>
          </w:rPr>
          <w:t> </w:t>
        </w:r>
        <w:r>
          <w:rPr>
            <w:spacing w:val="-5"/>
            <w:vertAlign w:val="baseline"/>
          </w:rPr>
          <w:t>an</w:t>
        </w:r>
      </w:hyperlink>
    </w:p>
    <w:p>
      <w:pPr>
        <w:pStyle w:val="BodyText"/>
        <w:spacing w:before="115"/>
        <w:ind w:left="165"/>
        <w:jc w:val="both"/>
      </w:pPr>
      <w:bookmarkStart w:name="_bookmark1862" w:id="1864"/>
      <w:bookmarkEnd w:id="1864"/>
      <w:r>
        <w:rPr/>
      </w:r>
      <w:r>
        <w:rPr/>
        <w:t>imposition</w:t>
      </w:r>
      <w:r>
        <w:rPr>
          <w:spacing w:val="27"/>
        </w:rPr>
        <w:t> </w:t>
      </w:r>
      <w:r>
        <w:rPr/>
        <w:t>on</w:t>
      </w:r>
      <w:r>
        <w:rPr>
          <w:spacing w:val="28"/>
        </w:rPr>
        <w:t> </w:t>
      </w:r>
      <w:r>
        <w:rPr/>
        <w:t>an</w:t>
      </w:r>
      <w:r>
        <w:rPr>
          <w:spacing w:val="27"/>
        </w:rPr>
        <w:t> </w:t>
      </w:r>
      <w:r>
        <w:rPr/>
        <w:t>employer</w:t>
      </w:r>
      <w:r>
        <w:rPr>
          <w:spacing w:val="28"/>
        </w:rPr>
        <w:t> </w:t>
      </w:r>
      <w:r>
        <w:rPr/>
        <w:t>as</w:t>
      </w:r>
      <w:r>
        <w:rPr>
          <w:spacing w:val="27"/>
        </w:rPr>
        <w:t> </w:t>
      </w:r>
      <w:r>
        <w:rPr/>
        <w:t>being</w:t>
      </w:r>
      <w:r>
        <w:rPr>
          <w:spacing w:val="28"/>
        </w:rPr>
        <w:t> </w:t>
      </w:r>
      <w:r>
        <w:rPr/>
        <w:t>recognised</w:t>
      </w:r>
      <w:r>
        <w:rPr>
          <w:spacing w:val="28"/>
        </w:rPr>
        <w:t> </w:t>
      </w:r>
      <w:r>
        <w:rPr/>
        <w:t>only</w:t>
      </w:r>
      <w:r>
        <w:rPr>
          <w:spacing w:val="27"/>
        </w:rPr>
        <w:t> </w:t>
      </w:r>
      <w:r>
        <w:rPr/>
        <w:t>in</w:t>
      </w:r>
      <w:r>
        <w:rPr>
          <w:spacing w:val="28"/>
        </w:rPr>
        <w:t> </w:t>
      </w:r>
      <w:r>
        <w:rPr/>
        <w:t>very</w:t>
      </w:r>
      <w:r>
        <w:rPr>
          <w:spacing w:val="27"/>
        </w:rPr>
        <w:t> </w:t>
      </w:r>
      <w:r>
        <w:rPr/>
        <w:t>specific</w:t>
      </w:r>
      <w:r>
        <w:rPr>
          <w:spacing w:val="28"/>
        </w:rPr>
        <w:t> </w:t>
      </w:r>
      <w:r>
        <w:rPr/>
        <w:t>situations.</w:t>
      </w:r>
      <w:r>
        <w:rPr>
          <w:spacing w:val="25"/>
        </w:rPr>
        <w:t> </w:t>
      </w:r>
      <w:hyperlink w:history="true" w:anchor="_bookmark1998">
        <w:r>
          <w:rPr>
            <w:color w:val="005DA1"/>
            <w:u w:val="single" w:color="005DA1"/>
            <w:vertAlign w:val="superscript"/>
          </w:rPr>
          <w:t>1312</w:t>
        </w:r>
        <w:r>
          <w:rPr>
            <w:color w:val="005DA1"/>
            <w:spacing w:val="70"/>
            <w:vertAlign w:val="baseline"/>
          </w:rPr>
          <w:t>  </w:t>
        </w:r>
        <w:r>
          <w:rPr>
            <w:color w:val="005DA1"/>
            <w:spacing w:val="-23"/>
            <w:position w:val="-2"/>
            <w:vertAlign w:val="baseline"/>
          </w:rPr>
          <w:drawing>
            <wp:inline distT="0" distB="0" distL="0" distR="0">
              <wp:extent cx="107988" cy="107988"/>
              <wp:effectExtent l="0" t="0" r="0" b="0"/>
              <wp:docPr id="469" name="Image 469"/>
              <wp:cNvGraphicFramePr>
                <a:graphicFrameLocks/>
              </wp:cNvGraphicFramePr>
              <a:graphic>
                <a:graphicData uri="http://schemas.openxmlformats.org/drawingml/2006/picture">
                  <pic:pic>
                    <pic:nvPicPr>
                      <pic:cNvPr id="469" name="Image 4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56"/>
            <w:vertAlign w:val="baseline"/>
          </w:rPr>
          <w:t> </w:t>
        </w:r>
        <w:r>
          <w:rPr>
            <w:spacing w:val="-2"/>
            <w:vertAlign w:val="baseline"/>
          </w:rPr>
          <w:t>Moreover,</w:t>
        </w:r>
      </w:hyperlink>
    </w:p>
    <w:p>
      <w:pPr>
        <w:pStyle w:val="BodyText"/>
        <w:spacing w:line="235" w:lineRule="auto" w:before="119"/>
        <w:ind w:left="165" w:right="167"/>
        <w:jc w:val="both"/>
      </w:pPr>
      <w:r>
        <w:rPr/>
        <w:t>where it had been recognised, as in</w:t>
      </w:r>
      <w:r>
        <w:rPr>
          <w:spacing w:val="-1"/>
        </w:rPr>
        <w:t> </w:t>
      </w:r>
      <w:r>
        <w:rPr>
          <w:rFonts w:ascii="Arial" w:hAnsi="Arial"/>
          <w:i/>
        </w:rPr>
        <w:t>Spring v Guardian Assurance Plc</w:t>
      </w:r>
      <w:r>
        <w:rPr/>
        <w:t>, </w:t>
      </w:r>
      <w:hyperlink w:history="true" w:anchor="_bookmark1999">
        <w:r>
          <w:rPr>
            <w:color w:val="005DA1"/>
            <w:u w:val="single" w:color="005DA1"/>
            <w:vertAlign w:val="superscript"/>
          </w:rPr>
          <w:t>1313</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470" name="Image 470"/>
              <wp:cNvGraphicFramePr>
                <a:graphicFrameLocks/>
              </wp:cNvGraphicFramePr>
              <a:graphic>
                <a:graphicData uri="http://schemas.openxmlformats.org/drawingml/2006/picture">
                  <pic:pic>
                    <pic:nvPicPr>
                      <pic:cNvPr id="470" name="Image 47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3"/>
            <w:vertAlign w:val="baseline"/>
          </w:rPr>
          <w:t> </w:t>
        </w:r>
        <w:r>
          <w:rPr>
            <w:vertAlign w:val="baseline"/>
          </w:rPr>
          <w:t>“[t]he policy arguments </w:t>
        </w:r>
        <w:bookmarkStart w:name="_bookmark1863" w:id="1865"/>
        <w:bookmarkEnd w:id="1865"/>
        <w:r>
          <w:rPr>
            <w:vertAlign w:val="baseline"/>
          </w:rPr>
          <w:t>relevant</w:t>
        </w:r>
        <w:r>
          <w:rPr>
            <w:spacing w:val="10"/>
            <w:vertAlign w:val="baseline"/>
          </w:rPr>
          <w:t> </w:t>
        </w:r>
        <w:r>
          <w:rPr>
            <w:vertAlign w:val="baseline"/>
          </w:rPr>
          <w:t>to</w:t>
        </w:r>
        <w:r>
          <w:rPr>
            <w:spacing w:val="12"/>
            <w:vertAlign w:val="baseline"/>
          </w:rPr>
          <w:t> </w:t>
        </w:r>
        <w:r>
          <w:rPr>
            <w:vertAlign w:val="baseline"/>
          </w:rPr>
          <w:t>implication</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duty</w:t>
        </w:r>
        <w:r>
          <w:rPr>
            <w:spacing w:val="12"/>
            <w:vertAlign w:val="baseline"/>
          </w:rPr>
          <w:t> </w:t>
        </w:r>
        <w:r>
          <w:rPr>
            <w:vertAlign w:val="baseline"/>
          </w:rPr>
          <w:t>in</w:t>
        </w:r>
        <w:r>
          <w:rPr>
            <w:spacing w:val="12"/>
            <w:vertAlign w:val="baseline"/>
          </w:rPr>
          <w:t> </w:t>
        </w:r>
        <w:r>
          <w:rPr>
            <w:vertAlign w:val="baseline"/>
          </w:rPr>
          <w:t>contract</w:t>
        </w:r>
        <w:r>
          <w:rPr>
            <w:spacing w:val="12"/>
            <w:vertAlign w:val="baseline"/>
          </w:rPr>
          <w:t> </w:t>
        </w:r>
        <w:r>
          <w:rPr>
            <w:vertAlign w:val="baseline"/>
          </w:rPr>
          <w:t>and</w:t>
        </w:r>
        <w:r>
          <w:rPr>
            <w:spacing w:val="12"/>
            <w:vertAlign w:val="baseline"/>
          </w:rPr>
          <w:t> </w:t>
        </w:r>
        <w:r>
          <w:rPr>
            <w:vertAlign w:val="baseline"/>
          </w:rPr>
          <w:t>the</w:t>
        </w:r>
        <w:r>
          <w:rPr>
            <w:spacing w:val="12"/>
            <w:vertAlign w:val="baseline"/>
          </w:rPr>
          <w:t> </w:t>
        </w:r>
        <w:r>
          <w:rPr>
            <w:vertAlign w:val="baseline"/>
          </w:rPr>
          <w:t>imposition</w:t>
        </w:r>
        <w:r>
          <w:rPr>
            <w:spacing w:val="12"/>
            <w:vertAlign w:val="baseline"/>
          </w:rPr>
          <w:t> </w:t>
        </w:r>
        <w:r>
          <w:rPr>
            <w:vertAlign w:val="baseline"/>
          </w:rPr>
          <w:t>of</w:t>
        </w:r>
        <w:r>
          <w:rPr>
            <w:spacing w:val="12"/>
            <w:vertAlign w:val="baseline"/>
          </w:rPr>
          <w:t> </w:t>
        </w:r>
        <w:r>
          <w:rPr>
            <w:vertAlign w:val="baseline"/>
          </w:rPr>
          <w:t>a</w:t>
        </w:r>
        <w:r>
          <w:rPr>
            <w:spacing w:val="12"/>
            <w:vertAlign w:val="baseline"/>
          </w:rPr>
          <w:t> </w:t>
        </w:r>
        <w:r>
          <w:rPr>
            <w:vertAlign w:val="baseline"/>
          </w:rPr>
          <w:t>duty</w:t>
        </w:r>
        <w:r>
          <w:rPr>
            <w:spacing w:val="12"/>
            <w:vertAlign w:val="baseline"/>
          </w:rPr>
          <w:t> </w:t>
        </w:r>
        <w:r>
          <w:rPr>
            <w:vertAlign w:val="baseline"/>
          </w:rPr>
          <w:t>of</w:t>
        </w:r>
        <w:r>
          <w:rPr>
            <w:spacing w:val="12"/>
            <w:vertAlign w:val="baseline"/>
          </w:rPr>
          <w:t> </w:t>
        </w:r>
        <w:r>
          <w:rPr>
            <w:vertAlign w:val="baseline"/>
          </w:rPr>
          <w:t>care</w:t>
        </w:r>
        <w:r>
          <w:rPr>
            <w:spacing w:val="12"/>
            <w:vertAlign w:val="baseline"/>
          </w:rPr>
          <w:t> </w:t>
        </w:r>
        <w:r>
          <w:rPr>
            <w:vertAlign w:val="baseline"/>
          </w:rPr>
          <w:t>in</w:t>
        </w:r>
        <w:r>
          <w:rPr>
            <w:spacing w:val="12"/>
            <w:vertAlign w:val="baseline"/>
          </w:rPr>
          <w:t> </w:t>
        </w:r>
        <w:r>
          <w:rPr>
            <w:vertAlign w:val="baseline"/>
          </w:rPr>
          <w:t>tort</w:t>
        </w:r>
        <w:r>
          <w:rPr>
            <w:spacing w:val="12"/>
            <w:vertAlign w:val="baseline"/>
          </w:rPr>
          <w:t> </w:t>
        </w:r>
        <w:r>
          <w:rPr>
            <w:vertAlign w:val="baseline"/>
          </w:rPr>
          <w:t>were</w:t>
        </w:r>
        <w:r>
          <w:rPr>
            <w:spacing w:val="12"/>
            <w:vertAlign w:val="baseline"/>
          </w:rPr>
          <w:t> </w:t>
        </w:r>
        <w:r>
          <w:rPr>
            <w:spacing w:val="-2"/>
            <w:vertAlign w:val="baseline"/>
          </w:rPr>
          <w:t>closely</w:t>
        </w:r>
      </w:hyperlink>
    </w:p>
    <w:p>
      <w:pPr>
        <w:pStyle w:val="BodyText"/>
        <w:spacing w:before="115"/>
        <w:ind w:left="165"/>
        <w:jc w:val="both"/>
      </w:pPr>
      <w:r>
        <w:rPr/>
        <w:t>similar”.</w:t>
      </w:r>
      <w:r>
        <w:rPr>
          <w:spacing w:val="-3"/>
        </w:rPr>
        <w:t> </w:t>
      </w:r>
      <w:hyperlink w:history="true" w:anchor="_bookmark2000">
        <w:r>
          <w:rPr>
            <w:color w:val="005DA1"/>
            <w:u w:val="single" w:color="005DA1"/>
            <w:vertAlign w:val="superscript"/>
          </w:rPr>
          <w:t>1314</w:t>
        </w:r>
        <w:r>
          <w:rPr>
            <w:color w:val="005DA1"/>
            <w:spacing w:val="26"/>
            <w:vertAlign w:val="baseline"/>
          </w:rPr>
          <w:t>  </w:t>
        </w:r>
        <w:r>
          <w:rPr>
            <w:color w:val="005DA1"/>
            <w:position w:val="-2"/>
            <w:vertAlign w:val="baseline"/>
          </w:rPr>
          <w:drawing>
            <wp:inline distT="0" distB="0" distL="0" distR="0">
              <wp:extent cx="107988" cy="107988"/>
              <wp:effectExtent l="0" t="0" r="0" b="0"/>
              <wp:docPr id="471" name="Image 471"/>
              <wp:cNvGraphicFramePr>
                <a:graphicFrameLocks/>
              </wp:cNvGraphicFramePr>
              <a:graphic>
                <a:graphicData uri="http://schemas.openxmlformats.org/drawingml/2006/picture">
                  <pic:pic>
                    <pic:nvPicPr>
                      <pic:cNvPr id="471" name="Image 47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4"/>
            <w:vertAlign w:val="baseline"/>
          </w:rPr>
          <w:t> </w:t>
        </w:r>
        <w:r>
          <w:rPr>
            <w:vertAlign w:val="baseline"/>
          </w:rPr>
          <w:t>According</w:t>
        </w:r>
        <w:r>
          <w:rPr>
            <w:spacing w:val="-2"/>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Sales</w:t>
        </w:r>
        <w:r>
          <w:rPr>
            <w:spacing w:val="-1"/>
            <w:vertAlign w:val="baseline"/>
          </w:rPr>
          <w:t> </w:t>
        </w:r>
        <w:r>
          <w:rPr>
            <w:vertAlign w:val="baseline"/>
          </w:rPr>
          <w:t>L.J.</w:t>
        </w:r>
        <w:r>
          <w:rPr>
            <w:spacing w:val="-2"/>
            <w:vertAlign w:val="baseline"/>
          </w:rPr>
          <w:t> </w:t>
        </w:r>
        <w:r>
          <w:rPr>
            <w:vertAlign w:val="baseline"/>
          </w:rPr>
          <w:t>(with</w:t>
        </w:r>
        <w:r>
          <w:rPr>
            <w:spacing w:val="-1"/>
            <w:vertAlign w:val="baseline"/>
          </w:rPr>
          <w:t> </w:t>
        </w:r>
        <w:r>
          <w:rPr>
            <w:vertAlign w:val="baseline"/>
          </w:rPr>
          <w:t>whom</w:t>
        </w:r>
        <w:r>
          <w:rPr>
            <w:spacing w:val="-1"/>
            <w:vertAlign w:val="baseline"/>
          </w:rPr>
          <w:t> </w:t>
        </w:r>
        <w:r>
          <w:rPr>
            <w:vertAlign w:val="baseline"/>
          </w:rPr>
          <w:t>Davis</w:t>
        </w:r>
        <w:r>
          <w:rPr>
            <w:spacing w:val="-2"/>
            <w:vertAlign w:val="baseline"/>
          </w:rPr>
          <w:t> </w:t>
        </w:r>
        <w:r>
          <w:rPr>
            <w:vertAlign w:val="baseline"/>
          </w:rPr>
          <w:t>L.J.</w:t>
        </w:r>
        <w:r>
          <w:rPr>
            <w:spacing w:val="-1"/>
            <w:vertAlign w:val="baseline"/>
          </w:rPr>
          <w:t> </w:t>
        </w:r>
        <w:r>
          <w:rPr>
            <w:vertAlign w:val="baseline"/>
          </w:rPr>
          <w:t>and</w:t>
        </w:r>
        <w:r>
          <w:rPr>
            <w:spacing w:val="-1"/>
            <w:vertAlign w:val="baseline"/>
          </w:rPr>
          <w:t> </w:t>
        </w:r>
        <w:r>
          <w:rPr>
            <w:vertAlign w:val="baseline"/>
          </w:rPr>
          <w:t>Lord</w:t>
        </w:r>
        <w:r>
          <w:rPr>
            <w:spacing w:val="-1"/>
            <w:vertAlign w:val="baseline"/>
          </w:rPr>
          <w:t> </w:t>
        </w:r>
        <w:r>
          <w:rPr>
            <w:vertAlign w:val="baseline"/>
          </w:rPr>
          <w:t>Dyson</w:t>
        </w:r>
        <w:r>
          <w:rPr>
            <w:spacing w:val="-2"/>
            <w:vertAlign w:val="baseline"/>
          </w:rPr>
          <w:t> </w:t>
        </w:r>
        <w:r>
          <w:rPr>
            <w:vertAlign w:val="baseline"/>
          </w:rPr>
          <w:t>M.R.</w:t>
        </w:r>
        <w:r>
          <w:rPr>
            <w:spacing w:val="-1"/>
            <w:vertAlign w:val="baseline"/>
          </w:rPr>
          <w:t> </w:t>
        </w:r>
        <w:r>
          <w:rPr>
            <w:spacing w:val="-2"/>
            <w:vertAlign w:val="baseline"/>
          </w:rPr>
          <w:t>agreed):</w:t>
        </w:r>
      </w:hyperlink>
    </w:p>
    <w:p>
      <w:pPr>
        <w:pStyle w:val="BodyText"/>
      </w:pPr>
    </w:p>
    <w:p>
      <w:pPr>
        <w:pStyle w:val="BodyText"/>
        <w:spacing w:before="126"/>
      </w:pPr>
    </w:p>
    <w:p>
      <w:pPr>
        <w:pStyle w:val="BodyText"/>
        <w:spacing w:line="235" w:lineRule="auto"/>
        <w:ind w:left="1245" w:right="167"/>
        <w:jc w:val="both"/>
      </w:pPr>
      <w:r>
        <w:rPr/>
        <w:t>“This is significant. Where the nexus between parties is founded in a </w:t>
      </w:r>
      <w:r>
        <w:rPr/>
        <w:t>contractual relationship, as here, it is the contract which they have made with each other which is the primary source and reference point for the rights they have and the obligations they owe each other. Although a duty of care in tort may run in parallel with the contractual duty</w:t>
      </w:r>
      <w:r>
        <w:rPr>
          <w:spacing w:val="40"/>
        </w:rPr>
        <w:t> </w:t>
      </w:r>
      <w:r>
        <w:rPr/>
        <w:t>and have the same content, it is difficult to see how the law of tort could impose obligations in this area which are more extensive than those given by interpretation of the contract which the parties have made for themselves. The usual rule is that freedom of contract is paramount, and if the parties have agreed terms to govern their relationship which do not involve the assumption of responsibility by the employer for some particular </w:t>
      </w:r>
      <w:bookmarkStart w:name="_bookmark1864" w:id="1866"/>
      <w:bookmarkEnd w:id="1866"/>
      <w:r>
        <w:rPr/>
        <w:t>risk,</w:t>
      </w:r>
      <w:r>
        <w:rPr>
          <w:spacing w:val="1"/>
        </w:rPr>
        <w:t> </w:t>
      </w:r>
      <w:r>
        <w:rPr/>
        <w:t>the</w:t>
      </w:r>
      <w:r>
        <w:rPr>
          <w:spacing w:val="1"/>
        </w:rPr>
        <w:t> </w:t>
      </w:r>
      <w:r>
        <w:rPr/>
        <w:t>general</w:t>
      </w:r>
      <w:r>
        <w:rPr>
          <w:spacing w:val="1"/>
        </w:rPr>
        <w:t> </w:t>
      </w:r>
      <w:r>
        <w:rPr/>
        <w:t>law</w:t>
      </w:r>
      <w:r>
        <w:rPr>
          <w:spacing w:val="1"/>
        </w:rPr>
        <w:t> </w:t>
      </w:r>
      <w:r>
        <w:rPr/>
        <w:t>of</w:t>
      </w:r>
      <w:r>
        <w:rPr>
          <w:spacing w:val="1"/>
        </w:rPr>
        <w:t> </w:t>
      </w:r>
      <w:r>
        <w:rPr/>
        <w:t>tort</w:t>
      </w:r>
      <w:r>
        <w:rPr>
          <w:spacing w:val="1"/>
        </w:rPr>
        <w:t> </w:t>
      </w:r>
      <w:r>
        <w:rPr/>
        <w:t>will</w:t>
      </w:r>
      <w:r>
        <w:rPr>
          <w:spacing w:val="1"/>
        </w:rPr>
        <w:t> </w:t>
      </w:r>
      <w:r>
        <w:rPr/>
        <w:t>not</w:t>
      </w:r>
      <w:r>
        <w:rPr>
          <w:spacing w:val="1"/>
        </w:rPr>
        <w:t> </w:t>
      </w:r>
      <w:r>
        <w:rPr/>
        <w:t>operate</w:t>
      </w:r>
      <w:r>
        <w:rPr>
          <w:spacing w:val="1"/>
        </w:rPr>
        <w:t> </w:t>
      </w:r>
      <w:r>
        <w:rPr/>
        <w:t>to</w:t>
      </w:r>
      <w:r>
        <w:rPr>
          <w:spacing w:val="1"/>
        </w:rPr>
        <w:t> </w:t>
      </w:r>
      <w:r>
        <w:rPr/>
        <w:t>impose</w:t>
      </w:r>
      <w:r>
        <w:rPr>
          <w:spacing w:val="1"/>
        </w:rPr>
        <w:t> </w:t>
      </w:r>
      <w:r>
        <w:rPr/>
        <w:t>on</w:t>
      </w:r>
      <w:r>
        <w:rPr>
          <w:spacing w:val="1"/>
        </w:rPr>
        <w:t> </w:t>
      </w:r>
      <w:r>
        <w:rPr/>
        <w:t>the</w:t>
      </w:r>
      <w:r>
        <w:rPr>
          <w:spacing w:val="1"/>
        </w:rPr>
        <w:t> </w:t>
      </w:r>
      <w:r>
        <w:rPr/>
        <w:t>employer</w:t>
      </w:r>
      <w:r>
        <w:rPr>
          <w:spacing w:val="1"/>
        </w:rPr>
        <w:t> </w:t>
      </w:r>
      <w:r>
        <w:rPr/>
        <w:t>an</w:t>
      </w:r>
      <w:r>
        <w:rPr>
          <w:spacing w:val="1"/>
        </w:rPr>
        <w:t> </w:t>
      </w:r>
      <w:r>
        <w:rPr/>
        <w:t>obligation</w:t>
      </w:r>
      <w:r>
        <w:rPr>
          <w:spacing w:val="1"/>
        </w:rPr>
        <w:t> </w:t>
      </w:r>
      <w:r>
        <w:rPr>
          <w:spacing w:val="-2"/>
        </w:rPr>
        <w:t>which</w:t>
      </w:r>
    </w:p>
    <w:p>
      <w:pPr>
        <w:pStyle w:val="BodyText"/>
        <w:spacing w:before="112"/>
        <w:ind w:left="1245"/>
        <w:jc w:val="both"/>
        <w:rPr>
          <w:position w:val="-2"/>
        </w:rPr>
      </w:pPr>
      <w:r>
        <w:rPr/>
        <w:t>is more extensive than that which they agreed.” </w:t>
      </w:r>
      <w:hyperlink w:history="true" w:anchor="_bookmark2001">
        <w:r>
          <w:rPr>
            <w:color w:val="005DA1"/>
            <w:u w:val="single" w:color="005DA1"/>
            <w:vertAlign w:val="superscript"/>
          </w:rPr>
          <w:t>1315</w:t>
        </w:r>
        <w:r>
          <w:rPr>
            <w:color w:val="005DA1"/>
            <w:spacing w:val="80"/>
            <w:w w:val="150"/>
            <w:vertAlign w:val="baseline"/>
          </w:rPr>
          <w:t> </w:t>
        </w:r>
        <w:r>
          <w:rPr>
            <w:color w:val="005DA1"/>
            <w:position w:val="-2"/>
            <w:vertAlign w:val="baseline"/>
          </w:rPr>
          <w:drawing>
            <wp:inline distT="0" distB="0" distL="0" distR="0">
              <wp:extent cx="107988" cy="107988"/>
              <wp:effectExtent l="0" t="0" r="0" b="0"/>
              <wp:docPr id="472" name="Image 472"/>
              <wp:cNvGraphicFramePr>
                <a:graphicFrameLocks/>
              </wp:cNvGraphicFramePr>
              <a:graphic>
                <a:graphicData uri="http://schemas.openxmlformats.org/drawingml/2006/picture">
                  <pic:pic>
                    <pic:nvPicPr>
                      <pic:cNvPr id="472" name="Image 47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6"/>
      </w:pPr>
    </w:p>
    <w:p>
      <w:pPr>
        <w:pStyle w:val="BodyText"/>
        <w:spacing w:line="235" w:lineRule="auto"/>
        <w:ind w:left="165" w:right="167"/>
        <w:jc w:val="both"/>
      </w:pPr>
      <w:r>
        <w:rPr/>
        <w:t>As a result, since there is no implied contractual term according to which the defendant employer is obliged to protect the claimants in relation to their financial losses arising in the circumstances of </w:t>
      </w:r>
      <w:r>
        <w:rPr/>
        <w:t>this </w:t>
      </w:r>
      <w:bookmarkStart w:name="_bookmark1865" w:id="1867"/>
      <w:bookmarkEnd w:id="1867"/>
      <w:r>
        <w:rPr/>
        <w:t>case,</w:t>
      </w:r>
      <w:r>
        <w:rPr>
          <w:spacing w:val="18"/>
        </w:rPr>
        <w:t> </w:t>
      </w:r>
      <w:r>
        <w:rPr/>
        <w:t>nor</w:t>
      </w:r>
      <w:r>
        <w:rPr>
          <w:spacing w:val="18"/>
        </w:rPr>
        <w:t> </w:t>
      </w:r>
      <w:r>
        <w:rPr/>
        <w:t>could</w:t>
      </w:r>
      <w:r>
        <w:rPr>
          <w:spacing w:val="18"/>
        </w:rPr>
        <w:t> </w:t>
      </w:r>
      <w:r>
        <w:rPr/>
        <w:t>there</w:t>
      </w:r>
      <w:r>
        <w:rPr>
          <w:spacing w:val="18"/>
        </w:rPr>
        <w:t> </w:t>
      </w:r>
      <w:r>
        <w:rPr/>
        <w:t>be</w:t>
      </w:r>
      <w:r>
        <w:rPr>
          <w:spacing w:val="18"/>
        </w:rPr>
        <w:t> </w:t>
      </w:r>
      <w:r>
        <w:rPr/>
        <w:t>a</w:t>
      </w:r>
      <w:r>
        <w:rPr>
          <w:spacing w:val="18"/>
        </w:rPr>
        <w:t> </w:t>
      </w:r>
      <w:r>
        <w:rPr/>
        <w:t>duty</w:t>
      </w:r>
      <w:r>
        <w:rPr>
          <w:spacing w:val="18"/>
        </w:rPr>
        <w:t> </w:t>
      </w:r>
      <w:r>
        <w:rPr/>
        <w:t>in</w:t>
      </w:r>
      <w:r>
        <w:rPr>
          <w:spacing w:val="18"/>
        </w:rPr>
        <w:t> </w:t>
      </w:r>
      <w:r>
        <w:rPr/>
        <w:t>tort</w:t>
      </w:r>
      <w:r>
        <w:rPr>
          <w:spacing w:val="18"/>
        </w:rPr>
        <w:t> </w:t>
      </w:r>
      <w:r>
        <w:rPr/>
        <w:t>to</w:t>
      </w:r>
      <w:r>
        <w:rPr>
          <w:spacing w:val="18"/>
        </w:rPr>
        <w:t> </w:t>
      </w:r>
      <w:r>
        <w:rPr/>
        <w:t>protect</w:t>
      </w:r>
      <w:r>
        <w:rPr>
          <w:spacing w:val="18"/>
        </w:rPr>
        <w:t> </w:t>
      </w:r>
      <w:r>
        <w:rPr/>
        <w:t>them</w:t>
      </w:r>
      <w:r>
        <w:rPr>
          <w:spacing w:val="18"/>
        </w:rPr>
        <w:t> </w:t>
      </w:r>
      <w:r>
        <w:rPr/>
        <w:t>in</w:t>
      </w:r>
      <w:r>
        <w:rPr>
          <w:spacing w:val="18"/>
        </w:rPr>
        <w:t> </w:t>
      </w:r>
      <w:r>
        <w:rPr/>
        <w:t>relation</w:t>
      </w:r>
      <w:r>
        <w:rPr>
          <w:spacing w:val="18"/>
        </w:rPr>
        <w:t> </w:t>
      </w:r>
      <w:r>
        <w:rPr/>
        <w:t>to</w:t>
      </w:r>
      <w:r>
        <w:rPr>
          <w:spacing w:val="18"/>
        </w:rPr>
        <w:t> </w:t>
      </w:r>
      <w:r>
        <w:rPr/>
        <w:t>pure</w:t>
      </w:r>
      <w:r>
        <w:rPr>
          <w:spacing w:val="18"/>
        </w:rPr>
        <w:t> </w:t>
      </w:r>
      <w:r>
        <w:rPr/>
        <w:t>economic</w:t>
      </w:r>
      <w:r>
        <w:rPr>
          <w:spacing w:val="18"/>
        </w:rPr>
        <w:t> </w:t>
      </w:r>
      <w:r>
        <w:rPr/>
        <w:t>loss</w:t>
      </w:r>
      <w:r>
        <w:rPr>
          <w:spacing w:val="18"/>
        </w:rPr>
        <w:t> </w:t>
      </w:r>
      <w:r>
        <w:rPr/>
        <w:t>suffered</w:t>
      </w:r>
      <w:r>
        <w:rPr>
          <w:spacing w:val="18"/>
        </w:rPr>
        <w:t> </w:t>
      </w:r>
      <w:r>
        <w:rPr>
          <w:spacing w:val="-5"/>
        </w:rPr>
        <w:t>by</w:t>
      </w:r>
    </w:p>
    <w:p>
      <w:pPr>
        <w:pStyle w:val="BodyText"/>
        <w:spacing w:line="235" w:lineRule="auto" w:before="119"/>
        <w:ind w:left="164" w:right="167"/>
        <w:jc w:val="both"/>
      </w:pPr>
      <w:r>
        <w:rPr/>
        <w:t>reason of those financial losses. </w:t>
      </w:r>
      <w:hyperlink w:history="true" w:anchor="_bookmark2002">
        <w:r>
          <w:rPr>
            <w:color w:val="005DA1"/>
            <w:u w:val="single" w:color="005DA1"/>
            <w:vertAlign w:val="superscript"/>
          </w:rPr>
          <w:t>1316</w:t>
        </w:r>
        <w:r>
          <w:rPr>
            <w:color w:val="005DA1"/>
            <w:spacing w:val="80"/>
            <w:w w:val="150"/>
            <w:vertAlign w:val="baseline"/>
          </w:rPr>
          <w:t> </w:t>
        </w:r>
        <w:r>
          <w:rPr>
            <w:color w:val="005DA1"/>
            <w:spacing w:val="1"/>
            <w:position w:val="-2"/>
            <w:vertAlign w:val="baseline"/>
          </w:rPr>
          <w:drawing>
            <wp:inline distT="0" distB="0" distL="0" distR="0">
              <wp:extent cx="107988" cy="107988"/>
              <wp:effectExtent l="0" t="0" r="0" b="0"/>
              <wp:docPr id="473" name="Image 473"/>
              <wp:cNvGraphicFramePr>
                <a:graphicFrameLocks/>
              </wp:cNvGraphicFramePr>
              <a:graphic>
                <a:graphicData uri="http://schemas.openxmlformats.org/drawingml/2006/picture">
                  <pic:pic>
                    <pic:nvPicPr>
                      <pic:cNvPr id="473" name="Image 47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It will be seen, therefore, that while the High Court </w:t>
        </w:r>
        <w:r>
          <w:rPr>
            <w:vertAlign w:val="baseline"/>
          </w:rPr>
          <w:t>started with the restricted scope of a relevant duty of care in the tort of negligence (not extending to pure economic loss) and then held that any implied contractual duty could not differ in scope, the Court of Appeal instead held that the lack of any relevant implied contract term meant that no duty of care in tort should go any further. At the time of writing this Supplement, permission to appeal by the claimants in this case has been granted by the Supreme Court.</w:t>
        </w:r>
      </w:hyperlink>
    </w:p>
    <w:p>
      <w:pPr>
        <w:pStyle w:val="BodyText"/>
      </w:pPr>
    </w:p>
    <w:p>
      <w:pPr>
        <w:pStyle w:val="BodyText"/>
        <w:spacing w:before="36"/>
      </w:pPr>
    </w:p>
    <w:p>
      <w:pPr>
        <w:spacing w:before="0"/>
        <w:ind w:left="164" w:right="0" w:firstLine="0"/>
        <w:jc w:val="both"/>
        <w:rPr>
          <w:rFonts w:ascii="Arial"/>
          <w:b/>
          <w:sz w:val="18"/>
        </w:rPr>
      </w:pPr>
      <w:r>
        <w:rPr>
          <w:rFonts w:ascii="Arial"/>
          <w:b/>
          <w:sz w:val="18"/>
        </w:rPr>
        <w:t>The contractual </w:t>
      </w:r>
      <w:r>
        <w:rPr>
          <w:rFonts w:ascii="Arial"/>
          <w:b/>
          <w:spacing w:val="-2"/>
          <w:sz w:val="18"/>
        </w:rPr>
        <w:t>regime</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191</w:t>
      </w:r>
    </w:p>
    <w:p>
      <w:pPr>
        <w:pStyle w:val="BodyText"/>
        <w:spacing w:before="199"/>
        <w:ind w:left="164"/>
        <w:jc w:val="both"/>
      </w:pPr>
      <w:r>
        <w:rPr/>
        <w:t>Both</w:t>
      </w:r>
      <w:r>
        <w:rPr>
          <w:spacing w:val="9"/>
        </w:rPr>
        <w:t> </w:t>
      </w:r>
      <w:r>
        <w:rPr/>
        <w:t>common</w:t>
      </w:r>
      <w:r>
        <w:rPr>
          <w:spacing w:val="9"/>
        </w:rPr>
        <w:t> </w:t>
      </w:r>
      <w:r>
        <w:rPr/>
        <w:t>law</w:t>
      </w:r>
      <w:r>
        <w:rPr>
          <w:spacing w:val="9"/>
        </w:rPr>
        <w:t> </w:t>
      </w:r>
      <w:r>
        <w:rPr/>
        <w:t>and</w:t>
      </w:r>
      <w:r>
        <w:rPr>
          <w:spacing w:val="9"/>
        </w:rPr>
        <w:t> </w:t>
      </w:r>
      <w:r>
        <w:rPr/>
        <w:t>legislation</w:t>
      </w:r>
      <w:r>
        <w:rPr>
          <w:spacing w:val="9"/>
        </w:rPr>
        <w:t> </w:t>
      </w:r>
      <w:r>
        <w:rPr/>
        <w:t>attach</w:t>
      </w:r>
      <w:r>
        <w:rPr>
          <w:spacing w:val="9"/>
        </w:rPr>
        <w:t> </w:t>
      </w:r>
      <w:r>
        <w:rPr/>
        <w:t>particular</w:t>
      </w:r>
      <w:r>
        <w:rPr>
          <w:spacing w:val="9"/>
        </w:rPr>
        <w:t> </w:t>
      </w:r>
      <w:r>
        <w:rPr/>
        <w:t>legal</w:t>
      </w:r>
      <w:r>
        <w:rPr>
          <w:spacing w:val="9"/>
        </w:rPr>
        <w:t> </w:t>
      </w:r>
      <w:r>
        <w:rPr/>
        <w:t>consequences</w:t>
      </w:r>
      <w:r>
        <w:rPr>
          <w:spacing w:val="9"/>
        </w:rPr>
        <w:t> </w:t>
      </w:r>
      <w:r>
        <w:rPr/>
        <w:t>to</w:t>
      </w:r>
      <w:r>
        <w:rPr>
          <w:spacing w:val="9"/>
        </w:rPr>
        <w:t> </w:t>
      </w:r>
      <w:r>
        <w:rPr/>
        <w:t>the</w:t>
      </w:r>
      <w:r>
        <w:rPr>
          <w:spacing w:val="9"/>
        </w:rPr>
        <w:t> </w:t>
      </w:r>
      <w:r>
        <w:rPr/>
        <w:t>classification</w:t>
      </w:r>
      <w:r>
        <w:rPr>
          <w:spacing w:val="9"/>
        </w:rPr>
        <w:t> </w:t>
      </w:r>
      <w:r>
        <w:rPr/>
        <w:t>of</w:t>
      </w:r>
      <w:r>
        <w:rPr>
          <w:spacing w:val="9"/>
        </w:rPr>
        <w:t> </w:t>
      </w:r>
      <w:r>
        <w:rPr/>
        <w:t>a</w:t>
      </w:r>
      <w:r>
        <w:rPr>
          <w:spacing w:val="9"/>
        </w:rPr>
        <w:t> </w:t>
      </w:r>
      <w:r>
        <w:rPr>
          <w:spacing w:val="-2"/>
        </w:rPr>
        <w:t>claim</w:t>
      </w:r>
    </w:p>
    <w:p>
      <w:pPr>
        <w:pStyle w:val="BodyText"/>
        <w:spacing w:after="0"/>
        <w:jc w:val="both"/>
        <w:sectPr>
          <w:pgSz w:w="11900" w:h="16840"/>
          <w:pgMar w:header="971" w:footer="0" w:top="1300" w:bottom="280" w:left="1275" w:right="1275"/>
        </w:sectPr>
      </w:pPr>
    </w:p>
    <w:p>
      <w:pPr>
        <w:pStyle w:val="BodyText"/>
        <w:spacing w:line="235" w:lineRule="auto" w:before="210"/>
        <w:ind w:left="165" w:right="167"/>
        <w:jc w:val="both"/>
      </w:pPr>
      <w:r>
        <w:rPr/>
        <w:t>as contractual and together these consequences can be considered to form the “contractual </w:t>
      </w:r>
      <w:r>
        <w:rPr/>
        <w:t>regime”. As has been noted, some rules of this regime are significantly different from their counterparts in the </w:t>
      </w:r>
      <w:bookmarkStart w:name="_bookmark1866" w:id="1868"/>
      <w:bookmarkEnd w:id="1868"/>
      <w:r>
        <w:rPr/>
        <w:t>law</w:t>
      </w:r>
      <w:r>
        <w:rPr/>
        <w:t> of torts, particularly in the context of rules as to the capacity of minors, damages, limitation of </w:t>
      </w:r>
      <w:bookmarkStart w:name="_bookmark1867" w:id="1869"/>
      <w:bookmarkEnd w:id="1869"/>
      <w:r>
        <w:rPr/>
        <w:t>actions</w:t>
      </w:r>
      <w:r>
        <w:rPr/>
        <w:t> and the conflict of laws. </w:t>
      </w:r>
      <w:r>
        <w:rPr>
          <w:color w:val="005DA1"/>
          <w:u w:val="single" w:color="005DA1"/>
          <w:vertAlign w:val="superscript"/>
        </w:rPr>
        <w:t>1317</w:t>
      </w:r>
      <w:r>
        <w:rPr>
          <w:color w:val="005DA1"/>
          <w:vertAlign w:val="baseline"/>
        </w:rPr>
        <w:t> </w:t>
      </w:r>
      <w:r>
        <w:rPr>
          <w:vertAlign w:val="baseline"/>
        </w:rPr>
        <w:t>It is clear from the decision of the House of Lords in </w:t>
      </w:r>
      <w:r>
        <w:rPr>
          <w:rFonts w:ascii="Arial" w:hAnsi="Arial"/>
          <w:i/>
          <w:vertAlign w:val="baseline"/>
        </w:rPr>
        <w:t>Henderson v Merrett</w:t>
      </w:r>
      <w:r>
        <w:rPr>
          <w:rFonts w:ascii="Arial" w:hAnsi="Arial"/>
          <w:i/>
          <w:spacing w:val="-2"/>
          <w:vertAlign w:val="baseline"/>
        </w:rPr>
        <w:t> </w:t>
      </w:r>
      <w:r>
        <w:rPr>
          <w:rFonts w:ascii="Arial" w:hAnsi="Arial"/>
          <w:i/>
          <w:vertAlign w:val="baseline"/>
        </w:rPr>
        <w:t>Syndicates</w:t>
      </w:r>
      <w:r>
        <w:rPr>
          <w:rFonts w:ascii="Arial" w:hAnsi="Arial"/>
          <w:i/>
          <w:spacing w:val="-2"/>
          <w:vertAlign w:val="baseline"/>
        </w:rPr>
        <w:t> </w:t>
      </w:r>
      <w:r>
        <w:rPr>
          <w:rFonts w:ascii="Arial" w:hAnsi="Arial"/>
          <w:i/>
          <w:vertAlign w:val="baseline"/>
        </w:rPr>
        <w:t>Ltd</w:t>
      </w:r>
      <w:r>
        <w:rPr>
          <w:rFonts w:ascii="Arial" w:hAnsi="Arial"/>
          <w:i/>
          <w:spacing w:val="-3"/>
          <w:vertAlign w:val="baseline"/>
        </w:rPr>
        <w:t> </w:t>
      </w:r>
      <w:r>
        <w:rPr>
          <w:color w:val="005DA1"/>
          <w:u w:val="single" w:color="005DA1"/>
          <w:vertAlign w:val="superscript"/>
        </w:rPr>
        <w:t>1318</w:t>
      </w:r>
      <w:r>
        <w:rPr>
          <w:color w:val="005DA1"/>
          <w:spacing w:val="-3"/>
          <w:vertAlign w:val="baseline"/>
        </w:rPr>
        <w:t> </w:t>
      </w:r>
      <w:r>
        <w:rPr>
          <w:vertAlign w:val="baseline"/>
        </w:rPr>
        <w:t>that,</w:t>
      </w:r>
      <w:r>
        <w:rPr>
          <w:spacing w:val="-2"/>
          <w:vertAlign w:val="baseline"/>
        </w:rPr>
        <w:t> </w:t>
      </w:r>
      <w:r>
        <w:rPr>
          <w:vertAlign w:val="baseline"/>
        </w:rPr>
        <w:t>in</w:t>
      </w:r>
      <w:r>
        <w:rPr>
          <w:spacing w:val="-2"/>
          <w:vertAlign w:val="baseline"/>
        </w:rPr>
        <w:t> </w:t>
      </w:r>
      <w:r>
        <w:rPr>
          <w:vertAlign w:val="baseline"/>
        </w:rPr>
        <w:t>principle,</w:t>
      </w:r>
      <w:r>
        <w:rPr>
          <w:spacing w:val="-2"/>
          <w:vertAlign w:val="baseline"/>
        </w:rPr>
        <w:t> </w:t>
      </w:r>
      <w:r>
        <w:rPr>
          <w:vertAlign w:val="baseline"/>
        </w:rPr>
        <w:t>the</w:t>
      </w:r>
      <w:r>
        <w:rPr>
          <w:spacing w:val="-2"/>
          <w:vertAlign w:val="baseline"/>
        </w:rPr>
        <w:t> </w:t>
      </w:r>
      <w:r>
        <w:rPr>
          <w:vertAlign w:val="baseline"/>
        </w:rPr>
        <w:t>option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party</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to</w:t>
      </w:r>
      <w:r>
        <w:rPr>
          <w:spacing w:val="-2"/>
          <w:vertAlign w:val="baseline"/>
        </w:rPr>
        <w:t> </w:t>
      </w:r>
      <w:r>
        <w:rPr>
          <w:vertAlign w:val="baseline"/>
        </w:rPr>
        <w:t>sue</w:t>
      </w:r>
      <w:r>
        <w:rPr>
          <w:spacing w:val="-2"/>
          <w:vertAlign w:val="baseline"/>
        </w:rPr>
        <w:t> </w:t>
      </w:r>
      <w:r>
        <w:rPr>
          <w:vertAlign w:val="baseline"/>
        </w:rPr>
        <w:t>in</w:t>
      </w:r>
      <w:r>
        <w:rPr>
          <w:spacing w:val="-2"/>
          <w:vertAlign w:val="baseline"/>
        </w:rPr>
        <w:t> </w:t>
      </w:r>
      <w:r>
        <w:rPr>
          <w:vertAlign w:val="baseline"/>
        </w:rPr>
        <w:t>tort</w:t>
      </w:r>
      <w:r>
        <w:rPr>
          <w:spacing w:val="-2"/>
          <w:vertAlign w:val="baseline"/>
        </w:rPr>
        <w:t> </w:t>
      </w:r>
      <w:r>
        <w:rPr>
          <w:vertAlign w:val="baseline"/>
        </w:rPr>
        <w:t>rather</w:t>
      </w:r>
      <w:r>
        <w:rPr>
          <w:spacing w:val="-2"/>
          <w:vertAlign w:val="baseline"/>
        </w:rPr>
        <w:t> </w:t>
      </w:r>
      <w:r>
        <w:rPr>
          <w:vertAlign w:val="baseline"/>
        </w:rPr>
        <w:t>than in contract attracts the application to his claim of those rules incidental to tort, since on the facts of</w:t>
      </w:r>
      <w:r>
        <w:rPr>
          <w:spacing w:val="40"/>
          <w:vertAlign w:val="baseline"/>
        </w:rPr>
        <w:t> </w:t>
      </w:r>
      <w:r>
        <w:rPr>
          <w:vertAlign w:val="baseline"/>
        </w:rPr>
        <w:t>that case proceeding in tort allowed the plaintiffs to avoid the expiry of the limitation period for their action for breach of contract. Moreover, the general terms of the acceptance by the House of Lords of a party’s option to sue in tort (if one is established on the facts) rather than in contract supports the converse of this proposition, so that a party who could sue in tort, but chooses instead to sue in contract, thereby gains whatever advantages may be had from those rules which are incidental to claims in contract. However, it is submitted that these general effects of an option will not be universally followed by the courts (as the example of contractual capacity of minors will show) and, perhaps more importantly, where (even before </w:t>
      </w:r>
      <w:r>
        <w:rPr>
          <w:rFonts w:ascii="Arial" w:hAnsi="Arial"/>
          <w:i/>
          <w:vertAlign w:val="baseline"/>
        </w:rPr>
        <w:t>Henderson v Merrett Syndicates Ltd</w:t>
      </w:r>
      <w:r>
        <w:rPr>
          <w:vertAlign w:val="baseline"/>
        </w:rPr>
        <w:t>) the courts have accepted a claimant’s option, they have sometimes reduced the practical differences between the rules incidental to one or other basis of liability, so that the choice of legal basis does not affect the outcome of the case.</w:t>
      </w:r>
    </w:p>
    <w:p>
      <w:pPr>
        <w:pStyle w:val="BodyText"/>
      </w:pPr>
    </w:p>
    <w:p>
      <w:pPr>
        <w:pStyle w:val="BodyText"/>
        <w:spacing w:before="32"/>
      </w:pPr>
    </w:p>
    <w:p>
      <w:pPr>
        <w:spacing w:before="0"/>
        <w:ind w:left="165" w:right="0" w:firstLine="0"/>
        <w:jc w:val="left"/>
        <w:rPr>
          <w:rFonts w:ascii="Arial"/>
          <w:b/>
          <w:sz w:val="18"/>
        </w:rPr>
      </w:pPr>
      <w:r>
        <w:rPr>
          <w:rFonts w:ascii="Arial"/>
          <w:b/>
          <w:sz w:val="18"/>
        </w:rPr>
        <w:t>Capacity of </w:t>
      </w:r>
      <w:r>
        <w:rPr>
          <w:rFonts w:ascii="Arial"/>
          <w:b/>
          <w:spacing w:val="-2"/>
          <w:sz w:val="18"/>
        </w:rPr>
        <w:t>minors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192</w:t>
      </w:r>
    </w:p>
    <w:p>
      <w:pPr>
        <w:pStyle w:val="BodyText"/>
        <w:spacing w:line="235" w:lineRule="auto" w:before="202"/>
        <w:ind w:left="164" w:right="167"/>
        <w:jc w:val="both"/>
      </w:pPr>
      <w:bookmarkStart w:name="_bookmark1868" w:id="1870"/>
      <w:bookmarkEnd w:id="1870"/>
      <w:r>
        <w:rPr/>
      </w:r>
      <w:r>
        <w:rPr/>
        <w:t>A minor’s capacity to make a contract and to commit a tort are very different. </w:t>
      </w:r>
      <w:r>
        <w:rPr>
          <w:color w:val="005DA1"/>
          <w:u w:val="single" w:color="005DA1"/>
          <w:vertAlign w:val="superscript"/>
        </w:rPr>
        <w:t>1319</w:t>
      </w:r>
      <w:r>
        <w:rPr>
          <w:color w:val="005DA1"/>
          <w:vertAlign w:val="baseline"/>
        </w:rPr>
        <w:t> </w:t>
      </w:r>
      <w:r>
        <w:rPr>
          <w:vertAlign w:val="baseline"/>
        </w:rPr>
        <w:t>However, as has been seen, a party to a contract with a minor cannot in general avoid a minor’s contractual incapacity </w:t>
      </w:r>
      <w:bookmarkStart w:name="_bookmark1869" w:id="1871"/>
      <w:bookmarkEnd w:id="1871"/>
      <w:r>
        <w:rPr>
          <w:vertAlign w:val="baseline"/>
        </w:rPr>
        <w:t>by</w:t>
      </w:r>
      <w:r>
        <w:rPr>
          <w:vertAlign w:val="baseline"/>
        </w:rPr>
        <w:t> suing in tort where to do so would subvert the policy of the common law in protecting minors from </w:t>
      </w:r>
      <w:bookmarkStart w:name="_bookmark1870" w:id="1872"/>
      <w:bookmarkEnd w:id="1872"/>
      <w:r>
        <w:rPr>
          <w:vertAlign w:val="baseline"/>
        </w:rPr>
        <w:t>making</w:t>
      </w:r>
      <w:r>
        <w:rPr>
          <w:vertAlign w:val="baseline"/>
        </w:rPr>
        <w:t> unfavourable contracts. </w:t>
      </w:r>
      <w:r>
        <w:rPr>
          <w:color w:val="005DA1"/>
          <w:u w:val="single" w:color="005DA1"/>
          <w:vertAlign w:val="superscript"/>
        </w:rPr>
        <w:t>1320</w:t>
      </w:r>
      <w:r>
        <w:rPr>
          <w:color w:val="005DA1"/>
          <w:vertAlign w:val="baseline"/>
        </w:rPr>
        <w:t> </w:t>
      </w:r>
      <w:r>
        <w:rPr>
          <w:vertAlign w:val="baseline"/>
        </w:rPr>
        <w:t>This approach is particularly clear in the context of a </w:t>
      </w:r>
      <w:r>
        <w:rPr>
          <w:vertAlign w:val="baseline"/>
        </w:rPr>
        <w:t>fraudulent misrepresentation by a minor as to his age, </w:t>
      </w:r>
      <w:r>
        <w:rPr>
          <w:color w:val="005DA1"/>
          <w:u w:val="single" w:color="005DA1"/>
          <w:vertAlign w:val="superscript"/>
        </w:rPr>
        <w:t>1321</w:t>
      </w:r>
      <w:r>
        <w:rPr>
          <w:color w:val="005DA1"/>
          <w:vertAlign w:val="baseline"/>
        </w:rPr>
        <w:t> </w:t>
      </w:r>
      <w:r>
        <w:rPr>
          <w:vertAlign w:val="baseline"/>
        </w:rPr>
        <w:t>but has been applied to other torts. </w:t>
      </w:r>
      <w:r>
        <w:rPr>
          <w:color w:val="005DA1"/>
          <w:u w:val="single" w:color="005DA1"/>
          <w:vertAlign w:val="superscript"/>
        </w:rPr>
        <w:t>1322</w:t>
      </w:r>
      <w:r>
        <w:rPr>
          <w:color w:val="005DA1"/>
          <w:vertAlign w:val="baseline"/>
        </w:rPr>
        <w:t> </w:t>
      </w:r>
      <w:r>
        <w:rPr>
          <w:vertAlign w:val="baseline"/>
        </w:rPr>
        <w:t>However, the </w:t>
      </w:r>
      <w:bookmarkStart w:name="_bookmark1871" w:id="1873"/>
      <w:bookmarkEnd w:id="1873"/>
      <w:r>
        <w:rPr>
          <w:vertAlign w:val="baseline"/>
        </w:rPr>
        <w:t>courts</w:t>
      </w:r>
      <w:r>
        <w:rPr>
          <w:vertAlign w:val="baseline"/>
        </w:rPr>
        <w:t> have allowed a person who has contracted with a minor to sue the latter in tort, but only if the minor’s tort can be considered as arising </w:t>
      </w:r>
      <w:r>
        <w:rPr>
          <w:rFonts w:ascii="Arial" w:hAnsi="Arial"/>
          <w:i/>
          <w:vertAlign w:val="baseline"/>
        </w:rPr>
        <w:t>independently </w:t>
      </w:r>
      <w:r>
        <w:rPr>
          <w:vertAlign w:val="baseline"/>
        </w:rPr>
        <w:t>of the contract. </w:t>
      </w:r>
      <w:r>
        <w:rPr>
          <w:color w:val="005DA1"/>
          <w:u w:val="single" w:color="005DA1"/>
          <w:vertAlign w:val="superscript"/>
        </w:rPr>
        <w:t>1323</w:t>
      </w:r>
      <w:r>
        <w:rPr>
          <w:color w:val="005DA1"/>
          <w:vertAlign w:val="baseline"/>
        </w:rPr>
        <w:t> </w:t>
      </w:r>
      <w:r>
        <w:rPr>
          <w:vertAlign w:val="baseline"/>
        </w:rPr>
        <w:t>For example, in one case a minor who hired a mare “merely for a ride” and was warned at the hiring that she was unfit for </w:t>
      </w:r>
      <w:bookmarkStart w:name="_bookmark1872" w:id="1874"/>
      <w:bookmarkEnd w:id="1874"/>
      <w:r>
        <w:rPr>
          <w:vertAlign w:val="baseline"/>
        </w:rPr>
        <w:t>jumping,</w:t>
      </w:r>
      <w:r>
        <w:rPr>
          <w:vertAlign w:val="baseline"/>
        </w:rPr>
        <w:t> having lent her to a friend who killed her by that act, was held liable in the tort of trespass which</w:t>
      </w:r>
      <w:r>
        <w:rPr>
          <w:spacing w:val="-3"/>
          <w:vertAlign w:val="baseline"/>
        </w:rPr>
        <w:t> </w:t>
      </w:r>
      <w:r>
        <w:rPr>
          <w:vertAlign w:val="baseline"/>
        </w:rPr>
        <w:t>was</w:t>
      </w:r>
      <w:r>
        <w:rPr>
          <w:spacing w:val="-3"/>
          <w:vertAlign w:val="baseline"/>
        </w:rPr>
        <w:t> </w:t>
      </w:r>
      <w:r>
        <w:rPr>
          <w:vertAlign w:val="baseline"/>
        </w:rPr>
        <w:t>“wholly</w:t>
      </w:r>
      <w:r>
        <w:rPr>
          <w:spacing w:val="-3"/>
          <w:vertAlign w:val="baseline"/>
        </w:rPr>
        <w:t> </w:t>
      </w:r>
      <w:r>
        <w:rPr>
          <w:vertAlign w:val="baseline"/>
        </w:rPr>
        <w:t>independent</w:t>
      </w:r>
      <w:r>
        <w:rPr>
          <w:spacing w:val="-3"/>
          <w:vertAlign w:val="baseline"/>
        </w:rPr>
        <w:t> </w:t>
      </w:r>
      <w:r>
        <w:rPr>
          <w:vertAlign w:val="baseline"/>
        </w:rPr>
        <w:t>of</w:t>
      </w:r>
      <w:r>
        <w:rPr>
          <w:spacing w:val="-3"/>
          <w:vertAlign w:val="baseline"/>
        </w:rPr>
        <w:t> </w:t>
      </w:r>
      <w:r>
        <w:rPr>
          <w:vertAlign w:val="baseline"/>
        </w:rPr>
        <w:t>any</w:t>
      </w:r>
      <w:r>
        <w:rPr>
          <w:spacing w:val="-3"/>
          <w:vertAlign w:val="baseline"/>
        </w:rPr>
        <w:t> </w:t>
      </w:r>
      <w:r>
        <w:rPr>
          <w:vertAlign w:val="baseline"/>
        </w:rPr>
        <w:t>contract”.</w:t>
      </w:r>
      <w:r>
        <w:rPr>
          <w:spacing w:val="-4"/>
          <w:vertAlign w:val="baseline"/>
        </w:rPr>
        <w:t> </w:t>
      </w:r>
      <w:r>
        <w:rPr>
          <w:color w:val="005DA1"/>
          <w:u w:val="single" w:color="005DA1"/>
          <w:vertAlign w:val="superscript"/>
        </w:rPr>
        <w:t>1324</w:t>
      </w:r>
      <w:r>
        <w:rPr>
          <w:color w:val="005DA1"/>
          <w:spacing w:val="-3"/>
          <w:vertAlign w:val="baseline"/>
        </w:rPr>
        <w:t> </w:t>
      </w:r>
      <w:r>
        <w:rPr>
          <w:vertAlign w:val="baseline"/>
        </w:rPr>
        <w:t>Here,</w:t>
      </w:r>
      <w:r>
        <w:rPr>
          <w:spacing w:val="-3"/>
          <w:vertAlign w:val="baseline"/>
        </w:rPr>
        <w:t> </w:t>
      </w:r>
      <w:r>
        <w:rPr>
          <w:vertAlign w:val="baseline"/>
        </w:rPr>
        <w:t>it</w:t>
      </w:r>
      <w:r>
        <w:rPr>
          <w:spacing w:val="-3"/>
          <w:vertAlign w:val="baseline"/>
        </w:rPr>
        <w:t> </w:t>
      </w:r>
      <w:r>
        <w:rPr>
          <w:vertAlign w:val="baseline"/>
        </w:rPr>
        <w:t>cannot</w:t>
      </w:r>
      <w:r>
        <w:rPr>
          <w:spacing w:val="-3"/>
          <w:vertAlign w:val="baseline"/>
        </w:rPr>
        <w:t> </w:t>
      </w:r>
      <w:r>
        <w:rPr>
          <w:vertAlign w:val="baseline"/>
        </w:rPr>
        <w:t>be</w:t>
      </w:r>
      <w:r>
        <w:rPr>
          <w:spacing w:val="-3"/>
          <w:vertAlign w:val="baseline"/>
        </w:rPr>
        <w:t> </w:t>
      </w:r>
      <w:r>
        <w:rPr>
          <w:vertAlign w:val="baseline"/>
        </w:rPr>
        <w:t>said</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tort</w:t>
      </w:r>
      <w:r>
        <w:rPr>
          <w:spacing w:val="-3"/>
          <w:vertAlign w:val="baseline"/>
        </w:rPr>
        <w:t> </w:t>
      </w:r>
      <w:r>
        <w:rPr>
          <w:vertAlign w:val="baseline"/>
        </w:rPr>
        <w:t>was</w:t>
      </w:r>
      <w:r>
        <w:rPr>
          <w:spacing w:val="-3"/>
          <w:vertAlign w:val="baseline"/>
        </w:rPr>
        <w:t> </w:t>
      </w:r>
      <w:r>
        <w:rPr>
          <w:vertAlign w:val="baseline"/>
        </w:rPr>
        <w:t>unrelated </w:t>
      </w:r>
      <w:bookmarkStart w:name="_bookmark1873" w:id="1875"/>
      <w:bookmarkEnd w:id="1875"/>
      <w:r>
        <w:rPr>
          <w:vertAlign w:val="baseline"/>
        </w:rPr>
        <w:t>to</w:t>
      </w:r>
      <w:r>
        <w:rPr>
          <w:vertAlign w:val="baseline"/>
        </w:rPr>
        <w:t> the contract: the tort consisted in permitting something to be done which the minor had been expressly</w:t>
      </w:r>
      <w:r>
        <w:rPr>
          <w:spacing w:val="-2"/>
          <w:vertAlign w:val="baseline"/>
        </w:rPr>
        <w:t> </w:t>
      </w:r>
      <w:r>
        <w:rPr>
          <w:vertAlign w:val="baseline"/>
        </w:rPr>
        <w:t>forbidden</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to</w:t>
      </w:r>
      <w:r>
        <w:rPr>
          <w:spacing w:val="-2"/>
          <w:vertAlign w:val="baseline"/>
        </w:rPr>
        <w:t> </w:t>
      </w:r>
      <w:r>
        <w:rPr>
          <w:vertAlign w:val="baseline"/>
        </w:rPr>
        <w:t>do.</w:t>
      </w:r>
      <w:r>
        <w:rPr>
          <w:spacing w:val="-3"/>
          <w:vertAlign w:val="baseline"/>
        </w:rPr>
        <w:t> </w:t>
      </w:r>
      <w:r>
        <w:rPr>
          <w:color w:val="005DA1"/>
          <w:u w:val="single" w:color="005DA1"/>
          <w:vertAlign w:val="superscript"/>
        </w:rPr>
        <w:t>1325</w:t>
      </w:r>
      <w:r>
        <w:rPr>
          <w:color w:val="005DA1"/>
          <w:spacing w:val="-2"/>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type</w:t>
      </w:r>
      <w:r>
        <w:rPr>
          <w:spacing w:val="-2"/>
          <w:vertAlign w:val="baseline"/>
        </w:rPr>
        <w:t> </w:t>
      </w:r>
      <w:r>
        <w:rPr>
          <w:vertAlign w:val="baseline"/>
        </w:rPr>
        <w:t>of</w:t>
      </w:r>
      <w:r>
        <w:rPr>
          <w:spacing w:val="-2"/>
          <w:vertAlign w:val="baseline"/>
        </w:rPr>
        <w:t> </w:t>
      </w:r>
      <w:r>
        <w:rPr>
          <w:vertAlign w:val="baseline"/>
        </w:rPr>
        <w:t>case,</w:t>
      </w:r>
      <w:r>
        <w:rPr>
          <w:spacing w:val="-2"/>
          <w:vertAlign w:val="baseline"/>
        </w:rPr>
        <w:t> </w:t>
      </w:r>
      <w:r>
        <w:rPr>
          <w:vertAlign w:val="baseline"/>
        </w:rPr>
        <w:t>the</w:t>
      </w:r>
      <w:r>
        <w:rPr>
          <w:spacing w:val="-2"/>
          <w:vertAlign w:val="baseline"/>
        </w:rPr>
        <w:t> </w:t>
      </w:r>
      <w:r>
        <w:rPr>
          <w:vertAlign w:val="baseline"/>
        </w:rPr>
        <w:t>courts</w:t>
      </w:r>
      <w:r>
        <w:rPr>
          <w:spacing w:val="-2"/>
          <w:vertAlign w:val="baseline"/>
        </w:rPr>
        <w:t> </w:t>
      </w:r>
      <w:r>
        <w:rPr>
          <w:vertAlign w:val="baseline"/>
        </w:rPr>
        <w:t>are</w:t>
      </w:r>
      <w:r>
        <w:rPr>
          <w:spacing w:val="-2"/>
          <w:vertAlign w:val="baseline"/>
        </w:rPr>
        <w:t> </w:t>
      </w:r>
      <w:r>
        <w:rPr>
          <w:vertAlign w:val="baseline"/>
        </w:rPr>
        <w:t>concerned</w:t>
      </w:r>
      <w:r>
        <w:rPr>
          <w:spacing w:val="-2"/>
          <w:vertAlign w:val="baseline"/>
        </w:rPr>
        <w:t> </w:t>
      </w:r>
      <w:r>
        <w:rPr>
          <w:vertAlign w:val="baseline"/>
        </w:rPr>
        <w:t>to</w:t>
      </w:r>
      <w:r>
        <w:rPr>
          <w:spacing w:val="-2"/>
          <w:vertAlign w:val="baseline"/>
        </w:rPr>
        <w:t> </w:t>
      </w:r>
      <w:r>
        <w:rPr>
          <w:vertAlign w:val="baseline"/>
        </w:rPr>
        <w:t>limit</w:t>
      </w:r>
      <w:r>
        <w:rPr>
          <w:spacing w:val="-2"/>
          <w:vertAlign w:val="baseline"/>
        </w:rPr>
        <w:t> </w:t>
      </w:r>
      <w:r>
        <w:rPr>
          <w:vertAlign w:val="baseline"/>
        </w:rPr>
        <w:t>the protection which the rules of contractual capacity give to a minor where this policy is considered to be </w:t>
      </w:r>
      <w:bookmarkStart w:name="_bookmark1874" w:id="1876"/>
      <w:bookmarkEnd w:id="1876"/>
      <w:r>
        <w:rPr>
          <w:vertAlign w:val="baseline"/>
        </w:rPr>
        <w:t>outweighed</w:t>
      </w:r>
      <w:r>
        <w:rPr>
          <w:vertAlign w:val="baseline"/>
        </w:rPr>
        <w:t> by the tort’s appeal for sanction and this is the case where a contractual permission for use of property by the minor is exceeded. </w:t>
      </w:r>
      <w:r>
        <w:rPr>
          <w:color w:val="005DA1"/>
          <w:u w:val="single" w:color="005DA1"/>
          <w:vertAlign w:val="superscript"/>
        </w:rPr>
        <w:t>1326</w:t>
      </w:r>
    </w:p>
    <w:p>
      <w:pPr>
        <w:pStyle w:val="BodyText"/>
      </w:pPr>
    </w:p>
    <w:p>
      <w:pPr>
        <w:pStyle w:val="BodyText"/>
        <w:spacing w:before="33"/>
      </w:pPr>
    </w:p>
    <w:p>
      <w:pPr>
        <w:spacing w:before="0"/>
        <w:ind w:left="165" w:right="0" w:firstLine="0"/>
        <w:jc w:val="left"/>
        <w:rPr>
          <w:rFonts w:ascii="Arial"/>
          <w:b/>
          <w:sz w:val="18"/>
        </w:rPr>
      </w:pPr>
      <w:r>
        <w:rPr>
          <w:rFonts w:ascii="Arial"/>
          <w:b/>
          <w:spacing w:val="-2"/>
          <w:sz w:val="18"/>
        </w:rPr>
        <w:t>Damages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193</w:t>
      </w:r>
    </w:p>
    <w:p>
      <w:pPr>
        <w:pStyle w:val="BodyText"/>
        <w:spacing w:line="235" w:lineRule="auto" w:before="202"/>
        <w:ind w:left="165" w:right="167"/>
        <w:jc w:val="both"/>
      </w:pPr>
      <w:bookmarkStart w:name="_bookmark1875" w:id="1877"/>
      <w:bookmarkEnd w:id="1877"/>
      <w:r>
        <w:rPr/>
      </w:r>
      <w:r>
        <w:rPr/>
        <w:t>There are important differences in the rules under which damages are awarded for breach of </w:t>
      </w:r>
      <w:r>
        <w:rPr/>
        <w:t>contract and in tort. </w:t>
      </w:r>
      <w:r>
        <w:rPr>
          <w:color w:val="005DA1"/>
          <w:u w:val="single" w:color="005DA1"/>
          <w:vertAlign w:val="superscript"/>
        </w:rPr>
        <w:t>1327</w:t>
      </w:r>
      <w:r>
        <w:rPr>
          <w:color w:val="005DA1"/>
          <w:vertAlign w:val="baseline"/>
        </w:rPr>
        <w:t> </w:t>
      </w:r>
      <w:r>
        <w:rPr>
          <w:vertAlign w:val="baseline"/>
        </w:rPr>
        <w:t>However, in cases of concurrence of liability in contract and tort, in many cases the courts</w:t>
      </w:r>
      <w:r>
        <w:rPr>
          <w:spacing w:val="-1"/>
          <w:vertAlign w:val="baseline"/>
        </w:rPr>
        <w:t> </w:t>
      </w:r>
      <w:r>
        <w:rPr>
          <w:vertAlign w:val="baseline"/>
        </w:rPr>
        <w:t>have</w:t>
      </w:r>
      <w:r>
        <w:rPr>
          <w:spacing w:val="-1"/>
          <w:vertAlign w:val="baseline"/>
        </w:rPr>
        <w:t> </w:t>
      </w:r>
      <w:r>
        <w:rPr>
          <w:vertAlign w:val="baseline"/>
        </w:rPr>
        <w:t>found</w:t>
      </w:r>
      <w:r>
        <w:rPr>
          <w:spacing w:val="-1"/>
          <w:vertAlign w:val="baseline"/>
        </w:rPr>
        <w:t> </w:t>
      </w:r>
      <w:r>
        <w:rPr>
          <w:vertAlign w:val="baseline"/>
        </w:rPr>
        <w:t>means</w:t>
      </w:r>
      <w:r>
        <w:rPr>
          <w:spacing w:val="-1"/>
          <w:vertAlign w:val="baseline"/>
        </w:rPr>
        <w:t> </w:t>
      </w:r>
      <w:r>
        <w:rPr>
          <w:vertAlign w:val="baseline"/>
        </w:rPr>
        <w:t>to</w:t>
      </w:r>
      <w:r>
        <w:rPr>
          <w:spacing w:val="-1"/>
          <w:vertAlign w:val="baseline"/>
        </w:rPr>
        <w:t> </w:t>
      </w:r>
      <w:r>
        <w:rPr>
          <w:vertAlign w:val="baseline"/>
        </w:rPr>
        <w:t>prevent</w:t>
      </w:r>
      <w:r>
        <w:rPr>
          <w:spacing w:val="-1"/>
          <w:vertAlign w:val="baseline"/>
        </w:rPr>
        <w:t> </w:t>
      </w:r>
      <w:r>
        <w:rPr>
          <w:vertAlign w:val="baseline"/>
        </w:rPr>
        <w:t>a</w:t>
      </w:r>
      <w:r>
        <w:rPr>
          <w:spacing w:val="-1"/>
          <w:vertAlign w:val="baseline"/>
        </w:rPr>
        <w:t> </w:t>
      </w:r>
      <w:r>
        <w:rPr>
          <w:vertAlign w:val="baseline"/>
        </w:rPr>
        <w:t>claimant</w:t>
      </w:r>
      <w:r>
        <w:rPr>
          <w:spacing w:val="-1"/>
          <w:vertAlign w:val="baseline"/>
        </w:rPr>
        <w:t> </w:t>
      </w:r>
      <w:r>
        <w:rPr>
          <w:vertAlign w:val="baseline"/>
        </w:rPr>
        <w:t>recovering</w:t>
      </w:r>
      <w:r>
        <w:rPr>
          <w:spacing w:val="-1"/>
          <w:vertAlign w:val="baseline"/>
        </w:rPr>
        <w:t> </w:t>
      </w:r>
      <w:r>
        <w:rPr>
          <w:vertAlign w:val="baseline"/>
        </w:rPr>
        <w:t>more</w:t>
      </w:r>
      <w:r>
        <w:rPr>
          <w:spacing w:val="-1"/>
          <w:vertAlign w:val="baseline"/>
        </w:rPr>
        <w:t> </w:t>
      </w:r>
      <w:r>
        <w:rPr>
          <w:vertAlign w:val="baseline"/>
        </w:rPr>
        <w:t>damages</w:t>
      </w:r>
      <w:r>
        <w:rPr>
          <w:spacing w:val="-1"/>
          <w:vertAlign w:val="baseline"/>
        </w:rPr>
        <w:t> </w:t>
      </w:r>
      <w:r>
        <w:rPr>
          <w:vertAlign w:val="baseline"/>
        </w:rPr>
        <w:t>merely</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way</w:t>
      </w:r>
      <w:r>
        <w:rPr>
          <w:spacing w:val="-1"/>
          <w:vertAlign w:val="baseline"/>
        </w:rPr>
        <w:t> </w:t>
      </w:r>
      <w:r>
        <w:rPr>
          <w:vertAlign w:val="baseline"/>
        </w:rPr>
        <w:t>in</w:t>
      </w:r>
      <w:r>
        <w:rPr>
          <w:spacing w:val="-1"/>
          <w:vertAlign w:val="baseline"/>
        </w:rPr>
        <w:t> </w:t>
      </w:r>
      <w:r>
        <w:rPr>
          <w:vertAlign w:val="baseline"/>
        </w:rPr>
        <w:t>which his claim is put. Thus, although a claim for breach of contract can compensate the claimant for loss of </w:t>
      </w:r>
      <w:bookmarkStart w:name="_bookmark1876" w:id="1878"/>
      <w:bookmarkEnd w:id="1878"/>
      <w:r>
        <w:rPr>
          <w:vertAlign w:val="baseline"/>
        </w:rPr>
        <w:t>his</w:t>
      </w:r>
      <w:r>
        <w:rPr>
          <w:vertAlign w:val="baseline"/>
        </w:rPr>
        <w:t> expectation or performance interest, whereas a claim in tort can compensate only his status quo interest, </w:t>
      </w:r>
      <w:r>
        <w:rPr>
          <w:color w:val="005DA1"/>
          <w:u w:val="single" w:color="005DA1"/>
          <w:vertAlign w:val="superscript"/>
        </w:rPr>
        <w:t>1328</w:t>
      </w:r>
      <w:r>
        <w:rPr>
          <w:color w:val="005DA1"/>
          <w:vertAlign w:val="baseline"/>
        </w:rPr>
        <w:t> </w:t>
      </w:r>
      <w:r>
        <w:rPr>
          <w:vertAlign w:val="baseline"/>
        </w:rPr>
        <w:t>in cases of concurrence of liability the courts are slow to allow the claimant to recover </w:t>
      </w:r>
      <w:bookmarkStart w:name="_bookmark1877" w:id="1879"/>
      <w:bookmarkEnd w:id="1879"/>
      <w:r>
        <w:rPr>
          <w:vertAlign w:val="baseline"/>
        </w:rPr>
        <w:t>damages</w:t>
      </w:r>
      <w:r>
        <w:rPr>
          <w:vertAlign w:val="baseline"/>
        </w:rPr>
        <w:t> based on the former measure merely because the claim can be classified as contractual, and</w:t>
      </w:r>
      <w:r>
        <w:rPr>
          <w:spacing w:val="-2"/>
          <w:vertAlign w:val="baseline"/>
        </w:rPr>
        <w:t> </w:t>
      </w:r>
      <w:r>
        <w:rPr>
          <w:vertAlign w:val="baseline"/>
        </w:rPr>
        <w:t>instead</w:t>
      </w:r>
      <w:r>
        <w:rPr>
          <w:spacing w:val="-2"/>
          <w:vertAlign w:val="baseline"/>
        </w:rPr>
        <w:t> </w:t>
      </w:r>
      <w:r>
        <w:rPr>
          <w:vertAlign w:val="baseline"/>
        </w:rPr>
        <w:t>award</w:t>
      </w:r>
      <w:r>
        <w:rPr>
          <w:spacing w:val="-2"/>
          <w:vertAlign w:val="baseline"/>
        </w:rPr>
        <w:t> </w:t>
      </w:r>
      <w:r>
        <w:rPr>
          <w:vertAlign w:val="baseline"/>
        </w:rPr>
        <w:t>damages</w:t>
      </w:r>
      <w:r>
        <w:rPr>
          <w:spacing w:val="-2"/>
          <w:vertAlign w:val="baseline"/>
        </w:rPr>
        <w:t> </w:t>
      </w:r>
      <w:r>
        <w:rPr>
          <w:vertAlign w:val="baseline"/>
        </w:rPr>
        <w:t>for</w:t>
      </w:r>
      <w:r>
        <w:rPr>
          <w:spacing w:val="-2"/>
          <w:vertAlign w:val="baseline"/>
        </w:rPr>
        <w:t> </w:t>
      </w:r>
      <w:r>
        <w:rPr>
          <w:vertAlign w:val="baseline"/>
        </w:rPr>
        <w:t>loss</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“general</w:t>
      </w:r>
      <w:r>
        <w:rPr>
          <w:spacing w:val="-2"/>
          <w:vertAlign w:val="baseline"/>
        </w:rPr>
        <w:t> </w:t>
      </w:r>
      <w:r>
        <w:rPr>
          <w:vertAlign w:val="baseline"/>
        </w:rPr>
        <w:t>expectations”.</w:t>
      </w:r>
      <w:r>
        <w:rPr>
          <w:spacing w:val="-3"/>
          <w:vertAlign w:val="baseline"/>
        </w:rPr>
        <w:t> </w:t>
      </w:r>
      <w:r>
        <w:rPr>
          <w:color w:val="005DA1"/>
          <w:u w:val="single" w:color="005DA1"/>
          <w:vertAlign w:val="superscript"/>
        </w:rPr>
        <w:t>1329</w:t>
      </w:r>
      <w:r>
        <w:rPr>
          <w:color w:val="005DA1"/>
          <w:spacing w:val="-2"/>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type</w:t>
      </w:r>
      <w:r>
        <w:rPr>
          <w:spacing w:val="-2"/>
          <w:vertAlign w:val="baseline"/>
        </w:rPr>
        <w:t> </w:t>
      </w:r>
      <w:r>
        <w:rPr>
          <w:vertAlign w:val="baseline"/>
        </w:rPr>
        <w:t>of</w:t>
      </w:r>
      <w:r>
        <w:rPr>
          <w:spacing w:val="-2"/>
          <w:vertAlign w:val="baseline"/>
        </w:rPr>
        <w:t> </w:t>
      </w:r>
      <w:r>
        <w:rPr>
          <w:vertAlign w:val="baseline"/>
        </w:rPr>
        <w:t>case,</w:t>
      </w:r>
      <w:r>
        <w:rPr>
          <w:spacing w:val="-2"/>
          <w:vertAlign w:val="baseline"/>
        </w:rPr>
        <w:t> </w:t>
      </w:r>
      <w:r>
        <w:rPr>
          <w:vertAlign w:val="baseline"/>
        </w:rPr>
        <w:t>indeed,</w:t>
      </w:r>
      <w:r>
        <w:rPr>
          <w:spacing w:val="-2"/>
          <w:vertAlign w:val="baseline"/>
        </w:rPr>
        <w:t> </w:t>
      </w:r>
      <w:r>
        <w:rPr>
          <w:vertAlign w:val="baseline"/>
        </w:rPr>
        <w:t>the </w:t>
      </w:r>
      <w:bookmarkStart w:name="_bookmark1878" w:id="1880"/>
      <w:bookmarkEnd w:id="1880"/>
      <w:r>
        <w:rPr>
          <w:vertAlign w:val="baseline"/>
        </w:rPr>
        <w:t>significant</w:t>
      </w:r>
      <w:r>
        <w:rPr>
          <w:vertAlign w:val="baseline"/>
        </w:rPr>
        <w:t> distinction appears to be between cases where the content of the contractual obligation is to</w:t>
      </w:r>
      <w:r>
        <w:rPr>
          <w:spacing w:val="3"/>
          <w:vertAlign w:val="baseline"/>
        </w:rPr>
        <w:t> </w:t>
      </w:r>
      <w:r>
        <w:rPr>
          <w:vertAlign w:val="baseline"/>
        </w:rPr>
        <w:t>take</w:t>
      </w:r>
      <w:r>
        <w:rPr>
          <w:spacing w:val="3"/>
          <w:vertAlign w:val="baseline"/>
        </w:rPr>
        <w:t> </w:t>
      </w:r>
      <w:r>
        <w:rPr>
          <w:vertAlign w:val="baseline"/>
        </w:rPr>
        <w:t>reasonable</w:t>
      </w:r>
      <w:r>
        <w:rPr>
          <w:spacing w:val="3"/>
          <w:vertAlign w:val="baseline"/>
        </w:rPr>
        <w:t> </w:t>
      </w:r>
      <w:r>
        <w:rPr>
          <w:vertAlign w:val="baseline"/>
        </w:rPr>
        <w:t>care</w:t>
      </w:r>
      <w:r>
        <w:rPr>
          <w:spacing w:val="3"/>
          <w:vertAlign w:val="baseline"/>
        </w:rPr>
        <w:t> </w:t>
      </w:r>
      <w:r>
        <w:rPr>
          <w:vertAlign w:val="baseline"/>
        </w:rPr>
        <w:t>and</w:t>
      </w:r>
      <w:r>
        <w:rPr>
          <w:spacing w:val="3"/>
          <w:vertAlign w:val="baseline"/>
        </w:rPr>
        <w:t> </w:t>
      </w:r>
      <w:r>
        <w:rPr>
          <w:vertAlign w:val="baseline"/>
        </w:rPr>
        <w:t>where</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stricter,</w:t>
      </w:r>
      <w:r>
        <w:rPr>
          <w:spacing w:val="3"/>
          <w:vertAlign w:val="baseline"/>
        </w:rPr>
        <w:t> </w:t>
      </w:r>
      <w:r>
        <w:rPr>
          <w:vertAlign w:val="baseline"/>
        </w:rPr>
        <w:t>a</w:t>
      </w:r>
      <w:r>
        <w:rPr>
          <w:spacing w:val="3"/>
          <w:vertAlign w:val="baseline"/>
        </w:rPr>
        <w:t> </w:t>
      </w:r>
      <w:r>
        <w:rPr>
          <w:vertAlign w:val="baseline"/>
        </w:rPr>
        <w:t>“guarantee”</w:t>
      </w:r>
      <w:r>
        <w:rPr>
          <w:spacing w:val="3"/>
          <w:vertAlign w:val="baseline"/>
        </w:rPr>
        <w:t> </w:t>
      </w:r>
      <w:r>
        <w:rPr>
          <w:vertAlign w:val="baseline"/>
        </w:rPr>
        <w:t>that</w:t>
      </w:r>
      <w:r>
        <w:rPr>
          <w:spacing w:val="3"/>
          <w:vertAlign w:val="baseline"/>
        </w:rPr>
        <w:t> </w:t>
      </w:r>
      <w:r>
        <w:rPr>
          <w:vertAlign w:val="baseline"/>
        </w:rPr>
        <w:t>something</w:t>
      </w:r>
      <w:r>
        <w:rPr>
          <w:spacing w:val="3"/>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case</w:t>
      </w:r>
      <w:r>
        <w:rPr>
          <w:spacing w:val="3"/>
          <w:vertAlign w:val="baseline"/>
        </w:rPr>
        <w:t> </w:t>
      </w:r>
      <w:r>
        <w:rPr>
          <w:vertAlign w:val="baseline"/>
        </w:rPr>
        <w:t>or</w:t>
      </w:r>
      <w:r>
        <w:rPr>
          <w:spacing w:val="3"/>
          <w:vertAlign w:val="baseline"/>
        </w:rPr>
        <w:t> </w:t>
      </w:r>
      <w:r>
        <w:rPr>
          <w:vertAlign w:val="baseline"/>
        </w:rPr>
        <w:t>will</w:t>
      </w:r>
      <w:r>
        <w:rPr>
          <w:spacing w:val="3"/>
          <w:vertAlign w:val="baseline"/>
        </w:rPr>
        <w:t> </w:t>
      </w:r>
      <w:r>
        <w:rPr>
          <w:spacing w:val="-2"/>
          <w:vertAlign w:val="baseline"/>
        </w:rPr>
        <w:t>occur.</w:t>
      </w:r>
    </w:p>
    <w:p>
      <w:pPr>
        <w:spacing w:line="110" w:lineRule="exact" w:before="0"/>
        <w:ind w:left="165" w:right="0" w:firstLine="0"/>
        <w:jc w:val="left"/>
        <w:rPr>
          <w:sz w:val="12"/>
        </w:rPr>
      </w:pPr>
      <w:r>
        <w:rPr>
          <w:color w:val="005DA1"/>
          <w:spacing w:val="-4"/>
          <w:sz w:val="12"/>
          <w:u w:val="single" w:color="005DA1"/>
        </w:rPr>
        <w:t>1330</w:t>
      </w:r>
    </w:p>
    <w:p>
      <w:pPr>
        <w:pStyle w:val="BodyText"/>
        <w:rPr>
          <w:sz w:val="12"/>
        </w:rPr>
      </w:pPr>
    </w:p>
    <w:p>
      <w:pPr>
        <w:pStyle w:val="BodyText"/>
        <w:rPr>
          <w:sz w:val="12"/>
        </w:rPr>
      </w:pPr>
    </w:p>
    <w:p>
      <w:pPr>
        <w:pStyle w:val="BodyText"/>
        <w:spacing w:before="9"/>
        <w:rPr>
          <w:sz w:val="12"/>
        </w:rPr>
      </w:pPr>
    </w:p>
    <w:p>
      <w:pPr>
        <w:spacing w:before="0"/>
        <w:ind w:left="165" w:right="0" w:firstLine="0"/>
        <w:jc w:val="left"/>
        <w:rPr>
          <w:rFonts w:ascii="Arial"/>
          <w:b/>
          <w:sz w:val="24"/>
        </w:rPr>
      </w:pPr>
      <w:r>
        <w:rPr>
          <w:rFonts w:ascii="Arial"/>
          <w:b/>
          <w:sz w:val="24"/>
        </w:rPr>
        <w:t>1-</w:t>
      </w:r>
      <w:r>
        <w:rPr>
          <w:rFonts w:ascii="Arial"/>
          <w:b/>
          <w:spacing w:val="-5"/>
          <w:sz w:val="24"/>
        </w:rPr>
        <w:t>194</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474" name="Image 474"/>
            <wp:cNvGraphicFramePr>
              <a:graphicFrameLocks/>
            </wp:cNvGraphicFramePr>
            <a:graphic>
              <a:graphicData uri="http://schemas.openxmlformats.org/drawingml/2006/picture">
                <pic:pic>
                  <pic:nvPicPr>
                    <pic:cNvPr id="474" name="Image 47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9"/>
        </w:rPr>
        <w:t> </w:t>
      </w:r>
      <w:r>
        <w:rPr/>
        <w:t>This</w:t>
      </w:r>
      <w:r>
        <w:rPr>
          <w:spacing w:val="13"/>
        </w:rPr>
        <w:t> </w:t>
      </w:r>
      <w:r>
        <w:rPr/>
        <w:t>has</w:t>
      </w:r>
      <w:r>
        <w:rPr>
          <w:spacing w:val="13"/>
        </w:rPr>
        <w:t> </w:t>
      </w:r>
      <w:r>
        <w:rPr/>
        <w:t>already</w:t>
      </w:r>
      <w:r>
        <w:rPr>
          <w:spacing w:val="13"/>
        </w:rPr>
        <w:t> </w:t>
      </w:r>
      <w:r>
        <w:rPr/>
        <w:t>been</w:t>
      </w:r>
      <w:r>
        <w:rPr>
          <w:spacing w:val="13"/>
        </w:rPr>
        <w:t> </w:t>
      </w:r>
      <w:r>
        <w:rPr/>
        <w:t>seen</w:t>
      </w:r>
      <w:r>
        <w:rPr>
          <w:spacing w:val="13"/>
        </w:rPr>
        <w:t> </w:t>
      </w:r>
      <w:r>
        <w:rPr/>
        <w:t>in</w:t>
      </w:r>
      <w:r>
        <w:rPr>
          <w:spacing w:val="13"/>
        </w:rPr>
        <w:t> </w:t>
      </w:r>
      <w:r>
        <w:rPr/>
        <w:t>relation</w:t>
      </w:r>
      <w:r>
        <w:rPr>
          <w:spacing w:val="13"/>
        </w:rPr>
        <w:t> </w:t>
      </w:r>
      <w:r>
        <w:rPr/>
        <w:t>to</w:t>
      </w:r>
      <w:r>
        <w:rPr>
          <w:spacing w:val="13"/>
        </w:rPr>
        <w:t> </w:t>
      </w:r>
      <w:r>
        <w:rPr/>
        <w:t>pre-contractual</w:t>
      </w:r>
      <w:r>
        <w:rPr>
          <w:spacing w:val="13"/>
        </w:rPr>
        <w:t> </w:t>
      </w:r>
      <w:r>
        <w:rPr/>
        <w:t>statements</w:t>
      </w:r>
      <w:r>
        <w:rPr>
          <w:spacing w:val="13"/>
        </w:rPr>
        <w:t> </w:t>
      </w:r>
      <w:r>
        <w:rPr/>
        <w:t>which</w:t>
      </w:r>
      <w:r>
        <w:rPr>
          <w:spacing w:val="13"/>
        </w:rPr>
        <w:t> </w:t>
      </w:r>
      <w:r>
        <w:rPr/>
        <w:t>are</w:t>
      </w:r>
      <w:r>
        <w:rPr>
          <w:spacing w:val="13"/>
        </w:rPr>
        <w:t> </w:t>
      </w:r>
      <w:r>
        <w:rPr/>
        <w:t>held</w:t>
      </w:r>
      <w:r>
        <w:rPr>
          <w:spacing w:val="13"/>
        </w:rPr>
        <w:t> </w:t>
      </w:r>
      <w:r>
        <w:rPr/>
        <w:t>to</w:t>
      </w:r>
      <w:r>
        <w:rPr>
          <w:spacing w:val="13"/>
        </w:rPr>
        <w:t> </w:t>
      </w:r>
      <w:r>
        <w:rPr/>
        <w:t>have</w:t>
      </w:r>
      <w:r>
        <w:rPr>
          <w:spacing w:val="13"/>
        </w:rPr>
        <w:t> </w:t>
      </w:r>
      <w:r>
        <w:rPr/>
        <w:t>been</w:t>
      </w:r>
    </w:p>
    <w:p>
      <w:pPr>
        <w:pStyle w:val="BodyText"/>
        <w:spacing w:after="0"/>
        <w:sectPr>
          <w:pgSz w:w="11900" w:h="16840"/>
          <w:pgMar w:header="971" w:footer="0" w:top="1300" w:bottom="280" w:left="1275" w:right="1275"/>
        </w:sectPr>
      </w:pPr>
    </w:p>
    <w:p>
      <w:pPr>
        <w:pStyle w:val="BodyText"/>
        <w:spacing w:line="235" w:lineRule="auto" w:before="110"/>
        <w:ind w:left="164" w:right="167"/>
        <w:jc w:val="both"/>
      </w:pPr>
      <w:bookmarkStart w:name="_bookmark1879" w:id="1881"/>
      <w:bookmarkEnd w:id="1881"/>
      <w:r>
        <w:rPr/>
      </w:r>
      <w:r>
        <w:rPr/>
        <w:t>incorporated</w:t>
      </w:r>
      <w:r>
        <w:rPr>
          <w:spacing w:val="-2"/>
        </w:rPr>
        <w:t> </w:t>
      </w:r>
      <w:r>
        <w:rPr/>
        <w:t>into</w:t>
      </w:r>
      <w:r>
        <w:rPr>
          <w:spacing w:val="-2"/>
        </w:rPr>
        <w:t> </w:t>
      </w:r>
      <w:r>
        <w:rPr/>
        <w:t>the</w:t>
      </w:r>
      <w:r>
        <w:rPr>
          <w:spacing w:val="-2"/>
        </w:rPr>
        <w:t> </w:t>
      </w:r>
      <w:r>
        <w:rPr/>
        <w:t>contract,</w:t>
      </w:r>
      <w:r>
        <w:rPr>
          <w:spacing w:val="-2"/>
        </w:rPr>
        <w:t> </w:t>
      </w:r>
      <w:r>
        <w:rPr>
          <w:color w:val="005DA1"/>
          <w:u w:val="single" w:color="005DA1"/>
          <w:vertAlign w:val="superscript"/>
        </w:rPr>
        <w:t>1331</w:t>
      </w:r>
      <w:r>
        <w:rPr>
          <w:color w:val="005DA1"/>
          <w:spacing w:val="-2"/>
          <w:vertAlign w:val="baseline"/>
        </w:rPr>
        <w:t> </w:t>
      </w:r>
      <w:r>
        <w:rPr>
          <w:vertAlign w:val="baseline"/>
        </w:rPr>
        <w:t>but</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proper</w:t>
      </w:r>
      <w:r>
        <w:rPr>
          <w:spacing w:val="-2"/>
          <w:vertAlign w:val="baseline"/>
        </w:rPr>
        <w:t> </w:t>
      </w:r>
      <w:r>
        <w:rPr>
          <w:vertAlign w:val="baseline"/>
        </w:rPr>
        <w:t>distinction</w:t>
      </w:r>
      <w:r>
        <w:rPr>
          <w:spacing w:val="-2"/>
          <w:vertAlign w:val="baseline"/>
        </w:rPr>
        <w:t> </w:t>
      </w:r>
      <w:r>
        <w:rPr>
          <w:vertAlign w:val="baseline"/>
        </w:rPr>
        <w:t>in</w:t>
      </w:r>
      <w:r>
        <w:rPr>
          <w:spacing w:val="-2"/>
          <w:vertAlign w:val="baseline"/>
        </w:rPr>
        <w:t> </w:t>
      </w:r>
      <w:r>
        <w:rPr>
          <w:vertAlign w:val="baseline"/>
        </w:rPr>
        <w:t>these</w:t>
      </w:r>
      <w:r>
        <w:rPr>
          <w:spacing w:val="-2"/>
          <w:vertAlign w:val="baseline"/>
        </w:rPr>
        <w:t> </w:t>
      </w:r>
      <w:r>
        <w:rPr>
          <w:vertAlign w:val="baseline"/>
        </w:rPr>
        <w:t>cases</w:t>
      </w:r>
      <w:r>
        <w:rPr>
          <w:spacing w:val="-2"/>
          <w:vertAlign w:val="baseline"/>
        </w:rPr>
        <w:t> </w:t>
      </w:r>
      <w:r>
        <w:rPr>
          <w:vertAlign w:val="baseline"/>
        </w:rPr>
        <w:t>turns</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content</w:t>
      </w:r>
      <w:r>
        <w:rPr>
          <w:spacing w:val="-2"/>
          <w:vertAlign w:val="baseline"/>
        </w:rPr>
        <w:t> </w:t>
      </w:r>
      <w:r>
        <w:rPr>
          <w:vertAlign w:val="baseline"/>
        </w:rPr>
        <w:t>of the defendant’s obligation, rather than on the mere classification of his liability can be supported </w:t>
      </w:r>
      <w:r>
        <w:rPr>
          <w:vertAlign w:val="baseline"/>
        </w:rPr>
        <w:t>by </w:t>
      </w:r>
      <w:bookmarkStart w:name="_bookmark1880" w:id="1882"/>
      <w:bookmarkEnd w:id="1882"/>
      <w:r>
        <w:rPr>
          <w:vertAlign w:val="baseline"/>
        </w:rPr>
        <w:t>other</w:t>
      </w:r>
      <w:r>
        <w:rPr>
          <w:spacing w:val="-1"/>
          <w:vertAlign w:val="baseline"/>
        </w:rPr>
        <w:t> </w:t>
      </w:r>
      <w:r>
        <w:rPr>
          <w:vertAlign w:val="baseline"/>
        </w:rPr>
        <w:t>cases</w:t>
      </w:r>
      <w:r>
        <w:rPr>
          <w:spacing w:val="-1"/>
          <w:vertAlign w:val="baseline"/>
        </w:rPr>
        <w:t> </w:t>
      </w:r>
      <w:r>
        <w:rPr>
          <w:vertAlign w:val="baseline"/>
        </w:rPr>
        <w:t>which</w:t>
      </w:r>
      <w:r>
        <w:rPr>
          <w:spacing w:val="-1"/>
          <w:vertAlign w:val="baseline"/>
        </w:rPr>
        <w:t> </w:t>
      </w:r>
      <w:r>
        <w:rPr>
          <w:vertAlign w:val="baseline"/>
        </w:rPr>
        <w:t>concern</w:t>
      </w:r>
      <w:r>
        <w:rPr>
          <w:spacing w:val="-1"/>
          <w:vertAlign w:val="baseline"/>
        </w:rPr>
        <w:t> </w:t>
      </w:r>
      <w:r>
        <w:rPr>
          <w:vertAlign w:val="baseline"/>
        </w:rPr>
        <w:t>professional</w:t>
      </w:r>
      <w:r>
        <w:rPr>
          <w:spacing w:val="-1"/>
          <w:vertAlign w:val="baseline"/>
        </w:rPr>
        <w:t> </w:t>
      </w:r>
      <w:r>
        <w:rPr>
          <w:vertAlign w:val="baseline"/>
        </w:rPr>
        <w:t>negligence,</w:t>
      </w:r>
      <w:r>
        <w:rPr>
          <w:spacing w:val="-1"/>
          <w:vertAlign w:val="baseline"/>
        </w:rPr>
        <w:t> </w:t>
      </w:r>
      <w:r>
        <w:rPr>
          <w:vertAlign w:val="baseline"/>
        </w:rPr>
        <w:t>whether</w:t>
      </w:r>
      <w:r>
        <w:rPr>
          <w:spacing w:val="-1"/>
          <w:vertAlign w:val="baseline"/>
        </w:rPr>
        <w:t> </w:t>
      </w:r>
      <w:r>
        <w:rPr>
          <w:vertAlign w:val="baseline"/>
        </w:rPr>
        <w:t>contractual</w:t>
      </w:r>
      <w:r>
        <w:rPr>
          <w:spacing w:val="-1"/>
          <w:vertAlign w:val="baseline"/>
        </w:rPr>
        <w:t> </w:t>
      </w:r>
      <w:r>
        <w:rPr>
          <w:vertAlign w:val="baseline"/>
        </w:rPr>
        <w:t>or</w:t>
      </w:r>
      <w:r>
        <w:rPr>
          <w:spacing w:val="-1"/>
          <w:vertAlign w:val="baseline"/>
        </w:rPr>
        <w:t> </w:t>
      </w:r>
      <w:r>
        <w:rPr>
          <w:vertAlign w:val="baseline"/>
        </w:rPr>
        <w:t>tortious.</w:t>
      </w:r>
      <w:r>
        <w:rPr>
          <w:spacing w:val="-1"/>
          <w:vertAlign w:val="baseline"/>
        </w:rPr>
        <w:t> </w:t>
      </w:r>
      <w:r>
        <w:rPr>
          <w:vertAlign w:val="baseline"/>
        </w:rPr>
        <w:t>In</w:t>
      </w:r>
      <w:r>
        <w:rPr>
          <w:spacing w:val="-2"/>
          <w:vertAlign w:val="baseline"/>
        </w:rPr>
        <w:t> </w:t>
      </w:r>
      <w:r>
        <w:rPr>
          <w:rFonts w:ascii="Arial" w:hAnsi="Arial"/>
          <w:i/>
          <w:vertAlign w:val="baseline"/>
        </w:rPr>
        <w:t>Ford</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White</w:t>
      </w:r>
      <w:r>
        <w:rPr>
          <w:rFonts w:ascii="Arial" w:hAnsi="Arial"/>
          <w:i/>
          <w:spacing w:val="-1"/>
          <w:vertAlign w:val="baseline"/>
        </w:rPr>
        <w:t> </w:t>
      </w:r>
      <w:r>
        <w:rPr>
          <w:rFonts w:ascii="Arial" w:hAnsi="Arial"/>
          <w:i/>
          <w:vertAlign w:val="baseline"/>
        </w:rPr>
        <w:t>&amp; Co </w:t>
      </w:r>
      <w:r>
        <w:rPr>
          <w:color w:val="005DA1"/>
          <w:u w:val="single" w:color="005DA1"/>
          <w:vertAlign w:val="superscript"/>
        </w:rPr>
        <w:t>1332</w:t>
      </w:r>
      <w:r>
        <w:rPr>
          <w:color w:val="005DA1"/>
          <w:vertAlign w:val="baseline"/>
        </w:rPr>
        <w:t> </w:t>
      </w:r>
      <w:r>
        <w:rPr>
          <w:vertAlign w:val="baseline"/>
        </w:rPr>
        <w:t>a firm of solicitors was sued for contractual </w:t>
      </w:r>
      <w:r>
        <w:rPr>
          <w:color w:val="005DA1"/>
          <w:u w:val="single" w:color="005DA1"/>
          <w:vertAlign w:val="superscript"/>
        </w:rPr>
        <w:t>1333</w:t>
      </w:r>
      <w:r>
        <w:rPr>
          <w:color w:val="005DA1"/>
          <w:vertAlign w:val="baseline"/>
        </w:rPr>
        <w:t> </w:t>
      </w:r>
      <w:r>
        <w:rPr>
          <w:vertAlign w:val="baseline"/>
        </w:rPr>
        <w:t>negligence by the plaintiffs who had been </w:t>
      </w:r>
      <w:bookmarkStart w:name="_bookmark1881" w:id="1883"/>
      <w:bookmarkEnd w:id="1883"/>
      <w:r>
        <w:rPr>
          <w:vertAlign w:val="baseline"/>
        </w:rPr>
        <w:t>advised</w:t>
      </w:r>
      <w:r>
        <w:rPr>
          <w:vertAlign w:val="baseline"/>
        </w:rPr>
        <w:t> that a particular restrictive covenant did not affect a plot of land which they were intending to purchase</w:t>
      </w:r>
      <w:r>
        <w:rPr>
          <w:spacing w:val="-1"/>
          <w:vertAlign w:val="baseline"/>
        </w:rPr>
        <w:t> </w:t>
      </w:r>
      <w:r>
        <w:rPr>
          <w:vertAlign w:val="baseline"/>
        </w:rPr>
        <w:t>(whereas</w:t>
      </w:r>
      <w:r>
        <w:rPr>
          <w:spacing w:val="-1"/>
          <w:vertAlign w:val="baseline"/>
        </w:rPr>
        <w:t> </w:t>
      </w:r>
      <w:r>
        <w:rPr>
          <w:vertAlign w:val="baseline"/>
        </w:rPr>
        <w:t>it</w:t>
      </w:r>
      <w:r>
        <w:rPr>
          <w:spacing w:val="-1"/>
          <w:vertAlign w:val="baseline"/>
        </w:rPr>
        <w:t> </w:t>
      </w:r>
      <w:r>
        <w:rPr>
          <w:vertAlign w:val="baseline"/>
        </w:rPr>
        <w:t>did).</w:t>
      </w:r>
      <w:r>
        <w:rPr>
          <w:spacing w:val="-1"/>
          <w:vertAlign w:val="baseline"/>
        </w:rPr>
        <w:t> </w:t>
      </w:r>
      <w:r>
        <w:rPr>
          <w:color w:val="005DA1"/>
          <w:u w:val="single" w:color="005DA1"/>
          <w:vertAlign w:val="superscript"/>
        </w:rPr>
        <w:t>1334</w:t>
      </w:r>
      <w:r>
        <w:rPr>
          <w:color w:val="005DA1"/>
          <w:spacing w:val="-1"/>
          <w:vertAlign w:val="baseline"/>
        </w:rPr>
        <w:t> </w:t>
      </w:r>
      <w:r>
        <w:rPr>
          <w:vertAlign w:val="baseline"/>
        </w:rPr>
        <w:t>The</w:t>
      </w:r>
      <w:r>
        <w:rPr>
          <w:spacing w:val="-1"/>
          <w:vertAlign w:val="baseline"/>
        </w:rPr>
        <w:t> </w:t>
      </w:r>
      <w:r>
        <w:rPr>
          <w:vertAlign w:val="baseline"/>
        </w:rPr>
        <w:t>plaintiffs’</w:t>
      </w:r>
      <w:r>
        <w:rPr>
          <w:spacing w:val="-1"/>
          <w:vertAlign w:val="baseline"/>
        </w:rPr>
        <w:t> </w:t>
      </w:r>
      <w:r>
        <w:rPr>
          <w:vertAlign w:val="baseline"/>
        </w:rPr>
        <w:t>claim</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difference</w:t>
      </w:r>
      <w:r>
        <w:rPr>
          <w:spacing w:val="-1"/>
          <w:vertAlign w:val="baseline"/>
        </w:rPr>
        <w:t> </w:t>
      </w:r>
      <w:r>
        <w:rPr>
          <w:vertAlign w:val="baseline"/>
        </w:rPr>
        <w:t>between</w:t>
      </w:r>
      <w:r>
        <w:rPr>
          <w:spacing w:val="-1"/>
          <w:vertAlign w:val="baseline"/>
        </w:rPr>
        <w:t> </w:t>
      </w:r>
      <w:r>
        <w:rPr>
          <w:vertAlign w:val="baseline"/>
        </w:rPr>
        <w:t>the</w:t>
      </w:r>
      <w:r>
        <w:rPr>
          <w:spacing w:val="-1"/>
          <w:vertAlign w:val="baseline"/>
        </w:rPr>
        <w:t> </w:t>
      </w:r>
      <w:r>
        <w:rPr>
          <w:vertAlign w:val="baseline"/>
        </w:rPr>
        <w:t>value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property with and without the restriction was rejected by the court. Although Pennycuick J. accepted that in </w:t>
      </w:r>
      <w:bookmarkStart w:name="_bookmark1882" w:id="1884"/>
      <w:bookmarkEnd w:id="1884"/>
      <w:r>
        <w:rPr>
          <w:vertAlign w:val="baseline"/>
        </w:rPr>
        <w:t>general</w:t>
      </w:r>
      <w:r>
        <w:rPr>
          <w:vertAlign w:val="baseline"/>
        </w:rPr>
        <w:t> damages for breach of contract should put the injured party in “as good a situation as if the contract had been performed”, </w:t>
      </w:r>
      <w:r>
        <w:rPr>
          <w:color w:val="005DA1"/>
          <w:u w:val="single" w:color="005DA1"/>
          <w:vertAlign w:val="superscript"/>
        </w:rPr>
        <w:t>1335</w:t>
      </w:r>
      <w:r>
        <w:rPr>
          <w:color w:val="005DA1"/>
          <w:vertAlign w:val="baseline"/>
        </w:rPr>
        <w:t> </w:t>
      </w:r>
      <w:r>
        <w:rPr>
          <w:vertAlign w:val="baseline"/>
        </w:rPr>
        <w:t>this did not mean that the plaintiffs should be put in a better </w:t>
      </w:r>
      <w:bookmarkStart w:name="_bookmark1883" w:id="1885"/>
      <w:bookmarkEnd w:id="1885"/>
      <w:r>
        <w:rPr>
          <w:vertAlign w:val="baseline"/>
        </w:rPr>
        <w:t>position</w:t>
      </w:r>
      <w:r>
        <w:rPr>
          <w:vertAlign w:val="baseline"/>
        </w:rPr>
        <w:t> than if the defendant solicitors had performed their duty, as though the latter had warranted that their view of the restrictive covenant was right. </w:t>
      </w:r>
      <w:r>
        <w:rPr>
          <w:color w:val="005DA1"/>
          <w:u w:val="single" w:color="005DA1"/>
          <w:vertAlign w:val="superscript"/>
        </w:rPr>
        <w:t>1336</w:t>
      </w:r>
      <w:r>
        <w:rPr>
          <w:color w:val="005DA1"/>
          <w:vertAlign w:val="baseline"/>
        </w:rPr>
        <w:t> </w:t>
      </w:r>
      <w:r>
        <w:rPr>
          <w:vertAlign w:val="baseline"/>
        </w:rPr>
        <w:t>A similar view was taken by the House of </w:t>
      </w:r>
      <w:bookmarkStart w:name="_bookmark1884" w:id="1886"/>
      <w:bookmarkEnd w:id="1886"/>
      <w:r>
        <w:rPr>
          <w:vertAlign w:val="baseline"/>
        </w:rPr>
        <w:t>Lords</w:t>
      </w:r>
      <w:r>
        <w:rPr>
          <w:spacing w:val="5"/>
          <w:vertAlign w:val="baseline"/>
        </w:rPr>
        <w:t> </w:t>
      </w:r>
      <w:r>
        <w:rPr>
          <w:vertAlign w:val="baseline"/>
        </w:rPr>
        <w:t>in</w:t>
      </w:r>
      <w:r>
        <w:rPr>
          <w:spacing w:val="5"/>
          <w:vertAlign w:val="baseline"/>
        </w:rPr>
        <w:t> </w:t>
      </w:r>
      <w:r>
        <w:rPr>
          <w:vertAlign w:val="baseline"/>
        </w:rPr>
        <w:t>relation</w:t>
      </w:r>
      <w:r>
        <w:rPr>
          <w:spacing w:val="5"/>
          <w:vertAlign w:val="baseline"/>
        </w:rPr>
        <w:t> </w:t>
      </w:r>
      <w:r>
        <w:rPr>
          <w:vertAlign w:val="baseline"/>
        </w:rPr>
        <w:t>to</w:t>
      </w:r>
      <w:r>
        <w:rPr>
          <w:spacing w:val="5"/>
          <w:vertAlign w:val="baseline"/>
        </w:rPr>
        <w:t> </w:t>
      </w:r>
      <w:r>
        <w:rPr>
          <w:vertAlign w:val="baseline"/>
        </w:rPr>
        <w:t>a</w:t>
      </w:r>
      <w:r>
        <w:rPr>
          <w:spacing w:val="5"/>
          <w:vertAlign w:val="baseline"/>
        </w:rPr>
        <w:t> </w:t>
      </w:r>
      <w:r>
        <w:rPr>
          <w:vertAlign w:val="baseline"/>
        </w:rPr>
        <w:t>claim</w:t>
      </w:r>
      <w:r>
        <w:rPr>
          <w:spacing w:val="5"/>
          <w:vertAlign w:val="baseline"/>
        </w:rPr>
        <w:t> </w:t>
      </w:r>
      <w:r>
        <w:rPr>
          <w:vertAlign w:val="baseline"/>
        </w:rPr>
        <w:t>by</w:t>
      </w:r>
      <w:r>
        <w:rPr>
          <w:spacing w:val="5"/>
          <w:vertAlign w:val="baseline"/>
        </w:rPr>
        <w:t> </w:t>
      </w:r>
      <w:r>
        <w:rPr>
          <w:vertAlign w:val="baseline"/>
        </w:rPr>
        <w:t>a</w:t>
      </w:r>
      <w:r>
        <w:rPr>
          <w:spacing w:val="5"/>
          <w:vertAlign w:val="baseline"/>
        </w:rPr>
        <w:t> </w:t>
      </w:r>
      <w:r>
        <w:rPr>
          <w:vertAlign w:val="baseline"/>
        </w:rPr>
        <w:t>finance</w:t>
      </w:r>
      <w:r>
        <w:rPr>
          <w:spacing w:val="5"/>
          <w:vertAlign w:val="baseline"/>
        </w:rPr>
        <w:t> </w:t>
      </w:r>
      <w:r>
        <w:rPr>
          <w:vertAlign w:val="baseline"/>
        </w:rPr>
        <w:t>company</w:t>
      </w:r>
      <w:r>
        <w:rPr>
          <w:spacing w:val="5"/>
          <w:vertAlign w:val="baseline"/>
        </w:rPr>
        <w:t> </w:t>
      </w:r>
      <w:r>
        <w:rPr>
          <w:vertAlign w:val="baseline"/>
        </w:rPr>
        <w:t>against</w:t>
      </w:r>
      <w:r>
        <w:rPr>
          <w:spacing w:val="5"/>
          <w:vertAlign w:val="baseline"/>
        </w:rPr>
        <w:t> </w:t>
      </w:r>
      <w:r>
        <w:rPr>
          <w:vertAlign w:val="baseline"/>
        </w:rPr>
        <w:t>a</w:t>
      </w:r>
      <w:r>
        <w:rPr>
          <w:spacing w:val="5"/>
          <w:vertAlign w:val="baseline"/>
        </w:rPr>
        <w:t> </w:t>
      </w:r>
      <w:r>
        <w:rPr>
          <w:vertAlign w:val="baseline"/>
        </w:rPr>
        <w:t>valuer</w:t>
      </w:r>
      <w:r>
        <w:rPr>
          <w:spacing w:val="5"/>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house</w:t>
      </w:r>
      <w:r>
        <w:rPr>
          <w:spacing w:val="5"/>
          <w:vertAlign w:val="baseline"/>
        </w:rPr>
        <w:t> </w:t>
      </w:r>
      <w:r>
        <w:rPr>
          <w:vertAlign w:val="baseline"/>
        </w:rPr>
        <w:t>intended</w:t>
      </w:r>
      <w:r>
        <w:rPr>
          <w:spacing w:val="5"/>
          <w:vertAlign w:val="baseline"/>
        </w:rPr>
        <w:t> </w:t>
      </w:r>
      <w:r>
        <w:rPr>
          <w:vertAlign w:val="baseline"/>
        </w:rPr>
        <w:t>as</w:t>
      </w:r>
      <w:r>
        <w:rPr>
          <w:spacing w:val="5"/>
          <w:vertAlign w:val="baseline"/>
        </w:rPr>
        <w:t> </w:t>
      </w:r>
      <w:r>
        <w:rPr>
          <w:vertAlign w:val="baseline"/>
        </w:rPr>
        <w:t>security</w:t>
      </w:r>
      <w:r>
        <w:rPr>
          <w:spacing w:val="5"/>
          <w:vertAlign w:val="baseline"/>
        </w:rPr>
        <w:t> </w:t>
      </w:r>
      <w:r>
        <w:rPr>
          <w:spacing w:val="-5"/>
          <w:vertAlign w:val="baseline"/>
        </w:rPr>
        <w:t>for</w:t>
      </w:r>
    </w:p>
    <w:p>
      <w:pPr>
        <w:pStyle w:val="BodyText"/>
        <w:spacing w:line="235" w:lineRule="auto" w:before="116"/>
        <w:ind w:left="164" w:right="167"/>
        <w:jc w:val="both"/>
      </w:pPr>
      <w:r>
        <w:rPr/>
        <w:t>a loan. </w:t>
      </w:r>
      <w:hyperlink w:history="true" w:anchor="_bookmark2022">
        <w:r>
          <w:rPr>
            <w:color w:val="005DA1"/>
            <w:u w:val="single" w:color="005DA1"/>
            <w:vertAlign w:val="superscript"/>
          </w:rPr>
          <w:t>1337</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40"/>
            <w:vertAlign w:val="baseline"/>
          </w:rPr>
          <w:t> </w:t>
        </w:r>
        <w:r>
          <w:rPr>
            <w:vertAlign w:val="baseline"/>
          </w:rPr>
          <w:t>Their Lordships held that the finance company could recover damages for </w:t>
        </w:r>
        <w:r>
          <w:rPr>
            <w:vertAlign w:val="baseline"/>
          </w:rPr>
          <w:t>the negligence of the valuer representing the difference in what the secured property could make if sold (less the expenses of this) and the amount which they had lent in reliance on the valuation. </w:t>
        </w:r>
        <w:r>
          <w:rPr>
            <w:vertAlign w:val="baseline"/>
          </w:rPr>
          <w:t>The House of Lords rejected the finance company’s claim that it could recover the interest which it had hoped to charge the borrower on the transaction (but had not been able to), accepting the </w:t>
        </w:r>
        <w:r>
          <w:rPr>
            <w:vertAlign w:val="baseline"/>
          </w:rPr>
          <w:t>valuer’s </w:t>
        </w:r>
        <w:bookmarkStart w:name="_bookmark1885" w:id="1887"/>
        <w:bookmarkEnd w:id="1887"/>
        <w:r>
          <w:rPr>
            <w:vertAlign w:val="baseline"/>
          </w:rPr>
          <w:t>argument</w:t>
        </w:r>
        <w:r>
          <w:rPr>
            <w:vertAlign w:val="baseline"/>
          </w:rPr>
          <w:t> that this would put them in a position as if he had warranted performance of the </w:t>
        </w:r>
        <w:r>
          <w:rPr>
            <w:vertAlign w:val="baseline"/>
          </w:rPr>
          <w:t>loan </w:t>
        </w:r>
        <w:bookmarkStart w:name="_bookmark1886" w:id="1888"/>
        <w:bookmarkEnd w:id="1888"/>
        <w:r>
          <w:rPr>
            <w:vertAlign w:val="baseline"/>
          </w:rPr>
          <w:t>contract</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borrower,</w:t>
        </w:r>
        <w:r>
          <w:rPr>
            <w:spacing w:val="-1"/>
            <w:vertAlign w:val="baseline"/>
          </w:rPr>
          <w:t> </w:t>
        </w:r>
        <w:r>
          <w:rPr>
            <w:color w:val="005DA1"/>
            <w:u w:val="single" w:color="005DA1"/>
            <w:vertAlign w:val="superscript"/>
          </w:rPr>
          <w:t>1338</w:t>
        </w:r>
        <w:r>
          <w:rPr>
            <w:color w:val="005DA1"/>
            <w:spacing w:val="-1"/>
            <w:vertAlign w:val="baseline"/>
          </w:rPr>
          <w:t> </w:t>
        </w:r>
        <w:r>
          <w:rPr>
            <w:vertAlign w:val="baseline"/>
          </w:rPr>
          <w:t>rather</w:t>
        </w:r>
        <w:r>
          <w:rPr>
            <w:spacing w:val="-1"/>
            <w:vertAlign w:val="baseline"/>
          </w:rPr>
          <w:t> </w:t>
        </w:r>
        <w:r>
          <w:rPr>
            <w:vertAlign w:val="baseline"/>
          </w:rPr>
          <w:t>than</w:t>
        </w:r>
        <w:r>
          <w:rPr>
            <w:spacing w:val="-1"/>
            <w:vertAlign w:val="baseline"/>
          </w:rPr>
          <w:t> </w:t>
        </w:r>
        <w:r>
          <w:rPr>
            <w:vertAlign w:val="baseline"/>
          </w:rPr>
          <w:t>the</w:t>
        </w:r>
        <w:r>
          <w:rPr>
            <w:spacing w:val="-1"/>
            <w:vertAlign w:val="baseline"/>
          </w:rPr>
          <w:t> </w:t>
        </w:r>
        <w:r>
          <w:rPr>
            <w:vertAlign w:val="baseline"/>
          </w:rPr>
          <w:t>proper</w:t>
        </w:r>
        <w:r>
          <w:rPr>
            <w:spacing w:val="-1"/>
            <w:vertAlign w:val="baseline"/>
          </w:rPr>
          <w:t> </w:t>
        </w:r>
        <w:r>
          <w:rPr>
            <w:vertAlign w:val="baseline"/>
          </w:rPr>
          <w:t>damages</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valuer’s</w:t>
        </w:r>
        <w:r>
          <w:rPr>
            <w:spacing w:val="-1"/>
            <w:vertAlign w:val="baseline"/>
          </w:rPr>
          <w:t> </w:t>
        </w:r>
        <w:r>
          <w:rPr>
            <w:vertAlign w:val="baseline"/>
          </w:rPr>
          <w:t>negligence.</w:t>
        </w:r>
        <w:r>
          <w:rPr>
            <w:spacing w:val="-2"/>
            <w:vertAlign w:val="baseline"/>
          </w:rPr>
          <w:t> </w:t>
        </w:r>
        <w:r>
          <w:rPr>
            <w:color w:val="005DA1"/>
            <w:u w:val="single" w:color="005DA1"/>
            <w:vertAlign w:val="superscript"/>
          </w:rPr>
          <w:t>1339</w:t>
        </w:r>
        <w:r>
          <w:rPr>
            <w:color w:val="005DA1"/>
            <w:spacing w:val="-1"/>
            <w:vertAlign w:val="baseline"/>
          </w:rPr>
          <w:t> </w:t>
        </w:r>
        <w:r>
          <w:rPr>
            <w:rFonts w:ascii="Arial" w:hAnsi="Arial"/>
            <w:i/>
            <w:vertAlign w:val="baseline"/>
          </w:rPr>
          <w:t>Thake</w:t>
        </w:r>
        <w:r>
          <w:rPr>
            <w:rFonts w:ascii="Arial" w:hAnsi="Arial"/>
            <w:i/>
            <w:spacing w:val="-1"/>
            <w:vertAlign w:val="baseline"/>
          </w:rPr>
          <w:t> </w:t>
        </w:r>
        <w:r>
          <w:rPr>
            <w:rFonts w:ascii="Arial" w:hAnsi="Arial"/>
            <w:i/>
            <w:vertAlign w:val="baseline"/>
          </w:rPr>
          <w:t>v Maurice </w:t>
        </w:r>
        <w:r>
          <w:rPr>
            <w:color w:val="005DA1"/>
            <w:u w:val="single" w:color="005DA1"/>
            <w:vertAlign w:val="superscript"/>
          </w:rPr>
          <w:t>1340</w:t>
        </w:r>
        <w:r>
          <w:rPr>
            <w:color w:val="005DA1"/>
            <w:vertAlign w:val="baseline"/>
          </w:rPr>
          <w:t> </w:t>
        </w:r>
        <w:r>
          <w:rPr>
            <w:vertAlign w:val="baseline"/>
          </w:rPr>
          <w:t>supplies an example of this difference in the context of medical negligence. At first </w:t>
        </w:r>
        <w:bookmarkStart w:name="_bookmark1887" w:id="1889"/>
        <w:bookmarkEnd w:id="1889"/>
        <w:r>
          <w:rPr>
            <w:vertAlign w:val="baseline"/>
          </w:rPr>
          <w:t>instance,</w:t>
        </w:r>
        <w:r>
          <w:rPr>
            <w:spacing w:val="-2"/>
            <w:vertAlign w:val="baseline"/>
          </w:rPr>
          <w:t> </w:t>
        </w:r>
        <w:r>
          <w:rPr>
            <w:vertAlign w:val="baseline"/>
          </w:rPr>
          <w:t>Peter</w:t>
        </w:r>
        <w:r>
          <w:rPr>
            <w:spacing w:val="-2"/>
            <w:vertAlign w:val="baseline"/>
          </w:rPr>
          <w:t> </w:t>
        </w:r>
        <w:r>
          <w:rPr>
            <w:vertAlign w:val="baseline"/>
          </w:rPr>
          <w:t>Pain</w:t>
        </w:r>
        <w:r>
          <w:rPr>
            <w:spacing w:val="-2"/>
            <w:vertAlign w:val="baseline"/>
          </w:rPr>
          <w:t> </w:t>
        </w:r>
        <w:r>
          <w:rPr>
            <w:vertAlign w:val="baseline"/>
          </w:rPr>
          <w:t>J.</w:t>
        </w:r>
        <w:r>
          <w:rPr>
            <w:spacing w:val="-2"/>
            <w:vertAlign w:val="baseline"/>
          </w:rPr>
          <w:t> </w:t>
        </w:r>
        <w:r>
          <w:rPr>
            <w:vertAlign w:val="baseline"/>
          </w:rPr>
          <w:t>had</w:t>
        </w:r>
        <w:r>
          <w:rPr>
            <w:spacing w:val="-2"/>
            <w:vertAlign w:val="baseline"/>
          </w:rPr>
          <w:t> </w:t>
        </w:r>
        <w:r>
          <w:rPr>
            <w:vertAlign w:val="baseline"/>
          </w:rPr>
          <w:t>found</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facts</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surgeon</w:t>
        </w:r>
        <w:r>
          <w:rPr>
            <w:spacing w:val="-2"/>
            <w:vertAlign w:val="baseline"/>
          </w:rPr>
          <w:t> </w:t>
        </w:r>
        <w:r>
          <w:rPr>
            <w:vertAlign w:val="baseline"/>
          </w:rPr>
          <w:t>had</w:t>
        </w:r>
        <w:r>
          <w:rPr>
            <w:spacing w:val="-2"/>
            <w:vertAlign w:val="baseline"/>
          </w:rPr>
          <w:t> </w:t>
        </w:r>
        <w:r>
          <w:rPr>
            <w:vertAlign w:val="baseline"/>
          </w:rPr>
          <w:t>warranted</w:t>
        </w:r>
        <w:r>
          <w:rPr>
            <w:spacing w:val="-2"/>
            <w:vertAlign w:val="baseline"/>
          </w:rPr>
          <w:t> </w:t>
        </w:r>
        <w:r>
          <w:rPr>
            <w:vertAlign w:val="baseline"/>
          </w:rPr>
          <w:t>to</w:t>
        </w:r>
        <w:r>
          <w:rPr>
            <w:spacing w:val="-2"/>
            <w:vertAlign w:val="baseline"/>
          </w:rPr>
          <w:t> </w:t>
        </w:r>
        <w:r>
          <w:rPr>
            <w:vertAlign w:val="baseline"/>
          </w:rPr>
          <w:t>his</w:t>
        </w:r>
        <w:r>
          <w:rPr>
            <w:spacing w:val="-2"/>
            <w:vertAlign w:val="baseline"/>
          </w:rPr>
          <w:t> </w:t>
        </w:r>
        <w:r>
          <w:rPr>
            <w:vertAlign w:val="baseline"/>
          </w:rPr>
          <w:t>patient </w:t>
        </w:r>
        <w:bookmarkStart w:name="_bookmark1888" w:id="1890"/>
        <w:bookmarkEnd w:id="1890"/>
        <w:r>
          <w:rPr>
            <w:vertAlign w:val="baseline"/>
          </w:rPr>
          <w:t>that</w:t>
        </w:r>
        <w:r>
          <w:rPr>
            <w:vertAlign w:val="baseline"/>
          </w:rPr>
          <w:t> a vasectomy operation would be successful, </w:t>
        </w:r>
        <w:r>
          <w:rPr>
            <w:color w:val="005DA1"/>
            <w:u w:val="single" w:color="005DA1"/>
            <w:vertAlign w:val="superscript"/>
          </w:rPr>
          <w:t>1341</w:t>
        </w:r>
        <w:r>
          <w:rPr>
            <w:color w:val="005DA1"/>
            <w:vertAlign w:val="baseline"/>
          </w:rPr>
          <w:t> </w:t>
        </w:r>
        <w:r>
          <w:rPr>
            <w:vertAlign w:val="baseline"/>
          </w:rPr>
          <w:t>but the majority of the Court of Appeal disagreed, </w:t>
        </w:r>
        <w:r>
          <w:rPr>
            <w:color w:val="005DA1"/>
            <w:u w:val="single" w:color="005DA1"/>
            <w:vertAlign w:val="superscript"/>
          </w:rPr>
          <w:t>1342</w:t>
        </w:r>
        <w:r>
          <w:rPr>
            <w:color w:val="005DA1"/>
            <w:vertAlign w:val="baseline"/>
          </w:rPr>
          <w:t> </w:t>
        </w:r>
        <w:r>
          <w:rPr>
            <w:vertAlign w:val="baseline"/>
          </w:rPr>
          <w:t>holding that the defendant could be held bound only to take reasonable care in </w:t>
        </w:r>
        <w:r>
          <w:rPr>
            <w:vertAlign w:val="baseline"/>
          </w:rPr>
          <w:t>the giving of information as to the effect of the operation and finding it unnecessary to distinguish for </w:t>
        </w:r>
        <w:r>
          <w:rPr>
            <w:vertAlign w:val="baseline"/>
          </w:rPr>
          <w:t>this </w:t>
        </w:r>
        <w:bookmarkStart w:name="_bookmark1889" w:id="1891"/>
        <w:bookmarkEnd w:id="1891"/>
        <w:r>
          <w:rPr>
            <w:vertAlign w:val="baseline"/>
          </w:rPr>
          <w:t>purpose</w:t>
        </w:r>
        <w:r>
          <w:rPr>
            <w:vertAlign w:val="baseline"/>
          </w:rPr>
          <w:t> between claims of contractual or tortious negligence, referring to this as the “negligence claim”. </w:t>
        </w:r>
        <w:r>
          <w:rPr>
            <w:color w:val="005DA1"/>
            <w:u w:val="single" w:color="005DA1"/>
            <w:vertAlign w:val="superscript"/>
          </w:rPr>
          <w:t>1343</w:t>
        </w:r>
        <w:r>
          <w:rPr>
            <w:color w:val="005DA1"/>
            <w:vertAlign w:val="baseline"/>
          </w:rPr>
          <w:t> </w:t>
        </w:r>
        <w:r>
          <w:rPr>
            <w:vertAlign w:val="baseline"/>
          </w:rPr>
          <w:t>However, Kerr L.J. disagreed with the majority’s interpretation of the contract and </w:t>
        </w:r>
        <w:r>
          <w:rPr>
            <w:vertAlign w:val="baseline"/>
          </w:rPr>
          <w:t>would </w:t>
        </w:r>
        <w:bookmarkStart w:name="_bookmark1890" w:id="1892"/>
        <w:bookmarkEnd w:id="1892"/>
        <w:r>
          <w:rPr>
            <w:vertAlign w:val="baseline"/>
          </w:rPr>
          <w:t>have</w:t>
        </w:r>
        <w:r>
          <w:rPr>
            <w:vertAlign w:val="baseline"/>
          </w:rPr>
          <w:t> upheld the existence of a contractual warranty as to the success of the operation </w:t>
        </w:r>
        <w:r>
          <w:rPr>
            <w:vertAlign w:val="baseline"/>
          </w:rPr>
          <w:t>(the “contractual claim”). </w:t>
        </w:r>
        <w:r>
          <w:rPr>
            <w:color w:val="005DA1"/>
            <w:u w:val="single" w:color="005DA1"/>
            <w:vertAlign w:val="superscript"/>
          </w:rPr>
          <w:t>1344</w:t>
        </w:r>
        <w:r>
          <w:rPr>
            <w:color w:val="005DA1"/>
            <w:vertAlign w:val="baseline"/>
          </w:rPr>
          <w:t> </w:t>
        </w:r>
        <w:r>
          <w:rPr>
            <w:vertAlign w:val="baseline"/>
          </w:rPr>
          <w:t>If this approach had been accepted, he considered that it would affect the </w:t>
        </w:r>
        <w:bookmarkStart w:name="_bookmark1891" w:id="1893"/>
        <w:bookmarkEnd w:id="1893"/>
        <w:r>
          <w:rPr>
            <w:vertAlign w:val="baseline"/>
          </w:rPr>
          <w:t>damages</w:t>
        </w:r>
        <w:r>
          <w:rPr>
            <w:vertAlign w:val="baseline"/>
          </w:rPr>
          <w:t> recoverable by the plaintiffs, as damages in tort (i.e. the negligence claim) would be lower than those in contract. </w:t>
        </w:r>
        <w:r>
          <w:rPr>
            <w:color w:val="005DA1"/>
            <w:u w:val="single" w:color="005DA1"/>
            <w:vertAlign w:val="superscript"/>
          </w:rPr>
          <w:t>1345</w:t>
        </w:r>
        <w:r>
          <w:rPr>
            <w:color w:val="005DA1"/>
            <w:vertAlign w:val="baseline"/>
          </w:rPr>
          <w:t> </w:t>
        </w:r>
        <w:r>
          <w:rPr>
            <w:vertAlign w:val="baseline"/>
          </w:rPr>
          <w:t>In tort, damages for pain and suffering caused by the pregnancy should be reduced to take into account the distress of having to undergo an abortion (which </w:t>
        </w:r>
        <w:r>
          <w:rPr>
            <w:rFonts w:ascii="Arial" w:hAnsi="Arial"/>
            <w:i/>
            <w:vertAlign w:val="baseline"/>
          </w:rPr>
          <w:t>would </w:t>
        </w:r>
        <w:r>
          <w:rPr>
            <w:vertAlign w:val="baseline"/>
          </w:rPr>
          <w:t>have </w:t>
        </w:r>
        <w:r>
          <w:rPr>
            <w:vertAlign w:val="baseline"/>
          </w:rPr>
          <w:t>been </w:t>
        </w:r>
        <w:bookmarkStart w:name="_bookmark1892" w:id="1894"/>
        <w:bookmarkEnd w:id="1894"/>
        <w:r>
          <w:rPr>
            <w:vertAlign w:val="baseline"/>
          </w:rPr>
          <w:t>the</w:t>
        </w:r>
        <w:r>
          <w:rPr>
            <w:spacing w:val="-2"/>
            <w:vertAlign w:val="baseline"/>
          </w:rPr>
          <w:t> </w:t>
        </w:r>
        <w:r>
          <w:rPr>
            <w:vertAlign w:val="baseline"/>
          </w:rPr>
          <w:t>case</w:t>
        </w:r>
        <w:r>
          <w:rPr>
            <w:spacing w:val="-2"/>
            <w:vertAlign w:val="baseline"/>
          </w:rPr>
          <w:t> </w:t>
        </w:r>
        <w:r>
          <w:rPr>
            <w:vertAlign w:val="baseline"/>
          </w:rPr>
          <w:t>even</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patient</w:t>
        </w:r>
        <w:r>
          <w:rPr>
            <w:spacing w:val="-2"/>
            <w:vertAlign w:val="baseline"/>
          </w:rPr>
          <w:t> </w:t>
        </w:r>
        <w:r>
          <w:rPr>
            <w:vertAlign w:val="baseline"/>
          </w:rPr>
          <w:t>had</w:t>
        </w:r>
        <w:r>
          <w:rPr>
            <w:spacing w:val="-2"/>
            <w:vertAlign w:val="baseline"/>
          </w:rPr>
          <w:t> </w:t>
        </w:r>
        <w:r>
          <w:rPr>
            <w:vertAlign w:val="baseline"/>
          </w:rPr>
          <w:t>been</w:t>
        </w:r>
        <w:r>
          <w:rPr>
            <w:spacing w:val="-2"/>
            <w:vertAlign w:val="baseline"/>
          </w:rPr>
          <w:t> </w:t>
        </w:r>
        <w:r>
          <w:rPr>
            <w:vertAlign w:val="baseline"/>
          </w:rPr>
          <w:t>properly</w:t>
        </w:r>
        <w:r>
          <w:rPr>
            <w:spacing w:val="-2"/>
            <w:vertAlign w:val="baseline"/>
          </w:rPr>
          <w:t> </w:t>
        </w:r>
        <w:r>
          <w:rPr>
            <w:vertAlign w:val="baseline"/>
          </w:rPr>
          <w:t>advised</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risk</w:t>
        </w:r>
        <w:r>
          <w:rPr>
            <w:spacing w:val="-2"/>
            <w:vertAlign w:val="baseline"/>
          </w:rPr>
          <w:t> </w:t>
        </w:r>
        <w:r>
          <w:rPr>
            <w:vertAlign w:val="baseline"/>
          </w:rPr>
          <w:t>of</w:t>
        </w:r>
        <w:r>
          <w:rPr>
            <w:spacing w:val="-2"/>
            <w:vertAlign w:val="baseline"/>
          </w:rPr>
          <w:t> </w:t>
        </w:r>
        <w:r>
          <w:rPr>
            <w:vertAlign w:val="baseline"/>
          </w:rPr>
          <w:t>pregnancy</w:t>
        </w:r>
        <w:r>
          <w:rPr>
            <w:spacing w:val="-2"/>
            <w:vertAlign w:val="baseline"/>
          </w:rPr>
          <w:t> </w:t>
        </w:r>
        <w:r>
          <w:rPr>
            <w:vertAlign w:val="baseline"/>
          </w:rPr>
          <w:t>after</w:t>
        </w:r>
        <w:r>
          <w:rPr>
            <w:spacing w:val="-2"/>
            <w:vertAlign w:val="baseline"/>
          </w:rPr>
          <w:t> </w:t>
        </w:r>
        <w:r>
          <w:rPr>
            <w:vertAlign w:val="baseline"/>
          </w:rPr>
          <w:t>the</w:t>
        </w:r>
        <w:r>
          <w:rPr>
            <w:spacing w:val="-2"/>
            <w:vertAlign w:val="baseline"/>
          </w:rPr>
          <w:t> </w:t>
        </w:r>
        <w:r>
          <w:rPr>
            <w:vertAlign w:val="baseline"/>
          </w:rPr>
          <w:t>operation), but this was not the case in contract, </w:t>
        </w:r>
        <w:r>
          <w:rPr>
            <w:color w:val="005DA1"/>
            <w:u w:val="single" w:color="005DA1"/>
            <w:vertAlign w:val="superscript"/>
          </w:rPr>
          <w:t>1346</w:t>
        </w:r>
        <w:r>
          <w:rPr>
            <w:color w:val="005DA1"/>
            <w:vertAlign w:val="baseline"/>
          </w:rPr>
          <w:t> </w:t>
        </w:r>
        <w:r>
          <w:rPr>
            <w:vertAlign w:val="baseline"/>
          </w:rPr>
          <w:t>where if the defendant’s warranty had not been broken the plaintiff’s wife would not have become pregnant and so would not have suffered either proceeding. </w:t>
        </w:r>
        <w:r>
          <w:rPr>
            <w:vertAlign w:val="baseline"/>
          </w:rPr>
          <w:t>It is clear, however, that though put in terms of a contrast between tort and contract, the contrast which Kerr L.J. was intending to draw was between a duty to take reasonable care whether in tort </w:t>
        </w:r>
        <w:r>
          <w:rPr>
            <w:vertAlign w:val="baseline"/>
          </w:rPr>
          <w:t>or</w:t>
        </w:r>
        <w:r>
          <w:rPr>
            <w:spacing w:val="40"/>
            <w:vertAlign w:val="baseline"/>
          </w:rPr>
          <w:t> </w:t>
        </w:r>
        <w:r>
          <w:rPr>
            <w:vertAlign w:val="baseline"/>
          </w:rPr>
          <w:t>contract and a contractual duty to see that a particular result occurs.</w:t>
        </w:r>
      </w:hyperlink>
    </w:p>
    <w:p>
      <w:pPr>
        <w:pStyle w:val="BodyText"/>
      </w:pPr>
    </w:p>
    <w:p>
      <w:pPr>
        <w:pStyle w:val="BodyText"/>
        <w:spacing w:before="29"/>
      </w:pPr>
    </w:p>
    <w:p>
      <w:pPr>
        <w:spacing w:before="0"/>
        <w:ind w:left="165" w:right="0" w:firstLine="0"/>
        <w:jc w:val="both"/>
        <w:rPr>
          <w:rFonts w:ascii="Arial"/>
          <w:b/>
          <w:sz w:val="18"/>
        </w:rPr>
      </w:pPr>
      <w:r>
        <w:rPr>
          <w:rFonts w:ascii="Arial"/>
          <w:b/>
          <w:sz w:val="18"/>
        </w:rPr>
        <w:t>Remoteness of </w:t>
      </w:r>
      <w:r>
        <w:rPr>
          <w:rFonts w:ascii="Arial"/>
          <w:b/>
          <w:spacing w:val="-2"/>
          <w:sz w:val="18"/>
        </w:rPr>
        <w:t>damage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195</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0"/>
        </w:rPr>
        <w:t> </w:t>
      </w:r>
      <w:bookmarkStart w:name="_bookmark1893" w:id="1895"/>
      <w:bookmarkEnd w:id="1895"/>
      <w:r>
        <w:rPr>
          <w:rFonts w:ascii="Times New Roman"/>
          <w:spacing w:val="22"/>
        </w:rPr>
      </w:r>
      <w:r>
        <w:rPr/>
        <w:t>Another important difference between claims in tort and contract is said to be found in relation to </w:t>
      </w:r>
      <w:bookmarkStart w:name="_bookmark1894" w:id="1896"/>
      <w:bookmarkEnd w:id="1896"/>
      <w:r>
        <w:rPr/>
        <w:t>the</w:t>
      </w:r>
      <w:r>
        <w:rPr/>
        <w:t> applicable tests of remoteness of damage. </w:t>
      </w:r>
      <w:r>
        <w:rPr>
          <w:color w:val="005DA1"/>
          <w:u w:val="single" w:color="005DA1"/>
          <w:vertAlign w:val="superscript"/>
        </w:rPr>
        <w:t>1347</w:t>
      </w:r>
      <w:r>
        <w:rPr>
          <w:color w:val="005DA1"/>
          <w:vertAlign w:val="baseline"/>
        </w:rPr>
        <w:t> </w:t>
      </w:r>
      <w:r>
        <w:rPr>
          <w:vertAlign w:val="baseline"/>
        </w:rPr>
        <w:t>In contract, the court asks whether the kind of loss </w:t>
      </w:r>
      <w:bookmarkStart w:name="_bookmark1895" w:id="1897"/>
      <w:bookmarkEnd w:id="1897"/>
      <w:r>
        <w:rPr>
          <w:vertAlign w:val="baseline"/>
        </w:rPr>
        <w:t>is</w:t>
      </w:r>
      <w:r>
        <w:rPr>
          <w:vertAlign w:val="baseline"/>
        </w:rPr>
        <w:t> within the reasonable contemplation of the parties, </w:t>
      </w:r>
      <w:r>
        <w:rPr>
          <w:color w:val="005DA1"/>
          <w:u w:val="single" w:color="005DA1"/>
          <w:vertAlign w:val="superscript"/>
        </w:rPr>
        <w:t>1348</w:t>
      </w:r>
      <w:r>
        <w:rPr>
          <w:color w:val="005DA1"/>
          <w:vertAlign w:val="baseline"/>
        </w:rPr>
        <w:t> </w:t>
      </w:r>
      <w:r>
        <w:rPr>
          <w:vertAlign w:val="baseline"/>
        </w:rPr>
        <w:t>whereas in the tort of negligence, it asks </w:t>
      </w:r>
      <w:bookmarkStart w:name="_bookmark1896" w:id="1898"/>
      <w:bookmarkEnd w:id="1898"/>
      <w:r>
        <w:rPr>
          <w:vertAlign w:val="baseline"/>
        </w:rPr>
        <w:t>whether</w:t>
      </w:r>
      <w:r>
        <w:rPr>
          <w:spacing w:val="15"/>
          <w:vertAlign w:val="baseline"/>
        </w:rPr>
        <w:t> </w:t>
      </w:r>
      <w:r>
        <w:rPr>
          <w:vertAlign w:val="baseline"/>
        </w:rPr>
        <w:t>the</w:t>
      </w:r>
      <w:r>
        <w:rPr>
          <w:spacing w:val="15"/>
          <w:vertAlign w:val="baseline"/>
        </w:rPr>
        <w:t> </w:t>
      </w:r>
      <w:r>
        <w:rPr>
          <w:vertAlign w:val="baseline"/>
        </w:rPr>
        <w:t>type</w:t>
      </w:r>
      <w:r>
        <w:rPr>
          <w:spacing w:val="16"/>
          <w:vertAlign w:val="baseline"/>
        </w:rPr>
        <w:t> </w:t>
      </w:r>
      <w:r>
        <w:rPr>
          <w:vertAlign w:val="baseline"/>
        </w:rPr>
        <w:t>of</w:t>
      </w:r>
      <w:r>
        <w:rPr>
          <w:spacing w:val="15"/>
          <w:vertAlign w:val="baseline"/>
        </w:rPr>
        <w:t> </w:t>
      </w:r>
      <w:r>
        <w:rPr>
          <w:vertAlign w:val="baseline"/>
        </w:rPr>
        <w:t>harm</w:t>
      </w:r>
      <w:r>
        <w:rPr>
          <w:spacing w:val="15"/>
          <w:vertAlign w:val="baseline"/>
        </w:rPr>
        <w:t> </w:t>
      </w:r>
      <w:r>
        <w:rPr>
          <w:vertAlign w:val="baseline"/>
        </w:rPr>
        <w:t>is</w:t>
      </w:r>
      <w:r>
        <w:rPr>
          <w:spacing w:val="16"/>
          <w:vertAlign w:val="baseline"/>
        </w:rPr>
        <w:t> </w:t>
      </w:r>
      <w:r>
        <w:rPr>
          <w:vertAlign w:val="baseline"/>
        </w:rPr>
        <w:t>reasonably</w:t>
      </w:r>
      <w:r>
        <w:rPr>
          <w:spacing w:val="15"/>
          <w:vertAlign w:val="baseline"/>
        </w:rPr>
        <w:t> </w:t>
      </w:r>
      <w:r>
        <w:rPr>
          <w:vertAlign w:val="baseline"/>
        </w:rPr>
        <w:t>foreseeable.</w:t>
      </w:r>
      <w:r>
        <w:rPr>
          <w:spacing w:val="14"/>
          <w:vertAlign w:val="baseline"/>
        </w:rPr>
        <w:t> </w:t>
      </w:r>
      <w:r>
        <w:rPr>
          <w:color w:val="005DA1"/>
          <w:u w:val="single" w:color="005DA1"/>
          <w:vertAlign w:val="superscript"/>
        </w:rPr>
        <w:t>1349</w:t>
      </w:r>
      <w:r>
        <w:rPr>
          <w:color w:val="005DA1"/>
          <w:spacing w:val="16"/>
          <w:vertAlign w:val="baseline"/>
        </w:rPr>
        <w:t> </w:t>
      </w:r>
      <w:r>
        <w:rPr>
          <w:vertAlign w:val="baseline"/>
        </w:rPr>
        <w:t>Although</w:t>
      </w:r>
      <w:r>
        <w:rPr>
          <w:spacing w:val="15"/>
          <w:vertAlign w:val="baseline"/>
        </w:rPr>
        <w:t> </w:t>
      </w:r>
      <w:r>
        <w:rPr>
          <w:vertAlign w:val="baseline"/>
        </w:rPr>
        <w:t>the</w:t>
      </w:r>
      <w:r>
        <w:rPr>
          <w:spacing w:val="15"/>
          <w:vertAlign w:val="baseline"/>
        </w:rPr>
        <w:t> </w:t>
      </w:r>
      <w:r>
        <w:rPr>
          <w:vertAlign w:val="baseline"/>
        </w:rPr>
        <w:t>difference</w:t>
      </w:r>
      <w:r>
        <w:rPr>
          <w:spacing w:val="16"/>
          <w:vertAlign w:val="baseline"/>
        </w:rPr>
        <w:t> </w:t>
      </w:r>
      <w:r>
        <w:rPr>
          <w:vertAlign w:val="baseline"/>
        </w:rPr>
        <w:t>between</w:t>
      </w:r>
      <w:r>
        <w:rPr>
          <w:spacing w:val="15"/>
          <w:vertAlign w:val="baseline"/>
        </w:rPr>
        <w:t> </w:t>
      </w:r>
      <w:r>
        <w:rPr>
          <w:vertAlign w:val="baseline"/>
        </w:rPr>
        <w:t>these</w:t>
      </w:r>
      <w:r>
        <w:rPr>
          <w:spacing w:val="15"/>
          <w:vertAlign w:val="baseline"/>
        </w:rPr>
        <w:t> </w:t>
      </w:r>
      <w:r>
        <w:rPr>
          <w:spacing w:val="-5"/>
          <w:vertAlign w:val="baseline"/>
        </w:rPr>
        <w:t>has</w:t>
      </w:r>
    </w:p>
    <w:p>
      <w:pPr>
        <w:pStyle w:val="BodyText"/>
        <w:spacing w:line="235" w:lineRule="auto" w:before="118"/>
        <w:ind w:left="164" w:right="167"/>
        <w:jc w:val="both"/>
      </w:pPr>
      <w:bookmarkStart w:name="_bookmark1897" w:id="1899"/>
      <w:bookmarkEnd w:id="1899"/>
      <w:r>
        <w:rPr/>
      </w:r>
      <w:r>
        <w:rPr/>
        <w:t>been termed “semantic, not substantial”, </w:t>
      </w:r>
      <w:hyperlink w:history="true" w:anchor="_bookmark2034">
        <w:r>
          <w:rPr>
            <w:color w:val="005DA1"/>
            <w:u w:val="single" w:color="005DA1"/>
            <w:vertAlign w:val="superscript"/>
          </w:rPr>
          <w:t>1350</w:t>
        </w:r>
      </w:hyperlink>
      <w:r>
        <w:rPr>
          <w:color w:val="005DA1"/>
          <w:vertAlign w:val="baseline"/>
        </w:rPr>
        <w:t> </w:t>
      </w:r>
      <w:r>
        <w:rPr>
          <w:vertAlign w:val="baseline"/>
        </w:rPr>
        <w:t>members of the House of Lords in </w:t>
      </w:r>
      <w:r>
        <w:rPr>
          <w:rFonts w:ascii="Arial" w:hAnsi="Arial"/>
          <w:i/>
          <w:vertAlign w:val="baseline"/>
        </w:rPr>
        <w:t>The Heron II </w:t>
      </w:r>
      <w:hyperlink w:history="true" w:anchor="_bookmark2035">
        <w:r>
          <w:rPr>
            <w:color w:val="005DA1"/>
            <w:u w:val="single" w:color="005DA1"/>
            <w:vertAlign w:val="superscript"/>
          </w:rPr>
          <w:t>1351</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477" name="Image 477"/>
              <wp:cNvGraphicFramePr>
                <a:graphicFrameLocks/>
              </wp:cNvGraphicFramePr>
              <a:graphic>
                <a:graphicData uri="http://schemas.openxmlformats.org/drawingml/2006/picture">
                  <pic:pic>
                    <pic:nvPicPr>
                      <pic:cNvPr id="477" name="Image 47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position w:val="-2"/>
            <w:vertAlign w:val="baseline"/>
          </w:rPr>
          <w:t> </w:t>
        </w:r>
        <w:r>
          <w:rPr>
            <w:vertAlign w:val="baseline"/>
          </w:rPr>
          <w:t>considered, and some authors agree, </w:t>
        </w:r>
        <w:r>
          <w:rPr>
            <w:color w:val="005DA1"/>
            <w:u w:val="single" w:color="005DA1"/>
            <w:vertAlign w:val="superscript"/>
          </w:rPr>
          <w:t>1352</w:t>
        </w:r>
        <w:r>
          <w:rPr>
            <w:color w:val="005DA1"/>
            <w:vertAlign w:val="baseline"/>
          </w:rPr>
          <w:t> </w:t>
        </w:r>
        <w:r>
          <w:rPr>
            <w:vertAlign w:val="baseline"/>
          </w:rPr>
          <w:t>that a real difference in the two tests exists in relation to the degree of probability required, the position in contract being less generous than that in tort. However, where a case concerns concurrent liability in tort and contract, the courts have sometimes proved unwilling to allow the way in which the claimant puts his claim to affect the quantum of damages </w:t>
        </w:r>
        <w:bookmarkStart w:name="_bookmark1898" w:id="1900"/>
        <w:bookmarkEnd w:id="1900"/>
        <w:r>
          <w:rPr>
            <w:vertAlign w:val="baseline"/>
          </w:rPr>
          <w:t>recoverable.</w:t>
        </w:r>
        <w:r>
          <w:rPr>
            <w:vertAlign w:val="baseline"/>
          </w:rPr>
          <w:t> Thus, in the Court of Appeal’s decision in </w:t>
        </w:r>
        <w:r>
          <w:rPr>
            <w:rFonts w:ascii="Arial" w:hAnsi="Arial"/>
            <w:i/>
            <w:vertAlign w:val="baseline"/>
          </w:rPr>
          <w:t>H. Parsons (Livestock) Ltd v Uttley Ingham &amp; </w:t>
        </w:r>
        <w:bookmarkStart w:name="_bookmark1899" w:id="1901"/>
        <w:bookmarkEnd w:id="1901"/>
        <w:r>
          <w:rPr>
            <w:rFonts w:ascii="Arial" w:hAnsi="Arial"/>
            <w:i/>
            <w:vertAlign w:val="baseline"/>
          </w:rPr>
          <w:t>Co</w:t>
        </w:r>
        <w:r>
          <w:rPr>
            <w:rFonts w:ascii="Arial" w:hAnsi="Arial"/>
            <w:i/>
            <w:vertAlign w:val="baseline"/>
          </w:rPr>
          <w:t> Ltd </w:t>
        </w:r>
        <w:r>
          <w:rPr>
            <w:color w:val="005DA1"/>
            <w:u w:val="single" w:color="005DA1"/>
            <w:vertAlign w:val="superscript"/>
          </w:rPr>
          <w:t>1353</w:t>
        </w:r>
        <w:r>
          <w:rPr>
            <w:color w:val="005DA1"/>
            <w:vertAlign w:val="baseline"/>
          </w:rPr>
          <w:t> </w:t>
        </w:r>
        <w:r>
          <w:rPr>
            <w:vertAlign w:val="baseline"/>
          </w:rPr>
          <w:t>which was such a case, Scarman L.J., with whom Orr L.J. agreed, assimilated the tests of remoteness</w:t>
        </w:r>
        <w:r>
          <w:rPr>
            <w:spacing w:val="-1"/>
            <w:vertAlign w:val="baseline"/>
          </w:rPr>
          <w:t> </w:t>
        </w:r>
        <w:r>
          <w:rPr>
            <w:vertAlign w:val="baseline"/>
          </w:rPr>
          <w:t>in</w:t>
        </w:r>
        <w:r>
          <w:rPr>
            <w:spacing w:val="-1"/>
            <w:vertAlign w:val="baseline"/>
          </w:rPr>
          <w:t> </w:t>
        </w:r>
        <w:r>
          <w:rPr>
            <w:vertAlign w:val="baseline"/>
          </w:rPr>
          <w:t>tort</w:t>
        </w:r>
        <w:r>
          <w:rPr>
            <w:spacing w:val="-1"/>
            <w:vertAlign w:val="baseline"/>
          </w:rPr>
          <w:t> </w:t>
        </w:r>
        <w:r>
          <w:rPr>
            <w:vertAlign w:val="baseline"/>
          </w:rPr>
          <w:t>and</w:t>
        </w:r>
        <w:r>
          <w:rPr>
            <w:spacing w:val="-1"/>
            <w:vertAlign w:val="baseline"/>
          </w:rPr>
          <w:t> </w:t>
        </w:r>
        <w:r>
          <w:rPr>
            <w:vertAlign w:val="baseline"/>
          </w:rPr>
          <w:t>in</w:t>
        </w:r>
        <w:r>
          <w:rPr>
            <w:spacing w:val="-1"/>
            <w:vertAlign w:val="baseline"/>
          </w:rPr>
          <w:t> </w:t>
        </w:r>
        <w:r>
          <w:rPr>
            <w:vertAlign w:val="baseline"/>
          </w:rPr>
          <w:t>contract.</w:t>
        </w:r>
        <w:r>
          <w:rPr>
            <w:spacing w:val="-1"/>
            <w:vertAlign w:val="baseline"/>
          </w:rPr>
          <w:t> </w:t>
        </w:r>
        <w:r>
          <w:rPr>
            <w:color w:val="005DA1"/>
            <w:u w:val="single" w:color="005DA1"/>
            <w:vertAlign w:val="superscript"/>
          </w:rPr>
          <w:t>1354</w:t>
        </w:r>
        <w:r>
          <w:rPr>
            <w:color w:val="005DA1"/>
            <w:spacing w:val="-1"/>
            <w:vertAlign w:val="baseline"/>
          </w:rPr>
          <w:t> </w:t>
        </w:r>
        <w:r>
          <w:rPr>
            <w:vertAlign w:val="baseline"/>
          </w:rPr>
          <w:t>The</w:t>
        </w:r>
        <w:r>
          <w:rPr>
            <w:spacing w:val="-1"/>
            <w:vertAlign w:val="baseline"/>
          </w:rPr>
          <w:t> </w:t>
        </w:r>
        <w:r>
          <w:rPr>
            <w:vertAlign w:val="baseline"/>
          </w:rPr>
          <w:t>unwillingness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courts</w:t>
        </w:r>
        <w:r>
          <w:rPr>
            <w:spacing w:val="-1"/>
            <w:vertAlign w:val="baseline"/>
          </w:rPr>
          <w:t> </w:t>
        </w:r>
        <w:r>
          <w:rPr>
            <w:vertAlign w:val="baseline"/>
          </w:rPr>
          <w:t>to</w:t>
        </w:r>
        <w:r>
          <w:rPr>
            <w:spacing w:val="-1"/>
            <w:vertAlign w:val="baseline"/>
          </w:rPr>
          <w:t> </w:t>
        </w:r>
        <w:r>
          <w:rPr>
            <w:vertAlign w:val="baseline"/>
          </w:rPr>
          <w:t>allow</w:t>
        </w:r>
        <w:r>
          <w:rPr>
            <w:spacing w:val="-1"/>
            <w:vertAlign w:val="baseline"/>
          </w:rPr>
          <w:t> </w:t>
        </w:r>
        <w:r>
          <w:rPr>
            <w:vertAlign w:val="baseline"/>
          </w:rPr>
          <w:t>a</w:t>
        </w:r>
        <w:r>
          <w:rPr>
            <w:spacing w:val="-1"/>
            <w:vertAlign w:val="baseline"/>
          </w:rPr>
          <w:t> </w:t>
        </w:r>
        <w:r>
          <w:rPr>
            <w:vertAlign w:val="baseline"/>
          </w:rPr>
          <w:t>claimant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tort</w:t>
        </w:r>
        <w:r>
          <w:rPr>
            <w:spacing w:val="-1"/>
            <w:vertAlign w:val="baseline"/>
          </w:rPr>
          <w:t> </w:t>
        </w:r>
        <w:r>
          <w:rPr>
            <w:vertAlign w:val="baseline"/>
          </w:rPr>
          <w:t>of </w:t>
        </w:r>
        <w:bookmarkStart w:name="_bookmark1900" w:id="1902"/>
        <w:bookmarkEnd w:id="1902"/>
        <w:r>
          <w:rPr>
            <w:vertAlign w:val="baseline"/>
          </w:rPr>
          <w:t>negligence</w:t>
        </w:r>
        <w:r>
          <w:rPr>
            <w:vertAlign w:val="baseline"/>
          </w:rPr>
          <w:t> to recover more than a claim in contract may be illustrated by the decision in </w:t>
        </w:r>
        <w:r>
          <w:rPr>
            <w:rFonts w:ascii="Arial" w:hAnsi="Arial"/>
            <w:i/>
            <w:vertAlign w:val="baseline"/>
          </w:rPr>
          <w:t>How Engineering</w:t>
        </w:r>
        <w:r>
          <w:rPr>
            <w:rFonts w:ascii="Arial" w:hAnsi="Arial"/>
            <w:i/>
            <w:spacing w:val="-3"/>
            <w:vertAlign w:val="baseline"/>
          </w:rPr>
          <w:t> </w:t>
        </w:r>
        <w:r>
          <w:rPr>
            <w:rFonts w:ascii="Arial" w:hAnsi="Arial"/>
            <w:i/>
            <w:vertAlign w:val="baseline"/>
          </w:rPr>
          <w:t>Services</w:t>
        </w:r>
        <w:r>
          <w:rPr>
            <w:rFonts w:ascii="Arial" w:hAnsi="Arial"/>
            <w:i/>
            <w:spacing w:val="-3"/>
            <w:vertAlign w:val="baseline"/>
          </w:rPr>
          <w:t> </w:t>
        </w:r>
        <w:r>
          <w:rPr>
            <w:rFonts w:ascii="Arial" w:hAnsi="Arial"/>
            <w:i/>
            <w:vertAlign w:val="baseline"/>
          </w:rPr>
          <w:t>Ltd</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Southern</w:t>
        </w:r>
        <w:r>
          <w:rPr>
            <w:rFonts w:ascii="Arial" w:hAnsi="Arial"/>
            <w:i/>
            <w:spacing w:val="-3"/>
            <w:vertAlign w:val="baseline"/>
          </w:rPr>
          <w:t> </w:t>
        </w:r>
        <w:r>
          <w:rPr>
            <w:rFonts w:ascii="Arial" w:hAnsi="Arial"/>
            <w:i/>
            <w:vertAlign w:val="baseline"/>
          </w:rPr>
          <w:t>Insulation</w:t>
        </w:r>
        <w:r>
          <w:rPr>
            <w:rFonts w:ascii="Arial" w:hAnsi="Arial"/>
            <w:i/>
            <w:spacing w:val="-3"/>
            <w:vertAlign w:val="baseline"/>
          </w:rPr>
          <w:t> </w:t>
        </w:r>
        <w:r>
          <w:rPr>
            <w:rFonts w:ascii="Arial" w:hAnsi="Arial"/>
            <w:i/>
            <w:vertAlign w:val="baseline"/>
          </w:rPr>
          <w:t>(Medway)</w:t>
        </w:r>
        <w:r>
          <w:rPr>
            <w:rFonts w:ascii="Arial" w:hAnsi="Arial"/>
            <w:i/>
            <w:spacing w:val="-3"/>
            <w:vertAlign w:val="baseline"/>
          </w:rPr>
          <w:t> </w:t>
        </w:r>
        <w:r>
          <w:rPr>
            <w:rFonts w:ascii="Arial" w:hAnsi="Arial"/>
            <w:i/>
            <w:vertAlign w:val="baseline"/>
          </w:rPr>
          <w:t>Ltd</w:t>
        </w:r>
        <w:r>
          <w:rPr>
            <w:vertAlign w:val="baseline"/>
          </w:rPr>
          <w:t>.</w:t>
        </w:r>
        <w:r>
          <w:rPr>
            <w:spacing w:val="-3"/>
            <w:vertAlign w:val="baseline"/>
          </w:rPr>
          <w:t> </w:t>
        </w:r>
        <w:r>
          <w:rPr>
            <w:color w:val="005DA1"/>
            <w:u w:val="single" w:color="005DA1"/>
            <w:vertAlign w:val="superscript"/>
          </w:rPr>
          <w:t>1355</w:t>
        </w:r>
        <w:r>
          <w:rPr>
            <w:color w:val="005DA1"/>
            <w:spacing w:val="-3"/>
            <w:vertAlign w:val="baseline"/>
          </w:rPr>
          <w:t> </w:t>
        </w:r>
        <w:r>
          <w:rPr>
            <w:vertAlign w:val="baseline"/>
          </w:rPr>
          <w:t>There</w:t>
        </w:r>
        <w:r>
          <w:rPr>
            <w:spacing w:val="-3"/>
            <w:vertAlign w:val="baseline"/>
          </w:rPr>
          <w:t> </w:t>
        </w:r>
        <w:r>
          <w:rPr>
            <w:vertAlign w:val="baseline"/>
          </w:rPr>
          <w:t>the</w:t>
        </w:r>
        <w:r>
          <w:rPr>
            <w:spacing w:val="-3"/>
            <w:vertAlign w:val="baseline"/>
          </w:rPr>
          <w:t> </w:t>
        </w:r>
        <w:r>
          <w:rPr>
            <w:vertAlign w:val="baseline"/>
          </w:rPr>
          <w:t>question</w:t>
        </w:r>
        <w:r>
          <w:rPr>
            <w:spacing w:val="-3"/>
            <w:vertAlign w:val="baseline"/>
          </w:rPr>
          <w:t> </w:t>
        </w:r>
        <w:r>
          <w:rPr>
            <w:vertAlign w:val="baseline"/>
          </w:rPr>
          <w:t>arose</w:t>
        </w:r>
        <w:r>
          <w:rPr>
            <w:spacing w:val="-3"/>
            <w:vertAlign w:val="baseline"/>
          </w:rPr>
          <w:t> </w:t>
        </w:r>
        <w:r>
          <w:rPr>
            <w:vertAlign w:val="baseline"/>
          </w:rPr>
          <w:t>as</w:t>
        </w:r>
        <w:r>
          <w:rPr>
            <w:spacing w:val="-3"/>
            <w:vertAlign w:val="baseline"/>
          </w:rPr>
          <w:t> </w:t>
        </w:r>
        <w:r>
          <w:rPr>
            <w:vertAlign w:val="baseline"/>
          </w:rPr>
          <w:t>to</w:t>
        </w:r>
        <w:r>
          <w:rPr>
            <w:spacing w:val="-3"/>
            <w:vertAlign w:val="baseline"/>
          </w:rPr>
          <w:t> </w:t>
        </w:r>
        <w:r>
          <w:rPr>
            <w:vertAlign w:val="baseline"/>
          </w:rPr>
          <w:t>how the existence of a contract between the parties would affect the losses for which a defendant would</w:t>
        </w:r>
        <w:r>
          <w:rPr>
            <w:spacing w:val="40"/>
            <w:vertAlign w:val="baseline"/>
          </w:rPr>
          <w:t> </w:t>
        </w:r>
        <w:r>
          <w:rPr>
            <w:vertAlign w:val="baseline"/>
          </w:rPr>
          <w:t>be</w:t>
        </w:r>
        <w:r>
          <w:rPr>
            <w:spacing w:val="35"/>
            <w:vertAlign w:val="baseline"/>
          </w:rPr>
          <w:t> </w:t>
        </w:r>
        <w:r>
          <w:rPr>
            <w:vertAlign w:val="baseline"/>
          </w:rPr>
          <w:t>liable</w:t>
        </w:r>
        <w:r>
          <w:rPr>
            <w:spacing w:val="35"/>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tort</w:t>
        </w:r>
        <w:r>
          <w:rPr>
            <w:spacing w:val="35"/>
            <w:vertAlign w:val="baseline"/>
          </w:rPr>
          <w:t> </w:t>
        </w:r>
        <w:r>
          <w:rPr>
            <w:vertAlign w:val="baseline"/>
          </w:rPr>
          <w:t>of</w:t>
        </w:r>
        <w:r>
          <w:rPr>
            <w:spacing w:val="35"/>
            <w:vertAlign w:val="baseline"/>
          </w:rPr>
          <w:t> </w:t>
        </w:r>
        <w:r>
          <w:rPr>
            <w:vertAlign w:val="baseline"/>
          </w:rPr>
          <w:t>negligence.</w:t>
        </w:r>
        <w:r>
          <w:rPr>
            <w:spacing w:val="35"/>
            <w:vertAlign w:val="baseline"/>
          </w:rPr>
          <w:t> </w:t>
        </w:r>
        <w:r>
          <w:rPr>
            <w:vertAlign w:val="baseline"/>
          </w:rPr>
          <w:t>The</w:t>
        </w:r>
        <w:r>
          <w:rPr>
            <w:spacing w:val="35"/>
            <w:vertAlign w:val="baseline"/>
          </w:rPr>
          <w:t> </w:t>
        </w:r>
        <w:r>
          <w:rPr>
            <w:vertAlign w:val="baseline"/>
          </w:rPr>
          <w:t>particular</w:t>
        </w:r>
        <w:r>
          <w:rPr>
            <w:spacing w:val="35"/>
            <w:vertAlign w:val="baseline"/>
          </w:rPr>
          <w:t> </w:t>
        </w:r>
        <w:r>
          <w:rPr>
            <w:vertAlign w:val="baseline"/>
          </w:rPr>
          <w:t>issues</w:t>
        </w:r>
        <w:r>
          <w:rPr>
            <w:spacing w:val="35"/>
            <w:vertAlign w:val="baseline"/>
          </w:rPr>
          <w:t> </w:t>
        </w:r>
        <w:r>
          <w:rPr>
            <w:vertAlign w:val="baseline"/>
          </w:rPr>
          <w:t>before</w:t>
        </w:r>
        <w:r>
          <w:rPr>
            <w:spacing w:val="35"/>
            <w:vertAlign w:val="baseline"/>
          </w:rPr>
          <w:t> </w:t>
        </w:r>
        <w:r>
          <w:rPr>
            <w:vertAlign w:val="baseline"/>
          </w:rPr>
          <w:t>the</w:t>
        </w:r>
        <w:r>
          <w:rPr>
            <w:spacing w:val="35"/>
            <w:vertAlign w:val="baseline"/>
          </w:rPr>
          <w:t> </w:t>
        </w:r>
        <w:r>
          <w:rPr>
            <w:vertAlign w:val="baseline"/>
          </w:rPr>
          <w:t>court</w:t>
        </w:r>
        <w:r>
          <w:rPr>
            <w:spacing w:val="35"/>
            <w:vertAlign w:val="baseline"/>
          </w:rPr>
          <w:t> </w:t>
        </w:r>
        <w:r>
          <w:rPr>
            <w:vertAlign w:val="baseline"/>
          </w:rPr>
          <w:t>concerned</w:t>
        </w:r>
        <w:r>
          <w:rPr>
            <w:spacing w:val="35"/>
            <w:vertAlign w:val="baseline"/>
          </w:rPr>
          <w:t> </w:t>
        </w:r>
        <w:r>
          <w:rPr>
            <w:vertAlign w:val="baseline"/>
          </w:rPr>
          <w:t>a</w:t>
        </w:r>
        <w:r>
          <w:rPr>
            <w:spacing w:val="35"/>
            <w:vertAlign w:val="baseline"/>
          </w:rPr>
          <w:t> </w:t>
        </w:r>
        <w:r>
          <w:rPr>
            <w:vertAlign w:val="baseline"/>
          </w:rPr>
          <w:t>claim</w:t>
        </w:r>
        <w:r>
          <w:rPr>
            <w:spacing w:val="35"/>
            <w:vertAlign w:val="baseline"/>
          </w:rPr>
          <w:t> </w:t>
        </w:r>
        <w:r>
          <w:rPr>
            <w:vertAlign w:val="baseline"/>
          </w:rPr>
          <w:t>by</w:t>
        </w:r>
        <w:r>
          <w:rPr>
            <w:spacing w:val="35"/>
            <w:vertAlign w:val="baseline"/>
          </w:rPr>
          <w:t> </w:t>
        </w:r>
        <w:r>
          <w:rPr>
            <w:spacing w:val="-10"/>
            <w:vertAlign w:val="baseline"/>
          </w:rPr>
          <w:t>a</w:t>
        </w:r>
      </w:hyperlink>
    </w:p>
    <w:p>
      <w:pPr>
        <w:sectPr>
          <w:pgSz w:w="11900" w:h="16840"/>
          <w:pgMar w:header="971" w:footer="0" w:top="1300" w:bottom="280" w:left="1275" w:right="1275"/>
        </w:sectPr>
      </w:pPr>
    </w:p>
    <w:p>
      <w:pPr>
        <w:pStyle w:val="BodyText"/>
        <w:spacing w:line="235" w:lineRule="auto" w:before="110"/>
        <w:ind w:left="164" w:right="167"/>
        <w:jc w:val="both"/>
      </w:pPr>
      <w:r>
        <w:rPr/>
        <w:t>building sub-contractor against a sub-sub-contractor for negligence on the basis of a duty of care </w:t>
      </w:r>
      <w:r>
        <w:rPr/>
        <w:t>in </w:t>
      </w:r>
      <w:bookmarkStart w:name="_bookmark1901" w:id="1903"/>
      <w:bookmarkEnd w:id="1903"/>
      <w:r>
        <w:rPr/>
        <w:t>tort</w:t>
      </w:r>
      <w:r>
        <w:rPr>
          <w:spacing w:val="-2"/>
        </w:rPr>
        <w:t> </w:t>
      </w:r>
      <w:r>
        <w:rPr/>
        <w:t>alongside</w:t>
      </w:r>
      <w:r>
        <w:rPr>
          <w:spacing w:val="-3"/>
        </w:rPr>
        <w:t> </w:t>
      </w:r>
      <w:r>
        <w:rPr/>
        <w:t>the</w:t>
      </w:r>
      <w:r>
        <w:rPr>
          <w:spacing w:val="-2"/>
        </w:rPr>
        <w:t> </w:t>
      </w:r>
      <w:r>
        <w:rPr/>
        <w:t>contract</w:t>
      </w:r>
      <w:r>
        <w:rPr>
          <w:spacing w:val="-3"/>
        </w:rPr>
        <w:t> </w:t>
      </w:r>
      <w:r>
        <w:rPr/>
        <w:t>between</w:t>
      </w:r>
      <w:r>
        <w:rPr>
          <w:spacing w:val="-2"/>
        </w:rPr>
        <w:t> </w:t>
      </w:r>
      <w:r>
        <w:rPr/>
        <w:t>them.</w:t>
      </w:r>
      <w:r>
        <w:rPr>
          <w:spacing w:val="-3"/>
        </w:rPr>
        <w:t> </w:t>
      </w:r>
      <w:r>
        <w:rPr/>
        <w:t>In</w:t>
      </w:r>
      <w:r>
        <w:rPr>
          <w:spacing w:val="-2"/>
        </w:rPr>
        <w:t> </w:t>
      </w:r>
      <w:r>
        <w:rPr/>
        <w:t>rejecting</w:t>
      </w:r>
      <w:r>
        <w:rPr>
          <w:spacing w:val="-3"/>
        </w:rPr>
        <w:t> </w:t>
      </w:r>
      <w:r>
        <w:rPr/>
        <w:t>the</w:t>
      </w:r>
      <w:r>
        <w:rPr>
          <w:spacing w:val="-2"/>
        </w:rPr>
        <w:t> </w:t>
      </w:r>
      <w:r>
        <w:rPr/>
        <w:t>sub-sub-contractor’s</w:t>
      </w:r>
      <w:r>
        <w:rPr>
          <w:spacing w:val="-3"/>
        </w:rPr>
        <w:t> </w:t>
      </w:r>
      <w:r>
        <w:rPr/>
        <w:t>application</w:t>
      </w:r>
      <w:r>
        <w:rPr>
          <w:spacing w:val="-2"/>
        </w:rPr>
        <w:t> </w:t>
      </w:r>
      <w:r>
        <w:rPr/>
        <w:t>to</w:t>
      </w:r>
      <w:r>
        <w:rPr>
          <w:spacing w:val="-3"/>
        </w:rPr>
        <w:t> </w:t>
      </w:r>
      <w:r>
        <w:rPr/>
        <w:t>strike</w:t>
      </w:r>
      <w:r>
        <w:rPr>
          <w:spacing w:val="-2"/>
        </w:rPr>
        <w:t> </w:t>
      </w:r>
      <w:r>
        <w:rPr/>
        <w:t>out this claim or for summary judgment in its favour, Akenhead J. held </w:t>
      </w:r>
      <w:r>
        <w:rPr>
          <w:color w:val="005DA1"/>
          <w:u w:val="single" w:color="005DA1"/>
          <w:vertAlign w:val="superscript"/>
        </w:rPr>
        <w:t>1356</w:t>
      </w:r>
      <w:r>
        <w:rPr>
          <w:color w:val="005DA1"/>
          <w:vertAlign w:val="baseline"/>
        </w:rPr>
        <w:t> </w:t>
      </w:r>
      <w:r>
        <w:rPr>
          <w:vertAlign w:val="baseline"/>
        </w:rPr>
        <w:t>that sub-sub-contractor could </w:t>
      </w:r>
      <w:bookmarkStart w:name="_bookmark1902" w:id="1904"/>
      <w:bookmarkEnd w:id="1904"/>
      <w:r>
        <w:rPr>
          <w:vertAlign w:val="baseline"/>
        </w:rPr>
        <w:t>and</w:t>
      </w:r>
      <w:r>
        <w:rPr>
          <w:vertAlign w:val="baseline"/>
        </w:rPr>
        <w:t> did owe the sub-contractor such a concurrent duty of care in tort which was “definable by reference to the contractual responsibilities and liabilities assumed by the parties to the contract”. </w:t>
      </w:r>
      <w:r>
        <w:rPr>
          <w:color w:val="005DA1"/>
          <w:u w:val="single" w:color="005DA1"/>
          <w:vertAlign w:val="superscript"/>
        </w:rPr>
        <w:t>1357</w:t>
      </w:r>
      <w:r>
        <w:rPr>
          <w:color w:val="005DA1"/>
          <w:vertAlign w:val="baseline"/>
        </w:rPr>
        <w:t> </w:t>
      </w:r>
      <w:r>
        <w:rPr>
          <w:vertAlign w:val="baseline"/>
        </w:rPr>
        <w:t>For this purpose, the learned judge considered “the scope of the contractual or tortious duty” in </w:t>
      </w:r>
      <w:bookmarkStart w:name="_bookmark1903" w:id="1905"/>
      <w:bookmarkEnd w:id="1905"/>
      <w:r>
        <w:rPr>
          <w:vertAlign w:val="baseline"/>
        </w:rPr>
        <w:t>relation</w:t>
      </w:r>
      <w:r>
        <w:rPr>
          <w:vertAlign w:val="baseline"/>
        </w:rPr>
        <w:t> to the losses recoverable, following dicta of Lord Hoffmann on the importance of defining the “scope of duty” in </w:t>
      </w:r>
      <w:r>
        <w:rPr>
          <w:rFonts w:ascii="Arial" w:hAnsi="Arial"/>
          <w:i/>
          <w:vertAlign w:val="baseline"/>
        </w:rPr>
        <w:t>South Australia Asset Management Corp v York Montague Ltd </w:t>
      </w:r>
      <w:r>
        <w:rPr>
          <w:color w:val="005DA1"/>
          <w:u w:val="single" w:color="005DA1"/>
          <w:vertAlign w:val="superscript"/>
        </w:rPr>
        <w:t>1358</w:t>
      </w:r>
      <w:r>
        <w:rPr>
          <w:color w:val="005DA1"/>
          <w:vertAlign w:val="baseline"/>
        </w:rPr>
        <w:t> </w:t>
      </w:r>
      <w:r>
        <w:rPr>
          <w:vertAlign w:val="baseline"/>
        </w:rPr>
        <w:t>and applying Lord Hoffmann’s approach to the question of remoteness of damage in claims for </w:t>
      </w:r>
      <w:r>
        <w:rPr>
          <w:rFonts w:ascii="Arial" w:hAnsi="Arial"/>
          <w:i/>
          <w:vertAlign w:val="baseline"/>
        </w:rPr>
        <w:t>breach of contract</w:t>
      </w:r>
      <w:r>
        <w:rPr>
          <w:rFonts w:ascii="Arial" w:hAnsi="Arial"/>
          <w:i/>
          <w:spacing w:val="40"/>
          <w:vertAlign w:val="baseline"/>
        </w:rPr>
        <w:t> </w:t>
      </w:r>
      <w:r>
        <w:rPr>
          <w:vertAlign w:val="baseline"/>
        </w:rPr>
        <w:t>in </w:t>
      </w:r>
      <w:r>
        <w:rPr>
          <w:rFonts w:ascii="Arial" w:hAnsi="Arial"/>
          <w:i/>
          <w:vertAlign w:val="baseline"/>
        </w:rPr>
        <w:t>Transfield Shipping Inc v Mercator Shipping Inc (The Achilleas) </w:t>
      </w:r>
      <w:r>
        <w:rPr>
          <w:vertAlign w:val="baseline"/>
        </w:rPr>
        <w:t>according to which a party in</w:t>
      </w:r>
      <w:r>
        <w:rPr>
          <w:spacing w:val="40"/>
          <w:vertAlign w:val="baseline"/>
        </w:rPr>
        <w:t> </w:t>
      </w:r>
      <w:bookmarkStart w:name="_bookmark1904" w:id="1906"/>
      <w:bookmarkEnd w:id="1906"/>
      <w:r>
        <w:rPr>
          <w:vertAlign w:val="baseline"/>
        </w:rPr>
        <w:t>breach</w:t>
      </w:r>
      <w:r>
        <w:rPr>
          <w:vertAlign w:val="baseline"/>
        </w:rPr>
        <w:t> is liable for those kinds of loss “which would reasonably have been regarded by the</w:t>
      </w:r>
      <w:r>
        <w:rPr>
          <w:spacing w:val="40"/>
          <w:vertAlign w:val="baseline"/>
        </w:rPr>
        <w:t> </w:t>
      </w:r>
      <w:r>
        <w:rPr>
          <w:vertAlign w:val="baseline"/>
        </w:rPr>
        <w:t>contracting party as significant for the purposes of the risk he was undertaking”. </w:t>
      </w:r>
      <w:r>
        <w:rPr>
          <w:color w:val="005DA1"/>
          <w:u w:val="single" w:color="005DA1"/>
          <w:vertAlign w:val="superscript"/>
        </w:rPr>
        <w:t>1359</w:t>
      </w:r>
      <w:r>
        <w:rPr>
          <w:color w:val="005DA1"/>
          <w:vertAlign w:val="baseline"/>
        </w:rPr>
        <w:t> </w:t>
      </w:r>
      <w:r>
        <w:rPr>
          <w:vertAlign w:val="baseline"/>
        </w:rPr>
        <w:t>In Akenhead J.’s </w:t>
      </w:r>
      <w:r>
        <w:rPr>
          <w:spacing w:val="-2"/>
          <w:vertAlign w:val="baseline"/>
        </w:rPr>
        <w:t>view:</w:t>
      </w:r>
    </w:p>
    <w:p>
      <w:pPr>
        <w:pStyle w:val="BodyText"/>
      </w:pPr>
    </w:p>
    <w:p>
      <w:pPr>
        <w:pStyle w:val="BodyText"/>
        <w:spacing w:before="122"/>
      </w:pPr>
    </w:p>
    <w:p>
      <w:pPr>
        <w:pStyle w:val="BodyText"/>
        <w:spacing w:line="235" w:lineRule="auto"/>
        <w:ind w:left="1244" w:right="167"/>
        <w:jc w:val="both"/>
      </w:pPr>
      <w:r>
        <w:rPr/>
        <w:t>“[o]nce one ha[s] determined the kind of loss which the innocent party is contractually entitled to expect to recover, that measure of loss can effectively be applied to the breach of any concurrent duty of care in tort, save and to the extent there is some overriding </w:t>
      </w:r>
      <w:bookmarkStart w:name="_bookmark1905" w:id="1907"/>
      <w:bookmarkEnd w:id="1907"/>
      <w:r>
        <w:rPr/>
        <w:t>principle</w:t>
      </w:r>
      <w:r>
        <w:rPr/>
        <w:t> in the law of tort which prevents it (if any). Generally, at least, the </w:t>
      </w:r>
      <w:r>
        <w:rPr/>
        <w:t>damages recoverable</w:t>
      </w:r>
      <w:r>
        <w:rPr>
          <w:spacing w:val="3"/>
        </w:rPr>
        <w:t> </w:t>
      </w:r>
      <w:r>
        <w:rPr/>
        <w:t>in</w:t>
      </w:r>
      <w:r>
        <w:rPr>
          <w:spacing w:val="3"/>
        </w:rPr>
        <w:t> </w:t>
      </w:r>
      <w:r>
        <w:rPr/>
        <w:t>negligence</w:t>
      </w:r>
      <w:r>
        <w:rPr>
          <w:spacing w:val="3"/>
        </w:rPr>
        <w:t> </w:t>
      </w:r>
      <w:r>
        <w:rPr/>
        <w:t>will</w:t>
      </w:r>
      <w:r>
        <w:rPr>
          <w:spacing w:val="3"/>
        </w:rPr>
        <w:t> </w:t>
      </w:r>
      <w:r>
        <w:rPr/>
        <w:t>not</w:t>
      </w:r>
      <w:r>
        <w:rPr>
          <w:spacing w:val="3"/>
        </w:rPr>
        <w:t> </w:t>
      </w:r>
      <w:r>
        <w:rPr/>
        <w:t>exceed</w:t>
      </w:r>
      <w:r>
        <w:rPr>
          <w:spacing w:val="3"/>
        </w:rPr>
        <w:t> </w:t>
      </w:r>
      <w:r>
        <w:rPr/>
        <w:t>what</w:t>
      </w:r>
      <w:r>
        <w:rPr>
          <w:spacing w:val="3"/>
        </w:rPr>
        <w:t> </w:t>
      </w:r>
      <w:r>
        <w:rPr/>
        <w:t>would</w:t>
      </w:r>
      <w:r>
        <w:rPr>
          <w:spacing w:val="3"/>
        </w:rPr>
        <w:t> </w:t>
      </w:r>
      <w:r>
        <w:rPr/>
        <w:t>have</w:t>
      </w:r>
      <w:r>
        <w:rPr>
          <w:spacing w:val="3"/>
        </w:rPr>
        <w:t> </w:t>
      </w:r>
      <w:r>
        <w:rPr/>
        <w:t>been</w:t>
      </w:r>
      <w:r>
        <w:rPr>
          <w:spacing w:val="3"/>
        </w:rPr>
        <w:t> </w:t>
      </w:r>
      <w:r>
        <w:rPr/>
        <w:t>recoverable</w:t>
      </w:r>
      <w:r>
        <w:rPr>
          <w:spacing w:val="3"/>
        </w:rPr>
        <w:t> </w:t>
      </w:r>
      <w:r>
        <w:rPr/>
        <w:t>in</w:t>
      </w:r>
      <w:r>
        <w:rPr>
          <w:spacing w:val="3"/>
        </w:rPr>
        <w:t> </w:t>
      </w:r>
      <w:r>
        <w:rPr>
          <w:spacing w:val="-2"/>
        </w:rPr>
        <w:t>contract.”</w:t>
      </w:r>
    </w:p>
    <w:p>
      <w:pPr>
        <w:spacing w:line="112" w:lineRule="exact" w:before="0"/>
        <w:ind w:left="1245" w:right="0" w:firstLine="0"/>
        <w:jc w:val="left"/>
        <w:rPr>
          <w:sz w:val="12"/>
        </w:rPr>
      </w:pPr>
      <w:r>
        <w:rPr>
          <w:color w:val="005DA1"/>
          <w:spacing w:val="-4"/>
          <w:sz w:val="12"/>
          <w:u w:val="single" w:color="005DA1"/>
        </w:rPr>
        <w:t>1360</w:t>
      </w:r>
    </w:p>
    <w:p>
      <w:pPr>
        <w:pStyle w:val="BodyText"/>
      </w:pPr>
    </w:p>
    <w:p>
      <w:pPr>
        <w:pStyle w:val="BodyText"/>
      </w:pPr>
    </w:p>
    <w:p>
      <w:pPr>
        <w:pStyle w:val="BodyText"/>
        <w:spacing w:before="208"/>
      </w:pPr>
    </w:p>
    <w:p>
      <w:pPr>
        <w:pStyle w:val="BodyText"/>
        <w:spacing w:line="235" w:lineRule="auto"/>
        <w:ind w:left="165" w:right="168"/>
        <w:jc w:val="both"/>
      </w:pPr>
      <w:r>
        <w:rPr>
          <w:position w:val="-2"/>
        </w:rPr>
        <w:drawing>
          <wp:inline distT="0" distB="0" distL="0" distR="0">
            <wp:extent cx="107988" cy="107988"/>
            <wp:effectExtent l="0" t="0" r="0" b="0"/>
            <wp:docPr id="478" name="Image 478"/>
            <wp:cNvGraphicFramePr>
              <a:graphicFrameLocks/>
            </wp:cNvGraphicFramePr>
            <a:graphic>
              <a:graphicData uri="http://schemas.openxmlformats.org/drawingml/2006/picture">
                <pic:pic>
                  <pic:nvPicPr>
                    <pic:cNvPr id="478" name="Image 47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On the facts before him, Akenhead J. held that the scope of the concurrent tortious duty of care owed by the sub-sub-contractor to the sub-contractor:</w:t>
      </w:r>
    </w:p>
    <w:p>
      <w:pPr>
        <w:pStyle w:val="BodyText"/>
      </w:pPr>
    </w:p>
    <w:p>
      <w:pPr>
        <w:pStyle w:val="BodyText"/>
        <w:spacing w:before="126"/>
      </w:pPr>
    </w:p>
    <w:p>
      <w:pPr>
        <w:pStyle w:val="BodyText"/>
        <w:spacing w:line="235" w:lineRule="auto"/>
        <w:ind w:left="1245" w:right="167"/>
        <w:jc w:val="both"/>
      </w:pPr>
      <w:r>
        <w:rPr/>
        <w:t>“involves the execution by [the sub-sub-contractor] of the works, which it was</w:t>
      </w:r>
      <w:r>
        <w:rPr>
          <w:spacing w:val="40"/>
        </w:rPr>
        <w:t> </w:t>
      </w:r>
      <w:r>
        <w:rPr/>
        <w:t>contractually employed to carry out, with reasonable care and skill … Put simply, the cost of remedial works was the, or one, kind of loss which was within the scope of both the contractual and tortious duties. Almost inevitably, a sub-sub-contractor in </w:t>
      </w:r>
      <w:r>
        <w:rPr/>
        <w:t>[the</w:t>
      </w:r>
      <w:r>
        <w:rPr>
          <w:spacing w:val="40"/>
        </w:rPr>
        <w:t> </w:t>
      </w:r>
      <w:r>
        <w:rPr/>
        <w:t>defendant’s] position would, objectively speaking, foresee or anticipate that, if it did work badly, (assuming that it itself did not do the remedial works) it would have to pay up the </w:t>
      </w:r>
      <w:bookmarkStart w:name="_bookmark1906" w:id="1908"/>
      <w:bookmarkEnd w:id="1908"/>
      <w:r>
        <w:rPr/>
        <w:t>line</w:t>
      </w:r>
      <w:r>
        <w:rPr/>
        <w:t> through the sub-sub-contract damages or compensation for the cost of putting that bad work right” </w:t>
      </w:r>
      <w:r>
        <w:rPr>
          <w:color w:val="005DA1"/>
          <w:u w:val="single" w:color="005DA1"/>
          <w:vertAlign w:val="superscript"/>
        </w:rPr>
        <w:t>1361</w:t>
      </w:r>
    </w:p>
    <w:p>
      <w:pPr>
        <w:pStyle w:val="BodyText"/>
        <w:spacing w:before="114"/>
      </w:pPr>
    </w:p>
    <w:p>
      <w:pPr>
        <w:pStyle w:val="BodyText"/>
        <w:spacing w:line="235" w:lineRule="auto"/>
        <w:ind w:left="164" w:right="167"/>
        <w:jc w:val="both"/>
      </w:pPr>
      <w:r>
        <w:rPr/>
        <w:t>even though the “contractual route through which [this loss] comes” was a chain of </w:t>
      </w:r>
      <w:r>
        <w:rPr/>
        <w:t>collateral </w:t>
      </w:r>
      <w:bookmarkStart w:name="_bookmark1907" w:id="1909"/>
      <w:bookmarkEnd w:id="1909"/>
      <w:r>
        <w:rPr/>
        <w:t>warranties</w:t>
      </w:r>
      <w:r>
        <w:rPr/>
        <w:t> between the sub-contractor and main contractor, and between the main contractor and the employer. </w:t>
      </w:r>
      <w:r>
        <w:rPr>
          <w:color w:val="005DA1"/>
          <w:u w:val="single" w:color="005DA1"/>
          <w:vertAlign w:val="superscript"/>
        </w:rPr>
        <w:t>1362</w:t>
      </w:r>
      <w:r>
        <w:rPr>
          <w:color w:val="005DA1"/>
          <w:vertAlign w:val="baseline"/>
        </w:rPr>
        <w:t> </w:t>
      </w:r>
      <w:r>
        <w:rPr>
          <w:vertAlign w:val="baseline"/>
        </w:rPr>
        <w:t>However, in a very different context in </w:t>
      </w:r>
      <w:r>
        <w:rPr>
          <w:rFonts w:ascii="Arial" w:hAnsi="Arial"/>
          <w:i/>
          <w:vertAlign w:val="baseline"/>
        </w:rPr>
        <w:t>Yapp v Foreign and Commonwealth Office </w:t>
      </w:r>
      <w:r>
        <w:rPr>
          <w:vertAlign w:val="baseline"/>
        </w:rPr>
        <w:t>the Court of Appeal denied that the cases support the proposition that: “where there is concurrent liability </w:t>
      </w:r>
      <w:bookmarkStart w:name="_bookmark1908" w:id="1910"/>
      <w:bookmarkEnd w:id="1910"/>
      <w:r>
        <w:rPr>
          <w:vertAlign w:val="baseline"/>
        </w:rPr>
        <w:t>in</w:t>
      </w:r>
      <w:r>
        <w:rPr>
          <w:vertAlign w:val="baseline"/>
        </w:rPr>
        <w:t> tort and in contract arising out of a contractual relationship claims under either head should be governed by the contractual rather than the tortious rule as to remoteness”. </w:t>
      </w:r>
      <w:r>
        <w:rPr>
          <w:color w:val="005DA1"/>
          <w:u w:val="single" w:color="005DA1"/>
          <w:vertAlign w:val="superscript"/>
        </w:rPr>
        <w:t>1363</w:t>
      </w:r>
      <w:r>
        <w:rPr>
          <w:color w:val="005DA1"/>
          <w:vertAlign w:val="baseline"/>
        </w:rPr>
        <w:t> </w:t>
      </w:r>
      <w:r>
        <w:rPr>
          <w:vertAlign w:val="baseline"/>
        </w:rPr>
        <w:t>There the claimant claimed for psychiatric injury against his employer either for breach of contract or in the tort of negligence. In the view of the Court of Appeal “in claims for breach of the common duty of care it is immaterial that the duty arises in contract as well as in tort: they are in substance treated as covered by tortious rules”; in such a case “in order to establish whether the duty is broken it will be necessary </w:t>
      </w:r>
      <w:bookmarkStart w:name="_bookmark1909" w:id="1911"/>
      <w:bookmarkEnd w:id="1911"/>
      <w:r>
        <w:rPr>
          <w:vertAlign w:val="baseline"/>
        </w:rPr>
        <w:t>to</w:t>
      </w:r>
      <w:r>
        <w:rPr>
          <w:vertAlign w:val="baseline"/>
        </w:rPr>
        <w:t> establish … whether psychiatric injury was reasonably foreseeable; and if that is established no issue as to remoteness can arise when such injury eventuates”. </w:t>
      </w:r>
      <w:r>
        <w:rPr>
          <w:color w:val="005DA1"/>
          <w:u w:val="single" w:color="005DA1"/>
          <w:vertAlign w:val="superscript"/>
        </w:rPr>
        <w:t>1364</w:t>
      </w:r>
      <w:r>
        <w:rPr>
          <w:color w:val="005DA1"/>
          <w:vertAlign w:val="baseline"/>
        </w:rPr>
        <w:t> </w:t>
      </w:r>
      <w:r>
        <w:rPr>
          <w:vertAlign w:val="baseline"/>
        </w:rPr>
        <w:t>On the other hand, where an </w:t>
      </w:r>
      <w:bookmarkStart w:name="_bookmark1910" w:id="1912"/>
      <w:bookmarkEnd w:id="1912"/>
      <w:r>
        <w:rPr>
          <w:vertAlign w:val="baseline"/>
        </w:rPr>
        <w:t>employee</w:t>
      </w:r>
      <w:r>
        <w:rPr>
          <w:vertAlign w:val="baseline"/>
        </w:rPr>
        <w:t> claims for breach of the implied term of mutual trust and confidence or for breach of an express term, the contractual test of remoteness applies. </w:t>
      </w:r>
      <w:r>
        <w:rPr>
          <w:color w:val="005DA1"/>
          <w:u w:val="single" w:color="005DA1"/>
          <w:vertAlign w:val="superscript"/>
        </w:rPr>
        <w:t>1365</w:t>
      </w:r>
    </w:p>
    <w:p>
      <w:pPr>
        <w:pStyle w:val="BodyText"/>
        <w:spacing w:before="76"/>
      </w:pPr>
    </w:p>
    <w:p>
      <w:pPr>
        <w:spacing w:before="0"/>
        <w:ind w:left="165" w:right="0" w:firstLine="0"/>
        <w:jc w:val="left"/>
        <w:rPr>
          <w:rFonts w:ascii="Arial"/>
          <w:b/>
          <w:sz w:val="24"/>
        </w:rPr>
      </w:pPr>
      <w:r>
        <w:rPr>
          <w:rFonts w:ascii="Arial"/>
          <w:b/>
          <w:sz w:val="24"/>
        </w:rPr>
        <w:t>1-</w:t>
      </w:r>
      <w:r>
        <w:rPr>
          <w:rFonts w:ascii="Arial"/>
          <w:b/>
          <w:spacing w:val="-4"/>
          <w:sz w:val="24"/>
        </w:rPr>
        <w:t>195A</w:t>
      </w:r>
    </w:p>
    <w:p>
      <w:pPr>
        <w:pStyle w:val="BodyText"/>
        <w:spacing w:before="213"/>
        <w:rPr>
          <w:rFonts w:ascii="Arial"/>
          <w:b/>
        </w:rPr>
      </w:pPr>
    </w:p>
    <w:p>
      <w:pPr>
        <w:pStyle w:val="BodyText"/>
        <w:tabs>
          <w:tab w:pos="5735" w:val="left" w:leader="none"/>
        </w:tabs>
        <w:spacing w:line="235" w:lineRule="auto"/>
        <w:ind w:left="165" w:right="167"/>
      </w:pPr>
      <w:r>
        <w:rPr>
          <w:position w:val="-2"/>
        </w:rPr>
        <w:drawing>
          <wp:inline distT="0" distB="0" distL="0" distR="0">
            <wp:extent cx="107988" cy="107988"/>
            <wp:effectExtent l="0" t="0" r="0" b="0"/>
            <wp:docPr id="479" name="Image 479"/>
            <wp:cNvGraphicFramePr>
              <a:graphicFrameLocks/>
            </wp:cNvGraphicFramePr>
            <a:graphic>
              <a:graphicData uri="http://schemas.openxmlformats.org/drawingml/2006/picture">
                <pic:pic>
                  <pic:nvPicPr>
                    <pic:cNvPr id="479" name="Image 47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6"/>
        </w:rPr>
        <w:t> </w:t>
      </w:r>
      <w:bookmarkStart w:name="_bookmark1911" w:id="1913"/>
      <w:bookmarkEnd w:id="1913"/>
      <w:r>
        <w:rPr>
          <w:rFonts w:ascii="Times New Roman"/>
          <w:spacing w:val="-14"/>
        </w:rPr>
      </w:r>
      <w:r>
        <w:rPr/>
        <w:t>However, in </w:t>
      </w:r>
      <w:r>
        <w:rPr>
          <w:rFonts w:ascii="Arial"/>
          <w:i/>
        </w:rPr>
        <w:t>Wellesley Partners LLP v Withers LLP </w:t>
      </w:r>
      <w:hyperlink w:history="true" w:anchor="_bookmark2050">
        <w:r>
          <w:rPr>
            <w:color w:val="005DA1"/>
            <w:u w:val="single" w:color="005DA1"/>
            <w:vertAlign w:val="superscript"/>
          </w:rPr>
          <w:t>1366</w:t>
        </w:r>
        <w:r>
          <w:rPr>
            <w:color w:val="005DA1"/>
            <w:vertAlign w:val="baseline"/>
          </w:rPr>
          <w:tab/>
        </w:r>
        <w:r>
          <w:rPr>
            <w:color w:val="005DA1"/>
            <w:position w:val="-2"/>
            <w:vertAlign w:val="baseline"/>
          </w:rPr>
          <w:drawing>
            <wp:inline distT="0" distB="0" distL="0" distR="0">
              <wp:extent cx="107988" cy="107988"/>
              <wp:effectExtent l="0" t="0" r="0" b="0"/>
              <wp:docPr id="480" name="Image 480"/>
              <wp:cNvGraphicFramePr>
                <a:graphicFrameLocks/>
              </wp:cNvGraphicFramePr>
              <a:graphic>
                <a:graphicData uri="http://schemas.openxmlformats.org/drawingml/2006/picture">
                  <pic:pic>
                    <pic:nvPicPr>
                      <pic:cNvPr id="480" name="Image 48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31"/>
            <w:vertAlign w:val="baseline"/>
          </w:rPr>
          <w:t> </w:t>
        </w:r>
        <w:r>
          <w:rPr>
            <w:vertAlign w:val="baseline"/>
          </w:rPr>
          <w:t>the Court of Appeal expressed </w:t>
        </w:r>
        <w:r>
          <w:rPr>
            <w:vertAlign w:val="baseline"/>
          </w:rPr>
          <w:t>the </w:t>
        </w:r>
        <w:bookmarkStart w:name="_bookmark1912" w:id="1914"/>
        <w:bookmarkEnd w:id="1914"/>
        <w:r>
          <w:rPr>
            <w:vertAlign w:val="baseline"/>
          </w:rPr>
          <w:t>opposite</w:t>
        </w:r>
        <w:r>
          <w:rPr>
            <w:spacing w:val="5"/>
            <w:vertAlign w:val="baseline"/>
          </w:rPr>
          <w:t> </w:t>
        </w:r>
        <w:r>
          <w:rPr>
            <w:vertAlign w:val="baseline"/>
          </w:rPr>
          <w:t>view</w:t>
        </w:r>
        <w:r>
          <w:rPr>
            <w:spacing w:val="5"/>
            <w:vertAlign w:val="baseline"/>
          </w:rPr>
          <w:t> </w:t>
        </w:r>
        <w:r>
          <w:rPr>
            <w:vertAlign w:val="baseline"/>
          </w:rPr>
          <w:t>as</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proper</w:t>
        </w:r>
        <w:r>
          <w:rPr>
            <w:spacing w:val="5"/>
            <w:vertAlign w:val="baseline"/>
          </w:rPr>
          <w:t> </w:t>
        </w:r>
        <w:r>
          <w:rPr>
            <w:vertAlign w:val="baseline"/>
          </w:rPr>
          <w:t>approach</w:t>
        </w:r>
        <w:r>
          <w:rPr>
            <w:spacing w:val="5"/>
            <w:vertAlign w:val="baseline"/>
          </w:rPr>
          <w:t> </w:t>
        </w:r>
        <w:r>
          <w:rPr>
            <w:vertAlign w:val="baseline"/>
          </w:rPr>
          <w:t>to</w:t>
        </w:r>
        <w:r>
          <w:rPr>
            <w:spacing w:val="5"/>
            <w:vertAlign w:val="baseline"/>
          </w:rPr>
          <w:t> </w:t>
        </w:r>
        <w:r>
          <w:rPr>
            <w:vertAlign w:val="baseline"/>
          </w:rPr>
          <w:t>remoteness</w:t>
        </w:r>
        <w:r>
          <w:rPr>
            <w:spacing w:val="5"/>
            <w:vertAlign w:val="baseline"/>
          </w:rPr>
          <w:t> </w:t>
        </w:r>
        <w:r>
          <w:rPr>
            <w:vertAlign w:val="baseline"/>
          </w:rPr>
          <w:t>of</w:t>
        </w:r>
        <w:r>
          <w:rPr>
            <w:spacing w:val="5"/>
            <w:vertAlign w:val="baseline"/>
          </w:rPr>
          <w:t> </w:t>
        </w:r>
        <w:r>
          <w:rPr>
            <w:vertAlign w:val="baseline"/>
          </w:rPr>
          <w:t>damage</w:t>
        </w:r>
        <w:r>
          <w:rPr>
            <w:spacing w:val="5"/>
            <w:vertAlign w:val="baseline"/>
          </w:rPr>
          <w:t> </w:t>
        </w:r>
        <w:r>
          <w:rPr>
            <w:vertAlign w:val="baseline"/>
          </w:rPr>
          <w:t>in</w:t>
        </w:r>
        <w:r>
          <w:rPr>
            <w:spacing w:val="5"/>
            <w:vertAlign w:val="baseline"/>
          </w:rPr>
          <w:t> </w:t>
        </w:r>
        <w:r>
          <w:rPr>
            <w:vertAlign w:val="baseline"/>
          </w:rPr>
          <w:t>cases</w:t>
        </w:r>
        <w:r>
          <w:rPr>
            <w:spacing w:val="5"/>
            <w:vertAlign w:val="baseline"/>
          </w:rPr>
          <w:t> </w:t>
        </w:r>
        <w:r>
          <w:rPr>
            <w:vertAlign w:val="baseline"/>
          </w:rPr>
          <w:t>of</w:t>
        </w:r>
        <w:r>
          <w:rPr>
            <w:spacing w:val="5"/>
            <w:vertAlign w:val="baseline"/>
          </w:rPr>
          <w:t> </w:t>
        </w:r>
        <w:r>
          <w:rPr>
            <w:vertAlign w:val="baseline"/>
          </w:rPr>
          <w:t>concurrence</w:t>
        </w:r>
        <w:r>
          <w:rPr>
            <w:spacing w:val="5"/>
            <w:vertAlign w:val="baseline"/>
          </w:rPr>
          <w:t> </w:t>
        </w:r>
        <w:r>
          <w:rPr>
            <w:vertAlign w:val="baseline"/>
          </w:rPr>
          <w:t>of</w:t>
        </w:r>
        <w:r>
          <w:rPr>
            <w:spacing w:val="5"/>
            <w:vertAlign w:val="baseline"/>
          </w:rPr>
          <w:t> </w:t>
        </w:r>
        <w:r>
          <w:rPr>
            <w:spacing w:val="-2"/>
            <w:vertAlign w:val="baseline"/>
          </w:rPr>
          <w:t>liability</w:t>
        </w:r>
      </w:hyperlink>
    </w:p>
    <w:p>
      <w:pPr>
        <w:pStyle w:val="BodyText"/>
        <w:tabs>
          <w:tab w:pos="7296" w:val="left" w:leader="none"/>
        </w:tabs>
        <w:spacing w:before="115"/>
        <w:ind w:left="165"/>
      </w:pPr>
      <w:r>
        <w:rPr/>
        <w:t>in</w:t>
      </w:r>
      <w:r>
        <w:rPr>
          <w:spacing w:val="22"/>
        </w:rPr>
        <w:t> </w:t>
      </w:r>
      <w:r>
        <w:rPr/>
        <w:t>contract</w:t>
      </w:r>
      <w:r>
        <w:rPr>
          <w:spacing w:val="22"/>
        </w:rPr>
        <w:t> </w:t>
      </w:r>
      <w:r>
        <w:rPr/>
        <w:t>and</w:t>
      </w:r>
      <w:r>
        <w:rPr>
          <w:spacing w:val="22"/>
        </w:rPr>
        <w:t> </w:t>
      </w:r>
      <w:r>
        <w:rPr/>
        <w:t>tort</w:t>
      </w:r>
      <w:r>
        <w:rPr>
          <w:spacing w:val="22"/>
        </w:rPr>
        <w:t> </w:t>
      </w:r>
      <w:r>
        <w:rPr/>
        <w:t>from</w:t>
      </w:r>
      <w:r>
        <w:rPr>
          <w:spacing w:val="22"/>
        </w:rPr>
        <w:t> </w:t>
      </w:r>
      <w:r>
        <w:rPr/>
        <w:t>the</w:t>
      </w:r>
      <w:r>
        <w:rPr>
          <w:spacing w:val="22"/>
        </w:rPr>
        <w:t> </w:t>
      </w:r>
      <w:r>
        <w:rPr/>
        <w:t>one</w:t>
      </w:r>
      <w:r>
        <w:rPr>
          <w:spacing w:val="22"/>
        </w:rPr>
        <w:t> </w:t>
      </w:r>
      <w:r>
        <w:rPr/>
        <w:t>which</w:t>
      </w:r>
      <w:r>
        <w:rPr>
          <w:spacing w:val="22"/>
        </w:rPr>
        <w:t> </w:t>
      </w:r>
      <w:r>
        <w:rPr/>
        <w:t>that</w:t>
      </w:r>
      <w:r>
        <w:rPr>
          <w:spacing w:val="22"/>
        </w:rPr>
        <w:t> </w:t>
      </w:r>
      <w:r>
        <w:rPr/>
        <w:t>court</w:t>
      </w:r>
      <w:r>
        <w:rPr>
          <w:spacing w:val="22"/>
        </w:rPr>
        <w:t> </w:t>
      </w:r>
      <w:r>
        <w:rPr/>
        <w:t>(differently</w:t>
      </w:r>
      <w:r>
        <w:rPr>
          <w:spacing w:val="22"/>
        </w:rPr>
        <w:t> </w:t>
      </w:r>
      <w:r>
        <w:rPr/>
        <w:t>constituted</w:t>
      </w:r>
      <w:r>
        <w:rPr>
          <w:spacing w:val="22"/>
        </w:rPr>
        <w:t> </w:t>
      </w:r>
      <w:hyperlink w:history="true" w:anchor="_bookmark2051">
        <w:r>
          <w:rPr>
            <w:color w:val="005DA1"/>
            <w:spacing w:val="-4"/>
            <w:u w:val="single" w:color="005DA1"/>
            <w:vertAlign w:val="superscript"/>
          </w:rPr>
          <w:t>1367</w:t>
        </w:r>
        <w:r>
          <w:rPr>
            <w:color w:val="005DA1"/>
            <w:vertAlign w:val="baseline"/>
          </w:rPr>
          <w:tab/>
        </w:r>
        <w:r>
          <w:rPr>
            <w:color w:val="005DA1"/>
            <w:position w:val="-2"/>
            <w:vertAlign w:val="baseline"/>
          </w:rPr>
          <w:drawing>
            <wp:inline distT="0" distB="0" distL="0" distR="0">
              <wp:extent cx="107988" cy="107988"/>
              <wp:effectExtent l="0" t="0" r="0" b="0"/>
              <wp:docPr id="481" name="Image 481"/>
              <wp:cNvGraphicFramePr>
                <a:graphicFrameLocks/>
              </wp:cNvGraphicFramePr>
              <a:graphic>
                <a:graphicData uri="http://schemas.openxmlformats.org/drawingml/2006/picture">
                  <pic:pic>
                    <pic:nvPicPr>
                      <pic:cNvPr id="481" name="Image 4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w:t>
        </w:r>
        <w:r>
          <w:rPr>
            <w:spacing w:val="22"/>
            <w:vertAlign w:val="baseline"/>
          </w:rPr>
          <w:t> </w:t>
        </w:r>
        <w:r>
          <w:rPr>
            <w:vertAlign w:val="baseline"/>
          </w:rPr>
          <w:t>had</w:t>
        </w:r>
        <w:r>
          <w:rPr>
            <w:spacing w:val="22"/>
            <w:vertAlign w:val="baseline"/>
          </w:rPr>
          <w:t> </w:t>
        </w:r>
        <w:r>
          <w:rPr>
            <w:vertAlign w:val="baseline"/>
          </w:rPr>
          <w:t>expressed</w:t>
        </w:r>
        <w:r>
          <w:rPr>
            <w:spacing w:val="22"/>
            <w:vertAlign w:val="baseline"/>
          </w:rPr>
          <w:t> </w:t>
        </w:r>
        <w:r>
          <w:rPr>
            <w:spacing w:val="-5"/>
            <w:vertAlign w:val="baseline"/>
          </w:rPr>
          <w:t>in</w:t>
        </w:r>
      </w:hyperlink>
    </w:p>
    <w:p>
      <w:pPr>
        <w:sectPr>
          <w:pgSz w:w="11900" w:h="16840"/>
          <w:pgMar w:header="971" w:footer="0" w:top="1300" w:bottom="280" w:left="1275" w:right="1275"/>
        </w:sectPr>
      </w:pPr>
    </w:p>
    <w:p>
      <w:pPr>
        <w:pStyle w:val="BodyText"/>
      </w:pPr>
    </w:p>
    <w:p>
      <w:pPr>
        <w:pStyle w:val="BodyText"/>
        <w:spacing w:line="235" w:lineRule="auto"/>
        <w:ind w:left="164" w:right="167"/>
        <w:jc w:val="both"/>
        <w:rPr>
          <w:rFonts w:ascii="Arial"/>
          <w:i/>
        </w:rPr>
      </w:pPr>
      <w:bookmarkStart w:name="_bookmark1913" w:id="1915"/>
      <w:bookmarkEnd w:id="1915"/>
      <w:r>
        <w:rPr/>
      </w:r>
      <w:r>
        <w:rPr>
          <w:rFonts w:ascii="Arial"/>
          <w:i/>
        </w:rPr>
        <w:t>Yapp v Foreign and Commonwealth Office</w:t>
      </w:r>
      <w:r>
        <w:rPr/>
        <w:t>, </w:t>
      </w:r>
      <w:hyperlink w:history="true" w:anchor="_bookmark2052">
        <w:r>
          <w:rPr>
            <w:color w:val="005DA1"/>
            <w:u w:val="single" w:color="005DA1"/>
            <w:vertAlign w:val="superscript"/>
          </w:rPr>
          <w:t>1368</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482" name="Image 482"/>
              <wp:cNvGraphicFramePr>
                <a:graphicFrameLocks/>
              </wp:cNvGraphicFramePr>
              <a:graphic>
                <a:graphicData uri="http://schemas.openxmlformats.org/drawingml/2006/picture">
                  <pic:pic>
                    <pic:nvPicPr>
                      <pic:cNvPr id="482" name="Image 48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8"/>
            <w:vertAlign w:val="baseline"/>
          </w:rPr>
          <w:t> </w:t>
        </w:r>
        <w:r>
          <w:rPr>
            <w:vertAlign w:val="baseline"/>
          </w:rPr>
          <w:t>which was not discussed in </w:t>
        </w:r>
        <w:r>
          <w:rPr>
            <w:rFonts w:ascii="Arial"/>
            <w:i/>
            <w:vertAlign w:val="baseline"/>
          </w:rPr>
          <w:t>Wellesley Partners LLP</w:t>
        </w:r>
        <w:r>
          <w:rPr>
            <w:vertAlign w:val="baseline"/>
          </w:rPr>
          <w:t>. In </w:t>
        </w:r>
        <w:r>
          <w:rPr>
            <w:rFonts w:ascii="Arial"/>
            <w:i/>
            <w:vertAlign w:val="baseline"/>
          </w:rPr>
          <w:t>Wellesley Partners LLP</w:t>
        </w:r>
        <w:r>
          <w:rPr>
            <w:vertAlign w:val="baseline"/>
          </w:rPr>
          <w:t>, the claimants were a partnership of executive recruitment</w:t>
        </w:r>
        <w:r>
          <w:rPr>
            <w:spacing w:val="80"/>
            <w:vertAlign w:val="baseline"/>
          </w:rPr>
          <w:t> </w:t>
        </w:r>
        <w:r>
          <w:rPr>
            <w:vertAlign w:val="baseline"/>
          </w:rPr>
          <w:t>consultants which had instructed the defendant firm of solicitors to draft amendments to </w:t>
        </w:r>
        <w:r>
          <w:rPr>
            <w:vertAlign w:val="baseline"/>
          </w:rPr>
          <w:t>their partnership agreement so as to allow a third party investor to gain an interest in the partnership. The amendments which were drafted (and agreed) allowed the investor to withdraw half its funds </w:t>
        </w:r>
        <w:r>
          <w:rPr>
            <w:rFonts w:ascii="Arial"/>
            <w:i/>
            <w:vertAlign w:val="baseline"/>
          </w:rPr>
          <w:t>within </w:t>
        </w:r>
        <w:r>
          <w:rPr>
            <w:vertAlign w:val="baseline"/>
          </w:rPr>
          <w:t>a </w:t>
        </w:r>
        <w:bookmarkStart w:name="_bookmark1914" w:id="1916"/>
        <w:bookmarkEnd w:id="1916"/>
        <w:r>
          <w:rPr>
            <w:vertAlign w:val="baseline"/>
          </w:rPr>
          <w:t>period</w:t>
        </w:r>
        <w:r>
          <w:rPr>
            <w:spacing w:val="30"/>
            <w:vertAlign w:val="baseline"/>
          </w:rPr>
          <w:t> </w:t>
        </w:r>
        <w:r>
          <w:rPr>
            <w:vertAlign w:val="baseline"/>
          </w:rPr>
          <w:t>of</w:t>
        </w:r>
        <w:r>
          <w:rPr>
            <w:spacing w:val="30"/>
            <w:vertAlign w:val="baseline"/>
          </w:rPr>
          <w:t> </w:t>
        </w:r>
        <w:r>
          <w:rPr>
            <w:vertAlign w:val="baseline"/>
          </w:rPr>
          <w:t>41</w:t>
        </w:r>
        <w:r>
          <w:rPr>
            <w:spacing w:val="30"/>
            <w:vertAlign w:val="baseline"/>
          </w:rPr>
          <w:t> </w:t>
        </w:r>
        <w:r>
          <w:rPr>
            <w:vertAlign w:val="baseline"/>
          </w:rPr>
          <w:t>months</w:t>
        </w:r>
        <w:r>
          <w:rPr>
            <w:spacing w:val="30"/>
            <w:vertAlign w:val="baseline"/>
          </w:rPr>
          <w:t> </w:t>
        </w:r>
        <w:r>
          <w:rPr>
            <w:vertAlign w:val="baseline"/>
          </w:rPr>
          <w:t>from</w:t>
        </w:r>
        <w:r>
          <w:rPr>
            <w:spacing w:val="30"/>
            <w:vertAlign w:val="baseline"/>
          </w:rPr>
          <w:t> </w:t>
        </w:r>
        <w:r>
          <w:rPr>
            <w:vertAlign w:val="baseline"/>
          </w:rPr>
          <w:t>its</w:t>
        </w:r>
        <w:r>
          <w:rPr>
            <w:spacing w:val="30"/>
            <w:vertAlign w:val="baseline"/>
          </w:rPr>
          <w:t> </w:t>
        </w:r>
        <w:r>
          <w:rPr>
            <w:vertAlign w:val="baseline"/>
          </w:rPr>
          <w:t>formation,</w:t>
        </w:r>
        <w:r>
          <w:rPr>
            <w:spacing w:val="30"/>
            <w:vertAlign w:val="baseline"/>
          </w:rPr>
          <w:t> </w:t>
        </w:r>
        <w:r>
          <w:rPr>
            <w:vertAlign w:val="baseline"/>
          </w:rPr>
          <w:t>rather</w:t>
        </w:r>
        <w:r>
          <w:rPr>
            <w:spacing w:val="30"/>
            <w:vertAlign w:val="baseline"/>
          </w:rPr>
          <w:t> </w:t>
        </w:r>
        <w:r>
          <w:rPr>
            <w:vertAlign w:val="baseline"/>
          </w:rPr>
          <w:t>than</w:t>
        </w:r>
        <w:r>
          <w:rPr>
            <w:spacing w:val="30"/>
            <w:vertAlign w:val="baseline"/>
          </w:rPr>
          <w:t> </w:t>
        </w:r>
        <w:r>
          <w:rPr>
            <w:vertAlign w:val="baseline"/>
          </w:rPr>
          <w:t>(as</w:t>
        </w:r>
        <w:r>
          <w:rPr>
            <w:spacing w:val="30"/>
            <w:vertAlign w:val="baseline"/>
          </w:rPr>
          <w:t> </w:t>
        </w:r>
        <w:r>
          <w:rPr>
            <w:vertAlign w:val="baseline"/>
          </w:rPr>
          <w:t>instructed</w:t>
        </w:r>
        <w:r>
          <w:rPr>
            <w:spacing w:val="30"/>
            <w:vertAlign w:val="baseline"/>
          </w:rPr>
          <w:t> </w:t>
        </w:r>
        <w:r>
          <w:rPr>
            <w:vertAlign w:val="baseline"/>
          </w:rPr>
          <w:t>by</w:t>
        </w:r>
        <w:r>
          <w:rPr>
            <w:spacing w:val="30"/>
            <w:vertAlign w:val="baseline"/>
          </w:rPr>
          <w:t> </w:t>
        </w:r>
        <w:r>
          <w:rPr>
            <w:vertAlign w:val="baseline"/>
          </w:rPr>
          <w:t>the</w:t>
        </w:r>
        <w:r>
          <w:rPr>
            <w:spacing w:val="30"/>
            <w:vertAlign w:val="baseline"/>
          </w:rPr>
          <w:t> </w:t>
        </w:r>
        <w:r>
          <w:rPr>
            <w:vertAlign w:val="baseline"/>
          </w:rPr>
          <w:t>partnership)</w:t>
        </w:r>
        <w:r>
          <w:rPr>
            <w:spacing w:val="30"/>
            <w:vertAlign w:val="baseline"/>
          </w:rPr>
          <w:t> </w:t>
        </w:r>
        <w:r>
          <w:rPr>
            <w:vertAlign w:val="baseline"/>
          </w:rPr>
          <w:t>only</w:t>
        </w:r>
        <w:r>
          <w:rPr>
            <w:spacing w:val="29"/>
            <w:vertAlign w:val="baseline"/>
          </w:rPr>
          <w:t> </w:t>
        </w:r>
        <w:r>
          <w:rPr>
            <w:rFonts w:ascii="Arial"/>
            <w:i/>
            <w:spacing w:val="-2"/>
            <w:vertAlign w:val="baseline"/>
          </w:rPr>
          <w:t>outside</w:t>
        </w:r>
      </w:hyperlink>
    </w:p>
    <w:p>
      <w:pPr>
        <w:pStyle w:val="BodyText"/>
        <w:spacing w:line="235" w:lineRule="auto" w:before="118"/>
        <w:ind w:left="165" w:right="167"/>
        <w:jc w:val="both"/>
      </w:pPr>
      <w:r>
        <w:rPr/>
        <w:t>such a period: this failure was held to constitute negligence in the solicitors. </w:t>
      </w:r>
      <w:hyperlink w:history="true" w:anchor="_bookmark2053">
        <w:r>
          <w:rPr>
            <w:color w:val="005DA1"/>
            <w:u w:val="single" w:color="005DA1"/>
            <w:vertAlign w:val="superscript"/>
          </w:rPr>
          <w:t>1369</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483" name="Image 483"/>
              <wp:cNvGraphicFramePr>
                <a:graphicFrameLocks/>
              </wp:cNvGraphicFramePr>
              <a:graphic>
                <a:graphicData uri="http://schemas.openxmlformats.org/drawingml/2006/picture">
                  <pic:pic>
                    <pic:nvPicPr>
                      <pic:cNvPr id="483" name="Image 48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9"/>
            <w:vertAlign w:val="baseline"/>
          </w:rPr>
          <w:t> </w:t>
        </w:r>
        <w:r>
          <w:rPr>
            <w:vertAlign w:val="baseline"/>
          </w:rPr>
          <w:t>One issue before the Court of Appeal was whether the claimants could recover a percentage of the profits which </w:t>
        </w:r>
        <w:r>
          <w:rPr>
            <w:vertAlign w:val="baseline"/>
          </w:rPr>
          <w:t>might have been made if the investment had remained in place until the end of 41 months, in particular in relation to a recruitment handling contract or contracts with a major bank. In this respect, it held that where a claimant is able to sue either for breach of contract or for pure economic loss in the tort of negligence based on an assumption of responsibility which is assumed under a contract, the contract law test for remoteness of damage applies even if the claim is brought in tort: “[i]t would be</w:t>
        </w:r>
        <w:r>
          <w:rPr>
            <w:spacing w:val="40"/>
            <w:vertAlign w:val="baseline"/>
          </w:rPr>
          <w:t> </w:t>
        </w:r>
        <w:r>
          <w:rPr>
            <w:vertAlign w:val="baseline"/>
          </w:rPr>
          <w:t>anomalous … if the party pursuing the remedy in tort in these circumstances were able to assert that </w:t>
        </w:r>
        <w:bookmarkStart w:name="_bookmark1915" w:id="1917"/>
        <w:bookmarkEnd w:id="1917"/>
        <w:r>
          <w:rPr>
            <w:vertAlign w:val="baseline"/>
          </w:rPr>
          <w:t>the</w:t>
        </w:r>
        <w:r>
          <w:rPr>
            <w:spacing w:val="11"/>
            <w:vertAlign w:val="baseline"/>
          </w:rPr>
          <w:t> </w:t>
        </w:r>
        <w:r>
          <w:rPr>
            <w:vertAlign w:val="baseline"/>
          </w:rPr>
          <w:t>other</w:t>
        </w:r>
        <w:r>
          <w:rPr>
            <w:spacing w:val="11"/>
            <w:vertAlign w:val="baseline"/>
          </w:rPr>
          <w:t> </w:t>
        </w:r>
        <w:r>
          <w:rPr>
            <w:vertAlign w:val="baseline"/>
          </w:rPr>
          <w:t>party</w:t>
        </w:r>
        <w:r>
          <w:rPr>
            <w:spacing w:val="11"/>
            <w:vertAlign w:val="baseline"/>
          </w:rPr>
          <w:t> </w:t>
        </w:r>
        <w:r>
          <w:rPr>
            <w:vertAlign w:val="baseline"/>
          </w:rPr>
          <w:t>has</w:t>
        </w:r>
        <w:r>
          <w:rPr>
            <w:spacing w:val="11"/>
            <w:vertAlign w:val="baseline"/>
          </w:rPr>
          <w:t> </w:t>
        </w:r>
        <w:r>
          <w:rPr>
            <w:vertAlign w:val="baseline"/>
          </w:rPr>
          <w:t>assumed</w:t>
        </w:r>
        <w:r>
          <w:rPr>
            <w:spacing w:val="11"/>
            <w:vertAlign w:val="baseline"/>
          </w:rPr>
          <w:t> </w:t>
        </w:r>
        <w:r>
          <w:rPr>
            <w:vertAlign w:val="baseline"/>
          </w:rPr>
          <w:t>a</w:t>
        </w:r>
        <w:r>
          <w:rPr>
            <w:spacing w:val="11"/>
            <w:vertAlign w:val="baseline"/>
          </w:rPr>
          <w:t> </w:t>
        </w:r>
        <w:r>
          <w:rPr>
            <w:vertAlign w:val="baseline"/>
          </w:rPr>
          <w:t>responsibility</w:t>
        </w:r>
        <w:r>
          <w:rPr>
            <w:spacing w:val="11"/>
            <w:vertAlign w:val="baseline"/>
          </w:rPr>
          <w:t> </w:t>
        </w:r>
        <w:r>
          <w:rPr>
            <w:vertAlign w:val="baseline"/>
          </w:rPr>
          <w:t>for</w:t>
        </w:r>
        <w:r>
          <w:rPr>
            <w:spacing w:val="11"/>
            <w:vertAlign w:val="baseline"/>
          </w:rPr>
          <w:t> </w:t>
        </w:r>
        <w:r>
          <w:rPr>
            <w:vertAlign w:val="baseline"/>
          </w:rPr>
          <w:t>a</w:t>
        </w:r>
        <w:r>
          <w:rPr>
            <w:spacing w:val="11"/>
            <w:vertAlign w:val="baseline"/>
          </w:rPr>
          <w:t> </w:t>
        </w:r>
        <w:r>
          <w:rPr>
            <w:vertAlign w:val="baseline"/>
          </w:rPr>
          <w:t>wider</w:t>
        </w:r>
        <w:r>
          <w:rPr>
            <w:spacing w:val="11"/>
            <w:vertAlign w:val="baseline"/>
          </w:rPr>
          <w:t> </w:t>
        </w:r>
        <w:r>
          <w:rPr>
            <w:vertAlign w:val="baseline"/>
          </w:rPr>
          <w:t>range</w:t>
        </w:r>
        <w:r>
          <w:rPr>
            <w:spacing w:val="11"/>
            <w:vertAlign w:val="baseline"/>
          </w:rPr>
          <w:t> </w:t>
        </w:r>
        <w:r>
          <w:rPr>
            <w:vertAlign w:val="baseline"/>
          </w:rPr>
          <w:t>of</w:t>
        </w:r>
        <w:r>
          <w:rPr>
            <w:spacing w:val="11"/>
            <w:vertAlign w:val="baseline"/>
          </w:rPr>
          <w:t> </w:t>
        </w:r>
        <w:r>
          <w:rPr>
            <w:vertAlign w:val="baseline"/>
          </w:rPr>
          <w:t>damage</w:t>
        </w:r>
        <w:r>
          <w:rPr>
            <w:spacing w:val="11"/>
            <w:vertAlign w:val="baseline"/>
          </w:rPr>
          <w:t> </w:t>
        </w:r>
        <w:r>
          <w:rPr>
            <w:vertAlign w:val="baseline"/>
          </w:rPr>
          <w:t>than</w:t>
        </w:r>
        <w:r>
          <w:rPr>
            <w:spacing w:val="11"/>
            <w:vertAlign w:val="baseline"/>
          </w:rPr>
          <w:t> </w:t>
        </w:r>
        <w:r>
          <w:rPr>
            <w:vertAlign w:val="baseline"/>
          </w:rPr>
          <w:t>he</w:t>
        </w:r>
        <w:r>
          <w:rPr>
            <w:spacing w:val="11"/>
            <w:vertAlign w:val="baseline"/>
          </w:rPr>
          <w:t> </w:t>
        </w:r>
        <w:r>
          <w:rPr>
            <w:vertAlign w:val="baseline"/>
          </w:rPr>
          <w:t>would</w:t>
        </w:r>
        <w:r>
          <w:rPr>
            <w:spacing w:val="11"/>
            <w:vertAlign w:val="baseline"/>
          </w:rPr>
          <w:t> </w:t>
        </w:r>
        <w:r>
          <w:rPr>
            <w:vertAlign w:val="baseline"/>
          </w:rPr>
          <w:t>be</w:t>
        </w:r>
        <w:r>
          <w:rPr>
            <w:spacing w:val="11"/>
            <w:vertAlign w:val="baseline"/>
          </w:rPr>
          <w:t> </w:t>
        </w:r>
        <w:r>
          <w:rPr>
            <w:vertAlign w:val="baseline"/>
          </w:rPr>
          <w:t>taken</w:t>
        </w:r>
        <w:r>
          <w:rPr>
            <w:spacing w:val="11"/>
            <w:vertAlign w:val="baseline"/>
          </w:rPr>
          <w:t> </w:t>
        </w:r>
        <w:r>
          <w:rPr>
            <w:spacing w:val="-5"/>
            <w:vertAlign w:val="baseline"/>
          </w:rPr>
          <w:t>to</w:t>
        </w:r>
      </w:hyperlink>
    </w:p>
    <w:p>
      <w:pPr>
        <w:pStyle w:val="BodyText"/>
        <w:spacing w:line="235" w:lineRule="auto" w:before="117"/>
        <w:ind w:left="165" w:right="168"/>
        <w:jc w:val="both"/>
      </w:pPr>
      <w:r>
        <w:rPr/>
        <w:t>have assumed under the contract”. </w:t>
      </w:r>
      <w:hyperlink w:history="true" w:anchor="_bookmark2054">
        <w:r>
          <w:rPr>
            <w:color w:val="005DA1"/>
            <w:u w:val="single" w:color="005DA1"/>
            <w:vertAlign w:val="superscript"/>
          </w:rPr>
          <w:t>1370</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11"/>
            <w:vertAlign w:val="baseline"/>
          </w:rPr>
          <w:t> </w:t>
        </w:r>
        <w:r>
          <w:rPr>
            <w:vertAlign w:val="baseline"/>
          </w:rPr>
          <w:t>In so holding, the Court of Appeal related the remoteness </w:t>
        </w:r>
        <w:bookmarkStart w:name="_bookmark1916" w:id="1918"/>
        <w:bookmarkEnd w:id="1918"/>
        <w:r>
          <w:rPr>
            <w:vertAlign w:val="baseline"/>
          </w:rPr>
          <w:t>of</w:t>
        </w:r>
        <w:r>
          <w:rPr>
            <w:spacing w:val="7"/>
            <w:vertAlign w:val="baseline"/>
          </w:rPr>
          <w:t> </w:t>
        </w:r>
        <w:r>
          <w:rPr>
            <w:vertAlign w:val="baseline"/>
          </w:rPr>
          <w:t>damage</w:t>
        </w:r>
        <w:r>
          <w:rPr>
            <w:spacing w:val="7"/>
            <w:vertAlign w:val="baseline"/>
          </w:rPr>
          <w:t> </w:t>
        </w:r>
        <w:r>
          <w:rPr>
            <w:vertAlign w:val="baseline"/>
          </w:rPr>
          <w:t>rule</w:t>
        </w:r>
        <w:r>
          <w:rPr>
            <w:spacing w:val="7"/>
            <w:vertAlign w:val="baseline"/>
          </w:rPr>
          <w:t> </w:t>
        </w:r>
        <w:r>
          <w:rPr>
            <w:vertAlign w:val="baseline"/>
          </w:rPr>
          <w:t>for</w:t>
        </w:r>
        <w:r>
          <w:rPr>
            <w:spacing w:val="7"/>
            <w:vertAlign w:val="baseline"/>
          </w:rPr>
          <w:t> </w:t>
        </w:r>
        <w:r>
          <w:rPr>
            <w:vertAlign w:val="baseline"/>
          </w:rPr>
          <w:t>breach</w:t>
        </w:r>
        <w:r>
          <w:rPr>
            <w:spacing w:val="7"/>
            <w:vertAlign w:val="baseline"/>
          </w:rPr>
          <w:t> </w:t>
        </w:r>
        <w:r>
          <w:rPr>
            <w:vertAlign w:val="baseline"/>
          </w:rPr>
          <w:t>of</w:t>
        </w:r>
        <w:r>
          <w:rPr>
            <w:spacing w:val="7"/>
            <w:vertAlign w:val="baseline"/>
          </w:rPr>
          <w:t> </w:t>
        </w:r>
        <w:r>
          <w:rPr>
            <w:vertAlign w:val="baseline"/>
          </w:rPr>
          <w:t>contract</w:t>
        </w:r>
        <w:r>
          <w:rPr>
            <w:spacing w:val="7"/>
            <w:vertAlign w:val="baseline"/>
          </w:rPr>
          <w:t> </w:t>
        </w:r>
        <w:r>
          <w:rPr>
            <w:vertAlign w:val="baseline"/>
          </w:rPr>
          <w:t>(as</w:t>
        </w:r>
        <w:r>
          <w:rPr>
            <w:spacing w:val="7"/>
            <w:vertAlign w:val="baseline"/>
          </w:rPr>
          <w:t> </w:t>
        </w:r>
        <w:r>
          <w:rPr>
            <w:vertAlign w:val="baseline"/>
          </w:rPr>
          <w:t>reformulated</w:t>
        </w:r>
        <w:r>
          <w:rPr>
            <w:spacing w:val="7"/>
            <w:vertAlign w:val="baseline"/>
          </w:rPr>
          <w:t> </w:t>
        </w:r>
        <w:r>
          <w:rPr>
            <w:vertAlign w:val="baseline"/>
          </w:rPr>
          <w:t>by</w:t>
        </w:r>
        <w:r>
          <w:rPr>
            <w:spacing w:val="7"/>
            <w:vertAlign w:val="baseline"/>
          </w:rPr>
          <w:t> </w:t>
        </w:r>
        <w:r>
          <w:rPr>
            <w:vertAlign w:val="baseline"/>
          </w:rPr>
          <w:t>Lord</w:t>
        </w:r>
        <w:r>
          <w:rPr>
            <w:spacing w:val="7"/>
            <w:vertAlign w:val="baseline"/>
          </w:rPr>
          <w:t> </w:t>
        </w:r>
        <w:r>
          <w:rPr>
            <w:vertAlign w:val="baseline"/>
          </w:rPr>
          <w:t>Hoffmann</w:t>
        </w:r>
        <w:r>
          <w:rPr>
            <w:spacing w:val="7"/>
            <w:vertAlign w:val="baseline"/>
          </w:rPr>
          <w:t> </w:t>
        </w:r>
        <w:r>
          <w:rPr>
            <w:vertAlign w:val="baseline"/>
          </w:rPr>
          <w:t>in</w:t>
        </w:r>
        <w:r>
          <w:rPr>
            <w:spacing w:val="6"/>
            <w:vertAlign w:val="baseline"/>
          </w:rPr>
          <w:t> </w:t>
        </w:r>
        <w:r>
          <w:rPr>
            <w:rFonts w:ascii="Arial" w:hAnsi="Arial"/>
            <w:i/>
            <w:vertAlign w:val="baseline"/>
          </w:rPr>
          <w:t>The</w:t>
        </w:r>
        <w:r>
          <w:rPr>
            <w:rFonts w:ascii="Arial" w:hAnsi="Arial"/>
            <w:i/>
            <w:spacing w:val="7"/>
            <w:vertAlign w:val="baseline"/>
          </w:rPr>
          <w:t> </w:t>
        </w:r>
        <w:r>
          <w:rPr>
            <w:rFonts w:ascii="Arial" w:hAnsi="Arial"/>
            <w:i/>
            <w:vertAlign w:val="baseline"/>
          </w:rPr>
          <w:t>Achilleas</w:t>
        </w:r>
        <w:r>
          <w:rPr>
            <w:rFonts w:ascii="Arial" w:hAnsi="Arial"/>
            <w:i/>
            <w:spacing w:val="6"/>
            <w:vertAlign w:val="baseline"/>
          </w:rPr>
          <w:t> </w:t>
        </w:r>
        <w:r>
          <w:rPr>
            <w:vertAlign w:val="baseline"/>
          </w:rPr>
          <w:t>in</w:t>
        </w:r>
        <w:r>
          <w:rPr>
            <w:spacing w:val="7"/>
            <w:vertAlign w:val="baseline"/>
          </w:rPr>
          <w:t> </w:t>
        </w:r>
        <w:r>
          <w:rPr>
            <w:vertAlign w:val="baseline"/>
          </w:rPr>
          <w:t>terms</w:t>
        </w:r>
        <w:r>
          <w:rPr>
            <w:spacing w:val="7"/>
            <w:vertAlign w:val="baseline"/>
          </w:rPr>
          <w:t> </w:t>
        </w:r>
        <w:r>
          <w:rPr>
            <w:spacing w:val="-5"/>
            <w:vertAlign w:val="baseline"/>
          </w:rPr>
          <w:t>of</w:t>
        </w:r>
      </w:hyperlink>
    </w:p>
    <w:p>
      <w:pPr>
        <w:pStyle w:val="BodyText"/>
        <w:spacing w:before="115"/>
        <w:ind w:left="165"/>
        <w:jc w:val="both"/>
      </w:pPr>
      <w:bookmarkStart w:name="_bookmark1917" w:id="1919"/>
      <w:bookmarkEnd w:id="1919"/>
      <w:r>
        <w:rPr/>
      </w:r>
      <w:r>
        <w:rPr/>
        <w:t>assumption</w:t>
      </w:r>
      <w:r>
        <w:rPr>
          <w:spacing w:val="36"/>
        </w:rPr>
        <w:t> </w:t>
      </w:r>
      <w:r>
        <w:rPr/>
        <w:t>of</w:t>
      </w:r>
      <w:r>
        <w:rPr>
          <w:spacing w:val="37"/>
        </w:rPr>
        <w:t> </w:t>
      </w:r>
      <w:r>
        <w:rPr/>
        <w:t>responsibility</w:t>
      </w:r>
      <w:r>
        <w:rPr>
          <w:spacing w:val="37"/>
        </w:rPr>
        <w:t> </w:t>
      </w:r>
      <w:hyperlink w:history="true" w:anchor="_bookmark2055">
        <w:r>
          <w:rPr>
            <w:color w:val="005DA1"/>
            <w:u w:val="single" w:color="005DA1"/>
            <w:vertAlign w:val="superscript"/>
          </w:rPr>
          <w:t>1371</w:t>
        </w:r>
        <w:r>
          <w:rPr>
            <w:color w:val="005DA1"/>
            <w:spacing w:val="56"/>
            <w:w w:val="150"/>
            <w:vertAlign w:val="baseline"/>
          </w:rPr>
          <w:t>  </w:t>
        </w:r>
        <w:r>
          <w:rPr>
            <w:color w:val="005DA1"/>
            <w:spacing w:val="6"/>
            <w:position w:val="-2"/>
            <w:vertAlign w:val="baseline"/>
          </w:rPr>
          <w:drawing>
            <wp:inline distT="0" distB="0" distL="0" distR="0">
              <wp:extent cx="107988" cy="107988"/>
              <wp:effectExtent l="0" t="0" r="0" b="0"/>
              <wp:docPr id="485" name="Image 485"/>
              <wp:cNvGraphicFramePr>
                <a:graphicFrameLocks/>
              </wp:cNvGraphicFramePr>
              <a:graphic>
                <a:graphicData uri="http://schemas.openxmlformats.org/drawingml/2006/picture">
                  <pic:pic>
                    <pic:nvPicPr>
                      <pic:cNvPr id="485" name="Image 4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vertAlign w:val="baseline"/>
          </w:rPr>
          <w:t>)</w:t>
        </w:r>
        <w:r>
          <w:rPr>
            <w:spacing w:val="37"/>
            <w:vertAlign w:val="baseline"/>
          </w:rPr>
          <w:t> </w:t>
        </w:r>
        <w:r>
          <w:rPr>
            <w:vertAlign w:val="baseline"/>
          </w:rPr>
          <w:t>to</w:t>
        </w:r>
        <w:r>
          <w:rPr>
            <w:spacing w:val="37"/>
            <w:vertAlign w:val="baseline"/>
          </w:rPr>
          <w:t> </w:t>
        </w:r>
        <w:r>
          <w:rPr>
            <w:vertAlign w:val="baseline"/>
          </w:rPr>
          <w:t>the</w:t>
        </w:r>
        <w:r>
          <w:rPr>
            <w:spacing w:val="37"/>
            <w:vertAlign w:val="baseline"/>
          </w:rPr>
          <w:t> </w:t>
        </w:r>
        <w:r>
          <w:rPr>
            <w:vertAlign w:val="baseline"/>
          </w:rPr>
          <w:t>basis</w:t>
        </w:r>
        <w:r>
          <w:rPr>
            <w:spacing w:val="37"/>
            <w:vertAlign w:val="baseline"/>
          </w:rPr>
          <w:t> </w:t>
        </w:r>
        <w:r>
          <w:rPr>
            <w:vertAlign w:val="baseline"/>
          </w:rPr>
          <w:t>of</w:t>
        </w:r>
        <w:r>
          <w:rPr>
            <w:spacing w:val="36"/>
            <w:vertAlign w:val="baseline"/>
          </w:rPr>
          <w:t> </w:t>
        </w:r>
        <w:r>
          <w:rPr>
            <w:vertAlign w:val="baseline"/>
          </w:rPr>
          <w:t>liability</w:t>
        </w:r>
        <w:r>
          <w:rPr>
            <w:spacing w:val="37"/>
            <w:vertAlign w:val="baseline"/>
          </w:rPr>
          <w:t> </w:t>
        </w:r>
        <w:r>
          <w:rPr>
            <w:vertAlign w:val="baseline"/>
          </w:rPr>
          <w:t>in</w:t>
        </w:r>
        <w:r>
          <w:rPr>
            <w:spacing w:val="37"/>
            <w:vertAlign w:val="baseline"/>
          </w:rPr>
          <w:t> </w:t>
        </w:r>
        <w:r>
          <w:rPr>
            <w:vertAlign w:val="baseline"/>
          </w:rPr>
          <w:t>tort</w:t>
        </w:r>
        <w:r>
          <w:rPr>
            <w:spacing w:val="36"/>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context</w:t>
        </w:r>
        <w:r>
          <w:rPr>
            <w:spacing w:val="37"/>
            <w:vertAlign w:val="baseline"/>
          </w:rPr>
          <w:t> </w:t>
        </w:r>
        <w:r>
          <w:rPr>
            <w:vertAlign w:val="baseline"/>
          </w:rPr>
          <w:t>(assumption</w:t>
        </w:r>
        <w:r>
          <w:rPr>
            <w:spacing w:val="36"/>
            <w:vertAlign w:val="baseline"/>
          </w:rPr>
          <w:t> </w:t>
        </w:r>
        <w:r>
          <w:rPr>
            <w:spacing w:val="-5"/>
            <w:vertAlign w:val="baseline"/>
          </w:rPr>
          <w:t>of</w:t>
        </w:r>
      </w:hyperlink>
    </w:p>
    <w:p>
      <w:pPr>
        <w:pStyle w:val="BodyText"/>
        <w:spacing w:line="235" w:lineRule="auto" w:before="119"/>
        <w:ind w:left="165" w:right="167"/>
        <w:jc w:val="both"/>
      </w:pPr>
      <w:r>
        <w:rPr/>
        <w:t>responsibility as explained by </w:t>
      </w:r>
      <w:r>
        <w:rPr>
          <w:rFonts w:ascii="Arial"/>
          <w:i/>
        </w:rPr>
        <w:t>Henderson v Merrett Syndicates Ltd </w:t>
      </w:r>
      <w:hyperlink w:history="true" w:anchor="_bookmark2056">
        <w:r>
          <w:rPr>
            <w:color w:val="005DA1"/>
            <w:u w:val="single" w:color="005DA1"/>
            <w:vertAlign w:val="superscript"/>
          </w:rPr>
          <w:t>1372</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486" name="Image 486"/>
              <wp:cNvGraphicFramePr>
                <a:graphicFrameLocks/>
              </wp:cNvGraphicFramePr>
              <a:graphic>
                <a:graphicData uri="http://schemas.openxmlformats.org/drawingml/2006/picture">
                  <pic:pic>
                    <pic:nvPicPr>
                      <pic:cNvPr id="486" name="Image 4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vertAlign w:val="baseline"/>
          </w:rPr>
          <w:t>). The Court of </w:t>
        </w:r>
        <w:r>
          <w:rPr>
            <w:vertAlign w:val="baseline"/>
          </w:rPr>
          <w:t>Appeal therefore disagreed with the judge at trial on the remoteness test applicable, though it held that the application of the contract test rather than the tort test did not make any difference on the facts as the damage claimed by the partnership was of a kind for which the solicitors had assumed responsibility </w:t>
        </w:r>
        <w:bookmarkStart w:name="_bookmark1918" w:id="1920"/>
        <w:bookmarkEnd w:id="1920"/>
        <w:r>
          <w:rPr>
            <w:vertAlign w:val="baseline"/>
          </w:rPr>
          <w:t>under</w:t>
        </w:r>
        <w:r>
          <w:rPr>
            <w:spacing w:val="18"/>
            <w:vertAlign w:val="baseline"/>
          </w:rPr>
          <w:t> </w:t>
        </w:r>
        <w:r>
          <w:rPr>
            <w:vertAlign w:val="baseline"/>
          </w:rPr>
          <w:t>their</w:t>
        </w:r>
        <w:r>
          <w:rPr>
            <w:spacing w:val="18"/>
            <w:vertAlign w:val="baseline"/>
          </w:rPr>
          <w:t> </w:t>
        </w:r>
        <w:r>
          <w:rPr>
            <w:vertAlign w:val="baseline"/>
          </w:rPr>
          <w:t>contract</w:t>
        </w:r>
        <w:r>
          <w:rPr>
            <w:spacing w:val="18"/>
            <w:vertAlign w:val="baseline"/>
          </w:rPr>
          <w:t> </w:t>
        </w:r>
        <w:r>
          <w:rPr>
            <w:vertAlign w:val="baseline"/>
          </w:rPr>
          <w:t>and</w:t>
        </w:r>
        <w:r>
          <w:rPr>
            <w:spacing w:val="18"/>
            <w:vertAlign w:val="baseline"/>
          </w:rPr>
          <w:t> </w:t>
        </w:r>
        <w:r>
          <w:rPr>
            <w:vertAlign w:val="baseline"/>
          </w:rPr>
          <w:t>was</w:t>
        </w:r>
        <w:r>
          <w:rPr>
            <w:spacing w:val="18"/>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reasonable</w:t>
        </w:r>
        <w:r>
          <w:rPr>
            <w:spacing w:val="18"/>
            <w:vertAlign w:val="baseline"/>
          </w:rPr>
          <w:t> </w:t>
        </w:r>
        <w:r>
          <w:rPr>
            <w:vertAlign w:val="baseline"/>
          </w:rPr>
          <w:t>contemplation</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parties</w:t>
        </w:r>
        <w:r>
          <w:rPr>
            <w:spacing w:val="18"/>
            <w:vertAlign w:val="baseline"/>
          </w:rPr>
          <w:t> </w:t>
        </w:r>
        <w:r>
          <w:rPr>
            <w:vertAlign w:val="baseline"/>
          </w:rPr>
          <w:t>as</w:t>
        </w:r>
        <w:r>
          <w:rPr>
            <w:spacing w:val="18"/>
            <w:vertAlign w:val="baseline"/>
          </w:rPr>
          <w:t> </w:t>
        </w:r>
        <w:r>
          <w:rPr>
            <w:vertAlign w:val="baseline"/>
          </w:rPr>
          <w:t>not</w:t>
        </w:r>
        <w:r>
          <w:rPr>
            <w:spacing w:val="18"/>
            <w:vertAlign w:val="baseline"/>
          </w:rPr>
          <w:t> </w:t>
        </w:r>
        <w:r>
          <w:rPr>
            <w:vertAlign w:val="baseline"/>
          </w:rPr>
          <w:t>unlikely</w:t>
        </w:r>
        <w:r>
          <w:rPr>
            <w:spacing w:val="18"/>
            <w:vertAlign w:val="baseline"/>
          </w:rPr>
          <w:t> </w:t>
        </w:r>
        <w:r>
          <w:rPr>
            <w:vertAlign w:val="baseline"/>
          </w:rPr>
          <w:t>to</w:t>
        </w:r>
        <w:r>
          <w:rPr>
            <w:spacing w:val="18"/>
            <w:vertAlign w:val="baseline"/>
          </w:rPr>
          <w:t> </w:t>
        </w:r>
        <w:r>
          <w:rPr>
            <w:spacing w:val="-2"/>
            <w:vertAlign w:val="baseline"/>
          </w:rPr>
          <w:t>result</w:t>
        </w:r>
      </w:hyperlink>
    </w:p>
    <w:p>
      <w:pPr>
        <w:pStyle w:val="BodyText"/>
        <w:spacing w:line="235" w:lineRule="auto" w:before="118"/>
        <w:ind w:left="165" w:right="167"/>
        <w:jc w:val="both"/>
      </w:pPr>
      <w:r>
        <w:rPr/>
        <w:t>from a breach. </w:t>
      </w:r>
      <w:hyperlink w:history="true" w:anchor="_bookmark2057">
        <w:r>
          <w:rPr>
            <w:color w:val="005DA1"/>
            <w:u w:val="single" w:color="005DA1"/>
            <w:vertAlign w:val="superscript"/>
          </w:rPr>
          <w:t>1373</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487" name="Image 487"/>
              <wp:cNvGraphicFramePr>
                <a:graphicFrameLocks/>
              </wp:cNvGraphicFramePr>
              <a:graphic>
                <a:graphicData uri="http://schemas.openxmlformats.org/drawingml/2006/picture">
                  <pic:pic>
                    <pic:nvPicPr>
                      <pic:cNvPr id="487" name="Image 4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36"/>
            <w:vertAlign w:val="baseline"/>
          </w:rPr>
          <w:t> </w:t>
        </w:r>
        <w:r>
          <w:rPr>
            <w:vertAlign w:val="baseline"/>
          </w:rPr>
          <w:t>The Court of Appeal in </w:t>
        </w:r>
        <w:r>
          <w:rPr>
            <w:rFonts w:ascii="Arial"/>
            <w:i/>
            <w:vertAlign w:val="baseline"/>
          </w:rPr>
          <w:t>Wellesley Partners LLP </w:t>
        </w:r>
        <w:r>
          <w:rPr>
            <w:vertAlign w:val="baseline"/>
          </w:rPr>
          <w:t>therefore took a different </w:t>
        </w:r>
        <w:r>
          <w:rPr>
            <w:vertAlign w:val="baseline"/>
          </w:rPr>
          <w:t>view </w:t>
        </w:r>
        <w:bookmarkStart w:name="_bookmark1919" w:id="1921"/>
        <w:bookmarkEnd w:id="1921"/>
        <w:r>
          <w:rPr>
            <w:vertAlign w:val="baseline"/>
          </w:rPr>
          <w:t>on</w:t>
        </w:r>
        <w:r>
          <w:rPr>
            <w:spacing w:val="27"/>
            <w:vertAlign w:val="baseline"/>
          </w:rPr>
          <w:t> </w:t>
        </w:r>
        <w:r>
          <w:rPr>
            <w:vertAlign w:val="baseline"/>
          </w:rPr>
          <w:t>the</w:t>
        </w:r>
        <w:r>
          <w:rPr>
            <w:spacing w:val="27"/>
            <w:vertAlign w:val="baseline"/>
          </w:rPr>
          <w:t> </w:t>
        </w:r>
        <w:r>
          <w:rPr>
            <w:vertAlign w:val="baseline"/>
          </w:rPr>
          <w:t>question</w:t>
        </w:r>
        <w:r>
          <w:rPr>
            <w:spacing w:val="27"/>
            <w:vertAlign w:val="baseline"/>
          </w:rPr>
          <w:t> </w:t>
        </w:r>
        <w:r>
          <w:rPr>
            <w:vertAlign w:val="baseline"/>
          </w:rPr>
          <w:t>as</w:t>
        </w:r>
        <w:r>
          <w:rPr>
            <w:spacing w:val="27"/>
            <w:vertAlign w:val="baseline"/>
          </w:rPr>
          <w:t> </w:t>
        </w:r>
        <w:r>
          <w:rPr>
            <w:vertAlign w:val="baseline"/>
          </w:rPr>
          <w:t>to</w:t>
        </w:r>
        <w:r>
          <w:rPr>
            <w:spacing w:val="27"/>
            <w:vertAlign w:val="baseline"/>
          </w:rPr>
          <w:t> </w:t>
        </w:r>
        <w:r>
          <w:rPr>
            <w:vertAlign w:val="baseline"/>
          </w:rPr>
          <w:t>the</w:t>
        </w:r>
        <w:r>
          <w:rPr>
            <w:spacing w:val="27"/>
            <w:vertAlign w:val="baseline"/>
          </w:rPr>
          <w:t> </w:t>
        </w:r>
        <w:r>
          <w:rPr>
            <w:vertAlign w:val="baseline"/>
          </w:rPr>
          <w:t>proper</w:t>
        </w:r>
        <w:r>
          <w:rPr>
            <w:spacing w:val="27"/>
            <w:vertAlign w:val="baseline"/>
          </w:rPr>
          <w:t> </w:t>
        </w:r>
        <w:r>
          <w:rPr>
            <w:vertAlign w:val="baseline"/>
          </w:rPr>
          <w:t>test</w:t>
        </w:r>
        <w:r>
          <w:rPr>
            <w:spacing w:val="27"/>
            <w:vertAlign w:val="baseline"/>
          </w:rPr>
          <w:t> </w:t>
        </w:r>
        <w:r>
          <w:rPr>
            <w:vertAlign w:val="baseline"/>
          </w:rPr>
          <w:t>of</w:t>
        </w:r>
        <w:r>
          <w:rPr>
            <w:spacing w:val="27"/>
            <w:vertAlign w:val="baseline"/>
          </w:rPr>
          <w:t> </w:t>
        </w:r>
        <w:r>
          <w:rPr>
            <w:vertAlign w:val="baseline"/>
          </w:rPr>
          <w:t>remoteness</w:t>
        </w:r>
        <w:r>
          <w:rPr>
            <w:spacing w:val="27"/>
            <w:vertAlign w:val="baseline"/>
          </w:rPr>
          <w:t> </w:t>
        </w:r>
        <w:r>
          <w:rPr>
            <w:vertAlign w:val="baseline"/>
          </w:rPr>
          <w:t>applicable</w:t>
        </w:r>
        <w:r>
          <w:rPr>
            <w:spacing w:val="27"/>
            <w:vertAlign w:val="baseline"/>
          </w:rPr>
          <w:t> </w:t>
        </w:r>
        <w:r>
          <w:rPr>
            <w:vertAlign w:val="baseline"/>
          </w:rPr>
          <w:t>to</w:t>
        </w:r>
        <w:r>
          <w:rPr>
            <w:spacing w:val="27"/>
            <w:vertAlign w:val="baseline"/>
          </w:rPr>
          <w:t> </w:t>
        </w:r>
        <w:r>
          <w:rPr>
            <w:vertAlign w:val="baseline"/>
          </w:rPr>
          <w:t>a</w:t>
        </w:r>
        <w:r>
          <w:rPr>
            <w:spacing w:val="27"/>
            <w:vertAlign w:val="baseline"/>
          </w:rPr>
          <w:t> </w:t>
        </w:r>
        <w:r>
          <w:rPr>
            <w:vertAlign w:val="baseline"/>
          </w:rPr>
          <w:t>claim</w:t>
        </w:r>
        <w:r>
          <w:rPr>
            <w:spacing w:val="27"/>
            <w:vertAlign w:val="baseline"/>
          </w:rPr>
          <w:t> </w:t>
        </w:r>
        <w:r>
          <w:rPr>
            <w:vertAlign w:val="baseline"/>
          </w:rPr>
          <w:t>in</w:t>
        </w:r>
        <w:r>
          <w:rPr>
            <w:spacing w:val="27"/>
            <w:vertAlign w:val="baseline"/>
          </w:rPr>
          <w:t> </w:t>
        </w:r>
        <w:r>
          <w:rPr>
            <w:vertAlign w:val="baseline"/>
          </w:rPr>
          <w:t>the</w:t>
        </w:r>
        <w:r>
          <w:rPr>
            <w:spacing w:val="27"/>
            <w:vertAlign w:val="baseline"/>
          </w:rPr>
          <w:t> </w:t>
        </w:r>
        <w:r>
          <w:rPr>
            <w:vertAlign w:val="baseline"/>
          </w:rPr>
          <w:t>tort</w:t>
        </w:r>
        <w:r>
          <w:rPr>
            <w:spacing w:val="27"/>
            <w:vertAlign w:val="baseline"/>
          </w:rPr>
          <w:t> </w:t>
        </w:r>
        <w:r>
          <w:rPr>
            <w:vertAlign w:val="baseline"/>
          </w:rPr>
          <w:t>of</w:t>
        </w:r>
        <w:r>
          <w:rPr>
            <w:spacing w:val="27"/>
            <w:vertAlign w:val="baseline"/>
          </w:rPr>
          <w:t> </w:t>
        </w:r>
        <w:r>
          <w:rPr>
            <w:spacing w:val="-2"/>
            <w:vertAlign w:val="baseline"/>
          </w:rPr>
          <w:t>negligence</w:t>
        </w:r>
      </w:hyperlink>
    </w:p>
    <w:p>
      <w:pPr>
        <w:pStyle w:val="BodyText"/>
        <w:spacing w:line="235" w:lineRule="auto" w:before="119"/>
        <w:ind w:left="165" w:right="167"/>
        <w:jc w:val="both"/>
      </w:pPr>
      <w:r>
        <w:rPr/>
        <w:t>concurrent with a claim for breach of contract from the one which it had taken in </w:t>
      </w:r>
      <w:r>
        <w:rPr>
          <w:rFonts w:ascii="Arial" w:hAnsi="Arial"/>
          <w:i/>
        </w:rPr>
        <w:t>Yapp</w:t>
      </w:r>
      <w:r>
        <w:rPr/>
        <w:t>. </w:t>
      </w:r>
      <w:hyperlink w:history="true" w:anchor="_bookmark2058">
        <w:r>
          <w:rPr>
            <w:color w:val="005DA1"/>
            <w:u w:val="single" w:color="005DA1"/>
            <w:vertAlign w:val="superscript"/>
          </w:rPr>
          <w:t>1374</w:t>
        </w:r>
        <w:r>
          <w:rPr>
            <w:color w:val="005DA1"/>
            <w:spacing w:val="80"/>
            <w:w w:val="150"/>
            <w:vertAlign w:val="baseline"/>
          </w:rPr>
          <w:t> </w:t>
        </w:r>
        <w:r>
          <w:rPr>
            <w:color w:val="005DA1"/>
            <w:spacing w:val="18"/>
            <w:position w:val="-2"/>
            <w:vertAlign w:val="baseline"/>
          </w:rPr>
          <w:drawing>
            <wp:inline distT="0" distB="0" distL="0" distR="0">
              <wp:extent cx="107988" cy="107988"/>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10"/>
            <w:vertAlign w:val="baseline"/>
          </w:rPr>
          <w:t> </w:t>
        </w:r>
        <w:r>
          <w:rPr>
            <w:vertAlign w:val="baseline"/>
          </w:rPr>
          <w:t>In neither</w:t>
        </w:r>
        <w:r>
          <w:rPr>
            <w:spacing w:val="-1"/>
            <w:vertAlign w:val="baseline"/>
          </w:rPr>
          <w:t> </w:t>
        </w:r>
        <w:r>
          <w:rPr>
            <w:vertAlign w:val="baseline"/>
          </w:rPr>
          <w:t>case</w:t>
        </w:r>
        <w:r>
          <w:rPr>
            <w:spacing w:val="-1"/>
            <w:vertAlign w:val="baseline"/>
          </w:rPr>
          <w:t> </w:t>
        </w:r>
        <w:r>
          <w:rPr>
            <w:vertAlign w:val="baseline"/>
          </w:rPr>
          <w:t>were</w:t>
        </w:r>
        <w:r>
          <w:rPr>
            <w:spacing w:val="-1"/>
            <w:vertAlign w:val="baseline"/>
          </w:rPr>
          <w:t> </w:t>
        </w:r>
        <w:r>
          <w:rPr>
            <w:vertAlign w:val="baseline"/>
          </w:rPr>
          <w:t>these</w:t>
        </w:r>
        <w:r>
          <w:rPr>
            <w:spacing w:val="-1"/>
            <w:vertAlign w:val="baseline"/>
          </w:rPr>
          <w:t> </w:t>
        </w:r>
        <w:r>
          <w:rPr>
            <w:vertAlign w:val="baseline"/>
          </w:rPr>
          <w:t>views</w:t>
        </w:r>
        <w:r>
          <w:rPr>
            <w:spacing w:val="-1"/>
            <w:vertAlign w:val="baseline"/>
          </w:rPr>
          <w:t> </w:t>
        </w:r>
        <w:r>
          <w:rPr>
            <w:vertAlign w:val="baseline"/>
          </w:rPr>
          <w:t>necessary</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courts’</w:t>
        </w:r>
        <w:r>
          <w:rPr>
            <w:spacing w:val="-1"/>
            <w:vertAlign w:val="baseline"/>
          </w:rPr>
          <w:t> </w:t>
        </w:r>
        <w:r>
          <w:rPr>
            <w:vertAlign w:val="baseline"/>
          </w:rPr>
          <w:t>decisions</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facts</w:t>
        </w:r>
        <w:r>
          <w:rPr>
            <w:spacing w:val="-1"/>
            <w:vertAlign w:val="baseline"/>
          </w:rPr>
          <w:t> </w:t>
        </w:r>
        <w:r>
          <w:rPr>
            <w:vertAlign w:val="baseline"/>
          </w:rPr>
          <w:t>before</w:t>
        </w:r>
        <w:r>
          <w:rPr>
            <w:spacing w:val="-1"/>
            <w:vertAlign w:val="baseline"/>
          </w:rPr>
          <w:t> </w:t>
        </w:r>
        <w:r>
          <w:rPr>
            <w:vertAlign w:val="baseline"/>
          </w:rPr>
          <w:t>them,</w:t>
        </w:r>
        <w:r>
          <w:rPr>
            <w:spacing w:val="-1"/>
            <w:vertAlign w:val="baseline"/>
          </w:rPr>
          <w:t> </w:t>
        </w:r>
        <w:r>
          <w:rPr>
            <w:vertAlign w:val="baseline"/>
          </w:rPr>
          <w:t>as</w:t>
        </w:r>
        <w:r>
          <w:rPr>
            <w:spacing w:val="-1"/>
            <w:vertAlign w:val="baseline"/>
          </w:rPr>
          <w:t> </w:t>
        </w:r>
        <w:r>
          <w:rPr>
            <w:vertAlign w:val="baseline"/>
          </w:rPr>
          <w:t>in</w:t>
        </w:r>
        <w:r>
          <w:rPr>
            <w:spacing w:val="-1"/>
            <w:vertAlign w:val="baseline"/>
          </w:rPr>
          <w:t> </w:t>
        </w:r>
        <w:r>
          <w:rPr>
            <w:vertAlign w:val="baseline"/>
          </w:rPr>
          <w:t>both </w:t>
        </w:r>
        <w:bookmarkStart w:name="_bookmark1920" w:id="1922"/>
        <w:bookmarkEnd w:id="1922"/>
        <w:r>
          <w:rPr>
            <w:vertAlign w:val="baseline"/>
          </w:rPr>
          <w:t>cases</w:t>
        </w:r>
        <w:r>
          <w:rPr>
            <w:spacing w:val="9"/>
            <w:vertAlign w:val="baseline"/>
          </w:rPr>
          <w:t> </w:t>
        </w:r>
        <w:r>
          <w:rPr>
            <w:vertAlign w:val="baseline"/>
          </w:rPr>
          <w:t>they</w:t>
        </w:r>
        <w:r>
          <w:rPr>
            <w:spacing w:val="9"/>
            <w:vertAlign w:val="baseline"/>
          </w:rPr>
          <w:t> </w:t>
        </w:r>
        <w:r>
          <w:rPr>
            <w:vertAlign w:val="baseline"/>
          </w:rPr>
          <w:t>held</w:t>
        </w:r>
        <w:r>
          <w:rPr>
            <w:spacing w:val="9"/>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two</w:t>
        </w:r>
        <w:r>
          <w:rPr>
            <w:spacing w:val="9"/>
            <w:vertAlign w:val="baseline"/>
          </w:rPr>
          <w:t> </w:t>
        </w:r>
        <w:r>
          <w:rPr>
            <w:vertAlign w:val="baseline"/>
          </w:rPr>
          <w:t>tests</w:t>
        </w:r>
        <w:r>
          <w:rPr>
            <w:spacing w:val="9"/>
            <w:vertAlign w:val="baseline"/>
          </w:rPr>
          <w:t> </w:t>
        </w:r>
        <w:r>
          <w:rPr>
            <w:vertAlign w:val="baseline"/>
          </w:rPr>
          <w:t>of</w:t>
        </w:r>
        <w:r>
          <w:rPr>
            <w:spacing w:val="9"/>
            <w:vertAlign w:val="baseline"/>
          </w:rPr>
          <w:t> </w:t>
        </w:r>
        <w:r>
          <w:rPr>
            <w:vertAlign w:val="baseline"/>
          </w:rPr>
          <w:t>remoteness</w:t>
        </w:r>
        <w:r>
          <w:rPr>
            <w:spacing w:val="9"/>
            <w:vertAlign w:val="baseline"/>
          </w:rPr>
          <w:t> </w:t>
        </w:r>
        <w:r>
          <w:rPr>
            <w:vertAlign w:val="baseline"/>
          </w:rPr>
          <w:t>(in</w:t>
        </w:r>
        <w:r>
          <w:rPr>
            <w:spacing w:val="9"/>
            <w:vertAlign w:val="baseline"/>
          </w:rPr>
          <w:t> </w:t>
        </w:r>
        <w:r>
          <w:rPr>
            <w:vertAlign w:val="baseline"/>
          </w:rPr>
          <w:t>tort</w:t>
        </w:r>
        <w:r>
          <w:rPr>
            <w:spacing w:val="9"/>
            <w:vertAlign w:val="baseline"/>
          </w:rPr>
          <w:t> </w:t>
        </w:r>
        <w:r>
          <w:rPr>
            <w:vertAlign w:val="baseline"/>
          </w:rPr>
          <w:t>and</w:t>
        </w:r>
        <w:r>
          <w:rPr>
            <w:spacing w:val="9"/>
            <w:vertAlign w:val="baseline"/>
          </w:rPr>
          <w:t> </w:t>
        </w:r>
        <w:r>
          <w:rPr>
            <w:vertAlign w:val="baseline"/>
          </w:rPr>
          <w:t>in</w:t>
        </w:r>
        <w:r>
          <w:rPr>
            <w:spacing w:val="9"/>
            <w:vertAlign w:val="baseline"/>
          </w:rPr>
          <w:t> </w:t>
        </w:r>
        <w:r>
          <w:rPr>
            <w:vertAlign w:val="baseline"/>
          </w:rPr>
          <w:t>contract)</w:t>
        </w:r>
        <w:r>
          <w:rPr>
            <w:spacing w:val="9"/>
            <w:vertAlign w:val="baseline"/>
          </w:rPr>
          <w:t> </w:t>
        </w:r>
        <w:r>
          <w:rPr>
            <w:vertAlign w:val="baseline"/>
          </w:rPr>
          <w:t>would</w:t>
        </w:r>
        <w:r>
          <w:rPr>
            <w:spacing w:val="9"/>
            <w:vertAlign w:val="baseline"/>
          </w:rPr>
          <w:t> </w:t>
        </w:r>
        <w:r>
          <w:rPr>
            <w:vertAlign w:val="baseline"/>
          </w:rPr>
          <w:t>have</w:t>
        </w:r>
        <w:r>
          <w:rPr>
            <w:spacing w:val="9"/>
            <w:vertAlign w:val="baseline"/>
          </w:rPr>
          <w:t> </w:t>
        </w:r>
        <w:r>
          <w:rPr>
            <w:vertAlign w:val="baseline"/>
          </w:rPr>
          <w:t>led</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spacing w:val="-4"/>
            <w:vertAlign w:val="baseline"/>
          </w:rPr>
          <w:t>same</w:t>
        </w:r>
      </w:hyperlink>
    </w:p>
    <w:p>
      <w:pPr>
        <w:pStyle w:val="BodyText"/>
        <w:spacing w:line="235" w:lineRule="auto" w:before="119"/>
        <w:ind w:left="164" w:right="167"/>
        <w:jc w:val="both"/>
      </w:pPr>
      <w:r>
        <w:rPr/>
        <w:t>result. </w:t>
      </w:r>
      <w:hyperlink w:history="true" w:anchor="_bookmark2059">
        <w:r>
          <w:rPr>
            <w:color w:val="005DA1"/>
            <w:u w:val="single" w:color="005DA1"/>
            <w:vertAlign w:val="superscript"/>
          </w:rPr>
          <w:t>1375</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489" name="Image 489"/>
              <wp:cNvGraphicFramePr>
                <a:graphicFrameLocks/>
              </wp:cNvGraphicFramePr>
              <a:graphic>
                <a:graphicData uri="http://schemas.openxmlformats.org/drawingml/2006/picture">
                  <pic:pic>
                    <pic:nvPicPr>
                      <pic:cNvPr id="489" name="Image 48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
            <w:vertAlign w:val="baseline"/>
          </w:rPr>
          <w:t> </w:t>
        </w:r>
        <w:r>
          <w:rPr>
            <w:vertAlign w:val="baseline"/>
          </w:rPr>
          <w:t>Moreover, the two approaches to the proper test of remoteness, while apparently opposing, may be reconciled by reference to their contexts. In </w:t>
        </w:r>
        <w:r>
          <w:rPr>
            <w:rFonts w:ascii="Arial"/>
            <w:i/>
            <w:vertAlign w:val="baseline"/>
          </w:rPr>
          <w:t>Yapp</w:t>
        </w:r>
        <w:r>
          <w:rPr>
            <w:vertAlign w:val="baseline"/>
          </w:rPr>
          <w:t>, the claim was for damages by</w:t>
        </w:r>
        <w:r>
          <w:rPr>
            <w:spacing w:val="80"/>
            <w:vertAlign w:val="baseline"/>
          </w:rPr>
          <w:t> </w:t>
        </w:r>
        <w:r>
          <w:rPr>
            <w:vertAlign w:val="baseline"/>
          </w:rPr>
          <w:t>an employee against his employer for psychiatric injury suffered as a result of withdrawing him from </w:t>
        </w:r>
        <w:bookmarkStart w:name="_bookmark1921" w:id="1923"/>
        <w:bookmarkEnd w:id="1923"/>
        <w:r>
          <w:rPr>
            <w:vertAlign w:val="baseline"/>
          </w:rPr>
          <w:t>his</w:t>
        </w:r>
        <w:r>
          <w:rPr>
            <w:spacing w:val="26"/>
            <w:vertAlign w:val="baseline"/>
          </w:rPr>
          <w:t> </w:t>
        </w:r>
        <w:r>
          <w:rPr>
            <w:vertAlign w:val="baseline"/>
          </w:rPr>
          <w:t>post</w:t>
        </w:r>
        <w:r>
          <w:rPr>
            <w:spacing w:val="26"/>
            <w:vertAlign w:val="baseline"/>
          </w:rPr>
          <w:t> </w:t>
        </w:r>
        <w:r>
          <w:rPr>
            <w:vertAlign w:val="baseline"/>
          </w:rPr>
          <w:t>without</w:t>
        </w:r>
        <w:r>
          <w:rPr>
            <w:spacing w:val="26"/>
            <w:vertAlign w:val="baseline"/>
          </w:rPr>
          <w:t> </w:t>
        </w:r>
        <w:r>
          <w:rPr>
            <w:vertAlign w:val="baseline"/>
          </w:rPr>
          <w:t>informing</w:t>
        </w:r>
        <w:r>
          <w:rPr>
            <w:spacing w:val="26"/>
            <w:vertAlign w:val="baseline"/>
          </w:rPr>
          <w:t> </w:t>
        </w:r>
        <w:r>
          <w:rPr>
            <w:vertAlign w:val="baseline"/>
          </w:rPr>
          <w:t>him</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case</w:t>
        </w:r>
        <w:r>
          <w:rPr>
            <w:spacing w:val="26"/>
            <w:vertAlign w:val="baseline"/>
          </w:rPr>
          <w:t> </w:t>
        </w:r>
        <w:r>
          <w:rPr>
            <w:vertAlign w:val="baseline"/>
          </w:rPr>
          <w:t>against</w:t>
        </w:r>
        <w:r>
          <w:rPr>
            <w:spacing w:val="26"/>
            <w:vertAlign w:val="baseline"/>
          </w:rPr>
          <w:t> </w:t>
        </w:r>
        <w:r>
          <w:rPr>
            <w:vertAlign w:val="baseline"/>
          </w:rPr>
          <w:t>him</w:t>
        </w:r>
        <w:r>
          <w:rPr>
            <w:spacing w:val="26"/>
            <w:vertAlign w:val="baseline"/>
          </w:rPr>
          <w:t> </w:t>
        </w:r>
        <w:r>
          <w:rPr>
            <w:vertAlign w:val="baseline"/>
          </w:rPr>
          <w:t>for</w:t>
        </w:r>
        <w:r>
          <w:rPr>
            <w:spacing w:val="26"/>
            <w:vertAlign w:val="baseline"/>
          </w:rPr>
          <w:t> </w:t>
        </w:r>
        <w:r>
          <w:rPr>
            <w:vertAlign w:val="baseline"/>
          </w:rPr>
          <w:t>doing</w:t>
        </w:r>
        <w:r>
          <w:rPr>
            <w:spacing w:val="26"/>
            <w:vertAlign w:val="baseline"/>
          </w:rPr>
          <w:t> </w:t>
        </w:r>
        <w:r>
          <w:rPr>
            <w:vertAlign w:val="baseline"/>
          </w:rPr>
          <w:t>so</w:t>
        </w:r>
        <w:r>
          <w:rPr>
            <w:spacing w:val="26"/>
            <w:vertAlign w:val="baseline"/>
          </w:rPr>
          <w:t> </w:t>
        </w:r>
        <w:r>
          <w:rPr>
            <w:vertAlign w:val="baseline"/>
          </w:rPr>
          <w:t>(which</w:t>
        </w:r>
        <w:r>
          <w:rPr>
            <w:spacing w:val="26"/>
            <w:vertAlign w:val="baseline"/>
          </w:rPr>
          <w:t> </w:t>
        </w:r>
        <w:r>
          <w:rPr>
            <w:vertAlign w:val="baseline"/>
          </w:rPr>
          <w:t>was</w:t>
        </w:r>
        <w:r>
          <w:rPr>
            <w:spacing w:val="26"/>
            <w:vertAlign w:val="baseline"/>
          </w:rPr>
          <w:t> </w:t>
        </w:r>
        <w:r>
          <w:rPr>
            <w:vertAlign w:val="baseline"/>
          </w:rPr>
          <w:t>held</w:t>
        </w:r>
        <w:r>
          <w:rPr>
            <w:spacing w:val="26"/>
            <w:vertAlign w:val="baseline"/>
          </w:rPr>
          <w:t> </w:t>
        </w:r>
        <w:r>
          <w:rPr>
            <w:vertAlign w:val="baseline"/>
          </w:rPr>
          <w:t>to</w:t>
        </w:r>
        <w:r>
          <w:rPr>
            <w:spacing w:val="26"/>
            <w:vertAlign w:val="baseline"/>
          </w:rPr>
          <w:t> </w:t>
        </w:r>
        <w:r>
          <w:rPr>
            <w:vertAlign w:val="baseline"/>
          </w:rPr>
          <w:t>have</w:t>
        </w:r>
        <w:r>
          <w:rPr>
            <w:spacing w:val="26"/>
            <w:vertAlign w:val="baseline"/>
          </w:rPr>
          <w:t> </w:t>
        </w:r>
        <w:r>
          <w:rPr>
            <w:spacing w:val="-4"/>
            <w:vertAlign w:val="baseline"/>
          </w:rPr>
          <w:t>been</w:t>
        </w:r>
      </w:hyperlink>
    </w:p>
    <w:p>
      <w:pPr>
        <w:pStyle w:val="BodyText"/>
        <w:spacing w:line="235" w:lineRule="auto" w:before="118"/>
        <w:ind w:left="165" w:right="167"/>
        <w:jc w:val="both"/>
      </w:pPr>
      <w:r>
        <w:rPr/>
        <w:t>unfair)</w:t>
      </w:r>
      <w:r>
        <w:rPr>
          <w:spacing w:val="-3"/>
        </w:rPr>
        <w:t> </w:t>
      </w:r>
      <w:hyperlink w:history="true" w:anchor="_bookmark2060">
        <w:r>
          <w:rPr>
            <w:color w:val="005DA1"/>
            <w:u w:val="single" w:color="005DA1"/>
            <w:vertAlign w:val="superscript"/>
          </w:rPr>
          <w:t>1376</w:t>
        </w:r>
        <w:r>
          <w:rPr>
            <w:color w:val="005DA1"/>
            <w:spacing w:val="80"/>
            <w:vertAlign w:val="baseline"/>
          </w:rPr>
          <w:t> </w:t>
        </w:r>
        <w:r>
          <w:rPr>
            <w:color w:val="005DA1"/>
            <w:position w:val="-2"/>
            <w:vertAlign w:val="baseline"/>
          </w:rPr>
          <w:drawing>
            <wp:inline distT="0" distB="0" distL="0" distR="0">
              <wp:extent cx="107988" cy="107988"/>
              <wp:effectExtent l="0" t="0" r="0" b="0"/>
              <wp:docPr id="490" name="Image 490"/>
              <wp:cNvGraphicFramePr>
                <a:graphicFrameLocks/>
              </wp:cNvGraphicFramePr>
              <a:graphic>
                <a:graphicData uri="http://schemas.openxmlformats.org/drawingml/2006/picture">
                  <pic:pic>
                    <pic:nvPicPr>
                      <pic:cNvPr id="490" name="Image 4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of</w:t>
        </w:r>
        <w:r>
          <w:rPr>
            <w:spacing w:val="-3"/>
            <w:vertAlign w:val="baseline"/>
          </w:rPr>
          <w:t> </w:t>
        </w:r>
        <w:r>
          <w:rPr>
            <w:vertAlign w:val="baseline"/>
          </w:rPr>
          <w:t>Appeal</w:t>
        </w:r>
        <w:r>
          <w:rPr>
            <w:spacing w:val="-3"/>
            <w:vertAlign w:val="baseline"/>
          </w:rPr>
          <w:t> </w:t>
        </w:r>
        <w:r>
          <w:rPr>
            <w:vertAlign w:val="baseline"/>
          </w:rPr>
          <w:t>held</w:t>
        </w:r>
        <w:r>
          <w:rPr>
            <w:spacing w:val="-3"/>
            <w:vertAlign w:val="baseline"/>
          </w:rPr>
          <w:t> </w:t>
        </w:r>
        <w:r>
          <w:rPr>
            <w:vertAlign w:val="baseline"/>
          </w:rPr>
          <w:t>(summarising</w:t>
        </w:r>
        <w:r>
          <w:rPr>
            <w:spacing w:val="-3"/>
            <w:vertAlign w:val="baseline"/>
          </w:rPr>
          <w:t> </w:t>
        </w:r>
        <w:r>
          <w:rPr>
            <w:vertAlign w:val="baseline"/>
          </w:rPr>
          <w:t>the</w:t>
        </w:r>
        <w:r>
          <w:rPr>
            <w:spacing w:val="-3"/>
            <w:vertAlign w:val="baseline"/>
          </w:rPr>
          <w:t> </w:t>
        </w:r>
        <w:r>
          <w:rPr>
            <w:vertAlign w:val="baseline"/>
          </w:rPr>
          <w:t>authorities</w:t>
        </w:r>
        <w:r>
          <w:rPr>
            <w:spacing w:val="-3"/>
            <w:vertAlign w:val="baseline"/>
          </w:rPr>
          <w:t> </w:t>
        </w:r>
        <w:r>
          <w:rPr>
            <w:vertAlign w:val="baseline"/>
          </w:rPr>
          <w:t>in</w:t>
        </w:r>
        <w:r>
          <w:rPr>
            <w:spacing w:val="-3"/>
            <w:vertAlign w:val="baseline"/>
          </w:rPr>
          <w:t> </w:t>
        </w:r>
        <w:r>
          <w:rPr>
            <w:vertAlign w:val="baseline"/>
          </w:rPr>
          <w:t>that</w:t>
        </w:r>
        <w:r>
          <w:rPr>
            <w:spacing w:val="-3"/>
            <w:vertAlign w:val="baseline"/>
          </w:rPr>
          <w:t> </w:t>
        </w:r>
        <w:r>
          <w:rPr>
            <w:vertAlign w:val="baseline"/>
          </w:rPr>
          <w:t>context)</w:t>
        </w:r>
        <w:r>
          <w:rPr>
            <w:spacing w:val="-3"/>
            <w:vertAlign w:val="baseline"/>
          </w:rPr>
          <w:t> </w:t>
        </w:r>
        <w:r>
          <w:rPr>
            <w:vertAlign w:val="baseline"/>
          </w:rPr>
          <w:t>that</w:t>
        </w:r>
        <w:r>
          <w:rPr>
            <w:spacing w:val="-3"/>
            <w:vertAlign w:val="baseline"/>
          </w:rPr>
          <w:t> </w:t>
        </w:r>
        <w:r>
          <w:rPr>
            <w:vertAlign w:val="baseline"/>
          </w:rPr>
          <w:t>in</w:t>
        </w:r>
        <w:r>
          <w:rPr>
            <w:spacing w:val="-3"/>
            <w:vertAlign w:val="baseline"/>
          </w:rPr>
          <w:t> </w:t>
        </w:r>
        <w:r>
          <w:rPr>
            <w:vertAlign w:val="baseline"/>
          </w:rPr>
          <w:t>such</w:t>
        </w:r>
        <w:r>
          <w:rPr>
            <w:spacing w:val="-3"/>
            <w:vertAlign w:val="baseline"/>
          </w:rPr>
          <w:t> </w:t>
        </w:r>
        <w:r>
          <w:rPr>
            <w:vertAlign w:val="baseline"/>
          </w:rPr>
          <w:t>a </w:t>
        </w:r>
        <w:bookmarkStart w:name="_bookmark1922" w:id="1924"/>
        <w:bookmarkEnd w:id="1924"/>
        <w:r>
          <w:rPr>
            <w:vertAlign w:val="baseline"/>
          </w:rPr>
          <w:t>claim</w:t>
        </w:r>
        <w:r>
          <w:rPr>
            <w:spacing w:val="15"/>
            <w:vertAlign w:val="baseline"/>
          </w:rPr>
          <w:t> </w:t>
        </w:r>
        <w:r>
          <w:rPr>
            <w:vertAlign w:val="baseline"/>
          </w:rPr>
          <w:t>“for</w:t>
        </w:r>
        <w:r>
          <w:rPr>
            <w:spacing w:val="15"/>
            <w:vertAlign w:val="baseline"/>
          </w:rPr>
          <w:t> </w:t>
        </w:r>
        <w:r>
          <w:rPr>
            <w:vertAlign w:val="baseline"/>
          </w:rPr>
          <w:t>breach</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common</w:t>
        </w:r>
        <w:r>
          <w:rPr>
            <w:spacing w:val="15"/>
            <w:vertAlign w:val="baseline"/>
          </w:rPr>
          <w:t> </w:t>
        </w:r>
        <w:r>
          <w:rPr>
            <w:vertAlign w:val="baseline"/>
          </w:rPr>
          <w:t>law</w:t>
        </w:r>
        <w:r>
          <w:rPr>
            <w:spacing w:val="15"/>
            <w:vertAlign w:val="baseline"/>
          </w:rPr>
          <w:t> </w:t>
        </w:r>
        <w:r>
          <w:rPr>
            <w:vertAlign w:val="baseline"/>
          </w:rPr>
          <w:t>duty</w:t>
        </w:r>
        <w:r>
          <w:rPr>
            <w:spacing w:val="15"/>
            <w:vertAlign w:val="baseline"/>
          </w:rPr>
          <w:t> </w:t>
        </w:r>
        <w:r>
          <w:rPr>
            <w:vertAlign w:val="baseline"/>
          </w:rPr>
          <w:t>of</w:t>
        </w:r>
        <w:r>
          <w:rPr>
            <w:spacing w:val="15"/>
            <w:vertAlign w:val="baseline"/>
          </w:rPr>
          <w:t> </w:t>
        </w:r>
        <w:r>
          <w:rPr>
            <w:vertAlign w:val="baseline"/>
          </w:rPr>
          <w:t>care”</w:t>
        </w:r>
        <w:r>
          <w:rPr>
            <w:spacing w:val="15"/>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immaterial</w:t>
        </w:r>
        <w:r>
          <w:rPr>
            <w:spacing w:val="15"/>
            <w:vertAlign w:val="baseline"/>
          </w:rPr>
          <w:t> </w:t>
        </w:r>
        <w:r>
          <w:rPr>
            <w:vertAlign w:val="baseline"/>
          </w:rPr>
          <w:t>that</w:t>
        </w:r>
        <w:r>
          <w:rPr>
            <w:spacing w:val="15"/>
            <w:vertAlign w:val="baseline"/>
          </w:rPr>
          <w:t> </w:t>
        </w:r>
        <w:r>
          <w:rPr>
            <w:vertAlign w:val="baseline"/>
          </w:rPr>
          <w:t>the</w:t>
        </w:r>
        <w:r>
          <w:rPr>
            <w:spacing w:val="15"/>
            <w:vertAlign w:val="baseline"/>
          </w:rPr>
          <w:t> </w:t>
        </w:r>
        <w:r>
          <w:rPr>
            <w:vertAlign w:val="baseline"/>
          </w:rPr>
          <w:t>duty</w:t>
        </w:r>
        <w:r>
          <w:rPr>
            <w:spacing w:val="15"/>
            <w:vertAlign w:val="baseline"/>
          </w:rPr>
          <w:t> </w:t>
        </w:r>
        <w:r>
          <w:rPr>
            <w:vertAlign w:val="baseline"/>
          </w:rPr>
          <w:t>arises</w:t>
        </w:r>
        <w:r>
          <w:rPr>
            <w:spacing w:val="15"/>
            <w:vertAlign w:val="baseline"/>
          </w:rPr>
          <w:t> </w:t>
        </w:r>
        <w:r>
          <w:rPr>
            <w:vertAlign w:val="baseline"/>
          </w:rPr>
          <w:t>in</w:t>
        </w:r>
        <w:r>
          <w:rPr>
            <w:spacing w:val="15"/>
            <w:vertAlign w:val="baseline"/>
          </w:rPr>
          <w:t> </w:t>
        </w:r>
        <w:r>
          <w:rPr>
            <w:vertAlign w:val="baseline"/>
          </w:rPr>
          <w:t>contract</w:t>
        </w:r>
        <w:r>
          <w:rPr>
            <w:spacing w:val="15"/>
            <w:vertAlign w:val="baseline"/>
          </w:rPr>
          <w:t> </w:t>
        </w:r>
        <w:r>
          <w:rPr>
            <w:spacing w:val="-5"/>
            <w:vertAlign w:val="baseline"/>
          </w:rPr>
          <w:t>as</w:t>
        </w:r>
      </w:hyperlink>
    </w:p>
    <w:p>
      <w:pPr>
        <w:pStyle w:val="BodyText"/>
        <w:spacing w:line="235" w:lineRule="auto" w:before="120"/>
        <w:ind w:left="165" w:right="167"/>
        <w:jc w:val="both"/>
      </w:pPr>
      <w:r>
        <w:rPr/>
        <w:t>well as tort. </w:t>
      </w:r>
      <w:hyperlink w:history="true" w:anchor="_bookmark2061">
        <w:r>
          <w:rPr>
            <w:color w:val="005DA1"/>
            <w:u w:val="single" w:color="005DA1"/>
            <w:vertAlign w:val="superscript"/>
          </w:rPr>
          <w:t>1377</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491" name="Image 491"/>
              <wp:cNvGraphicFramePr>
                <a:graphicFrameLocks/>
              </wp:cNvGraphicFramePr>
              <a:graphic>
                <a:graphicData uri="http://schemas.openxmlformats.org/drawingml/2006/picture">
                  <pic:pic>
                    <pic:nvPicPr>
                      <pic:cNvPr id="491" name="Image 49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vertAlign w:val="baseline"/>
          </w:rPr>
          <w:t> </w:t>
        </w:r>
        <w:r>
          <w:rPr>
            <w:vertAlign w:val="baseline"/>
          </w:rPr>
          <w:t>In such a context, therefore, the defendant’s liability in the tort in respect </w:t>
        </w:r>
        <w:r>
          <w:rPr>
            <w:vertAlign w:val="baseline"/>
          </w:rPr>
          <w:t>of psychiatric injury (which did not rest on any assumption of responsibility) could be seen as primary as </w:t>
        </w:r>
        <w:bookmarkStart w:name="_bookmark1923" w:id="1925"/>
        <w:bookmarkEnd w:id="1925"/>
        <w:r>
          <w:rPr>
            <w:vertAlign w:val="baseline"/>
          </w:rPr>
          <w:t>compared</w:t>
        </w:r>
        <w:r>
          <w:rPr>
            <w:spacing w:val="1"/>
            <w:vertAlign w:val="baseline"/>
          </w:rPr>
          <w:t> </w:t>
        </w:r>
        <w:r>
          <w:rPr>
            <w:vertAlign w:val="baseline"/>
          </w:rPr>
          <w:t>with</w:t>
        </w:r>
        <w:r>
          <w:rPr>
            <w:spacing w:val="1"/>
            <w:vertAlign w:val="baseline"/>
          </w:rPr>
          <w:t> </w:t>
        </w:r>
        <w:r>
          <w:rPr>
            <w:vertAlign w:val="baseline"/>
          </w:rPr>
          <w:t>its</w:t>
        </w:r>
        <w:r>
          <w:rPr>
            <w:spacing w:val="1"/>
            <w:vertAlign w:val="baseline"/>
          </w:rPr>
          <w:t> </w:t>
        </w:r>
        <w:r>
          <w:rPr>
            <w:vertAlign w:val="baseline"/>
          </w:rPr>
          <w:t>contractual</w:t>
        </w:r>
        <w:r>
          <w:rPr>
            <w:spacing w:val="1"/>
            <w:vertAlign w:val="baseline"/>
          </w:rPr>
          <w:t> </w:t>
        </w:r>
        <w:r>
          <w:rPr>
            <w:vertAlign w:val="baseline"/>
          </w:rPr>
          <w:t>liability</w:t>
        </w:r>
        <w:r>
          <w:rPr>
            <w:spacing w:val="1"/>
            <w:vertAlign w:val="baseline"/>
          </w:rPr>
          <w:t> </w:t>
        </w:r>
        <w:r>
          <w:rPr>
            <w:vertAlign w:val="baseline"/>
          </w:rPr>
          <w:t>arising</w:t>
        </w:r>
        <w:r>
          <w:rPr>
            <w:spacing w:val="1"/>
            <w:vertAlign w:val="baseline"/>
          </w:rPr>
          <w:t> </w:t>
        </w:r>
        <w:r>
          <w:rPr>
            <w:vertAlign w:val="baseline"/>
          </w:rPr>
          <w:t>from</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term</w:t>
        </w:r>
        <w:r>
          <w:rPr>
            <w:spacing w:val="1"/>
            <w:vertAlign w:val="baseline"/>
          </w:rPr>
          <w:t> </w:t>
        </w:r>
        <w:r>
          <w:rPr>
            <w:vertAlign w:val="baseline"/>
          </w:rPr>
          <w:t>implied</w:t>
        </w:r>
        <w:r>
          <w:rPr>
            <w:spacing w:val="1"/>
            <w:vertAlign w:val="baseline"/>
          </w:rPr>
          <w:t> </w:t>
        </w:r>
        <w:r>
          <w:rPr>
            <w:vertAlign w:val="baseline"/>
          </w:rPr>
          <w:t>in</w:t>
        </w:r>
        <w:r>
          <w:rPr>
            <w:spacing w:val="1"/>
            <w:vertAlign w:val="baseline"/>
          </w:rPr>
          <w:t> </w:t>
        </w:r>
        <w:r>
          <w:rPr>
            <w:vertAlign w:val="baseline"/>
          </w:rPr>
          <w:t>law</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employer</w:t>
        </w:r>
        <w:r>
          <w:rPr>
            <w:spacing w:val="1"/>
            <w:vertAlign w:val="baseline"/>
          </w:rPr>
          <w:t> </w:t>
        </w:r>
        <w:r>
          <w:rPr>
            <w:spacing w:val="-5"/>
            <w:vertAlign w:val="baseline"/>
          </w:rPr>
          <w:t>to</w:t>
        </w:r>
      </w:hyperlink>
    </w:p>
    <w:p>
      <w:pPr>
        <w:pStyle w:val="BodyText"/>
        <w:spacing w:line="235" w:lineRule="auto" w:before="119"/>
        <w:ind w:left="165" w:right="167"/>
        <w:jc w:val="both"/>
      </w:pPr>
      <w:r>
        <w:rPr/>
        <w:t>take reasonable care of the employee’s health and safety. </w:t>
      </w:r>
      <w:hyperlink w:history="true" w:anchor="_bookmark2062">
        <w:r>
          <w:rPr>
            <w:color w:val="005DA1"/>
            <w:u w:val="single" w:color="005DA1"/>
            <w:vertAlign w:val="superscript"/>
          </w:rPr>
          <w:t>1378</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492" name="Image 492"/>
              <wp:cNvGraphicFramePr>
                <a:graphicFrameLocks/>
              </wp:cNvGraphicFramePr>
              <a:graphic>
                <a:graphicData uri="http://schemas.openxmlformats.org/drawingml/2006/picture">
                  <pic:pic>
                    <pic:nvPicPr>
                      <pic:cNvPr id="492" name="Image 49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33"/>
            <w:vertAlign w:val="baseline"/>
          </w:rPr>
          <w:t> </w:t>
        </w:r>
        <w:r>
          <w:rPr>
            <w:vertAlign w:val="baseline"/>
          </w:rPr>
          <w:t>By contrast, in </w:t>
        </w:r>
        <w:r>
          <w:rPr>
            <w:rFonts w:ascii="Arial" w:hAnsi="Arial"/>
            <w:i/>
            <w:vertAlign w:val="baseline"/>
          </w:rPr>
          <w:t>Wellesley </w:t>
        </w:r>
        <w:r>
          <w:rPr>
            <w:rFonts w:ascii="Arial" w:hAnsi="Arial"/>
            <w:i/>
            <w:vertAlign w:val="baseline"/>
          </w:rPr>
          <w:t>Partners LLP </w:t>
        </w:r>
        <w:r>
          <w:rPr>
            <w:vertAlign w:val="baseline"/>
          </w:rPr>
          <w:t>the defendant’s liability in contract was for breach of an express term of the contract (that is, to follow their client’s instructions as to the terms of the amendment agreement) whereas its liability in tort was for pure economic loss based on an assumption of responsibility where the assumption stemmed from the contract itself: indeed, the judges in the Court of Appeal restricted their decision on </w:t>
        </w:r>
        <w:bookmarkStart w:name="_bookmark1924" w:id="1926"/>
        <w:bookmarkEnd w:id="1926"/>
        <w:r>
          <w:rPr>
            <w:vertAlign w:val="baseline"/>
          </w:rPr>
          <w:t>the</w:t>
        </w:r>
        <w:r>
          <w:rPr>
            <w:spacing w:val="7"/>
            <w:vertAlign w:val="baseline"/>
          </w:rPr>
          <w:t> </w:t>
        </w:r>
        <w:r>
          <w:rPr>
            <w:vertAlign w:val="baseline"/>
          </w:rPr>
          <w:t>test</w:t>
        </w:r>
        <w:r>
          <w:rPr>
            <w:spacing w:val="7"/>
            <w:vertAlign w:val="baseline"/>
          </w:rPr>
          <w:t> </w:t>
        </w:r>
        <w:r>
          <w:rPr>
            <w:vertAlign w:val="baseline"/>
          </w:rPr>
          <w:t>of</w:t>
        </w:r>
        <w:r>
          <w:rPr>
            <w:spacing w:val="7"/>
            <w:vertAlign w:val="baseline"/>
          </w:rPr>
          <w:t> </w:t>
        </w:r>
        <w:r>
          <w:rPr>
            <w:vertAlign w:val="baseline"/>
          </w:rPr>
          <w:t>remoteness</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situation</w:t>
        </w:r>
        <w:r>
          <w:rPr>
            <w:spacing w:val="7"/>
            <w:vertAlign w:val="baseline"/>
          </w:rPr>
          <w:t> </w:t>
        </w:r>
        <w:r>
          <w:rPr>
            <w:vertAlign w:val="baseline"/>
          </w:rPr>
          <w:t>where</w:t>
        </w:r>
        <w:r>
          <w:rPr>
            <w:spacing w:val="7"/>
            <w:vertAlign w:val="baseline"/>
          </w:rPr>
          <w:t> </w:t>
        </w:r>
        <w:r>
          <w:rPr>
            <w:vertAlign w:val="baseline"/>
          </w:rPr>
          <w:t>the</w:t>
        </w:r>
        <w:r>
          <w:rPr>
            <w:spacing w:val="7"/>
            <w:vertAlign w:val="baseline"/>
          </w:rPr>
          <w:t> </w:t>
        </w:r>
        <w:r>
          <w:rPr>
            <w:vertAlign w:val="baseline"/>
          </w:rPr>
          <w:t>tort</w:t>
        </w:r>
        <w:r>
          <w:rPr>
            <w:spacing w:val="7"/>
            <w:vertAlign w:val="baseline"/>
          </w:rPr>
          <w:t> </w:t>
        </w:r>
        <w:r>
          <w:rPr>
            <w:vertAlign w:val="baseline"/>
          </w:rPr>
          <w:t>was</w:t>
        </w:r>
        <w:r>
          <w:rPr>
            <w:spacing w:val="7"/>
            <w:vertAlign w:val="baseline"/>
          </w:rPr>
          <w:t> </w:t>
        </w:r>
        <w:r>
          <w:rPr>
            <w:vertAlign w:val="baseline"/>
          </w:rPr>
          <w:t>based</w:t>
        </w:r>
        <w:r>
          <w:rPr>
            <w:spacing w:val="7"/>
            <w:vertAlign w:val="baseline"/>
          </w:rPr>
          <w:t> </w:t>
        </w:r>
        <w:r>
          <w:rPr>
            <w:vertAlign w:val="baseline"/>
          </w:rPr>
          <w:t>on</w:t>
        </w:r>
        <w:r>
          <w:rPr>
            <w:spacing w:val="7"/>
            <w:vertAlign w:val="baseline"/>
          </w:rPr>
          <w:t> </w:t>
        </w:r>
        <w:r>
          <w:rPr>
            <w:vertAlign w:val="baseline"/>
          </w:rPr>
          <w:t>such</w:t>
        </w:r>
        <w:r>
          <w:rPr>
            <w:spacing w:val="7"/>
            <w:vertAlign w:val="baseline"/>
          </w:rPr>
          <w:t> </w:t>
        </w:r>
        <w:r>
          <w:rPr>
            <w:vertAlign w:val="baseline"/>
          </w:rPr>
          <w:t>a</w:t>
        </w:r>
        <w:r>
          <w:rPr>
            <w:spacing w:val="7"/>
            <w:vertAlign w:val="baseline"/>
          </w:rPr>
          <w:t> </w:t>
        </w:r>
        <w:r>
          <w:rPr>
            <w:vertAlign w:val="baseline"/>
          </w:rPr>
          <w:t>contractual</w:t>
        </w:r>
        <w:r>
          <w:rPr>
            <w:spacing w:val="7"/>
            <w:vertAlign w:val="baseline"/>
          </w:rPr>
          <w:t> </w:t>
        </w:r>
        <w:r>
          <w:rPr>
            <w:vertAlign w:val="baseline"/>
          </w:rPr>
          <w:t>assumption</w:t>
        </w:r>
        <w:r>
          <w:rPr>
            <w:spacing w:val="7"/>
            <w:vertAlign w:val="baseline"/>
          </w:rPr>
          <w:t> </w:t>
        </w:r>
        <w:r>
          <w:rPr>
            <w:spacing w:val="-5"/>
            <w:vertAlign w:val="baseline"/>
          </w:rPr>
          <w:t>of</w:t>
        </w:r>
      </w:hyperlink>
    </w:p>
    <w:p>
      <w:pPr>
        <w:pStyle w:val="BodyText"/>
        <w:spacing w:line="235" w:lineRule="auto" w:before="117"/>
        <w:ind w:left="164" w:right="167"/>
        <w:jc w:val="both"/>
      </w:pPr>
      <w:r>
        <w:rPr/>
        <w:t>responsibility. </w:t>
      </w:r>
      <w:r>
        <w:rPr>
          <w:color w:val="005DA1"/>
          <w:u w:val="single" w:color="005DA1"/>
          <w:vertAlign w:val="superscript"/>
        </w:rPr>
        <w:t>1379</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493" name="Image 493"/>
            <wp:cNvGraphicFramePr>
              <a:graphicFrameLocks/>
            </wp:cNvGraphicFramePr>
            <a:graphic>
              <a:graphicData uri="http://schemas.openxmlformats.org/drawingml/2006/picture">
                <pic:pic>
                  <pic:nvPicPr>
                    <pic:cNvPr id="493" name="Image 49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10"/>
          <w:vertAlign w:val="baseline"/>
        </w:rPr>
        <w:t> </w:t>
      </w:r>
      <w:r>
        <w:rPr>
          <w:vertAlign w:val="baseline"/>
        </w:rPr>
        <w:t>A distinction between claims for psychiatric injury (and, it is submitted, other harms, such as personal injury and damage to property) where liability in tort in the defendant does not rest on an assumption of responsibility (</w:t>
      </w:r>
      <w:r>
        <w:rPr>
          <w:rFonts w:ascii="Arial"/>
          <w:i/>
          <w:vertAlign w:val="baseline"/>
        </w:rPr>
        <w:t>Yapp</w:t>
      </w:r>
      <w:r>
        <w:rPr>
          <w:vertAlign w:val="baseline"/>
        </w:rPr>
        <w:t>) and claims for pure economic loss where it does ( </w:t>
      </w:r>
      <w:r>
        <w:rPr>
          <w:rFonts w:ascii="Arial"/>
          <w:i/>
          <w:vertAlign w:val="baseline"/>
        </w:rPr>
        <w:t>Wellesley Partners LLP</w:t>
      </w:r>
      <w:r>
        <w:rPr>
          <w:vertAlign w:val="baseline"/>
        </w:rPr>
        <w:t>) would echo the approach of Lord Denning M.R. in his minority reasoning </w:t>
      </w:r>
      <w:r>
        <w:rPr>
          <w:vertAlign w:val="baseline"/>
        </w:rPr>
        <w:t>in</w:t>
      </w:r>
      <w:r>
        <w:rPr>
          <w:spacing w:val="80"/>
          <w:vertAlign w:val="baseline"/>
        </w:rPr>
        <w:t> </w:t>
      </w:r>
      <w:bookmarkStart w:name="_bookmark1925" w:id="1927"/>
      <w:bookmarkEnd w:id="1927"/>
      <w:r>
        <w:rPr>
          <w:vertAlign w:val="baseline"/>
        </w:rPr>
      </w:r>
      <w:r>
        <w:rPr>
          <w:rFonts w:ascii="Arial"/>
          <w:i/>
          <w:vertAlign w:val="baseline"/>
        </w:rPr>
        <w:t>H Parsons (Livestock) Ltd v Uttley Ingham &amp; Co Ltd </w:t>
      </w:r>
      <w:r>
        <w:rPr>
          <w:vertAlign w:val="baseline"/>
        </w:rPr>
        <w:t>(who distinguished between concurrent claims </w:t>
      </w:r>
      <w:r>
        <w:rPr>
          <w:spacing w:val="-5"/>
          <w:vertAlign w:val="baseline"/>
        </w:rPr>
        <w:t>for</w:t>
      </w:r>
    </w:p>
    <w:p>
      <w:pPr>
        <w:pStyle w:val="BodyText"/>
        <w:spacing w:line="235" w:lineRule="auto" w:before="118"/>
        <w:ind w:left="165" w:right="167"/>
        <w:jc w:val="both"/>
      </w:pPr>
      <w:r>
        <w:rPr/>
        <w:t>physical damage and pure economic loss </w:t>
      </w:r>
      <w:hyperlink w:history="true" w:anchor="_bookmark2063">
        <w:r>
          <w:rPr>
            <w:color w:val="005DA1"/>
            <w:u w:val="single" w:color="005DA1"/>
            <w:vertAlign w:val="superscript"/>
          </w:rPr>
          <w:t>1380</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494" name="Image 494"/>
              <wp:cNvGraphicFramePr>
                <a:graphicFrameLocks/>
              </wp:cNvGraphicFramePr>
              <a:graphic>
                <a:graphicData uri="http://schemas.openxmlformats.org/drawingml/2006/picture">
                  <pic:pic>
                    <pic:nvPicPr>
                      <pic:cNvPr id="494" name="Image 49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vertAlign w:val="baseline"/>
          </w:rPr>
          <w:t>) with the difference that under </w:t>
        </w:r>
        <w:r>
          <w:rPr>
            <w:rFonts w:ascii="Arial" w:hAnsi="Arial"/>
            <w:i/>
            <w:vertAlign w:val="baseline"/>
          </w:rPr>
          <w:t>Wellesley Partners LLP</w:t>
        </w:r>
        <w:r>
          <w:rPr>
            <w:rFonts w:ascii="Arial" w:hAnsi="Arial"/>
            <w:i/>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test</w:t>
        </w:r>
        <w:r>
          <w:rPr>
            <w:spacing w:val="-1"/>
            <w:vertAlign w:val="baseline"/>
          </w:rPr>
          <w:t> </w:t>
        </w:r>
        <w:r>
          <w:rPr>
            <w:vertAlign w:val="baseline"/>
          </w:rPr>
          <w:t>of</w:t>
        </w:r>
        <w:r>
          <w:rPr>
            <w:spacing w:val="-1"/>
            <w:vertAlign w:val="baseline"/>
          </w:rPr>
          <w:t> </w:t>
        </w:r>
        <w:r>
          <w:rPr>
            <w:vertAlign w:val="baseline"/>
          </w:rPr>
          <w:t>remoteness</w:t>
        </w:r>
        <w:r>
          <w:rPr>
            <w:spacing w:val="-1"/>
            <w:vertAlign w:val="baseline"/>
          </w:rPr>
          <w:t> </w:t>
        </w:r>
        <w:r>
          <w:rPr>
            <w:vertAlign w:val="baseline"/>
          </w:rPr>
          <w:t>would</w:t>
        </w:r>
        <w:r>
          <w:rPr>
            <w:spacing w:val="-1"/>
            <w:vertAlign w:val="baseline"/>
          </w:rPr>
          <w:t> </w:t>
        </w:r>
        <w:r>
          <w:rPr>
            <w:vertAlign w:val="baseline"/>
          </w:rPr>
          <w:t>apply</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claim</w:t>
        </w:r>
        <w:r>
          <w:rPr>
            <w:spacing w:val="-1"/>
            <w:vertAlign w:val="baseline"/>
          </w:rPr>
          <w:t> </w:t>
        </w:r>
        <w:r>
          <w:rPr>
            <w:vertAlign w:val="baseline"/>
          </w:rPr>
          <w:t>for</w:t>
        </w:r>
        <w:r>
          <w:rPr>
            <w:spacing w:val="-1"/>
            <w:vertAlign w:val="baseline"/>
          </w:rPr>
          <w:t> </w:t>
        </w:r>
        <w:r>
          <w:rPr>
            <w:vertAlign w:val="baseline"/>
          </w:rPr>
          <w:t>pure</w:t>
        </w:r>
        <w:r>
          <w:rPr>
            <w:spacing w:val="-1"/>
            <w:vertAlign w:val="baseline"/>
          </w:rPr>
          <w:t> </w:t>
        </w:r>
        <w:r>
          <w:rPr>
            <w:vertAlign w:val="baseline"/>
          </w:rPr>
          <w:t>economic</w:t>
        </w:r>
        <w:r>
          <w:rPr>
            <w:spacing w:val="-1"/>
            <w:vertAlign w:val="baseline"/>
          </w:rPr>
          <w:t> </w:t>
        </w:r>
        <w:r>
          <w:rPr>
            <w:vertAlign w:val="baseline"/>
          </w:rPr>
          <w:t>loss</w:t>
        </w:r>
        <w:r>
          <w:rPr>
            <w:spacing w:val="-1"/>
            <w:vertAlign w:val="baseline"/>
          </w:rPr>
          <w:t> </w:t>
        </w:r>
        <w:r>
          <w:rPr>
            <w:vertAlign w:val="baseline"/>
          </w:rPr>
          <w:t>in</w:t>
        </w:r>
        <w:r>
          <w:rPr>
            <w:spacing w:val="-1"/>
            <w:vertAlign w:val="baseline"/>
          </w:rPr>
          <w:t> </w:t>
        </w:r>
        <w:r>
          <w:rPr>
            <w:vertAlign w:val="baseline"/>
          </w:rPr>
          <w:t>tort</w:t>
        </w:r>
        <w:r>
          <w:rPr>
            <w:spacing w:val="-1"/>
            <w:vertAlign w:val="baseline"/>
          </w:rPr>
          <w:t> </w:t>
        </w:r>
        <w:r>
          <w:rPr>
            <w:vertAlign w:val="baseline"/>
          </w:rPr>
          <w:t>only</w:t>
        </w:r>
        <w:r>
          <w:rPr>
            <w:spacing w:val="-1"/>
            <w:vertAlign w:val="baseline"/>
          </w:rPr>
          <w:t> </w:t>
        </w:r>
        <w:r>
          <w:rPr>
            <w:vertAlign w:val="baseline"/>
          </w:rPr>
          <w:t>where</w:t>
        </w:r>
        <w:r>
          <w:rPr>
            <w:spacing w:val="-1"/>
            <w:vertAlign w:val="baseline"/>
          </w:rPr>
          <w:t> </w:t>
        </w:r>
        <w:r>
          <w:rPr>
            <w:vertAlign w:val="baseline"/>
          </w:rPr>
          <w:t>it is based (as would normally be the case) on an assumption of responsibility. More generally, </w:t>
        </w:r>
        <w:r>
          <w:rPr>
            <w:vertAlign w:val="baseline"/>
          </w:rPr>
          <w:t>while</w:t>
        </w:r>
        <w:r>
          <w:rPr>
            <w:spacing w:val="40"/>
            <w:vertAlign w:val="baseline"/>
          </w:rPr>
          <w:t> </w:t>
        </w:r>
        <w:r>
          <w:rPr>
            <w:vertAlign w:val="baseline"/>
          </w:rPr>
          <w:t>the Court of Appeal in </w:t>
        </w:r>
        <w:r>
          <w:rPr>
            <w:rFonts w:ascii="Arial" w:hAnsi="Arial"/>
            <w:i/>
            <w:vertAlign w:val="baseline"/>
          </w:rPr>
          <w:t>Wellesley Partners LLP </w:t>
        </w:r>
        <w:r>
          <w:rPr>
            <w:vertAlign w:val="baseline"/>
          </w:rPr>
          <w:t>acknowledged that the House of Lords in </w:t>
        </w:r>
        <w:r>
          <w:rPr>
            <w:rFonts w:ascii="Arial" w:hAnsi="Arial"/>
            <w:i/>
            <w:vertAlign w:val="baseline"/>
          </w:rPr>
          <w:t>Henderson v </w:t>
        </w:r>
        <w:bookmarkStart w:name="_bookmark1926" w:id="1928"/>
        <w:bookmarkEnd w:id="1928"/>
        <w:r>
          <w:rPr>
            <w:rFonts w:ascii="Arial" w:hAnsi="Arial"/>
            <w:i/>
            <w:vertAlign w:val="baseline"/>
          </w:rPr>
          <w:t>Merrett</w:t>
        </w:r>
        <w:r>
          <w:rPr>
            <w:rFonts w:ascii="Arial" w:hAnsi="Arial"/>
            <w:i/>
            <w:spacing w:val="11"/>
            <w:vertAlign w:val="baseline"/>
          </w:rPr>
          <w:t> </w:t>
        </w:r>
        <w:r>
          <w:rPr>
            <w:rFonts w:ascii="Arial" w:hAnsi="Arial"/>
            <w:i/>
            <w:vertAlign w:val="baseline"/>
          </w:rPr>
          <w:t>Syndicates</w:t>
        </w:r>
        <w:r>
          <w:rPr>
            <w:rFonts w:ascii="Arial" w:hAnsi="Arial"/>
            <w:i/>
            <w:spacing w:val="11"/>
            <w:vertAlign w:val="baseline"/>
          </w:rPr>
          <w:t> </w:t>
        </w:r>
        <w:r>
          <w:rPr>
            <w:rFonts w:ascii="Arial" w:hAnsi="Arial"/>
            <w:i/>
            <w:vertAlign w:val="baseline"/>
          </w:rPr>
          <w:t>Ltd</w:t>
        </w:r>
        <w:r>
          <w:rPr>
            <w:rFonts w:ascii="Arial" w:hAnsi="Arial"/>
            <w:i/>
            <w:spacing w:val="10"/>
            <w:vertAlign w:val="baseline"/>
          </w:rPr>
          <w:t> </w:t>
        </w:r>
        <w:r>
          <w:rPr>
            <w:vertAlign w:val="baseline"/>
          </w:rPr>
          <w:t>treated</w:t>
        </w:r>
        <w:r>
          <w:rPr>
            <w:spacing w:val="11"/>
            <w:vertAlign w:val="baseline"/>
          </w:rPr>
          <w:t> </w:t>
        </w:r>
        <w:r>
          <w:rPr>
            <w:vertAlign w:val="baseline"/>
          </w:rPr>
          <w:t>liability</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tort</w:t>
        </w:r>
        <w:r>
          <w:rPr>
            <w:spacing w:val="11"/>
            <w:vertAlign w:val="baseline"/>
          </w:rPr>
          <w:t> </w:t>
        </w:r>
        <w:r>
          <w:rPr>
            <w:vertAlign w:val="baseline"/>
          </w:rPr>
          <w:t>of</w:t>
        </w:r>
        <w:r>
          <w:rPr>
            <w:spacing w:val="11"/>
            <w:vertAlign w:val="baseline"/>
          </w:rPr>
          <w:t> </w:t>
        </w:r>
        <w:r>
          <w:rPr>
            <w:vertAlign w:val="baseline"/>
          </w:rPr>
          <w:t>negligence</w:t>
        </w:r>
        <w:r>
          <w:rPr>
            <w:spacing w:val="11"/>
            <w:vertAlign w:val="baseline"/>
          </w:rPr>
          <w:t> </w:t>
        </w:r>
        <w:r>
          <w:rPr>
            <w:vertAlign w:val="baseline"/>
          </w:rPr>
          <w:t>that</w:t>
        </w:r>
        <w:r>
          <w:rPr>
            <w:spacing w:val="11"/>
            <w:vertAlign w:val="baseline"/>
          </w:rPr>
          <w:t> </w:t>
        </w:r>
        <w:r>
          <w:rPr>
            <w:vertAlign w:val="baseline"/>
          </w:rPr>
          <w:t>is</w:t>
        </w:r>
        <w:r>
          <w:rPr>
            <w:spacing w:val="11"/>
            <w:vertAlign w:val="baseline"/>
          </w:rPr>
          <w:t> </w:t>
        </w:r>
        <w:r>
          <w:rPr>
            <w:vertAlign w:val="baseline"/>
          </w:rPr>
          <w:t>based</w:t>
        </w:r>
        <w:r>
          <w:rPr>
            <w:spacing w:val="11"/>
            <w:vertAlign w:val="baseline"/>
          </w:rPr>
          <w:t> </w:t>
        </w:r>
        <w:r>
          <w:rPr>
            <w:vertAlign w:val="baseline"/>
          </w:rPr>
          <w:t>on</w:t>
        </w:r>
        <w:r>
          <w:rPr>
            <w:spacing w:val="11"/>
            <w:vertAlign w:val="baseline"/>
          </w:rPr>
          <w:t> </w:t>
        </w:r>
        <w:r>
          <w:rPr>
            <w:vertAlign w:val="baseline"/>
          </w:rPr>
          <w:t>a</w:t>
        </w:r>
        <w:r>
          <w:rPr>
            <w:spacing w:val="11"/>
            <w:vertAlign w:val="baseline"/>
          </w:rPr>
          <w:t> </w:t>
        </w:r>
        <w:r>
          <w:rPr>
            <w:vertAlign w:val="baseline"/>
          </w:rPr>
          <w:t>“broad</w:t>
        </w:r>
        <w:r>
          <w:rPr>
            <w:spacing w:val="11"/>
            <w:vertAlign w:val="baseline"/>
          </w:rPr>
          <w:t> </w:t>
        </w:r>
        <w:r>
          <w:rPr>
            <w:vertAlign w:val="baseline"/>
          </w:rPr>
          <w:t>principle”</w:t>
        </w:r>
        <w:r>
          <w:rPr>
            <w:spacing w:val="11"/>
            <w:vertAlign w:val="baseline"/>
          </w:rPr>
          <w:t> </w:t>
        </w:r>
        <w:r>
          <w:rPr>
            <w:spacing w:val="-5"/>
            <w:vertAlign w:val="baseline"/>
          </w:rPr>
          <w:t>of</w:t>
        </w:r>
      </w:hyperlink>
    </w:p>
    <w:p>
      <w:pPr>
        <w:pStyle w:val="BodyText"/>
        <w:spacing w:before="115"/>
        <w:ind w:left="165"/>
        <w:jc w:val="both"/>
      </w:pPr>
      <w:r>
        <w:rPr/>
        <w:t>assumption</w:t>
      </w:r>
      <w:r>
        <w:rPr>
          <w:spacing w:val="11"/>
        </w:rPr>
        <w:t> </w:t>
      </w:r>
      <w:r>
        <w:rPr/>
        <w:t>of</w:t>
      </w:r>
      <w:r>
        <w:rPr>
          <w:spacing w:val="12"/>
        </w:rPr>
        <w:t> </w:t>
      </w:r>
      <w:r>
        <w:rPr/>
        <w:t>responsibility</w:t>
      </w:r>
      <w:r>
        <w:rPr>
          <w:spacing w:val="11"/>
        </w:rPr>
        <w:t> </w:t>
      </w:r>
      <w:r>
        <w:rPr/>
        <w:t>in</w:t>
      </w:r>
      <w:r>
        <w:rPr>
          <w:spacing w:val="12"/>
        </w:rPr>
        <w:t> </w:t>
      </w:r>
      <w:r>
        <w:rPr>
          <w:rFonts w:ascii="Arial"/>
          <w:i/>
        </w:rPr>
        <w:t>Hedley</w:t>
      </w:r>
      <w:r>
        <w:rPr>
          <w:rFonts w:ascii="Arial"/>
          <w:i/>
          <w:spacing w:val="12"/>
        </w:rPr>
        <w:t> </w:t>
      </w:r>
      <w:r>
        <w:rPr>
          <w:rFonts w:ascii="Arial"/>
          <w:i/>
        </w:rPr>
        <w:t>Byrne</w:t>
      </w:r>
      <w:r>
        <w:rPr>
          <w:rFonts w:ascii="Arial"/>
          <w:i/>
          <w:spacing w:val="11"/>
        </w:rPr>
        <w:t> </w:t>
      </w:r>
      <w:r>
        <w:rPr/>
        <w:t>as</w:t>
      </w:r>
      <w:r>
        <w:rPr>
          <w:spacing w:val="12"/>
        </w:rPr>
        <w:t> </w:t>
      </w:r>
      <w:r>
        <w:rPr/>
        <w:t>independent</w:t>
      </w:r>
      <w:r>
        <w:rPr>
          <w:spacing w:val="12"/>
        </w:rPr>
        <w:t> </w:t>
      </w:r>
      <w:r>
        <w:rPr/>
        <w:t>from</w:t>
      </w:r>
      <w:r>
        <w:rPr>
          <w:spacing w:val="11"/>
        </w:rPr>
        <w:t> </w:t>
      </w:r>
      <w:r>
        <w:rPr/>
        <w:t>any</w:t>
      </w:r>
      <w:r>
        <w:rPr>
          <w:spacing w:val="12"/>
        </w:rPr>
        <w:t> </w:t>
      </w:r>
      <w:r>
        <w:rPr/>
        <w:t>liability</w:t>
      </w:r>
      <w:r>
        <w:rPr>
          <w:spacing w:val="12"/>
        </w:rPr>
        <w:t> </w:t>
      </w:r>
      <w:r>
        <w:rPr/>
        <w:t>in</w:t>
      </w:r>
      <w:r>
        <w:rPr>
          <w:spacing w:val="11"/>
        </w:rPr>
        <w:t> </w:t>
      </w:r>
      <w:r>
        <w:rPr/>
        <w:t>contract,</w:t>
      </w:r>
      <w:r>
        <w:rPr>
          <w:spacing w:val="11"/>
        </w:rPr>
        <w:t> </w:t>
      </w:r>
      <w:hyperlink w:history="true" w:anchor="_bookmark2064">
        <w:r>
          <w:rPr>
            <w:color w:val="005DA1"/>
            <w:u w:val="single" w:color="005DA1"/>
            <w:vertAlign w:val="superscript"/>
          </w:rPr>
          <w:t>1381</w:t>
        </w:r>
        <w:r>
          <w:rPr>
            <w:color w:val="005DA1"/>
            <w:spacing w:val="45"/>
            <w:vertAlign w:val="baseline"/>
          </w:rPr>
          <w:t>  </w:t>
        </w:r>
        <w:r>
          <w:rPr>
            <w:color w:val="005DA1"/>
            <w:spacing w:val="-16"/>
            <w:position w:val="-2"/>
            <w:vertAlign w:val="baseline"/>
          </w:rPr>
          <w:drawing>
            <wp:inline distT="0" distB="0" distL="0" distR="0">
              <wp:extent cx="107988" cy="107988"/>
              <wp:effectExtent l="0" t="0" r="0" b="0"/>
              <wp:docPr id="495" name="Image 495"/>
              <wp:cNvGraphicFramePr>
                <a:graphicFrameLocks/>
              </wp:cNvGraphicFramePr>
              <a:graphic>
                <a:graphicData uri="http://schemas.openxmlformats.org/drawingml/2006/picture">
                  <pic:pic>
                    <pic:nvPicPr>
                      <pic:cNvPr id="495" name="Image 49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34"/>
            <w:vertAlign w:val="baseline"/>
          </w:rPr>
          <w:t> </w:t>
        </w:r>
        <w:r>
          <w:rPr>
            <w:spacing w:val="-5"/>
            <w:vertAlign w:val="baseline"/>
          </w:rPr>
          <w:t>its</w:t>
        </w:r>
      </w:hyperlink>
    </w:p>
    <w:p>
      <w:pPr>
        <w:sectPr>
          <w:pgSz w:w="11900" w:h="16840"/>
          <w:pgMar w:header="971" w:footer="0" w:top="1300" w:bottom="280" w:left="1275" w:right="1275"/>
        </w:sectPr>
      </w:pPr>
    </w:p>
    <w:p>
      <w:pPr>
        <w:pStyle w:val="BodyText"/>
        <w:spacing w:before="106"/>
        <w:ind w:left="165"/>
        <w:jc w:val="both"/>
      </w:pPr>
      <w:bookmarkStart w:name="_bookmark1927" w:id="1929"/>
      <w:bookmarkEnd w:id="1929"/>
      <w:r>
        <w:rPr/>
      </w:r>
      <w:r>
        <w:rPr/>
        <w:t>own</w:t>
      </w:r>
      <w:r>
        <w:rPr>
          <w:spacing w:val="7"/>
        </w:rPr>
        <w:t> </w:t>
      </w:r>
      <w:r>
        <w:rPr/>
        <w:t>decision</w:t>
      </w:r>
      <w:r>
        <w:rPr>
          <w:spacing w:val="7"/>
        </w:rPr>
        <w:t> </w:t>
      </w:r>
      <w:r>
        <w:rPr/>
        <w:t>treats</w:t>
      </w:r>
      <w:r>
        <w:rPr>
          <w:spacing w:val="7"/>
        </w:rPr>
        <w:t> </w:t>
      </w:r>
      <w:r>
        <w:rPr/>
        <w:t>the</w:t>
      </w:r>
      <w:r>
        <w:rPr>
          <w:spacing w:val="7"/>
        </w:rPr>
        <w:t> </w:t>
      </w:r>
      <w:r>
        <w:rPr/>
        <w:t>liability</w:t>
      </w:r>
      <w:r>
        <w:rPr>
          <w:spacing w:val="7"/>
        </w:rPr>
        <w:t> </w:t>
      </w:r>
      <w:r>
        <w:rPr/>
        <w:t>of</w:t>
      </w:r>
      <w:r>
        <w:rPr>
          <w:spacing w:val="7"/>
        </w:rPr>
        <w:t> </w:t>
      </w:r>
      <w:r>
        <w:rPr/>
        <w:t>the</w:t>
      </w:r>
      <w:r>
        <w:rPr>
          <w:spacing w:val="7"/>
        </w:rPr>
        <w:t> </w:t>
      </w:r>
      <w:r>
        <w:rPr/>
        <w:t>defendant</w:t>
      </w:r>
      <w:r>
        <w:rPr>
          <w:spacing w:val="7"/>
        </w:rPr>
        <w:t> </w:t>
      </w:r>
      <w:r>
        <w:rPr/>
        <w:t>solicitors</w:t>
      </w:r>
      <w:r>
        <w:rPr>
          <w:spacing w:val="7"/>
        </w:rPr>
        <w:t> </w:t>
      </w:r>
      <w:r>
        <w:rPr/>
        <w:t>in</w:t>
      </w:r>
      <w:r>
        <w:rPr>
          <w:spacing w:val="7"/>
        </w:rPr>
        <w:t> </w:t>
      </w:r>
      <w:r>
        <w:rPr/>
        <w:t>tort</w:t>
      </w:r>
      <w:r>
        <w:rPr>
          <w:spacing w:val="7"/>
        </w:rPr>
        <w:t> </w:t>
      </w:r>
      <w:r>
        <w:rPr/>
        <w:t>for</w:t>
      </w:r>
      <w:r>
        <w:rPr>
          <w:spacing w:val="7"/>
        </w:rPr>
        <w:t> </w:t>
      </w:r>
      <w:r>
        <w:rPr/>
        <w:t>negligence</w:t>
      </w:r>
      <w:r>
        <w:rPr>
          <w:spacing w:val="7"/>
        </w:rPr>
        <w:t> </w:t>
      </w:r>
      <w:r>
        <w:rPr/>
        <w:t>as</w:t>
      </w:r>
      <w:r>
        <w:rPr>
          <w:spacing w:val="7"/>
        </w:rPr>
        <w:t> </w:t>
      </w:r>
      <w:r>
        <w:rPr/>
        <w:t>dependent</w:t>
      </w:r>
      <w:r>
        <w:rPr>
          <w:spacing w:val="7"/>
        </w:rPr>
        <w:t> </w:t>
      </w:r>
      <w:r>
        <w:rPr/>
        <w:t>on</w:t>
      </w:r>
      <w:r>
        <w:rPr>
          <w:spacing w:val="7"/>
        </w:rPr>
        <w:t> </w:t>
      </w:r>
      <w:r>
        <w:rPr>
          <w:spacing w:val="-2"/>
        </w:rPr>
        <w:t>their</w:t>
      </w:r>
    </w:p>
    <w:p>
      <w:pPr>
        <w:pStyle w:val="BodyText"/>
        <w:spacing w:line="235" w:lineRule="auto" w:before="119"/>
        <w:ind w:left="164" w:right="167"/>
        <w:jc w:val="both"/>
      </w:pPr>
      <w:r>
        <w:rPr/>
        <w:t>liability</w:t>
      </w:r>
      <w:r>
        <w:rPr>
          <w:spacing w:val="-1"/>
        </w:rPr>
        <w:t> </w:t>
      </w:r>
      <w:r>
        <w:rPr/>
        <w:t>for</w:t>
      </w:r>
      <w:r>
        <w:rPr>
          <w:spacing w:val="-1"/>
        </w:rPr>
        <w:t> </w:t>
      </w:r>
      <w:r>
        <w:rPr/>
        <w:t>breach</w:t>
      </w:r>
      <w:r>
        <w:rPr>
          <w:spacing w:val="-1"/>
        </w:rPr>
        <w:t> </w:t>
      </w:r>
      <w:r>
        <w:rPr/>
        <w:t>of</w:t>
      </w:r>
      <w:r>
        <w:rPr>
          <w:spacing w:val="-1"/>
        </w:rPr>
        <w:t> </w:t>
      </w:r>
      <w:r>
        <w:rPr/>
        <w:t>the</w:t>
      </w:r>
      <w:r>
        <w:rPr>
          <w:spacing w:val="-1"/>
        </w:rPr>
        <w:t> </w:t>
      </w:r>
      <w:r>
        <w:rPr/>
        <w:t>contract</w:t>
      </w:r>
      <w:r>
        <w:rPr>
          <w:spacing w:val="-1"/>
        </w:rPr>
        <w:t> </w:t>
      </w:r>
      <w:r>
        <w:rPr/>
        <w:t>of</w:t>
      </w:r>
      <w:r>
        <w:rPr>
          <w:spacing w:val="-1"/>
        </w:rPr>
        <w:t> </w:t>
      </w:r>
      <w:r>
        <w:rPr/>
        <w:t>retainer.</w:t>
      </w:r>
      <w:r>
        <w:rPr>
          <w:spacing w:val="-2"/>
        </w:rPr>
        <w:t> </w:t>
      </w:r>
      <w:hyperlink w:history="true" w:anchor="_bookmark2065">
        <w:r>
          <w:rPr>
            <w:color w:val="005DA1"/>
            <w:u w:val="single" w:color="005DA1"/>
            <w:vertAlign w:val="superscript"/>
          </w:rPr>
          <w:t>1382</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496" name="Image 496"/>
              <wp:cNvGraphicFramePr>
                <a:graphicFrameLocks/>
              </wp:cNvGraphicFramePr>
              <a:graphic>
                <a:graphicData uri="http://schemas.openxmlformats.org/drawingml/2006/picture">
                  <pic:pic>
                    <pic:nvPicPr>
                      <pic:cNvPr id="496" name="Image 49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spacing w:val="-1"/>
            <w:vertAlign w:val="baseline"/>
          </w:rPr>
          <w:t> </w:t>
        </w:r>
        <w:r>
          <w:rPr>
            <w:vertAlign w:val="baseline"/>
          </w:rPr>
          <w:t>However,</w:t>
        </w:r>
        <w:r>
          <w:rPr>
            <w:spacing w:val="-1"/>
            <w:vertAlign w:val="baseline"/>
          </w:rPr>
          <w:t> </w:t>
        </w:r>
        <w:r>
          <w:rPr>
            <w:vertAlign w:val="baseline"/>
          </w:rPr>
          <w:t>a</w:t>
        </w:r>
        <w:r>
          <w:rPr>
            <w:spacing w:val="-1"/>
            <w:vertAlign w:val="baseline"/>
          </w:rPr>
          <w:t> </w:t>
        </w:r>
        <w:r>
          <w:rPr>
            <w:vertAlign w:val="baseline"/>
          </w:rPr>
          <w:t>better</w:t>
        </w:r>
        <w:r>
          <w:rPr>
            <w:spacing w:val="-1"/>
            <w:vertAlign w:val="baseline"/>
          </w:rPr>
          <w:t> </w:t>
        </w:r>
        <w:r>
          <w:rPr>
            <w:vertAlign w:val="baseline"/>
          </w:rPr>
          <w:t>approach</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to</w:t>
        </w:r>
        <w:r>
          <w:rPr>
            <w:spacing w:val="-1"/>
            <w:vertAlign w:val="baseline"/>
          </w:rPr>
          <w:t> </w:t>
        </w:r>
        <w:r>
          <w:rPr>
            <w:vertAlign w:val="baseline"/>
          </w:rPr>
          <w:t>hold</w:t>
        </w:r>
        <w:r>
          <w:rPr>
            <w:spacing w:val="-1"/>
            <w:vertAlign w:val="baseline"/>
          </w:rPr>
          <w:t> </w:t>
        </w:r>
        <w:r>
          <w:rPr>
            <w:vertAlign w:val="baseline"/>
          </w:rPr>
          <w:t>that the contract test should apply whenever one party has had the opportunity to alert the other to the </w:t>
        </w:r>
        <w:bookmarkStart w:name="_bookmark1928" w:id="1930"/>
        <w:bookmarkEnd w:id="1930"/>
        <w:r>
          <w:rPr>
            <w:vertAlign w:val="baseline"/>
          </w:rPr>
          <w:t>type</w:t>
        </w:r>
        <w:r>
          <w:rPr>
            <w:spacing w:val="33"/>
            <w:vertAlign w:val="baseline"/>
          </w:rPr>
          <w:t> </w:t>
        </w:r>
        <w:r>
          <w:rPr>
            <w:vertAlign w:val="baseline"/>
          </w:rPr>
          <w:t>of</w:t>
        </w:r>
        <w:r>
          <w:rPr>
            <w:spacing w:val="35"/>
            <w:vertAlign w:val="baseline"/>
          </w:rPr>
          <w:t> </w:t>
        </w:r>
        <w:r>
          <w:rPr>
            <w:vertAlign w:val="baseline"/>
          </w:rPr>
          <w:t>loss</w:t>
        </w:r>
        <w:r>
          <w:rPr>
            <w:spacing w:val="35"/>
            <w:vertAlign w:val="baseline"/>
          </w:rPr>
          <w:t> </w:t>
        </w:r>
        <w:r>
          <w:rPr>
            <w:vertAlign w:val="baseline"/>
          </w:rPr>
          <w:t>of</w:t>
        </w:r>
        <w:r>
          <w:rPr>
            <w:spacing w:val="35"/>
            <w:vertAlign w:val="baseline"/>
          </w:rPr>
          <w:t> </w:t>
        </w:r>
        <w:r>
          <w:rPr>
            <w:vertAlign w:val="baseline"/>
          </w:rPr>
          <w:t>which</w:t>
        </w:r>
        <w:r>
          <w:rPr>
            <w:spacing w:val="35"/>
            <w:vertAlign w:val="baseline"/>
          </w:rPr>
          <w:t> </w:t>
        </w:r>
        <w:r>
          <w:rPr>
            <w:vertAlign w:val="baseline"/>
          </w:rPr>
          <w:t>he</w:t>
        </w:r>
        <w:r>
          <w:rPr>
            <w:spacing w:val="35"/>
            <w:vertAlign w:val="baseline"/>
          </w:rPr>
          <w:t> </w:t>
        </w:r>
        <w:r>
          <w:rPr>
            <w:vertAlign w:val="baseline"/>
          </w:rPr>
          <w:t>is</w:t>
        </w:r>
        <w:r>
          <w:rPr>
            <w:spacing w:val="35"/>
            <w:vertAlign w:val="baseline"/>
          </w:rPr>
          <w:t> </w:t>
        </w:r>
        <w:r>
          <w:rPr>
            <w:vertAlign w:val="baseline"/>
          </w:rPr>
          <w:t>at</w:t>
        </w:r>
        <w:r>
          <w:rPr>
            <w:spacing w:val="35"/>
            <w:vertAlign w:val="baseline"/>
          </w:rPr>
          <w:t> </w:t>
        </w:r>
        <w:r>
          <w:rPr>
            <w:vertAlign w:val="baseline"/>
          </w:rPr>
          <w:t>risk,</w:t>
        </w:r>
        <w:r>
          <w:rPr>
            <w:spacing w:val="35"/>
            <w:vertAlign w:val="baseline"/>
          </w:rPr>
          <w:t> </w:t>
        </w:r>
        <w:r>
          <w:rPr>
            <w:vertAlign w:val="baseline"/>
          </w:rPr>
          <w:t>and</w:t>
        </w:r>
        <w:r>
          <w:rPr>
            <w:spacing w:val="35"/>
            <w:vertAlign w:val="baseline"/>
          </w:rPr>
          <w:t> </w:t>
        </w:r>
        <w:r>
          <w:rPr>
            <w:vertAlign w:val="baseline"/>
          </w:rPr>
          <w:t>that</w:t>
        </w:r>
        <w:r>
          <w:rPr>
            <w:spacing w:val="35"/>
            <w:vertAlign w:val="baseline"/>
          </w:rPr>
          <w:t> </w:t>
        </w:r>
        <w:r>
          <w:rPr>
            <w:vertAlign w:val="baseline"/>
          </w:rPr>
          <w:t>such</w:t>
        </w:r>
        <w:r>
          <w:rPr>
            <w:spacing w:val="35"/>
            <w:vertAlign w:val="baseline"/>
          </w:rPr>
          <w:t> </w:t>
        </w:r>
        <w:r>
          <w:rPr>
            <w:vertAlign w:val="baseline"/>
          </w:rPr>
          <w:t>an</w:t>
        </w:r>
        <w:r>
          <w:rPr>
            <w:spacing w:val="35"/>
            <w:vertAlign w:val="baseline"/>
          </w:rPr>
          <w:t> </w:t>
        </w:r>
        <w:r>
          <w:rPr>
            <w:vertAlign w:val="baseline"/>
          </w:rPr>
          <w:t>opportunity</w:t>
        </w:r>
        <w:r>
          <w:rPr>
            <w:spacing w:val="35"/>
            <w:vertAlign w:val="baseline"/>
          </w:rPr>
          <w:t> </w:t>
        </w:r>
        <w:r>
          <w:rPr>
            <w:vertAlign w:val="baseline"/>
          </w:rPr>
          <w:t>should</w:t>
        </w:r>
        <w:r>
          <w:rPr>
            <w:spacing w:val="35"/>
            <w:vertAlign w:val="baseline"/>
          </w:rPr>
          <w:t> </w:t>
        </w:r>
        <w:r>
          <w:rPr>
            <w:vertAlign w:val="baseline"/>
          </w:rPr>
          <w:t>be</w:t>
        </w:r>
        <w:r>
          <w:rPr>
            <w:spacing w:val="35"/>
            <w:vertAlign w:val="baseline"/>
          </w:rPr>
          <w:t> </w:t>
        </w:r>
        <w:r>
          <w:rPr>
            <w:vertAlign w:val="baseline"/>
          </w:rPr>
          <w:t>assumed</w:t>
        </w:r>
        <w:r>
          <w:rPr>
            <w:spacing w:val="35"/>
            <w:vertAlign w:val="baseline"/>
          </w:rPr>
          <w:t> </w:t>
        </w:r>
        <w:r>
          <w:rPr>
            <w:vertAlign w:val="baseline"/>
          </w:rPr>
          <w:t>(or</w:t>
        </w:r>
        <w:r>
          <w:rPr>
            <w:spacing w:val="35"/>
            <w:vertAlign w:val="baseline"/>
          </w:rPr>
          <w:t> </w:t>
        </w:r>
        <w:r>
          <w:rPr>
            <w:spacing w:val="-2"/>
            <w:vertAlign w:val="baseline"/>
          </w:rPr>
          <w:t>perhaps</w:t>
        </w:r>
      </w:hyperlink>
    </w:p>
    <w:p>
      <w:pPr>
        <w:pStyle w:val="BodyText"/>
        <w:spacing w:before="115"/>
        <w:ind w:left="165"/>
        <w:jc w:val="both"/>
        <w:rPr>
          <w:rFonts w:ascii="Arial"/>
          <w:i/>
        </w:rPr>
      </w:pPr>
      <w:bookmarkStart w:name="_bookmark1929" w:id="1931"/>
      <w:bookmarkEnd w:id="1931"/>
      <w:r>
        <w:rPr/>
      </w:r>
      <w:r>
        <w:rPr/>
        <w:t>presumed) where</w:t>
      </w:r>
      <w:r>
        <w:rPr>
          <w:spacing w:val="1"/>
        </w:rPr>
        <w:t> </w:t>
      </w:r>
      <w:r>
        <w:rPr/>
        <w:t>the</w:t>
      </w:r>
      <w:r>
        <w:rPr>
          <w:spacing w:val="1"/>
        </w:rPr>
        <w:t> </w:t>
      </w:r>
      <w:r>
        <w:rPr/>
        <w:t>parties are</w:t>
      </w:r>
      <w:r>
        <w:rPr>
          <w:spacing w:val="1"/>
        </w:rPr>
        <w:t> </w:t>
      </w:r>
      <w:r>
        <w:rPr/>
        <w:t>in</w:t>
      </w:r>
      <w:r>
        <w:rPr>
          <w:spacing w:val="1"/>
        </w:rPr>
        <w:t> </w:t>
      </w:r>
      <w:r>
        <w:rPr/>
        <w:t>a contractual</w:t>
      </w:r>
      <w:r>
        <w:rPr>
          <w:spacing w:val="1"/>
        </w:rPr>
        <w:t> </w:t>
      </w:r>
      <w:r>
        <w:rPr/>
        <w:t>relationship.</w:t>
      </w:r>
      <w:r>
        <w:rPr>
          <w:spacing w:val="1"/>
        </w:rPr>
        <w:t> </w:t>
      </w:r>
      <w:hyperlink w:history="true" w:anchor="_bookmark2066">
        <w:r>
          <w:rPr>
            <w:color w:val="005DA1"/>
            <w:u w:val="single" w:color="005DA1"/>
            <w:vertAlign w:val="superscript"/>
          </w:rPr>
          <w:t>1383</w:t>
        </w:r>
        <w:r>
          <w:rPr>
            <w:color w:val="005DA1"/>
            <w:spacing w:val="29"/>
            <w:vertAlign w:val="baseline"/>
          </w:rPr>
          <w:t>  </w:t>
        </w:r>
        <w:r>
          <w:rPr>
            <w:color w:val="005DA1"/>
            <w:spacing w:val="8"/>
            <w:position w:val="-2"/>
            <w:vertAlign w:val="baseline"/>
          </w:rPr>
          <w:drawing>
            <wp:inline distT="0" distB="0" distL="0" distR="0">
              <wp:extent cx="107988" cy="107988"/>
              <wp:effectExtent l="0" t="0" r="0" b="0"/>
              <wp:docPr id="497" name="Image 497"/>
              <wp:cNvGraphicFramePr>
                <a:graphicFrameLocks/>
              </wp:cNvGraphicFramePr>
              <a:graphic>
                <a:graphicData uri="http://schemas.openxmlformats.org/drawingml/2006/picture">
                  <pic:pic>
                    <pic:nvPicPr>
                      <pic:cNvPr id="497" name="Image 49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vertAlign w:val="baseline"/>
          </w:rPr>
          <w:t> </w:t>
        </w:r>
        <w:r>
          <w:rPr>
            <w:vertAlign w:val="baseline"/>
          </w:rPr>
          <w:t>Most</w:t>
        </w:r>
        <w:r>
          <w:rPr>
            <w:spacing w:val="1"/>
            <w:vertAlign w:val="baseline"/>
          </w:rPr>
          <w:t> </w:t>
        </w:r>
        <w:r>
          <w:rPr>
            <w:vertAlign w:val="baseline"/>
          </w:rPr>
          <w:t>recently,</w:t>
        </w:r>
        <w:r>
          <w:rPr>
            <w:spacing w:val="1"/>
            <w:vertAlign w:val="baseline"/>
          </w:rPr>
          <w:t> </w:t>
        </w:r>
        <w:r>
          <w:rPr>
            <w:vertAlign w:val="baseline"/>
          </w:rPr>
          <w:t>in </w:t>
        </w:r>
        <w:r>
          <w:rPr>
            <w:rFonts w:ascii="Arial"/>
            <w:i/>
            <w:vertAlign w:val="baseline"/>
          </w:rPr>
          <w:t>Wright</w:t>
        </w:r>
        <w:r>
          <w:rPr>
            <w:rFonts w:ascii="Arial"/>
            <w:i/>
            <w:spacing w:val="1"/>
            <w:vertAlign w:val="baseline"/>
          </w:rPr>
          <w:t> </w:t>
        </w:r>
        <w:r>
          <w:rPr>
            <w:rFonts w:ascii="Arial"/>
            <w:i/>
            <w:vertAlign w:val="baseline"/>
          </w:rPr>
          <w:t>v</w:t>
        </w:r>
        <w:r>
          <w:rPr>
            <w:rFonts w:ascii="Arial"/>
            <w:i/>
            <w:spacing w:val="1"/>
            <w:vertAlign w:val="baseline"/>
          </w:rPr>
          <w:t> </w:t>
        </w:r>
        <w:r>
          <w:rPr>
            <w:rFonts w:ascii="Arial"/>
            <w:i/>
            <w:spacing w:val="-2"/>
            <w:vertAlign w:val="baseline"/>
          </w:rPr>
          <w:t>Lewis</w:t>
        </w:r>
      </w:hyperlink>
    </w:p>
    <w:p>
      <w:pPr>
        <w:pStyle w:val="BodyText"/>
        <w:spacing w:line="235" w:lineRule="auto" w:before="119"/>
        <w:ind w:left="165" w:right="167"/>
        <w:jc w:val="both"/>
      </w:pPr>
      <w:r>
        <w:rPr>
          <w:rFonts w:ascii="Arial" w:hAnsi="Arial"/>
          <w:i/>
        </w:rPr>
        <w:t>Silkin</w:t>
      </w:r>
      <w:r>
        <w:rPr>
          <w:rFonts w:ascii="Arial" w:hAnsi="Arial"/>
          <w:i/>
          <w:spacing w:val="-3"/>
        </w:rPr>
        <w:t> </w:t>
      </w:r>
      <w:r>
        <w:rPr>
          <w:rFonts w:ascii="Arial" w:hAnsi="Arial"/>
          <w:i/>
        </w:rPr>
        <w:t>LLP</w:t>
      </w:r>
      <w:r>
        <w:rPr>
          <w:rFonts w:ascii="Arial" w:hAnsi="Arial"/>
          <w:i/>
          <w:spacing w:val="-3"/>
        </w:rPr>
        <w:t> </w:t>
      </w:r>
      <w:hyperlink w:history="true" w:anchor="_bookmark2067">
        <w:r>
          <w:rPr>
            <w:color w:val="005DA1"/>
            <w:u w:val="single" w:color="005DA1"/>
            <w:vertAlign w:val="superscript"/>
          </w:rPr>
          <w:t>1384</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498" name="Image 498"/>
              <wp:cNvGraphicFramePr>
                <a:graphicFrameLocks/>
              </wp:cNvGraphicFramePr>
              <a:graphic>
                <a:graphicData uri="http://schemas.openxmlformats.org/drawingml/2006/picture">
                  <pic:pic>
                    <pic:nvPicPr>
                      <pic:cNvPr id="498" name="Image 49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of</w:t>
        </w:r>
        <w:r>
          <w:rPr>
            <w:spacing w:val="-3"/>
            <w:vertAlign w:val="baseline"/>
          </w:rPr>
          <w:t> </w:t>
        </w:r>
        <w:r>
          <w:rPr>
            <w:vertAlign w:val="baseline"/>
          </w:rPr>
          <w:t>Appeal</w:t>
        </w:r>
        <w:r>
          <w:rPr>
            <w:spacing w:val="-3"/>
            <w:vertAlign w:val="baseline"/>
          </w:rPr>
          <w:t> </w:t>
        </w:r>
        <w:r>
          <w:rPr>
            <w:vertAlign w:val="baseline"/>
          </w:rPr>
          <w:t>noted</w:t>
        </w:r>
        <w:r>
          <w:rPr>
            <w:spacing w:val="-3"/>
            <w:vertAlign w:val="baseline"/>
          </w:rPr>
          <w:t> </w:t>
        </w:r>
        <w:r>
          <w:rPr>
            <w:vertAlign w:val="baseline"/>
          </w:rPr>
          <w:t>its</w:t>
        </w:r>
        <w:r>
          <w:rPr>
            <w:spacing w:val="-3"/>
            <w:vertAlign w:val="baseline"/>
          </w:rPr>
          <w:t> </w:t>
        </w:r>
        <w:r>
          <w:rPr>
            <w:vertAlign w:val="baseline"/>
          </w:rPr>
          <w:t>earlier</w:t>
        </w:r>
        <w:r>
          <w:rPr>
            <w:spacing w:val="-3"/>
            <w:vertAlign w:val="baseline"/>
          </w:rPr>
          <w:t> </w:t>
        </w:r>
        <w:r>
          <w:rPr>
            <w:vertAlign w:val="baseline"/>
          </w:rPr>
          <w:t>judgment</w:t>
        </w:r>
        <w:r>
          <w:rPr>
            <w:spacing w:val="-3"/>
            <w:vertAlign w:val="baseline"/>
          </w:rPr>
          <w:t> </w:t>
        </w:r>
        <w:r>
          <w:rPr>
            <w:vertAlign w:val="baseline"/>
          </w:rPr>
          <w:t>in</w:t>
        </w:r>
        <w:r>
          <w:rPr>
            <w:spacing w:val="-4"/>
            <w:vertAlign w:val="baseline"/>
          </w:rPr>
          <w:t> </w:t>
        </w:r>
        <w:r>
          <w:rPr>
            <w:rFonts w:ascii="Arial" w:hAnsi="Arial"/>
            <w:i/>
            <w:vertAlign w:val="baseline"/>
          </w:rPr>
          <w:t>Wellesley</w:t>
        </w:r>
        <w:r>
          <w:rPr>
            <w:rFonts w:ascii="Arial" w:hAnsi="Arial"/>
            <w:i/>
            <w:spacing w:val="-3"/>
            <w:vertAlign w:val="baseline"/>
          </w:rPr>
          <w:t> </w:t>
        </w:r>
        <w:r>
          <w:rPr>
            <w:rFonts w:ascii="Arial" w:hAnsi="Arial"/>
            <w:i/>
            <w:vertAlign w:val="baseline"/>
          </w:rPr>
          <w:t>Partners</w:t>
        </w:r>
        <w:r>
          <w:rPr>
            <w:rFonts w:ascii="Arial" w:hAnsi="Arial"/>
            <w:i/>
            <w:spacing w:val="-3"/>
            <w:vertAlign w:val="baseline"/>
          </w:rPr>
          <w:t> </w:t>
        </w:r>
        <w:r>
          <w:rPr>
            <w:rFonts w:ascii="Arial" w:hAnsi="Arial"/>
            <w:i/>
            <w:vertAlign w:val="baseline"/>
          </w:rPr>
          <w:t>LLP</w:t>
        </w:r>
        <w:r>
          <w:rPr>
            <w:vertAlign w:val="baseline"/>
          </w:rPr>
          <w:t>,</w:t>
        </w:r>
        <w:r>
          <w:rPr>
            <w:spacing w:val="-3"/>
            <w:vertAlign w:val="baseline"/>
          </w:rPr>
          <w:t> </w:t>
        </w:r>
        <w:r>
          <w:rPr>
            <w:vertAlign w:val="baseline"/>
          </w:rPr>
          <w:t>seeing</w:t>
        </w:r>
        <w:r>
          <w:rPr>
            <w:spacing w:val="-3"/>
            <w:vertAlign w:val="baseline"/>
          </w:rPr>
          <w:t> </w:t>
        </w:r>
        <w:r>
          <w:rPr>
            <w:vertAlign w:val="baseline"/>
          </w:rPr>
          <w:t>the two cases as having in common that they both involved claims for negligence against solicitors by their clients in which there was concurrent liability and describing the decision in </w:t>
        </w:r>
        <w:r>
          <w:rPr>
            <w:rFonts w:ascii="Arial" w:hAnsi="Arial"/>
            <w:i/>
            <w:vertAlign w:val="baseline"/>
          </w:rPr>
          <w:t>Wellesley Partners LLP </w:t>
        </w:r>
        <w:r>
          <w:rPr>
            <w:vertAlign w:val="baseline"/>
          </w:rPr>
          <w:t>as being that “where there were contractual and tortious duties to take care in carrying </w:t>
        </w:r>
        <w:r>
          <w:rPr>
            <w:vertAlign w:val="baseline"/>
          </w:rPr>
          <w:t>out </w:t>
        </w:r>
        <w:bookmarkStart w:name="_bookmark1930" w:id="1932"/>
        <w:bookmarkEnd w:id="1932"/>
        <w:r>
          <w:rPr>
            <w:vertAlign w:val="baseline"/>
          </w:rPr>
          <w:t>instructions,</w:t>
        </w:r>
        <w:r>
          <w:rPr>
            <w:spacing w:val="1"/>
            <w:vertAlign w:val="baseline"/>
          </w:rPr>
          <w:t> </w:t>
        </w:r>
        <w:r>
          <w:rPr>
            <w:vertAlign w:val="baseline"/>
          </w:rPr>
          <w:t>the</w:t>
        </w:r>
        <w:r>
          <w:rPr>
            <w:spacing w:val="1"/>
            <w:vertAlign w:val="baseline"/>
          </w:rPr>
          <w:t> </w:t>
        </w:r>
        <w:r>
          <w:rPr>
            <w:vertAlign w:val="baseline"/>
          </w:rPr>
          <w:t>test</w:t>
        </w:r>
        <w:r>
          <w:rPr>
            <w:spacing w:val="1"/>
            <w:vertAlign w:val="baseline"/>
          </w:rPr>
          <w:t> </w:t>
        </w:r>
        <w:r>
          <w:rPr>
            <w:vertAlign w:val="baseline"/>
          </w:rPr>
          <w:t>for</w:t>
        </w:r>
        <w:r>
          <w:rPr>
            <w:spacing w:val="1"/>
            <w:vertAlign w:val="baseline"/>
          </w:rPr>
          <w:t> </w:t>
        </w:r>
        <w:r>
          <w:rPr>
            <w:vertAlign w:val="baseline"/>
          </w:rPr>
          <w:t>recoverability</w:t>
        </w:r>
        <w:r>
          <w:rPr>
            <w:spacing w:val="1"/>
            <w:vertAlign w:val="baseline"/>
          </w:rPr>
          <w:t> </w:t>
        </w:r>
        <w:r>
          <w:rPr>
            <w:vertAlign w:val="baseline"/>
          </w:rPr>
          <w:t>of</w:t>
        </w:r>
        <w:r>
          <w:rPr>
            <w:spacing w:val="1"/>
            <w:vertAlign w:val="baseline"/>
          </w:rPr>
          <w:t> </w:t>
        </w:r>
        <w:r>
          <w:rPr>
            <w:vertAlign w:val="baseline"/>
          </w:rPr>
          <w:t>damage</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and</w:t>
        </w:r>
        <w:r>
          <w:rPr>
            <w:spacing w:val="1"/>
            <w:vertAlign w:val="baseline"/>
          </w:rPr>
          <w:t> </w:t>
        </w:r>
        <w:r>
          <w:rPr>
            <w:vertAlign w:val="baseline"/>
          </w:rPr>
          <w:t>it</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the</w:t>
        </w:r>
        <w:r>
          <w:rPr>
            <w:spacing w:val="1"/>
            <w:vertAlign w:val="baseline"/>
          </w:rPr>
          <w:t> </w:t>
        </w:r>
        <w:r>
          <w:rPr>
            <w:spacing w:val="-2"/>
            <w:vertAlign w:val="baseline"/>
          </w:rPr>
          <w:t>contractual</w:t>
        </w:r>
      </w:hyperlink>
    </w:p>
    <w:p>
      <w:pPr>
        <w:spacing w:line="235" w:lineRule="auto" w:before="118"/>
        <w:ind w:left="165" w:right="168" w:firstLine="0"/>
        <w:jc w:val="both"/>
        <w:rPr>
          <w:rFonts w:ascii="Arial" w:hAnsi="Arial"/>
          <w:i/>
          <w:sz w:val="20"/>
        </w:rPr>
      </w:pPr>
      <w:r>
        <w:rPr>
          <w:sz w:val="20"/>
        </w:rPr>
        <w:t>one”. </w:t>
      </w:r>
      <w:hyperlink w:history="true" w:anchor="_bookmark2068">
        <w:r>
          <w:rPr>
            <w:color w:val="005DA1"/>
            <w:sz w:val="20"/>
            <w:u w:val="single" w:color="005DA1"/>
            <w:vertAlign w:val="superscript"/>
          </w:rPr>
          <w:t>1385</w:t>
        </w:r>
        <w:r>
          <w:rPr>
            <w:color w:val="005DA1"/>
            <w:spacing w:val="80"/>
            <w:sz w:val="20"/>
            <w:vertAlign w:val="baseline"/>
          </w:rPr>
          <w:t> </w:t>
        </w:r>
        <w:r>
          <w:rPr>
            <w:color w:val="005DA1"/>
            <w:spacing w:val="-25"/>
            <w:position w:val="-2"/>
            <w:sz w:val="20"/>
            <w:vertAlign w:val="baseline"/>
          </w:rPr>
          <w:drawing>
            <wp:inline distT="0" distB="0" distL="0" distR="0">
              <wp:extent cx="107988" cy="107988"/>
              <wp:effectExtent l="0" t="0" r="0" b="0"/>
              <wp:docPr id="499" name="Image 499"/>
              <wp:cNvGraphicFramePr>
                <a:graphicFrameLocks/>
              </wp:cNvGraphicFramePr>
              <a:graphic>
                <a:graphicData uri="http://schemas.openxmlformats.org/drawingml/2006/picture">
                  <pic:pic>
                    <pic:nvPicPr>
                      <pic:cNvPr id="499" name="Image 49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sz w:val="20"/>
            <w:vertAlign w:val="baseline"/>
          </w:rPr>
        </w:r>
        <w:r>
          <w:rPr>
            <w:rFonts w:ascii="Times New Roman" w:hAnsi="Times New Roman"/>
            <w:color w:val="005DA1"/>
            <w:spacing w:val="34"/>
            <w:sz w:val="20"/>
            <w:vertAlign w:val="baseline"/>
          </w:rPr>
          <w:t> </w:t>
        </w:r>
        <w:r>
          <w:rPr>
            <w:sz w:val="20"/>
            <w:vertAlign w:val="baseline"/>
          </w:rPr>
          <w:t>It was, however, common ground between the parties in </w:t>
        </w:r>
        <w:r>
          <w:rPr>
            <w:rFonts w:ascii="Arial" w:hAnsi="Arial"/>
            <w:i/>
            <w:sz w:val="20"/>
            <w:vertAlign w:val="baseline"/>
          </w:rPr>
          <w:t>Wright v Lewis Silkin LLP </w:t>
        </w:r>
        <w:r>
          <w:rPr>
            <w:sz w:val="20"/>
            <w:vertAlign w:val="baseline"/>
          </w:rPr>
          <w:t>that </w:t>
        </w:r>
        <w:r>
          <w:rPr>
            <w:rFonts w:ascii="Arial" w:hAnsi="Arial"/>
            <w:i/>
            <w:sz w:val="20"/>
            <w:vertAlign w:val="baseline"/>
          </w:rPr>
          <w:t>Wellesley Partners LLP </w:t>
        </w:r>
        <w:r>
          <w:rPr>
            <w:sz w:val="20"/>
            <w:vertAlign w:val="baseline"/>
          </w:rPr>
          <w:t>bound the court in </w:t>
        </w:r>
        <w:r>
          <w:rPr>
            <w:rFonts w:ascii="Arial" w:hAnsi="Arial"/>
            <w:i/>
            <w:sz w:val="20"/>
            <w:vertAlign w:val="baseline"/>
          </w:rPr>
          <w:t>Wright v Lewis Silkin LLP</w:t>
        </w:r>
        <w:r>
          <w:rPr>
            <w:sz w:val="20"/>
            <w:vertAlign w:val="baseline"/>
          </w:rPr>
          <w:t>, no reference being made either </w:t>
        </w:r>
        <w:bookmarkStart w:name="_bookmark1931" w:id="1933"/>
        <w:bookmarkEnd w:id="1933"/>
        <w:r>
          <w:rPr>
            <w:sz w:val="20"/>
            <w:vertAlign w:val="baseline"/>
          </w:rPr>
          <w:t>by</w:t>
        </w:r>
        <w:r>
          <w:rPr>
            <w:sz w:val="20"/>
            <w:vertAlign w:val="baseline"/>
          </w:rPr>
          <w:t> the parties or the court in the latter case to the contrasting approach of the Court of Appeal in</w:t>
        </w:r>
        <w:r>
          <w:rPr>
            <w:spacing w:val="-1"/>
            <w:sz w:val="20"/>
            <w:vertAlign w:val="baseline"/>
          </w:rPr>
          <w:t> </w:t>
        </w:r>
        <w:r>
          <w:rPr>
            <w:rFonts w:ascii="Arial" w:hAnsi="Arial"/>
            <w:i/>
            <w:spacing w:val="-4"/>
            <w:sz w:val="20"/>
            <w:vertAlign w:val="baseline"/>
          </w:rPr>
          <w:t>Yapp</w:t>
        </w:r>
      </w:hyperlink>
    </w:p>
    <w:p>
      <w:pPr>
        <w:pStyle w:val="BodyText"/>
        <w:spacing w:line="235" w:lineRule="auto" w:before="119"/>
        <w:ind w:left="165" w:right="167"/>
        <w:jc w:val="both"/>
      </w:pPr>
      <w:r>
        <w:rPr>
          <w:rFonts w:ascii="Arial" w:hAnsi="Arial"/>
          <w:i/>
        </w:rPr>
        <w:t>v Foreign and Commonwealth Office</w:t>
      </w:r>
      <w:r>
        <w:rPr/>
        <w:t>. </w:t>
      </w:r>
      <w:hyperlink w:history="true" w:anchor="_bookmark2069">
        <w:r>
          <w:rPr>
            <w:color w:val="005DA1"/>
            <w:u w:val="single" w:color="005DA1"/>
            <w:vertAlign w:val="superscript"/>
          </w:rPr>
          <w:t>1386</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500" name="Image 500"/>
              <wp:cNvGraphicFramePr>
                <a:graphicFrameLocks/>
              </wp:cNvGraphicFramePr>
              <a:graphic>
                <a:graphicData uri="http://schemas.openxmlformats.org/drawingml/2006/picture">
                  <pic:pic>
                    <pic:nvPicPr>
                      <pic:cNvPr id="500" name="Image 50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5"/>
            <w:vertAlign w:val="baseline"/>
          </w:rPr>
          <w:t> </w:t>
        </w:r>
        <w:r>
          <w:rPr>
            <w:vertAlign w:val="baseline"/>
          </w:rPr>
          <w:t>In </w:t>
        </w:r>
        <w:r>
          <w:rPr>
            <w:rFonts w:ascii="Arial" w:hAnsi="Arial"/>
            <w:i/>
            <w:vertAlign w:val="baseline"/>
          </w:rPr>
          <w:t>Wright v Lewis Silkin LLP </w:t>
        </w:r>
        <w:r>
          <w:rPr>
            <w:vertAlign w:val="baseline"/>
          </w:rPr>
          <w:t>the Court of Appeal held that the main element of the loss claimed by the claimant (a 20 per cent chance of recovering the voluntary payment of a severance sum from his former Indian employers) caused by his </w:t>
        </w:r>
        <w:r>
          <w:rPr>
            <w:vertAlign w:val="baseline"/>
          </w:rPr>
          <w:t>solicitor’s </w:t>
        </w:r>
        <w:bookmarkStart w:name="_bookmark1932" w:id="1934"/>
        <w:bookmarkEnd w:id="1934"/>
        <w:r>
          <w:rPr>
            <w:vertAlign w:val="baseline"/>
          </w:rPr>
          <w:t>failure</w:t>
        </w:r>
        <w:r>
          <w:rPr>
            <w:spacing w:val="7"/>
            <w:vertAlign w:val="baseline"/>
          </w:rPr>
          <w:t> </w:t>
        </w:r>
        <w:r>
          <w:rPr>
            <w:vertAlign w:val="baseline"/>
          </w:rPr>
          <w:t>to</w:t>
        </w:r>
        <w:r>
          <w:rPr>
            <w:spacing w:val="7"/>
            <w:vertAlign w:val="baseline"/>
          </w:rPr>
          <w:t> </w:t>
        </w:r>
        <w:r>
          <w:rPr>
            <w:vertAlign w:val="baseline"/>
          </w:rPr>
          <w:t>advise</w:t>
        </w:r>
        <w:r>
          <w:rPr>
            <w:spacing w:val="7"/>
            <w:vertAlign w:val="baseline"/>
          </w:rPr>
          <w:t> </w:t>
        </w:r>
        <w:r>
          <w:rPr>
            <w:vertAlign w:val="baseline"/>
          </w:rPr>
          <w:t>him</w:t>
        </w:r>
        <w:r>
          <w:rPr>
            <w:spacing w:val="7"/>
            <w:vertAlign w:val="baseline"/>
          </w:rPr>
          <w:t> </w:t>
        </w:r>
        <w:r>
          <w:rPr>
            <w:vertAlign w:val="baseline"/>
          </w:rPr>
          <w:t>in</w:t>
        </w:r>
        <w:r>
          <w:rPr>
            <w:spacing w:val="7"/>
            <w:vertAlign w:val="baseline"/>
          </w:rPr>
          <w:t> </w:t>
        </w:r>
        <w:r>
          <w:rPr>
            <w:vertAlign w:val="baseline"/>
          </w:rPr>
          <w:t>relation</w:t>
        </w:r>
        <w:r>
          <w:rPr>
            <w:spacing w:val="7"/>
            <w:vertAlign w:val="baseline"/>
          </w:rPr>
          <w:t> </w:t>
        </w:r>
        <w:r>
          <w:rPr>
            <w:vertAlign w:val="baseline"/>
          </w:rPr>
          <w:t>to</w:t>
        </w:r>
        <w:r>
          <w:rPr>
            <w:spacing w:val="7"/>
            <w:vertAlign w:val="baseline"/>
          </w:rPr>
          <w:t> </w:t>
        </w:r>
        <w:r>
          <w:rPr>
            <w:vertAlign w:val="baseline"/>
          </w:rPr>
          <w:t>an</w:t>
        </w:r>
        <w:r>
          <w:rPr>
            <w:spacing w:val="7"/>
            <w:vertAlign w:val="baseline"/>
          </w:rPr>
          <w:t> </w:t>
        </w:r>
        <w:r>
          <w:rPr>
            <w:vertAlign w:val="baseline"/>
          </w:rPr>
          <w:t>exclusive</w:t>
        </w:r>
        <w:r>
          <w:rPr>
            <w:spacing w:val="7"/>
            <w:vertAlign w:val="baseline"/>
          </w:rPr>
          <w:t> </w:t>
        </w:r>
        <w:r>
          <w:rPr>
            <w:vertAlign w:val="baseline"/>
          </w:rPr>
          <w:t>jurisdiction</w:t>
        </w:r>
        <w:r>
          <w:rPr>
            <w:spacing w:val="7"/>
            <w:vertAlign w:val="baseline"/>
          </w:rPr>
          <w:t> </w:t>
        </w:r>
        <w:r>
          <w:rPr>
            <w:vertAlign w:val="baseline"/>
          </w:rPr>
          <w:t>clause</w:t>
        </w:r>
        <w:r>
          <w:rPr>
            <w:spacing w:val="7"/>
            <w:vertAlign w:val="baseline"/>
          </w:rPr>
          <w:t> </w:t>
        </w:r>
        <w:r>
          <w:rPr>
            <w:vertAlign w:val="baseline"/>
          </w:rPr>
          <w:t>was</w:t>
        </w:r>
        <w:r>
          <w:rPr>
            <w:spacing w:val="7"/>
            <w:vertAlign w:val="baseline"/>
          </w:rPr>
          <w:t> </w:t>
        </w:r>
        <w:r>
          <w:rPr>
            <w:vertAlign w:val="baseline"/>
          </w:rPr>
          <w:t>too</w:t>
        </w:r>
        <w:r>
          <w:rPr>
            <w:spacing w:val="7"/>
            <w:vertAlign w:val="baseline"/>
          </w:rPr>
          <w:t> </w:t>
        </w:r>
        <w:r>
          <w:rPr>
            <w:vertAlign w:val="baseline"/>
          </w:rPr>
          <w:t>remote,</w:t>
        </w:r>
        <w:r>
          <w:rPr>
            <w:spacing w:val="7"/>
            <w:vertAlign w:val="baseline"/>
          </w:rPr>
          <w:t> </w:t>
        </w:r>
        <w:r>
          <w:rPr>
            <w:vertAlign w:val="baseline"/>
          </w:rPr>
          <w:t>not</w:t>
        </w:r>
        <w:r>
          <w:rPr>
            <w:spacing w:val="7"/>
            <w:vertAlign w:val="baseline"/>
          </w:rPr>
          <w:t> </w:t>
        </w:r>
        <w:r>
          <w:rPr>
            <w:vertAlign w:val="baseline"/>
          </w:rPr>
          <w:t>being</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spacing w:val="-4"/>
            <w:vertAlign w:val="baseline"/>
          </w:rPr>
          <w:t>kin</w:t>
        </w:r>
        <w:r>
          <w:rPr>
            <w:spacing w:val="-4"/>
            <w:vertAlign w:val="baseline"/>
          </w:rPr>
          <w:t>d</w:t>
        </w:r>
      </w:hyperlink>
    </w:p>
    <w:p>
      <w:pPr>
        <w:pStyle w:val="BodyText"/>
        <w:spacing w:line="227" w:lineRule="exact" w:before="115"/>
        <w:ind w:left="165"/>
        <w:jc w:val="both"/>
      </w:pPr>
      <w:r>
        <w:rPr/>
        <w:t>that either party at the time would have had in mind as not unlikely to result from this negligence.</w:t>
      </w:r>
      <w:r>
        <w:rPr>
          <w:spacing w:val="-2"/>
        </w:rPr>
        <w:t> </w:t>
      </w:r>
      <w:hyperlink w:history="true" w:anchor="_bookmark2070">
        <w:r>
          <w:rPr>
            <w:color w:val="005DA1"/>
            <w:spacing w:val="-4"/>
            <w:u w:val="single" w:color="005DA1"/>
            <w:vertAlign w:val="superscript"/>
          </w:rPr>
          <w:t>1387</w:t>
        </w:r>
      </w:hyperlink>
    </w:p>
    <w:p>
      <w:pPr>
        <w:pStyle w:val="BodyText"/>
        <w:spacing w:line="360" w:lineRule="auto"/>
        <w:ind w:left="165" w:right="167"/>
        <w:jc w:val="both"/>
        <w:rPr>
          <w:position w:val="-2"/>
        </w:rPr>
      </w:pPr>
      <w:r>
        <w:rPr>
          <w:position w:val="-2"/>
        </w:rPr>
        <w:drawing>
          <wp:inline distT="0" distB="0" distL="0" distR="0">
            <wp:extent cx="107988" cy="107988"/>
            <wp:effectExtent l="0" t="0" r="0" b="0"/>
            <wp:docPr id="501" name="Image 501"/>
            <wp:cNvGraphicFramePr>
              <a:graphicFrameLocks/>
            </wp:cNvGraphicFramePr>
            <a:graphic>
              <a:graphicData uri="http://schemas.openxmlformats.org/drawingml/2006/picture">
                <pic:pic>
                  <pic:nvPicPr>
                    <pic:cNvPr id="501" name="Image 50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933" w:id="1935"/>
      <w:bookmarkEnd w:id="1935"/>
      <w:r>
        <w:rPr>
          <w:rFonts w:ascii="Times New Roman" w:hAnsi="Times New Roman"/>
          <w:spacing w:val="12"/>
        </w:rPr>
      </w:r>
      <w:r>
        <w:rPr/>
        <w:t>On the other hand, the claimant’s additional litigation costs were not too remote, being “exactly the kind of loss to be expected”. </w:t>
      </w:r>
      <w:hyperlink w:history="true" w:anchor="_bookmark2071">
        <w:r>
          <w:rPr>
            <w:color w:val="005DA1"/>
            <w:u w:val="single" w:color="005DA1"/>
            <w:vertAlign w:val="superscript"/>
          </w:rPr>
          <w:t>1388</w:t>
        </w:r>
        <w:r>
          <w:rPr>
            <w:color w:val="005DA1"/>
            <w:spacing w:val="80"/>
            <w:vertAlign w:val="baseline"/>
          </w:rPr>
          <w:t> </w:t>
        </w:r>
        <w:r>
          <w:rPr>
            <w:color w:val="005DA1"/>
            <w:position w:val="-2"/>
            <w:vertAlign w:val="baseline"/>
          </w:rPr>
          <w:drawing>
            <wp:inline distT="0" distB="0" distL="0" distR="0">
              <wp:extent cx="107988" cy="107988"/>
              <wp:effectExtent l="0" t="0" r="0" b="0"/>
              <wp:docPr id="502" name="Image 502"/>
              <wp:cNvGraphicFramePr>
                <a:graphicFrameLocks/>
              </wp:cNvGraphicFramePr>
              <a:graphic>
                <a:graphicData uri="http://schemas.openxmlformats.org/drawingml/2006/picture">
                  <pic:pic>
                    <pic:nvPicPr>
                      <pic:cNvPr id="502" name="Image 50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spacing w:before="193"/>
        <w:ind w:left="165" w:right="0" w:firstLine="0"/>
        <w:jc w:val="left"/>
        <w:rPr>
          <w:rFonts w:ascii="Arial"/>
          <w:b/>
          <w:sz w:val="24"/>
        </w:rPr>
      </w:pPr>
      <w:r>
        <w:rPr>
          <w:rFonts w:ascii="Arial"/>
          <w:b/>
          <w:sz w:val="24"/>
        </w:rPr>
        <w:t>1-</w:t>
      </w:r>
      <w:r>
        <w:rPr>
          <w:rFonts w:ascii="Arial"/>
          <w:b/>
          <w:spacing w:val="-5"/>
          <w:sz w:val="24"/>
        </w:rPr>
        <w:t>196</w:t>
      </w:r>
    </w:p>
    <w:p>
      <w:pPr>
        <w:pStyle w:val="BodyText"/>
        <w:spacing w:line="235" w:lineRule="auto" w:before="202"/>
        <w:ind w:left="164" w:right="167"/>
        <w:jc w:val="both"/>
      </w:pPr>
      <w:bookmarkStart w:name="_bookmark1934" w:id="1936"/>
      <w:bookmarkEnd w:id="1936"/>
      <w:r>
        <w:rPr/>
      </w:r>
      <w:r>
        <w:rPr/>
        <w:t>It should also be recalled, moreover, that the “foreseeability test” of remoteness of damage </w:t>
      </w:r>
      <w:r>
        <w:rPr>
          <w:color w:val="005DA1"/>
          <w:u w:val="single" w:color="005DA1"/>
          <w:vertAlign w:val="superscript"/>
        </w:rPr>
        <w:t>1389</w:t>
      </w:r>
      <w:r>
        <w:rPr>
          <w:color w:val="005DA1"/>
          <w:vertAlign w:val="baseline"/>
        </w:rPr>
        <w:t> </w:t>
      </w:r>
      <w:r>
        <w:rPr>
          <w:vertAlign w:val="baseline"/>
        </w:rPr>
        <w:t>does </w:t>
      </w:r>
      <w:bookmarkStart w:name="_bookmark1935" w:id="1937"/>
      <w:bookmarkEnd w:id="1937"/>
      <w:r>
        <w:rPr>
          <w:vertAlign w:val="baseline"/>
        </w:rPr>
        <w:t>not</w:t>
      </w:r>
      <w:r>
        <w:rPr>
          <w:vertAlign w:val="baseline"/>
        </w:rPr>
        <w:t> apply to claims for damages in the tort of deceit, where the claimant can recover all the damage directly flowing from the tortious act, </w:t>
      </w:r>
      <w:r>
        <w:rPr>
          <w:color w:val="005DA1"/>
          <w:u w:val="single" w:color="005DA1"/>
          <w:vertAlign w:val="superscript"/>
        </w:rPr>
        <w:t>1390</w:t>
      </w:r>
      <w:r>
        <w:rPr>
          <w:color w:val="005DA1"/>
          <w:vertAlign w:val="baseline"/>
        </w:rPr>
        <w:t> </w:t>
      </w:r>
      <w:r>
        <w:rPr>
          <w:vertAlign w:val="baseline"/>
        </w:rPr>
        <w:t>and the Court of Appeal has made clear that the latter </w:t>
      </w:r>
      <w:r>
        <w:rPr>
          <w:vertAlign w:val="baseline"/>
        </w:rPr>
        <w:t>test </w:t>
      </w:r>
      <w:bookmarkStart w:name="_bookmark1936" w:id="1938"/>
      <w:bookmarkEnd w:id="1938"/>
      <w:r>
        <w:rPr>
          <w:vertAlign w:val="baseline"/>
        </w:rPr>
        <w:t>also</w:t>
      </w:r>
      <w:r>
        <w:rPr>
          <w:vertAlign w:val="baseline"/>
        </w:rPr>
        <w:t> applies to claims for damages under s.2(1) of the Misrepresentation Act 1967, whose imposition rests</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fiction</w:t>
      </w:r>
      <w:r>
        <w:rPr>
          <w:spacing w:val="-1"/>
          <w:vertAlign w:val="baseline"/>
        </w:rPr>
        <w:t> </w:t>
      </w:r>
      <w:r>
        <w:rPr>
          <w:vertAlign w:val="baseline"/>
        </w:rPr>
        <w:t>of</w:t>
      </w:r>
      <w:r>
        <w:rPr>
          <w:spacing w:val="-1"/>
          <w:vertAlign w:val="baseline"/>
        </w:rPr>
        <w:t> </w:t>
      </w:r>
      <w:r>
        <w:rPr>
          <w:vertAlign w:val="baseline"/>
        </w:rPr>
        <w:t>fraud.</w:t>
      </w:r>
      <w:r>
        <w:rPr>
          <w:spacing w:val="-2"/>
          <w:vertAlign w:val="baseline"/>
        </w:rPr>
        <w:t> </w:t>
      </w:r>
      <w:r>
        <w:rPr>
          <w:color w:val="005DA1"/>
          <w:u w:val="single" w:color="005DA1"/>
          <w:vertAlign w:val="superscript"/>
        </w:rPr>
        <w:t>1391</w:t>
      </w:r>
      <w:r>
        <w:rPr>
          <w:color w:val="005DA1"/>
          <w:spacing w:val="-2"/>
          <w:vertAlign w:val="baseline"/>
        </w:rPr>
        <w:t> </w:t>
      </w:r>
      <w:r>
        <w:rPr>
          <w:vertAlign w:val="baseline"/>
        </w:rPr>
        <w:t>This</w:t>
      </w:r>
      <w:r>
        <w:rPr>
          <w:spacing w:val="-1"/>
          <w:vertAlign w:val="baseline"/>
        </w:rPr>
        <w:t> </w:t>
      </w:r>
      <w:r>
        <w:rPr>
          <w:vertAlign w:val="baseline"/>
        </w:rPr>
        <w:t>suggests</w:t>
      </w:r>
      <w:r>
        <w:rPr>
          <w:spacing w:val="-1"/>
          <w:vertAlign w:val="baseline"/>
        </w:rPr>
        <w:t> </w:t>
      </w:r>
      <w:r>
        <w:rPr>
          <w:vertAlign w:val="baseline"/>
        </w:rPr>
        <w:t>that</w:t>
      </w:r>
      <w:r>
        <w:rPr>
          <w:spacing w:val="-1"/>
          <w:vertAlign w:val="baseline"/>
        </w:rPr>
        <w:t> </w:t>
      </w:r>
      <w:r>
        <w:rPr>
          <w:vertAlign w:val="baseline"/>
        </w:rPr>
        <w:t>in</w:t>
      </w:r>
      <w:r>
        <w:rPr>
          <w:spacing w:val="-1"/>
          <w:vertAlign w:val="baseline"/>
        </w:rPr>
        <w:t> </w:t>
      </w:r>
      <w:r>
        <w:rPr>
          <w:vertAlign w:val="baseline"/>
        </w:rPr>
        <w:t>some</w:t>
      </w:r>
      <w:r>
        <w:rPr>
          <w:spacing w:val="-1"/>
          <w:vertAlign w:val="baseline"/>
        </w:rPr>
        <w:t> </w:t>
      </w:r>
      <w:r>
        <w:rPr>
          <w:vertAlign w:val="baseline"/>
        </w:rPr>
        <w:t>cases</w:t>
      </w:r>
      <w:r>
        <w:rPr>
          <w:spacing w:val="-1"/>
          <w:vertAlign w:val="baseline"/>
        </w:rPr>
        <w:t> </w:t>
      </w:r>
      <w:r>
        <w:rPr>
          <w:vertAlign w:val="baseline"/>
        </w:rPr>
        <w:t>a</w:t>
      </w:r>
      <w:r>
        <w:rPr>
          <w:spacing w:val="-1"/>
          <w:vertAlign w:val="baseline"/>
        </w:rPr>
        <w:t> </w:t>
      </w:r>
      <w:r>
        <w:rPr>
          <w:vertAlign w:val="baseline"/>
        </w:rPr>
        <w:t>representee</w:t>
      </w:r>
      <w:r>
        <w:rPr>
          <w:spacing w:val="-1"/>
          <w:vertAlign w:val="baseline"/>
        </w:rPr>
        <w:t> </w:t>
      </w:r>
      <w:r>
        <w:rPr>
          <w:vertAlign w:val="baseline"/>
        </w:rPr>
        <w:t>will</w:t>
      </w:r>
      <w:r>
        <w:rPr>
          <w:spacing w:val="-1"/>
          <w:vertAlign w:val="baseline"/>
        </w:rPr>
        <w:t> </w:t>
      </w:r>
      <w:r>
        <w:rPr>
          <w:vertAlign w:val="baseline"/>
        </w:rPr>
        <w:t>have</w:t>
      </w:r>
      <w:r>
        <w:rPr>
          <w:spacing w:val="-1"/>
          <w:vertAlign w:val="baseline"/>
        </w:rPr>
        <w:t> </w:t>
      </w:r>
      <w:r>
        <w:rPr>
          <w:vertAlign w:val="baseline"/>
        </w:rPr>
        <w:t>an</w:t>
      </w:r>
      <w:r>
        <w:rPr>
          <w:spacing w:val="-1"/>
          <w:vertAlign w:val="baseline"/>
        </w:rPr>
        <w:t> </w:t>
      </w:r>
      <w:r>
        <w:rPr>
          <w:vertAlign w:val="baseline"/>
        </w:rPr>
        <w:t>advantage </w:t>
      </w:r>
      <w:bookmarkStart w:name="_bookmark1937" w:id="1939"/>
      <w:bookmarkEnd w:id="1939"/>
      <w:r>
        <w:rPr>
          <w:vertAlign w:val="baseline"/>
        </w:rPr>
        <w:t>in</w:t>
      </w:r>
      <w:r>
        <w:rPr>
          <w:vertAlign w:val="baseline"/>
        </w:rPr>
        <w:t> claiming damages for misrepresentation, rather than for breach of a contractual warranty which results from the incorporation of a statement into the contract, </w:t>
      </w:r>
      <w:r>
        <w:rPr>
          <w:color w:val="005DA1"/>
          <w:u w:val="single" w:color="005DA1"/>
          <w:vertAlign w:val="superscript"/>
        </w:rPr>
        <w:t>1392</w:t>
      </w:r>
      <w:r>
        <w:rPr>
          <w:color w:val="005DA1"/>
          <w:vertAlign w:val="baseline"/>
        </w:rPr>
        <w:t> </w:t>
      </w:r>
      <w:r>
        <w:rPr>
          <w:vertAlign w:val="baseline"/>
        </w:rPr>
        <w:t>as the former allows recovery of all </w:t>
      </w:r>
      <w:bookmarkStart w:name="_bookmark1938" w:id="1940"/>
      <w:bookmarkEnd w:id="1940"/>
      <w:r>
        <w:rPr>
          <w:vertAlign w:val="baseline"/>
        </w:rPr>
        <w:t>losses</w:t>
      </w:r>
      <w:r>
        <w:rPr>
          <w:vertAlign w:val="baseline"/>
        </w:rPr>
        <w:t> flowing from the misrepresentation even if unforeseeable, “provided that they [are] not otherwise too remote”. </w:t>
      </w:r>
      <w:r>
        <w:rPr>
          <w:color w:val="005DA1"/>
          <w:u w:val="single" w:color="005DA1"/>
          <w:vertAlign w:val="superscript"/>
        </w:rPr>
        <w:t>1393</w:t>
      </w:r>
      <w:r>
        <w:rPr>
          <w:color w:val="005DA1"/>
          <w:vertAlign w:val="baseline"/>
        </w:rPr>
        <w:t> </w:t>
      </w:r>
      <w:r>
        <w:rPr>
          <w:vertAlign w:val="baseline"/>
        </w:rPr>
        <w:t>On the other hand, a consumer’s claim for damages as a “right to redress” against a trader in respect of the latter’s “misleading action” or “aggressive commercial practice” (the </w:t>
      </w:r>
      <w:bookmarkStart w:name="_bookmark1939" w:id="1941"/>
      <w:bookmarkEnd w:id="1941"/>
      <w:r>
        <w:rPr>
          <w:vertAlign w:val="baseline"/>
        </w:rPr>
        <w:t>“prohibited</w:t>
      </w:r>
      <w:r>
        <w:rPr>
          <w:vertAlign w:val="baseline"/>
        </w:rPr>
        <w:t> practice) under the Consumer Protection from Unfair Trading Regulations 2008 is limited</w:t>
      </w:r>
      <w:r>
        <w:rPr>
          <w:spacing w:val="40"/>
          <w:vertAlign w:val="baseline"/>
        </w:rPr>
        <w:t> </w:t>
      </w:r>
      <w:r>
        <w:rPr>
          <w:vertAlign w:val="baseline"/>
        </w:rPr>
        <w:t>to “loss that was reasonably foreseeable at the time of the prohibited practice”. </w:t>
      </w:r>
      <w:r>
        <w:rPr>
          <w:color w:val="005DA1"/>
          <w:u w:val="single" w:color="005DA1"/>
          <w:vertAlign w:val="superscript"/>
        </w:rPr>
        <w:t>1394</w:t>
      </w:r>
    </w:p>
    <w:p>
      <w:pPr>
        <w:pStyle w:val="BodyText"/>
      </w:pPr>
    </w:p>
    <w:p>
      <w:pPr>
        <w:pStyle w:val="BodyText"/>
        <w:spacing w:before="34"/>
      </w:pPr>
    </w:p>
    <w:p>
      <w:pPr>
        <w:spacing w:before="0"/>
        <w:ind w:left="165" w:right="0" w:firstLine="0"/>
        <w:jc w:val="both"/>
        <w:rPr>
          <w:rFonts w:ascii="Arial"/>
          <w:b/>
          <w:sz w:val="18"/>
        </w:rPr>
      </w:pPr>
      <w:r>
        <w:rPr>
          <w:rFonts w:ascii="Arial"/>
          <w:b/>
          <w:sz w:val="18"/>
        </w:rPr>
        <w:t>Contributory </w:t>
      </w:r>
      <w:r>
        <w:rPr>
          <w:rFonts w:ascii="Arial"/>
          <w:b/>
          <w:spacing w:val="-2"/>
          <w:sz w:val="18"/>
        </w:rPr>
        <w:t>negligence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197</w:t>
      </w:r>
    </w:p>
    <w:p>
      <w:pPr>
        <w:pStyle w:val="BodyText"/>
        <w:spacing w:line="235" w:lineRule="auto" w:before="202"/>
        <w:ind w:left="164" w:right="167"/>
        <w:jc w:val="both"/>
      </w:pPr>
      <w:bookmarkStart w:name="_bookmark1940" w:id="1942"/>
      <w:bookmarkEnd w:id="1942"/>
      <w:r>
        <w:rPr/>
      </w:r>
      <w:r>
        <w:rPr/>
        <w:t>In </w:t>
      </w:r>
      <w:r>
        <w:rPr>
          <w:rFonts w:ascii="Arial" w:hAnsi="Arial"/>
          <w:i/>
        </w:rPr>
        <w:t>Forsikringsaktieselskapet Vesta v Butcher</w:t>
      </w:r>
      <w:r>
        <w:rPr/>
        <w:t>, </w:t>
      </w:r>
      <w:r>
        <w:rPr>
          <w:color w:val="005DA1"/>
          <w:u w:val="single" w:color="005DA1"/>
          <w:vertAlign w:val="superscript"/>
        </w:rPr>
        <w:t>1395</w:t>
      </w:r>
      <w:r>
        <w:rPr>
          <w:color w:val="005DA1"/>
          <w:vertAlign w:val="baseline"/>
        </w:rPr>
        <w:t> </w:t>
      </w:r>
      <w:r>
        <w:rPr>
          <w:vertAlign w:val="baseline"/>
        </w:rPr>
        <w:t>the Court of Appeal took a very similar approach to </w:t>
      </w:r>
      <w:bookmarkStart w:name="_bookmark1941" w:id="1943"/>
      <w:bookmarkEnd w:id="1943"/>
      <w:r>
        <w:rPr>
          <w:vertAlign w:val="baseline"/>
        </w:rPr>
        <w:t>the</w:t>
      </w:r>
      <w:r>
        <w:rPr>
          <w:vertAlign w:val="baseline"/>
        </w:rPr>
        <w:t> defence of contributory negligence as it had done in </w:t>
      </w:r>
      <w:r>
        <w:rPr>
          <w:rFonts w:ascii="Arial" w:hAnsi="Arial"/>
          <w:i/>
          <w:vertAlign w:val="baseline"/>
        </w:rPr>
        <w:t>H. Parsons (Livestock) Ltd v Uttley Ingham &amp; Co Ltd </w:t>
      </w:r>
      <w:r>
        <w:rPr>
          <w:color w:val="005DA1"/>
          <w:u w:val="single" w:color="005DA1"/>
          <w:vertAlign w:val="superscript"/>
        </w:rPr>
        <w:t>1396</w:t>
      </w:r>
      <w:r>
        <w:rPr>
          <w:color w:val="005DA1"/>
          <w:vertAlign w:val="baseline"/>
        </w:rPr>
        <w:t> </w:t>
      </w:r>
      <w:r>
        <w:rPr>
          <w:vertAlign w:val="baseline"/>
        </w:rPr>
        <w:t>to remoteness of damage, and held that while s.1 of the Law Reform </w:t>
      </w:r>
      <w:r>
        <w:rPr>
          <w:vertAlign w:val="baseline"/>
        </w:rPr>
        <w:t>(Contributory Negligence) Act 1945 does not in general apply to claims for breach of contract so as to allow a court to reduce any award of damages on the ground of contributory negligence, it does apply to claims </w:t>
      </w:r>
      <w:bookmarkStart w:name="_bookmark1942" w:id="1944"/>
      <w:bookmarkEnd w:id="1944"/>
      <w:r>
        <w:rPr>
          <w:vertAlign w:val="baseline"/>
        </w:rPr>
        <w:t>based</w:t>
      </w:r>
      <w:r>
        <w:rPr>
          <w:vertAlign w:val="baseline"/>
        </w:rPr>
        <w:t> on the breach of a contractual obligation to take reasonable care (“contractual negligence”) as long as this is concurrent with liability for breach of a duty of care in tort. </w:t>
      </w:r>
      <w:r>
        <w:rPr>
          <w:color w:val="005DA1"/>
          <w:u w:val="single" w:color="005DA1"/>
          <w:vertAlign w:val="superscript"/>
        </w:rPr>
        <w:t>1397</w:t>
      </w:r>
      <w:r>
        <w:rPr>
          <w:color w:val="005DA1"/>
          <w:vertAlign w:val="baseline"/>
        </w:rPr>
        <w:t> </w:t>
      </w:r>
      <w:r>
        <w:rPr>
          <w:vertAlign w:val="baseline"/>
        </w:rPr>
        <w:t>This approach leads to the paradox that a court’s recognition of a duty of care in the tort of negligence in </w:t>
      </w:r>
      <w:r>
        <w:rPr>
          <w:rFonts w:ascii="Arial" w:hAnsi="Arial"/>
          <w:i/>
          <w:vertAlign w:val="baseline"/>
        </w:rPr>
        <w:t>addition </w:t>
      </w:r>
      <w:r>
        <w:rPr>
          <w:vertAlign w:val="baseline"/>
        </w:rPr>
        <w:t>to and concurrent with a contractual obligation to take reasonable care owed to a claimant may lead to the </w:t>
      </w:r>
      <w:bookmarkStart w:name="_bookmark1943" w:id="1945"/>
      <w:bookmarkEnd w:id="1945"/>
      <w:r>
        <w:rPr>
          <w:vertAlign w:val="baseline"/>
        </w:rPr>
      </w:r>
      <w:r>
        <w:rPr>
          <w:rFonts w:ascii="Arial" w:hAnsi="Arial"/>
          <w:i/>
          <w:vertAlign w:val="baseline"/>
        </w:rPr>
        <w:t>reduction </w:t>
      </w:r>
      <w:r>
        <w:rPr>
          <w:vertAlign w:val="baseline"/>
        </w:rPr>
        <w:t>of the latter’s damages on the ground of contributory negligence, whereas its refusal to do so would rule out such a reduction. </w:t>
      </w:r>
      <w:r>
        <w:rPr>
          <w:color w:val="005DA1"/>
          <w:u w:val="single" w:color="005DA1"/>
          <w:vertAlign w:val="superscript"/>
        </w:rPr>
        <w:t>1398</w:t>
      </w:r>
    </w:p>
    <w:p>
      <w:pPr>
        <w:pStyle w:val="BodyText"/>
      </w:pPr>
    </w:p>
    <w:p>
      <w:pPr>
        <w:pStyle w:val="BodyText"/>
        <w:spacing w:before="34"/>
      </w:pPr>
    </w:p>
    <w:p>
      <w:pPr>
        <w:spacing w:before="1"/>
        <w:ind w:left="165" w:right="0" w:firstLine="0"/>
        <w:jc w:val="both"/>
        <w:rPr>
          <w:rFonts w:ascii="Arial"/>
          <w:b/>
          <w:sz w:val="18"/>
        </w:rPr>
      </w:pPr>
      <w:r>
        <w:rPr>
          <w:rFonts w:ascii="Arial"/>
          <w:b/>
          <w:sz w:val="18"/>
        </w:rPr>
        <w:t>Limitation of </w:t>
      </w:r>
      <w:r>
        <w:rPr>
          <w:rFonts w:ascii="Arial"/>
          <w:b/>
          <w:spacing w:val="-2"/>
          <w:sz w:val="18"/>
        </w:rPr>
        <w:t>actions</w:t>
      </w:r>
    </w:p>
    <w:p>
      <w:pPr>
        <w:spacing w:after="0"/>
        <w:jc w:val="both"/>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1-</w:t>
      </w:r>
      <w:r>
        <w:rPr>
          <w:rFonts w:ascii="Arial"/>
          <w:b/>
          <w:spacing w:val="-5"/>
          <w:sz w:val="24"/>
        </w:rPr>
        <w:t>198</w:t>
      </w:r>
    </w:p>
    <w:p>
      <w:pPr>
        <w:pStyle w:val="BodyText"/>
        <w:spacing w:line="235" w:lineRule="auto" w:before="202"/>
        <w:ind w:left="164" w:right="167"/>
        <w:jc w:val="both"/>
      </w:pPr>
      <w:bookmarkStart w:name="_bookmark1944" w:id="1946"/>
      <w:bookmarkEnd w:id="1946"/>
      <w:r>
        <w:rPr/>
      </w:r>
      <w:r>
        <w:rPr/>
        <w:t>As has been seen, differences as to the rules of limitation of actions exist according to whether the claim</w:t>
      </w:r>
      <w:r>
        <w:rPr>
          <w:spacing w:val="-1"/>
        </w:rPr>
        <w:t> </w:t>
      </w:r>
      <w:r>
        <w:rPr/>
        <w:t>is</w:t>
      </w:r>
      <w:r>
        <w:rPr>
          <w:spacing w:val="-1"/>
        </w:rPr>
        <w:t> </w:t>
      </w:r>
      <w:r>
        <w:rPr/>
        <w:t>brought</w:t>
      </w:r>
      <w:r>
        <w:rPr>
          <w:spacing w:val="-1"/>
        </w:rPr>
        <w:t> </w:t>
      </w:r>
      <w:r>
        <w:rPr/>
        <w:t>in</w:t>
      </w:r>
      <w:r>
        <w:rPr>
          <w:spacing w:val="-1"/>
        </w:rPr>
        <w:t> </w:t>
      </w:r>
      <w:r>
        <w:rPr/>
        <w:t>tort</w:t>
      </w:r>
      <w:r>
        <w:rPr>
          <w:spacing w:val="-1"/>
        </w:rPr>
        <w:t> </w:t>
      </w:r>
      <w:r>
        <w:rPr/>
        <w:t>or</w:t>
      </w:r>
      <w:r>
        <w:rPr>
          <w:spacing w:val="-1"/>
        </w:rPr>
        <w:t> </w:t>
      </w:r>
      <w:r>
        <w:rPr/>
        <w:t>contract</w:t>
      </w:r>
      <w:r>
        <w:rPr>
          <w:spacing w:val="-1"/>
        </w:rPr>
        <w:t> </w:t>
      </w:r>
      <w:r>
        <w:rPr>
          <w:color w:val="005DA1"/>
          <w:u w:val="single" w:color="005DA1"/>
          <w:vertAlign w:val="superscript"/>
        </w:rPr>
        <w:t>1399</w:t>
      </w:r>
      <w:r>
        <w:rPr>
          <w:color w:val="005DA1"/>
          <w:spacing w:val="-1"/>
          <w:vertAlign w:val="baseline"/>
        </w:rPr>
        <w:t> </w:t>
      </w:r>
      <w:r>
        <w:rPr>
          <w:vertAlign w:val="baseline"/>
        </w:rPr>
        <w:t>and</w:t>
      </w:r>
      <w:r>
        <w:rPr>
          <w:spacing w:val="-1"/>
          <w:vertAlign w:val="baseline"/>
        </w:rPr>
        <w:t> </w:t>
      </w:r>
      <w:r>
        <w:rPr>
          <w:vertAlign w:val="baseline"/>
        </w:rPr>
        <w:t>this</w:t>
      </w:r>
      <w:r>
        <w:rPr>
          <w:spacing w:val="-1"/>
          <w:vertAlign w:val="baseline"/>
        </w:rPr>
        <w:t> </w:t>
      </w:r>
      <w:r>
        <w:rPr>
          <w:vertAlign w:val="baseline"/>
        </w:rPr>
        <w:t>has</w:t>
      </w:r>
      <w:r>
        <w:rPr>
          <w:spacing w:val="-1"/>
          <w:vertAlign w:val="baseline"/>
        </w:rPr>
        <w:t> </w:t>
      </w:r>
      <w:r>
        <w:rPr>
          <w:vertAlign w:val="baseline"/>
        </w:rPr>
        <w:t>often</w:t>
      </w:r>
      <w:r>
        <w:rPr>
          <w:spacing w:val="-1"/>
          <w:vertAlign w:val="baseline"/>
        </w:rPr>
        <w:t> </w:t>
      </w:r>
      <w:r>
        <w:rPr>
          <w:vertAlign w:val="baseline"/>
        </w:rPr>
        <w:t>been</w:t>
      </w:r>
      <w:r>
        <w:rPr>
          <w:spacing w:val="-1"/>
          <w:vertAlign w:val="baseline"/>
        </w:rPr>
        <w:t> </w:t>
      </w:r>
      <w:r>
        <w:rPr>
          <w:vertAlign w:val="baseline"/>
        </w:rPr>
        <w:t>a</w:t>
      </w:r>
      <w:r>
        <w:rPr>
          <w:spacing w:val="-1"/>
          <w:vertAlign w:val="baseline"/>
        </w:rPr>
        <w:t> </w:t>
      </w:r>
      <w:r>
        <w:rPr>
          <w:vertAlign w:val="baseline"/>
        </w:rPr>
        <w:t>reason</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claimant</w:t>
      </w:r>
      <w:r>
        <w:rPr>
          <w:spacing w:val="-1"/>
          <w:vertAlign w:val="baseline"/>
        </w:rPr>
        <w:t> </w:t>
      </w:r>
      <w:r>
        <w:rPr>
          <w:vertAlign w:val="baseline"/>
        </w:rPr>
        <w:t>to</w:t>
      </w:r>
      <w:r>
        <w:rPr>
          <w:spacing w:val="-1"/>
          <w:vertAlign w:val="baseline"/>
        </w:rPr>
        <w:t> </w:t>
      </w:r>
      <w:r>
        <w:rPr>
          <w:vertAlign w:val="baseline"/>
        </w:rPr>
        <w:t>put</w:t>
      </w:r>
      <w:r>
        <w:rPr>
          <w:spacing w:val="-1"/>
          <w:vertAlign w:val="baseline"/>
        </w:rPr>
        <w:t> </w:t>
      </w:r>
      <w:r>
        <w:rPr>
          <w:vertAlign w:val="baseline"/>
        </w:rPr>
        <w:t>a</w:t>
      </w:r>
      <w:r>
        <w:rPr>
          <w:spacing w:val="-1"/>
          <w:vertAlign w:val="baseline"/>
        </w:rPr>
        <w:t> </w:t>
      </w:r>
      <w:r>
        <w:rPr>
          <w:vertAlign w:val="baseline"/>
        </w:rPr>
        <w:t>claim</w:t>
      </w:r>
      <w:r>
        <w:rPr>
          <w:spacing w:val="-1"/>
          <w:vertAlign w:val="baseline"/>
        </w:rPr>
        <w:t> </w:t>
      </w:r>
      <w:r>
        <w:rPr>
          <w:vertAlign w:val="baseline"/>
        </w:rPr>
        <w:t>in tort rather for breach of contract. Traditionally, the courts allowed a claimant’s choice whether to sue </w:t>
      </w:r>
      <w:bookmarkStart w:name="_bookmark1945" w:id="1947"/>
      <w:bookmarkEnd w:id="1947"/>
      <w:r>
        <w:rPr>
          <w:vertAlign w:val="baseline"/>
        </w:rPr>
        <w:t>for</w:t>
      </w:r>
      <w:r>
        <w:rPr>
          <w:vertAlign w:val="baseline"/>
        </w:rPr>
        <w:t> breach of contract or in tort to determine which of the two regimes of limitation will apply and this practice was confirmed in </w:t>
      </w:r>
      <w:r>
        <w:rPr>
          <w:rFonts w:ascii="Arial" w:hAnsi="Arial"/>
          <w:i/>
          <w:vertAlign w:val="baseline"/>
        </w:rPr>
        <w:t>Henderson v Merrett Syndicates Ltd</w:t>
      </w:r>
      <w:r>
        <w:rPr>
          <w:vertAlign w:val="baseline"/>
        </w:rPr>
        <w:t>. </w:t>
      </w:r>
      <w:r>
        <w:rPr>
          <w:color w:val="005DA1"/>
          <w:u w:val="single" w:color="005DA1"/>
          <w:vertAlign w:val="superscript"/>
        </w:rPr>
        <w:t>1400</w:t>
      </w:r>
      <w:r>
        <w:rPr>
          <w:color w:val="005DA1"/>
          <w:vertAlign w:val="baseline"/>
        </w:rPr>
        <w:t> </w:t>
      </w:r>
      <w:r>
        <w:rPr>
          <w:vertAlign w:val="baseline"/>
        </w:rPr>
        <w:t>However, although the </w:t>
      </w:r>
      <w:r>
        <w:rPr>
          <w:vertAlign w:val="baseline"/>
        </w:rPr>
        <w:t>general </w:t>
      </w:r>
      <w:bookmarkStart w:name="_bookmark1946" w:id="1948"/>
      <w:bookmarkEnd w:id="1948"/>
      <w:r>
        <w:rPr>
          <w:vertAlign w:val="baseline"/>
        </w:rPr>
        <w:t>rule</w:t>
      </w:r>
      <w:r>
        <w:rPr>
          <w:vertAlign w:val="baseline"/>
        </w:rPr>
        <w:t> is that an action in contract accrues on its breach, whereas an action in tort accrues only on </w:t>
      </w:r>
      <w:bookmarkStart w:name="_bookmark1947" w:id="1949"/>
      <w:bookmarkEnd w:id="1949"/>
      <w:r>
        <w:rPr>
          <w:vertAlign w:val="baseline"/>
        </w:rPr>
        <w:t>damage</w:t>
      </w:r>
      <w:r>
        <w:rPr>
          <w:vertAlign w:val="baseline"/>
        </w:rPr>
        <w:t> being suffered by the claimant, </w:t>
      </w:r>
      <w:r>
        <w:rPr>
          <w:color w:val="005DA1"/>
          <w:u w:val="single" w:color="005DA1"/>
          <w:vertAlign w:val="superscript"/>
        </w:rPr>
        <w:t>1401</w:t>
      </w:r>
      <w:r>
        <w:rPr>
          <w:color w:val="005DA1"/>
          <w:vertAlign w:val="baseline"/>
        </w:rPr>
        <w:t> </w:t>
      </w:r>
      <w:r>
        <w:rPr>
          <w:vertAlign w:val="baseline"/>
        </w:rPr>
        <w:t>in those cases where the courts accept that the claimant would have had </w:t>
      </w:r>
      <w:r>
        <w:rPr>
          <w:color w:val="005DA1"/>
          <w:u w:val="single" w:color="005DA1"/>
          <w:vertAlign w:val="superscript"/>
        </w:rPr>
        <w:t>1402</w:t>
      </w:r>
      <w:r>
        <w:rPr>
          <w:color w:val="005DA1"/>
          <w:vertAlign w:val="baseline"/>
        </w:rPr>
        <w:t> </w:t>
      </w:r>
      <w:r>
        <w:rPr>
          <w:vertAlign w:val="baseline"/>
        </w:rPr>
        <w:t>a claim for pure economic loss in the tort of negligence concurrent with a claim in contract, their approach has been to assimilate the two rules as to accrual, by finding that the</w:t>
      </w:r>
      <w:r>
        <w:rPr>
          <w:spacing w:val="80"/>
          <w:vertAlign w:val="baseline"/>
        </w:rPr>
        <w:t> </w:t>
      </w:r>
      <w:bookmarkStart w:name="_bookmark1948" w:id="1950"/>
      <w:bookmarkEnd w:id="1950"/>
      <w:r>
        <w:rPr>
          <w:vertAlign w:val="baseline"/>
        </w:rPr>
        <w:t>claimant</w:t>
      </w:r>
      <w:r>
        <w:rPr>
          <w:vertAlign w:val="baseline"/>
        </w:rPr>
        <w:t> suffered damage for the purposes of the rule in tort at the same date as the breach of contract. </w:t>
      </w:r>
      <w:r>
        <w:rPr>
          <w:color w:val="005DA1"/>
          <w:u w:val="single" w:color="005DA1"/>
          <w:vertAlign w:val="superscript"/>
        </w:rPr>
        <w:t>1403</w:t>
      </w:r>
      <w:r>
        <w:rPr>
          <w:color w:val="005DA1"/>
          <w:vertAlign w:val="baseline"/>
        </w:rPr>
        <w:t> </w:t>
      </w:r>
      <w:r>
        <w:rPr>
          <w:vertAlign w:val="baseline"/>
        </w:rPr>
        <w:t>On the other hand, rather than reducing differences of rule as to limitation of actions in contract and in tort, the Latent Damage Act 1986 added a further one, as its provision according to </w:t>
      </w:r>
      <w:bookmarkStart w:name="_bookmark1949" w:id="1951"/>
      <w:bookmarkEnd w:id="1951"/>
      <w:r>
        <w:rPr>
          <w:vertAlign w:val="baseline"/>
        </w:rPr>
        <w:t>which</w:t>
      </w:r>
      <w:r>
        <w:rPr>
          <w:vertAlign w:val="baseline"/>
        </w:rPr>
        <w:t> “negligence actions” for latent damage can accrue on the latter’s discovery rather than on its occurrence, has been held to apply only to actions based on negligence in </w:t>
      </w:r>
      <w:r>
        <w:rPr>
          <w:rFonts w:ascii="Arial" w:hAnsi="Arial"/>
          <w:i/>
          <w:vertAlign w:val="baseline"/>
        </w:rPr>
        <w:t>tort</w:t>
      </w:r>
      <w:r>
        <w:rPr>
          <w:vertAlign w:val="baseline"/>
        </w:rPr>
        <w:t>. </w:t>
      </w:r>
      <w:r>
        <w:rPr>
          <w:color w:val="005DA1"/>
          <w:u w:val="single" w:color="005DA1"/>
          <w:vertAlign w:val="superscript"/>
        </w:rPr>
        <w:t>1404</w:t>
      </w:r>
    </w:p>
    <w:p>
      <w:pPr>
        <w:pStyle w:val="BodyText"/>
      </w:pPr>
    </w:p>
    <w:p>
      <w:pPr>
        <w:pStyle w:val="BodyText"/>
        <w:spacing w:before="33"/>
      </w:pPr>
    </w:p>
    <w:p>
      <w:pPr>
        <w:spacing w:before="1"/>
        <w:ind w:left="165" w:right="0" w:firstLine="0"/>
        <w:jc w:val="both"/>
        <w:rPr>
          <w:rFonts w:ascii="Arial"/>
          <w:b/>
          <w:sz w:val="18"/>
        </w:rPr>
      </w:pPr>
      <w:r>
        <w:rPr>
          <w:rFonts w:ascii="Arial"/>
          <w:b/>
          <w:sz w:val="18"/>
        </w:rPr>
        <w:t>The conflict of laws: </w:t>
      </w:r>
      <w:r>
        <w:rPr>
          <w:rFonts w:ascii="Arial"/>
          <w:b/>
          <w:spacing w:val="-2"/>
          <w:sz w:val="18"/>
        </w:rPr>
        <w:t>jurisdiction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199</w:t>
      </w:r>
    </w:p>
    <w:p>
      <w:pPr>
        <w:pStyle w:val="BodyText"/>
        <w:spacing w:before="92"/>
        <w:rPr>
          <w:rFonts w:ascii="Arial"/>
          <w:b/>
        </w:rPr>
      </w:pPr>
    </w:p>
    <w:p>
      <w:pPr>
        <w:pStyle w:val="BodyText"/>
        <w:spacing w:line="235" w:lineRule="auto" w:before="1"/>
        <w:ind w:left="164" w:right="166"/>
        <w:jc w:val="both"/>
      </w:pPr>
      <w:r>
        <w:rPr>
          <w:position w:val="-2"/>
        </w:rPr>
        <w:drawing>
          <wp:inline distT="0" distB="0" distL="0" distR="0">
            <wp:extent cx="107988" cy="107988"/>
            <wp:effectExtent l="0" t="0" r="0" b="0"/>
            <wp:docPr id="503" name="Image 503"/>
            <wp:cNvGraphicFramePr>
              <a:graphicFrameLocks/>
            </wp:cNvGraphicFramePr>
            <a:graphic>
              <a:graphicData uri="http://schemas.openxmlformats.org/drawingml/2006/picture">
                <pic:pic>
                  <pic:nvPicPr>
                    <pic:cNvPr id="503" name="Image 50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It was clearly established at common law that in cases with a foreign element where English </w:t>
      </w:r>
      <w:r>
        <w:rPr/>
        <w:t>law </w:t>
      </w:r>
      <w:bookmarkStart w:name="_bookmark1950" w:id="1952"/>
      <w:bookmarkEnd w:id="1952"/>
      <w:r>
        <w:rPr/>
        <w:t>allows</w:t>
      </w:r>
      <w:r>
        <w:rPr/>
        <w:t> a person alternative claims in contract and in tort, his election between them brings with it the appropriate rules both of jurisdiction and choice of law. </w:t>
      </w:r>
      <w:r>
        <w:rPr>
          <w:color w:val="005DA1"/>
          <w:u w:val="single" w:color="005DA1"/>
          <w:vertAlign w:val="superscript"/>
        </w:rPr>
        <w:t>1405</w:t>
      </w:r>
      <w:r>
        <w:rPr>
          <w:color w:val="005DA1"/>
          <w:vertAlign w:val="baseline"/>
        </w:rPr>
        <w:t> </w:t>
      </w:r>
      <w:r>
        <w:rPr>
          <w:vertAlign w:val="baseline"/>
        </w:rPr>
        <w:t>However, within its scope,Regulation (EU) 1215/2012 on jurisdiction and the recognition and enforcement of judgments in civil and commercial </w:t>
      </w:r>
      <w:bookmarkStart w:name="_bookmark1951" w:id="1953"/>
      <w:bookmarkEnd w:id="1953"/>
      <w:r>
        <w:rPr>
          <w:vertAlign w:val="baseline"/>
        </w:rPr>
        <w:t>matters</w:t>
      </w:r>
      <w:r>
        <w:rPr>
          <w:spacing w:val="-2"/>
          <w:vertAlign w:val="baseline"/>
        </w:rPr>
        <w:t> </w:t>
      </w:r>
      <w:r>
        <w:rPr>
          <w:vertAlign w:val="baseline"/>
        </w:rPr>
        <w:t>(“the</w:t>
      </w:r>
      <w:r>
        <w:rPr>
          <w:spacing w:val="-2"/>
          <w:vertAlign w:val="baseline"/>
        </w:rPr>
        <w:t> </w:t>
      </w:r>
      <w:r>
        <w:rPr>
          <w:vertAlign w:val="baseline"/>
        </w:rPr>
        <w:t>Brussels</w:t>
      </w:r>
      <w:r>
        <w:rPr>
          <w:spacing w:val="-2"/>
          <w:vertAlign w:val="baseline"/>
        </w:rPr>
        <w:t> </w:t>
      </w:r>
      <w:r>
        <w:rPr>
          <w:vertAlign w:val="baseline"/>
        </w:rPr>
        <w:t>Ibis</w:t>
      </w:r>
      <w:r>
        <w:rPr>
          <w:spacing w:val="-2"/>
          <w:vertAlign w:val="baseline"/>
        </w:rPr>
        <w:t> </w:t>
      </w:r>
      <w:r>
        <w:rPr>
          <w:vertAlign w:val="baseline"/>
        </w:rPr>
        <w:t>Regulation”)</w:t>
      </w:r>
      <w:r>
        <w:rPr>
          <w:spacing w:val="-2"/>
          <w:vertAlign w:val="baseline"/>
        </w:rPr>
        <w:t> </w:t>
      </w:r>
      <w:r>
        <w:rPr>
          <w:vertAlign w:val="baseline"/>
        </w:rPr>
        <w:t>governs</w:t>
      </w:r>
      <w:r>
        <w:rPr>
          <w:spacing w:val="-2"/>
          <w:vertAlign w:val="baseline"/>
        </w:rPr>
        <w:t> </w:t>
      </w:r>
      <w:r>
        <w:rPr>
          <w:vertAlign w:val="baseline"/>
        </w:rPr>
        <w:t>jurisdiction</w:t>
      </w:r>
      <w:r>
        <w:rPr>
          <w:spacing w:val="-2"/>
          <w:vertAlign w:val="baseline"/>
        </w:rPr>
        <w:t> </w:t>
      </w:r>
      <w:r>
        <w:rPr>
          <w:vertAlign w:val="baseline"/>
        </w:rPr>
        <w:t>both</w:t>
      </w:r>
      <w:r>
        <w:rPr>
          <w:spacing w:val="-2"/>
          <w:vertAlign w:val="baseline"/>
        </w:rPr>
        <w:t> </w:t>
      </w:r>
      <w:r>
        <w:rPr>
          <w:vertAlign w:val="baseline"/>
        </w:rPr>
        <w:t>in</w:t>
      </w:r>
      <w:r>
        <w:rPr>
          <w:spacing w:val="-2"/>
          <w:vertAlign w:val="baseline"/>
        </w:rPr>
        <w:t> </w:t>
      </w:r>
      <w:r>
        <w:rPr>
          <w:vertAlign w:val="baseline"/>
        </w:rPr>
        <w:t>“matters</w:t>
      </w:r>
      <w:r>
        <w:rPr>
          <w:spacing w:val="-2"/>
          <w:vertAlign w:val="baseline"/>
        </w:rPr>
        <w:t> </w:t>
      </w:r>
      <w:r>
        <w:rPr>
          <w:vertAlign w:val="baseline"/>
        </w:rPr>
        <w:t>relating</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and “matters relating to tort”. </w:t>
      </w:r>
      <w:r>
        <w:rPr>
          <w:color w:val="005DA1"/>
          <w:u w:val="single" w:color="005DA1"/>
          <w:vertAlign w:val="superscript"/>
        </w:rPr>
        <w:t>1406</w:t>
      </w:r>
      <w:r>
        <w:rPr>
          <w:color w:val="005DA1"/>
          <w:vertAlign w:val="baseline"/>
        </w:rPr>
        <w:t> </w:t>
      </w:r>
      <w:r>
        <w:rPr>
          <w:vertAlign w:val="baseline"/>
        </w:rPr>
        <w:t>In a case where English substantive law would in principle allow a claimant to choose whether to put his claim in terms of contract or of tort, it would appear instead that </w:t>
      </w:r>
      <w:bookmarkStart w:name="_bookmark1952" w:id="1954"/>
      <w:bookmarkEnd w:id="1954"/>
      <w:r>
        <w:rPr>
          <w:vertAlign w:val="baseline"/>
        </w:rPr>
        <w:t>the</w:t>
      </w:r>
      <w:r>
        <w:rPr>
          <w:vertAlign w:val="baseline"/>
        </w:rPr>
        <w:t> Court of Justice of the EU would regard the claim as “relating to a contract” for this purpose and</w:t>
      </w:r>
      <w:r>
        <w:rPr>
          <w:spacing w:val="40"/>
          <w:vertAlign w:val="baseline"/>
        </w:rPr>
        <w:t> </w:t>
      </w:r>
      <w:r>
        <w:rPr>
          <w:vertAlign w:val="baseline"/>
        </w:rPr>
        <w:t>so outside the scope of the jurisdictional rule for tort. </w:t>
      </w:r>
      <w:r>
        <w:rPr>
          <w:color w:val="005DA1"/>
          <w:u w:val="single" w:color="005DA1"/>
          <w:vertAlign w:val="superscript"/>
        </w:rPr>
        <w:t>1407</w:t>
      </w:r>
      <w:r>
        <w:rPr>
          <w:color w:val="005DA1"/>
          <w:vertAlign w:val="baseline"/>
        </w:rPr>
        <w:t> </w:t>
      </w:r>
      <w:r>
        <w:rPr>
          <w:vertAlign w:val="baseline"/>
        </w:rPr>
        <w:t>Moreover, the classification of a claim as </w:t>
      </w:r>
      <w:bookmarkStart w:name="_bookmark1953" w:id="1955"/>
      <w:bookmarkEnd w:id="1955"/>
      <w:r>
        <w:rPr>
          <w:vertAlign w:val="baseline"/>
        </w:rPr>
        <w:t>contractual</w:t>
      </w:r>
      <w:r>
        <w:rPr>
          <w:vertAlign w:val="baseline"/>
        </w:rPr>
        <w:t> or tortious for these purposes is in principle a matter for EU law as these concepts should </w:t>
      </w:r>
      <w:bookmarkStart w:name="_bookmark1954" w:id="1956"/>
      <w:bookmarkEnd w:id="1956"/>
      <w:r>
        <w:rPr>
          <w:vertAlign w:val="baseline"/>
        </w:rPr>
        <w:t>have</w:t>
      </w:r>
      <w:r>
        <w:rPr>
          <w:spacing w:val="-3"/>
          <w:vertAlign w:val="baseline"/>
        </w:rPr>
        <w:t> </w:t>
      </w:r>
      <w:r>
        <w:rPr>
          <w:vertAlign w:val="baseline"/>
        </w:rPr>
        <w:t>an</w:t>
      </w:r>
      <w:r>
        <w:rPr>
          <w:spacing w:val="-3"/>
          <w:vertAlign w:val="baseline"/>
        </w:rPr>
        <w:t> </w:t>
      </w:r>
      <w:r>
        <w:rPr>
          <w:vertAlign w:val="baseline"/>
        </w:rPr>
        <w:t>“autonomous”</w:t>
      </w:r>
      <w:r>
        <w:rPr>
          <w:spacing w:val="-3"/>
          <w:vertAlign w:val="baseline"/>
        </w:rPr>
        <w:t> </w:t>
      </w:r>
      <w:r>
        <w:rPr>
          <w:vertAlign w:val="baseline"/>
        </w:rPr>
        <w:t>interpretation.</w:t>
      </w:r>
      <w:r>
        <w:rPr>
          <w:spacing w:val="-3"/>
          <w:vertAlign w:val="baseline"/>
        </w:rPr>
        <w:t> </w:t>
      </w:r>
      <w:r>
        <w:rPr>
          <w:color w:val="005DA1"/>
          <w:u w:val="single" w:color="005DA1"/>
          <w:vertAlign w:val="superscript"/>
        </w:rPr>
        <w:t>1408</w:t>
      </w:r>
      <w:r>
        <w:rPr>
          <w:color w:val="005DA1"/>
          <w:spacing w:val="-3"/>
          <w:vertAlign w:val="baseline"/>
        </w:rPr>
        <w:t> </w:t>
      </w:r>
      <w:r>
        <w:rPr>
          <w:vertAlign w:val="baseline"/>
        </w:rPr>
        <w:t>This</w:t>
      </w:r>
      <w:r>
        <w:rPr>
          <w:spacing w:val="-3"/>
          <w:vertAlign w:val="baseline"/>
        </w:rPr>
        <w:t> </w:t>
      </w:r>
      <w:r>
        <w:rPr>
          <w:vertAlign w:val="baseline"/>
        </w:rPr>
        <w:t>view</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position</w:t>
      </w:r>
      <w:r>
        <w:rPr>
          <w:spacing w:val="-3"/>
          <w:vertAlign w:val="baseline"/>
        </w:rPr>
        <w:t> </w:t>
      </w:r>
      <w:r>
        <w:rPr>
          <w:vertAlign w:val="baseline"/>
        </w:rPr>
        <w:t>was</w:t>
      </w:r>
      <w:r>
        <w:rPr>
          <w:spacing w:val="-3"/>
          <w:vertAlign w:val="baseline"/>
        </w:rPr>
        <w:t> </w:t>
      </w:r>
      <w:r>
        <w:rPr>
          <w:vertAlign w:val="baseline"/>
        </w:rPr>
        <w:t>taken</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of</w:t>
      </w:r>
      <w:r>
        <w:rPr>
          <w:spacing w:val="-3"/>
          <w:vertAlign w:val="baseline"/>
        </w:rPr>
        <w:t> </w:t>
      </w:r>
      <w:r>
        <w:rPr>
          <w:vertAlign w:val="baseline"/>
        </w:rPr>
        <w:t>Appeal</w:t>
      </w:r>
      <w:r>
        <w:rPr>
          <w:spacing w:val="-3"/>
          <w:vertAlign w:val="baseline"/>
        </w:rPr>
        <w:t> </w:t>
      </w:r>
      <w:r>
        <w:rPr>
          <w:vertAlign w:val="baseline"/>
        </w:rPr>
        <w:t>in </w:t>
      </w:r>
      <w:r>
        <w:rPr>
          <w:rFonts w:ascii="Arial" w:hAnsi="Arial"/>
          <w:i/>
          <w:vertAlign w:val="baseline"/>
        </w:rPr>
        <w:t>Source Ltd v TUV Rheinland Holding AG</w:t>
      </w:r>
      <w:r>
        <w:rPr>
          <w:vertAlign w:val="baseline"/>
        </w:rPr>
        <w:t>. </w:t>
      </w:r>
      <w:r>
        <w:rPr>
          <w:color w:val="005DA1"/>
          <w:u w:val="single" w:color="005DA1"/>
          <w:vertAlign w:val="superscript"/>
        </w:rPr>
        <w:t>1409</w:t>
      </w:r>
      <w:r>
        <w:rPr>
          <w:color w:val="005DA1"/>
          <w:vertAlign w:val="baseline"/>
        </w:rPr>
        <w:t> </w:t>
      </w:r>
      <w:r>
        <w:rPr>
          <w:vertAlign w:val="baseline"/>
        </w:rPr>
        <w:t>In that case, the plaintiffs claimed that the English courts had jurisdiction to hear their claim in tortious negligence against the defendants, a claim which arose out of and was concurrent with a claim against them for breach of their contractual obligation to exercise reasonable care and skill in presenting a report following the inspection of goods which they </w:t>
      </w:r>
      <w:bookmarkStart w:name="_bookmark1955" w:id="1957"/>
      <w:bookmarkEnd w:id="1957"/>
      <w:r>
        <w:rPr>
          <w:vertAlign w:val="baseline"/>
        </w:rPr>
        <w:t>(the</w:t>
      </w:r>
      <w:r>
        <w:rPr>
          <w:vertAlign w:val="baseline"/>
        </w:rPr>
        <w:t> plaintiffs) had wished to import from China and Taiwan. The Court of Appeal noticed that the European</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Justice</w:t>
      </w:r>
      <w:r>
        <w:rPr>
          <w:spacing w:val="-1"/>
          <w:vertAlign w:val="baseline"/>
        </w:rPr>
        <w:t> </w:t>
      </w:r>
      <w:r>
        <w:rPr>
          <w:vertAlign w:val="baseline"/>
        </w:rPr>
        <w:t>in</w:t>
      </w:r>
      <w:r>
        <w:rPr>
          <w:spacing w:val="-1"/>
          <w:vertAlign w:val="baseline"/>
        </w:rPr>
        <w:t> </w:t>
      </w:r>
      <w:r>
        <w:rPr>
          <w:rFonts w:ascii="Arial" w:hAnsi="Arial"/>
          <w:i/>
          <w:vertAlign w:val="baseline"/>
        </w:rPr>
        <w:t>Kalfelis</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Schröder</w:t>
      </w:r>
      <w:r>
        <w:rPr>
          <w:vertAlign w:val="baseline"/>
        </w:rPr>
        <w:t>,</w:t>
      </w:r>
      <w:r>
        <w:rPr>
          <w:spacing w:val="-1"/>
          <w:vertAlign w:val="baseline"/>
        </w:rPr>
        <w:t> </w:t>
      </w:r>
      <w:r>
        <w:rPr>
          <w:color w:val="005DA1"/>
          <w:u w:val="single" w:color="005DA1"/>
          <w:vertAlign w:val="superscript"/>
        </w:rPr>
        <w:t>1410</w:t>
      </w:r>
      <w:r>
        <w:rPr>
          <w:color w:val="005DA1"/>
          <w:spacing w:val="-1"/>
          <w:vertAlign w:val="baseline"/>
        </w:rPr>
        <w:t> </w:t>
      </w:r>
      <w:r>
        <w:rPr>
          <w:vertAlign w:val="baseline"/>
        </w:rPr>
        <w:t>had</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phrase</w:t>
      </w:r>
      <w:r>
        <w:rPr>
          <w:spacing w:val="-1"/>
          <w:vertAlign w:val="baseline"/>
        </w:rPr>
        <w:t> </w:t>
      </w:r>
      <w:r>
        <w:rPr>
          <w:vertAlign w:val="baseline"/>
        </w:rPr>
        <w:t>“matters</w:t>
      </w:r>
      <w:r>
        <w:rPr>
          <w:spacing w:val="-1"/>
          <w:vertAlign w:val="baseline"/>
        </w:rPr>
        <w:t> </w:t>
      </w:r>
      <w:r>
        <w:rPr>
          <w:vertAlign w:val="baseline"/>
        </w:rPr>
        <w:t>relating</w:t>
      </w:r>
      <w:r>
        <w:rPr>
          <w:spacing w:val="-1"/>
          <w:vertAlign w:val="baseline"/>
        </w:rPr>
        <w:t> </w:t>
      </w:r>
      <w:r>
        <w:rPr>
          <w:vertAlign w:val="baseline"/>
        </w:rPr>
        <w:t>to</w:t>
      </w:r>
      <w:r>
        <w:rPr>
          <w:spacing w:val="-1"/>
          <w:vertAlign w:val="baseline"/>
        </w:rPr>
        <w:t> </w:t>
      </w:r>
      <w:r>
        <w:rPr>
          <w:vertAlign w:val="baseline"/>
        </w:rPr>
        <w:t>tort” in art.5(3) of the Brussels Convention (a predecessor to the Brussels Ibis Regulation art.7(2)) refers</w:t>
      </w:r>
      <w:r>
        <w:rPr>
          <w:spacing w:val="40"/>
          <w:vertAlign w:val="baseline"/>
        </w:rPr>
        <w:t> </w:t>
      </w:r>
      <w:r>
        <w:rPr>
          <w:spacing w:val="-4"/>
          <w:vertAlign w:val="baseline"/>
        </w:rPr>
        <w:t>to:</w:t>
      </w:r>
    </w:p>
    <w:p>
      <w:pPr>
        <w:pStyle w:val="BodyText"/>
      </w:pPr>
    </w:p>
    <w:p>
      <w:pPr>
        <w:pStyle w:val="BodyText"/>
        <w:spacing w:before="119"/>
      </w:pPr>
    </w:p>
    <w:p>
      <w:pPr>
        <w:pStyle w:val="BodyText"/>
        <w:spacing w:line="235" w:lineRule="auto"/>
        <w:ind w:left="1245"/>
      </w:pPr>
      <w:bookmarkStart w:name="_bookmark1956" w:id="1958"/>
      <w:bookmarkEnd w:id="1958"/>
      <w:r>
        <w:rPr/>
      </w:r>
      <w:r>
        <w:rPr/>
        <w:t>“…</w:t>
      </w:r>
      <w:r>
        <w:rPr>
          <w:spacing w:val="40"/>
        </w:rPr>
        <w:t> </w:t>
      </w:r>
      <w:r>
        <w:rPr/>
        <w:t>all</w:t>
      </w:r>
      <w:r>
        <w:rPr>
          <w:spacing w:val="40"/>
        </w:rPr>
        <w:t> </w:t>
      </w:r>
      <w:r>
        <w:rPr/>
        <w:t>actions</w:t>
      </w:r>
      <w:r>
        <w:rPr>
          <w:spacing w:val="40"/>
        </w:rPr>
        <w:t> </w:t>
      </w:r>
      <w:r>
        <w:rPr/>
        <w:t>which</w:t>
      </w:r>
      <w:r>
        <w:rPr>
          <w:spacing w:val="40"/>
        </w:rPr>
        <w:t> </w:t>
      </w:r>
      <w:r>
        <w:rPr/>
        <w:t>seek</w:t>
      </w:r>
      <w:r>
        <w:rPr>
          <w:spacing w:val="40"/>
        </w:rPr>
        <w:t> </w:t>
      </w:r>
      <w:r>
        <w:rPr/>
        <w:t>to</w:t>
      </w:r>
      <w:r>
        <w:rPr>
          <w:spacing w:val="40"/>
        </w:rPr>
        <w:t> </w:t>
      </w:r>
      <w:r>
        <w:rPr/>
        <w:t>establish</w:t>
      </w:r>
      <w:r>
        <w:rPr>
          <w:spacing w:val="40"/>
        </w:rPr>
        <w:t> </w:t>
      </w:r>
      <w:r>
        <w:rPr/>
        <w:t>the</w:t>
      </w:r>
      <w:r>
        <w:rPr>
          <w:spacing w:val="40"/>
        </w:rPr>
        <w:t> </w:t>
      </w:r>
      <w:r>
        <w:rPr/>
        <w:t>liability</w:t>
      </w:r>
      <w:r>
        <w:rPr>
          <w:spacing w:val="40"/>
        </w:rPr>
        <w:t> </w:t>
      </w:r>
      <w:r>
        <w:rPr/>
        <w:t>of</w:t>
      </w:r>
      <w:r>
        <w:rPr>
          <w:spacing w:val="40"/>
        </w:rPr>
        <w:t> </w:t>
      </w:r>
      <w:r>
        <w:rPr/>
        <w:t>a</w:t>
      </w:r>
      <w:r>
        <w:rPr>
          <w:spacing w:val="40"/>
        </w:rPr>
        <w:t> </w:t>
      </w:r>
      <w:r>
        <w:rPr/>
        <w:t>defendant</w:t>
      </w:r>
      <w:r>
        <w:rPr>
          <w:spacing w:val="40"/>
        </w:rPr>
        <w:t> </w:t>
      </w:r>
      <w:r>
        <w:rPr/>
        <w:t>and</w:t>
      </w:r>
      <w:r>
        <w:rPr>
          <w:spacing w:val="40"/>
        </w:rPr>
        <w:t> </w:t>
      </w:r>
      <w:r>
        <w:rPr/>
        <w:t>which</w:t>
      </w:r>
      <w:r>
        <w:rPr>
          <w:spacing w:val="40"/>
        </w:rPr>
        <w:t> </w:t>
      </w:r>
      <w:r>
        <w:rPr/>
        <w:t>are</w:t>
      </w:r>
      <w:r>
        <w:rPr>
          <w:spacing w:val="40"/>
        </w:rPr>
        <w:t> </w:t>
      </w:r>
      <w:r>
        <w:rPr/>
        <w:t>not related to a ‘contract’ within the meaning of Article 5(1).” </w:t>
      </w:r>
      <w:r>
        <w:rPr>
          <w:color w:val="005DA1"/>
          <w:u w:val="single" w:color="005DA1"/>
          <w:vertAlign w:val="superscript"/>
        </w:rPr>
        <w:t>1411</w:t>
      </w:r>
    </w:p>
    <w:p>
      <w:pPr>
        <w:pStyle w:val="BodyText"/>
        <w:spacing w:before="116"/>
      </w:pPr>
    </w:p>
    <w:p>
      <w:pPr>
        <w:pStyle w:val="BodyText"/>
        <w:spacing w:line="235" w:lineRule="auto"/>
        <w:ind w:left="165" w:right="167"/>
        <w:jc w:val="both"/>
      </w:pPr>
      <w:r>
        <w:rPr/>
        <w:t>For Staughton L.J., with whom Waite and Aldous L.JJ. agreed, this means that a claim which may be brought under a contract or independently of a contract on the same facts, save that a contract does </w:t>
      </w:r>
      <w:bookmarkStart w:name="_bookmark1957" w:id="1959"/>
      <w:bookmarkEnd w:id="1959"/>
      <w:r>
        <w:rPr/>
        <w:t>not</w:t>
      </w:r>
      <w:r>
        <w:rPr/>
        <w:t> need to be established, is excluded from art.5(3) by the European Court’s words “which are </w:t>
      </w:r>
      <w:r>
        <w:rPr/>
        <w:t>not related to a ‘contract’ within the meaning of Art.5(1)”. </w:t>
      </w:r>
      <w:r>
        <w:rPr>
          <w:color w:val="005DA1"/>
          <w:u w:val="single" w:color="005DA1"/>
          <w:vertAlign w:val="superscript"/>
        </w:rPr>
        <w:t>1412</w:t>
      </w:r>
      <w:r>
        <w:rPr>
          <w:color w:val="005DA1"/>
          <w:vertAlign w:val="baseline"/>
        </w:rPr>
        <w:t> </w:t>
      </w:r>
      <w:r>
        <w:rPr>
          <w:vertAlign w:val="baseline"/>
        </w:rPr>
        <w:t>In the result, therefore, both the contractual </w:t>
      </w:r>
      <w:bookmarkStart w:name="_bookmark1958" w:id="1960"/>
      <w:bookmarkEnd w:id="1960"/>
      <w:r>
        <w:rPr>
          <w:vertAlign w:val="baseline"/>
        </w:rPr>
        <w:t>and</w:t>
      </w:r>
      <w:r>
        <w:rPr>
          <w:vertAlign w:val="baseline"/>
        </w:rPr>
        <w:t> tortious claims of the plaintiffs “related to a contract” and they could not by relying on art.5(3)</w:t>
      </w:r>
      <w:r>
        <w:rPr>
          <w:spacing w:val="40"/>
          <w:vertAlign w:val="baseline"/>
        </w:rPr>
        <w:t> </w:t>
      </w:r>
      <w:r>
        <w:rPr>
          <w:vertAlign w:val="baseline"/>
        </w:rPr>
        <w:t>bring the tortious claim before the English courts. </w:t>
      </w:r>
      <w:r>
        <w:rPr>
          <w:color w:val="005DA1"/>
          <w:u w:val="single" w:color="005DA1"/>
          <w:vertAlign w:val="superscript"/>
        </w:rPr>
        <w:t>1413</w:t>
      </w:r>
      <w:r>
        <w:rPr>
          <w:color w:val="005DA1"/>
          <w:vertAlign w:val="baseline"/>
        </w:rPr>
        <w:t> </w:t>
      </w:r>
      <w:r>
        <w:rPr>
          <w:vertAlign w:val="baseline"/>
        </w:rPr>
        <w:t>In a series of recent cases, the Court of Justice </w:t>
      </w:r>
      <w:bookmarkStart w:name="_bookmark1959" w:id="1961"/>
      <w:bookmarkEnd w:id="1961"/>
      <w:r>
        <w:rPr>
          <w:vertAlign w:val="baseline"/>
        </w:rPr>
        <w:t>of</w:t>
      </w:r>
      <w:r>
        <w:rPr>
          <w:spacing w:val="30"/>
          <w:vertAlign w:val="baseline"/>
        </w:rPr>
        <w:t> </w:t>
      </w:r>
      <w:r>
        <w:rPr>
          <w:vertAlign w:val="baseline"/>
        </w:rPr>
        <w:t>the</w:t>
      </w:r>
      <w:r>
        <w:rPr>
          <w:spacing w:val="30"/>
          <w:vertAlign w:val="baseline"/>
        </w:rPr>
        <w:t> </w:t>
      </w:r>
      <w:r>
        <w:rPr>
          <w:vertAlign w:val="baseline"/>
        </w:rPr>
        <w:t>EU</w:t>
      </w:r>
      <w:r>
        <w:rPr>
          <w:spacing w:val="30"/>
          <w:vertAlign w:val="baseline"/>
        </w:rPr>
        <w:t> </w:t>
      </w:r>
      <w:r>
        <w:rPr>
          <w:vertAlign w:val="baseline"/>
        </w:rPr>
        <w:t>has</w:t>
      </w:r>
      <w:r>
        <w:rPr>
          <w:spacing w:val="30"/>
          <w:vertAlign w:val="baseline"/>
        </w:rPr>
        <w:t> </w:t>
      </w:r>
      <w:r>
        <w:rPr>
          <w:vertAlign w:val="baseline"/>
        </w:rPr>
        <w:t>confirmed</w:t>
      </w:r>
      <w:r>
        <w:rPr>
          <w:spacing w:val="30"/>
          <w:vertAlign w:val="baseline"/>
        </w:rPr>
        <w:t> </w:t>
      </w:r>
      <w:r>
        <w:rPr>
          <w:vertAlign w:val="baseline"/>
        </w:rPr>
        <w:t>its</w:t>
      </w:r>
      <w:r>
        <w:rPr>
          <w:spacing w:val="30"/>
          <w:vertAlign w:val="baseline"/>
        </w:rPr>
        <w:t> </w:t>
      </w:r>
      <w:r>
        <w:rPr>
          <w:vertAlign w:val="baseline"/>
        </w:rPr>
        <w:t>approach</w:t>
      </w:r>
      <w:r>
        <w:rPr>
          <w:spacing w:val="30"/>
          <w:vertAlign w:val="baseline"/>
        </w:rPr>
        <w:t> </w:t>
      </w:r>
      <w:r>
        <w:rPr>
          <w:vertAlign w:val="baseline"/>
        </w:rPr>
        <w:t>to</w:t>
      </w:r>
      <w:r>
        <w:rPr>
          <w:spacing w:val="30"/>
          <w:vertAlign w:val="baseline"/>
        </w:rPr>
        <w:t> </w:t>
      </w:r>
      <w:r>
        <w:rPr>
          <w:vertAlign w:val="baseline"/>
        </w:rPr>
        <w:t>the</w:t>
      </w:r>
      <w:r>
        <w:rPr>
          <w:spacing w:val="30"/>
          <w:vertAlign w:val="baseline"/>
        </w:rPr>
        <w:t> </w:t>
      </w:r>
      <w:r>
        <w:rPr>
          <w:vertAlign w:val="baseline"/>
        </w:rPr>
        <w:t>relationship</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contract</w:t>
      </w:r>
      <w:r>
        <w:rPr>
          <w:spacing w:val="30"/>
          <w:vertAlign w:val="baseline"/>
        </w:rPr>
        <w:t> </w:t>
      </w:r>
      <w:r>
        <w:rPr>
          <w:vertAlign w:val="baseline"/>
        </w:rPr>
        <w:t>and</w:t>
      </w:r>
      <w:r>
        <w:rPr>
          <w:spacing w:val="30"/>
          <w:vertAlign w:val="baseline"/>
        </w:rPr>
        <w:t> </w:t>
      </w:r>
      <w:r>
        <w:rPr>
          <w:vertAlign w:val="baseline"/>
        </w:rPr>
        <w:t>tort</w:t>
      </w:r>
      <w:r>
        <w:rPr>
          <w:spacing w:val="30"/>
          <w:vertAlign w:val="baseline"/>
        </w:rPr>
        <w:t> </w:t>
      </w:r>
      <w:r>
        <w:rPr>
          <w:vertAlign w:val="baseline"/>
        </w:rPr>
        <w:t>provisions</w:t>
      </w:r>
      <w:r>
        <w:rPr>
          <w:spacing w:val="30"/>
          <w:vertAlign w:val="baseline"/>
        </w:rPr>
        <w:t> </w:t>
      </w:r>
      <w:r>
        <w:rPr>
          <w:vertAlign w:val="baseline"/>
        </w:rPr>
        <w:t>in</w:t>
      </w:r>
      <w:r>
        <w:rPr>
          <w:spacing w:val="30"/>
          <w:vertAlign w:val="baseline"/>
        </w:rPr>
        <w:t> </w:t>
      </w:r>
      <w:r>
        <w:rPr>
          <w:spacing w:val="-5"/>
          <w:vertAlign w:val="baseline"/>
        </w:rPr>
        <w:t>the</w:t>
      </w:r>
    </w:p>
    <w:p>
      <w:pPr>
        <w:pStyle w:val="BodyText"/>
        <w:spacing w:line="235" w:lineRule="auto" w:before="117"/>
        <w:ind w:left="165" w:right="167"/>
        <w:jc w:val="both"/>
      </w:pPr>
      <w:r>
        <w:rPr/>
        <w:t>Brussels Regulation taken in </w:t>
      </w:r>
      <w:r>
        <w:rPr>
          <w:rFonts w:ascii="Arial" w:hAnsi="Arial"/>
          <w:i/>
        </w:rPr>
        <w:t>Kalfelis v Schröder </w:t>
      </w:r>
      <w:r>
        <w:rPr/>
        <w:t>in relation to the Brussels Convention </w:t>
      </w:r>
      <w:hyperlink w:history="true" w:anchor="_bookmark2096">
        <w:r>
          <w:rPr>
            <w:color w:val="005DA1"/>
            <w:u w:val="single" w:color="005DA1"/>
            <w:vertAlign w:val="superscript"/>
          </w:rPr>
          <w:t>1414</w:t>
        </w:r>
        <w:r>
          <w:rPr>
            <w:color w:val="005DA1"/>
            <w:spacing w:val="80"/>
            <w:w w:val="150"/>
            <w:vertAlign w:val="baseline"/>
          </w:rPr>
          <w:t> </w:t>
        </w:r>
        <w:r>
          <w:rPr>
            <w:color w:val="005DA1"/>
            <w:spacing w:val="4"/>
            <w:position w:val="-2"/>
            <w:vertAlign w:val="baseline"/>
          </w:rPr>
          <w:drawing>
            <wp:inline distT="0" distB="0" distL="0" distR="0">
              <wp:extent cx="107988" cy="107988"/>
              <wp:effectExtent l="0" t="0" r="0" b="0"/>
              <wp:docPr id="504" name="Image 504"/>
              <wp:cNvGraphicFramePr>
                <a:graphicFrameLocks/>
              </wp:cNvGraphicFramePr>
              <a:graphic>
                <a:graphicData uri="http://schemas.openxmlformats.org/drawingml/2006/picture">
                  <pic:pic>
                    <pic:nvPicPr>
                      <pic:cNvPr id="504" name="Image 5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and has therefore made clear that the question whether a particular claim falls within “matters relating to contract”</w:t>
        </w:r>
        <w:r>
          <w:rPr>
            <w:spacing w:val="-2"/>
            <w:vertAlign w:val="baseline"/>
          </w:rPr>
          <w:t> </w:t>
        </w:r>
        <w:r>
          <w:rPr>
            <w:vertAlign w:val="baseline"/>
          </w:rPr>
          <w:t>or</w:t>
        </w:r>
        <w:r>
          <w:rPr>
            <w:spacing w:val="-2"/>
            <w:vertAlign w:val="baseline"/>
          </w:rPr>
          <w:t> </w:t>
        </w:r>
        <w:r>
          <w:rPr>
            <w:vertAlign w:val="baseline"/>
          </w:rPr>
          <w:t>“matters</w:t>
        </w:r>
        <w:r>
          <w:rPr>
            <w:spacing w:val="-2"/>
            <w:vertAlign w:val="baseline"/>
          </w:rPr>
          <w:t> </w:t>
        </w:r>
        <w:r>
          <w:rPr>
            <w:vertAlign w:val="baseline"/>
          </w:rPr>
          <w:t>relating</w:t>
        </w:r>
        <w:r>
          <w:rPr>
            <w:spacing w:val="-2"/>
            <w:vertAlign w:val="baseline"/>
          </w:rPr>
          <w:t> </w:t>
        </w:r>
        <w:r>
          <w:rPr>
            <w:vertAlign w:val="baseline"/>
          </w:rPr>
          <w:t>to</w:t>
        </w:r>
        <w:r>
          <w:rPr>
            <w:spacing w:val="-2"/>
            <w:vertAlign w:val="baseline"/>
          </w:rPr>
          <w:t> </w:t>
        </w:r>
        <w:r>
          <w:rPr>
            <w:vertAlign w:val="baseline"/>
          </w:rPr>
          <w:t>tort,</w:t>
        </w:r>
        <w:r>
          <w:rPr>
            <w:spacing w:val="-2"/>
            <w:vertAlign w:val="baseline"/>
          </w:rPr>
          <w:t> </w:t>
        </w:r>
        <w:r>
          <w:rPr>
            <w:vertAlign w:val="baseline"/>
          </w:rPr>
          <w:t>delict</w:t>
        </w:r>
        <w:r>
          <w:rPr>
            <w:spacing w:val="-2"/>
            <w:vertAlign w:val="baseline"/>
          </w:rPr>
          <w:t> </w:t>
        </w:r>
        <w:r>
          <w:rPr>
            <w:vertAlign w:val="baseline"/>
          </w:rPr>
          <w:t>or</w:t>
        </w:r>
        <w:r>
          <w:rPr>
            <w:spacing w:val="-2"/>
            <w:vertAlign w:val="baseline"/>
          </w:rPr>
          <w:t> </w:t>
        </w:r>
        <w:r>
          <w:rPr>
            <w:vertAlign w:val="baseline"/>
          </w:rPr>
          <w:t>quasi-delict”</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judged</w:t>
        </w:r>
        <w:r>
          <w:rPr>
            <w:spacing w:val="-2"/>
            <w:vertAlign w:val="baseline"/>
          </w:rPr>
          <w:t> </w:t>
        </w:r>
        <w:r>
          <w:rPr>
            <w:vertAlign w:val="baseline"/>
          </w:rPr>
          <w:t>by</w:t>
        </w:r>
        <w:r>
          <w:rPr>
            <w:spacing w:val="-2"/>
            <w:vertAlign w:val="baseline"/>
          </w:rPr>
          <w:t> </w:t>
        </w:r>
        <w:r>
          <w:rPr>
            <w:vertAlign w:val="baseline"/>
          </w:rPr>
          <w:t>reference</w:t>
        </w:r>
        <w:r>
          <w:rPr>
            <w:spacing w:val="-2"/>
            <w:vertAlign w:val="baseline"/>
          </w:rPr>
          <w:t> </w:t>
        </w:r>
        <w:r>
          <w:rPr>
            <w:vertAlign w:val="baseline"/>
          </w:rPr>
          <w:t>to</w:t>
        </w:r>
        <w:r>
          <w:rPr>
            <w:spacing w:val="-2"/>
            <w:vertAlign w:val="baseline"/>
          </w:rPr>
          <w:t> </w:t>
        </w:r>
        <w:r>
          <w:rPr>
            <w:vertAlign w:val="baseline"/>
          </w:rPr>
          <w:t>autonomous EU law understandings of these concepts; and that for this purpose the latter concept “covers all actions</w:t>
        </w:r>
        <w:r>
          <w:rPr>
            <w:spacing w:val="8"/>
            <w:vertAlign w:val="baseline"/>
          </w:rPr>
          <w:t> </w:t>
        </w:r>
        <w:r>
          <w:rPr>
            <w:vertAlign w:val="baseline"/>
          </w:rPr>
          <w:t>which</w:t>
        </w:r>
        <w:r>
          <w:rPr>
            <w:spacing w:val="8"/>
            <w:vertAlign w:val="baseline"/>
          </w:rPr>
          <w:t> </w:t>
        </w:r>
        <w:r>
          <w:rPr>
            <w:vertAlign w:val="baseline"/>
          </w:rPr>
          <w:t>seek</w:t>
        </w:r>
        <w:r>
          <w:rPr>
            <w:spacing w:val="8"/>
            <w:vertAlign w:val="baseline"/>
          </w:rPr>
          <w:t> </w:t>
        </w:r>
        <w:r>
          <w:rPr>
            <w:vertAlign w:val="baseline"/>
          </w:rPr>
          <w:t>to</w:t>
        </w:r>
        <w:r>
          <w:rPr>
            <w:spacing w:val="8"/>
            <w:vertAlign w:val="baseline"/>
          </w:rPr>
          <w:t> </w:t>
        </w:r>
        <w:r>
          <w:rPr>
            <w:vertAlign w:val="baseline"/>
          </w:rPr>
          <w:t>establish</w:t>
        </w:r>
        <w:r>
          <w:rPr>
            <w:spacing w:val="8"/>
            <w:vertAlign w:val="baseline"/>
          </w:rPr>
          <w:t> </w:t>
        </w:r>
        <w:r>
          <w:rPr>
            <w:vertAlign w:val="baseline"/>
          </w:rPr>
          <w:t>the</w:t>
        </w:r>
        <w:r>
          <w:rPr>
            <w:spacing w:val="8"/>
            <w:vertAlign w:val="baseline"/>
          </w:rPr>
          <w:t> </w:t>
        </w:r>
        <w:r>
          <w:rPr>
            <w:vertAlign w:val="baseline"/>
          </w:rPr>
          <w:t>liability</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defendant</w:t>
        </w:r>
        <w:r>
          <w:rPr>
            <w:spacing w:val="8"/>
            <w:vertAlign w:val="baseline"/>
          </w:rPr>
          <w:t> </w:t>
        </w:r>
        <w:r>
          <w:rPr>
            <w:vertAlign w:val="baseline"/>
          </w:rPr>
          <w:t>and</w:t>
        </w:r>
        <w:r>
          <w:rPr>
            <w:spacing w:val="8"/>
            <w:vertAlign w:val="baseline"/>
          </w:rPr>
          <w:t> </w:t>
        </w:r>
        <w:r>
          <w:rPr>
            <w:vertAlign w:val="baseline"/>
          </w:rPr>
          <w:t>do</w:t>
        </w:r>
        <w:r>
          <w:rPr>
            <w:spacing w:val="8"/>
            <w:vertAlign w:val="baseline"/>
          </w:rPr>
          <w:t> </w:t>
        </w:r>
        <w:r>
          <w:rPr>
            <w:vertAlign w:val="baseline"/>
          </w:rPr>
          <w:t>not</w:t>
        </w:r>
        <w:r>
          <w:rPr>
            <w:spacing w:val="8"/>
            <w:vertAlign w:val="baseline"/>
          </w:rPr>
          <w:t> </w:t>
        </w:r>
        <w:r>
          <w:rPr>
            <w:vertAlign w:val="baseline"/>
          </w:rPr>
          <w:t>concern</w:t>
        </w:r>
        <w:r>
          <w:rPr>
            <w:spacing w:val="8"/>
            <w:vertAlign w:val="baseline"/>
          </w:rPr>
          <w:t> </w:t>
        </w:r>
        <w:r>
          <w:rPr>
            <w:vertAlign w:val="baseline"/>
          </w:rPr>
          <w:t>‘matters</w:t>
        </w:r>
        <w:r>
          <w:rPr>
            <w:spacing w:val="8"/>
            <w:vertAlign w:val="baseline"/>
          </w:rPr>
          <w:t> </w:t>
        </w:r>
        <w:r>
          <w:rPr>
            <w:vertAlign w:val="baseline"/>
          </w:rPr>
          <w:t>relating</w:t>
        </w:r>
        <w:r>
          <w:rPr>
            <w:spacing w:val="8"/>
            <w:vertAlign w:val="baseline"/>
          </w:rPr>
          <w:t> </w:t>
        </w:r>
        <w:r>
          <w:rPr>
            <w:vertAlign w:val="baseline"/>
          </w:rPr>
          <w:t>to</w:t>
        </w:r>
        <w:r>
          <w:rPr>
            <w:spacing w:val="8"/>
            <w:vertAlign w:val="baseline"/>
          </w:rPr>
          <w:t> </w:t>
        </w:r>
        <w:r>
          <w:rPr>
            <w:spacing w:val="-10"/>
            <w:vertAlign w:val="baseline"/>
          </w:rPr>
          <w:t>a</w:t>
        </w:r>
      </w:hyperlink>
    </w:p>
    <w:p>
      <w:pPr>
        <w:sectPr>
          <w:pgSz w:w="11900" w:h="16840"/>
          <w:pgMar w:header="971" w:footer="0" w:top="1300" w:bottom="280" w:left="1275" w:right="1275"/>
        </w:sectPr>
      </w:pPr>
    </w:p>
    <w:p>
      <w:pPr>
        <w:pStyle w:val="BodyText"/>
      </w:pPr>
    </w:p>
    <w:p>
      <w:pPr>
        <w:pStyle w:val="BodyText"/>
        <w:spacing w:line="235" w:lineRule="auto"/>
        <w:ind w:left="165" w:right="167"/>
        <w:jc w:val="both"/>
      </w:pPr>
      <w:bookmarkStart w:name="_bookmark1960" w:id="1962"/>
      <w:bookmarkEnd w:id="1962"/>
      <w:r>
        <w:rPr/>
      </w:r>
      <w:r>
        <w:rPr/>
        <w:t>contract’</w:t>
      </w:r>
      <w:r>
        <w:rPr>
          <w:spacing w:val="-1"/>
        </w:rPr>
        <w:t> </w:t>
      </w:r>
      <w:r>
        <w:rPr/>
        <w:t>within</w:t>
      </w:r>
      <w:r>
        <w:rPr>
          <w:spacing w:val="-1"/>
        </w:rPr>
        <w:t> </w:t>
      </w:r>
      <w:r>
        <w:rPr/>
        <w:t>the</w:t>
      </w:r>
      <w:r>
        <w:rPr>
          <w:spacing w:val="-1"/>
        </w:rPr>
        <w:t> </w:t>
      </w:r>
      <w:r>
        <w:rPr/>
        <w:t>meaning</w:t>
      </w:r>
      <w:r>
        <w:rPr>
          <w:spacing w:val="-1"/>
        </w:rPr>
        <w:t> </w:t>
      </w:r>
      <w:r>
        <w:rPr/>
        <w:t>of</w:t>
      </w:r>
      <w:r>
        <w:rPr>
          <w:spacing w:val="-1"/>
        </w:rPr>
        <w:t> </w:t>
      </w:r>
      <w:r>
        <w:rPr/>
        <w:t>Article</w:t>
      </w:r>
      <w:r>
        <w:rPr>
          <w:spacing w:val="-1"/>
        </w:rPr>
        <w:t> </w:t>
      </w:r>
      <w:r>
        <w:rPr/>
        <w:t>5(1)(a)”</w:t>
      </w:r>
      <w:r>
        <w:rPr>
          <w:spacing w:val="-1"/>
        </w:rPr>
        <w:t> </w:t>
      </w:r>
      <w:r>
        <w:rPr/>
        <w:t>of</w:t>
      </w:r>
      <w:r>
        <w:rPr>
          <w:spacing w:val="-1"/>
        </w:rPr>
        <w:t> </w:t>
      </w:r>
      <w:r>
        <w:rPr/>
        <w:t>the</w:t>
      </w:r>
      <w:r>
        <w:rPr>
          <w:spacing w:val="-1"/>
        </w:rPr>
        <w:t> </w:t>
      </w:r>
      <w:r>
        <w:rPr/>
        <w:t>Brussels</w:t>
      </w:r>
      <w:r>
        <w:rPr>
          <w:spacing w:val="-1"/>
        </w:rPr>
        <w:t> </w:t>
      </w:r>
      <w:r>
        <w:rPr/>
        <w:t>Regulation.</w:t>
      </w:r>
      <w:r>
        <w:rPr>
          <w:spacing w:val="-2"/>
        </w:rPr>
        <w:t> </w:t>
      </w:r>
      <w:hyperlink w:history="true" w:anchor="_bookmark2097">
        <w:r>
          <w:rPr>
            <w:color w:val="005DA1"/>
            <w:u w:val="single" w:color="005DA1"/>
            <w:vertAlign w:val="superscript"/>
          </w:rPr>
          <w:t>1415</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505" name="Image 505"/>
              <wp:cNvGraphicFramePr>
                <a:graphicFrameLocks/>
              </wp:cNvGraphicFramePr>
              <a:graphic>
                <a:graphicData uri="http://schemas.openxmlformats.org/drawingml/2006/picture">
                  <pic:pic>
                    <pic:nvPicPr>
                      <pic:cNvPr id="505" name="Image 50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2"/>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result,</w:t>
        </w:r>
        <w:r>
          <w:rPr>
            <w:spacing w:val="-1"/>
            <w:vertAlign w:val="baseline"/>
          </w:rPr>
          <w:t> </w:t>
        </w:r>
        <w:r>
          <w:rPr>
            <w:vertAlign w:val="baseline"/>
          </w:rPr>
          <w:t>where</w:t>
        </w:r>
        <w:r>
          <w:rPr>
            <w:spacing w:val="-1"/>
            <w:vertAlign w:val="baseline"/>
          </w:rPr>
          <w:t> </w:t>
        </w:r>
        <w:r>
          <w:rPr>
            <w:vertAlign w:val="baseline"/>
          </w:rPr>
          <w:t>a </w:t>
        </w:r>
        <w:bookmarkStart w:name="_bookmark1961" w:id="1963"/>
        <w:bookmarkEnd w:id="1963"/>
        <w:r>
          <w:rPr>
            <w:vertAlign w:val="baseline"/>
          </w:rPr>
          <w:t>national</w:t>
        </w:r>
        <w:r>
          <w:rPr>
            <w:vertAlign w:val="baseline"/>
          </w:rPr>
          <w:t> court finds that a claim is a “matter relating to a contract”, a national court does not </w:t>
        </w:r>
        <w:r>
          <w:rPr>
            <w:vertAlign w:val="baseline"/>
          </w:rPr>
          <w:t>enjoy jurisdiction</w:t>
        </w:r>
        <w:r>
          <w:rPr>
            <w:spacing w:val="11"/>
            <w:vertAlign w:val="baseline"/>
          </w:rPr>
          <w:t> </w:t>
        </w:r>
        <w:r>
          <w:rPr>
            <w:vertAlign w:val="baseline"/>
          </w:rPr>
          <w:t>on</w:t>
        </w:r>
        <w:r>
          <w:rPr>
            <w:spacing w:val="11"/>
            <w:vertAlign w:val="baseline"/>
          </w:rPr>
          <w:t> </w:t>
        </w:r>
        <w:r>
          <w:rPr>
            <w:vertAlign w:val="baseline"/>
          </w:rPr>
          <w:t>the</w:t>
        </w:r>
        <w:r>
          <w:rPr>
            <w:spacing w:val="11"/>
            <w:vertAlign w:val="baseline"/>
          </w:rPr>
          <w:t> </w:t>
        </w:r>
        <w:r>
          <w:rPr>
            <w:vertAlign w:val="baseline"/>
          </w:rPr>
          <w:t>basis</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claim</w:t>
        </w:r>
        <w:r>
          <w:rPr>
            <w:spacing w:val="11"/>
            <w:vertAlign w:val="baseline"/>
          </w:rPr>
          <w:t> </w:t>
        </w:r>
        <w:r>
          <w:rPr>
            <w:vertAlign w:val="baseline"/>
          </w:rPr>
          <w:t>could</w:t>
        </w:r>
        <w:r>
          <w:rPr>
            <w:spacing w:val="11"/>
            <w:vertAlign w:val="baseline"/>
          </w:rPr>
          <w:t> </w:t>
        </w:r>
        <w:r>
          <w:rPr>
            <w:vertAlign w:val="baseline"/>
          </w:rPr>
          <w:t>be</w:t>
        </w:r>
        <w:r>
          <w:rPr>
            <w:spacing w:val="11"/>
            <w:vertAlign w:val="baseline"/>
          </w:rPr>
          <w:t> </w:t>
        </w:r>
        <w:r>
          <w:rPr>
            <w:vertAlign w:val="baseline"/>
          </w:rPr>
          <w:t>viewed</w:t>
        </w:r>
        <w:r>
          <w:rPr>
            <w:spacing w:val="11"/>
            <w:vertAlign w:val="baseline"/>
          </w:rPr>
          <w:t> </w:t>
        </w:r>
        <w:r>
          <w:rPr>
            <w:vertAlign w:val="baseline"/>
          </w:rPr>
          <w:t>as</w:t>
        </w:r>
        <w:r>
          <w:rPr>
            <w:spacing w:val="11"/>
            <w:vertAlign w:val="baseline"/>
          </w:rPr>
          <w:t> </w:t>
        </w:r>
        <w:r>
          <w:rPr>
            <w:vertAlign w:val="baseline"/>
          </w:rPr>
          <w:t>relating</w:t>
        </w:r>
        <w:r>
          <w:rPr>
            <w:spacing w:val="11"/>
            <w:vertAlign w:val="baseline"/>
          </w:rPr>
          <w:t> </w:t>
        </w:r>
        <w:r>
          <w:rPr>
            <w:vertAlign w:val="baseline"/>
          </w:rPr>
          <w:t>to</w:t>
        </w:r>
        <w:r>
          <w:rPr>
            <w:spacing w:val="11"/>
            <w:vertAlign w:val="baseline"/>
          </w:rPr>
          <w:t> </w:t>
        </w:r>
        <w:r>
          <w:rPr>
            <w:vertAlign w:val="baseline"/>
          </w:rPr>
          <w:t>tort</w:t>
        </w:r>
        <w:r>
          <w:rPr>
            <w:spacing w:val="11"/>
            <w:vertAlign w:val="baseline"/>
          </w:rPr>
          <w:t> </w:t>
        </w:r>
        <w:r>
          <w:rPr>
            <w:vertAlign w:val="baseline"/>
          </w:rPr>
          <w:t>as</w:t>
        </w:r>
        <w:r>
          <w:rPr>
            <w:spacing w:val="11"/>
            <w:vertAlign w:val="baseline"/>
          </w:rPr>
          <w:t> </w:t>
        </w:r>
        <w:r>
          <w:rPr>
            <w:vertAlign w:val="baseline"/>
          </w:rPr>
          <w:t>a</w:t>
        </w:r>
        <w:r>
          <w:rPr>
            <w:spacing w:val="11"/>
            <w:vertAlign w:val="baseline"/>
          </w:rPr>
          <w:t> </w:t>
        </w:r>
        <w:r>
          <w:rPr>
            <w:vertAlign w:val="baseline"/>
          </w:rPr>
          <w:t>matter</w:t>
        </w:r>
        <w:r>
          <w:rPr>
            <w:spacing w:val="11"/>
            <w:vertAlign w:val="baseline"/>
          </w:rPr>
          <w:t> </w:t>
        </w:r>
        <w:r>
          <w:rPr>
            <w:vertAlign w:val="baseline"/>
          </w:rPr>
          <w:t>of</w:t>
        </w:r>
        <w:r>
          <w:rPr>
            <w:spacing w:val="11"/>
            <w:vertAlign w:val="baseline"/>
          </w:rPr>
          <w:t> </w:t>
        </w:r>
        <w:r>
          <w:rPr>
            <w:vertAlign w:val="baseline"/>
          </w:rPr>
          <w:t>national</w:t>
        </w:r>
        <w:r>
          <w:rPr>
            <w:spacing w:val="11"/>
            <w:vertAlign w:val="baseline"/>
          </w:rPr>
          <w:t> </w:t>
        </w:r>
        <w:r>
          <w:rPr>
            <w:spacing w:val="-4"/>
            <w:vertAlign w:val="baseline"/>
          </w:rPr>
          <w:t>law.</w:t>
        </w:r>
      </w:hyperlink>
    </w:p>
    <w:p>
      <w:pPr>
        <w:spacing w:before="95"/>
        <w:ind w:left="165" w:right="0" w:firstLine="0"/>
        <w:jc w:val="left"/>
        <w:rPr>
          <w:sz w:val="12"/>
        </w:rPr>
      </w:pPr>
      <w:r>
        <w:rPr>
          <w:sz w:val="12"/>
        </w:rPr>
        <w:drawing>
          <wp:anchor distT="0" distB="0" distL="0" distR="0" allowOverlap="1" layoutInCell="1" locked="0" behindDoc="0" simplePos="0" relativeHeight="15835136">
            <wp:simplePos x="0" y="0"/>
            <wp:positionH relativeFrom="page">
              <wp:posOffset>1189786</wp:posOffset>
            </wp:positionH>
            <wp:positionV relativeFrom="paragraph">
              <wp:posOffset>101377</wp:posOffset>
            </wp:positionV>
            <wp:extent cx="107988" cy="107988"/>
            <wp:effectExtent l="0" t="0" r="0" b="0"/>
            <wp:wrapNone/>
            <wp:docPr id="506" name="Image 506"/>
            <wp:cNvGraphicFramePr>
              <a:graphicFrameLocks/>
            </wp:cNvGraphicFramePr>
            <a:graphic>
              <a:graphicData uri="http://schemas.openxmlformats.org/drawingml/2006/picture">
                <pic:pic>
                  <pic:nvPicPr>
                    <pic:cNvPr id="506" name="Image 506"/>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2098">
        <w:r>
          <w:rPr>
            <w:color w:val="005DA1"/>
            <w:spacing w:val="-4"/>
            <w:sz w:val="12"/>
            <w:u w:val="single" w:color="005DA1"/>
          </w:rPr>
          <w:t>1416</w:t>
        </w:r>
      </w:hyperlink>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Conflict of laws: applicable </w:t>
      </w:r>
      <w:r>
        <w:rPr>
          <w:rFonts w:ascii="Arial"/>
          <w:b/>
          <w:spacing w:val="-5"/>
          <w:sz w:val="18"/>
        </w:rPr>
        <w:t>law</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200</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07" name="Image 507"/>
            <wp:cNvGraphicFramePr>
              <a:graphicFrameLocks/>
            </wp:cNvGraphicFramePr>
            <a:graphic>
              <a:graphicData uri="http://schemas.openxmlformats.org/drawingml/2006/picture">
                <pic:pic>
                  <pic:nvPicPr>
                    <pic:cNvPr id="507" name="Image 50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962" w:id="1964"/>
      <w:bookmarkEnd w:id="1964"/>
      <w:r>
        <w:rPr>
          <w:rFonts w:ascii="Times New Roman" w:hAnsi="Times New Roman"/>
          <w:spacing w:val="16"/>
        </w:rPr>
      </w:r>
      <w:r>
        <w:rPr/>
        <w:t>Under the Rome Convention on the Law Applicable to Contractual Obligations </w:t>
      </w:r>
      <w:r>
        <w:rPr>
          <w:color w:val="005DA1"/>
          <w:u w:val="single" w:color="005DA1"/>
          <w:vertAlign w:val="superscript"/>
        </w:rPr>
        <w:t>1417</w:t>
      </w:r>
      <w:r>
        <w:rPr>
          <w:color w:val="005DA1"/>
          <w:vertAlign w:val="baseline"/>
        </w:rPr>
        <w:t> </w:t>
      </w:r>
      <w:r>
        <w:rPr>
          <w:vertAlign w:val="baseline"/>
        </w:rPr>
        <w:t>it was held that there is nothing to prevent a party to a contract from framing his claim in tort so as to attract the</w:t>
      </w:r>
      <w:r>
        <w:rPr>
          <w:spacing w:val="40"/>
          <w:vertAlign w:val="baseline"/>
        </w:rPr>
        <w:t> </w:t>
      </w:r>
      <w:bookmarkStart w:name="_bookmark1963" w:id="1965"/>
      <w:bookmarkEnd w:id="1965"/>
      <w:r>
        <w:rPr>
          <w:vertAlign w:val="baseline"/>
        </w:rPr>
        <w:t>choice</w:t>
      </w:r>
      <w:r>
        <w:rPr>
          <w:vertAlign w:val="baseline"/>
        </w:rPr>
        <w:t> of law rules applicable to that basis of liability, rather than in contract whose applicable </w:t>
      </w:r>
      <w:r>
        <w:rPr>
          <w:vertAlign w:val="baseline"/>
        </w:rPr>
        <w:t>law </w:t>
      </w:r>
      <w:bookmarkStart w:name="_bookmark1964" w:id="1966"/>
      <w:bookmarkEnd w:id="1966"/>
      <w:r>
        <w:rPr>
          <w:vertAlign w:val="baseline"/>
        </w:rPr>
        <w:t>would</w:t>
      </w:r>
      <w:r>
        <w:rPr>
          <w:vertAlign w:val="baseline"/>
        </w:rPr>
        <w:t> be determined by that Convention. </w:t>
      </w:r>
      <w:r>
        <w:rPr>
          <w:color w:val="005DA1"/>
          <w:u w:val="single" w:color="005DA1"/>
          <w:vertAlign w:val="superscript"/>
        </w:rPr>
        <w:t>1418</w:t>
      </w:r>
      <w:r>
        <w:rPr>
          <w:color w:val="005DA1"/>
          <w:vertAlign w:val="baseline"/>
        </w:rPr>
        <w:t> </w:t>
      </w:r>
      <w:r>
        <w:rPr>
          <w:vertAlign w:val="baseline"/>
        </w:rPr>
        <w:t>However, after the enactment of the Regulation (EC) 864/2007 on the law applicable to non-contractual obligations (“Rome II Regulation”) </w:t>
      </w:r>
      <w:r>
        <w:rPr>
          <w:color w:val="005DA1"/>
          <w:u w:val="single" w:color="005DA1"/>
          <w:vertAlign w:val="superscript"/>
        </w:rPr>
        <w:t>1419</w:t>
      </w:r>
      <w:r>
        <w:rPr>
          <w:color w:val="005DA1"/>
          <w:vertAlign w:val="baseline"/>
        </w:rPr>
        <w:t> </w:t>
      </w:r>
      <w:r>
        <w:rPr>
          <w:vertAlign w:val="baseline"/>
        </w:rPr>
        <w:t>and the </w:t>
      </w:r>
      <w:bookmarkStart w:name="_bookmark1965" w:id="1967"/>
      <w:bookmarkEnd w:id="1967"/>
      <w:r>
        <w:rPr>
          <w:vertAlign w:val="baseline"/>
        </w:rPr>
        <w:t>replacement</w:t>
      </w:r>
      <w:r>
        <w:rPr>
          <w:vertAlign w:val="baseline"/>
        </w:rPr>
        <w:t> for most purposes of the Rome Convention by Regulation (EC) 593/2008 on the law applicable to contractual obligations (“Rome I”), </w:t>
      </w:r>
      <w:r>
        <w:rPr>
          <w:color w:val="005DA1"/>
          <w:u w:val="single" w:color="005DA1"/>
          <w:vertAlign w:val="superscript"/>
        </w:rPr>
        <w:t>1420</w:t>
      </w:r>
      <w:r>
        <w:rPr>
          <w:color w:val="005DA1"/>
          <w:vertAlign w:val="baseline"/>
        </w:rPr>
        <w:t> </w:t>
      </w:r>
      <w:r>
        <w:rPr>
          <w:vertAlign w:val="baseline"/>
        </w:rPr>
        <w:t>it is highly unlikely that a claimant will have the option as to how to frame his or her claim given that the two EU regulations will classify claims within </w:t>
      </w:r>
      <w:bookmarkStart w:name="_bookmark1966" w:id="1968"/>
      <w:bookmarkEnd w:id="1968"/>
      <w:r>
        <w:rPr>
          <w:vertAlign w:val="baseline"/>
        </w:rPr>
        <w:t>their</w:t>
      </w:r>
      <w:r>
        <w:rPr>
          <w:spacing w:val="25"/>
          <w:vertAlign w:val="baseline"/>
        </w:rPr>
        <w:t> </w:t>
      </w:r>
      <w:r>
        <w:rPr>
          <w:vertAlign w:val="baseline"/>
        </w:rPr>
        <w:t>scope</w:t>
      </w:r>
      <w:r>
        <w:rPr>
          <w:spacing w:val="25"/>
          <w:vertAlign w:val="baseline"/>
        </w:rPr>
        <w:t> </w:t>
      </w:r>
      <w:r>
        <w:rPr>
          <w:vertAlign w:val="baseline"/>
        </w:rPr>
        <w:t>autonomously</w:t>
      </w:r>
      <w:r>
        <w:rPr>
          <w:spacing w:val="25"/>
          <w:vertAlign w:val="baseline"/>
        </w:rPr>
        <w:t> </w:t>
      </w:r>
      <w:r>
        <w:rPr>
          <w:vertAlign w:val="baseline"/>
        </w:rPr>
        <w:t>as</w:t>
      </w:r>
      <w:r>
        <w:rPr>
          <w:spacing w:val="25"/>
          <w:vertAlign w:val="baseline"/>
        </w:rPr>
        <w:t> </w:t>
      </w:r>
      <w:r>
        <w:rPr>
          <w:vertAlign w:val="baseline"/>
        </w:rPr>
        <w:t>being</w:t>
      </w:r>
      <w:r>
        <w:rPr>
          <w:spacing w:val="25"/>
          <w:vertAlign w:val="baseline"/>
        </w:rPr>
        <w:t> </w:t>
      </w:r>
      <w:r>
        <w:rPr>
          <w:vertAlign w:val="baseline"/>
        </w:rPr>
        <w:t>“contractual”</w:t>
      </w:r>
      <w:r>
        <w:rPr>
          <w:spacing w:val="25"/>
          <w:vertAlign w:val="baseline"/>
        </w:rPr>
        <w:t> </w:t>
      </w:r>
      <w:r>
        <w:rPr>
          <w:vertAlign w:val="baseline"/>
        </w:rPr>
        <w:t>or</w:t>
      </w:r>
      <w:r>
        <w:rPr>
          <w:spacing w:val="25"/>
          <w:vertAlign w:val="baseline"/>
        </w:rPr>
        <w:t> </w:t>
      </w:r>
      <w:r>
        <w:rPr>
          <w:vertAlign w:val="baseline"/>
        </w:rPr>
        <w:t>“non-contractual”</w:t>
      </w:r>
      <w:r>
        <w:rPr>
          <w:spacing w:val="25"/>
          <w:vertAlign w:val="baseline"/>
        </w:rPr>
        <w:t> </w:t>
      </w:r>
      <w:r>
        <w:rPr>
          <w:vertAlign w:val="baseline"/>
        </w:rPr>
        <w:t>for</w:t>
      </w:r>
      <w:r>
        <w:rPr>
          <w:spacing w:val="25"/>
          <w:vertAlign w:val="baseline"/>
        </w:rPr>
        <w:t> </w:t>
      </w:r>
      <w:r>
        <w:rPr>
          <w:vertAlign w:val="baseline"/>
        </w:rPr>
        <w:t>these</w:t>
      </w:r>
      <w:r>
        <w:rPr>
          <w:spacing w:val="25"/>
          <w:vertAlign w:val="baseline"/>
        </w:rPr>
        <w:t> </w:t>
      </w:r>
      <w:r>
        <w:rPr>
          <w:vertAlign w:val="baseline"/>
        </w:rPr>
        <w:t>purposes</w:t>
      </w:r>
      <w:r>
        <w:rPr>
          <w:spacing w:val="25"/>
          <w:vertAlign w:val="baseline"/>
        </w:rPr>
        <w:t> </w:t>
      </w:r>
      <w:r>
        <w:rPr>
          <w:vertAlign w:val="baseline"/>
        </w:rPr>
        <w:t>and</w:t>
      </w:r>
      <w:r>
        <w:rPr>
          <w:spacing w:val="25"/>
          <w:vertAlign w:val="baseline"/>
        </w:rPr>
        <w:t> </w:t>
      </w:r>
      <w:r>
        <w:rPr>
          <w:spacing w:val="-2"/>
          <w:vertAlign w:val="baseline"/>
        </w:rPr>
        <w:t>these</w:t>
      </w:r>
    </w:p>
    <w:p>
      <w:pPr>
        <w:pStyle w:val="BodyText"/>
        <w:spacing w:before="113"/>
        <w:ind w:left="165"/>
        <w:jc w:val="both"/>
        <w:rPr>
          <w:position w:val="-2"/>
        </w:rPr>
      </w:pPr>
      <w:r>
        <w:rPr/>
        <w:t>classifications are likely to be held mutually exclusive. </w:t>
      </w:r>
      <w:hyperlink w:history="true" w:anchor="_bookmark2103">
        <w:r>
          <w:rPr>
            <w:color w:val="005DA1"/>
            <w:u w:val="single" w:color="005DA1"/>
            <w:vertAlign w:val="superscript"/>
          </w:rPr>
          <w:t>1421</w:t>
        </w:r>
        <w:r>
          <w:rPr>
            <w:color w:val="005DA1"/>
            <w:spacing w:val="80"/>
            <w:w w:val="150"/>
            <w:vertAlign w:val="baseline"/>
          </w:rPr>
          <w:t> </w:t>
        </w:r>
        <w:r>
          <w:rPr>
            <w:color w:val="005DA1"/>
            <w:position w:val="-2"/>
            <w:vertAlign w:val="baseline"/>
          </w:rPr>
          <w:drawing>
            <wp:inline distT="0" distB="0" distL="0" distR="0">
              <wp:extent cx="107988" cy="107988"/>
              <wp:effectExtent l="0" t="0" r="0" b="0"/>
              <wp:docPr id="508" name="Image 508"/>
              <wp:cNvGraphicFramePr>
                <a:graphicFrameLocks/>
              </wp:cNvGraphicFramePr>
              <a:graphic>
                <a:graphicData uri="http://schemas.openxmlformats.org/drawingml/2006/picture">
                  <pic:pic>
                    <pic:nvPicPr>
                      <pic:cNvPr id="508" name="Image 5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8"/>
      </w:pPr>
      <w:r>
        <w:rPr/>
        <mc:AlternateContent>
          <mc:Choice Requires="wps">
            <w:drawing>
              <wp:anchor distT="0" distB="0" distL="0" distR="0" allowOverlap="1" layoutInCell="1" locked="0" behindDoc="1" simplePos="0" relativeHeight="487693824">
                <wp:simplePos x="0" y="0"/>
                <wp:positionH relativeFrom="page">
                  <wp:posOffset>914400</wp:posOffset>
                </wp:positionH>
                <wp:positionV relativeFrom="paragraph">
                  <wp:posOffset>185736</wp:posOffset>
                </wp:positionV>
                <wp:extent cx="5724525" cy="1270"/>
                <wp:effectExtent l="0" t="0" r="0" b="0"/>
                <wp:wrapTopAndBottom/>
                <wp:docPr id="509" name="Graphic 509"/>
                <wp:cNvGraphicFramePr>
                  <a:graphicFrameLocks/>
                </wp:cNvGraphicFramePr>
                <a:graphic>
                  <a:graphicData uri="http://schemas.microsoft.com/office/word/2010/wordprocessingShape">
                    <wps:wsp>
                      <wps:cNvPr id="509" name="Graphic 50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489pt;width:450.75pt;height:.1pt;mso-position-horizontal-relative:page;mso-position-vertical-relative:paragraph;z-index:-15622656;mso-wrap-distance-left:0;mso-wrap-distance-right:0" id="docshape81" coordorigin="1440,292" coordsize="9015,0" path="m1440,292l10454,292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7195"/>
      </w:tblGrid>
      <w:tr>
        <w:trPr>
          <w:trHeight w:val="344" w:hRule="atLeast"/>
        </w:trPr>
        <w:tc>
          <w:tcPr>
            <w:tcW w:w="496" w:type="dxa"/>
          </w:tcPr>
          <w:p>
            <w:pPr>
              <w:pStyle w:val="TableParagraph"/>
              <w:spacing w:before="0"/>
              <w:ind w:left="0" w:right="43"/>
              <w:rPr>
                <w:sz w:val="14"/>
              </w:rPr>
            </w:pPr>
            <w:r>
              <w:rPr>
                <w:color w:val="005DA1"/>
                <w:spacing w:val="-2"/>
                <w:sz w:val="14"/>
                <w:u w:val="single" w:color="005DA1"/>
              </w:rPr>
              <w:t>1147</w:t>
            </w:r>
            <w:r>
              <w:rPr>
                <w:spacing w:val="-2"/>
                <w:sz w:val="14"/>
              </w:rPr>
              <w:t>.</w:t>
            </w:r>
          </w:p>
        </w:tc>
        <w:tc>
          <w:tcPr>
            <w:tcW w:w="7195" w:type="dxa"/>
          </w:tcPr>
          <w:p>
            <w:pPr>
              <w:pStyle w:val="TableParagraph"/>
              <w:spacing w:line="223" w:lineRule="exact" w:before="0"/>
              <w:jc w:val="left"/>
              <w:rPr>
                <w:sz w:val="20"/>
              </w:rPr>
            </w:pPr>
            <w:r>
              <w:rPr>
                <w:rFonts w:ascii="Arial"/>
                <w:i/>
                <w:sz w:val="20"/>
              </w:rPr>
              <w:t>Jarvis v Moy, Davies, Smith, Vandervell &amp; Co [1936] 1 K.B. 399, </w:t>
            </w:r>
            <w:r>
              <w:rPr>
                <w:rFonts w:ascii="Arial"/>
                <w:i/>
                <w:spacing w:val="-4"/>
                <w:sz w:val="20"/>
              </w:rPr>
              <w:t>405</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1148</w:t>
            </w:r>
            <w:r>
              <w:rPr>
                <w:spacing w:val="-2"/>
                <w:sz w:val="14"/>
              </w:rPr>
              <w:t>.</w:t>
            </w:r>
          </w:p>
        </w:tc>
        <w:tc>
          <w:tcPr>
            <w:tcW w:w="7195" w:type="dxa"/>
          </w:tcPr>
          <w:p>
            <w:pPr>
              <w:pStyle w:val="TableParagraph"/>
              <w:spacing w:before="114"/>
              <w:jc w:val="left"/>
              <w:rPr>
                <w:sz w:val="20"/>
              </w:rPr>
            </w:pPr>
            <w:r>
              <w:rPr>
                <w:sz w:val="20"/>
              </w:rPr>
              <w:t>See below, paras 1-177, 1-</w:t>
            </w:r>
            <w:r>
              <w:rPr>
                <w:spacing w:val="-4"/>
                <w:sz w:val="20"/>
              </w:rPr>
              <w:t>183.</w:t>
            </w:r>
          </w:p>
        </w:tc>
      </w:tr>
      <w:tr>
        <w:trPr>
          <w:trHeight w:val="465" w:hRule="atLeast"/>
        </w:trPr>
        <w:tc>
          <w:tcPr>
            <w:tcW w:w="496" w:type="dxa"/>
          </w:tcPr>
          <w:p>
            <w:pPr>
              <w:pStyle w:val="TableParagraph"/>
              <w:ind w:left="0" w:right="43"/>
              <w:rPr>
                <w:sz w:val="14"/>
              </w:rPr>
            </w:pPr>
            <w:r>
              <w:rPr>
                <w:color w:val="005DA1"/>
                <w:spacing w:val="-2"/>
                <w:sz w:val="14"/>
                <w:u w:val="single" w:color="005DA1"/>
              </w:rPr>
              <w:t>1149</w:t>
            </w:r>
            <w:r>
              <w:rPr>
                <w:spacing w:val="-2"/>
                <w:sz w:val="14"/>
              </w:rPr>
              <w:t>.</w:t>
            </w:r>
          </w:p>
        </w:tc>
        <w:tc>
          <w:tcPr>
            <w:tcW w:w="7195" w:type="dxa"/>
          </w:tcPr>
          <w:p>
            <w:pPr>
              <w:pStyle w:val="TableParagraph"/>
              <w:spacing w:before="114"/>
              <w:jc w:val="left"/>
              <w:rPr>
                <w:sz w:val="20"/>
              </w:rPr>
            </w:pPr>
            <w:r>
              <w:rPr>
                <w:sz w:val="20"/>
              </w:rPr>
              <w:t>See below, para.1-</w:t>
            </w:r>
            <w:r>
              <w:rPr>
                <w:spacing w:val="-4"/>
                <w:sz w:val="20"/>
              </w:rPr>
              <w:t>177.</w:t>
            </w:r>
          </w:p>
        </w:tc>
      </w:tr>
      <w:tr>
        <w:trPr>
          <w:trHeight w:val="465" w:hRule="atLeast"/>
        </w:trPr>
        <w:tc>
          <w:tcPr>
            <w:tcW w:w="496" w:type="dxa"/>
          </w:tcPr>
          <w:p>
            <w:pPr>
              <w:pStyle w:val="TableParagraph"/>
              <w:ind w:left="0" w:right="43"/>
              <w:rPr>
                <w:sz w:val="14"/>
              </w:rPr>
            </w:pPr>
            <w:r>
              <w:rPr>
                <w:color w:val="005DA1"/>
                <w:spacing w:val="-2"/>
                <w:sz w:val="14"/>
                <w:u w:val="single" w:color="005DA1"/>
              </w:rPr>
              <w:t>1150</w:t>
            </w:r>
            <w:r>
              <w:rPr>
                <w:spacing w:val="-2"/>
                <w:sz w:val="14"/>
              </w:rPr>
              <w:t>.</w:t>
            </w:r>
          </w:p>
        </w:tc>
        <w:tc>
          <w:tcPr>
            <w:tcW w:w="7195" w:type="dxa"/>
          </w:tcPr>
          <w:p>
            <w:pPr>
              <w:pStyle w:val="TableParagraph"/>
              <w:spacing w:before="114"/>
              <w:jc w:val="left"/>
              <w:rPr>
                <w:sz w:val="20"/>
              </w:rPr>
            </w:pPr>
            <w:r>
              <w:rPr>
                <w:sz w:val="20"/>
              </w:rPr>
              <w:t>See below, para.1-</w:t>
            </w:r>
            <w:r>
              <w:rPr>
                <w:spacing w:val="-4"/>
                <w:sz w:val="20"/>
              </w:rPr>
              <w:t>184.</w:t>
            </w:r>
          </w:p>
        </w:tc>
      </w:tr>
      <w:tr>
        <w:trPr>
          <w:trHeight w:val="465" w:hRule="atLeast"/>
        </w:trPr>
        <w:tc>
          <w:tcPr>
            <w:tcW w:w="496" w:type="dxa"/>
          </w:tcPr>
          <w:p>
            <w:pPr>
              <w:pStyle w:val="TableParagraph"/>
              <w:ind w:left="0" w:right="43"/>
              <w:rPr>
                <w:sz w:val="14"/>
              </w:rPr>
            </w:pPr>
            <w:r>
              <w:rPr>
                <w:color w:val="005DA1"/>
                <w:spacing w:val="-2"/>
                <w:sz w:val="14"/>
                <w:u w:val="single" w:color="005DA1"/>
              </w:rPr>
              <w:t>1151</w:t>
            </w:r>
            <w:r>
              <w:rPr>
                <w:spacing w:val="-2"/>
                <w:sz w:val="14"/>
              </w:rPr>
              <w:t>.</w:t>
            </w:r>
          </w:p>
        </w:tc>
        <w:tc>
          <w:tcPr>
            <w:tcW w:w="7195" w:type="dxa"/>
          </w:tcPr>
          <w:p>
            <w:pPr>
              <w:pStyle w:val="TableParagraph"/>
              <w:spacing w:before="114"/>
              <w:jc w:val="left"/>
              <w:rPr>
                <w:sz w:val="20"/>
              </w:rPr>
            </w:pPr>
            <w:r>
              <w:rPr>
                <w:sz w:val="20"/>
              </w:rPr>
              <w:t>See below, paras 1-186—1-</w:t>
            </w:r>
            <w:r>
              <w:rPr>
                <w:spacing w:val="-4"/>
                <w:sz w:val="20"/>
              </w:rPr>
              <w:t>190.</w:t>
            </w:r>
          </w:p>
        </w:tc>
      </w:tr>
      <w:tr>
        <w:trPr>
          <w:trHeight w:val="465" w:hRule="atLeast"/>
        </w:trPr>
        <w:tc>
          <w:tcPr>
            <w:tcW w:w="496" w:type="dxa"/>
          </w:tcPr>
          <w:p>
            <w:pPr>
              <w:pStyle w:val="TableParagraph"/>
              <w:ind w:left="0" w:right="43"/>
              <w:rPr>
                <w:sz w:val="14"/>
              </w:rPr>
            </w:pPr>
            <w:r>
              <w:rPr>
                <w:color w:val="005DA1"/>
                <w:spacing w:val="-2"/>
                <w:sz w:val="14"/>
                <w:u w:val="single" w:color="005DA1"/>
              </w:rPr>
              <w:t>1152</w:t>
            </w:r>
            <w:r>
              <w:rPr>
                <w:spacing w:val="-2"/>
                <w:sz w:val="14"/>
              </w:rPr>
              <w:t>.</w:t>
            </w:r>
          </w:p>
        </w:tc>
        <w:tc>
          <w:tcPr>
            <w:tcW w:w="7195" w:type="dxa"/>
          </w:tcPr>
          <w:p>
            <w:pPr>
              <w:pStyle w:val="TableParagraph"/>
              <w:spacing w:before="114"/>
              <w:jc w:val="left"/>
              <w:rPr>
                <w:sz w:val="20"/>
              </w:rPr>
            </w:pPr>
            <w:r>
              <w:rPr>
                <w:sz w:val="20"/>
              </w:rPr>
              <w:t>The notable exception is in the case of contractual </w:t>
            </w:r>
            <w:r>
              <w:rPr>
                <w:spacing w:val="-2"/>
                <w:sz w:val="20"/>
              </w:rPr>
              <w:t>capacity.</w:t>
            </w:r>
          </w:p>
        </w:tc>
      </w:tr>
      <w:tr>
        <w:trPr>
          <w:trHeight w:val="465" w:hRule="atLeast"/>
        </w:trPr>
        <w:tc>
          <w:tcPr>
            <w:tcW w:w="496" w:type="dxa"/>
          </w:tcPr>
          <w:p>
            <w:pPr>
              <w:pStyle w:val="TableParagraph"/>
              <w:ind w:left="0" w:right="43"/>
              <w:rPr>
                <w:sz w:val="14"/>
              </w:rPr>
            </w:pPr>
            <w:r>
              <w:rPr>
                <w:color w:val="005DA1"/>
                <w:spacing w:val="-2"/>
                <w:sz w:val="14"/>
                <w:u w:val="single" w:color="005DA1"/>
              </w:rPr>
              <w:t>1153</w:t>
            </w:r>
            <w:r>
              <w:rPr>
                <w:spacing w:val="-2"/>
                <w:sz w:val="14"/>
              </w:rPr>
              <w:t>.</w:t>
            </w:r>
          </w:p>
        </w:tc>
        <w:tc>
          <w:tcPr>
            <w:tcW w:w="7195" w:type="dxa"/>
          </w:tcPr>
          <w:p>
            <w:pPr>
              <w:pStyle w:val="TableParagraph"/>
              <w:spacing w:before="114"/>
              <w:jc w:val="left"/>
              <w:rPr>
                <w:sz w:val="20"/>
              </w:rPr>
            </w:pPr>
            <w:r>
              <w:rPr>
                <w:sz w:val="20"/>
              </w:rPr>
              <w:t>See below, para.1-</w:t>
            </w:r>
            <w:r>
              <w:rPr>
                <w:spacing w:val="-4"/>
                <w:sz w:val="20"/>
              </w:rPr>
              <w:t>191.</w:t>
            </w:r>
          </w:p>
        </w:tc>
      </w:tr>
      <w:tr>
        <w:trPr>
          <w:trHeight w:val="465" w:hRule="atLeast"/>
        </w:trPr>
        <w:tc>
          <w:tcPr>
            <w:tcW w:w="496" w:type="dxa"/>
          </w:tcPr>
          <w:p>
            <w:pPr>
              <w:pStyle w:val="TableParagraph"/>
              <w:ind w:left="0" w:right="43"/>
              <w:rPr>
                <w:sz w:val="14"/>
              </w:rPr>
            </w:pPr>
            <w:r>
              <w:rPr>
                <w:color w:val="005DA1"/>
                <w:spacing w:val="-2"/>
                <w:sz w:val="14"/>
                <w:u w:val="single" w:color="005DA1"/>
              </w:rPr>
              <w:t>1154</w:t>
            </w:r>
            <w:r>
              <w:rPr>
                <w:spacing w:val="-2"/>
                <w:sz w:val="14"/>
              </w:rPr>
              <w:t>.</w:t>
            </w:r>
          </w:p>
        </w:tc>
        <w:tc>
          <w:tcPr>
            <w:tcW w:w="7195" w:type="dxa"/>
          </w:tcPr>
          <w:p>
            <w:pPr>
              <w:pStyle w:val="TableParagraph"/>
              <w:spacing w:before="114"/>
              <w:jc w:val="left"/>
              <w:rPr>
                <w:sz w:val="20"/>
              </w:rPr>
            </w:pPr>
            <w:r>
              <w:rPr>
                <w:sz w:val="20"/>
              </w:rPr>
              <w:t>See above, paras 1-150 et </w:t>
            </w:r>
            <w:r>
              <w:rPr>
                <w:spacing w:val="-4"/>
                <w:sz w:val="20"/>
              </w:rPr>
              <w:t>seq.</w:t>
            </w:r>
          </w:p>
        </w:tc>
      </w:tr>
      <w:tr>
        <w:trPr>
          <w:trHeight w:val="465" w:hRule="atLeast"/>
        </w:trPr>
        <w:tc>
          <w:tcPr>
            <w:tcW w:w="496" w:type="dxa"/>
          </w:tcPr>
          <w:p>
            <w:pPr>
              <w:pStyle w:val="TableParagraph"/>
              <w:ind w:left="0" w:right="43"/>
              <w:rPr>
                <w:sz w:val="14"/>
              </w:rPr>
            </w:pPr>
            <w:r>
              <w:rPr>
                <w:color w:val="005DA1"/>
                <w:spacing w:val="-2"/>
                <w:sz w:val="14"/>
                <w:u w:val="single" w:color="005DA1"/>
              </w:rPr>
              <w:t>1155</w:t>
            </w:r>
            <w:r>
              <w:rPr>
                <w:spacing w:val="-2"/>
                <w:sz w:val="14"/>
              </w:rPr>
              <w:t>.</w:t>
            </w:r>
          </w:p>
        </w:tc>
        <w:tc>
          <w:tcPr>
            <w:tcW w:w="7195" w:type="dxa"/>
          </w:tcPr>
          <w:p>
            <w:pPr>
              <w:pStyle w:val="TableParagraph"/>
              <w:spacing w:before="114"/>
              <w:jc w:val="left"/>
              <w:rPr>
                <w:sz w:val="20"/>
              </w:rPr>
            </w:pPr>
            <w:r>
              <w:rPr>
                <w:rFonts w:ascii="Arial"/>
                <w:i/>
                <w:sz w:val="20"/>
              </w:rPr>
              <w:t>[1995]</w:t>
            </w:r>
            <w:r>
              <w:rPr>
                <w:rFonts w:ascii="Arial"/>
                <w:i/>
                <w:spacing w:val="-2"/>
                <w:sz w:val="20"/>
              </w:rPr>
              <w:t> </w:t>
            </w:r>
            <w:r>
              <w:rPr>
                <w:rFonts w:ascii="Arial"/>
                <w:i/>
                <w:sz w:val="20"/>
              </w:rPr>
              <w:t>2 A.C. </w:t>
            </w:r>
            <w:r>
              <w:rPr>
                <w:rFonts w:ascii="Arial"/>
                <w:i/>
                <w:spacing w:val="-4"/>
                <w:sz w:val="20"/>
              </w:rPr>
              <w:t>145</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1156</w:t>
            </w:r>
            <w:r>
              <w:rPr>
                <w:spacing w:val="-2"/>
                <w:sz w:val="14"/>
              </w:rPr>
              <w:t>.</w:t>
            </w:r>
          </w:p>
        </w:tc>
        <w:tc>
          <w:tcPr>
            <w:tcW w:w="7195" w:type="dxa"/>
          </w:tcPr>
          <w:p>
            <w:pPr>
              <w:pStyle w:val="TableParagraph"/>
              <w:spacing w:before="114"/>
              <w:jc w:val="left"/>
              <w:rPr>
                <w:sz w:val="20"/>
              </w:rPr>
            </w:pPr>
            <w:r>
              <w:rPr>
                <w:sz w:val="20"/>
              </w:rPr>
              <w:t>Burrows (1995) C.L.P. 103, 118 et seq.; Whittaker (1997) 17 Legal Studies </w:t>
            </w:r>
            <w:r>
              <w:rPr>
                <w:spacing w:val="-4"/>
                <w:sz w:val="20"/>
              </w:rPr>
              <w:t>169.</w:t>
            </w:r>
          </w:p>
        </w:tc>
      </w:tr>
      <w:tr>
        <w:trPr>
          <w:trHeight w:val="465" w:hRule="atLeast"/>
        </w:trPr>
        <w:tc>
          <w:tcPr>
            <w:tcW w:w="496" w:type="dxa"/>
          </w:tcPr>
          <w:p>
            <w:pPr>
              <w:pStyle w:val="TableParagraph"/>
              <w:ind w:left="0" w:right="43"/>
              <w:rPr>
                <w:sz w:val="14"/>
              </w:rPr>
            </w:pPr>
            <w:r>
              <w:rPr>
                <w:color w:val="005DA1"/>
                <w:spacing w:val="-2"/>
                <w:sz w:val="14"/>
                <w:u w:val="single" w:color="005DA1"/>
              </w:rPr>
              <w:t>1157</w:t>
            </w:r>
            <w:r>
              <w:rPr>
                <w:spacing w:val="-2"/>
                <w:sz w:val="14"/>
              </w:rPr>
              <w:t>.</w:t>
            </w:r>
          </w:p>
        </w:tc>
        <w:tc>
          <w:tcPr>
            <w:tcW w:w="7195" w:type="dxa"/>
          </w:tcPr>
          <w:p>
            <w:pPr>
              <w:pStyle w:val="TableParagraph"/>
              <w:spacing w:before="114"/>
              <w:jc w:val="left"/>
              <w:rPr>
                <w:sz w:val="20"/>
              </w:rPr>
            </w:pPr>
            <w:r>
              <w:rPr>
                <w:sz w:val="20"/>
              </w:rPr>
              <w:t>For the position of “indirect Names” see below, para.1-</w:t>
            </w:r>
            <w:r>
              <w:rPr>
                <w:spacing w:val="-4"/>
                <w:sz w:val="20"/>
              </w:rPr>
              <w:t>211.</w:t>
            </w:r>
          </w:p>
        </w:tc>
      </w:tr>
      <w:tr>
        <w:trPr>
          <w:trHeight w:val="465" w:hRule="atLeast"/>
        </w:trPr>
        <w:tc>
          <w:tcPr>
            <w:tcW w:w="496" w:type="dxa"/>
          </w:tcPr>
          <w:p>
            <w:pPr>
              <w:pStyle w:val="TableParagraph"/>
              <w:ind w:left="0" w:right="43"/>
              <w:rPr>
                <w:sz w:val="14"/>
              </w:rPr>
            </w:pPr>
            <w:r>
              <w:rPr>
                <w:color w:val="005DA1"/>
                <w:spacing w:val="-2"/>
                <w:sz w:val="14"/>
                <w:u w:val="single" w:color="005DA1"/>
              </w:rPr>
              <w:t>1158</w:t>
            </w:r>
            <w:r>
              <w:rPr>
                <w:spacing w:val="-2"/>
                <w:sz w:val="14"/>
              </w:rPr>
              <w:t>.</w:t>
            </w:r>
          </w:p>
        </w:tc>
        <w:tc>
          <w:tcPr>
            <w:tcW w:w="7195" w:type="dxa"/>
          </w:tcPr>
          <w:p>
            <w:pPr>
              <w:pStyle w:val="TableParagraph"/>
              <w:spacing w:before="114"/>
              <w:jc w:val="left"/>
              <w:rPr>
                <w:sz w:val="20"/>
              </w:rPr>
            </w:pPr>
            <w:r>
              <w:rPr>
                <w:rFonts w:ascii="Arial"/>
                <w:i/>
                <w:sz w:val="20"/>
              </w:rPr>
              <w:t>[1964] A.C. </w:t>
            </w:r>
            <w:r>
              <w:rPr>
                <w:rFonts w:ascii="Arial"/>
                <w:i/>
                <w:spacing w:val="-4"/>
                <w:sz w:val="20"/>
              </w:rPr>
              <w:t>465</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1159</w:t>
            </w:r>
            <w:r>
              <w:rPr>
                <w:spacing w:val="-2"/>
                <w:sz w:val="14"/>
              </w:rPr>
              <w:t>.</w:t>
            </w:r>
          </w:p>
        </w:tc>
        <w:tc>
          <w:tcPr>
            <w:tcW w:w="7195" w:type="dxa"/>
          </w:tcPr>
          <w:p>
            <w:pPr>
              <w:pStyle w:val="TableParagraph"/>
              <w:spacing w:before="114"/>
              <w:jc w:val="left"/>
              <w:rPr>
                <w:sz w:val="20"/>
              </w:rPr>
            </w:pPr>
            <w:r>
              <w:rPr>
                <w:rFonts w:ascii="Arial" w:hAnsi="Arial"/>
                <w:i/>
                <w:sz w:val="20"/>
              </w:rPr>
              <w:t>[1995]</w:t>
            </w:r>
            <w:r>
              <w:rPr>
                <w:rFonts w:ascii="Arial" w:hAnsi="Arial"/>
                <w:i/>
                <w:spacing w:val="-2"/>
                <w:sz w:val="20"/>
              </w:rPr>
              <w:t> </w:t>
            </w:r>
            <w:r>
              <w:rPr>
                <w:rFonts w:ascii="Arial" w:hAnsi="Arial"/>
                <w:i/>
                <w:sz w:val="20"/>
              </w:rPr>
              <w:t>2 A.C. 145</w:t>
            </w:r>
            <w:r>
              <w:rPr>
                <w:rFonts w:ascii="Arial" w:hAnsi="Arial"/>
                <w:i/>
                <w:spacing w:val="-1"/>
                <w:sz w:val="20"/>
              </w:rPr>
              <w:t> </w:t>
            </w:r>
            <w:r>
              <w:rPr>
                <w:sz w:val="20"/>
              </w:rPr>
              <w:t>at </w:t>
            </w:r>
            <w:r>
              <w:rPr>
                <w:spacing w:val="-2"/>
                <w:sz w:val="20"/>
              </w:rPr>
              <w:t>180–181.</w:t>
            </w:r>
          </w:p>
        </w:tc>
      </w:tr>
      <w:tr>
        <w:trPr>
          <w:trHeight w:val="465" w:hRule="atLeast"/>
        </w:trPr>
        <w:tc>
          <w:tcPr>
            <w:tcW w:w="496" w:type="dxa"/>
          </w:tcPr>
          <w:p>
            <w:pPr>
              <w:pStyle w:val="TableParagraph"/>
              <w:ind w:left="0" w:right="43"/>
              <w:rPr>
                <w:sz w:val="14"/>
              </w:rPr>
            </w:pPr>
            <w:r>
              <w:rPr>
                <w:color w:val="005DA1"/>
                <w:spacing w:val="-2"/>
                <w:sz w:val="14"/>
                <w:u w:val="single" w:color="005DA1"/>
              </w:rPr>
              <w:t>1160</w:t>
            </w:r>
            <w:r>
              <w:rPr>
                <w:spacing w:val="-2"/>
                <w:sz w:val="14"/>
              </w:rPr>
              <w:t>.</w:t>
            </w:r>
          </w:p>
        </w:tc>
        <w:tc>
          <w:tcPr>
            <w:tcW w:w="7195" w:type="dxa"/>
          </w:tcPr>
          <w:p>
            <w:pPr>
              <w:pStyle w:val="TableParagraph"/>
              <w:spacing w:before="114"/>
              <w:jc w:val="left"/>
              <w:rPr>
                <w:sz w:val="20"/>
              </w:rPr>
            </w:pPr>
            <w:r>
              <w:rPr>
                <w:rFonts w:ascii="Arial" w:hAnsi="Arial"/>
                <w:i/>
                <w:sz w:val="20"/>
              </w:rPr>
              <w:t>[1995]</w:t>
            </w:r>
            <w:r>
              <w:rPr>
                <w:rFonts w:ascii="Arial" w:hAnsi="Arial"/>
                <w:i/>
                <w:spacing w:val="-2"/>
                <w:sz w:val="20"/>
              </w:rPr>
              <w:t> </w:t>
            </w:r>
            <w:r>
              <w:rPr>
                <w:rFonts w:ascii="Arial" w:hAnsi="Arial"/>
                <w:i/>
                <w:sz w:val="20"/>
              </w:rPr>
              <w:t>2 A.C. 145</w:t>
            </w:r>
            <w:r>
              <w:rPr>
                <w:rFonts w:ascii="Arial" w:hAnsi="Arial"/>
                <w:i/>
                <w:spacing w:val="-1"/>
                <w:sz w:val="20"/>
              </w:rPr>
              <w:t> </w:t>
            </w:r>
            <w:r>
              <w:rPr>
                <w:sz w:val="20"/>
              </w:rPr>
              <w:t>at </w:t>
            </w:r>
            <w:r>
              <w:rPr>
                <w:spacing w:val="-2"/>
                <w:sz w:val="20"/>
              </w:rPr>
              <w:t>193–194.</w:t>
            </w:r>
          </w:p>
        </w:tc>
      </w:tr>
      <w:tr>
        <w:trPr>
          <w:trHeight w:val="465" w:hRule="atLeast"/>
        </w:trPr>
        <w:tc>
          <w:tcPr>
            <w:tcW w:w="496" w:type="dxa"/>
          </w:tcPr>
          <w:p>
            <w:pPr>
              <w:pStyle w:val="TableParagraph"/>
              <w:ind w:left="0" w:right="43"/>
              <w:rPr>
                <w:sz w:val="14"/>
              </w:rPr>
            </w:pPr>
            <w:r>
              <w:rPr>
                <w:color w:val="005DA1"/>
                <w:spacing w:val="-2"/>
                <w:sz w:val="14"/>
                <w:u w:val="single" w:color="005DA1"/>
              </w:rPr>
              <w:t>1161</w:t>
            </w:r>
            <w:r>
              <w:rPr>
                <w:spacing w:val="-2"/>
                <w:sz w:val="14"/>
              </w:rPr>
              <w:t>.</w:t>
            </w:r>
          </w:p>
        </w:tc>
        <w:tc>
          <w:tcPr>
            <w:tcW w:w="7195" w:type="dxa"/>
          </w:tcPr>
          <w:p>
            <w:pPr>
              <w:pStyle w:val="TableParagraph"/>
              <w:spacing w:before="114"/>
              <w:jc w:val="left"/>
              <w:rPr>
                <w:sz w:val="20"/>
              </w:rPr>
            </w:pPr>
            <w:r>
              <w:rPr>
                <w:rFonts w:ascii="Arial"/>
                <w:i/>
                <w:sz w:val="20"/>
              </w:rPr>
              <w:t>[1995] 2 A.C. 145</w:t>
            </w:r>
            <w:r>
              <w:rPr>
                <w:rFonts w:ascii="Arial"/>
                <w:i/>
                <w:spacing w:val="-1"/>
                <w:sz w:val="20"/>
              </w:rPr>
              <w:t> </w:t>
            </w:r>
            <w:r>
              <w:rPr>
                <w:sz w:val="20"/>
              </w:rPr>
              <w:t>at </w:t>
            </w:r>
            <w:r>
              <w:rPr>
                <w:spacing w:val="-4"/>
                <w:sz w:val="20"/>
              </w:rPr>
              <w:t>194.</w:t>
            </w:r>
          </w:p>
        </w:tc>
      </w:tr>
      <w:tr>
        <w:trPr>
          <w:trHeight w:val="465" w:hRule="atLeast"/>
        </w:trPr>
        <w:tc>
          <w:tcPr>
            <w:tcW w:w="496" w:type="dxa"/>
          </w:tcPr>
          <w:p>
            <w:pPr>
              <w:pStyle w:val="TableParagraph"/>
              <w:ind w:left="0" w:right="43"/>
              <w:rPr>
                <w:sz w:val="14"/>
              </w:rPr>
            </w:pPr>
            <w:r>
              <w:rPr>
                <w:color w:val="005DA1"/>
                <w:spacing w:val="-2"/>
                <w:sz w:val="14"/>
                <w:u w:val="single" w:color="005DA1"/>
              </w:rPr>
              <w:t>1162</w:t>
            </w:r>
            <w:r>
              <w:rPr>
                <w:spacing w:val="-2"/>
                <w:sz w:val="14"/>
              </w:rPr>
              <w:t>.</w:t>
            </w:r>
          </w:p>
        </w:tc>
        <w:tc>
          <w:tcPr>
            <w:tcW w:w="7195" w:type="dxa"/>
          </w:tcPr>
          <w:p>
            <w:pPr>
              <w:pStyle w:val="TableParagraph"/>
              <w:spacing w:before="114"/>
              <w:jc w:val="left"/>
              <w:rPr>
                <w:sz w:val="20"/>
              </w:rPr>
            </w:pPr>
            <w:r>
              <w:rPr>
                <w:sz w:val="20"/>
              </w:rPr>
              <w:t>See below, paras 1-184 et </w:t>
            </w:r>
            <w:r>
              <w:rPr>
                <w:spacing w:val="-4"/>
                <w:sz w:val="20"/>
              </w:rPr>
              <w:t>seq.</w:t>
            </w:r>
          </w:p>
        </w:tc>
      </w:tr>
      <w:tr>
        <w:trPr>
          <w:trHeight w:val="344" w:hRule="atLeast"/>
        </w:trPr>
        <w:tc>
          <w:tcPr>
            <w:tcW w:w="496" w:type="dxa"/>
          </w:tcPr>
          <w:p>
            <w:pPr>
              <w:pStyle w:val="TableParagraph"/>
              <w:ind w:left="0" w:right="43"/>
              <w:rPr>
                <w:sz w:val="14"/>
              </w:rPr>
            </w:pPr>
            <w:r>
              <w:rPr>
                <w:color w:val="005DA1"/>
                <w:spacing w:val="-2"/>
                <w:sz w:val="14"/>
                <w:u w:val="single" w:color="005DA1"/>
              </w:rPr>
              <w:t>1163</w:t>
            </w:r>
            <w:r>
              <w:rPr>
                <w:spacing w:val="-2"/>
                <w:sz w:val="14"/>
              </w:rPr>
              <w:t>.</w:t>
            </w:r>
          </w:p>
        </w:tc>
        <w:tc>
          <w:tcPr>
            <w:tcW w:w="7195" w:type="dxa"/>
          </w:tcPr>
          <w:p>
            <w:pPr>
              <w:pStyle w:val="TableParagraph"/>
              <w:spacing w:line="210" w:lineRule="exact" w:before="114"/>
              <w:jc w:val="left"/>
              <w:rPr>
                <w:sz w:val="20"/>
              </w:rPr>
            </w:pPr>
            <w:bookmarkStart w:name="_bookmark1967" w:id="1969"/>
            <w:bookmarkEnd w:id="1969"/>
            <w:r>
              <w:rPr/>
            </w:r>
            <w:r>
              <w:rPr>
                <w:rFonts w:ascii="Arial"/>
                <w:i/>
                <w:sz w:val="20"/>
              </w:rPr>
              <w:t>Hedley Byrne &amp; Co Ltd v Heller &amp; Partners Ltd [1964] A.C. </w:t>
            </w:r>
            <w:r>
              <w:rPr>
                <w:rFonts w:ascii="Arial"/>
                <w:i/>
                <w:spacing w:val="-4"/>
                <w:sz w:val="20"/>
              </w:rPr>
              <w:t>465</w:t>
            </w:r>
            <w:r>
              <w:rPr>
                <w:spacing w:val="-4"/>
                <w:sz w:val="20"/>
              </w:rPr>
              <w:t>.</w:t>
            </w:r>
          </w:p>
        </w:tc>
      </w:tr>
    </w:tbl>
    <w:p>
      <w:pPr>
        <w:pStyle w:val="TableParagraph"/>
        <w:spacing w:after="0" w:line="210" w:lineRule="exact"/>
        <w:jc w:val="left"/>
        <w:rPr>
          <w:sz w:val="20"/>
        </w:rPr>
        <w:sectPr>
          <w:pgSz w:w="11900" w:h="16840"/>
          <w:pgMar w:header="971" w:footer="0" w:top="1300" w:bottom="280" w:left="1275" w:right="1275"/>
        </w:sectPr>
      </w:pPr>
    </w:p>
    <w:p>
      <w:pPr>
        <w:spacing w:line="227" w:lineRule="exact" w:before="166"/>
        <w:ind w:left="165" w:right="0" w:firstLine="0"/>
        <w:jc w:val="left"/>
        <w:rPr>
          <w:rFonts w:ascii="Arial"/>
          <w:i/>
          <w:sz w:val="20"/>
        </w:rPr>
      </w:pPr>
      <w:bookmarkStart w:name="_bookmark1968" w:id="1970"/>
      <w:bookmarkEnd w:id="1970"/>
      <w:r>
        <w:rPr/>
      </w:r>
      <w:r>
        <w:rPr>
          <w:color w:val="005DA1"/>
          <w:position w:val="5"/>
          <w:sz w:val="14"/>
          <w:u w:val="single" w:color="005DA1"/>
        </w:rPr>
        <w:t>1164</w:t>
      </w:r>
      <w:r>
        <w:rPr>
          <w:position w:val="5"/>
          <w:sz w:val="14"/>
        </w:rPr>
        <w:t>.</w:t>
      </w:r>
      <w:r>
        <w:rPr>
          <w:spacing w:val="55"/>
          <w:position w:val="5"/>
          <w:sz w:val="14"/>
        </w:rPr>
        <w:t>  </w:t>
      </w:r>
      <w:r>
        <w:rPr>
          <w:sz w:val="20"/>
        </w:rPr>
        <w:t>It</w:t>
      </w:r>
      <w:r>
        <w:rPr>
          <w:spacing w:val="16"/>
          <w:sz w:val="20"/>
        </w:rPr>
        <w:t> </w:t>
      </w:r>
      <w:r>
        <w:rPr>
          <w:sz w:val="20"/>
        </w:rPr>
        <w:t>would</w:t>
      </w:r>
      <w:r>
        <w:rPr>
          <w:spacing w:val="15"/>
          <w:sz w:val="20"/>
        </w:rPr>
        <w:t> </w:t>
      </w:r>
      <w:r>
        <w:rPr>
          <w:sz w:val="20"/>
        </w:rPr>
        <w:t>seem</w:t>
      </w:r>
      <w:r>
        <w:rPr>
          <w:spacing w:val="15"/>
          <w:sz w:val="20"/>
        </w:rPr>
        <w:t> </w:t>
      </w:r>
      <w:r>
        <w:rPr>
          <w:sz w:val="20"/>
        </w:rPr>
        <w:t>that</w:t>
      </w:r>
      <w:r>
        <w:rPr>
          <w:spacing w:val="15"/>
          <w:sz w:val="20"/>
        </w:rPr>
        <w:t> </w:t>
      </w:r>
      <w:r>
        <w:rPr>
          <w:sz w:val="20"/>
        </w:rPr>
        <w:t>the</w:t>
      </w:r>
      <w:r>
        <w:rPr>
          <w:spacing w:val="15"/>
          <w:sz w:val="20"/>
        </w:rPr>
        <w:t> </w:t>
      </w:r>
      <w:r>
        <w:rPr>
          <w:sz w:val="20"/>
        </w:rPr>
        <w:t>speech</w:t>
      </w:r>
      <w:r>
        <w:rPr>
          <w:spacing w:val="15"/>
          <w:sz w:val="20"/>
        </w:rPr>
        <w:t> </w:t>
      </w:r>
      <w:r>
        <w:rPr>
          <w:sz w:val="20"/>
        </w:rPr>
        <w:t>of</w:t>
      </w:r>
      <w:r>
        <w:rPr>
          <w:spacing w:val="15"/>
          <w:sz w:val="20"/>
        </w:rPr>
        <w:t> </w:t>
      </w:r>
      <w:r>
        <w:rPr>
          <w:sz w:val="20"/>
        </w:rPr>
        <w:t>Lord</w:t>
      </w:r>
      <w:r>
        <w:rPr>
          <w:spacing w:val="15"/>
          <w:sz w:val="20"/>
        </w:rPr>
        <w:t> </w:t>
      </w:r>
      <w:r>
        <w:rPr>
          <w:sz w:val="20"/>
        </w:rPr>
        <w:t>Goff</w:t>
      </w:r>
      <w:r>
        <w:rPr>
          <w:spacing w:val="15"/>
          <w:sz w:val="20"/>
        </w:rPr>
        <w:t> </w:t>
      </w:r>
      <w:r>
        <w:rPr>
          <w:sz w:val="20"/>
        </w:rPr>
        <w:t>in</w:t>
      </w:r>
      <w:r>
        <w:rPr>
          <w:spacing w:val="15"/>
          <w:sz w:val="20"/>
        </w:rPr>
        <w:t> </w:t>
      </w:r>
      <w:r>
        <w:rPr>
          <w:rFonts w:ascii="Arial"/>
          <w:i/>
          <w:sz w:val="20"/>
        </w:rPr>
        <w:t>Spring</w:t>
      </w:r>
      <w:r>
        <w:rPr>
          <w:rFonts w:ascii="Arial"/>
          <w:i/>
          <w:spacing w:val="15"/>
          <w:sz w:val="20"/>
        </w:rPr>
        <w:t> </w:t>
      </w:r>
      <w:r>
        <w:rPr>
          <w:rFonts w:ascii="Arial"/>
          <w:i/>
          <w:sz w:val="20"/>
        </w:rPr>
        <w:t>v</w:t>
      </w:r>
      <w:r>
        <w:rPr>
          <w:rFonts w:ascii="Arial"/>
          <w:i/>
          <w:spacing w:val="15"/>
          <w:sz w:val="20"/>
        </w:rPr>
        <w:t> </w:t>
      </w:r>
      <w:r>
        <w:rPr>
          <w:rFonts w:ascii="Arial"/>
          <w:i/>
          <w:sz w:val="20"/>
        </w:rPr>
        <w:t>Guardian</w:t>
      </w:r>
      <w:r>
        <w:rPr>
          <w:rFonts w:ascii="Arial"/>
          <w:i/>
          <w:spacing w:val="15"/>
          <w:sz w:val="20"/>
        </w:rPr>
        <w:t> </w:t>
      </w:r>
      <w:r>
        <w:rPr>
          <w:rFonts w:ascii="Arial"/>
          <w:i/>
          <w:sz w:val="20"/>
        </w:rPr>
        <w:t>Assurance</w:t>
      </w:r>
      <w:r>
        <w:rPr>
          <w:rFonts w:ascii="Arial"/>
          <w:i/>
          <w:spacing w:val="15"/>
          <w:sz w:val="20"/>
        </w:rPr>
        <w:t> </w:t>
      </w:r>
      <w:r>
        <w:rPr>
          <w:rFonts w:ascii="Arial"/>
          <w:i/>
          <w:sz w:val="20"/>
        </w:rPr>
        <w:t>Plc</w:t>
      </w:r>
      <w:r>
        <w:rPr>
          <w:rFonts w:ascii="Arial"/>
          <w:i/>
          <w:spacing w:val="15"/>
          <w:sz w:val="20"/>
        </w:rPr>
        <w:t> </w:t>
      </w:r>
      <w:r>
        <w:rPr>
          <w:rFonts w:ascii="Arial"/>
          <w:i/>
          <w:sz w:val="20"/>
        </w:rPr>
        <w:t>[1995]</w:t>
      </w:r>
      <w:r>
        <w:rPr>
          <w:rFonts w:ascii="Arial"/>
          <w:i/>
          <w:spacing w:val="15"/>
          <w:sz w:val="20"/>
        </w:rPr>
        <w:t> </w:t>
      </w:r>
      <w:r>
        <w:rPr>
          <w:rFonts w:ascii="Arial"/>
          <w:i/>
          <w:sz w:val="20"/>
        </w:rPr>
        <w:t>2</w:t>
      </w:r>
      <w:r>
        <w:rPr>
          <w:rFonts w:ascii="Arial"/>
          <w:i/>
          <w:spacing w:val="15"/>
          <w:sz w:val="20"/>
        </w:rPr>
        <w:t> </w:t>
      </w:r>
      <w:r>
        <w:rPr>
          <w:rFonts w:ascii="Arial"/>
          <w:i/>
          <w:spacing w:val="-4"/>
          <w:sz w:val="20"/>
        </w:rPr>
        <w:t>A.C.</w:t>
      </w:r>
    </w:p>
    <w:p>
      <w:pPr>
        <w:pStyle w:val="BodyText"/>
        <w:spacing w:line="227" w:lineRule="exact"/>
        <w:ind w:left="705"/>
      </w:pPr>
      <w:r>
        <w:rPr>
          <w:rFonts w:ascii="Arial"/>
          <w:i/>
        </w:rPr>
        <w:t>296</w:t>
      </w:r>
      <w:r>
        <w:rPr>
          <w:rFonts w:ascii="Arial"/>
          <w:i/>
          <w:spacing w:val="-1"/>
        </w:rPr>
        <w:t> </w:t>
      </w:r>
      <w:r>
        <w:rPr/>
        <w:t>marked the turning </w:t>
      </w:r>
      <w:r>
        <w:rPr>
          <w:spacing w:val="-2"/>
        </w:rPr>
        <w:t>point.</w:t>
      </w:r>
    </w:p>
    <w:p>
      <w:pPr>
        <w:pStyle w:val="BodyText"/>
        <w:spacing w:before="5"/>
      </w:pPr>
    </w:p>
    <w:p>
      <w:pPr>
        <w:spacing w:before="1"/>
        <w:ind w:left="165" w:right="0" w:firstLine="0"/>
        <w:jc w:val="left"/>
        <w:rPr>
          <w:sz w:val="20"/>
        </w:rPr>
      </w:pPr>
      <w:r>
        <w:rPr>
          <w:color w:val="005DA1"/>
          <w:position w:val="5"/>
          <w:sz w:val="14"/>
          <w:u w:val="single" w:color="005DA1"/>
        </w:rPr>
        <w:t>1165</w:t>
      </w:r>
      <w:r>
        <w:rPr>
          <w:position w:val="5"/>
          <w:sz w:val="14"/>
        </w:rPr>
        <w:t>.</w:t>
      </w:r>
      <w:r>
        <w:rPr>
          <w:spacing w:val="55"/>
          <w:position w:val="5"/>
          <w:sz w:val="14"/>
        </w:rPr>
        <w:t>  </w:t>
      </w:r>
      <w:r>
        <w:rPr>
          <w:sz w:val="20"/>
        </w:rPr>
        <w:t>e.g.</w:t>
      </w:r>
      <w:r>
        <w:rPr>
          <w:spacing w:val="1"/>
          <w:sz w:val="20"/>
        </w:rPr>
        <w:t> </w:t>
      </w:r>
      <w:r>
        <w:rPr>
          <w:rFonts w:ascii="Arial"/>
          <w:i/>
          <w:sz w:val="20"/>
        </w:rPr>
        <w:t>Caparo Industries v Dickman [1990] 2 A.C.</w:t>
      </w:r>
      <w:r>
        <w:rPr>
          <w:rFonts w:ascii="Arial"/>
          <w:i/>
          <w:spacing w:val="-1"/>
          <w:sz w:val="20"/>
        </w:rPr>
        <w:t> </w:t>
      </w:r>
      <w:r>
        <w:rPr>
          <w:rFonts w:ascii="Arial"/>
          <w:i/>
          <w:sz w:val="20"/>
        </w:rPr>
        <w:t>605</w:t>
      </w:r>
      <w:r>
        <w:rPr>
          <w:sz w:val="20"/>
        </w:rPr>
        <w:t>; </w:t>
      </w:r>
      <w:r>
        <w:rPr>
          <w:rFonts w:ascii="Arial"/>
          <w:i/>
          <w:sz w:val="20"/>
        </w:rPr>
        <w:t>Smith v Eric S. Bush [1990] 1 A.C. </w:t>
      </w:r>
      <w:r>
        <w:rPr>
          <w:rFonts w:ascii="Arial"/>
          <w:i/>
          <w:spacing w:val="-4"/>
          <w:sz w:val="20"/>
        </w:rPr>
        <w:t>831</w:t>
      </w:r>
      <w:r>
        <w:rPr>
          <w:spacing w:val="-4"/>
          <w:sz w:val="20"/>
        </w:rPr>
        <w:t>.</w:t>
      </w:r>
    </w:p>
    <w:p>
      <w:pPr>
        <w:pStyle w:val="BodyText"/>
        <w:spacing w:before="8"/>
      </w:pPr>
    </w:p>
    <w:p>
      <w:pPr>
        <w:spacing w:line="235" w:lineRule="auto" w:before="0"/>
        <w:ind w:left="705" w:right="167" w:hanging="541"/>
        <w:jc w:val="both"/>
        <w:rPr>
          <w:sz w:val="20"/>
        </w:rPr>
      </w:pPr>
      <w:r>
        <w:rPr>
          <w:color w:val="005DA1"/>
          <w:position w:val="5"/>
          <w:sz w:val="14"/>
          <w:u w:val="single" w:color="005DA1"/>
        </w:rPr>
        <w:t>1166</w:t>
      </w:r>
      <w:r>
        <w:rPr>
          <w:position w:val="5"/>
          <w:sz w:val="14"/>
        </w:rPr>
        <w:t>.</w:t>
      </w:r>
      <w:r>
        <w:rPr>
          <w:spacing w:val="40"/>
          <w:position w:val="5"/>
          <w:sz w:val="14"/>
        </w:rPr>
        <w:t>  </w:t>
      </w:r>
      <w:r>
        <w:rPr>
          <w:sz w:val="20"/>
        </w:rPr>
        <w:t>An exception could be found in the decision of the House of Lords in </w:t>
      </w:r>
      <w:r>
        <w:rPr>
          <w:rFonts w:ascii="Arial"/>
          <w:i/>
          <w:sz w:val="20"/>
        </w:rPr>
        <w:t>Junior Books Ltd v Veitchi Co</w:t>
      </w:r>
      <w:r>
        <w:rPr>
          <w:rFonts w:ascii="Arial"/>
          <w:i/>
          <w:spacing w:val="-2"/>
          <w:sz w:val="20"/>
        </w:rPr>
        <w:t> </w:t>
      </w:r>
      <w:r>
        <w:rPr>
          <w:rFonts w:ascii="Arial"/>
          <w:i/>
          <w:sz w:val="20"/>
        </w:rPr>
        <w:t>Ltd</w:t>
      </w:r>
      <w:r>
        <w:rPr>
          <w:rFonts w:ascii="Arial"/>
          <w:i/>
          <w:spacing w:val="-2"/>
          <w:sz w:val="20"/>
        </w:rPr>
        <w:t> </w:t>
      </w:r>
      <w:r>
        <w:rPr>
          <w:rFonts w:ascii="Arial"/>
          <w:i/>
          <w:sz w:val="20"/>
        </w:rPr>
        <w:t>[1983]</w:t>
      </w:r>
      <w:r>
        <w:rPr>
          <w:rFonts w:ascii="Arial"/>
          <w:i/>
          <w:spacing w:val="-2"/>
          <w:sz w:val="20"/>
        </w:rPr>
        <w:t> </w:t>
      </w:r>
      <w:r>
        <w:rPr>
          <w:rFonts w:ascii="Arial"/>
          <w:i/>
          <w:sz w:val="20"/>
        </w:rPr>
        <w:t>1</w:t>
      </w:r>
      <w:r>
        <w:rPr>
          <w:rFonts w:ascii="Arial"/>
          <w:i/>
          <w:spacing w:val="-2"/>
          <w:sz w:val="20"/>
        </w:rPr>
        <w:t> </w:t>
      </w:r>
      <w:r>
        <w:rPr>
          <w:rFonts w:ascii="Arial"/>
          <w:i/>
          <w:sz w:val="20"/>
        </w:rPr>
        <w:t>A.C.</w:t>
      </w:r>
      <w:r>
        <w:rPr>
          <w:rFonts w:ascii="Arial"/>
          <w:i/>
          <w:spacing w:val="-2"/>
          <w:sz w:val="20"/>
        </w:rPr>
        <w:t> </w:t>
      </w:r>
      <w:r>
        <w:rPr>
          <w:rFonts w:ascii="Arial"/>
          <w:i/>
          <w:sz w:val="20"/>
        </w:rPr>
        <w:t>520</w:t>
      </w:r>
      <w:r>
        <w:rPr>
          <w:sz w:val="20"/>
        </w:rPr>
        <w:t>,</w:t>
      </w:r>
      <w:r>
        <w:rPr>
          <w:spacing w:val="-2"/>
          <w:sz w:val="20"/>
        </w:rPr>
        <w:t> </w:t>
      </w:r>
      <w:r>
        <w:rPr>
          <w:sz w:val="20"/>
        </w:rPr>
        <w:t>but</w:t>
      </w:r>
      <w:r>
        <w:rPr>
          <w:spacing w:val="-2"/>
          <w:sz w:val="20"/>
        </w:rPr>
        <w:t> </w:t>
      </w:r>
      <w:r>
        <w:rPr>
          <w:sz w:val="20"/>
        </w:rPr>
        <w:t>this</w:t>
      </w:r>
      <w:r>
        <w:rPr>
          <w:spacing w:val="-2"/>
          <w:sz w:val="20"/>
        </w:rPr>
        <w:t> </w:t>
      </w:r>
      <w:r>
        <w:rPr>
          <w:sz w:val="20"/>
        </w:rPr>
        <w:t>decision</w:t>
      </w:r>
      <w:r>
        <w:rPr>
          <w:spacing w:val="-2"/>
          <w:sz w:val="20"/>
        </w:rPr>
        <w:t> </w:t>
      </w:r>
      <w:r>
        <w:rPr>
          <w:sz w:val="20"/>
        </w:rPr>
        <w:t>has</w:t>
      </w:r>
      <w:r>
        <w:rPr>
          <w:spacing w:val="-2"/>
          <w:sz w:val="20"/>
        </w:rPr>
        <w:t> </w:t>
      </w:r>
      <w:r>
        <w:rPr>
          <w:sz w:val="20"/>
        </w:rPr>
        <w:t>not</w:t>
      </w:r>
      <w:r>
        <w:rPr>
          <w:spacing w:val="-2"/>
          <w:sz w:val="20"/>
        </w:rPr>
        <w:t> </w:t>
      </w:r>
      <w:r>
        <w:rPr>
          <w:sz w:val="20"/>
        </w:rPr>
        <w:t>been</w:t>
      </w:r>
      <w:r>
        <w:rPr>
          <w:spacing w:val="-2"/>
          <w:sz w:val="20"/>
        </w:rPr>
        <w:t> </w:t>
      </w:r>
      <w:r>
        <w:rPr>
          <w:sz w:val="20"/>
        </w:rPr>
        <w:t>followed</w:t>
      </w:r>
      <w:r>
        <w:rPr>
          <w:spacing w:val="-2"/>
          <w:sz w:val="20"/>
        </w:rPr>
        <w:t> </w:t>
      </w:r>
      <w:r>
        <w:rPr>
          <w:sz w:val="20"/>
        </w:rPr>
        <w:t>but</w:t>
      </w:r>
      <w:r>
        <w:rPr>
          <w:spacing w:val="-2"/>
          <w:sz w:val="20"/>
        </w:rPr>
        <w:t> </w:t>
      </w:r>
      <w:r>
        <w:rPr>
          <w:sz w:val="20"/>
        </w:rPr>
        <w:t>has</w:t>
      </w:r>
      <w:r>
        <w:rPr>
          <w:spacing w:val="-2"/>
          <w:sz w:val="20"/>
        </w:rPr>
        <w:t> </w:t>
      </w:r>
      <w:r>
        <w:rPr>
          <w:sz w:val="20"/>
        </w:rPr>
        <w:t>been</w:t>
      </w:r>
      <w:r>
        <w:rPr>
          <w:spacing w:val="-2"/>
          <w:sz w:val="20"/>
        </w:rPr>
        <w:t> </w:t>
      </w:r>
      <w:r>
        <w:rPr>
          <w:sz w:val="20"/>
        </w:rPr>
        <w:t>distinguished</w:t>
      </w:r>
      <w:r>
        <w:rPr>
          <w:spacing w:val="-2"/>
          <w:sz w:val="20"/>
        </w:rPr>
        <w:t> </w:t>
      </w:r>
      <w:r>
        <w:rPr>
          <w:sz w:val="20"/>
        </w:rPr>
        <w:t>on various grounds: see below, paras 1-207 et seq.</w:t>
      </w:r>
    </w:p>
    <w:p>
      <w:pPr>
        <w:pStyle w:val="BodyText"/>
        <w:spacing w:before="5"/>
      </w:pPr>
    </w:p>
    <w:p>
      <w:pPr>
        <w:spacing w:before="0"/>
        <w:ind w:left="165" w:right="0" w:firstLine="0"/>
        <w:jc w:val="left"/>
        <w:rPr>
          <w:sz w:val="20"/>
        </w:rPr>
      </w:pPr>
      <w:r>
        <w:rPr>
          <w:color w:val="005DA1"/>
          <w:position w:val="5"/>
          <w:sz w:val="14"/>
          <w:u w:val="single" w:color="005DA1"/>
        </w:rPr>
        <w:t>1167</w:t>
      </w:r>
      <w:r>
        <w:rPr>
          <w:position w:val="5"/>
          <w:sz w:val="14"/>
        </w:rPr>
        <w:t>.</w:t>
      </w:r>
      <w:r>
        <w:rPr>
          <w:spacing w:val="55"/>
          <w:position w:val="5"/>
          <w:sz w:val="14"/>
        </w:rPr>
        <w:t>  </w:t>
      </w:r>
      <w:r>
        <w:rPr>
          <w:rFonts w:ascii="Arial" w:hAnsi="Arial"/>
          <w:i/>
          <w:sz w:val="20"/>
        </w:rPr>
        <w:t>[1995]</w:t>
      </w:r>
      <w:r>
        <w:rPr>
          <w:rFonts w:ascii="Arial" w:hAnsi="Arial"/>
          <w:i/>
          <w:spacing w:val="1"/>
          <w:sz w:val="20"/>
        </w:rPr>
        <w:t> </w:t>
      </w:r>
      <w:r>
        <w:rPr>
          <w:rFonts w:ascii="Arial" w:hAnsi="Arial"/>
          <w:i/>
          <w:sz w:val="20"/>
        </w:rPr>
        <w:t>2 A.C. 145</w:t>
      </w:r>
      <w:r>
        <w:rPr>
          <w:rFonts w:ascii="Arial" w:hAnsi="Arial"/>
          <w:i/>
          <w:spacing w:val="-1"/>
          <w:sz w:val="20"/>
        </w:rPr>
        <w:t> </w:t>
      </w:r>
      <w:r>
        <w:rPr>
          <w:sz w:val="20"/>
        </w:rPr>
        <w:t>at </w:t>
      </w:r>
      <w:r>
        <w:rPr>
          <w:spacing w:val="-2"/>
          <w:sz w:val="20"/>
        </w:rPr>
        <w:t>178–181.</w:t>
      </w:r>
    </w:p>
    <w:p>
      <w:pPr>
        <w:pStyle w:val="BodyText"/>
        <w:spacing w:before="9"/>
      </w:pPr>
    </w:p>
    <w:p>
      <w:pPr>
        <w:spacing w:line="235" w:lineRule="auto" w:before="0"/>
        <w:ind w:left="705" w:right="167" w:hanging="541"/>
        <w:jc w:val="both"/>
        <w:rPr>
          <w:sz w:val="20"/>
        </w:rPr>
      </w:pPr>
      <w:r>
        <w:rPr>
          <w:color w:val="005DA1"/>
          <w:position w:val="5"/>
          <w:sz w:val="14"/>
          <w:u w:val="single" w:color="005DA1"/>
        </w:rPr>
        <w:t>1168</w:t>
      </w:r>
      <w:r>
        <w:rPr>
          <w:position w:val="5"/>
          <w:sz w:val="14"/>
        </w:rPr>
        <w:t>.</w:t>
      </w:r>
      <w:r>
        <w:rPr>
          <w:spacing w:val="80"/>
          <w:position w:val="5"/>
          <w:sz w:val="14"/>
        </w:rPr>
        <w:t> </w:t>
      </w:r>
      <w:r>
        <w:rPr>
          <w:sz w:val="20"/>
        </w:rPr>
        <w:t>See especially </w:t>
      </w:r>
      <w:r>
        <w:rPr>
          <w:rFonts w:ascii="Arial" w:hAnsi="Arial"/>
          <w:i/>
          <w:sz w:val="20"/>
        </w:rPr>
        <w:t>White v Jones [1995] 2 A.C. 207, 273–274 </w:t>
      </w:r>
      <w:r>
        <w:rPr>
          <w:sz w:val="20"/>
        </w:rPr>
        <w:t>(Lord Browne-Wilkinson, referring to “assumption of responsibility for the task not the assumption of legal liability”), 280, 288 (Lord Mustill).</w:t>
      </w:r>
      <w:r>
        <w:rPr>
          <w:spacing w:val="-3"/>
          <w:sz w:val="20"/>
        </w:rPr>
        <w:t> </w:t>
      </w:r>
      <w:r>
        <w:rPr>
          <w:sz w:val="20"/>
        </w:rPr>
        <w:t>See</w:t>
      </w:r>
      <w:r>
        <w:rPr>
          <w:spacing w:val="-3"/>
          <w:sz w:val="20"/>
        </w:rPr>
        <w:t> </w:t>
      </w:r>
      <w:r>
        <w:rPr>
          <w:sz w:val="20"/>
        </w:rPr>
        <w:t>also</w:t>
      </w:r>
      <w:r>
        <w:rPr>
          <w:spacing w:val="-3"/>
          <w:sz w:val="20"/>
        </w:rPr>
        <w:t> </w:t>
      </w:r>
      <w:r>
        <w:rPr>
          <w:rFonts w:ascii="Arial" w:hAnsi="Arial"/>
          <w:i/>
          <w:sz w:val="20"/>
        </w:rPr>
        <w:t>Barclays</w:t>
      </w:r>
      <w:r>
        <w:rPr>
          <w:rFonts w:ascii="Arial" w:hAnsi="Arial"/>
          <w:i/>
          <w:spacing w:val="-3"/>
          <w:sz w:val="20"/>
        </w:rPr>
        <w:t> </w:t>
      </w:r>
      <w:r>
        <w:rPr>
          <w:rFonts w:ascii="Arial" w:hAnsi="Arial"/>
          <w:i/>
          <w:sz w:val="20"/>
        </w:rPr>
        <w:t>Bank</w:t>
      </w:r>
      <w:r>
        <w:rPr>
          <w:rFonts w:ascii="Arial" w:hAnsi="Arial"/>
          <w:i/>
          <w:spacing w:val="-3"/>
          <w:sz w:val="20"/>
        </w:rPr>
        <w:t> </w:t>
      </w:r>
      <w:r>
        <w:rPr>
          <w:rFonts w:ascii="Arial" w:hAnsi="Arial"/>
          <w:i/>
          <w:sz w:val="20"/>
        </w:rPr>
        <w:t>Plc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Fairclough</w:t>
      </w:r>
      <w:r>
        <w:rPr>
          <w:rFonts w:ascii="Arial" w:hAnsi="Arial"/>
          <w:i/>
          <w:spacing w:val="-3"/>
          <w:sz w:val="20"/>
        </w:rPr>
        <w:t> </w:t>
      </w:r>
      <w:r>
        <w:rPr>
          <w:rFonts w:ascii="Arial" w:hAnsi="Arial"/>
          <w:i/>
          <w:sz w:val="20"/>
        </w:rPr>
        <w:t>Building</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(No.2)</w:t>
      </w:r>
      <w:r>
        <w:rPr>
          <w:rFonts w:ascii="Arial" w:hAnsi="Arial"/>
          <w:i/>
          <w:spacing w:val="-3"/>
          <w:sz w:val="20"/>
        </w:rPr>
        <w:t> </w:t>
      </w:r>
      <w:r>
        <w:rPr>
          <w:rFonts w:ascii="Arial" w:hAnsi="Arial"/>
          <w:i/>
          <w:sz w:val="20"/>
        </w:rPr>
        <w:t>[1995]</w:t>
      </w:r>
      <w:r>
        <w:rPr>
          <w:rFonts w:ascii="Arial" w:hAnsi="Arial"/>
          <w:i/>
          <w:spacing w:val="-3"/>
          <w:sz w:val="20"/>
        </w:rPr>
        <w:t> </w:t>
      </w:r>
      <w:r>
        <w:rPr>
          <w:rFonts w:ascii="Arial" w:hAnsi="Arial"/>
          <w:i/>
          <w:sz w:val="20"/>
        </w:rPr>
        <w:t>I.R.L.R.</w:t>
      </w:r>
      <w:r>
        <w:rPr>
          <w:rFonts w:ascii="Arial" w:hAnsi="Arial"/>
          <w:i/>
          <w:spacing w:val="-3"/>
          <w:sz w:val="20"/>
        </w:rPr>
        <w:t> </w:t>
      </w:r>
      <w:r>
        <w:rPr>
          <w:rFonts w:ascii="Arial" w:hAnsi="Arial"/>
          <w:i/>
          <w:sz w:val="20"/>
        </w:rPr>
        <w:t>605</w:t>
      </w:r>
      <w:r>
        <w:rPr>
          <w:sz w:val="20"/>
        </w:rPr>
        <w:t>;</w:t>
      </w:r>
      <w:r>
        <w:rPr>
          <w:spacing w:val="-3"/>
          <w:sz w:val="20"/>
        </w:rPr>
        <w:t> </w:t>
      </w:r>
      <w:r>
        <w:rPr>
          <w:sz w:val="20"/>
        </w:rPr>
        <w:t>below, </w:t>
      </w:r>
      <w:r>
        <w:rPr>
          <w:spacing w:val="-2"/>
          <w:sz w:val="20"/>
        </w:rPr>
        <w:t>para.1-172.</w:t>
      </w:r>
    </w:p>
    <w:p>
      <w:pPr>
        <w:pStyle w:val="BodyText"/>
        <w:spacing w:before="5"/>
      </w:pPr>
    </w:p>
    <w:p>
      <w:pPr>
        <w:spacing w:before="0"/>
        <w:ind w:left="165" w:right="0" w:firstLine="0"/>
        <w:jc w:val="left"/>
        <w:rPr>
          <w:sz w:val="20"/>
        </w:rPr>
      </w:pPr>
      <w:r>
        <w:rPr>
          <w:color w:val="005DA1"/>
          <w:position w:val="5"/>
          <w:sz w:val="14"/>
          <w:u w:val="single" w:color="005DA1"/>
        </w:rPr>
        <w:t>1169</w:t>
      </w:r>
      <w:r>
        <w:rPr>
          <w:position w:val="5"/>
          <w:sz w:val="14"/>
        </w:rPr>
        <w:t>.</w:t>
      </w:r>
      <w:r>
        <w:rPr>
          <w:spacing w:val="55"/>
          <w:position w:val="5"/>
          <w:sz w:val="14"/>
        </w:rPr>
        <w:t>  </w:t>
      </w:r>
      <w:r>
        <w:rPr>
          <w:rFonts w:ascii="Arial"/>
          <w:i/>
          <w:sz w:val="20"/>
        </w:rPr>
        <w:t>Henderson</w:t>
      </w:r>
      <w:r>
        <w:rPr>
          <w:rFonts w:ascii="Arial"/>
          <w:i/>
          <w:spacing w:val="1"/>
          <w:sz w:val="20"/>
        </w:rPr>
        <w:t> </w:t>
      </w:r>
      <w:r>
        <w:rPr>
          <w:rFonts w:ascii="Arial"/>
          <w:i/>
          <w:sz w:val="20"/>
        </w:rPr>
        <w:t>v Merrett Syndicates Ltd [1995] 2</w:t>
      </w:r>
      <w:r>
        <w:rPr>
          <w:rFonts w:ascii="Arial"/>
          <w:i/>
          <w:spacing w:val="-1"/>
          <w:sz w:val="20"/>
        </w:rPr>
        <w:t> </w:t>
      </w:r>
      <w:r>
        <w:rPr>
          <w:rFonts w:ascii="Arial"/>
          <w:i/>
          <w:sz w:val="20"/>
        </w:rPr>
        <w:t>A.C. 145, 180</w:t>
      </w:r>
      <w:r>
        <w:rPr>
          <w:sz w:val="20"/>
        </w:rPr>
        <w:t>, per Lord Goff of </w:t>
      </w:r>
      <w:r>
        <w:rPr>
          <w:spacing w:val="-2"/>
          <w:sz w:val="20"/>
        </w:rPr>
        <w:t>Chieveley.</w:t>
      </w:r>
    </w:p>
    <w:p>
      <w:pPr>
        <w:pStyle w:val="BodyText"/>
        <w:spacing w:before="5"/>
      </w:pPr>
    </w:p>
    <w:p>
      <w:pPr>
        <w:spacing w:line="227" w:lineRule="exact" w:before="0"/>
        <w:ind w:left="165" w:right="0" w:firstLine="0"/>
        <w:jc w:val="left"/>
        <w:rPr>
          <w:rFonts w:ascii="Arial"/>
          <w:i/>
          <w:sz w:val="20"/>
        </w:rPr>
      </w:pPr>
      <w:r>
        <w:rPr>
          <w:color w:val="005DA1"/>
          <w:position w:val="5"/>
          <w:sz w:val="14"/>
          <w:u w:val="single" w:color="005DA1"/>
        </w:rPr>
        <w:t>1170</w:t>
      </w:r>
      <w:r>
        <w:rPr>
          <w:position w:val="5"/>
          <w:sz w:val="14"/>
        </w:rPr>
        <w:t>.</w:t>
      </w:r>
      <w:r>
        <w:rPr>
          <w:spacing w:val="56"/>
          <w:position w:val="5"/>
          <w:sz w:val="14"/>
        </w:rPr>
        <w:t>  </w:t>
      </w:r>
      <w:r>
        <w:rPr>
          <w:rFonts w:ascii="Arial"/>
          <w:i/>
          <w:sz w:val="20"/>
        </w:rPr>
        <w:t>Henderson</w:t>
      </w:r>
      <w:r>
        <w:rPr>
          <w:rFonts w:ascii="Arial"/>
          <w:i/>
          <w:spacing w:val="78"/>
          <w:sz w:val="20"/>
        </w:rPr>
        <w:t> </w:t>
      </w:r>
      <w:r>
        <w:rPr>
          <w:rFonts w:ascii="Arial"/>
          <w:i/>
          <w:sz w:val="20"/>
        </w:rPr>
        <w:t>v</w:t>
      </w:r>
      <w:r>
        <w:rPr>
          <w:rFonts w:ascii="Arial"/>
          <w:i/>
          <w:spacing w:val="79"/>
          <w:sz w:val="20"/>
        </w:rPr>
        <w:t> </w:t>
      </w:r>
      <w:r>
        <w:rPr>
          <w:rFonts w:ascii="Arial"/>
          <w:i/>
          <w:sz w:val="20"/>
        </w:rPr>
        <w:t>Merrett</w:t>
      </w:r>
      <w:r>
        <w:rPr>
          <w:rFonts w:ascii="Arial"/>
          <w:i/>
          <w:spacing w:val="79"/>
          <w:sz w:val="20"/>
        </w:rPr>
        <w:t> </w:t>
      </w:r>
      <w:r>
        <w:rPr>
          <w:rFonts w:ascii="Arial"/>
          <w:i/>
          <w:sz w:val="20"/>
        </w:rPr>
        <w:t>Syndicates</w:t>
      </w:r>
      <w:r>
        <w:rPr>
          <w:rFonts w:ascii="Arial"/>
          <w:i/>
          <w:spacing w:val="79"/>
          <w:sz w:val="20"/>
        </w:rPr>
        <w:t> </w:t>
      </w:r>
      <w:r>
        <w:rPr>
          <w:rFonts w:ascii="Arial"/>
          <w:i/>
          <w:sz w:val="20"/>
        </w:rPr>
        <w:t>Ltd</w:t>
      </w:r>
      <w:r>
        <w:rPr>
          <w:rFonts w:ascii="Arial"/>
          <w:i/>
          <w:spacing w:val="79"/>
          <w:sz w:val="20"/>
        </w:rPr>
        <w:t> </w:t>
      </w:r>
      <w:r>
        <w:rPr>
          <w:rFonts w:ascii="Arial"/>
          <w:i/>
          <w:sz w:val="20"/>
        </w:rPr>
        <w:t>[1995]</w:t>
      </w:r>
      <w:r>
        <w:rPr>
          <w:rFonts w:ascii="Arial"/>
          <w:i/>
          <w:spacing w:val="79"/>
          <w:sz w:val="20"/>
        </w:rPr>
        <w:t> </w:t>
      </w:r>
      <w:r>
        <w:rPr>
          <w:rFonts w:ascii="Arial"/>
          <w:i/>
          <w:sz w:val="20"/>
        </w:rPr>
        <w:t>2</w:t>
      </w:r>
      <w:r>
        <w:rPr>
          <w:rFonts w:ascii="Arial"/>
          <w:i/>
          <w:spacing w:val="79"/>
          <w:sz w:val="20"/>
        </w:rPr>
        <w:t> </w:t>
      </w:r>
      <w:r>
        <w:rPr>
          <w:rFonts w:ascii="Arial"/>
          <w:i/>
          <w:sz w:val="20"/>
        </w:rPr>
        <w:t>A.C.</w:t>
      </w:r>
      <w:r>
        <w:rPr>
          <w:rFonts w:ascii="Arial"/>
          <w:i/>
          <w:spacing w:val="79"/>
          <w:sz w:val="20"/>
        </w:rPr>
        <w:t> </w:t>
      </w:r>
      <w:r>
        <w:rPr>
          <w:rFonts w:ascii="Arial"/>
          <w:i/>
          <w:sz w:val="20"/>
        </w:rPr>
        <w:t>145,</w:t>
      </w:r>
      <w:r>
        <w:rPr>
          <w:rFonts w:ascii="Arial"/>
          <w:i/>
          <w:spacing w:val="79"/>
          <w:sz w:val="20"/>
        </w:rPr>
        <w:t> </w:t>
      </w:r>
      <w:r>
        <w:rPr>
          <w:rFonts w:ascii="Arial"/>
          <w:i/>
          <w:sz w:val="20"/>
        </w:rPr>
        <w:t>180</w:t>
      </w:r>
      <w:r>
        <w:rPr>
          <w:rFonts w:ascii="Arial"/>
          <w:i/>
          <w:spacing w:val="79"/>
          <w:sz w:val="20"/>
        </w:rPr>
        <w:t> </w:t>
      </w:r>
      <w:r>
        <w:rPr>
          <w:sz w:val="20"/>
        </w:rPr>
        <w:t>and</w:t>
      </w:r>
      <w:r>
        <w:rPr>
          <w:spacing w:val="79"/>
          <w:sz w:val="20"/>
        </w:rPr>
        <w:t> </w:t>
      </w:r>
      <w:r>
        <w:rPr>
          <w:sz w:val="20"/>
        </w:rPr>
        <w:t>see</w:t>
      </w:r>
      <w:r>
        <w:rPr>
          <w:spacing w:val="79"/>
          <w:sz w:val="20"/>
        </w:rPr>
        <w:t> </w:t>
      </w:r>
      <w:r>
        <w:rPr>
          <w:rFonts w:ascii="Arial"/>
          <w:i/>
          <w:sz w:val="20"/>
        </w:rPr>
        <w:t>Hunt</w:t>
      </w:r>
      <w:r>
        <w:rPr>
          <w:rFonts w:ascii="Arial"/>
          <w:i/>
          <w:spacing w:val="79"/>
          <w:sz w:val="20"/>
        </w:rPr>
        <w:t> </w:t>
      </w:r>
      <w:r>
        <w:rPr>
          <w:rFonts w:ascii="Arial"/>
          <w:i/>
          <w:sz w:val="20"/>
        </w:rPr>
        <w:t>v</w:t>
      </w:r>
      <w:r>
        <w:rPr>
          <w:rFonts w:ascii="Arial"/>
          <w:i/>
          <w:spacing w:val="79"/>
          <w:sz w:val="20"/>
        </w:rPr>
        <w:t> </w:t>
      </w:r>
      <w:r>
        <w:rPr>
          <w:rFonts w:ascii="Arial"/>
          <w:i/>
          <w:spacing w:val="-2"/>
          <w:sz w:val="20"/>
        </w:rPr>
        <w:t>Optima</w:t>
      </w:r>
    </w:p>
    <w:p>
      <w:pPr>
        <w:spacing w:line="235" w:lineRule="auto" w:before="1"/>
        <w:ind w:left="705" w:right="168" w:firstLine="0"/>
        <w:jc w:val="left"/>
        <w:rPr>
          <w:sz w:val="20"/>
        </w:rPr>
      </w:pPr>
      <w:r>
        <w:rPr>
          <w:rFonts w:ascii="Arial" w:hAnsi="Arial"/>
          <w:i/>
          <w:sz w:val="20"/>
        </w:rPr>
        <w:t>(Cambridge) Ltd [2014] EWCA Civ 714, [2015] 1 W.L.R. 1346 </w:t>
      </w:r>
      <w:r>
        <w:rPr>
          <w:sz w:val="20"/>
        </w:rPr>
        <w:t>especially at [54] and [66]–[67]</w:t>
      </w:r>
      <w:r>
        <w:rPr>
          <w:spacing w:val="40"/>
          <w:sz w:val="20"/>
        </w:rPr>
        <w:t> </w:t>
      </w:r>
      <w:r>
        <w:rPr>
          <w:sz w:val="20"/>
        </w:rPr>
        <w:t>and below, para.7-035.</w:t>
      </w:r>
    </w:p>
    <w:p>
      <w:pPr>
        <w:pStyle w:val="BodyText"/>
        <w:spacing w:before="6"/>
      </w:pPr>
    </w:p>
    <w:p>
      <w:pPr>
        <w:spacing w:before="0"/>
        <w:ind w:left="165" w:right="0" w:firstLine="0"/>
        <w:jc w:val="left"/>
        <w:rPr>
          <w:sz w:val="20"/>
        </w:rPr>
      </w:pPr>
      <w:r>
        <w:rPr>
          <w:color w:val="005DA1"/>
          <w:position w:val="5"/>
          <w:sz w:val="14"/>
          <w:u w:val="single" w:color="005DA1"/>
        </w:rPr>
        <w:t>1171</w:t>
      </w:r>
      <w:r>
        <w:rPr>
          <w:position w:val="5"/>
          <w:sz w:val="14"/>
        </w:rPr>
        <w:t>.</w:t>
      </w:r>
      <w:r>
        <w:rPr>
          <w:spacing w:val="55"/>
          <w:position w:val="5"/>
          <w:sz w:val="14"/>
        </w:rPr>
        <w:t>  </w:t>
      </w:r>
      <w:r>
        <w:rPr>
          <w:rFonts w:ascii="Arial"/>
          <w:i/>
          <w:sz w:val="20"/>
        </w:rPr>
        <w:t>Henderson</w:t>
      </w:r>
      <w:r>
        <w:rPr>
          <w:rFonts w:ascii="Arial"/>
          <w:i/>
          <w:spacing w:val="1"/>
          <w:sz w:val="20"/>
        </w:rPr>
        <w:t> </w:t>
      </w:r>
      <w:r>
        <w:rPr>
          <w:rFonts w:ascii="Arial"/>
          <w:i/>
          <w:sz w:val="20"/>
        </w:rPr>
        <w:t>v Merrett Syndicates Ltd [1995] 2 A.C. 145, 180, </w:t>
      </w:r>
      <w:r>
        <w:rPr>
          <w:rFonts w:ascii="Arial"/>
          <w:i/>
          <w:spacing w:val="-4"/>
          <w:sz w:val="20"/>
        </w:rPr>
        <w:t>182</w:t>
      </w:r>
      <w:r>
        <w:rPr>
          <w:spacing w:val="-4"/>
          <w:sz w:val="20"/>
        </w:rPr>
        <w:t>.</w:t>
      </w:r>
    </w:p>
    <w:p>
      <w:pPr>
        <w:pStyle w:val="BodyText"/>
        <w:spacing w:before="8"/>
      </w:pPr>
    </w:p>
    <w:p>
      <w:pPr>
        <w:spacing w:line="235" w:lineRule="auto" w:before="1"/>
        <w:ind w:left="705" w:right="167" w:hanging="541"/>
        <w:jc w:val="both"/>
        <w:rPr>
          <w:sz w:val="20"/>
        </w:rPr>
      </w:pPr>
      <w:r>
        <w:rPr>
          <w:color w:val="005DA1"/>
          <w:position w:val="5"/>
          <w:sz w:val="14"/>
          <w:u w:val="single" w:color="005DA1"/>
        </w:rPr>
        <w:t>1172</w:t>
      </w:r>
      <w:r>
        <w:rPr>
          <w:position w:val="5"/>
          <w:sz w:val="14"/>
        </w:rPr>
        <w:t>.</w:t>
      </w:r>
      <w:r>
        <w:rPr>
          <w:spacing w:val="80"/>
          <w:position w:val="5"/>
          <w:sz w:val="14"/>
        </w:rPr>
        <w:t> </w:t>
      </w:r>
      <w:r>
        <w:rPr>
          <w:sz w:val="20"/>
        </w:rPr>
        <w:t>cf. </w:t>
      </w:r>
      <w:r>
        <w:rPr>
          <w:rFonts w:ascii="Arial" w:hAnsi="Arial"/>
          <w:i/>
          <w:sz w:val="20"/>
        </w:rPr>
        <w:t>Lennon v Metropolitan Police Commissioner [2004] EWCA Civ 130, [2004] 1 W.L.R. 2594 </w:t>
      </w:r>
      <w:r>
        <w:rPr>
          <w:sz w:val="20"/>
        </w:rPr>
        <w:t>where the principle in </w:t>
      </w:r>
      <w:r>
        <w:rPr>
          <w:rFonts w:ascii="Arial" w:hAnsi="Arial"/>
          <w:i/>
          <w:sz w:val="20"/>
        </w:rPr>
        <w:t>Henderson v Merrett Syndicates [1995] 2 A.C. 145 </w:t>
      </w:r>
      <w:r>
        <w:rPr>
          <w:sz w:val="20"/>
        </w:rPr>
        <w:t>was applied so as </w:t>
      </w:r>
      <w:r>
        <w:rPr>
          <w:sz w:val="20"/>
        </w:rPr>
        <w:t>to impose liability on a police authority vicariously in respect of its agent’s express assumption of responsibility towards one of its constables (technically not being a contractual employee) in respect of the task of transferring him without loss of allowance to another police force.</w:t>
      </w:r>
    </w:p>
    <w:p>
      <w:pPr>
        <w:pStyle w:val="BodyText"/>
        <w:spacing w:before="4"/>
      </w:pPr>
    </w:p>
    <w:p>
      <w:pPr>
        <w:spacing w:before="0"/>
        <w:ind w:left="165" w:right="0" w:firstLine="0"/>
        <w:jc w:val="left"/>
        <w:rPr>
          <w:sz w:val="20"/>
        </w:rPr>
      </w:pPr>
      <w:r>
        <w:rPr>
          <w:color w:val="005DA1"/>
          <w:position w:val="5"/>
          <w:sz w:val="14"/>
          <w:u w:val="single" w:color="005DA1"/>
        </w:rPr>
        <w:t>1173</w:t>
      </w:r>
      <w:r>
        <w:rPr>
          <w:position w:val="5"/>
          <w:sz w:val="14"/>
        </w:rPr>
        <w:t>.</w:t>
      </w:r>
      <w:r>
        <w:rPr>
          <w:spacing w:val="55"/>
          <w:position w:val="5"/>
          <w:sz w:val="14"/>
        </w:rPr>
        <w:t>  </w:t>
      </w:r>
      <w:r>
        <w:rPr>
          <w:rFonts w:ascii="Arial"/>
          <w:i/>
          <w:sz w:val="20"/>
        </w:rPr>
        <w:t>[2011]</w:t>
      </w:r>
      <w:r>
        <w:rPr>
          <w:rFonts w:ascii="Arial"/>
          <w:i/>
          <w:spacing w:val="1"/>
          <w:sz w:val="20"/>
        </w:rPr>
        <w:t> </w:t>
      </w:r>
      <w:r>
        <w:rPr>
          <w:rFonts w:ascii="Arial"/>
          <w:i/>
          <w:sz w:val="20"/>
        </w:rPr>
        <w:t>EWCA Civ 9, [2011] 3 W.L.R. </w:t>
      </w:r>
      <w:r>
        <w:rPr>
          <w:rFonts w:ascii="Arial"/>
          <w:i/>
          <w:spacing w:val="-4"/>
          <w:sz w:val="20"/>
        </w:rPr>
        <w:t>815</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1174</w:t>
      </w:r>
      <w:r>
        <w:rPr>
          <w:position w:val="5"/>
          <w:sz w:val="14"/>
        </w:rPr>
        <w:t>.</w:t>
      </w:r>
      <w:r>
        <w:rPr>
          <w:spacing w:val="55"/>
          <w:position w:val="5"/>
          <w:sz w:val="14"/>
        </w:rPr>
        <w:t>  </w:t>
      </w:r>
      <w:r>
        <w:rPr>
          <w:rFonts w:ascii="Arial"/>
          <w:i/>
          <w:sz w:val="20"/>
        </w:rPr>
        <w:t>[2011]</w:t>
      </w:r>
      <w:r>
        <w:rPr>
          <w:rFonts w:ascii="Arial"/>
          <w:i/>
          <w:spacing w:val="1"/>
          <w:sz w:val="20"/>
        </w:rPr>
        <w:t> </w:t>
      </w:r>
      <w:r>
        <w:rPr>
          <w:rFonts w:ascii="Arial"/>
          <w:i/>
          <w:sz w:val="20"/>
        </w:rPr>
        <w:t>EWCA Civ 9</w:t>
      </w:r>
      <w:r>
        <w:rPr>
          <w:rFonts w:ascii="Arial"/>
          <w:i/>
          <w:spacing w:val="-1"/>
          <w:sz w:val="20"/>
        </w:rPr>
        <w:t> </w:t>
      </w:r>
      <w:r>
        <w:rPr>
          <w:sz w:val="20"/>
        </w:rPr>
        <w:t>at [44] and </w:t>
      </w:r>
      <w:r>
        <w:rPr>
          <w:spacing w:val="-2"/>
          <w:sz w:val="20"/>
        </w:rPr>
        <w:t>[92].</w:t>
      </w:r>
    </w:p>
    <w:p>
      <w:pPr>
        <w:pStyle w:val="BodyText"/>
        <w:spacing w:before="9"/>
      </w:pPr>
    </w:p>
    <w:p>
      <w:pPr>
        <w:pStyle w:val="BodyText"/>
        <w:spacing w:line="235" w:lineRule="auto"/>
        <w:ind w:left="705" w:hanging="541"/>
      </w:pPr>
      <w:r>
        <w:rPr>
          <w:color w:val="005DA1"/>
          <w:position w:val="5"/>
          <w:sz w:val="14"/>
          <w:u w:val="single" w:color="005DA1"/>
        </w:rPr>
        <w:t>1175</w:t>
      </w:r>
      <w:r>
        <w:rPr>
          <w:position w:val="5"/>
          <w:sz w:val="14"/>
        </w:rPr>
        <w:t>.</w:t>
      </w:r>
      <w:r>
        <w:rPr>
          <w:spacing w:val="40"/>
          <w:position w:val="5"/>
          <w:sz w:val="14"/>
        </w:rPr>
        <w:t>  </w:t>
      </w:r>
      <w:r>
        <w:rPr/>
        <w:t>The</w:t>
      </w:r>
      <w:r>
        <w:rPr>
          <w:spacing w:val="-2"/>
        </w:rPr>
        <w:t> </w:t>
      </w:r>
      <w:r>
        <w:rPr/>
        <w:t>Court</w:t>
      </w:r>
      <w:r>
        <w:rPr>
          <w:spacing w:val="-2"/>
        </w:rPr>
        <w:t> </w:t>
      </w:r>
      <w:r>
        <w:rPr/>
        <w:t>of</w:t>
      </w:r>
      <w:r>
        <w:rPr>
          <w:spacing w:val="-2"/>
        </w:rPr>
        <w:t> </w:t>
      </w:r>
      <w:r>
        <w:rPr/>
        <w:t>Appeal</w:t>
      </w:r>
      <w:r>
        <w:rPr>
          <w:spacing w:val="-2"/>
        </w:rPr>
        <w:t> </w:t>
      </w:r>
      <w:r>
        <w:rPr/>
        <w:t>held</w:t>
      </w:r>
      <w:r>
        <w:rPr>
          <w:spacing w:val="-2"/>
        </w:rPr>
        <w:t> </w:t>
      </w:r>
      <w:r>
        <w:rPr/>
        <w:t>the</w:t>
      </w:r>
      <w:r>
        <w:rPr>
          <w:spacing w:val="-2"/>
        </w:rPr>
        <w:t> </w:t>
      </w:r>
      <w:r>
        <w:rPr/>
        <w:t>term</w:t>
      </w:r>
      <w:r>
        <w:rPr>
          <w:spacing w:val="-2"/>
        </w:rPr>
        <w:t> </w:t>
      </w:r>
      <w:r>
        <w:rPr/>
        <w:t>“reasonable”</w:t>
      </w:r>
      <w:r>
        <w:rPr>
          <w:spacing w:val="-2"/>
        </w:rPr>
        <w:t> </w:t>
      </w:r>
      <w:r>
        <w:rPr/>
        <w:t>under</w:t>
      </w:r>
      <w:r>
        <w:rPr>
          <w:spacing w:val="-2"/>
        </w:rPr>
        <w:t> </w:t>
      </w:r>
      <w:r>
        <w:rPr/>
        <w:t>s.2(2)</w:t>
      </w:r>
      <w:r>
        <w:rPr>
          <w:spacing w:val="-2"/>
        </w:rPr>
        <w:t> </w:t>
      </w:r>
      <w:r>
        <w:rPr/>
        <w:t>and</w:t>
      </w:r>
      <w:r>
        <w:rPr>
          <w:spacing w:val="-2"/>
        </w:rPr>
        <w:t> </w:t>
      </w:r>
      <w:r>
        <w:rPr/>
        <w:t>3</w:t>
      </w:r>
      <w:r>
        <w:rPr>
          <w:spacing w:val="-2"/>
        </w:rPr>
        <w:t> </w:t>
      </w:r>
      <w:r>
        <w:rPr/>
        <w:t>of</w:t>
      </w:r>
      <w:r>
        <w:rPr>
          <w:spacing w:val="-2"/>
        </w:rPr>
        <w:t> </w:t>
      </w:r>
      <w:r>
        <w:rPr/>
        <w:t>the</w:t>
      </w:r>
      <w:r>
        <w:rPr>
          <w:spacing w:val="-2"/>
        </w:rPr>
        <w:t> </w:t>
      </w:r>
      <w:r>
        <w:rPr/>
        <w:t>Unfair</w:t>
      </w:r>
      <w:r>
        <w:rPr>
          <w:spacing w:val="-2"/>
        </w:rPr>
        <w:t> </w:t>
      </w:r>
      <w:r>
        <w:rPr/>
        <w:t>Contract</w:t>
      </w:r>
      <w:r>
        <w:rPr>
          <w:spacing w:val="-2"/>
        </w:rPr>
        <w:t> </w:t>
      </w:r>
      <w:r>
        <w:rPr/>
        <w:t>Terms Act 1977: </w:t>
      </w:r>
      <w:r>
        <w:rPr>
          <w:rFonts w:ascii="Arial" w:hAnsi="Arial"/>
          <w:i/>
        </w:rPr>
        <w:t>[2011] EWCA Civ 9 </w:t>
      </w:r>
      <w:r>
        <w:rPr/>
        <w:t>at [58]–[64].</w:t>
      </w:r>
    </w:p>
    <w:p>
      <w:pPr>
        <w:pStyle w:val="BodyText"/>
        <w:spacing w:before="5"/>
      </w:pPr>
    </w:p>
    <w:p>
      <w:pPr>
        <w:spacing w:before="0"/>
        <w:ind w:left="165" w:right="0" w:firstLine="0"/>
        <w:jc w:val="left"/>
        <w:rPr>
          <w:sz w:val="20"/>
        </w:rPr>
      </w:pPr>
      <w:r>
        <w:rPr>
          <w:color w:val="005DA1"/>
          <w:position w:val="5"/>
          <w:sz w:val="14"/>
          <w:u w:val="single" w:color="005DA1"/>
        </w:rPr>
        <w:t>1176</w:t>
      </w:r>
      <w:r>
        <w:rPr>
          <w:position w:val="5"/>
          <w:sz w:val="14"/>
        </w:rPr>
        <w:t>.</w:t>
      </w:r>
      <w:r>
        <w:rPr>
          <w:spacing w:val="55"/>
          <w:position w:val="5"/>
          <w:sz w:val="14"/>
        </w:rPr>
        <w:t>  </w:t>
      </w:r>
      <w:r>
        <w:rPr>
          <w:rFonts w:ascii="Arial"/>
          <w:i/>
          <w:sz w:val="20"/>
        </w:rPr>
        <w:t>[2011]</w:t>
      </w:r>
      <w:r>
        <w:rPr>
          <w:rFonts w:ascii="Arial"/>
          <w:i/>
          <w:spacing w:val="1"/>
          <w:sz w:val="20"/>
        </w:rPr>
        <w:t> </w:t>
      </w:r>
      <w:r>
        <w:rPr>
          <w:rFonts w:ascii="Arial"/>
          <w:i/>
          <w:sz w:val="20"/>
        </w:rPr>
        <w:t>EWCA Civ 9</w:t>
      </w:r>
      <w:r>
        <w:rPr>
          <w:rFonts w:ascii="Arial"/>
          <w:i/>
          <w:spacing w:val="-1"/>
          <w:sz w:val="20"/>
        </w:rPr>
        <w:t> </w:t>
      </w:r>
      <w:r>
        <w:rPr>
          <w:sz w:val="20"/>
        </w:rPr>
        <w:t>at [80] and [84] and see above, para.1-</w:t>
      </w:r>
      <w:r>
        <w:rPr>
          <w:spacing w:val="-4"/>
          <w:sz w:val="20"/>
        </w:rPr>
        <w:t>166.</w:t>
      </w:r>
    </w:p>
    <w:p>
      <w:pPr>
        <w:pStyle w:val="BodyText"/>
        <w:spacing w:before="5"/>
      </w:pPr>
    </w:p>
    <w:p>
      <w:pPr>
        <w:spacing w:before="0"/>
        <w:ind w:left="165" w:right="0" w:firstLine="0"/>
        <w:jc w:val="left"/>
        <w:rPr>
          <w:sz w:val="20"/>
        </w:rPr>
      </w:pPr>
      <w:r>
        <w:rPr>
          <w:color w:val="005DA1"/>
          <w:position w:val="5"/>
          <w:sz w:val="14"/>
          <w:u w:val="single" w:color="005DA1"/>
        </w:rPr>
        <w:t>1177</w:t>
      </w:r>
      <w:r>
        <w:rPr>
          <w:position w:val="5"/>
          <w:sz w:val="14"/>
        </w:rPr>
        <w:t>.</w:t>
      </w:r>
      <w:r>
        <w:rPr>
          <w:spacing w:val="55"/>
          <w:position w:val="5"/>
          <w:sz w:val="14"/>
        </w:rPr>
        <w:t>  </w:t>
      </w:r>
      <w:r>
        <w:rPr>
          <w:rFonts w:ascii="Arial"/>
          <w:i/>
          <w:sz w:val="20"/>
        </w:rPr>
        <w:t>[2011]</w:t>
      </w:r>
      <w:r>
        <w:rPr>
          <w:rFonts w:ascii="Arial"/>
          <w:i/>
          <w:spacing w:val="1"/>
          <w:sz w:val="20"/>
        </w:rPr>
        <w:t> </w:t>
      </w:r>
      <w:r>
        <w:rPr>
          <w:rFonts w:ascii="Arial"/>
          <w:i/>
          <w:sz w:val="20"/>
        </w:rPr>
        <w:t>EWCA Civ 9</w:t>
      </w:r>
      <w:r>
        <w:rPr>
          <w:rFonts w:ascii="Arial"/>
          <w:i/>
          <w:spacing w:val="-1"/>
          <w:sz w:val="20"/>
        </w:rPr>
        <w:t> </w:t>
      </w:r>
      <w:r>
        <w:rPr>
          <w:sz w:val="20"/>
        </w:rPr>
        <w:t>at </w:t>
      </w:r>
      <w:r>
        <w:rPr>
          <w:spacing w:val="-2"/>
          <w:sz w:val="20"/>
        </w:rPr>
        <w:t>[83].</w:t>
      </w:r>
    </w:p>
    <w:p>
      <w:pPr>
        <w:pStyle w:val="BodyText"/>
        <w:spacing w:before="5"/>
      </w:pPr>
    </w:p>
    <w:p>
      <w:pPr>
        <w:spacing w:before="0"/>
        <w:ind w:left="165" w:right="0" w:firstLine="0"/>
        <w:jc w:val="left"/>
        <w:rPr>
          <w:sz w:val="20"/>
        </w:rPr>
      </w:pPr>
      <w:r>
        <w:rPr>
          <w:color w:val="005DA1"/>
          <w:position w:val="5"/>
          <w:sz w:val="14"/>
          <w:u w:val="single" w:color="005DA1"/>
        </w:rPr>
        <w:t>1178</w:t>
      </w:r>
      <w:r>
        <w:rPr>
          <w:position w:val="5"/>
          <w:sz w:val="14"/>
        </w:rPr>
        <w:t>.</w:t>
      </w:r>
      <w:r>
        <w:rPr>
          <w:spacing w:val="55"/>
          <w:position w:val="5"/>
          <w:sz w:val="14"/>
        </w:rPr>
        <w:t>  </w:t>
      </w:r>
      <w:r>
        <w:rPr>
          <w:rFonts w:ascii="Arial"/>
          <w:i/>
          <w:sz w:val="20"/>
        </w:rPr>
        <w:t>[2011]</w:t>
      </w:r>
      <w:r>
        <w:rPr>
          <w:rFonts w:ascii="Arial"/>
          <w:i/>
          <w:spacing w:val="1"/>
          <w:sz w:val="20"/>
        </w:rPr>
        <w:t> </w:t>
      </w:r>
      <w:r>
        <w:rPr>
          <w:rFonts w:ascii="Arial"/>
          <w:i/>
          <w:sz w:val="20"/>
        </w:rPr>
        <w:t>EWCA Civ 9</w:t>
      </w:r>
      <w:r>
        <w:rPr>
          <w:rFonts w:ascii="Arial"/>
          <w:i/>
          <w:spacing w:val="-1"/>
          <w:sz w:val="20"/>
        </w:rPr>
        <w:t> </w:t>
      </w:r>
      <w:r>
        <w:rPr>
          <w:sz w:val="20"/>
        </w:rPr>
        <w:t>at [94]. See similarly</w:t>
      </w:r>
      <w:r>
        <w:rPr>
          <w:spacing w:val="-1"/>
          <w:sz w:val="20"/>
        </w:rPr>
        <w:t> </w:t>
      </w:r>
      <w:r>
        <w:rPr>
          <w:rFonts w:ascii="Arial"/>
          <w:i/>
          <w:sz w:val="20"/>
        </w:rPr>
        <w:t>[2011] EWCA Civ 9</w:t>
      </w:r>
      <w:r>
        <w:rPr>
          <w:rFonts w:ascii="Arial"/>
          <w:i/>
          <w:spacing w:val="-1"/>
          <w:sz w:val="20"/>
        </w:rPr>
        <w:t> </w:t>
      </w:r>
      <w:r>
        <w:rPr>
          <w:sz w:val="20"/>
        </w:rPr>
        <w:t>at </w:t>
      </w:r>
      <w:r>
        <w:rPr>
          <w:spacing w:val="-2"/>
          <w:sz w:val="20"/>
        </w:rPr>
        <w:t>[76].</w:t>
      </w:r>
    </w:p>
    <w:p>
      <w:pPr>
        <w:pStyle w:val="BodyText"/>
        <w:spacing w:before="9"/>
      </w:pPr>
    </w:p>
    <w:p>
      <w:pPr>
        <w:spacing w:line="235" w:lineRule="auto" w:before="0"/>
        <w:ind w:left="705" w:right="0" w:hanging="541"/>
        <w:jc w:val="left"/>
        <w:rPr>
          <w:sz w:val="20"/>
        </w:rPr>
      </w:pPr>
      <w:r>
        <w:rPr>
          <w:color w:val="005DA1"/>
          <w:position w:val="5"/>
          <w:sz w:val="14"/>
          <w:u w:val="single" w:color="005DA1"/>
        </w:rPr>
        <w:t>1179</w:t>
      </w:r>
      <w:r>
        <w:rPr>
          <w:position w:val="5"/>
          <w:sz w:val="14"/>
        </w:rPr>
        <w:t>.</w:t>
      </w:r>
      <w:r>
        <w:rPr>
          <w:spacing w:val="40"/>
          <w:position w:val="5"/>
          <w:sz w:val="14"/>
        </w:rPr>
        <w:t>  </w:t>
      </w:r>
      <w:r>
        <w:rPr>
          <w:rFonts w:ascii="Arial"/>
          <w:i/>
          <w:sz w:val="20"/>
        </w:rPr>
        <w:t>[1995]</w:t>
      </w:r>
      <w:r>
        <w:rPr>
          <w:rFonts w:ascii="Arial"/>
          <w:i/>
          <w:spacing w:val="33"/>
          <w:sz w:val="20"/>
        </w:rPr>
        <w:t> </w:t>
      </w:r>
      <w:r>
        <w:rPr>
          <w:rFonts w:ascii="Arial"/>
          <w:i/>
          <w:sz w:val="20"/>
        </w:rPr>
        <w:t>2</w:t>
      </w:r>
      <w:r>
        <w:rPr>
          <w:rFonts w:ascii="Arial"/>
          <w:i/>
          <w:spacing w:val="33"/>
          <w:sz w:val="20"/>
        </w:rPr>
        <w:t> </w:t>
      </w:r>
      <w:r>
        <w:rPr>
          <w:rFonts w:ascii="Arial"/>
          <w:i/>
          <w:sz w:val="20"/>
        </w:rPr>
        <w:t>A.C.</w:t>
      </w:r>
      <w:r>
        <w:rPr>
          <w:rFonts w:ascii="Arial"/>
          <w:i/>
          <w:spacing w:val="33"/>
          <w:sz w:val="20"/>
        </w:rPr>
        <w:t> </w:t>
      </w:r>
      <w:r>
        <w:rPr>
          <w:rFonts w:ascii="Arial"/>
          <w:i/>
          <w:sz w:val="20"/>
        </w:rPr>
        <w:t>145,</w:t>
      </w:r>
      <w:r>
        <w:rPr>
          <w:rFonts w:ascii="Arial"/>
          <w:i/>
          <w:spacing w:val="33"/>
          <w:sz w:val="20"/>
        </w:rPr>
        <w:t> </w:t>
      </w:r>
      <w:r>
        <w:rPr>
          <w:rFonts w:ascii="Arial"/>
          <w:i/>
          <w:sz w:val="20"/>
        </w:rPr>
        <w:t>181</w:t>
      </w:r>
      <w:r>
        <w:rPr>
          <w:sz w:val="20"/>
        </w:rPr>
        <w:t>.</w:t>
      </w:r>
      <w:r>
        <w:rPr>
          <w:spacing w:val="33"/>
          <w:sz w:val="20"/>
        </w:rPr>
        <w:t> </w:t>
      </w:r>
      <w:r>
        <w:rPr>
          <w:sz w:val="20"/>
        </w:rPr>
        <w:t>This</w:t>
      </w:r>
      <w:r>
        <w:rPr>
          <w:spacing w:val="33"/>
          <w:sz w:val="20"/>
        </w:rPr>
        <w:t> </w:t>
      </w:r>
      <w:r>
        <w:rPr>
          <w:sz w:val="20"/>
        </w:rPr>
        <w:t>proposition</w:t>
      </w:r>
      <w:r>
        <w:rPr>
          <w:spacing w:val="33"/>
          <w:sz w:val="20"/>
        </w:rPr>
        <w:t> </w:t>
      </w:r>
      <w:r>
        <w:rPr>
          <w:sz w:val="20"/>
        </w:rPr>
        <w:t>was</w:t>
      </w:r>
      <w:r>
        <w:rPr>
          <w:spacing w:val="33"/>
          <w:sz w:val="20"/>
        </w:rPr>
        <w:t> </w:t>
      </w:r>
      <w:r>
        <w:rPr>
          <w:sz w:val="20"/>
        </w:rPr>
        <w:t>treated</w:t>
      </w:r>
      <w:r>
        <w:rPr>
          <w:spacing w:val="33"/>
          <w:sz w:val="20"/>
        </w:rPr>
        <w:t> </w:t>
      </w:r>
      <w:r>
        <w:rPr>
          <w:sz w:val="20"/>
        </w:rPr>
        <w:t>as</w:t>
      </w:r>
      <w:r>
        <w:rPr>
          <w:spacing w:val="33"/>
          <w:sz w:val="20"/>
        </w:rPr>
        <w:t> </w:t>
      </w:r>
      <w:r>
        <w:rPr>
          <w:sz w:val="20"/>
        </w:rPr>
        <w:t>established</w:t>
      </w:r>
      <w:r>
        <w:rPr>
          <w:spacing w:val="33"/>
          <w:sz w:val="20"/>
        </w:rPr>
        <w:t> </w:t>
      </w:r>
      <w:r>
        <w:rPr>
          <w:sz w:val="20"/>
        </w:rPr>
        <w:t>by</w:t>
      </w:r>
      <w:r>
        <w:rPr>
          <w:spacing w:val="32"/>
          <w:sz w:val="20"/>
        </w:rPr>
        <w:t> </w:t>
      </w:r>
      <w:r>
        <w:rPr>
          <w:rFonts w:ascii="Arial"/>
          <w:i/>
          <w:sz w:val="20"/>
        </w:rPr>
        <w:t>Henderson</w:t>
      </w:r>
      <w:r>
        <w:rPr>
          <w:rFonts w:ascii="Arial"/>
          <w:i/>
          <w:spacing w:val="33"/>
          <w:sz w:val="20"/>
        </w:rPr>
        <w:t> </w:t>
      </w:r>
      <w:r>
        <w:rPr>
          <w:sz w:val="20"/>
        </w:rPr>
        <w:t>by</w:t>
      </w:r>
      <w:r>
        <w:rPr>
          <w:spacing w:val="33"/>
          <w:sz w:val="20"/>
        </w:rPr>
        <w:t> </w:t>
      </w:r>
      <w:r>
        <w:rPr>
          <w:sz w:val="20"/>
        </w:rPr>
        <w:t>Lord Steyn in </w:t>
      </w:r>
      <w:r>
        <w:rPr>
          <w:rFonts w:ascii="Arial"/>
          <w:i/>
          <w:sz w:val="20"/>
        </w:rPr>
        <w:t>Williams v Natural Life Health Foods Ltd and Mistlin [1998] 1 W.L.R. 830, 834</w:t>
      </w:r>
      <w:r>
        <w:rPr>
          <w:sz w:val="20"/>
        </w:rPr>
        <w:t>.</w:t>
      </w:r>
    </w:p>
    <w:p>
      <w:pPr>
        <w:pStyle w:val="BodyText"/>
        <w:spacing w:before="9"/>
      </w:pPr>
    </w:p>
    <w:p>
      <w:pPr>
        <w:spacing w:line="235" w:lineRule="auto" w:before="0"/>
        <w:ind w:left="705" w:right="168" w:hanging="541"/>
        <w:jc w:val="both"/>
        <w:rPr>
          <w:sz w:val="20"/>
        </w:rPr>
      </w:pPr>
      <w:r>
        <w:rPr>
          <w:color w:val="005DA1"/>
          <w:position w:val="5"/>
          <w:sz w:val="14"/>
          <w:u w:val="single" w:color="005DA1"/>
        </w:rPr>
        <w:t>1180</w:t>
      </w:r>
      <w:r>
        <w:rPr>
          <w:position w:val="5"/>
          <w:sz w:val="14"/>
        </w:rPr>
        <w:t>.</w:t>
      </w:r>
      <w:r>
        <w:rPr>
          <w:spacing w:val="40"/>
          <w:position w:val="5"/>
          <w:sz w:val="14"/>
        </w:rPr>
        <w:t>  </w:t>
      </w:r>
      <w:r>
        <w:rPr>
          <w:sz w:val="20"/>
        </w:rPr>
        <w:t>cf. the approach of Lord Steyn to the question of “justice and reasonableness” in </w:t>
      </w:r>
      <w:r>
        <w:rPr>
          <w:rFonts w:ascii="Arial" w:hAnsi="Arial"/>
          <w:i/>
          <w:sz w:val="20"/>
        </w:rPr>
        <w:t>Marc Rich &amp;</w:t>
      </w:r>
      <w:r>
        <w:rPr>
          <w:rFonts w:ascii="Arial" w:hAnsi="Arial"/>
          <w:i/>
          <w:spacing w:val="40"/>
          <w:sz w:val="20"/>
        </w:rPr>
        <w:t> </w:t>
      </w:r>
      <w:r>
        <w:rPr>
          <w:rFonts w:ascii="Arial" w:hAnsi="Arial"/>
          <w:i/>
          <w:sz w:val="20"/>
        </w:rPr>
        <w:t>Co AG v Bishop Rock Marine Co [1996] 1 A.C. 221 </w:t>
      </w:r>
      <w:r>
        <w:rPr>
          <w:sz w:val="20"/>
        </w:rPr>
        <w:t>at 236 et seq., where he weighs various factors for and against the imposition of a duty of care on the facts.</w:t>
      </w:r>
    </w:p>
    <w:p>
      <w:pPr>
        <w:pStyle w:val="BodyText"/>
        <w:spacing w:before="9"/>
      </w:pPr>
    </w:p>
    <w:p>
      <w:pPr>
        <w:pStyle w:val="BodyText"/>
        <w:spacing w:line="235" w:lineRule="auto"/>
        <w:ind w:left="705" w:right="167" w:hanging="541"/>
        <w:jc w:val="both"/>
      </w:pPr>
      <w:r>
        <w:rPr>
          <w:color w:val="005DA1"/>
          <w:position w:val="5"/>
          <w:sz w:val="14"/>
          <w:u w:val="single" w:color="005DA1"/>
        </w:rPr>
        <w:t>1181</w:t>
      </w:r>
      <w:r>
        <w:rPr>
          <w:position w:val="5"/>
          <w:sz w:val="14"/>
        </w:rPr>
        <w:t>.</w:t>
      </w:r>
      <w:r>
        <w:rPr>
          <w:spacing w:val="80"/>
          <w:position w:val="5"/>
          <w:sz w:val="14"/>
        </w:rPr>
        <w:t> </w:t>
      </w:r>
      <w:r>
        <w:rPr>
          <w:rFonts w:ascii="Arial"/>
          <w:i/>
        </w:rPr>
        <w:t>[2002] 1 A.C. 615 </w:t>
      </w:r>
      <w:r>
        <w:rPr/>
        <w:t>and see especially 688 et seq. (Lord Hoffmann), the HL not following its</w:t>
      </w:r>
      <w:r>
        <w:rPr>
          <w:spacing w:val="80"/>
        </w:rPr>
        <w:t> </w:t>
      </w:r>
      <w:r>
        <w:rPr/>
        <w:t>earlier decision in </w:t>
      </w:r>
      <w:r>
        <w:rPr>
          <w:rFonts w:ascii="Arial"/>
          <w:i/>
        </w:rPr>
        <w:t>Rondel v Worsley [1969] 1 A.C. 191</w:t>
      </w:r>
      <w:r>
        <w:rPr/>
        <w:t>. In </w:t>
      </w:r>
      <w:r>
        <w:rPr>
          <w:rFonts w:ascii="Arial"/>
          <w:i/>
        </w:rPr>
        <w:t>Jones v Kaney [2011] UKSC 13, [2011] 2 A.C. 398 </w:t>
      </w:r>
      <w:r>
        <w:rPr/>
        <w:t>a majority of the SC (Lord Phillips of Worth Matravers P.S.C., Lord Browne </w:t>
      </w:r>
      <w:r>
        <w:rPr/>
        <w:t>of Eatonunder-Heywood,</w:t>
      </w:r>
      <w:r>
        <w:rPr>
          <w:spacing w:val="-3"/>
        </w:rPr>
        <w:t> </w:t>
      </w:r>
      <w:r>
        <w:rPr/>
        <w:t>Lord</w:t>
      </w:r>
      <w:r>
        <w:rPr>
          <w:spacing w:val="-3"/>
        </w:rPr>
        <w:t> </w:t>
      </w:r>
      <w:r>
        <w:rPr/>
        <w:t>Collins</w:t>
      </w:r>
      <w:r>
        <w:rPr>
          <w:spacing w:val="-3"/>
        </w:rPr>
        <w:t> </w:t>
      </w:r>
      <w:r>
        <w:rPr/>
        <w:t>of</w:t>
      </w:r>
      <w:r>
        <w:rPr>
          <w:spacing w:val="-3"/>
        </w:rPr>
        <w:t> </w:t>
      </w:r>
      <w:r>
        <w:rPr/>
        <w:t>Mapesbury</w:t>
      </w:r>
      <w:r>
        <w:rPr>
          <w:spacing w:val="-3"/>
        </w:rPr>
        <w:t> </w:t>
      </w:r>
      <w:r>
        <w:rPr/>
        <w:t>and</w:t>
      </w:r>
      <w:r>
        <w:rPr>
          <w:spacing w:val="-3"/>
        </w:rPr>
        <w:t> </w:t>
      </w:r>
      <w:r>
        <w:rPr/>
        <w:t>Lord</w:t>
      </w:r>
      <w:r>
        <w:rPr>
          <w:spacing w:val="-3"/>
        </w:rPr>
        <w:t> </w:t>
      </w:r>
      <w:r>
        <w:rPr/>
        <w:t>Dyson</w:t>
      </w:r>
      <w:r>
        <w:rPr>
          <w:spacing w:val="-3"/>
        </w:rPr>
        <w:t> </w:t>
      </w:r>
      <w:r>
        <w:rPr/>
        <w:t>of</w:t>
      </w:r>
      <w:r>
        <w:rPr>
          <w:spacing w:val="-3"/>
        </w:rPr>
        <w:t> </w:t>
      </w:r>
      <w:r>
        <w:rPr/>
        <w:t>Tonaghmore</w:t>
      </w:r>
      <w:r>
        <w:rPr>
          <w:spacing w:val="-3"/>
        </w:rPr>
        <w:t> </w:t>
      </w:r>
      <w:r>
        <w:rPr/>
        <w:t>JJ.S.C.;</w:t>
      </w:r>
      <w:r>
        <w:rPr>
          <w:spacing w:val="-3"/>
        </w:rPr>
        <w:t> </w:t>
      </w:r>
      <w:r>
        <w:rPr/>
        <w:t>Lord Hope of Craighead D.P.S.C. and Baroness Hale of Richmond J.S.C. dissenting) overruled </w:t>
      </w:r>
      <w:r>
        <w:rPr>
          <w:rFonts w:ascii="Arial"/>
          <w:i/>
        </w:rPr>
        <w:t>Stanton v Callaghan [2000] Q.B. 75 </w:t>
      </w:r>
      <w:r>
        <w:rPr/>
        <w:t>and held that expert witnesses do not enjoy any immunity from liability in negligence, rejecting arguments of the public interest in favour of such an immunity. Although the SC recognised that expert witnesses (unlike witnesses of fact) choose</w:t>
      </w:r>
      <w:r>
        <w:rPr>
          <w:spacing w:val="40"/>
        </w:rPr>
        <w:t> </w:t>
      </w:r>
      <w:r>
        <w:rPr/>
        <w:t>to provide their services (at [18], per Lord Phillips of Worth Matravers P.S.C.) and even owe their</w:t>
      </w:r>
      <w:r>
        <w:rPr>
          <w:spacing w:val="15"/>
        </w:rPr>
        <w:t> </w:t>
      </w:r>
      <w:r>
        <w:rPr/>
        <w:t>clients</w:t>
      </w:r>
      <w:r>
        <w:rPr>
          <w:spacing w:val="16"/>
        </w:rPr>
        <w:t> </w:t>
      </w:r>
      <w:r>
        <w:rPr/>
        <w:t>a</w:t>
      </w:r>
      <w:r>
        <w:rPr>
          <w:spacing w:val="16"/>
        </w:rPr>
        <w:t> </w:t>
      </w:r>
      <w:r>
        <w:rPr>
          <w:rFonts w:ascii="Arial"/>
          <w:i/>
        </w:rPr>
        <w:t>contractual</w:t>
      </w:r>
      <w:r>
        <w:rPr>
          <w:rFonts w:ascii="Arial"/>
          <w:i/>
          <w:spacing w:val="16"/>
        </w:rPr>
        <w:t> </w:t>
      </w:r>
      <w:r>
        <w:rPr/>
        <w:t>duty</w:t>
      </w:r>
      <w:r>
        <w:rPr>
          <w:spacing w:val="16"/>
        </w:rPr>
        <w:t> </w:t>
      </w:r>
      <w:r>
        <w:rPr/>
        <w:t>to</w:t>
      </w:r>
      <w:r>
        <w:rPr>
          <w:spacing w:val="16"/>
        </w:rPr>
        <w:t> </w:t>
      </w:r>
      <w:r>
        <w:rPr/>
        <w:t>take</w:t>
      </w:r>
      <w:r>
        <w:rPr>
          <w:spacing w:val="16"/>
        </w:rPr>
        <w:t> </w:t>
      </w:r>
      <w:r>
        <w:rPr/>
        <w:t>reasonable</w:t>
      </w:r>
      <w:r>
        <w:rPr>
          <w:spacing w:val="16"/>
        </w:rPr>
        <w:t> </w:t>
      </w:r>
      <w:r>
        <w:rPr/>
        <w:t>care</w:t>
      </w:r>
      <w:r>
        <w:rPr>
          <w:spacing w:val="16"/>
        </w:rPr>
        <w:t> </w:t>
      </w:r>
      <w:r>
        <w:rPr/>
        <w:t>(</w:t>
      </w:r>
      <w:r>
        <w:rPr>
          <w:rFonts w:ascii="Arial"/>
          <w:i/>
        </w:rPr>
        <w:t>[2011]</w:t>
      </w:r>
      <w:r>
        <w:rPr>
          <w:rFonts w:ascii="Arial"/>
          <w:i/>
          <w:spacing w:val="16"/>
        </w:rPr>
        <w:t> </w:t>
      </w:r>
      <w:r>
        <w:rPr>
          <w:rFonts w:ascii="Arial"/>
          <w:i/>
        </w:rPr>
        <w:t>UKSC</w:t>
      </w:r>
      <w:r>
        <w:rPr>
          <w:rFonts w:ascii="Arial"/>
          <w:i/>
          <w:spacing w:val="16"/>
        </w:rPr>
        <w:t> </w:t>
      </w:r>
      <w:r>
        <w:rPr>
          <w:rFonts w:ascii="Arial"/>
          <w:i/>
        </w:rPr>
        <w:t>13</w:t>
      </w:r>
      <w:r>
        <w:rPr>
          <w:rFonts w:ascii="Arial"/>
          <w:i/>
          <w:spacing w:val="16"/>
        </w:rPr>
        <w:t> </w:t>
      </w:r>
      <w:r>
        <w:rPr/>
        <w:t>at</w:t>
      </w:r>
      <w:r>
        <w:rPr>
          <w:spacing w:val="16"/>
        </w:rPr>
        <w:t> </w:t>
      </w:r>
      <w:r>
        <w:rPr/>
        <w:t>[67]</w:t>
      </w:r>
      <w:r>
        <w:rPr>
          <w:spacing w:val="16"/>
        </w:rPr>
        <w:t> </w:t>
      </w:r>
      <w:r>
        <w:rPr/>
        <w:t>and</w:t>
      </w:r>
      <w:r>
        <w:rPr>
          <w:spacing w:val="16"/>
        </w:rPr>
        <w:t> </w:t>
      </w:r>
      <w:r>
        <w:rPr/>
        <w:t>[95]),</w:t>
      </w:r>
      <w:r>
        <w:rPr>
          <w:spacing w:val="16"/>
        </w:rPr>
        <w:t> </w:t>
      </w:r>
      <w:r>
        <w:rPr>
          <w:spacing w:val="-5"/>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705" w:right="167"/>
        <w:jc w:val="both"/>
      </w:pPr>
      <w:bookmarkStart w:name="_bookmark1969" w:id="1971"/>
      <w:bookmarkEnd w:id="1971"/>
      <w:r>
        <w:rPr/>
      </w:r>
      <w:r>
        <w:rPr/>
        <w:t>SC did not uphold the duty of care in the tort of negligence on the basis of an “assumption of responsibility”, even though Lord Dyson considered that liability in tort was based on </w:t>
      </w:r>
      <w:r>
        <w:rPr>
          <w:rFonts w:ascii="Arial" w:hAnsi="Arial"/>
          <w:i/>
        </w:rPr>
        <w:t>Hedley Byrne</w:t>
      </w:r>
      <w:r>
        <w:rPr/>
        <w:t>: </w:t>
      </w:r>
      <w:r>
        <w:rPr>
          <w:rFonts w:ascii="Arial" w:hAnsi="Arial"/>
          <w:i/>
        </w:rPr>
        <w:t>[2011] UKSC 13 </w:t>
      </w:r>
      <w:r>
        <w:rPr/>
        <w:t>at [95].</w:t>
      </w:r>
    </w:p>
    <w:p>
      <w:pPr>
        <w:pStyle w:val="BodyText"/>
        <w:spacing w:before="12"/>
      </w:pPr>
    </w:p>
    <w:p>
      <w:pPr>
        <w:spacing w:line="137" w:lineRule="exact" w:before="1"/>
        <w:ind w:left="165" w:right="0" w:firstLine="0"/>
        <w:jc w:val="left"/>
        <w:rPr>
          <w:sz w:val="14"/>
        </w:rPr>
      </w:pPr>
      <w:r>
        <w:rPr>
          <w:color w:val="005DA1"/>
          <w:spacing w:val="-2"/>
          <w:sz w:val="14"/>
          <w:u w:val="single" w:color="005DA1"/>
        </w:rPr>
        <w:t>1182</w:t>
      </w:r>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35648">
            <wp:simplePos x="0" y="0"/>
            <wp:positionH relativeFrom="page">
              <wp:posOffset>1257846</wp:posOffset>
            </wp:positionH>
            <wp:positionV relativeFrom="paragraph">
              <wp:posOffset>12545</wp:posOffset>
            </wp:positionV>
            <wp:extent cx="107988" cy="107988"/>
            <wp:effectExtent l="0" t="0" r="0" b="0"/>
            <wp:wrapNone/>
            <wp:docPr id="510" name="Image 510"/>
            <wp:cNvGraphicFramePr>
              <a:graphicFrameLocks/>
            </wp:cNvGraphicFramePr>
            <a:graphic>
              <a:graphicData uri="http://schemas.openxmlformats.org/drawingml/2006/picture">
                <pic:pic>
                  <pic:nvPicPr>
                    <pic:cNvPr id="510" name="Image 51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[2017]</w:t>
      </w:r>
      <w:r>
        <w:rPr>
          <w:rFonts w:ascii="Arial" w:hAnsi="Arial"/>
          <w:i/>
          <w:spacing w:val="30"/>
          <w:sz w:val="20"/>
        </w:rPr>
        <w:t> </w:t>
      </w:r>
      <w:r>
        <w:rPr>
          <w:rFonts w:ascii="Arial" w:hAnsi="Arial"/>
          <w:i/>
          <w:sz w:val="20"/>
        </w:rPr>
        <w:t>EWCA</w:t>
      </w:r>
      <w:r>
        <w:rPr>
          <w:rFonts w:ascii="Arial" w:hAnsi="Arial"/>
          <w:i/>
          <w:spacing w:val="32"/>
          <w:sz w:val="20"/>
        </w:rPr>
        <w:t> </w:t>
      </w:r>
      <w:r>
        <w:rPr>
          <w:rFonts w:ascii="Arial" w:hAnsi="Arial"/>
          <w:i/>
          <w:sz w:val="20"/>
        </w:rPr>
        <w:t>Civ</w:t>
      </w:r>
      <w:r>
        <w:rPr>
          <w:rFonts w:ascii="Arial" w:hAnsi="Arial"/>
          <w:i/>
          <w:spacing w:val="32"/>
          <w:sz w:val="20"/>
        </w:rPr>
        <w:t> </w:t>
      </w:r>
      <w:r>
        <w:rPr>
          <w:rFonts w:ascii="Arial" w:hAnsi="Arial"/>
          <w:i/>
          <w:sz w:val="20"/>
        </w:rPr>
        <w:t>254,</w:t>
      </w:r>
      <w:r>
        <w:rPr>
          <w:rFonts w:ascii="Arial" w:hAnsi="Arial"/>
          <w:i/>
          <w:spacing w:val="32"/>
          <w:sz w:val="20"/>
        </w:rPr>
        <w:t> </w:t>
      </w:r>
      <w:r>
        <w:rPr>
          <w:rFonts w:ascii="Arial" w:hAnsi="Arial"/>
          <w:i/>
          <w:sz w:val="20"/>
        </w:rPr>
        <w:t>[2017]</w:t>
      </w:r>
      <w:r>
        <w:rPr>
          <w:rFonts w:ascii="Arial" w:hAnsi="Arial"/>
          <w:i/>
          <w:spacing w:val="32"/>
          <w:sz w:val="20"/>
        </w:rPr>
        <w:t> </w:t>
      </w:r>
      <w:r>
        <w:rPr>
          <w:rFonts w:ascii="Arial" w:hAnsi="Arial"/>
          <w:i/>
          <w:sz w:val="20"/>
        </w:rPr>
        <w:t>P.N.L.R.</w:t>
      </w:r>
      <w:r>
        <w:rPr>
          <w:rFonts w:ascii="Arial" w:hAnsi="Arial"/>
          <w:i/>
          <w:spacing w:val="32"/>
          <w:sz w:val="20"/>
        </w:rPr>
        <w:t> </w:t>
      </w:r>
      <w:r>
        <w:rPr>
          <w:rFonts w:ascii="Arial" w:hAnsi="Arial"/>
          <w:i/>
          <w:sz w:val="20"/>
        </w:rPr>
        <w:t>24</w:t>
      </w:r>
      <w:r>
        <w:rPr>
          <w:rFonts w:ascii="Arial" w:hAnsi="Arial"/>
          <w:i/>
          <w:spacing w:val="32"/>
          <w:sz w:val="20"/>
        </w:rPr>
        <w:t> </w:t>
      </w:r>
      <w:r>
        <w:rPr>
          <w:sz w:val="20"/>
        </w:rPr>
        <w:t>at</w:t>
      </w:r>
      <w:r>
        <w:rPr>
          <w:spacing w:val="32"/>
          <w:sz w:val="20"/>
        </w:rPr>
        <w:t> </w:t>
      </w:r>
      <w:r>
        <w:rPr>
          <w:sz w:val="20"/>
        </w:rPr>
        <w:t>[64]</w:t>
      </w:r>
      <w:r>
        <w:rPr>
          <w:spacing w:val="32"/>
          <w:sz w:val="20"/>
        </w:rPr>
        <w:t> </w:t>
      </w:r>
      <w:r>
        <w:rPr>
          <w:sz w:val="20"/>
        </w:rPr>
        <w:t>referring</w:t>
      </w:r>
      <w:r>
        <w:rPr>
          <w:spacing w:val="32"/>
          <w:sz w:val="20"/>
        </w:rPr>
        <w:t> </w:t>
      </w:r>
      <w:r>
        <w:rPr>
          <w:sz w:val="20"/>
        </w:rPr>
        <w:t>in</w:t>
      </w:r>
      <w:r>
        <w:rPr>
          <w:spacing w:val="32"/>
          <w:sz w:val="20"/>
        </w:rPr>
        <w:t> </w:t>
      </w:r>
      <w:r>
        <w:rPr>
          <w:sz w:val="20"/>
        </w:rPr>
        <w:t>particular</w:t>
      </w:r>
      <w:r>
        <w:rPr>
          <w:spacing w:val="32"/>
          <w:sz w:val="20"/>
        </w:rPr>
        <w:t> </w:t>
      </w:r>
      <w:r>
        <w:rPr>
          <w:sz w:val="20"/>
        </w:rPr>
        <w:t>to</w:t>
      </w:r>
      <w:r>
        <w:rPr>
          <w:spacing w:val="32"/>
          <w:sz w:val="20"/>
        </w:rPr>
        <w:t> </w:t>
      </w:r>
      <w:r>
        <w:rPr>
          <w:sz w:val="20"/>
        </w:rPr>
        <w:t>Lord</w:t>
      </w:r>
      <w:r>
        <w:rPr>
          <w:spacing w:val="32"/>
          <w:sz w:val="20"/>
        </w:rPr>
        <w:t> </w:t>
      </w:r>
      <w:r>
        <w:rPr>
          <w:spacing w:val="-2"/>
          <w:sz w:val="20"/>
        </w:rPr>
        <w:t>Hoffman’s</w:t>
      </w:r>
    </w:p>
    <w:p>
      <w:pPr>
        <w:spacing w:line="225" w:lineRule="exact" w:before="0"/>
        <w:ind w:left="705" w:right="0" w:firstLine="0"/>
        <w:jc w:val="both"/>
        <w:rPr>
          <w:rFonts w:ascii="Arial"/>
          <w:i/>
          <w:sz w:val="20"/>
        </w:rPr>
      </w:pPr>
      <w:r>
        <w:rPr>
          <w:sz w:val="20"/>
        </w:rPr>
        <w:t>speech</w:t>
      </w:r>
      <w:r>
        <w:rPr>
          <w:spacing w:val="12"/>
          <w:sz w:val="20"/>
        </w:rPr>
        <w:t> </w:t>
      </w:r>
      <w:r>
        <w:rPr>
          <w:sz w:val="20"/>
        </w:rPr>
        <w:t>in</w:t>
      </w:r>
      <w:r>
        <w:rPr>
          <w:spacing w:val="12"/>
          <w:sz w:val="20"/>
        </w:rPr>
        <w:t> </w:t>
      </w:r>
      <w:r>
        <w:rPr>
          <w:rFonts w:ascii="Arial"/>
          <w:i/>
          <w:sz w:val="20"/>
        </w:rPr>
        <w:t>Customs</w:t>
      </w:r>
      <w:r>
        <w:rPr>
          <w:rFonts w:ascii="Arial"/>
          <w:i/>
          <w:spacing w:val="12"/>
          <w:sz w:val="20"/>
        </w:rPr>
        <w:t> </w:t>
      </w:r>
      <w:r>
        <w:rPr>
          <w:rFonts w:ascii="Arial"/>
          <w:i/>
          <w:sz w:val="20"/>
        </w:rPr>
        <w:t>and</w:t>
      </w:r>
      <w:r>
        <w:rPr>
          <w:rFonts w:ascii="Arial"/>
          <w:i/>
          <w:spacing w:val="12"/>
          <w:sz w:val="20"/>
        </w:rPr>
        <w:t> </w:t>
      </w:r>
      <w:r>
        <w:rPr>
          <w:rFonts w:ascii="Arial"/>
          <w:i/>
          <w:sz w:val="20"/>
        </w:rPr>
        <w:t>Excise</w:t>
      </w:r>
      <w:r>
        <w:rPr>
          <w:rFonts w:ascii="Arial"/>
          <w:i/>
          <w:spacing w:val="12"/>
          <w:sz w:val="20"/>
        </w:rPr>
        <w:t> </w:t>
      </w:r>
      <w:r>
        <w:rPr>
          <w:rFonts w:ascii="Arial"/>
          <w:i/>
          <w:sz w:val="20"/>
        </w:rPr>
        <w:t>Commissioners</w:t>
      </w:r>
      <w:r>
        <w:rPr>
          <w:rFonts w:ascii="Arial"/>
          <w:i/>
          <w:spacing w:val="12"/>
          <w:sz w:val="20"/>
        </w:rPr>
        <w:t> </w:t>
      </w:r>
      <w:r>
        <w:rPr>
          <w:rFonts w:ascii="Arial"/>
          <w:i/>
          <w:sz w:val="20"/>
        </w:rPr>
        <w:t>v</w:t>
      </w:r>
      <w:r>
        <w:rPr>
          <w:rFonts w:ascii="Arial"/>
          <w:i/>
          <w:spacing w:val="12"/>
          <w:sz w:val="20"/>
        </w:rPr>
        <w:t> </w:t>
      </w:r>
      <w:r>
        <w:rPr>
          <w:rFonts w:ascii="Arial"/>
          <w:i/>
          <w:sz w:val="20"/>
        </w:rPr>
        <w:t>Barclays</w:t>
      </w:r>
      <w:r>
        <w:rPr>
          <w:rFonts w:ascii="Arial"/>
          <w:i/>
          <w:spacing w:val="12"/>
          <w:sz w:val="20"/>
        </w:rPr>
        <w:t> </w:t>
      </w:r>
      <w:r>
        <w:rPr>
          <w:rFonts w:ascii="Arial"/>
          <w:i/>
          <w:sz w:val="20"/>
        </w:rPr>
        <w:t>Bank</w:t>
      </w:r>
      <w:r>
        <w:rPr>
          <w:rFonts w:ascii="Arial"/>
          <w:i/>
          <w:spacing w:val="12"/>
          <w:sz w:val="20"/>
        </w:rPr>
        <w:t> </w:t>
      </w:r>
      <w:r>
        <w:rPr>
          <w:rFonts w:ascii="Arial"/>
          <w:i/>
          <w:sz w:val="20"/>
        </w:rPr>
        <w:t>Plc</w:t>
      </w:r>
      <w:r>
        <w:rPr>
          <w:rFonts w:ascii="Arial"/>
          <w:i/>
          <w:spacing w:val="12"/>
          <w:sz w:val="20"/>
        </w:rPr>
        <w:t> </w:t>
      </w:r>
      <w:r>
        <w:rPr>
          <w:rFonts w:ascii="Arial"/>
          <w:i/>
          <w:sz w:val="20"/>
        </w:rPr>
        <w:t>[2006]</w:t>
      </w:r>
      <w:r>
        <w:rPr>
          <w:rFonts w:ascii="Arial"/>
          <w:i/>
          <w:spacing w:val="12"/>
          <w:sz w:val="20"/>
        </w:rPr>
        <w:t> </w:t>
      </w:r>
      <w:r>
        <w:rPr>
          <w:rFonts w:ascii="Arial"/>
          <w:i/>
          <w:sz w:val="20"/>
        </w:rPr>
        <w:t>UKHL</w:t>
      </w:r>
      <w:r>
        <w:rPr>
          <w:rFonts w:ascii="Arial"/>
          <w:i/>
          <w:spacing w:val="12"/>
          <w:sz w:val="20"/>
        </w:rPr>
        <w:t> </w:t>
      </w:r>
      <w:r>
        <w:rPr>
          <w:rFonts w:ascii="Arial"/>
          <w:i/>
          <w:sz w:val="20"/>
        </w:rPr>
        <w:t>28,</w:t>
      </w:r>
      <w:r>
        <w:rPr>
          <w:rFonts w:ascii="Arial"/>
          <w:i/>
          <w:spacing w:val="12"/>
          <w:sz w:val="20"/>
        </w:rPr>
        <w:t> </w:t>
      </w:r>
      <w:r>
        <w:rPr>
          <w:rFonts w:ascii="Arial"/>
          <w:i/>
          <w:sz w:val="20"/>
        </w:rPr>
        <w:t>[2006]</w:t>
      </w:r>
      <w:r>
        <w:rPr>
          <w:rFonts w:ascii="Arial"/>
          <w:i/>
          <w:spacing w:val="12"/>
          <w:sz w:val="20"/>
        </w:rPr>
        <w:t> </w:t>
      </w:r>
      <w:r>
        <w:rPr>
          <w:rFonts w:ascii="Arial"/>
          <w:i/>
          <w:spacing w:val="-10"/>
          <w:sz w:val="20"/>
        </w:rPr>
        <w:t>3</w:t>
      </w:r>
    </w:p>
    <w:p>
      <w:pPr>
        <w:spacing w:line="227" w:lineRule="exact" w:before="0"/>
        <w:ind w:left="705" w:right="0" w:firstLine="0"/>
        <w:jc w:val="left"/>
        <w:rPr>
          <w:sz w:val="20"/>
        </w:rPr>
      </w:pPr>
      <w:r>
        <w:rPr>
          <w:rFonts w:ascii="Arial" w:hAnsi="Arial"/>
          <w:i/>
          <w:sz w:val="20"/>
        </w:rPr>
        <w:t>W.L.R. 1 </w:t>
      </w:r>
      <w:r>
        <w:rPr>
          <w:sz w:val="20"/>
        </w:rPr>
        <w:t>at </w:t>
      </w:r>
      <w:r>
        <w:rPr>
          <w:spacing w:val="-2"/>
          <w:sz w:val="20"/>
        </w:rPr>
        <w:t>[35]–[36].</w:t>
      </w:r>
    </w:p>
    <w:p>
      <w:pPr>
        <w:pStyle w:val="BodyText"/>
        <w:spacing w:before="4"/>
      </w:pPr>
    </w:p>
    <w:p>
      <w:pPr>
        <w:spacing w:before="1"/>
        <w:ind w:left="165" w:right="0" w:firstLine="0"/>
        <w:jc w:val="left"/>
        <w:rPr>
          <w:sz w:val="20"/>
        </w:rPr>
      </w:pPr>
      <w:r>
        <w:rPr>
          <w:color w:val="005DA1"/>
          <w:position w:val="5"/>
          <w:sz w:val="14"/>
          <w:u w:val="single" w:color="005DA1"/>
        </w:rPr>
        <w:t>1183</w:t>
      </w:r>
      <w:r>
        <w:rPr>
          <w:position w:val="5"/>
          <w:sz w:val="14"/>
        </w:rPr>
        <w:t>.</w:t>
      </w:r>
      <w:r>
        <w:rPr>
          <w:spacing w:val="55"/>
          <w:position w:val="5"/>
          <w:sz w:val="14"/>
        </w:rPr>
        <w:t>  </w:t>
      </w:r>
      <w:r>
        <w:rPr>
          <w:rFonts w:ascii="Arial"/>
          <w:i/>
          <w:sz w:val="20"/>
        </w:rPr>
        <w:t>[1996]</w:t>
      </w:r>
      <w:r>
        <w:rPr>
          <w:rFonts w:ascii="Arial"/>
          <w:i/>
          <w:spacing w:val="1"/>
          <w:sz w:val="20"/>
        </w:rPr>
        <w:t> </w:t>
      </w:r>
      <w:r>
        <w:rPr>
          <w:rFonts w:ascii="Arial"/>
          <w:i/>
          <w:sz w:val="20"/>
        </w:rPr>
        <w:t>1 A.C. </w:t>
      </w:r>
      <w:r>
        <w:rPr>
          <w:rFonts w:ascii="Arial"/>
          <w:i/>
          <w:spacing w:val="-4"/>
          <w:sz w:val="20"/>
        </w:rPr>
        <w:t>211</w:t>
      </w:r>
      <w:r>
        <w:rPr>
          <w:spacing w:val="-4"/>
          <w:sz w:val="20"/>
        </w:rPr>
        <w:t>.</w:t>
      </w:r>
    </w:p>
    <w:p>
      <w:pPr>
        <w:pStyle w:val="BodyText"/>
        <w:spacing w:before="12"/>
      </w:pPr>
    </w:p>
    <w:p>
      <w:pPr>
        <w:spacing w:line="137" w:lineRule="exact" w:before="0"/>
        <w:ind w:left="165" w:right="0" w:firstLine="0"/>
        <w:jc w:val="left"/>
        <w:rPr>
          <w:sz w:val="14"/>
        </w:rPr>
      </w:pPr>
      <w:r>
        <w:rPr>
          <w:color w:val="005DA1"/>
          <w:spacing w:val="-2"/>
          <w:sz w:val="14"/>
          <w:u w:val="single" w:color="005DA1"/>
        </w:rPr>
        <w:t>1184</w:t>
      </w:r>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36160">
            <wp:simplePos x="0" y="0"/>
            <wp:positionH relativeFrom="page">
              <wp:posOffset>1257846</wp:posOffset>
            </wp:positionH>
            <wp:positionV relativeFrom="paragraph">
              <wp:posOffset>12721</wp:posOffset>
            </wp:positionV>
            <wp:extent cx="107988" cy="107988"/>
            <wp:effectExtent l="0" t="0" r="0" b="0"/>
            <wp:wrapNone/>
            <wp:docPr id="511" name="Image 511"/>
            <wp:cNvGraphicFramePr>
              <a:graphicFrameLocks/>
            </wp:cNvGraphicFramePr>
            <a:graphic>
              <a:graphicData uri="http://schemas.openxmlformats.org/drawingml/2006/picture">
                <pic:pic>
                  <pic:nvPicPr>
                    <pic:cNvPr id="511" name="Image 511"/>
                    <pic:cNvPicPr/>
                  </pic:nvPicPr>
                  <pic:blipFill>
                    <a:blip r:embed="rId6" cstate="print"/>
                    <a:stretch>
                      <a:fillRect/>
                    </a:stretch>
                  </pic:blipFill>
                  <pic:spPr>
                    <a:xfrm>
                      <a:off x="0" y="0"/>
                      <a:ext cx="107988" cy="107988"/>
                    </a:xfrm>
                    <a:prstGeom prst="rect">
                      <a:avLst/>
                    </a:prstGeom>
                  </pic:spPr>
                </pic:pic>
              </a:graphicData>
            </a:graphic>
          </wp:anchor>
        </w:drawing>
      </w:r>
      <w:r>
        <w:rPr>
          <w:sz w:val="20"/>
        </w:rPr>
        <w:t>See,</w:t>
      </w:r>
      <w:r>
        <w:rPr>
          <w:spacing w:val="11"/>
          <w:sz w:val="20"/>
        </w:rPr>
        <w:t> </w:t>
      </w:r>
      <w:r>
        <w:rPr>
          <w:sz w:val="20"/>
        </w:rPr>
        <w:t>e.g.</w:t>
      </w:r>
      <w:r>
        <w:rPr>
          <w:spacing w:val="11"/>
          <w:sz w:val="20"/>
        </w:rPr>
        <w:t> </w:t>
      </w:r>
      <w:r>
        <w:rPr>
          <w:rFonts w:ascii="Arial" w:hAnsi="Arial"/>
          <w:i/>
          <w:sz w:val="20"/>
        </w:rPr>
        <w:t>Burgess</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Lejonvarn</w:t>
      </w:r>
      <w:r>
        <w:rPr>
          <w:rFonts w:ascii="Arial" w:hAnsi="Arial"/>
          <w:i/>
          <w:spacing w:val="11"/>
          <w:sz w:val="20"/>
        </w:rPr>
        <w:t> </w:t>
      </w:r>
      <w:r>
        <w:rPr>
          <w:rFonts w:ascii="Arial" w:hAnsi="Arial"/>
          <w:i/>
          <w:sz w:val="20"/>
        </w:rPr>
        <w:t>[2017]</w:t>
      </w:r>
      <w:r>
        <w:rPr>
          <w:rFonts w:ascii="Arial" w:hAnsi="Arial"/>
          <w:i/>
          <w:spacing w:val="11"/>
          <w:sz w:val="20"/>
        </w:rPr>
        <w:t> </w:t>
      </w:r>
      <w:r>
        <w:rPr>
          <w:rFonts w:ascii="Arial" w:hAnsi="Arial"/>
          <w:i/>
          <w:sz w:val="20"/>
        </w:rPr>
        <w:t>EWCA</w:t>
      </w:r>
      <w:r>
        <w:rPr>
          <w:rFonts w:ascii="Arial" w:hAnsi="Arial"/>
          <w:i/>
          <w:spacing w:val="11"/>
          <w:sz w:val="20"/>
        </w:rPr>
        <w:t> </w:t>
      </w:r>
      <w:r>
        <w:rPr>
          <w:rFonts w:ascii="Arial" w:hAnsi="Arial"/>
          <w:i/>
          <w:sz w:val="20"/>
        </w:rPr>
        <w:t>Civ</w:t>
      </w:r>
      <w:r>
        <w:rPr>
          <w:rFonts w:ascii="Arial" w:hAnsi="Arial"/>
          <w:i/>
          <w:spacing w:val="11"/>
          <w:sz w:val="20"/>
        </w:rPr>
        <w:t> </w:t>
      </w:r>
      <w:r>
        <w:rPr>
          <w:rFonts w:ascii="Arial" w:hAnsi="Arial"/>
          <w:i/>
          <w:sz w:val="20"/>
        </w:rPr>
        <w:t>254,</w:t>
      </w:r>
      <w:r>
        <w:rPr>
          <w:rFonts w:ascii="Arial" w:hAnsi="Arial"/>
          <w:i/>
          <w:spacing w:val="11"/>
          <w:sz w:val="20"/>
        </w:rPr>
        <w:t> </w:t>
      </w:r>
      <w:r>
        <w:rPr>
          <w:rFonts w:ascii="Arial" w:hAnsi="Arial"/>
          <w:i/>
          <w:sz w:val="20"/>
        </w:rPr>
        <w:t>[2017]</w:t>
      </w:r>
      <w:r>
        <w:rPr>
          <w:rFonts w:ascii="Arial" w:hAnsi="Arial"/>
          <w:i/>
          <w:spacing w:val="11"/>
          <w:sz w:val="20"/>
        </w:rPr>
        <w:t> </w:t>
      </w:r>
      <w:r>
        <w:rPr>
          <w:rFonts w:ascii="Arial" w:hAnsi="Arial"/>
          <w:i/>
          <w:sz w:val="20"/>
        </w:rPr>
        <w:t>P.N.L.R.</w:t>
      </w:r>
      <w:r>
        <w:rPr>
          <w:rFonts w:ascii="Arial" w:hAnsi="Arial"/>
          <w:i/>
          <w:spacing w:val="11"/>
          <w:sz w:val="20"/>
        </w:rPr>
        <w:t> </w:t>
      </w:r>
      <w:r>
        <w:rPr>
          <w:rFonts w:ascii="Arial" w:hAnsi="Arial"/>
          <w:i/>
          <w:sz w:val="20"/>
        </w:rPr>
        <w:t>24</w:t>
      </w:r>
      <w:r>
        <w:rPr>
          <w:rFonts w:ascii="Arial" w:hAnsi="Arial"/>
          <w:i/>
          <w:spacing w:val="10"/>
          <w:sz w:val="20"/>
        </w:rPr>
        <w:t> </w:t>
      </w:r>
      <w:r>
        <w:rPr>
          <w:sz w:val="20"/>
        </w:rPr>
        <w:t>esp.</w:t>
      </w:r>
      <w:r>
        <w:rPr>
          <w:spacing w:val="11"/>
          <w:sz w:val="20"/>
        </w:rPr>
        <w:t> </w:t>
      </w:r>
      <w:r>
        <w:rPr>
          <w:sz w:val="20"/>
        </w:rPr>
        <w:t>at</w:t>
      </w:r>
      <w:r>
        <w:rPr>
          <w:spacing w:val="11"/>
          <w:sz w:val="20"/>
        </w:rPr>
        <w:t> </w:t>
      </w:r>
      <w:r>
        <w:rPr>
          <w:sz w:val="20"/>
        </w:rPr>
        <w:t>[86]–[87]</w:t>
      </w:r>
      <w:r>
        <w:rPr>
          <w:spacing w:val="11"/>
          <w:sz w:val="20"/>
        </w:rPr>
        <w:t> </w:t>
      </w:r>
      <w:r>
        <w:rPr>
          <w:spacing w:val="-5"/>
          <w:sz w:val="20"/>
        </w:rPr>
        <w:t>in</w:t>
      </w:r>
    </w:p>
    <w:p>
      <w:pPr>
        <w:pStyle w:val="BodyText"/>
        <w:spacing w:line="235" w:lineRule="auto" w:before="1"/>
        <w:ind w:left="705" w:right="167"/>
        <w:jc w:val="both"/>
      </w:pPr>
      <w:r>
        <w:rPr/>
        <w:t>which the claimants’ friend who had provided project management services in a </w:t>
      </w:r>
      <w:r>
        <w:rPr/>
        <w:t>professional context to them not under a contract (for lack of agreement as to terms, intention to create legal relations and consideration) was held to a duty of care in tort based on an assumption of responsibility. The CA emphasised that the duty thereby imposed was “not a duty to provide [the] services. It is a duty to exercise reasonable skill and care in providing the professional services which [the defendant] did in fact provide”, adding that “[a] duty expressed in these terms does not trespass on the realm of contract”: at [88] and [89] per Hamblen L.J.</w:t>
      </w:r>
    </w:p>
    <w:p>
      <w:pPr>
        <w:pStyle w:val="BodyText"/>
        <w:spacing w:before="4"/>
      </w:pPr>
    </w:p>
    <w:p>
      <w:pPr>
        <w:spacing w:before="0"/>
        <w:ind w:left="165" w:right="0" w:firstLine="0"/>
        <w:jc w:val="left"/>
        <w:rPr>
          <w:sz w:val="20"/>
        </w:rPr>
      </w:pPr>
      <w:r>
        <w:rPr>
          <w:color w:val="005DA1"/>
          <w:position w:val="5"/>
          <w:sz w:val="14"/>
          <w:u w:val="single" w:color="005DA1"/>
        </w:rPr>
        <w:t>1185</w:t>
      </w:r>
      <w:r>
        <w:rPr>
          <w:position w:val="5"/>
          <w:sz w:val="14"/>
        </w:rPr>
        <w:t>.</w:t>
      </w:r>
      <w:r>
        <w:rPr>
          <w:spacing w:val="55"/>
          <w:position w:val="5"/>
          <w:sz w:val="14"/>
        </w:rPr>
        <w:t>  </w:t>
      </w:r>
      <w:r>
        <w:rPr>
          <w:rFonts w:ascii="Arial"/>
          <w:i/>
          <w:sz w:val="20"/>
        </w:rPr>
        <w:t>[1995]</w:t>
      </w:r>
      <w:r>
        <w:rPr>
          <w:rFonts w:ascii="Arial"/>
          <w:i/>
          <w:spacing w:val="1"/>
          <w:sz w:val="20"/>
        </w:rPr>
        <w:t> </w:t>
      </w:r>
      <w:r>
        <w:rPr>
          <w:rFonts w:ascii="Arial"/>
          <w:i/>
          <w:sz w:val="20"/>
        </w:rPr>
        <w:t>I.R.L.R. </w:t>
      </w:r>
      <w:r>
        <w:rPr>
          <w:rFonts w:ascii="Arial"/>
          <w:i/>
          <w:spacing w:val="-4"/>
          <w:sz w:val="20"/>
        </w:rPr>
        <w:t>605</w:t>
      </w:r>
      <w:r>
        <w:rPr>
          <w:spacing w:val="-4"/>
          <w:sz w:val="20"/>
        </w:rPr>
        <w:t>.</w:t>
      </w:r>
    </w:p>
    <w:p>
      <w:pPr>
        <w:pStyle w:val="BodyText"/>
        <w:spacing w:before="8"/>
      </w:pPr>
    </w:p>
    <w:p>
      <w:pPr>
        <w:spacing w:line="235" w:lineRule="auto" w:before="0"/>
        <w:ind w:left="705" w:right="168" w:hanging="541"/>
        <w:jc w:val="left"/>
        <w:rPr>
          <w:sz w:val="20"/>
        </w:rPr>
      </w:pPr>
      <w:r>
        <w:rPr>
          <w:color w:val="005DA1"/>
          <w:position w:val="5"/>
          <w:sz w:val="14"/>
          <w:u w:val="single" w:color="005DA1"/>
        </w:rPr>
        <w:t>1186</w:t>
      </w:r>
      <w:r>
        <w:rPr>
          <w:position w:val="5"/>
          <w:sz w:val="14"/>
        </w:rPr>
        <w:t>.</w:t>
      </w:r>
      <w:r>
        <w:rPr>
          <w:spacing w:val="40"/>
          <w:position w:val="5"/>
          <w:sz w:val="14"/>
        </w:rPr>
        <w:t>  </w:t>
      </w:r>
      <w:r>
        <w:rPr>
          <w:sz w:val="20"/>
        </w:rPr>
        <w:t>cf. </w:t>
      </w:r>
      <w:r>
        <w:rPr>
          <w:rFonts w:ascii="Arial"/>
          <w:i/>
          <w:sz w:val="20"/>
        </w:rPr>
        <w:t>Barclays Bank Plc v Fairclough Building Ltd [1995] Q.B. 214 </w:t>
      </w:r>
      <w:r>
        <w:rPr>
          <w:sz w:val="20"/>
        </w:rPr>
        <w:t>which concerned the claim </w:t>
      </w:r>
      <w:r>
        <w:rPr>
          <w:sz w:val="20"/>
        </w:rPr>
        <w:t>by</w:t>
      </w:r>
      <w:r>
        <w:rPr>
          <w:spacing w:val="40"/>
          <w:sz w:val="20"/>
        </w:rPr>
        <w:t> </w:t>
      </w:r>
      <w:r>
        <w:rPr>
          <w:sz w:val="20"/>
        </w:rPr>
        <w:t>the owner of the buildings against the main building contractors.</w:t>
      </w:r>
    </w:p>
    <w:p>
      <w:pPr>
        <w:pStyle w:val="BodyText"/>
        <w:spacing w:before="6"/>
      </w:pPr>
    </w:p>
    <w:p>
      <w:pPr>
        <w:spacing w:before="0"/>
        <w:ind w:left="165" w:right="0" w:firstLine="0"/>
        <w:jc w:val="left"/>
        <w:rPr>
          <w:sz w:val="20"/>
        </w:rPr>
      </w:pPr>
      <w:r>
        <w:rPr>
          <w:color w:val="005DA1"/>
          <w:position w:val="5"/>
          <w:sz w:val="14"/>
          <w:u w:val="single" w:color="005DA1"/>
        </w:rPr>
        <w:t>1187</w:t>
      </w:r>
      <w:r>
        <w:rPr>
          <w:position w:val="5"/>
          <w:sz w:val="14"/>
        </w:rPr>
        <w:t>.</w:t>
      </w:r>
      <w:r>
        <w:rPr>
          <w:spacing w:val="55"/>
          <w:position w:val="5"/>
          <w:sz w:val="14"/>
        </w:rPr>
        <w:t>  </w:t>
      </w:r>
      <w:r>
        <w:rPr>
          <w:rFonts w:ascii="Arial"/>
          <w:i/>
          <w:sz w:val="20"/>
        </w:rPr>
        <w:t>Forsikringsaktieselskapet</w:t>
      </w:r>
      <w:r>
        <w:rPr>
          <w:rFonts w:ascii="Arial"/>
          <w:i/>
          <w:spacing w:val="1"/>
          <w:sz w:val="20"/>
        </w:rPr>
        <w:t> </w:t>
      </w:r>
      <w:r>
        <w:rPr>
          <w:rFonts w:ascii="Arial"/>
          <w:i/>
          <w:sz w:val="20"/>
        </w:rPr>
        <w:t>Vesta v Butcher [1989] A.C. 852</w:t>
      </w:r>
      <w:r>
        <w:rPr>
          <w:rFonts w:ascii="Arial"/>
          <w:i/>
          <w:spacing w:val="-1"/>
          <w:sz w:val="20"/>
        </w:rPr>
        <w:t> </w:t>
      </w:r>
      <w:r>
        <w:rPr>
          <w:sz w:val="20"/>
        </w:rPr>
        <w:t>and see below, para.26-</w:t>
      </w:r>
      <w:r>
        <w:rPr>
          <w:spacing w:val="-4"/>
          <w:sz w:val="20"/>
        </w:rPr>
        <w:t>077.</w:t>
      </w:r>
    </w:p>
    <w:p>
      <w:pPr>
        <w:pStyle w:val="BodyText"/>
        <w:spacing w:before="5"/>
      </w:pPr>
    </w:p>
    <w:p>
      <w:pPr>
        <w:spacing w:before="0"/>
        <w:ind w:left="165" w:right="0" w:firstLine="0"/>
        <w:jc w:val="left"/>
        <w:rPr>
          <w:sz w:val="20"/>
        </w:rPr>
      </w:pPr>
      <w:r>
        <w:rPr>
          <w:color w:val="005DA1"/>
          <w:position w:val="5"/>
          <w:sz w:val="14"/>
          <w:u w:val="single" w:color="005DA1"/>
        </w:rPr>
        <w:t>1188</w:t>
      </w:r>
      <w:r>
        <w:rPr>
          <w:position w:val="5"/>
          <w:sz w:val="14"/>
        </w:rPr>
        <w:t>.</w:t>
      </w:r>
      <w:r>
        <w:rPr>
          <w:spacing w:val="55"/>
          <w:position w:val="5"/>
          <w:sz w:val="14"/>
        </w:rPr>
        <w:t>  </w:t>
      </w:r>
      <w:r>
        <w:rPr>
          <w:rFonts w:ascii="Arial"/>
          <w:i/>
          <w:sz w:val="20"/>
        </w:rPr>
        <w:t>(1842)</w:t>
      </w:r>
      <w:r>
        <w:rPr>
          <w:rFonts w:ascii="Arial"/>
          <w:i/>
          <w:spacing w:val="1"/>
          <w:sz w:val="20"/>
        </w:rPr>
        <w:t> </w:t>
      </w:r>
      <w:r>
        <w:rPr>
          <w:rFonts w:ascii="Arial"/>
          <w:i/>
          <w:sz w:val="20"/>
        </w:rPr>
        <w:t>3 Q.B. 511, (1844) 11 Cl. &amp; Fin. 1 </w:t>
      </w:r>
      <w:r>
        <w:rPr>
          <w:rFonts w:ascii="Arial"/>
          <w:i/>
          <w:spacing w:val="-5"/>
          <w:sz w:val="20"/>
        </w:rPr>
        <w:t>HL</w:t>
      </w:r>
      <w:r>
        <w:rPr>
          <w:spacing w:val="-5"/>
          <w:sz w:val="20"/>
        </w:rPr>
        <w:t>.</w:t>
      </w:r>
    </w:p>
    <w:p>
      <w:pPr>
        <w:pStyle w:val="BodyText"/>
        <w:spacing w:before="5"/>
      </w:pPr>
    </w:p>
    <w:p>
      <w:pPr>
        <w:spacing w:before="0"/>
        <w:ind w:left="165" w:right="0" w:firstLine="0"/>
        <w:jc w:val="left"/>
        <w:rPr>
          <w:sz w:val="20"/>
        </w:rPr>
      </w:pPr>
      <w:r>
        <w:rPr>
          <w:color w:val="005DA1"/>
          <w:position w:val="5"/>
          <w:sz w:val="14"/>
          <w:u w:val="single" w:color="005DA1"/>
        </w:rPr>
        <w:t>1189</w:t>
      </w:r>
      <w:r>
        <w:rPr>
          <w:position w:val="5"/>
          <w:sz w:val="14"/>
        </w:rPr>
        <w:t>.</w:t>
      </w:r>
      <w:r>
        <w:rPr>
          <w:spacing w:val="55"/>
          <w:position w:val="5"/>
          <w:sz w:val="14"/>
        </w:rPr>
        <w:t>  </w:t>
      </w:r>
      <w:r>
        <w:rPr>
          <w:sz w:val="20"/>
        </w:rPr>
        <w:t>See</w:t>
      </w:r>
      <w:r>
        <w:rPr>
          <w:spacing w:val="1"/>
          <w:sz w:val="20"/>
        </w:rPr>
        <w:t> </w:t>
      </w:r>
      <w:r>
        <w:rPr>
          <w:sz w:val="20"/>
        </w:rPr>
        <w:t>above, para.1-</w:t>
      </w:r>
      <w:r>
        <w:rPr>
          <w:spacing w:val="-4"/>
          <w:sz w:val="20"/>
        </w:rPr>
        <w:t>157.</w:t>
      </w:r>
    </w:p>
    <w:p>
      <w:pPr>
        <w:pStyle w:val="BodyText"/>
        <w:spacing w:before="5"/>
      </w:pPr>
    </w:p>
    <w:p>
      <w:pPr>
        <w:pStyle w:val="BodyText"/>
        <w:ind w:left="165"/>
      </w:pPr>
      <w:r>
        <w:rPr>
          <w:color w:val="005DA1"/>
          <w:position w:val="5"/>
          <w:sz w:val="14"/>
          <w:u w:val="single" w:color="005DA1"/>
        </w:rPr>
        <w:t>1190</w:t>
      </w:r>
      <w:r>
        <w:rPr>
          <w:position w:val="5"/>
          <w:sz w:val="14"/>
        </w:rPr>
        <w:t>.</w:t>
      </w:r>
      <w:r>
        <w:rPr>
          <w:spacing w:val="55"/>
          <w:position w:val="5"/>
          <w:sz w:val="14"/>
        </w:rPr>
        <w:t>  </w:t>
      </w:r>
      <w:r>
        <w:rPr/>
        <w:t>But</w:t>
      </w:r>
      <w:r>
        <w:rPr>
          <w:spacing w:val="1"/>
        </w:rPr>
        <w:t> </w:t>
      </w:r>
      <w:r>
        <w:rPr/>
        <w:t>compare paras 1-169—1-</w:t>
      </w:r>
      <w:r>
        <w:rPr>
          <w:spacing w:val="-4"/>
        </w:rPr>
        <w:t>170.</w:t>
      </w:r>
    </w:p>
    <w:p>
      <w:pPr>
        <w:pStyle w:val="BodyText"/>
        <w:spacing w:before="9"/>
      </w:pPr>
    </w:p>
    <w:p>
      <w:pPr>
        <w:spacing w:line="235" w:lineRule="auto" w:before="0"/>
        <w:ind w:left="705" w:right="0" w:hanging="541"/>
        <w:jc w:val="left"/>
        <w:rPr>
          <w:sz w:val="20"/>
        </w:rPr>
      </w:pPr>
      <w:r>
        <w:rPr>
          <w:color w:val="005DA1"/>
          <w:position w:val="5"/>
          <w:sz w:val="14"/>
          <w:u w:val="single" w:color="005DA1"/>
        </w:rPr>
        <w:t>1191</w:t>
      </w:r>
      <w:r>
        <w:rPr>
          <w:position w:val="5"/>
          <w:sz w:val="14"/>
        </w:rPr>
        <w:t>.</w:t>
      </w:r>
      <w:r>
        <w:rPr>
          <w:spacing w:val="40"/>
          <w:position w:val="5"/>
          <w:sz w:val="14"/>
        </w:rPr>
        <w:t>  </w:t>
      </w:r>
      <w:r>
        <w:rPr>
          <w:rFonts w:ascii="Arial" w:hAnsi="Arial"/>
          <w:i/>
          <w:sz w:val="20"/>
        </w:rPr>
        <w:t>OGB</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Allan,</w:t>
      </w:r>
      <w:r>
        <w:rPr>
          <w:rFonts w:ascii="Arial" w:hAnsi="Arial"/>
          <w:i/>
          <w:spacing w:val="21"/>
          <w:sz w:val="20"/>
        </w:rPr>
        <w:t> </w:t>
      </w:r>
      <w:r>
        <w:rPr>
          <w:rFonts w:ascii="Arial" w:hAnsi="Arial"/>
          <w:i/>
          <w:sz w:val="20"/>
        </w:rPr>
        <w:t>Douglas</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Hello!</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Mainstream</w:t>
      </w:r>
      <w:r>
        <w:rPr>
          <w:rFonts w:ascii="Arial" w:hAnsi="Arial"/>
          <w:i/>
          <w:spacing w:val="21"/>
          <w:sz w:val="20"/>
        </w:rPr>
        <w:t> </w:t>
      </w:r>
      <w:r>
        <w:rPr>
          <w:rFonts w:ascii="Arial" w:hAnsi="Arial"/>
          <w:i/>
          <w:sz w:val="20"/>
        </w:rPr>
        <w:t>Properties</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Young</w:t>
      </w:r>
      <w:r>
        <w:rPr>
          <w:rFonts w:ascii="Arial" w:hAnsi="Arial"/>
          <w:i/>
          <w:spacing w:val="21"/>
          <w:sz w:val="20"/>
        </w:rPr>
        <w:t> </w:t>
      </w:r>
      <w:r>
        <w:rPr>
          <w:rFonts w:ascii="Arial" w:hAnsi="Arial"/>
          <w:i/>
          <w:sz w:val="20"/>
        </w:rPr>
        <w:t>[2007]</w:t>
      </w:r>
      <w:r>
        <w:rPr>
          <w:rFonts w:ascii="Arial" w:hAnsi="Arial"/>
          <w:i/>
          <w:spacing w:val="21"/>
          <w:sz w:val="20"/>
        </w:rPr>
        <w:t> </w:t>
      </w:r>
      <w:r>
        <w:rPr>
          <w:rFonts w:ascii="Arial" w:hAnsi="Arial"/>
          <w:i/>
          <w:sz w:val="20"/>
        </w:rPr>
        <w:t>UKHL</w:t>
      </w:r>
      <w:r>
        <w:rPr>
          <w:rFonts w:ascii="Arial" w:hAnsi="Arial"/>
          <w:i/>
          <w:spacing w:val="21"/>
          <w:sz w:val="20"/>
        </w:rPr>
        <w:t> </w:t>
      </w:r>
      <w:r>
        <w:rPr>
          <w:rFonts w:ascii="Arial" w:hAnsi="Arial"/>
          <w:i/>
          <w:sz w:val="20"/>
        </w:rPr>
        <w:t>21, [2008] 1 A.C. 1 </w:t>
      </w:r>
      <w:r>
        <w:rPr>
          <w:sz w:val="20"/>
        </w:rPr>
        <w:t>especially at [6]–[8].</w:t>
      </w:r>
    </w:p>
    <w:p>
      <w:pPr>
        <w:pStyle w:val="BodyText"/>
        <w:spacing w:before="5"/>
      </w:pPr>
    </w:p>
    <w:p>
      <w:pPr>
        <w:spacing w:before="0"/>
        <w:ind w:left="165" w:right="0" w:firstLine="0"/>
        <w:jc w:val="left"/>
        <w:rPr>
          <w:sz w:val="20"/>
        </w:rPr>
      </w:pPr>
      <w:r>
        <w:rPr>
          <w:color w:val="005DA1"/>
          <w:position w:val="5"/>
          <w:sz w:val="14"/>
          <w:u w:val="single" w:color="005DA1"/>
        </w:rPr>
        <w:t>1192</w:t>
      </w:r>
      <w:r>
        <w:rPr>
          <w:position w:val="5"/>
          <w:sz w:val="14"/>
        </w:rPr>
        <w:t>.</w:t>
      </w:r>
      <w:r>
        <w:rPr>
          <w:spacing w:val="55"/>
          <w:position w:val="5"/>
          <w:sz w:val="14"/>
        </w:rPr>
        <w:t>  </w:t>
      </w:r>
      <w:r>
        <w:rPr>
          <w:rFonts w:ascii="Arial"/>
          <w:i/>
          <w:sz w:val="20"/>
        </w:rPr>
        <w:t>Rookes</w:t>
      </w:r>
      <w:r>
        <w:rPr>
          <w:rFonts w:ascii="Arial"/>
          <w:i/>
          <w:spacing w:val="1"/>
          <w:sz w:val="20"/>
        </w:rPr>
        <w:t> </w:t>
      </w:r>
      <w:r>
        <w:rPr>
          <w:rFonts w:ascii="Arial"/>
          <w:i/>
          <w:sz w:val="20"/>
        </w:rPr>
        <w:t>v Barnard [1964] A.C. </w:t>
      </w:r>
      <w:r>
        <w:rPr>
          <w:rFonts w:ascii="Arial"/>
          <w:i/>
          <w:spacing w:val="-2"/>
          <w:sz w:val="20"/>
        </w:rPr>
        <w:t>1129</w:t>
      </w:r>
      <w:r>
        <w:rPr>
          <w:spacing w:val="-2"/>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1193</w:t>
      </w:r>
      <w:r>
        <w:rPr>
          <w:position w:val="5"/>
          <w:sz w:val="14"/>
        </w:rPr>
        <w:t>.</w:t>
      </w:r>
      <w:r>
        <w:rPr>
          <w:spacing w:val="80"/>
          <w:position w:val="5"/>
          <w:sz w:val="14"/>
        </w:rPr>
        <w:t> </w:t>
      </w:r>
      <w:r>
        <w:rPr>
          <w:sz w:val="20"/>
        </w:rPr>
        <w:t>For example, where A threatens B, his creditor, that he will not pay a debt owed unless B accepts a smaller sum in full satisfaction, A may be liable to B in the tort of intimidation: </w:t>
      </w:r>
      <w:r>
        <w:rPr>
          <w:rFonts w:ascii="Arial"/>
          <w:i/>
          <w:sz w:val="20"/>
        </w:rPr>
        <w:t>D.&amp;C. Builders Ltd v Rees [1966] 2 Q.B. 617, 625</w:t>
      </w:r>
      <w:r>
        <w:rPr>
          <w:sz w:val="20"/>
        </w:rPr>
        <w:t>.</w:t>
      </w:r>
    </w:p>
    <w:p>
      <w:pPr>
        <w:pStyle w:val="BodyText"/>
        <w:spacing w:before="9"/>
      </w:pPr>
    </w:p>
    <w:p>
      <w:pPr>
        <w:pStyle w:val="BodyText"/>
        <w:spacing w:line="235" w:lineRule="auto"/>
        <w:ind w:left="705" w:right="167" w:hanging="541"/>
        <w:jc w:val="both"/>
      </w:pPr>
      <w:r>
        <w:rPr>
          <w:color w:val="005DA1"/>
          <w:position w:val="5"/>
          <w:sz w:val="14"/>
          <w:u w:val="single" w:color="005DA1"/>
        </w:rPr>
        <w:t>1194</w:t>
      </w:r>
      <w:r>
        <w:rPr>
          <w:position w:val="5"/>
          <w:sz w:val="14"/>
        </w:rPr>
        <w:t>.</w:t>
      </w:r>
      <w:r>
        <w:rPr>
          <w:spacing w:val="80"/>
          <w:w w:val="150"/>
          <w:position w:val="5"/>
          <w:sz w:val="14"/>
        </w:rPr>
        <w:t> </w:t>
      </w:r>
      <w:r>
        <w:rPr/>
        <w:t>Clerk</w:t>
      </w:r>
      <w:r>
        <w:rPr>
          <w:spacing w:val="-1"/>
        </w:rPr>
        <w:t> </w:t>
      </w:r>
      <w:r>
        <w:rPr/>
        <w:t>&amp;</w:t>
      </w:r>
      <w:r>
        <w:rPr>
          <w:spacing w:val="-1"/>
        </w:rPr>
        <w:t> </w:t>
      </w:r>
      <w:r>
        <w:rPr/>
        <w:t>Lindsell</w:t>
      </w:r>
      <w:r>
        <w:rPr>
          <w:spacing w:val="-1"/>
        </w:rPr>
        <w:t> </w:t>
      </w:r>
      <w:r>
        <w:rPr/>
        <w:t>on</w:t>
      </w:r>
      <w:r>
        <w:rPr>
          <w:spacing w:val="-1"/>
        </w:rPr>
        <w:t> </w:t>
      </w:r>
      <w:r>
        <w:rPr/>
        <w:t>Torts,</w:t>
      </w:r>
      <w:r>
        <w:rPr>
          <w:spacing w:val="-1"/>
        </w:rPr>
        <w:t> </w:t>
      </w:r>
      <w:r>
        <w:rPr/>
        <w:t>21st</w:t>
      </w:r>
      <w:r>
        <w:rPr>
          <w:spacing w:val="-1"/>
        </w:rPr>
        <w:t> </w:t>
      </w:r>
      <w:r>
        <w:rPr/>
        <w:t>edn</w:t>
      </w:r>
      <w:r>
        <w:rPr>
          <w:spacing w:val="-1"/>
        </w:rPr>
        <w:t> </w:t>
      </w:r>
      <w:r>
        <w:rPr/>
        <w:t>(2014),</w:t>
      </w:r>
      <w:r>
        <w:rPr>
          <w:spacing w:val="-1"/>
        </w:rPr>
        <w:t> </w:t>
      </w:r>
      <w:r>
        <w:rPr/>
        <w:t>para.24–65.</w:t>
      </w:r>
      <w:r>
        <w:rPr>
          <w:spacing w:val="-1"/>
        </w:rPr>
        <w:t> </w:t>
      </w:r>
      <w:r>
        <w:rPr/>
        <w:t>In</w:t>
      </w:r>
      <w:r>
        <w:rPr>
          <w:spacing w:val="-2"/>
        </w:rPr>
        <w:t> </w:t>
      </w:r>
      <w:r>
        <w:rPr>
          <w:rFonts w:ascii="Arial" w:hAnsi="Arial"/>
          <w:i/>
        </w:rPr>
        <w:t>Morgan</w:t>
      </w:r>
      <w:r>
        <w:rPr>
          <w:rFonts w:ascii="Arial" w:hAnsi="Arial"/>
          <w:i/>
          <w:spacing w:val="-1"/>
        </w:rPr>
        <w:t> </w:t>
      </w:r>
      <w:r>
        <w:rPr>
          <w:rFonts w:ascii="Arial" w:hAnsi="Arial"/>
          <w:i/>
        </w:rPr>
        <w:t>v</w:t>
      </w:r>
      <w:r>
        <w:rPr>
          <w:rFonts w:ascii="Arial" w:hAnsi="Arial"/>
          <w:i/>
          <w:spacing w:val="-1"/>
        </w:rPr>
        <w:t> </w:t>
      </w:r>
      <w:r>
        <w:rPr>
          <w:rFonts w:ascii="Arial" w:hAnsi="Arial"/>
          <w:i/>
        </w:rPr>
        <w:t>Fry</w:t>
      </w:r>
      <w:r>
        <w:rPr>
          <w:rFonts w:ascii="Arial" w:hAnsi="Arial"/>
          <w:i/>
          <w:spacing w:val="-1"/>
        </w:rPr>
        <w:t> </w:t>
      </w:r>
      <w:r>
        <w:rPr>
          <w:rFonts w:ascii="Arial" w:hAnsi="Arial"/>
          <w:i/>
        </w:rPr>
        <w:t>[1968]</w:t>
      </w:r>
      <w:r>
        <w:rPr>
          <w:rFonts w:ascii="Arial" w:hAnsi="Arial"/>
          <w:i/>
          <w:spacing w:val="-1"/>
        </w:rPr>
        <w:t> </w:t>
      </w:r>
      <w:r>
        <w:rPr>
          <w:rFonts w:ascii="Arial" w:hAnsi="Arial"/>
          <w:i/>
        </w:rPr>
        <w:t>2</w:t>
      </w:r>
      <w:r>
        <w:rPr>
          <w:rFonts w:ascii="Arial" w:hAnsi="Arial"/>
          <w:i/>
          <w:spacing w:val="-1"/>
        </w:rPr>
        <w:t> </w:t>
      </w:r>
      <w:r>
        <w:rPr>
          <w:rFonts w:ascii="Arial" w:hAnsi="Arial"/>
          <w:i/>
        </w:rPr>
        <w:t>Q.B.</w:t>
      </w:r>
      <w:r>
        <w:rPr>
          <w:rFonts w:ascii="Arial" w:hAnsi="Arial"/>
          <w:i/>
          <w:spacing w:val="-1"/>
        </w:rPr>
        <w:t> </w:t>
      </w:r>
      <w:r>
        <w:rPr>
          <w:rFonts w:ascii="Arial" w:hAnsi="Arial"/>
          <w:i/>
        </w:rPr>
        <w:t>710,</w:t>
      </w:r>
      <w:r>
        <w:rPr>
          <w:rFonts w:ascii="Arial" w:hAnsi="Arial"/>
          <w:i/>
          <w:spacing w:val="-1"/>
        </w:rPr>
        <w:t> </w:t>
      </w:r>
      <w:r>
        <w:rPr>
          <w:rFonts w:ascii="Arial" w:hAnsi="Arial"/>
          <w:i/>
        </w:rPr>
        <w:t>737</w:t>
      </w:r>
      <w:r>
        <w:rPr/>
        <w:t>, Russell L.J.’s judgment suggests that not every threat to break a contract of employment </w:t>
      </w:r>
      <w:r>
        <w:rPr/>
        <w:t>would be sufficient to constitute the tort of intimidation.</w:t>
      </w:r>
    </w:p>
    <w:p>
      <w:pPr>
        <w:pStyle w:val="BodyText"/>
        <w:spacing w:before="5"/>
      </w:pPr>
    </w:p>
    <w:p>
      <w:pPr>
        <w:spacing w:before="0"/>
        <w:ind w:left="165" w:right="0" w:firstLine="0"/>
        <w:jc w:val="left"/>
        <w:rPr>
          <w:sz w:val="20"/>
        </w:rPr>
      </w:pPr>
      <w:r>
        <w:rPr>
          <w:color w:val="005DA1"/>
          <w:position w:val="5"/>
          <w:sz w:val="14"/>
          <w:u w:val="single" w:color="005DA1"/>
        </w:rPr>
        <w:t>1195</w:t>
      </w:r>
      <w:r>
        <w:rPr>
          <w:position w:val="5"/>
          <w:sz w:val="14"/>
        </w:rPr>
        <w:t>.</w:t>
      </w:r>
      <w:r>
        <w:rPr>
          <w:spacing w:val="55"/>
          <w:position w:val="5"/>
          <w:sz w:val="14"/>
        </w:rPr>
        <w:t>  </w:t>
      </w:r>
      <w:r>
        <w:rPr>
          <w:sz w:val="20"/>
        </w:rPr>
        <w:t>See</w:t>
      </w:r>
      <w:r>
        <w:rPr>
          <w:spacing w:val="1"/>
          <w:sz w:val="20"/>
        </w:rPr>
        <w:t> </w:t>
      </w:r>
      <w:r>
        <w:rPr>
          <w:sz w:val="20"/>
        </w:rPr>
        <w:t>below, para.24-</w:t>
      </w:r>
      <w:r>
        <w:rPr>
          <w:spacing w:val="-4"/>
          <w:sz w:val="20"/>
        </w:rPr>
        <w:t>022.</w:t>
      </w:r>
    </w:p>
    <w:p>
      <w:pPr>
        <w:pStyle w:val="BodyText"/>
        <w:spacing w:before="9"/>
      </w:pPr>
    </w:p>
    <w:p>
      <w:pPr>
        <w:pStyle w:val="BodyText"/>
        <w:spacing w:line="235" w:lineRule="auto"/>
        <w:ind w:left="705" w:right="167" w:hanging="541"/>
        <w:jc w:val="both"/>
      </w:pPr>
      <w:r>
        <w:rPr>
          <w:color w:val="005DA1"/>
          <w:position w:val="5"/>
          <w:sz w:val="14"/>
          <w:u w:val="single" w:color="005DA1"/>
        </w:rPr>
        <w:t>1196</w:t>
      </w:r>
      <w:r>
        <w:rPr>
          <w:position w:val="5"/>
          <w:sz w:val="14"/>
        </w:rPr>
        <w:t>.</w:t>
      </w:r>
      <w:r>
        <w:rPr>
          <w:spacing w:val="53"/>
          <w:position w:val="5"/>
          <w:sz w:val="14"/>
        </w:rPr>
        <w:t>  </w:t>
      </w:r>
      <w:r>
        <w:rPr/>
        <w:t>Clerk &amp; Lindsell on Torts, 19th edn (2006) at para.25–86, especially at n.87, referring to </w:t>
      </w:r>
      <w:r>
        <w:rPr>
          <w:rFonts w:ascii="Arial" w:hAnsi="Arial"/>
          <w:i/>
        </w:rPr>
        <w:t>Kenny</w:t>
      </w:r>
      <w:r>
        <w:rPr>
          <w:rFonts w:ascii="Arial" w:hAnsi="Arial"/>
          <w:i/>
          <w:spacing w:val="40"/>
        </w:rPr>
        <w:t> </w:t>
      </w:r>
      <w:r>
        <w:rPr>
          <w:rFonts w:ascii="Arial" w:hAnsi="Arial"/>
          <w:i/>
        </w:rPr>
        <w:t>v Preen [1963] 1 Q.B. 499 </w:t>
      </w:r>
      <w:r>
        <w:rPr/>
        <w:t>in which the Court of Appeal refused to award punitive </w:t>
      </w:r>
      <w:r>
        <w:rPr/>
        <w:t>damages where the claim was only for breach of contract, and see above, para.1-151.</w:t>
      </w:r>
    </w:p>
    <w:p>
      <w:pPr>
        <w:pStyle w:val="BodyText"/>
        <w:spacing w:before="5"/>
      </w:pPr>
    </w:p>
    <w:p>
      <w:pPr>
        <w:pStyle w:val="BodyText"/>
        <w:ind w:left="165"/>
      </w:pPr>
      <w:r>
        <w:rPr>
          <w:color w:val="005DA1"/>
          <w:position w:val="5"/>
          <w:sz w:val="14"/>
          <w:u w:val="single" w:color="005DA1"/>
        </w:rPr>
        <w:t>1197</w:t>
      </w:r>
      <w:r>
        <w:rPr>
          <w:position w:val="5"/>
          <w:sz w:val="14"/>
        </w:rPr>
        <w:t>.</w:t>
      </w:r>
      <w:r>
        <w:rPr>
          <w:spacing w:val="55"/>
          <w:position w:val="5"/>
          <w:sz w:val="14"/>
        </w:rPr>
        <w:t>  </w:t>
      </w:r>
      <w:r>
        <w:rPr/>
        <w:t>Clerk</w:t>
      </w:r>
      <w:r>
        <w:rPr>
          <w:spacing w:val="1"/>
        </w:rPr>
        <w:t> </w:t>
      </w:r>
      <w:r>
        <w:rPr/>
        <w:t>&amp; Lindsell on Torts, 19th edn (2006) at para.25–86, </w:t>
      </w:r>
      <w:r>
        <w:rPr>
          <w:spacing w:val="-2"/>
        </w:rPr>
        <w:t>n.91.</w:t>
      </w:r>
    </w:p>
    <w:p>
      <w:pPr>
        <w:pStyle w:val="BodyText"/>
        <w:spacing w:before="5"/>
      </w:pPr>
    </w:p>
    <w:p>
      <w:pPr>
        <w:spacing w:before="0"/>
        <w:ind w:left="165" w:right="0" w:firstLine="0"/>
        <w:jc w:val="left"/>
        <w:rPr>
          <w:sz w:val="20"/>
        </w:rPr>
      </w:pPr>
      <w:r>
        <w:rPr>
          <w:color w:val="005DA1"/>
          <w:position w:val="5"/>
          <w:sz w:val="14"/>
          <w:u w:val="single" w:color="005DA1"/>
        </w:rPr>
        <w:t>1198</w:t>
      </w:r>
      <w:r>
        <w:rPr>
          <w:position w:val="5"/>
          <w:sz w:val="14"/>
        </w:rPr>
        <w:t>.</w:t>
      </w:r>
      <w:r>
        <w:rPr>
          <w:spacing w:val="55"/>
          <w:position w:val="5"/>
          <w:sz w:val="14"/>
        </w:rPr>
        <w:t>  </w:t>
      </w:r>
      <w:r>
        <w:rPr>
          <w:sz w:val="20"/>
        </w:rPr>
        <w:t>Cane, </w:t>
      </w:r>
      <w:r>
        <w:rPr>
          <w:rFonts w:ascii="Arial"/>
          <w:i/>
          <w:sz w:val="20"/>
        </w:rPr>
        <w:t>Tort Law and</w:t>
      </w:r>
      <w:r>
        <w:rPr>
          <w:rFonts w:ascii="Arial"/>
          <w:i/>
          <w:spacing w:val="-1"/>
          <w:sz w:val="20"/>
        </w:rPr>
        <w:t> </w:t>
      </w:r>
      <w:r>
        <w:rPr>
          <w:rFonts w:ascii="Arial"/>
          <w:i/>
          <w:sz w:val="20"/>
        </w:rPr>
        <w:t>Economic Interests</w:t>
      </w:r>
      <w:r>
        <w:rPr>
          <w:sz w:val="20"/>
        </w:rPr>
        <w:t>, 2nd edn (1996), </w:t>
      </w:r>
      <w:r>
        <w:rPr>
          <w:spacing w:val="-2"/>
          <w:sz w:val="20"/>
        </w:rPr>
        <w:t>p.130.</w:t>
      </w:r>
    </w:p>
    <w:p>
      <w:pPr>
        <w:pStyle w:val="BodyText"/>
        <w:spacing w:before="9"/>
      </w:pPr>
    </w:p>
    <w:p>
      <w:pPr>
        <w:spacing w:line="235" w:lineRule="auto" w:before="0"/>
        <w:ind w:left="705" w:right="167" w:hanging="541"/>
        <w:jc w:val="both"/>
        <w:rPr>
          <w:rFonts w:ascii="Arial"/>
          <w:i/>
          <w:sz w:val="20"/>
        </w:rPr>
      </w:pPr>
      <w:r>
        <w:rPr>
          <w:color w:val="005DA1"/>
          <w:position w:val="5"/>
          <w:sz w:val="14"/>
          <w:u w:val="single" w:color="005DA1"/>
        </w:rPr>
        <w:t>1199</w:t>
      </w:r>
      <w:r>
        <w:rPr>
          <w:position w:val="5"/>
          <w:sz w:val="14"/>
        </w:rPr>
        <w:t>.</w:t>
      </w:r>
      <w:r>
        <w:rPr>
          <w:spacing w:val="80"/>
          <w:position w:val="5"/>
          <w:sz w:val="14"/>
        </w:rPr>
        <w:t> </w:t>
      </w:r>
      <w:r>
        <w:rPr>
          <w:sz w:val="20"/>
        </w:rPr>
        <w:t>cf. </w:t>
      </w:r>
      <w:r>
        <w:rPr>
          <w:rFonts w:ascii="Arial"/>
          <w:i/>
          <w:sz w:val="20"/>
        </w:rPr>
        <w:t>Kenny v Preen [1963] 1 Q.B. 499</w:t>
      </w:r>
      <w:r>
        <w:rPr>
          <w:sz w:val="20"/>
        </w:rPr>
        <w:t>; </w:t>
      </w:r>
      <w:r>
        <w:rPr>
          <w:rFonts w:ascii="Arial"/>
          <w:i/>
          <w:sz w:val="20"/>
        </w:rPr>
        <w:t>McCall v Abelesz [1976] Q.B. 585, 594 </w:t>
      </w:r>
      <w:r>
        <w:rPr>
          <w:sz w:val="20"/>
        </w:rPr>
        <w:t>and see </w:t>
      </w:r>
      <w:r>
        <w:rPr>
          <w:sz w:val="20"/>
        </w:rPr>
        <w:t>below, para.26-044 and cf. the refusal of English courts to distinguish between deliberate and other breaches of contract for the purposes of the validity of exemption clauses, below, para.15-019 and</w:t>
      </w:r>
      <w:r>
        <w:rPr>
          <w:spacing w:val="11"/>
          <w:sz w:val="20"/>
        </w:rPr>
        <w:t> </w:t>
      </w:r>
      <w:r>
        <w:rPr>
          <w:sz w:val="20"/>
        </w:rPr>
        <w:t>see</w:t>
      </w:r>
      <w:r>
        <w:rPr>
          <w:spacing w:val="11"/>
          <w:sz w:val="20"/>
        </w:rPr>
        <w:t> </w:t>
      </w:r>
      <w:r>
        <w:rPr>
          <w:sz w:val="20"/>
        </w:rPr>
        <w:t>Unfair</w:t>
      </w:r>
      <w:r>
        <w:rPr>
          <w:spacing w:val="11"/>
          <w:sz w:val="20"/>
        </w:rPr>
        <w:t> </w:t>
      </w:r>
      <w:r>
        <w:rPr>
          <w:sz w:val="20"/>
        </w:rPr>
        <w:t>Contract</w:t>
      </w:r>
      <w:r>
        <w:rPr>
          <w:spacing w:val="11"/>
          <w:sz w:val="20"/>
        </w:rPr>
        <w:t> </w:t>
      </w:r>
      <w:r>
        <w:rPr>
          <w:sz w:val="20"/>
        </w:rPr>
        <w:t>Terms</w:t>
      </w:r>
      <w:r>
        <w:rPr>
          <w:spacing w:val="11"/>
          <w:sz w:val="20"/>
        </w:rPr>
        <w:t> </w:t>
      </w:r>
      <w:r>
        <w:rPr>
          <w:sz w:val="20"/>
        </w:rPr>
        <w:t>Act</w:t>
      </w:r>
      <w:r>
        <w:rPr>
          <w:spacing w:val="11"/>
          <w:sz w:val="20"/>
        </w:rPr>
        <w:t> </w:t>
      </w:r>
      <w:r>
        <w:rPr>
          <w:sz w:val="20"/>
        </w:rPr>
        <w:t>1977</w:t>
      </w:r>
      <w:r>
        <w:rPr>
          <w:spacing w:val="11"/>
          <w:sz w:val="20"/>
        </w:rPr>
        <w:t> </w:t>
      </w:r>
      <w:r>
        <w:rPr>
          <w:sz w:val="20"/>
        </w:rPr>
        <w:t>s.1(4).</w:t>
      </w:r>
      <w:r>
        <w:rPr>
          <w:spacing w:val="11"/>
          <w:sz w:val="20"/>
        </w:rPr>
        <w:t> </w:t>
      </w:r>
      <w:r>
        <w:rPr>
          <w:sz w:val="20"/>
        </w:rPr>
        <w:t>In</w:t>
      </w:r>
      <w:r>
        <w:rPr>
          <w:spacing w:val="10"/>
          <w:sz w:val="20"/>
        </w:rPr>
        <w:t> </w:t>
      </w:r>
      <w:r>
        <w:rPr>
          <w:rFonts w:ascii="Arial"/>
          <w:i/>
          <w:sz w:val="20"/>
        </w:rPr>
        <w:t>Bank</w:t>
      </w:r>
      <w:r>
        <w:rPr>
          <w:rFonts w:ascii="Arial"/>
          <w:i/>
          <w:spacing w:val="11"/>
          <w:sz w:val="20"/>
        </w:rPr>
        <w:t> </w:t>
      </w:r>
      <w:r>
        <w:rPr>
          <w:rFonts w:ascii="Arial"/>
          <w:i/>
          <w:sz w:val="20"/>
        </w:rPr>
        <w:t>of</w:t>
      </w:r>
      <w:r>
        <w:rPr>
          <w:rFonts w:ascii="Arial"/>
          <w:i/>
          <w:spacing w:val="11"/>
          <w:sz w:val="20"/>
        </w:rPr>
        <w:t> </w:t>
      </w:r>
      <w:r>
        <w:rPr>
          <w:rFonts w:ascii="Arial"/>
          <w:i/>
          <w:sz w:val="20"/>
        </w:rPr>
        <w:t>Nova</w:t>
      </w:r>
      <w:r>
        <w:rPr>
          <w:rFonts w:ascii="Arial"/>
          <w:i/>
          <w:spacing w:val="11"/>
          <w:sz w:val="20"/>
        </w:rPr>
        <w:t> </w:t>
      </w:r>
      <w:r>
        <w:rPr>
          <w:rFonts w:ascii="Arial"/>
          <w:i/>
          <w:sz w:val="20"/>
        </w:rPr>
        <w:t>Scotia</w:t>
      </w:r>
      <w:r>
        <w:rPr>
          <w:rFonts w:ascii="Arial"/>
          <w:i/>
          <w:spacing w:val="11"/>
          <w:sz w:val="20"/>
        </w:rPr>
        <w:t> </w:t>
      </w:r>
      <w:r>
        <w:rPr>
          <w:rFonts w:ascii="Arial"/>
          <w:i/>
          <w:sz w:val="20"/>
        </w:rPr>
        <w:t>v</w:t>
      </w:r>
      <w:r>
        <w:rPr>
          <w:rFonts w:ascii="Arial"/>
          <w:i/>
          <w:spacing w:val="11"/>
          <w:sz w:val="20"/>
        </w:rPr>
        <w:t> </w:t>
      </w:r>
      <w:r>
        <w:rPr>
          <w:rFonts w:ascii="Arial"/>
          <w:i/>
          <w:sz w:val="20"/>
        </w:rPr>
        <w:t>Hellenic</w:t>
      </w:r>
      <w:r>
        <w:rPr>
          <w:rFonts w:ascii="Arial"/>
          <w:i/>
          <w:spacing w:val="11"/>
          <w:sz w:val="20"/>
        </w:rPr>
        <w:t> </w:t>
      </w:r>
      <w:r>
        <w:rPr>
          <w:rFonts w:ascii="Arial"/>
          <w:i/>
          <w:sz w:val="20"/>
        </w:rPr>
        <w:t>Mutual</w:t>
      </w:r>
      <w:r>
        <w:rPr>
          <w:rFonts w:ascii="Arial"/>
          <w:i/>
          <w:spacing w:val="11"/>
          <w:sz w:val="20"/>
        </w:rPr>
        <w:t> </w:t>
      </w:r>
      <w:r>
        <w:rPr>
          <w:rFonts w:ascii="Arial"/>
          <w:i/>
          <w:spacing w:val="-5"/>
          <w:sz w:val="20"/>
        </w:rPr>
        <w:t>War</w:t>
      </w:r>
    </w:p>
    <w:p>
      <w:pPr>
        <w:spacing w:after="0" w:line="235" w:lineRule="auto"/>
        <w:jc w:val="both"/>
        <w:rPr>
          <w:rFonts w:ascii="Arial"/>
          <w:i/>
          <w:sz w:val="20"/>
        </w:rPr>
        <w:sectPr>
          <w:pgSz w:w="11900" w:h="16840"/>
          <w:pgMar w:header="971" w:footer="0" w:top="1300" w:bottom="280" w:left="1275" w:right="1275"/>
        </w:sectPr>
      </w:pPr>
    </w:p>
    <w:p>
      <w:pPr>
        <w:spacing w:line="235" w:lineRule="auto" w:before="110"/>
        <w:ind w:left="705" w:right="0" w:firstLine="0"/>
        <w:jc w:val="left"/>
        <w:rPr>
          <w:sz w:val="20"/>
        </w:rPr>
      </w:pPr>
      <w:r>
        <w:rPr>
          <w:rFonts w:ascii="Arial" w:hAnsi="Arial"/>
          <w:i/>
          <w:sz w:val="20"/>
        </w:rPr>
        <w:t>Risks Association (Bermuda) Ltd [1990] 1 Q.B. 818, 894</w:t>
      </w:r>
      <w:r>
        <w:rPr>
          <w:sz w:val="20"/>
        </w:rPr>
        <w:t>, May L.J. observed that “a deliberate contract breaker is guilty of no more than breach of contract”.</w:t>
      </w:r>
    </w:p>
    <w:p>
      <w:pPr>
        <w:pStyle w:val="BodyText"/>
        <w:spacing w:before="6"/>
      </w:pPr>
    </w:p>
    <w:p>
      <w:pPr>
        <w:pStyle w:val="BodyText"/>
        <w:ind w:left="165"/>
      </w:pPr>
      <w:r>
        <w:rPr>
          <w:color w:val="005DA1"/>
          <w:position w:val="5"/>
          <w:sz w:val="14"/>
          <w:u w:val="single" w:color="005DA1"/>
        </w:rPr>
        <w:t>1200</w:t>
      </w:r>
      <w:r>
        <w:rPr>
          <w:position w:val="5"/>
          <w:sz w:val="14"/>
        </w:rPr>
        <w:t>.</w:t>
      </w:r>
      <w:r>
        <w:rPr>
          <w:spacing w:val="55"/>
          <w:position w:val="5"/>
          <w:sz w:val="14"/>
        </w:rPr>
        <w:t>  </w:t>
      </w:r>
      <w:r>
        <w:rPr/>
        <w:t>Winfield</w:t>
      </w:r>
      <w:r>
        <w:rPr>
          <w:spacing w:val="1"/>
        </w:rPr>
        <w:t> </w:t>
      </w:r>
      <w:r>
        <w:rPr/>
        <w:t>and Jolowicz on Tort, 19th edn (2014), paras 18–21—</w:t>
      </w:r>
      <w:r>
        <w:rPr>
          <w:spacing w:val="-2"/>
        </w:rPr>
        <w:t>18–23.</w:t>
      </w:r>
    </w:p>
    <w:p>
      <w:pPr>
        <w:pStyle w:val="BodyText"/>
        <w:spacing w:before="8"/>
      </w:pPr>
    </w:p>
    <w:p>
      <w:pPr>
        <w:spacing w:line="235" w:lineRule="auto" w:before="1"/>
        <w:ind w:left="705" w:right="167" w:hanging="541"/>
        <w:jc w:val="both"/>
        <w:rPr>
          <w:sz w:val="20"/>
        </w:rPr>
      </w:pPr>
      <w:r>
        <w:rPr>
          <w:color w:val="005DA1"/>
          <w:position w:val="5"/>
          <w:sz w:val="14"/>
          <w:u w:val="single" w:color="005DA1"/>
        </w:rPr>
        <w:t>1201</w:t>
      </w:r>
      <w:r>
        <w:rPr>
          <w:position w:val="5"/>
          <w:sz w:val="14"/>
        </w:rPr>
        <w:t>.</w:t>
      </w:r>
      <w:r>
        <w:rPr>
          <w:spacing w:val="80"/>
          <w:w w:val="150"/>
          <w:position w:val="5"/>
          <w:sz w:val="14"/>
        </w:rPr>
        <w:t> </w:t>
      </w:r>
      <w:r>
        <w:rPr>
          <w:sz w:val="20"/>
        </w:rPr>
        <w:t>In </w:t>
      </w:r>
      <w:r>
        <w:rPr>
          <w:rFonts w:ascii="Arial" w:hAnsi="Arial"/>
          <w:i/>
          <w:sz w:val="20"/>
        </w:rPr>
        <w:t>OGB Ltd v Allan, Douglas v Hello! Ltd, Mainstream Properties Ltd v Young, Douglas v Hello! Ltd, Mainstream Properties Ltd v Young [2007] UKHL 21, [2008] 1 A.C. 1</w:t>
      </w:r>
      <w:r>
        <w:rPr>
          <w:rFonts w:ascii="Arial" w:hAnsi="Arial"/>
          <w:i/>
          <w:spacing w:val="-1"/>
          <w:sz w:val="20"/>
        </w:rPr>
        <w:t> </w:t>
      </w:r>
      <w:r>
        <w:rPr>
          <w:sz w:val="20"/>
        </w:rPr>
        <w:t>at [61] Lord </w:t>
      </w:r>
      <w:r>
        <w:rPr>
          <w:sz w:val="20"/>
        </w:rPr>
        <w:t>Hoffmann was careful to put aside the question of possible recovery by a claimant who has been compelled by unlawful intimidation to act to his own detriment: “[s]uch a case of ‘two party intimidation’ raises altogether different issues”.</w:t>
      </w:r>
    </w:p>
    <w:p>
      <w:pPr>
        <w:pStyle w:val="BodyText"/>
        <w:spacing w:before="7"/>
      </w:pPr>
    </w:p>
    <w:p>
      <w:pPr>
        <w:pStyle w:val="BodyText"/>
        <w:spacing w:line="235" w:lineRule="auto" w:before="1"/>
        <w:ind w:left="705" w:right="167" w:hanging="541"/>
        <w:jc w:val="both"/>
      </w:pPr>
      <w:r>
        <w:rPr>
          <w:color w:val="005DA1"/>
          <w:position w:val="5"/>
          <w:sz w:val="14"/>
          <w:u w:val="single" w:color="005DA1"/>
        </w:rPr>
        <w:t>1202</w:t>
      </w:r>
      <w:r>
        <w:rPr>
          <w:position w:val="5"/>
          <w:sz w:val="14"/>
        </w:rPr>
        <w:t>.</w:t>
      </w:r>
      <w:r>
        <w:rPr>
          <w:spacing w:val="80"/>
          <w:position w:val="5"/>
          <w:sz w:val="14"/>
        </w:rPr>
        <w:t> </w:t>
      </w:r>
      <w:r>
        <w:rPr/>
        <w:t>SI 2008/1277 (“2008 Regulations”) especially Pt 4A as inserted by Unfair Consumer Protection (Amendment) Regulations 2014 (SI 2014/870) on which see generally Vol.II, paras 38-145 </w:t>
      </w:r>
      <w:r>
        <w:rPr/>
        <w:t>et </w:t>
      </w:r>
      <w:r>
        <w:rPr>
          <w:spacing w:val="-4"/>
        </w:rPr>
        <w:t>seq.</w:t>
      </w:r>
    </w:p>
    <w:p>
      <w:pPr>
        <w:pStyle w:val="BodyText"/>
        <w:spacing w:before="5"/>
      </w:pPr>
    </w:p>
    <w:p>
      <w:pPr>
        <w:pStyle w:val="BodyText"/>
        <w:ind w:left="165"/>
      </w:pPr>
      <w:r>
        <w:rPr>
          <w:color w:val="005DA1"/>
          <w:position w:val="5"/>
          <w:sz w:val="14"/>
          <w:u w:val="single" w:color="005DA1"/>
        </w:rPr>
        <w:t>1203</w:t>
      </w:r>
      <w:r>
        <w:rPr>
          <w:position w:val="5"/>
          <w:sz w:val="14"/>
        </w:rPr>
        <w:t>.</w:t>
      </w:r>
      <w:r>
        <w:rPr>
          <w:spacing w:val="55"/>
          <w:position w:val="5"/>
          <w:sz w:val="14"/>
        </w:rPr>
        <w:t>  </w:t>
      </w:r>
      <w:r>
        <w:rPr/>
        <w:t>2008</w:t>
      </w:r>
      <w:r>
        <w:rPr>
          <w:spacing w:val="1"/>
        </w:rPr>
        <w:t> </w:t>
      </w:r>
      <w:r>
        <w:rPr/>
        <w:t>Regulations regs 2(1), 27C and 27D, on which see Vol.II, paras 38-148 and 38-</w:t>
      </w:r>
      <w:r>
        <w:rPr>
          <w:spacing w:val="-4"/>
        </w:rPr>
        <w:t>161.</w:t>
      </w:r>
    </w:p>
    <w:p>
      <w:pPr>
        <w:pStyle w:val="BodyText"/>
        <w:spacing w:before="5"/>
      </w:pPr>
    </w:p>
    <w:p>
      <w:pPr>
        <w:pStyle w:val="BodyText"/>
        <w:spacing w:line="227" w:lineRule="exact"/>
        <w:ind w:left="165"/>
      </w:pPr>
      <w:r>
        <w:rPr>
          <w:color w:val="005DA1"/>
          <w:position w:val="5"/>
          <w:sz w:val="14"/>
          <w:u w:val="single" w:color="005DA1"/>
        </w:rPr>
        <w:t>1204</w:t>
      </w:r>
      <w:r>
        <w:rPr>
          <w:position w:val="5"/>
          <w:sz w:val="14"/>
        </w:rPr>
        <w:t>.</w:t>
      </w:r>
      <w:r>
        <w:rPr>
          <w:spacing w:val="55"/>
          <w:position w:val="5"/>
          <w:sz w:val="14"/>
        </w:rPr>
        <w:t>  </w:t>
      </w:r>
      <w:r>
        <w:rPr/>
        <w:t>2008</w:t>
      </w:r>
      <w:r>
        <w:rPr>
          <w:spacing w:val="19"/>
        </w:rPr>
        <w:t> </w:t>
      </w:r>
      <w:r>
        <w:rPr/>
        <w:t>Regulations</w:t>
      </w:r>
      <w:r>
        <w:rPr>
          <w:spacing w:val="18"/>
        </w:rPr>
        <w:t> </w:t>
      </w:r>
      <w:r>
        <w:rPr/>
        <w:t>reg.27A</w:t>
      </w:r>
      <w:r>
        <w:rPr>
          <w:spacing w:val="18"/>
        </w:rPr>
        <w:t> </w:t>
      </w:r>
      <w:r>
        <w:rPr/>
        <w:t>and</w:t>
      </w:r>
      <w:r>
        <w:rPr>
          <w:spacing w:val="18"/>
        </w:rPr>
        <w:t> </w:t>
      </w:r>
      <w:r>
        <w:rPr/>
        <w:t>27B</w:t>
      </w:r>
      <w:r>
        <w:rPr>
          <w:spacing w:val="18"/>
        </w:rPr>
        <w:t> </w:t>
      </w:r>
      <w:r>
        <w:rPr/>
        <w:t>on</w:t>
      </w:r>
      <w:r>
        <w:rPr>
          <w:spacing w:val="18"/>
        </w:rPr>
        <w:t> </w:t>
      </w:r>
      <w:r>
        <w:rPr/>
        <w:t>which</w:t>
      </w:r>
      <w:r>
        <w:rPr>
          <w:spacing w:val="18"/>
        </w:rPr>
        <w:t> </w:t>
      </w:r>
      <w:r>
        <w:rPr/>
        <w:t>see</w:t>
      </w:r>
      <w:r>
        <w:rPr>
          <w:spacing w:val="18"/>
        </w:rPr>
        <w:t> </w:t>
      </w:r>
      <w:r>
        <w:rPr/>
        <w:t>further</w:t>
      </w:r>
      <w:r>
        <w:rPr>
          <w:spacing w:val="18"/>
        </w:rPr>
        <w:t> </w:t>
      </w:r>
      <w:r>
        <w:rPr/>
        <w:t>Vol.II,</w:t>
      </w:r>
      <w:r>
        <w:rPr>
          <w:spacing w:val="18"/>
        </w:rPr>
        <w:t> </w:t>
      </w:r>
      <w:r>
        <w:rPr/>
        <w:t>paras</w:t>
      </w:r>
      <w:r>
        <w:rPr>
          <w:spacing w:val="18"/>
        </w:rPr>
        <w:t> </w:t>
      </w:r>
      <w:r>
        <w:rPr/>
        <w:t>38-165,</w:t>
      </w:r>
      <w:r>
        <w:rPr>
          <w:spacing w:val="18"/>
        </w:rPr>
        <w:t> </w:t>
      </w:r>
      <w:r>
        <w:rPr/>
        <w:t>38-166,</w:t>
      </w:r>
      <w:r>
        <w:rPr>
          <w:spacing w:val="18"/>
        </w:rPr>
        <w:t> </w:t>
      </w:r>
      <w:r>
        <w:rPr/>
        <w:t>38-</w:t>
      </w:r>
      <w:r>
        <w:rPr>
          <w:spacing w:val="-5"/>
        </w:rPr>
        <w:t>175</w:t>
      </w:r>
    </w:p>
    <w:p>
      <w:pPr>
        <w:pStyle w:val="BodyText"/>
        <w:spacing w:line="227" w:lineRule="exact"/>
        <w:ind w:left="705"/>
      </w:pPr>
      <w:r>
        <w:rPr/>
        <w:t>and 38-</w:t>
      </w:r>
      <w:r>
        <w:rPr>
          <w:spacing w:val="-4"/>
        </w:rPr>
        <w:t>177.</w:t>
      </w:r>
    </w:p>
    <w:p>
      <w:pPr>
        <w:pStyle w:val="BodyText"/>
        <w:spacing w:before="5"/>
      </w:pPr>
    </w:p>
    <w:p>
      <w:pPr>
        <w:pStyle w:val="BodyText"/>
        <w:ind w:left="165"/>
      </w:pPr>
      <w:r>
        <w:rPr>
          <w:color w:val="005DA1"/>
          <w:position w:val="5"/>
          <w:sz w:val="14"/>
          <w:u w:val="single" w:color="005DA1"/>
        </w:rPr>
        <w:t>1205</w:t>
      </w:r>
      <w:r>
        <w:rPr>
          <w:position w:val="5"/>
          <w:sz w:val="14"/>
        </w:rPr>
        <w:t>.</w:t>
      </w:r>
      <w:r>
        <w:rPr>
          <w:spacing w:val="55"/>
          <w:position w:val="5"/>
          <w:sz w:val="14"/>
        </w:rPr>
        <w:t>  </w:t>
      </w:r>
      <w:r>
        <w:rPr/>
        <w:t>2008</w:t>
      </w:r>
      <w:r>
        <w:rPr>
          <w:spacing w:val="1"/>
        </w:rPr>
        <w:t> </w:t>
      </w:r>
      <w:r>
        <w:rPr/>
        <w:t>Regulations reg.7(1) on which see further Vol.II, para.38-</w:t>
      </w:r>
      <w:r>
        <w:rPr>
          <w:spacing w:val="-4"/>
        </w:rPr>
        <w:t>173.</w:t>
      </w:r>
    </w:p>
    <w:p>
      <w:pPr>
        <w:pStyle w:val="BodyText"/>
        <w:spacing w:before="5"/>
      </w:pPr>
    </w:p>
    <w:p>
      <w:pPr>
        <w:pStyle w:val="BodyText"/>
        <w:ind w:left="165"/>
      </w:pPr>
      <w:r>
        <w:rPr>
          <w:color w:val="005DA1"/>
          <w:position w:val="5"/>
          <w:sz w:val="14"/>
          <w:u w:val="single" w:color="005DA1"/>
        </w:rPr>
        <w:t>1206</w:t>
      </w:r>
      <w:r>
        <w:rPr>
          <w:position w:val="5"/>
          <w:sz w:val="14"/>
        </w:rPr>
        <w:t>.</w:t>
      </w:r>
      <w:r>
        <w:rPr>
          <w:spacing w:val="55"/>
          <w:position w:val="5"/>
          <w:sz w:val="14"/>
        </w:rPr>
        <w:t>  </w:t>
      </w:r>
      <w:r>
        <w:rPr/>
        <w:t>2008</w:t>
      </w:r>
      <w:r>
        <w:rPr>
          <w:spacing w:val="1"/>
        </w:rPr>
        <w:t> </w:t>
      </w:r>
      <w:r>
        <w:rPr/>
        <w:t>Regulations reg.27H on which see further Vol.II, para.38-</w:t>
      </w:r>
      <w:r>
        <w:rPr>
          <w:spacing w:val="-4"/>
        </w:rPr>
        <w:t>182.</w:t>
      </w:r>
    </w:p>
    <w:p>
      <w:pPr>
        <w:pStyle w:val="BodyText"/>
        <w:spacing w:before="5"/>
      </w:pPr>
    </w:p>
    <w:p>
      <w:pPr>
        <w:pStyle w:val="BodyText"/>
        <w:ind w:left="165"/>
      </w:pPr>
      <w:r>
        <w:rPr>
          <w:color w:val="005DA1"/>
          <w:position w:val="5"/>
          <w:sz w:val="14"/>
          <w:u w:val="single" w:color="005DA1"/>
        </w:rPr>
        <w:t>1207</w:t>
      </w:r>
      <w:r>
        <w:rPr>
          <w:position w:val="5"/>
          <w:sz w:val="14"/>
        </w:rPr>
        <w:t>.</w:t>
      </w:r>
      <w:r>
        <w:rPr>
          <w:spacing w:val="55"/>
          <w:position w:val="5"/>
          <w:sz w:val="14"/>
        </w:rPr>
        <w:t>  </w:t>
      </w:r>
      <w:r>
        <w:rPr/>
        <w:t>2008</w:t>
      </w:r>
      <w:r>
        <w:rPr>
          <w:spacing w:val="1"/>
        </w:rPr>
        <w:t> </w:t>
      </w:r>
      <w:r>
        <w:rPr/>
        <w:t>Regulations reg.27J especially (1) on which see further Vol.II, para.38-</w:t>
      </w:r>
      <w:r>
        <w:rPr>
          <w:spacing w:val="-4"/>
        </w:rPr>
        <w:t>186.</w:t>
      </w:r>
    </w:p>
    <w:p>
      <w:pPr>
        <w:pStyle w:val="BodyText"/>
        <w:spacing w:before="9"/>
      </w:pPr>
    </w:p>
    <w:p>
      <w:pPr>
        <w:spacing w:line="235" w:lineRule="auto" w:before="0"/>
        <w:ind w:left="705" w:right="167" w:hanging="541"/>
        <w:jc w:val="both"/>
        <w:rPr>
          <w:rFonts w:ascii="Arial" w:hAnsi="Arial"/>
          <w:i/>
          <w:sz w:val="20"/>
        </w:rPr>
      </w:pPr>
      <w:r>
        <w:rPr>
          <w:color w:val="005DA1"/>
          <w:position w:val="5"/>
          <w:sz w:val="14"/>
          <w:u w:val="single" w:color="005DA1"/>
        </w:rPr>
        <w:t>1208</w:t>
      </w:r>
      <w:r>
        <w:rPr>
          <w:position w:val="5"/>
          <w:sz w:val="14"/>
        </w:rPr>
        <w:t>.</w:t>
      </w:r>
      <w:r>
        <w:rPr>
          <w:spacing w:val="80"/>
          <w:position w:val="5"/>
          <w:sz w:val="14"/>
        </w:rPr>
        <w:t> </w:t>
      </w:r>
      <w:r>
        <w:rPr>
          <w:sz w:val="20"/>
        </w:rPr>
        <w:t>An exception to this rule is found in the case of personal fraud in a contractor liability for which cannot be excluded by contract: </w:t>
      </w:r>
      <w:r>
        <w:rPr>
          <w:rFonts w:ascii="Arial" w:hAnsi="Arial"/>
          <w:i/>
          <w:sz w:val="20"/>
        </w:rPr>
        <w:t>S. Pearson &amp; Son Ltd v Dublin Corp [1907] A.C. 351, </w:t>
      </w:r>
      <w:r>
        <w:rPr>
          <w:rFonts w:ascii="Arial" w:hAnsi="Arial"/>
          <w:i/>
          <w:spacing w:val="-2"/>
          <w:sz w:val="20"/>
        </w:rPr>
        <w:t>353–354,</w:t>
      </w:r>
    </w:p>
    <w:p>
      <w:pPr>
        <w:pStyle w:val="BodyText"/>
        <w:spacing w:line="235" w:lineRule="auto"/>
        <w:ind w:left="705" w:right="167"/>
        <w:jc w:val="both"/>
      </w:pPr>
      <w:r>
        <w:rPr>
          <w:rFonts w:ascii="Arial" w:hAnsi="Arial"/>
          <w:i/>
        </w:rPr>
        <w:t>362</w:t>
      </w:r>
      <w:r>
        <w:rPr/>
        <w:t>. Fraud may occur in the course of performance of a contract as well at the </w:t>
      </w:r>
      <w:r>
        <w:rPr/>
        <w:t>precontractual stage, for example, where a solicitor’s clerk acts fraudulently in relation to his commission: see </w:t>
      </w:r>
      <w:r>
        <w:rPr>
          <w:rFonts w:ascii="Arial" w:hAnsi="Arial"/>
          <w:i/>
        </w:rPr>
        <w:t>Lloyd v Grace, Smith &amp; Co [1912] A.C. 716</w:t>
      </w:r>
      <w:r>
        <w:rPr/>
        <w:t>, where a solicitor’s employee’s fraud was held to give rise to liability in both tort and contract in the solicitor. Of course, in many situations </w:t>
      </w:r>
      <w:r>
        <w:rPr/>
        <w:t>the standard of care owed by a contractor is the same in tort and in contract, notably where the tort is one of negligence and the relevant contractual obligation is one of reasonable care: see below, paras 14-017, 14-037.</w:t>
      </w:r>
    </w:p>
    <w:p>
      <w:pPr>
        <w:pStyle w:val="BodyText"/>
        <w:spacing w:before="6"/>
      </w:pPr>
    </w:p>
    <w:p>
      <w:pPr>
        <w:spacing w:line="235" w:lineRule="auto" w:before="0"/>
        <w:ind w:left="705" w:right="0" w:hanging="541"/>
        <w:jc w:val="left"/>
        <w:rPr>
          <w:sz w:val="20"/>
        </w:rPr>
      </w:pPr>
      <w:r>
        <w:rPr>
          <w:color w:val="005DA1"/>
          <w:position w:val="5"/>
          <w:sz w:val="14"/>
          <w:u w:val="single" w:color="005DA1"/>
        </w:rPr>
        <w:t>1209</w:t>
      </w:r>
      <w:r>
        <w:rPr>
          <w:position w:val="5"/>
          <w:sz w:val="14"/>
        </w:rPr>
        <w:t>.</w:t>
      </w:r>
      <w:r>
        <w:rPr>
          <w:spacing w:val="40"/>
          <w:position w:val="5"/>
          <w:sz w:val="14"/>
        </w:rPr>
        <w:t>  </w:t>
      </w:r>
      <w:r>
        <w:rPr>
          <w:sz w:val="20"/>
        </w:rPr>
        <w:t>cf.</w:t>
      </w:r>
      <w:r>
        <w:rPr>
          <w:spacing w:val="26"/>
          <w:sz w:val="20"/>
        </w:rPr>
        <w:t> </w:t>
      </w:r>
      <w:r>
        <w:rPr>
          <w:rFonts w:ascii="Arial" w:hAnsi="Arial"/>
          <w:i/>
          <w:sz w:val="20"/>
        </w:rPr>
        <w:t>Trade</w:t>
      </w:r>
      <w:r>
        <w:rPr>
          <w:rFonts w:ascii="Arial" w:hAnsi="Arial"/>
          <w:i/>
          <w:spacing w:val="26"/>
          <w:sz w:val="20"/>
        </w:rPr>
        <w:t> </w:t>
      </w:r>
      <w:r>
        <w:rPr>
          <w:rFonts w:ascii="Arial" w:hAnsi="Arial"/>
          <w:i/>
          <w:sz w:val="20"/>
        </w:rPr>
        <w:t>and</w:t>
      </w:r>
      <w:r>
        <w:rPr>
          <w:rFonts w:ascii="Arial" w:hAnsi="Arial"/>
          <w:i/>
          <w:spacing w:val="26"/>
          <w:sz w:val="20"/>
        </w:rPr>
        <w:t> </w:t>
      </w:r>
      <w:r>
        <w:rPr>
          <w:rFonts w:ascii="Arial" w:hAnsi="Arial"/>
          <w:i/>
          <w:sz w:val="20"/>
        </w:rPr>
        <w:t>Transport</w:t>
      </w:r>
      <w:r>
        <w:rPr>
          <w:rFonts w:ascii="Arial" w:hAnsi="Arial"/>
          <w:i/>
          <w:spacing w:val="26"/>
          <w:sz w:val="20"/>
        </w:rPr>
        <w:t> </w:t>
      </w:r>
      <w:r>
        <w:rPr>
          <w:rFonts w:ascii="Arial" w:hAnsi="Arial"/>
          <w:i/>
          <w:sz w:val="20"/>
        </w:rPr>
        <w:t>Inc</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IIno</w:t>
      </w:r>
      <w:r>
        <w:rPr>
          <w:rFonts w:ascii="Arial" w:hAnsi="Arial"/>
          <w:i/>
          <w:spacing w:val="26"/>
          <w:sz w:val="20"/>
        </w:rPr>
        <w:t> </w:t>
      </w:r>
      <w:r>
        <w:rPr>
          <w:rFonts w:ascii="Arial" w:hAnsi="Arial"/>
          <w:i/>
          <w:sz w:val="20"/>
        </w:rPr>
        <w:t>Kaiun</w:t>
      </w:r>
      <w:r>
        <w:rPr>
          <w:rFonts w:ascii="Arial" w:hAnsi="Arial"/>
          <w:i/>
          <w:spacing w:val="26"/>
          <w:sz w:val="20"/>
        </w:rPr>
        <w:t> </w:t>
      </w:r>
      <w:r>
        <w:rPr>
          <w:rFonts w:ascii="Arial" w:hAnsi="Arial"/>
          <w:i/>
          <w:sz w:val="20"/>
        </w:rPr>
        <w:t>Kaisha</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[1973]</w:t>
      </w:r>
      <w:r>
        <w:rPr>
          <w:rFonts w:ascii="Arial" w:hAnsi="Arial"/>
          <w:i/>
          <w:spacing w:val="26"/>
          <w:sz w:val="20"/>
        </w:rPr>
        <w:t> </w:t>
      </w:r>
      <w:r>
        <w:rPr>
          <w:rFonts w:ascii="Arial" w:hAnsi="Arial"/>
          <w:i/>
          <w:sz w:val="20"/>
        </w:rPr>
        <w:t>1</w:t>
      </w:r>
      <w:r>
        <w:rPr>
          <w:rFonts w:ascii="Arial" w:hAnsi="Arial"/>
          <w:i/>
          <w:spacing w:val="26"/>
          <w:sz w:val="20"/>
        </w:rPr>
        <w:t> </w:t>
      </w:r>
      <w:r>
        <w:rPr>
          <w:rFonts w:ascii="Arial" w:hAnsi="Arial"/>
          <w:i/>
          <w:sz w:val="20"/>
        </w:rPr>
        <w:t>W.L.R.</w:t>
      </w:r>
      <w:r>
        <w:rPr>
          <w:rFonts w:ascii="Arial" w:hAnsi="Arial"/>
          <w:i/>
          <w:spacing w:val="26"/>
          <w:sz w:val="20"/>
        </w:rPr>
        <w:t> </w:t>
      </w:r>
      <w:r>
        <w:rPr>
          <w:rFonts w:ascii="Arial" w:hAnsi="Arial"/>
          <w:i/>
          <w:sz w:val="20"/>
        </w:rPr>
        <w:t>210,</w:t>
      </w:r>
      <w:r>
        <w:rPr>
          <w:rFonts w:ascii="Arial" w:hAnsi="Arial"/>
          <w:i/>
          <w:spacing w:val="26"/>
          <w:sz w:val="20"/>
        </w:rPr>
        <w:t> </w:t>
      </w:r>
      <w:r>
        <w:rPr>
          <w:rFonts w:ascii="Arial" w:hAnsi="Arial"/>
          <w:i/>
          <w:sz w:val="20"/>
        </w:rPr>
        <w:t>230–231</w:t>
      </w:r>
      <w:r>
        <w:rPr>
          <w:rFonts w:ascii="Arial" w:hAnsi="Arial"/>
          <w:i/>
          <w:spacing w:val="25"/>
          <w:sz w:val="20"/>
        </w:rPr>
        <w:t> </w:t>
      </w:r>
      <w:r>
        <w:rPr>
          <w:sz w:val="20"/>
        </w:rPr>
        <w:t>and</w:t>
      </w:r>
      <w:r>
        <w:rPr>
          <w:spacing w:val="26"/>
          <w:sz w:val="20"/>
        </w:rPr>
        <w:t> </w:t>
      </w:r>
      <w:r>
        <w:rPr>
          <w:sz w:val="20"/>
        </w:rPr>
        <w:t>see below, para.15-012 but cf. Unfair Contract Terms Act 1977 s.13(1), below, para.15-069.</w:t>
      </w:r>
    </w:p>
    <w:p>
      <w:pPr>
        <w:pStyle w:val="BodyText"/>
        <w:spacing w:before="9"/>
      </w:pPr>
    </w:p>
    <w:p>
      <w:pPr>
        <w:spacing w:line="235" w:lineRule="auto" w:before="1"/>
        <w:ind w:left="705" w:right="168" w:hanging="541"/>
        <w:jc w:val="both"/>
        <w:rPr>
          <w:sz w:val="20"/>
        </w:rPr>
      </w:pPr>
      <w:r>
        <w:rPr>
          <w:color w:val="005DA1"/>
          <w:position w:val="5"/>
          <w:sz w:val="14"/>
          <w:u w:val="single" w:color="005DA1"/>
        </w:rPr>
        <w:t>1210</w:t>
      </w:r>
      <w:r>
        <w:rPr>
          <w:position w:val="5"/>
          <w:sz w:val="14"/>
        </w:rPr>
        <w:t>.</w:t>
      </w:r>
      <w:r>
        <w:rPr>
          <w:spacing w:val="80"/>
          <w:position w:val="5"/>
          <w:sz w:val="14"/>
        </w:rPr>
        <w:t> </w:t>
      </w:r>
      <w:r>
        <w:rPr>
          <w:sz w:val="20"/>
        </w:rPr>
        <w:t>e.g. </w:t>
      </w:r>
      <w:r>
        <w:rPr>
          <w:rFonts w:ascii="Arial" w:hAnsi="Arial"/>
          <w:i/>
          <w:sz w:val="20"/>
        </w:rPr>
        <w:t>Readhead v Midland Ry Co (1867) L.R. 2 Q.B. 412, (1869) L.R. 4 Q.B. 379 </w:t>
      </w:r>
      <w:r>
        <w:rPr>
          <w:sz w:val="20"/>
        </w:rPr>
        <w:t>(carriage of persons); </w:t>
      </w:r>
      <w:r>
        <w:rPr>
          <w:rFonts w:ascii="Arial" w:hAnsi="Arial"/>
          <w:i/>
          <w:sz w:val="20"/>
        </w:rPr>
        <w:t>Davie v New Merton Board Mills [1959] A.C. 604 </w:t>
      </w:r>
      <w:r>
        <w:rPr>
          <w:sz w:val="20"/>
        </w:rPr>
        <w:t>(employment); Occupiers’ Liability Act 1957 s.5(1); </w:t>
      </w:r>
      <w:r>
        <w:rPr>
          <w:rFonts w:ascii="Arial" w:hAnsi="Arial"/>
          <w:i/>
          <w:sz w:val="20"/>
        </w:rPr>
        <w:t>Thake v Maurice [1986] 1 Q.B. 644 </w:t>
      </w:r>
      <w:r>
        <w:rPr>
          <w:sz w:val="20"/>
        </w:rPr>
        <w:t>(medical liability).</w:t>
      </w:r>
    </w:p>
    <w:p>
      <w:pPr>
        <w:pStyle w:val="BodyText"/>
        <w:spacing w:before="8"/>
      </w:pPr>
    </w:p>
    <w:p>
      <w:pPr>
        <w:spacing w:line="235" w:lineRule="auto" w:before="0"/>
        <w:ind w:left="705" w:right="0" w:hanging="541"/>
        <w:jc w:val="left"/>
        <w:rPr>
          <w:sz w:val="20"/>
        </w:rPr>
      </w:pPr>
      <w:r>
        <w:rPr>
          <w:color w:val="005DA1"/>
          <w:position w:val="5"/>
          <w:sz w:val="14"/>
          <w:u w:val="single" w:color="005DA1"/>
        </w:rPr>
        <w:t>1211</w:t>
      </w:r>
      <w:r>
        <w:rPr>
          <w:position w:val="5"/>
          <w:sz w:val="14"/>
        </w:rPr>
        <w:t>.</w:t>
      </w:r>
      <w:r>
        <w:rPr>
          <w:spacing w:val="80"/>
          <w:w w:val="150"/>
          <w:position w:val="5"/>
          <w:sz w:val="14"/>
        </w:rPr>
        <w:t> </w:t>
      </w:r>
      <w:r>
        <w:rPr>
          <w:sz w:val="20"/>
        </w:rPr>
        <w:t>e.g.</w:t>
      </w:r>
      <w:r>
        <w:rPr>
          <w:spacing w:val="-1"/>
          <w:sz w:val="20"/>
        </w:rPr>
        <w:t> </w:t>
      </w:r>
      <w:r>
        <w:rPr>
          <w:rFonts w:ascii="Arial"/>
          <w:i/>
          <w:sz w:val="20"/>
        </w:rPr>
        <w:t>Samuels</w:t>
      </w:r>
      <w:r>
        <w:rPr>
          <w:rFonts w:ascii="Arial"/>
          <w:i/>
          <w:spacing w:val="-1"/>
          <w:sz w:val="20"/>
        </w:rPr>
        <w:t> </w:t>
      </w:r>
      <w:r>
        <w:rPr>
          <w:rFonts w:ascii="Arial"/>
          <w:i/>
          <w:sz w:val="20"/>
        </w:rPr>
        <w:t>v</w:t>
      </w:r>
      <w:r>
        <w:rPr>
          <w:rFonts w:ascii="Arial"/>
          <w:i/>
          <w:spacing w:val="-1"/>
          <w:sz w:val="20"/>
        </w:rPr>
        <w:t> </w:t>
      </w:r>
      <w:r>
        <w:rPr>
          <w:rFonts w:ascii="Arial"/>
          <w:i/>
          <w:sz w:val="20"/>
        </w:rPr>
        <w:t>Davis</w:t>
      </w:r>
      <w:r>
        <w:rPr>
          <w:rFonts w:ascii="Arial"/>
          <w:i/>
          <w:spacing w:val="-1"/>
          <w:sz w:val="20"/>
        </w:rPr>
        <w:t> </w:t>
      </w:r>
      <w:r>
        <w:rPr>
          <w:rFonts w:ascii="Arial"/>
          <w:i/>
          <w:sz w:val="20"/>
        </w:rPr>
        <w:t>[1943]</w:t>
      </w:r>
      <w:r>
        <w:rPr>
          <w:rFonts w:ascii="Arial"/>
          <w:i/>
          <w:spacing w:val="-1"/>
          <w:sz w:val="20"/>
        </w:rPr>
        <w:t> </w:t>
      </w:r>
      <w:r>
        <w:rPr>
          <w:rFonts w:ascii="Arial"/>
          <w:i/>
          <w:sz w:val="20"/>
        </w:rPr>
        <w:t>1</w:t>
      </w:r>
      <w:r>
        <w:rPr>
          <w:rFonts w:ascii="Arial"/>
          <w:i/>
          <w:spacing w:val="-1"/>
          <w:sz w:val="20"/>
        </w:rPr>
        <w:t> </w:t>
      </w:r>
      <w:r>
        <w:rPr>
          <w:rFonts w:ascii="Arial"/>
          <w:i/>
          <w:sz w:val="20"/>
        </w:rPr>
        <w:t>K.B.</w:t>
      </w:r>
      <w:r>
        <w:rPr>
          <w:rFonts w:ascii="Arial"/>
          <w:i/>
          <w:spacing w:val="-1"/>
          <w:sz w:val="20"/>
        </w:rPr>
        <w:t> </w:t>
      </w:r>
      <w:r>
        <w:rPr>
          <w:rFonts w:ascii="Arial"/>
          <w:i/>
          <w:sz w:val="20"/>
        </w:rPr>
        <w:t>526</w:t>
      </w:r>
      <w:r>
        <w:rPr>
          <w:rFonts w:ascii="Arial"/>
          <w:i/>
          <w:spacing w:val="-1"/>
          <w:sz w:val="20"/>
        </w:rPr>
        <w:t> </w:t>
      </w:r>
      <w:r>
        <w:rPr>
          <w:sz w:val="20"/>
        </w:rPr>
        <w:t>(dentist</w:t>
      </w:r>
      <w:r>
        <w:rPr>
          <w:spacing w:val="-1"/>
          <w:sz w:val="20"/>
        </w:rPr>
        <w:t> </w:t>
      </w:r>
      <w:r>
        <w:rPr>
          <w:sz w:val="20"/>
        </w:rPr>
        <w:t>who</w:t>
      </w:r>
      <w:r>
        <w:rPr>
          <w:spacing w:val="-1"/>
          <w:sz w:val="20"/>
        </w:rPr>
        <w:t> </w:t>
      </w:r>
      <w:r>
        <w:rPr>
          <w:sz w:val="20"/>
        </w:rPr>
        <w:t>designed</w:t>
      </w:r>
      <w:r>
        <w:rPr>
          <w:spacing w:val="-1"/>
          <w:sz w:val="20"/>
        </w:rPr>
        <w:t> </w:t>
      </w:r>
      <w:r>
        <w:rPr>
          <w:sz w:val="20"/>
        </w:rPr>
        <w:t>and</w:t>
      </w:r>
      <w:r>
        <w:rPr>
          <w:spacing w:val="-1"/>
          <w:sz w:val="20"/>
        </w:rPr>
        <w:t> </w:t>
      </w:r>
      <w:r>
        <w:rPr>
          <w:sz w:val="20"/>
        </w:rPr>
        <w:t>constructed</w:t>
      </w:r>
      <w:r>
        <w:rPr>
          <w:spacing w:val="-1"/>
          <w:sz w:val="20"/>
        </w:rPr>
        <w:t> </w:t>
      </w:r>
      <w:r>
        <w:rPr>
          <w:sz w:val="20"/>
        </w:rPr>
        <w:t>prosthesis</w:t>
      </w:r>
      <w:r>
        <w:rPr>
          <w:spacing w:val="-1"/>
          <w:sz w:val="20"/>
        </w:rPr>
        <w:t> </w:t>
      </w:r>
      <w:r>
        <w:rPr>
          <w:sz w:val="20"/>
        </w:rPr>
        <w:t>liable strictly to patient) and see Sale of Goods Act 1979 s.14.</w:t>
      </w:r>
    </w:p>
    <w:p>
      <w:pPr>
        <w:pStyle w:val="BodyText"/>
        <w:spacing w:before="6"/>
      </w:pPr>
    </w:p>
    <w:p>
      <w:pPr>
        <w:spacing w:before="0"/>
        <w:ind w:left="165" w:right="0" w:firstLine="0"/>
        <w:jc w:val="left"/>
        <w:rPr>
          <w:sz w:val="20"/>
        </w:rPr>
      </w:pPr>
      <w:r>
        <w:rPr>
          <w:color w:val="005DA1"/>
          <w:position w:val="5"/>
          <w:sz w:val="14"/>
          <w:u w:val="single" w:color="005DA1"/>
        </w:rPr>
        <w:t>1212</w:t>
      </w:r>
      <w:r>
        <w:rPr>
          <w:position w:val="5"/>
          <w:sz w:val="14"/>
        </w:rPr>
        <w:t>.</w:t>
      </w:r>
      <w:r>
        <w:rPr>
          <w:spacing w:val="55"/>
          <w:position w:val="5"/>
          <w:sz w:val="14"/>
        </w:rPr>
        <w:t>  </w:t>
      </w:r>
      <w:r>
        <w:rPr>
          <w:rFonts w:ascii="Arial"/>
          <w:i/>
          <w:sz w:val="20"/>
        </w:rPr>
        <w:t>[1986]</w:t>
      </w:r>
      <w:r>
        <w:rPr>
          <w:rFonts w:ascii="Arial"/>
          <w:i/>
          <w:spacing w:val="1"/>
          <w:sz w:val="20"/>
        </w:rPr>
        <w:t> </w:t>
      </w:r>
      <w:r>
        <w:rPr>
          <w:rFonts w:ascii="Arial"/>
          <w:i/>
          <w:sz w:val="20"/>
        </w:rPr>
        <w:t>A.C. </w:t>
      </w:r>
      <w:r>
        <w:rPr>
          <w:rFonts w:ascii="Arial"/>
          <w:i/>
          <w:spacing w:val="-5"/>
          <w:sz w:val="20"/>
        </w:rPr>
        <w:t>80</w:t>
      </w:r>
      <w:r>
        <w:rPr>
          <w:spacing w:val="-5"/>
          <w:sz w:val="20"/>
        </w:rPr>
        <w:t>.</w:t>
      </w:r>
    </w:p>
    <w:p>
      <w:pPr>
        <w:pStyle w:val="BodyText"/>
        <w:spacing w:before="5"/>
      </w:pPr>
    </w:p>
    <w:p>
      <w:pPr>
        <w:spacing w:before="0"/>
        <w:ind w:left="165" w:right="0" w:firstLine="0"/>
        <w:jc w:val="left"/>
        <w:rPr>
          <w:sz w:val="20"/>
        </w:rPr>
      </w:pPr>
      <w:r>
        <w:rPr>
          <w:color w:val="005DA1"/>
          <w:position w:val="5"/>
          <w:sz w:val="14"/>
          <w:u w:val="single" w:color="005DA1"/>
        </w:rPr>
        <w:t>1213</w:t>
      </w:r>
      <w:r>
        <w:rPr>
          <w:position w:val="5"/>
          <w:sz w:val="14"/>
        </w:rPr>
        <w:t>.</w:t>
      </w:r>
      <w:r>
        <w:rPr>
          <w:spacing w:val="55"/>
          <w:position w:val="5"/>
          <w:sz w:val="14"/>
        </w:rPr>
        <w:t>  </w:t>
      </w:r>
      <w:r>
        <w:rPr>
          <w:rFonts w:ascii="Arial"/>
          <w:i/>
          <w:sz w:val="20"/>
        </w:rPr>
        <w:t>[1986]</w:t>
      </w:r>
      <w:r>
        <w:rPr>
          <w:rFonts w:ascii="Arial"/>
          <w:i/>
          <w:spacing w:val="1"/>
          <w:sz w:val="20"/>
        </w:rPr>
        <w:t> </w:t>
      </w:r>
      <w:r>
        <w:rPr>
          <w:rFonts w:ascii="Arial"/>
          <w:i/>
          <w:sz w:val="20"/>
        </w:rPr>
        <w:t>A.C. 80, </w:t>
      </w:r>
      <w:r>
        <w:rPr>
          <w:rFonts w:ascii="Arial"/>
          <w:i/>
          <w:spacing w:val="-4"/>
          <w:sz w:val="20"/>
        </w:rPr>
        <w:t>107</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1214</w:t>
      </w:r>
      <w:r>
        <w:rPr>
          <w:position w:val="5"/>
          <w:sz w:val="14"/>
        </w:rPr>
        <w:t>.</w:t>
      </w:r>
      <w:r>
        <w:rPr>
          <w:spacing w:val="55"/>
          <w:position w:val="5"/>
          <w:sz w:val="14"/>
        </w:rPr>
        <w:t>  </w:t>
      </w:r>
      <w:r>
        <w:rPr>
          <w:rFonts w:ascii="Arial"/>
          <w:i/>
          <w:sz w:val="20"/>
        </w:rPr>
        <w:t>[1995]</w:t>
      </w:r>
      <w:r>
        <w:rPr>
          <w:rFonts w:ascii="Arial"/>
          <w:i/>
          <w:spacing w:val="1"/>
          <w:sz w:val="20"/>
        </w:rPr>
        <w:t> </w:t>
      </w:r>
      <w:r>
        <w:rPr>
          <w:rFonts w:ascii="Arial"/>
          <w:i/>
          <w:sz w:val="20"/>
        </w:rPr>
        <w:t>2 A.C. 145</w:t>
      </w:r>
      <w:r>
        <w:rPr>
          <w:rFonts w:ascii="Arial"/>
          <w:i/>
          <w:spacing w:val="-1"/>
          <w:sz w:val="20"/>
        </w:rPr>
        <w:t> </w:t>
      </w:r>
      <w:r>
        <w:rPr>
          <w:sz w:val="20"/>
        </w:rPr>
        <w:t>see especially at </w:t>
      </w:r>
      <w:r>
        <w:rPr>
          <w:spacing w:val="-4"/>
          <w:sz w:val="20"/>
        </w:rPr>
        <w:t>186.</w:t>
      </w:r>
    </w:p>
    <w:p>
      <w:pPr>
        <w:pStyle w:val="BodyText"/>
        <w:spacing w:before="5"/>
      </w:pPr>
    </w:p>
    <w:p>
      <w:pPr>
        <w:spacing w:before="0"/>
        <w:ind w:left="165" w:right="0" w:firstLine="0"/>
        <w:jc w:val="left"/>
        <w:rPr>
          <w:sz w:val="20"/>
        </w:rPr>
      </w:pPr>
      <w:r>
        <w:rPr>
          <w:color w:val="005DA1"/>
          <w:position w:val="5"/>
          <w:sz w:val="14"/>
          <w:u w:val="single" w:color="005DA1"/>
        </w:rPr>
        <w:t>1215</w:t>
      </w:r>
      <w:r>
        <w:rPr>
          <w:position w:val="5"/>
          <w:sz w:val="14"/>
        </w:rPr>
        <w:t>.</w:t>
      </w:r>
      <w:r>
        <w:rPr>
          <w:spacing w:val="55"/>
          <w:position w:val="5"/>
          <w:sz w:val="14"/>
        </w:rPr>
        <w:t>  </w:t>
      </w:r>
      <w:r>
        <w:rPr>
          <w:sz w:val="20"/>
        </w:rPr>
        <w:t>cf.</w:t>
      </w:r>
      <w:r>
        <w:rPr>
          <w:spacing w:val="1"/>
          <w:sz w:val="20"/>
        </w:rPr>
        <w:t> </w:t>
      </w:r>
      <w:r>
        <w:rPr>
          <w:rFonts w:ascii="Arial"/>
          <w:i/>
          <w:sz w:val="20"/>
        </w:rPr>
        <w:t>Blackwood v Robertson 1984 S.L.T. 68</w:t>
      </w:r>
      <w:r>
        <w:rPr>
          <w:rFonts w:ascii="Arial"/>
          <w:i/>
          <w:spacing w:val="-1"/>
          <w:sz w:val="20"/>
        </w:rPr>
        <w:t> </w:t>
      </w:r>
      <w:r>
        <w:rPr>
          <w:sz w:val="20"/>
        </w:rPr>
        <w:t>(lesser standard of care between </w:t>
      </w:r>
      <w:r>
        <w:rPr>
          <w:spacing w:val="-2"/>
          <w:sz w:val="20"/>
        </w:rPr>
        <w:t>partners).</w:t>
      </w:r>
    </w:p>
    <w:p>
      <w:pPr>
        <w:pStyle w:val="BodyText"/>
        <w:spacing w:before="9"/>
      </w:pPr>
    </w:p>
    <w:p>
      <w:pPr>
        <w:spacing w:line="235" w:lineRule="auto" w:before="0"/>
        <w:ind w:left="705" w:right="167" w:hanging="541"/>
        <w:jc w:val="both"/>
        <w:rPr>
          <w:sz w:val="20"/>
        </w:rPr>
      </w:pPr>
      <w:r>
        <w:rPr>
          <w:color w:val="005DA1"/>
          <w:position w:val="5"/>
          <w:sz w:val="14"/>
          <w:u w:val="single" w:color="005DA1"/>
        </w:rPr>
        <w:t>1216</w:t>
      </w:r>
      <w:r>
        <w:rPr>
          <w:position w:val="5"/>
          <w:sz w:val="14"/>
        </w:rPr>
        <w:t>.</w:t>
      </w:r>
      <w:r>
        <w:rPr>
          <w:spacing w:val="80"/>
          <w:position w:val="5"/>
          <w:sz w:val="14"/>
        </w:rPr>
        <w:t> </w:t>
      </w:r>
      <w:r>
        <w:rPr>
          <w:rFonts w:ascii="Arial" w:hAnsi="Arial"/>
          <w:i/>
          <w:sz w:val="20"/>
        </w:rPr>
        <w:t>Euroption Strategic Fund Ltd v Skandinaviska Enskilda Banken AB [2012] EWHC 584 (Comm), [2013] 1 B.C.L.C. 125 </w:t>
      </w:r>
      <w:r>
        <w:rPr>
          <w:sz w:val="20"/>
        </w:rPr>
        <w:t>at 130, relying on </w:t>
      </w:r>
      <w:r>
        <w:rPr>
          <w:rFonts w:ascii="Arial" w:hAnsi="Arial"/>
          <w:i/>
          <w:sz w:val="20"/>
        </w:rPr>
        <w:t>Socimer International Bank Ltd v Standard Bank London Ltd (No.2) [2008] EWCA Civ 116, [2008] 1 Lloyd’s Rep. 558 </w:t>
      </w:r>
      <w:r>
        <w:rPr>
          <w:sz w:val="20"/>
        </w:rPr>
        <w:t>at [66] on which see</w:t>
      </w:r>
      <w:r>
        <w:rPr>
          <w:spacing w:val="40"/>
          <w:sz w:val="20"/>
        </w:rPr>
        <w:t> </w:t>
      </w:r>
      <w:r>
        <w:rPr>
          <w:sz w:val="20"/>
        </w:rPr>
        <w:t>above, para.1-054. See similarly </w:t>
      </w:r>
      <w:r>
        <w:rPr>
          <w:rFonts w:ascii="Arial" w:hAnsi="Arial"/>
          <w:i/>
          <w:sz w:val="20"/>
        </w:rPr>
        <w:t>Marex Financial Ltd v Creative Finance Ltd [2013] EWHC</w:t>
      </w:r>
      <w:r>
        <w:rPr>
          <w:rFonts w:ascii="Arial" w:hAnsi="Arial"/>
          <w:i/>
          <w:spacing w:val="40"/>
          <w:sz w:val="20"/>
        </w:rPr>
        <w:t> </w:t>
      </w:r>
      <w:r>
        <w:rPr>
          <w:rFonts w:ascii="Arial" w:hAnsi="Arial"/>
          <w:i/>
          <w:sz w:val="20"/>
        </w:rPr>
        <w:t>2155 (Comm), [2014] 1 All E.R. (Comm) 122 </w:t>
      </w:r>
      <w:r>
        <w:rPr>
          <w:sz w:val="20"/>
        </w:rPr>
        <w:t>at [78]–[89].</w:t>
      </w:r>
    </w:p>
    <w:p>
      <w:pPr>
        <w:spacing w:after="0" w:line="235" w:lineRule="auto"/>
        <w:jc w:val="both"/>
        <w:rPr>
          <w:sz w:val="20"/>
        </w:rPr>
        <w:sectPr>
          <w:pgSz w:w="11900" w:h="16840"/>
          <w:pgMar w:header="971" w:footer="0" w:top="1300" w:bottom="280" w:left="1275" w:right="1275"/>
        </w:sectPr>
      </w:pPr>
    </w:p>
    <w:p>
      <w:pPr>
        <w:pStyle w:val="BodyText"/>
        <w:spacing w:line="235" w:lineRule="auto" w:before="170"/>
        <w:ind w:left="705" w:hanging="541"/>
      </w:pPr>
      <w:r>
        <w:rPr>
          <w:color w:val="005DA1"/>
          <w:position w:val="5"/>
          <w:sz w:val="14"/>
          <w:u w:val="single" w:color="005DA1"/>
        </w:rPr>
        <w:t>1217</w:t>
      </w:r>
      <w:r>
        <w:rPr>
          <w:position w:val="5"/>
          <w:sz w:val="14"/>
        </w:rPr>
        <w:t>.</w:t>
      </w:r>
      <w:r>
        <w:rPr>
          <w:spacing w:val="40"/>
          <w:position w:val="5"/>
          <w:sz w:val="14"/>
        </w:rPr>
        <w:t>  </w:t>
      </w:r>
      <w:r>
        <w:rPr>
          <w:rFonts w:ascii="Arial"/>
          <w:i/>
        </w:rPr>
        <w:t>[2012]</w:t>
      </w:r>
      <w:r>
        <w:rPr>
          <w:rFonts w:ascii="Arial"/>
          <w:i/>
          <w:spacing w:val="26"/>
        </w:rPr>
        <w:t> </w:t>
      </w:r>
      <w:r>
        <w:rPr>
          <w:rFonts w:ascii="Arial"/>
          <w:i/>
        </w:rPr>
        <w:t>EWHC</w:t>
      </w:r>
      <w:r>
        <w:rPr>
          <w:rFonts w:ascii="Arial"/>
          <w:i/>
          <w:spacing w:val="26"/>
        </w:rPr>
        <w:t> </w:t>
      </w:r>
      <w:r>
        <w:rPr>
          <w:rFonts w:ascii="Arial"/>
          <w:i/>
        </w:rPr>
        <w:t>584</w:t>
      </w:r>
      <w:r>
        <w:rPr>
          <w:rFonts w:ascii="Arial"/>
          <w:i/>
          <w:spacing w:val="26"/>
        </w:rPr>
        <w:t> </w:t>
      </w:r>
      <w:r>
        <w:rPr>
          <w:rFonts w:ascii="Arial"/>
          <w:i/>
        </w:rPr>
        <w:t>(Comm)</w:t>
      </w:r>
      <w:r>
        <w:rPr>
          <w:rFonts w:ascii="Arial"/>
          <w:i/>
          <w:spacing w:val="26"/>
        </w:rPr>
        <w:t> </w:t>
      </w:r>
      <w:r>
        <w:rPr/>
        <w:t>at</w:t>
      </w:r>
      <w:r>
        <w:rPr>
          <w:spacing w:val="26"/>
        </w:rPr>
        <w:t> </w:t>
      </w:r>
      <w:r>
        <w:rPr/>
        <w:t>[132],</w:t>
      </w:r>
      <w:r>
        <w:rPr>
          <w:spacing w:val="26"/>
        </w:rPr>
        <w:t> </w:t>
      </w:r>
      <w:r>
        <w:rPr/>
        <w:t>referring,</w:t>
      </w:r>
      <w:r>
        <w:rPr>
          <w:spacing w:val="26"/>
        </w:rPr>
        <w:t> </w:t>
      </w:r>
      <w:r>
        <w:rPr/>
        <w:t>inter</w:t>
      </w:r>
      <w:r>
        <w:rPr>
          <w:spacing w:val="26"/>
        </w:rPr>
        <w:t> </w:t>
      </w:r>
      <w:r>
        <w:rPr/>
        <w:t>alia,</w:t>
      </w:r>
      <w:r>
        <w:rPr>
          <w:spacing w:val="26"/>
        </w:rPr>
        <w:t> </w:t>
      </w:r>
      <w:r>
        <w:rPr/>
        <w:t>to</w:t>
      </w:r>
      <w:r>
        <w:rPr>
          <w:spacing w:val="26"/>
        </w:rPr>
        <w:t> </w:t>
      </w:r>
      <w:r>
        <w:rPr/>
        <w:t>the</w:t>
      </w:r>
      <w:r>
        <w:rPr>
          <w:spacing w:val="26"/>
        </w:rPr>
        <w:t> </w:t>
      </w:r>
      <w:r>
        <w:rPr/>
        <w:t>paragraph</w:t>
      </w:r>
      <w:r>
        <w:rPr>
          <w:spacing w:val="26"/>
        </w:rPr>
        <w:t> </w:t>
      </w:r>
      <w:r>
        <w:rPr/>
        <w:t>in</w:t>
      </w:r>
      <w:r>
        <w:rPr>
          <w:spacing w:val="26"/>
        </w:rPr>
        <w:t> </w:t>
      </w:r>
      <w:r>
        <w:rPr/>
        <w:t>the</w:t>
      </w:r>
      <w:r>
        <w:rPr>
          <w:spacing w:val="26"/>
        </w:rPr>
        <w:t> </w:t>
      </w:r>
      <w:r>
        <w:rPr/>
        <w:t>30th</w:t>
      </w:r>
      <w:r>
        <w:rPr>
          <w:spacing w:val="26"/>
        </w:rPr>
        <w:t> </w:t>
      </w:r>
      <w:r>
        <w:rPr/>
        <w:t>edition equivalent to the present paragraph and the cases cited therein.</w:t>
      </w:r>
    </w:p>
    <w:p>
      <w:pPr>
        <w:pStyle w:val="BodyText"/>
        <w:spacing w:before="6"/>
      </w:pPr>
    </w:p>
    <w:p>
      <w:pPr>
        <w:spacing w:before="0"/>
        <w:ind w:left="165" w:right="0" w:firstLine="0"/>
        <w:jc w:val="left"/>
        <w:rPr>
          <w:sz w:val="20"/>
        </w:rPr>
      </w:pPr>
      <w:r>
        <w:rPr>
          <w:color w:val="005DA1"/>
          <w:position w:val="5"/>
          <w:sz w:val="14"/>
          <w:u w:val="single" w:color="005DA1"/>
        </w:rPr>
        <w:t>1218</w:t>
      </w:r>
      <w:r>
        <w:rPr>
          <w:position w:val="5"/>
          <w:sz w:val="14"/>
        </w:rPr>
        <w:t>.</w:t>
      </w:r>
      <w:r>
        <w:rPr>
          <w:spacing w:val="55"/>
          <w:position w:val="5"/>
          <w:sz w:val="14"/>
        </w:rPr>
        <w:t>  </w:t>
      </w:r>
      <w:r>
        <w:rPr>
          <w:rFonts w:ascii="Arial" w:hAnsi="Arial"/>
          <w:i/>
          <w:sz w:val="20"/>
        </w:rPr>
        <w:t>[2012]</w:t>
      </w:r>
      <w:r>
        <w:rPr>
          <w:rFonts w:ascii="Arial" w:hAnsi="Arial"/>
          <w:i/>
          <w:spacing w:val="1"/>
          <w:sz w:val="20"/>
        </w:rPr>
        <w:t> </w:t>
      </w:r>
      <w:r>
        <w:rPr>
          <w:rFonts w:ascii="Arial" w:hAnsi="Arial"/>
          <w:i/>
          <w:sz w:val="20"/>
        </w:rPr>
        <w:t>EWHC 584 (Comm)</w:t>
      </w:r>
      <w:r>
        <w:rPr>
          <w:rFonts w:ascii="Arial" w:hAnsi="Arial"/>
          <w:i/>
          <w:spacing w:val="-1"/>
          <w:sz w:val="20"/>
        </w:rPr>
        <w:t> </w:t>
      </w:r>
      <w:r>
        <w:rPr>
          <w:sz w:val="20"/>
        </w:rPr>
        <w:t>at </w:t>
      </w:r>
      <w:r>
        <w:rPr>
          <w:spacing w:val="-2"/>
          <w:sz w:val="20"/>
        </w:rPr>
        <w:t>[133]–[134].</w:t>
      </w:r>
    </w:p>
    <w:p>
      <w:pPr>
        <w:pStyle w:val="BodyText"/>
        <w:spacing w:before="5"/>
      </w:pPr>
    </w:p>
    <w:p>
      <w:pPr>
        <w:spacing w:before="0"/>
        <w:ind w:left="165" w:right="0" w:firstLine="0"/>
        <w:jc w:val="left"/>
        <w:rPr>
          <w:sz w:val="20"/>
        </w:rPr>
      </w:pPr>
      <w:r>
        <w:rPr>
          <w:color w:val="005DA1"/>
          <w:position w:val="5"/>
          <w:sz w:val="14"/>
          <w:u w:val="single" w:color="005DA1"/>
        </w:rPr>
        <w:t>1219</w:t>
      </w:r>
      <w:r>
        <w:rPr>
          <w:position w:val="5"/>
          <w:sz w:val="14"/>
        </w:rPr>
        <w:t>.</w:t>
      </w:r>
      <w:r>
        <w:rPr>
          <w:spacing w:val="55"/>
          <w:position w:val="5"/>
          <w:sz w:val="14"/>
        </w:rPr>
        <w:t>  </w:t>
      </w:r>
      <w:r>
        <w:rPr>
          <w:rFonts w:ascii="Arial"/>
          <w:i/>
          <w:sz w:val="20"/>
        </w:rPr>
        <w:t>[1991]</w:t>
      </w:r>
      <w:r>
        <w:rPr>
          <w:rFonts w:ascii="Arial"/>
          <w:i/>
          <w:spacing w:val="1"/>
          <w:sz w:val="20"/>
        </w:rPr>
        <w:t> </w:t>
      </w:r>
      <w:r>
        <w:rPr>
          <w:rFonts w:ascii="Arial"/>
          <w:i/>
          <w:sz w:val="20"/>
        </w:rPr>
        <w:t>Ch. 12</w:t>
      </w:r>
      <w:r>
        <w:rPr>
          <w:rFonts w:ascii="Arial"/>
          <w:i/>
          <w:spacing w:val="-1"/>
          <w:sz w:val="20"/>
        </w:rPr>
        <w:t> </w:t>
      </w:r>
      <w:r>
        <w:rPr>
          <w:sz w:val="20"/>
        </w:rPr>
        <w:t>(and see</w:t>
      </w:r>
      <w:r>
        <w:rPr>
          <w:spacing w:val="-1"/>
          <w:sz w:val="20"/>
        </w:rPr>
        <w:t> </w:t>
      </w:r>
      <w:r>
        <w:rPr>
          <w:rFonts w:ascii="Arial"/>
          <w:i/>
          <w:sz w:val="20"/>
        </w:rPr>
        <w:t>Shamji v Johnson Matthey Bankers Ltd [1986] B.C.L.C. </w:t>
      </w:r>
      <w:r>
        <w:rPr>
          <w:rFonts w:ascii="Arial"/>
          <w:i/>
          <w:spacing w:val="-2"/>
          <w:sz w:val="20"/>
        </w:rPr>
        <w:t>278</w:t>
      </w:r>
      <w:r>
        <w:rPr>
          <w:spacing w:val="-2"/>
          <w:sz w:val="20"/>
        </w:rPr>
        <w:t>).</w:t>
      </w:r>
    </w:p>
    <w:p>
      <w:pPr>
        <w:pStyle w:val="BodyText"/>
        <w:spacing w:before="8"/>
      </w:pPr>
    </w:p>
    <w:p>
      <w:pPr>
        <w:spacing w:line="235" w:lineRule="auto" w:before="1"/>
        <w:ind w:left="705" w:right="168" w:hanging="541"/>
        <w:jc w:val="both"/>
        <w:rPr>
          <w:sz w:val="20"/>
        </w:rPr>
      </w:pPr>
      <w:r>
        <w:rPr>
          <w:color w:val="005DA1"/>
          <w:position w:val="5"/>
          <w:sz w:val="14"/>
          <w:u w:val="single" w:color="005DA1"/>
        </w:rPr>
        <w:t>1220</w:t>
      </w:r>
      <w:r>
        <w:rPr>
          <w:position w:val="5"/>
          <w:sz w:val="14"/>
        </w:rPr>
        <w:t>.</w:t>
      </w:r>
      <w:r>
        <w:rPr>
          <w:spacing w:val="40"/>
          <w:position w:val="5"/>
          <w:sz w:val="14"/>
        </w:rPr>
        <w:t>  </w:t>
      </w:r>
      <w:r>
        <w:rPr>
          <w:rFonts w:ascii="Arial" w:hAnsi="Arial"/>
          <w:i/>
          <w:sz w:val="20"/>
        </w:rPr>
        <w:t>[1991] Ch. 12 </w:t>
      </w:r>
      <w:r>
        <w:rPr>
          <w:sz w:val="20"/>
        </w:rPr>
        <w:t>at 18 (and cf. at 24–25, Purchas L.J.), thereby disapproving Salmon L.J.’s dictum in </w:t>
      </w:r>
      <w:r>
        <w:rPr>
          <w:rFonts w:ascii="Arial" w:hAnsi="Arial"/>
          <w:i/>
          <w:sz w:val="20"/>
        </w:rPr>
        <w:t>Cuckmere Brick Co Ltd v Mutual Finance Ltd [1971] Ch. 949, 966 </w:t>
      </w:r>
      <w:r>
        <w:rPr>
          <w:sz w:val="20"/>
        </w:rPr>
        <w:t>which talks of a duty of</w:t>
      </w:r>
      <w:r>
        <w:rPr>
          <w:spacing w:val="40"/>
          <w:sz w:val="20"/>
        </w:rPr>
        <w:t> </w:t>
      </w:r>
      <w:r>
        <w:rPr>
          <w:sz w:val="20"/>
        </w:rPr>
        <w:t>care in the context of the liability of a mortgagee; and see </w:t>
      </w:r>
      <w:r>
        <w:rPr>
          <w:rFonts w:ascii="Arial" w:hAnsi="Arial"/>
          <w:i/>
          <w:sz w:val="20"/>
        </w:rPr>
        <w:t>Downsview Nominees Ltd v First City Corp Ltd [1993] A.C. 295, 315 </w:t>
      </w:r>
      <w:r>
        <w:rPr>
          <w:sz w:val="20"/>
        </w:rPr>
        <w:t>and </w:t>
      </w:r>
      <w:r>
        <w:rPr>
          <w:rFonts w:ascii="Arial" w:hAnsi="Arial"/>
          <w:i/>
          <w:sz w:val="20"/>
        </w:rPr>
        <w:t>AIB Finance Ltd v Debtors [1998] 2 All E.R. 929, 937</w:t>
      </w:r>
      <w:r>
        <w:rPr>
          <w:sz w:val="20"/>
        </w:rPr>
        <w:t>; </w:t>
      </w:r>
      <w:r>
        <w:rPr>
          <w:rFonts w:ascii="Arial" w:hAnsi="Arial"/>
          <w:i/>
          <w:sz w:val="20"/>
        </w:rPr>
        <w:t>Yorkshire Bank Plc v Hall [1999] 1 W.L.R. 1713, 1728</w:t>
      </w:r>
      <w:r>
        <w:rPr>
          <w:sz w:val="20"/>
        </w:rPr>
        <w:t>; </w:t>
      </w:r>
      <w:r>
        <w:rPr>
          <w:rFonts w:ascii="Arial" w:hAnsi="Arial"/>
          <w:i/>
          <w:sz w:val="20"/>
        </w:rPr>
        <w:t>Raja v Lloyds TSB Bank Plc [2001] EWCA Civ 210, [2001] Lloyd’s Rep. Bank. 113</w:t>
      </w:r>
      <w:r>
        <w:rPr>
          <w:sz w:val="20"/>
        </w:rPr>
        <w:t>; and see Megarry and Wade, </w:t>
      </w:r>
      <w:r>
        <w:rPr>
          <w:rFonts w:ascii="Arial" w:hAnsi="Arial"/>
          <w:i/>
          <w:sz w:val="20"/>
        </w:rPr>
        <w:t>The Law of Real Property</w:t>
      </w:r>
      <w:r>
        <w:rPr>
          <w:sz w:val="20"/>
        </w:rPr>
        <w:t>, 6th edn (2000), para.25-018.</w:t>
      </w:r>
    </w:p>
    <w:p>
      <w:pPr>
        <w:pStyle w:val="BodyText"/>
        <w:spacing w:before="3"/>
      </w:pPr>
    </w:p>
    <w:p>
      <w:pPr>
        <w:spacing w:before="0"/>
        <w:ind w:left="165" w:right="0" w:firstLine="0"/>
        <w:jc w:val="left"/>
        <w:rPr>
          <w:sz w:val="20"/>
        </w:rPr>
      </w:pPr>
      <w:r>
        <w:rPr>
          <w:color w:val="005DA1"/>
          <w:position w:val="5"/>
          <w:sz w:val="14"/>
          <w:u w:val="single" w:color="005DA1"/>
        </w:rPr>
        <w:t>1221</w:t>
      </w:r>
      <w:r>
        <w:rPr>
          <w:position w:val="5"/>
          <w:sz w:val="14"/>
        </w:rPr>
        <w:t>.</w:t>
      </w:r>
      <w:r>
        <w:rPr>
          <w:spacing w:val="55"/>
          <w:position w:val="5"/>
          <w:sz w:val="14"/>
        </w:rPr>
        <w:t>  </w:t>
      </w:r>
      <w:r>
        <w:rPr>
          <w:rFonts w:ascii="Arial" w:hAnsi="Arial"/>
          <w:i/>
          <w:sz w:val="20"/>
        </w:rPr>
        <w:t>China</w:t>
      </w:r>
      <w:r>
        <w:rPr>
          <w:rFonts w:ascii="Arial" w:hAnsi="Arial"/>
          <w:i/>
          <w:spacing w:val="1"/>
          <w:sz w:val="20"/>
        </w:rPr>
        <w:t> </w:t>
      </w:r>
      <w:r>
        <w:rPr>
          <w:rFonts w:ascii="Arial" w:hAnsi="Arial"/>
          <w:i/>
          <w:sz w:val="20"/>
        </w:rPr>
        <w:t>and South Seas Bank v Tan [1990] 1 A.C. 536, </w:t>
      </w:r>
      <w:r>
        <w:rPr>
          <w:rFonts w:ascii="Arial" w:hAnsi="Arial"/>
          <w:i/>
          <w:spacing w:val="-2"/>
          <w:sz w:val="20"/>
        </w:rPr>
        <w:t>543–544</w:t>
      </w:r>
      <w:r>
        <w:rPr>
          <w:spacing w:val="-2"/>
          <w:sz w:val="20"/>
        </w:rPr>
        <w:t>.</w:t>
      </w:r>
    </w:p>
    <w:p>
      <w:pPr>
        <w:pStyle w:val="BodyText"/>
        <w:spacing w:before="5"/>
      </w:pPr>
    </w:p>
    <w:p>
      <w:pPr>
        <w:spacing w:before="0"/>
        <w:ind w:left="165" w:right="0" w:firstLine="0"/>
        <w:jc w:val="left"/>
        <w:rPr>
          <w:sz w:val="20"/>
        </w:rPr>
      </w:pPr>
      <w:r>
        <w:rPr>
          <w:color w:val="005DA1"/>
          <w:position w:val="5"/>
          <w:sz w:val="14"/>
          <w:u w:val="single" w:color="005DA1"/>
        </w:rPr>
        <w:t>1222</w:t>
      </w:r>
      <w:r>
        <w:rPr>
          <w:position w:val="5"/>
          <w:sz w:val="14"/>
        </w:rPr>
        <w:t>.</w:t>
      </w:r>
      <w:r>
        <w:rPr>
          <w:spacing w:val="55"/>
          <w:position w:val="5"/>
          <w:sz w:val="14"/>
        </w:rPr>
        <w:t>  </w:t>
      </w:r>
      <w:r>
        <w:rPr>
          <w:rFonts w:ascii="Arial"/>
          <w:i/>
          <w:sz w:val="20"/>
        </w:rPr>
        <w:t>Raja</w:t>
      </w:r>
      <w:r>
        <w:rPr>
          <w:rFonts w:ascii="Arial"/>
          <w:i/>
          <w:spacing w:val="1"/>
          <w:sz w:val="20"/>
        </w:rPr>
        <w:t> </w:t>
      </w:r>
      <w:r>
        <w:rPr>
          <w:rFonts w:ascii="Arial"/>
          <w:i/>
          <w:sz w:val="20"/>
        </w:rPr>
        <w:t>v Lloyds TSB Bank Plc [2001] EWCA Civ 210</w:t>
      </w:r>
      <w:r>
        <w:rPr>
          <w:rFonts w:ascii="Arial"/>
          <w:i/>
          <w:spacing w:val="-1"/>
          <w:sz w:val="20"/>
        </w:rPr>
        <w:t> </w:t>
      </w:r>
      <w:r>
        <w:rPr>
          <w:sz w:val="20"/>
        </w:rPr>
        <w:t>at [31], per Mance </w:t>
      </w:r>
      <w:r>
        <w:rPr>
          <w:spacing w:val="-4"/>
          <w:sz w:val="20"/>
        </w:rPr>
        <w:t>L.J.</w:t>
      </w:r>
    </w:p>
    <w:p>
      <w:pPr>
        <w:pStyle w:val="BodyText"/>
        <w:spacing w:before="9"/>
      </w:pPr>
    </w:p>
    <w:p>
      <w:pPr>
        <w:pStyle w:val="BodyText"/>
        <w:spacing w:line="235" w:lineRule="auto"/>
        <w:ind w:left="705" w:right="168" w:hanging="541"/>
      </w:pPr>
      <w:r>
        <w:rPr>
          <w:color w:val="005DA1"/>
          <w:position w:val="5"/>
          <w:sz w:val="14"/>
          <w:u w:val="single" w:color="005DA1"/>
        </w:rPr>
        <w:t>1223</w:t>
      </w:r>
      <w:r>
        <w:rPr>
          <w:position w:val="5"/>
          <w:sz w:val="14"/>
        </w:rPr>
        <w:t>.</w:t>
      </w:r>
      <w:r>
        <w:rPr>
          <w:spacing w:val="40"/>
          <w:position w:val="5"/>
          <w:sz w:val="14"/>
        </w:rPr>
        <w:t>  </w:t>
      </w:r>
      <w:r>
        <w:rPr>
          <w:rFonts w:ascii="Arial"/>
          <w:i/>
        </w:rPr>
        <w:t>[1986] 1 Q.B. 644</w:t>
      </w:r>
      <w:r>
        <w:rPr/>
        <w:t>. Peter Pain J. at first instance and Kerr L.J. on appeal took the opposite view on this issue from the majority in the Court of Appeal and see below, para.1-194.</w:t>
      </w:r>
    </w:p>
    <w:p>
      <w:pPr>
        <w:pStyle w:val="BodyText"/>
        <w:spacing w:before="9"/>
      </w:pPr>
    </w:p>
    <w:p>
      <w:pPr>
        <w:pStyle w:val="BodyText"/>
        <w:spacing w:line="235" w:lineRule="auto"/>
        <w:ind w:left="705" w:right="167" w:hanging="541"/>
        <w:jc w:val="both"/>
      </w:pPr>
      <w:r>
        <w:rPr>
          <w:color w:val="005DA1"/>
          <w:position w:val="5"/>
          <w:sz w:val="14"/>
          <w:u w:val="single" w:color="005DA1"/>
        </w:rPr>
        <w:t>1224</w:t>
      </w:r>
      <w:r>
        <w:rPr>
          <w:position w:val="5"/>
          <w:sz w:val="14"/>
        </w:rPr>
        <w:t>.</w:t>
      </w:r>
      <w:r>
        <w:rPr>
          <w:spacing w:val="80"/>
          <w:w w:val="150"/>
          <w:position w:val="5"/>
          <w:sz w:val="14"/>
        </w:rPr>
        <w:t> </w:t>
      </w:r>
      <w:r>
        <w:rPr/>
        <w:t>cf. </w:t>
      </w:r>
      <w:r>
        <w:rPr>
          <w:rFonts w:ascii="Arial" w:hAnsi="Arial"/>
          <w:i/>
        </w:rPr>
        <w:t>Readhead v Midland Ry Co (1867) L.R. 2 Q.B. 412, (1869) L.R. 4 Q.B. 379</w:t>
      </w:r>
      <w:r>
        <w:rPr/>
        <w:t>, in which the court held that a passenger injured while travelling on a railway could sue the company only on the basis of breach of a duty to take reasonable care, rejecting the plaintiff’s contention that </w:t>
      </w:r>
      <w:r>
        <w:rPr/>
        <w:t>the company owed an obligation to provide a carriage fit for its purpose, by analogy with cases on sale of goods.</w:t>
      </w:r>
    </w:p>
    <w:p>
      <w:pPr>
        <w:pStyle w:val="BodyText"/>
        <w:spacing w:before="8"/>
      </w:pPr>
    </w:p>
    <w:p>
      <w:pPr>
        <w:spacing w:line="235" w:lineRule="auto" w:before="0"/>
        <w:ind w:left="705" w:right="168" w:hanging="541"/>
        <w:jc w:val="both"/>
        <w:rPr>
          <w:sz w:val="20"/>
        </w:rPr>
      </w:pPr>
      <w:r>
        <w:rPr>
          <w:color w:val="005DA1"/>
          <w:position w:val="5"/>
          <w:sz w:val="14"/>
          <w:u w:val="single" w:color="005DA1"/>
        </w:rPr>
        <w:t>1225</w:t>
      </w:r>
      <w:r>
        <w:rPr>
          <w:position w:val="5"/>
          <w:sz w:val="14"/>
        </w:rPr>
        <w:t>.</w:t>
      </w:r>
      <w:r>
        <w:rPr>
          <w:spacing w:val="80"/>
          <w:position w:val="5"/>
          <w:sz w:val="14"/>
        </w:rPr>
        <w:t> </w:t>
      </w:r>
      <w:r>
        <w:rPr>
          <w:sz w:val="20"/>
        </w:rPr>
        <w:t>The stricter type of contractual term was implied by the courts in the context of sale of </w:t>
      </w:r>
      <w:r>
        <w:rPr>
          <w:sz w:val="20"/>
        </w:rPr>
        <w:t>goods: </w:t>
      </w:r>
      <w:r>
        <w:rPr>
          <w:rFonts w:ascii="Arial"/>
          <w:i/>
          <w:sz w:val="20"/>
        </w:rPr>
        <w:t>Jones v Just (1868) L.R. 3 Q.B. 197 </w:t>
      </w:r>
      <w:r>
        <w:rPr>
          <w:sz w:val="20"/>
        </w:rPr>
        <w:t>(see now Sale of Goods Act 1979 s.14). See further, </w:t>
      </w:r>
      <w:r>
        <w:rPr>
          <w:rFonts w:ascii="Arial"/>
          <w:i/>
          <w:sz w:val="20"/>
        </w:rPr>
        <w:t>Samuels v Davis [1943] 1 K.B. 526 </w:t>
      </w:r>
      <w:r>
        <w:rPr>
          <w:sz w:val="20"/>
        </w:rPr>
        <w:t>(liability of dentist in respect of manufacture and supply of dental prosthesis); Supply of Goods and Services Act 1982 s.4 and below, para.14-034.</w:t>
      </w:r>
    </w:p>
    <w:p>
      <w:pPr>
        <w:pStyle w:val="BodyText"/>
        <w:spacing w:before="5"/>
      </w:pPr>
    </w:p>
    <w:p>
      <w:pPr>
        <w:spacing w:before="0"/>
        <w:ind w:left="165" w:right="0" w:firstLine="0"/>
        <w:jc w:val="left"/>
        <w:rPr>
          <w:sz w:val="20"/>
        </w:rPr>
      </w:pPr>
      <w:r>
        <w:rPr>
          <w:color w:val="005DA1"/>
          <w:position w:val="5"/>
          <w:sz w:val="14"/>
          <w:u w:val="single" w:color="005DA1"/>
        </w:rPr>
        <w:t>1226</w:t>
      </w:r>
      <w:r>
        <w:rPr>
          <w:position w:val="5"/>
          <w:sz w:val="14"/>
        </w:rPr>
        <w:t>.</w:t>
      </w:r>
      <w:r>
        <w:rPr>
          <w:spacing w:val="55"/>
          <w:position w:val="5"/>
          <w:sz w:val="14"/>
        </w:rPr>
        <w:t>  </w:t>
      </w:r>
      <w:r>
        <w:rPr>
          <w:rFonts w:ascii="Arial"/>
          <w:i/>
          <w:sz w:val="20"/>
        </w:rPr>
        <w:t>[1996]</w:t>
      </w:r>
      <w:r>
        <w:rPr>
          <w:rFonts w:ascii="Arial"/>
          <w:i/>
          <w:spacing w:val="1"/>
          <w:sz w:val="20"/>
        </w:rPr>
        <w:t> </w:t>
      </w:r>
      <w:r>
        <w:rPr>
          <w:rFonts w:ascii="Arial"/>
          <w:i/>
          <w:sz w:val="20"/>
        </w:rPr>
        <w:t>1 W.L.R. </w:t>
      </w:r>
      <w:r>
        <w:rPr>
          <w:rFonts w:ascii="Arial"/>
          <w:i/>
          <w:spacing w:val="-5"/>
          <w:sz w:val="20"/>
        </w:rPr>
        <w:t>38</w:t>
      </w:r>
      <w:r>
        <w:rPr>
          <w:spacing w:val="-5"/>
          <w:sz w:val="20"/>
        </w:rPr>
        <w:t>.</w:t>
      </w:r>
    </w:p>
    <w:p>
      <w:pPr>
        <w:pStyle w:val="BodyText"/>
        <w:spacing w:before="5"/>
      </w:pPr>
    </w:p>
    <w:p>
      <w:pPr>
        <w:spacing w:before="0"/>
        <w:ind w:left="165" w:right="0" w:firstLine="0"/>
        <w:jc w:val="left"/>
        <w:rPr>
          <w:sz w:val="20"/>
        </w:rPr>
      </w:pPr>
      <w:r>
        <w:rPr>
          <w:color w:val="005DA1"/>
          <w:position w:val="5"/>
          <w:sz w:val="14"/>
          <w:u w:val="single" w:color="005DA1"/>
        </w:rPr>
        <w:t>1227</w:t>
      </w:r>
      <w:r>
        <w:rPr>
          <w:position w:val="5"/>
          <w:sz w:val="14"/>
        </w:rPr>
        <w:t>.</w:t>
      </w:r>
      <w:r>
        <w:rPr>
          <w:spacing w:val="55"/>
          <w:position w:val="5"/>
          <w:sz w:val="14"/>
        </w:rPr>
        <w:t>  </w:t>
      </w:r>
      <w:r>
        <w:rPr>
          <w:rFonts w:ascii="Arial"/>
          <w:i/>
          <w:sz w:val="20"/>
        </w:rPr>
        <w:t>[1995]</w:t>
      </w:r>
      <w:r>
        <w:rPr>
          <w:rFonts w:ascii="Arial"/>
          <w:i/>
          <w:spacing w:val="1"/>
          <w:sz w:val="20"/>
        </w:rPr>
        <w:t> </w:t>
      </w:r>
      <w:r>
        <w:rPr>
          <w:rFonts w:ascii="Arial"/>
          <w:i/>
          <w:sz w:val="20"/>
        </w:rPr>
        <w:t>1 W.L.R. </w:t>
      </w:r>
      <w:r>
        <w:rPr>
          <w:rFonts w:ascii="Arial"/>
          <w:i/>
          <w:spacing w:val="-4"/>
          <w:sz w:val="20"/>
        </w:rPr>
        <w:t>1281</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1228</w:t>
      </w:r>
      <w:r>
        <w:rPr>
          <w:position w:val="5"/>
          <w:sz w:val="14"/>
        </w:rPr>
        <w:t>.</w:t>
      </w:r>
      <w:r>
        <w:rPr>
          <w:spacing w:val="55"/>
          <w:position w:val="5"/>
          <w:sz w:val="14"/>
        </w:rPr>
        <w:t>  </w:t>
      </w:r>
      <w:r>
        <w:rPr>
          <w:rFonts w:ascii="Arial"/>
          <w:i/>
          <w:sz w:val="20"/>
        </w:rPr>
        <w:t>[1995]</w:t>
      </w:r>
      <w:r>
        <w:rPr>
          <w:rFonts w:ascii="Arial"/>
          <w:i/>
          <w:spacing w:val="1"/>
          <w:sz w:val="20"/>
        </w:rPr>
        <w:t> </w:t>
      </w:r>
      <w:r>
        <w:rPr>
          <w:rFonts w:ascii="Arial"/>
          <w:i/>
          <w:sz w:val="20"/>
        </w:rPr>
        <w:t>1 W.L.R. 1281</w:t>
      </w:r>
      <w:r>
        <w:rPr>
          <w:rFonts w:ascii="Arial"/>
          <w:i/>
          <w:spacing w:val="-1"/>
          <w:sz w:val="20"/>
        </w:rPr>
        <w:t> </w:t>
      </w:r>
      <w:r>
        <w:rPr>
          <w:sz w:val="20"/>
        </w:rPr>
        <w:t>at </w:t>
      </w:r>
      <w:r>
        <w:rPr>
          <w:spacing w:val="-2"/>
          <w:sz w:val="20"/>
        </w:rPr>
        <w:t>1290.</w:t>
      </w:r>
    </w:p>
    <w:p>
      <w:pPr>
        <w:pStyle w:val="BodyText"/>
        <w:spacing w:before="5"/>
      </w:pPr>
    </w:p>
    <w:p>
      <w:pPr>
        <w:spacing w:before="0"/>
        <w:ind w:left="165" w:right="0" w:firstLine="0"/>
        <w:jc w:val="left"/>
        <w:rPr>
          <w:sz w:val="20"/>
        </w:rPr>
      </w:pPr>
      <w:r>
        <w:rPr>
          <w:color w:val="005DA1"/>
          <w:position w:val="5"/>
          <w:sz w:val="14"/>
          <w:u w:val="single" w:color="005DA1"/>
        </w:rPr>
        <w:t>1229</w:t>
      </w:r>
      <w:r>
        <w:rPr>
          <w:position w:val="5"/>
          <w:sz w:val="14"/>
        </w:rPr>
        <w:t>.</w:t>
      </w:r>
      <w:r>
        <w:rPr>
          <w:spacing w:val="55"/>
          <w:position w:val="5"/>
          <w:sz w:val="14"/>
        </w:rPr>
        <w:t>  </w:t>
      </w:r>
      <w:r>
        <w:rPr>
          <w:rFonts w:ascii="Arial" w:hAnsi="Arial"/>
          <w:i/>
          <w:sz w:val="20"/>
        </w:rPr>
        <w:t>[1995]</w:t>
      </w:r>
      <w:r>
        <w:rPr>
          <w:rFonts w:ascii="Arial" w:hAnsi="Arial"/>
          <w:i/>
          <w:spacing w:val="1"/>
          <w:sz w:val="20"/>
        </w:rPr>
        <w:t> </w:t>
      </w:r>
      <w:r>
        <w:rPr>
          <w:rFonts w:ascii="Arial" w:hAnsi="Arial"/>
          <w:i/>
          <w:sz w:val="20"/>
        </w:rPr>
        <w:t>2 A.C. 145, 194</w:t>
      </w:r>
      <w:r>
        <w:rPr>
          <w:rFonts w:ascii="Arial" w:hAnsi="Arial"/>
          <w:i/>
          <w:spacing w:val="-1"/>
          <w:sz w:val="20"/>
        </w:rPr>
        <w:t> </w:t>
      </w:r>
      <w:r>
        <w:rPr>
          <w:sz w:val="20"/>
        </w:rPr>
        <w:t>and see above, paras 1-166—1-</w:t>
      </w:r>
      <w:r>
        <w:rPr>
          <w:spacing w:val="-4"/>
          <w:sz w:val="20"/>
        </w:rPr>
        <w:t>167.</w:t>
      </w:r>
    </w:p>
    <w:p>
      <w:pPr>
        <w:pStyle w:val="BodyText"/>
        <w:spacing w:before="5"/>
      </w:pPr>
    </w:p>
    <w:p>
      <w:pPr>
        <w:spacing w:before="0"/>
        <w:ind w:left="165" w:right="0" w:firstLine="0"/>
        <w:jc w:val="left"/>
        <w:rPr>
          <w:sz w:val="20"/>
        </w:rPr>
      </w:pPr>
      <w:r>
        <w:rPr>
          <w:color w:val="005DA1"/>
          <w:position w:val="5"/>
          <w:sz w:val="14"/>
          <w:u w:val="single" w:color="005DA1"/>
        </w:rPr>
        <w:t>1230</w:t>
      </w:r>
      <w:r>
        <w:rPr>
          <w:position w:val="5"/>
          <w:sz w:val="14"/>
        </w:rPr>
        <w:t>.</w:t>
      </w:r>
      <w:r>
        <w:rPr>
          <w:spacing w:val="55"/>
          <w:position w:val="5"/>
          <w:sz w:val="14"/>
        </w:rPr>
        <w:t>  </w:t>
      </w:r>
      <w:r>
        <w:rPr>
          <w:rFonts w:ascii="Arial"/>
          <w:i/>
          <w:sz w:val="20"/>
        </w:rPr>
        <w:t>[1995]</w:t>
      </w:r>
      <w:r>
        <w:rPr>
          <w:rFonts w:ascii="Arial"/>
          <w:i/>
          <w:spacing w:val="1"/>
          <w:sz w:val="20"/>
        </w:rPr>
        <w:t> </w:t>
      </w:r>
      <w:r>
        <w:rPr>
          <w:rFonts w:ascii="Arial"/>
          <w:i/>
          <w:sz w:val="20"/>
        </w:rPr>
        <w:t>1 W.L.R. 1281</w:t>
      </w:r>
      <w:r>
        <w:rPr>
          <w:rFonts w:ascii="Arial"/>
          <w:i/>
          <w:spacing w:val="-1"/>
          <w:sz w:val="20"/>
        </w:rPr>
        <w:t> </w:t>
      </w:r>
      <w:r>
        <w:rPr>
          <w:sz w:val="20"/>
        </w:rPr>
        <w:t>at </w:t>
      </w:r>
      <w:r>
        <w:rPr>
          <w:spacing w:val="-2"/>
          <w:sz w:val="20"/>
        </w:rPr>
        <w:t>1294.</w:t>
      </w:r>
    </w:p>
    <w:p>
      <w:pPr>
        <w:pStyle w:val="BodyText"/>
        <w:spacing w:before="9"/>
      </w:pPr>
    </w:p>
    <w:p>
      <w:pPr>
        <w:spacing w:line="235" w:lineRule="auto" w:before="0"/>
        <w:ind w:left="705" w:right="0" w:hanging="541"/>
        <w:jc w:val="left"/>
        <w:rPr>
          <w:sz w:val="20"/>
        </w:rPr>
      </w:pPr>
      <w:r>
        <w:rPr>
          <w:color w:val="005DA1"/>
          <w:position w:val="5"/>
          <w:sz w:val="14"/>
          <w:u w:val="single" w:color="005DA1"/>
        </w:rPr>
        <w:t>1231</w:t>
      </w:r>
      <w:r>
        <w:rPr>
          <w:position w:val="5"/>
          <w:sz w:val="14"/>
        </w:rPr>
        <w:t>.</w:t>
      </w:r>
      <w:r>
        <w:rPr>
          <w:spacing w:val="40"/>
          <w:position w:val="5"/>
          <w:sz w:val="14"/>
        </w:rPr>
        <w:t>  </w:t>
      </w:r>
      <w:r>
        <w:rPr>
          <w:rFonts w:ascii="Arial"/>
          <w:i/>
          <w:sz w:val="20"/>
        </w:rPr>
        <w:t>[1995]</w:t>
      </w:r>
      <w:r>
        <w:rPr>
          <w:rFonts w:ascii="Arial"/>
          <w:i/>
          <w:spacing w:val="24"/>
          <w:sz w:val="20"/>
        </w:rPr>
        <w:t> </w:t>
      </w:r>
      <w:r>
        <w:rPr>
          <w:rFonts w:ascii="Arial"/>
          <w:i/>
          <w:sz w:val="20"/>
        </w:rPr>
        <w:t>1</w:t>
      </w:r>
      <w:r>
        <w:rPr>
          <w:rFonts w:ascii="Arial"/>
          <w:i/>
          <w:spacing w:val="24"/>
          <w:sz w:val="20"/>
        </w:rPr>
        <w:t> </w:t>
      </w:r>
      <w:r>
        <w:rPr>
          <w:rFonts w:ascii="Arial"/>
          <w:i/>
          <w:sz w:val="20"/>
        </w:rPr>
        <w:t>W.L.R.</w:t>
      </w:r>
      <w:r>
        <w:rPr>
          <w:rFonts w:ascii="Arial"/>
          <w:i/>
          <w:spacing w:val="24"/>
          <w:sz w:val="20"/>
        </w:rPr>
        <w:t> </w:t>
      </w:r>
      <w:r>
        <w:rPr>
          <w:rFonts w:ascii="Arial"/>
          <w:i/>
          <w:sz w:val="20"/>
        </w:rPr>
        <w:t>1281</w:t>
      </w:r>
      <w:r>
        <w:rPr>
          <w:rFonts w:ascii="Arial"/>
          <w:i/>
          <w:spacing w:val="24"/>
          <w:sz w:val="20"/>
        </w:rPr>
        <w:t> </w:t>
      </w:r>
      <w:r>
        <w:rPr>
          <w:sz w:val="20"/>
        </w:rPr>
        <w:t>at</w:t>
      </w:r>
      <w:r>
        <w:rPr>
          <w:spacing w:val="24"/>
          <w:sz w:val="20"/>
        </w:rPr>
        <w:t> </w:t>
      </w:r>
      <w:r>
        <w:rPr>
          <w:sz w:val="20"/>
        </w:rPr>
        <w:t>1295.</w:t>
      </w:r>
      <w:r>
        <w:rPr>
          <w:spacing w:val="24"/>
          <w:sz w:val="20"/>
        </w:rPr>
        <w:t> </w:t>
      </w:r>
      <w:r>
        <w:rPr>
          <w:sz w:val="20"/>
        </w:rPr>
        <w:t>Notably,</w:t>
      </w:r>
      <w:r>
        <w:rPr>
          <w:spacing w:val="24"/>
          <w:sz w:val="20"/>
        </w:rPr>
        <w:t> </w:t>
      </w:r>
      <w:r>
        <w:rPr>
          <w:rFonts w:ascii="Arial"/>
          <w:i/>
          <w:sz w:val="20"/>
        </w:rPr>
        <w:t>Tai</w:t>
      </w:r>
      <w:r>
        <w:rPr>
          <w:rFonts w:ascii="Arial"/>
          <w:i/>
          <w:spacing w:val="24"/>
          <w:sz w:val="20"/>
        </w:rPr>
        <w:t> </w:t>
      </w:r>
      <w:r>
        <w:rPr>
          <w:rFonts w:ascii="Arial"/>
          <w:i/>
          <w:sz w:val="20"/>
        </w:rPr>
        <w:t>Hing</w:t>
      </w:r>
      <w:r>
        <w:rPr>
          <w:rFonts w:ascii="Arial"/>
          <w:i/>
          <w:spacing w:val="24"/>
          <w:sz w:val="20"/>
        </w:rPr>
        <w:t> </w:t>
      </w:r>
      <w:r>
        <w:rPr>
          <w:rFonts w:ascii="Arial"/>
          <w:i/>
          <w:sz w:val="20"/>
        </w:rPr>
        <w:t>Cotton</w:t>
      </w:r>
      <w:r>
        <w:rPr>
          <w:rFonts w:ascii="Arial"/>
          <w:i/>
          <w:spacing w:val="24"/>
          <w:sz w:val="20"/>
        </w:rPr>
        <w:t> </w:t>
      </w:r>
      <w:r>
        <w:rPr>
          <w:rFonts w:ascii="Arial"/>
          <w:i/>
          <w:sz w:val="20"/>
        </w:rPr>
        <w:t>Mill</w:t>
      </w:r>
      <w:r>
        <w:rPr>
          <w:rFonts w:ascii="Arial"/>
          <w:i/>
          <w:spacing w:val="24"/>
          <w:sz w:val="20"/>
        </w:rPr>
        <w:t> </w:t>
      </w:r>
      <w:r>
        <w:rPr>
          <w:rFonts w:ascii="Arial"/>
          <w:i/>
          <w:sz w:val="20"/>
        </w:rPr>
        <w:t>Ltd</w:t>
      </w:r>
      <w:r>
        <w:rPr>
          <w:rFonts w:ascii="Arial"/>
          <w:i/>
          <w:spacing w:val="24"/>
          <w:sz w:val="20"/>
        </w:rPr>
        <w:t> </w:t>
      </w:r>
      <w:r>
        <w:rPr>
          <w:rFonts w:ascii="Arial"/>
          <w:i/>
          <w:sz w:val="20"/>
        </w:rPr>
        <w:t>v</w:t>
      </w:r>
      <w:r>
        <w:rPr>
          <w:rFonts w:ascii="Arial"/>
          <w:i/>
          <w:spacing w:val="24"/>
          <w:sz w:val="20"/>
        </w:rPr>
        <w:t> </w:t>
      </w:r>
      <w:r>
        <w:rPr>
          <w:rFonts w:ascii="Arial"/>
          <w:i/>
          <w:sz w:val="20"/>
        </w:rPr>
        <w:t>Liu</w:t>
      </w:r>
      <w:r>
        <w:rPr>
          <w:rFonts w:ascii="Arial"/>
          <w:i/>
          <w:spacing w:val="24"/>
          <w:sz w:val="20"/>
        </w:rPr>
        <w:t> </w:t>
      </w:r>
      <w:r>
        <w:rPr>
          <w:rFonts w:ascii="Arial"/>
          <w:i/>
          <w:sz w:val="20"/>
        </w:rPr>
        <w:t>Chong</w:t>
      </w:r>
      <w:r>
        <w:rPr>
          <w:rFonts w:ascii="Arial"/>
          <w:i/>
          <w:spacing w:val="24"/>
          <w:sz w:val="20"/>
        </w:rPr>
        <w:t> </w:t>
      </w:r>
      <w:r>
        <w:rPr>
          <w:rFonts w:ascii="Arial"/>
          <w:i/>
          <w:sz w:val="20"/>
        </w:rPr>
        <w:t>Hing</w:t>
      </w:r>
      <w:r>
        <w:rPr>
          <w:rFonts w:ascii="Arial"/>
          <w:i/>
          <w:spacing w:val="24"/>
          <w:sz w:val="20"/>
        </w:rPr>
        <w:t> </w:t>
      </w:r>
      <w:r>
        <w:rPr>
          <w:rFonts w:ascii="Arial"/>
          <w:i/>
          <w:sz w:val="20"/>
        </w:rPr>
        <w:t>Bank</w:t>
      </w:r>
      <w:r>
        <w:rPr>
          <w:rFonts w:ascii="Arial"/>
          <w:i/>
          <w:spacing w:val="24"/>
          <w:sz w:val="20"/>
        </w:rPr>
        <w:t> </w:t>
      </w:r>
      <w:r>
        <w:rPr>
          <w:rFonts w:ascii="Arial"/>
          <w:i/>
          <w:sz w:val="20"/>
        </w:rPr>
        <w:t>Ltd [1986] A.C. 80</w:t>
      </w:r>
      <w:r>
        <w:rPr>
          <w:sz w:val="20"/>
        </w:rPr>
        <w:t>.</w:t>
      </w:r>
    </w:p>
    <w:p>
      <w:pPr>
        <w:pStyle w:val="BodyText"/>
        <w:spacing w:before="5"/>
      </w:pPr>
    </w:p>
    <w:p>
      <w:pPr>
        <w:spacing w:before="1"/>
        <w:ind w:left="165" w:right="0" w:firstLine="0"/>
        <w:jc w:val="left"/>
        <w:rPr>
          <w:sz w:val="20"/>
        </w:rPr>
      </w:pPr>
      <w:r>
        <w:rPr>
          <w:color w:val="005DA1"/>
          <w:position w:val="5"/>
          <w:sz w:val="14"/>
          <w:u w:val="single" w:color="005DA1"/>
        </w:rPr>
        <w:t>1232</w:t>
      </w:r>
      <w:r>
        <w:rPr>
          <w:position w:val="5"/>
          <w:sz w:val="14"/>
        </w:rPr>
        <w:t>.</w:t>
      </w:r>
      <w:r>
        <w:rPr>
          <w:spacing w:val="55"/>
          <w:position w:val="5"/>
          <w:sz w:val="14"/>
        </w:rPr>
        <w:t>  </w:t>
      </w:r>
      <w:r>
        <w:rPr>
          <w:rFonts w:ascii="Arial"/>
          <w:i/>
          <w:sz w:val="20"/>
        </w:rPr>
        <w:t>(1986)</w:t>
      </w:r>
      <w:r>
        <w:rPr>
          <w:rFonts w:ascii="Arial"/>
          <w:i/>
          <w:spacing w:val="1"/>
          <w:sz w:val="20"/>
        </w:rPr>
        <w:t> </w:t>
      </w:r>
      <w:r>
        <w:rPr>
          <w:rFonts w:ascii="Arial"/>
          <w:i/>
          <w:sz w:val="20"/>
        </w:rPr>
        <w:t>31 D.L.R. (4th) 481, 521-</w:t>
      </w:r>
      <w:r>
        <w:rPr>
          <w:rFonts w:ascii="Arial"/>
          <w:i/>
          <w:spacing w:val="-4"/>
          <w:sz w:val="20"/>
        </w:rPr>
        <w:t>522</w:t>
      </w:r>
      <w:r>
        <w:rPr>
          <w:spacing w:val="-4"/>
          <w:sz w:val="20"/>
        </w:rPr>
        <w:t>.</w:t>
      </w:r>
    </w:p>
    <w:p>
      <w:pPr>
        <w:pStyle w:val="BodyText"/>
        <w:spacing w:before="4"/>
      </w:pPr>
    </w:p>
    <w:p>
      <w:pPr>
        <w:spacing w:before="1"/>
        <w:ind w:left="165" w:right="0" w:firstLine="0"/>
        <w:jc w:val="left"/>
        <w:rPr>
          <w:sz w:val="20"/>
        </w:rPr>
      </w:pPr>
      <w:r>
        <w:rPr>
          <w:color w:val="005DA1"/>
          <w:position w:val="5"/>
          <w:sz w:val="14"/>
          <w:u w:val="single" w:color="005DA1"/>
        </w:rPr>
        <w:t>1233</w:t>
      </w:r>
      <w:r>
        <w:rPr>
          <w:position w:val="5"/>
          <w:sz w:val="14"/>
        </w:rPr>
        <w:t>.</w:t>
      </w:r>
      <w:r>
        <w:rPr>
          <w:spacing w:val="55"/>
          <w:position w:val="5"/>
          <w:sz w:val="14"/>
        </w:rPr>
        <w:t>  </w:t>
      </w:r>
      <w:r>
        <w:rPr>
          <w:rFonts w:ascii="Arial"/>
          <w:i/>
          <w:sz w:val="20"/>
        </w:rPr>
        <w:t>[1995]</w:t>
      </w:r>
      <w:r>
        <w:rPr>
          <w:rFonts w:ascii="Arial"/>
          <w:i/>
          <w:spacing w:val="1"/>
          <w:sz w:val="20"/>
        </w:rPr>
        <w:t> </w:t>
      </w:r>
      <w:r>
        <w:rPr>
          <w:rFonts w:ascii="Arial"/>
          <w:i/>
          <w:sz w:val="20"/>
        </w:rPr>
        <w:t>1 W.L.R. 1281, 1301, </w:t>
      </w:r>
      <w:r>
        <w:rPr>
          <w:rFonts w:ascii="Arial"/>
          <w:i/>
          <w:spacing w:val="-2"/>
          <w:sz w:val="20"/>
        </w:rPr>
        <w:t>1305</w:t>
      </w:r>
      <w:r>
        <w:rPr>
          <w:spacing w:val="-2"/>
          <w:sz w:val="20"/>
        </w:rPr>
        <w:t>.</w:t>
      </w:r>
    </w:p>
    <w:p>
      <w:pPr>
        <w:pStyle w:val="BodyText"/>
        <w:spacing w:before="4"/>
      </w:pPr>
    </w:p>
    <w:p>
      <w:pPr>
        <w:spacing w:before="1"/>
        <w:ind w:left="165" w:right="0" w:firstLine="0"/>
        <w:jc w:val="left"/>
        <w:rPr>
          <w:sz w:val="20"/>
        </w:rPr>
      </w:pPr>
      <w:r>
        <w:rPr>
          <w:color w:val="005DA1"/>
          <w:position w:val="5"/>
          <w:sz w:val="14"/>
          <w:u w:val="single" w:color="005DA1"/>
        </w:rPr>
        <w:t>1234</w:t>
      </w:r>
      <w:r>
        <w:rPr>
          <w:position w:val="5"/>
          <w:sz w:val="14"/>
        </w:rPr>
        <w:t>.</w:t>
      </w:r>
      <w:r>
        <w:rPr>
          <w:spacing w:val="55"/>
          <w:position w:val="5"/>
          <w:sz w:val="14"/>
        </w:rPr>
        <w:t>  </w:t>
      </w:r>
      <w:r>
        <w:rPr>
          <w:rFonts w:ascii="Arial"/>
          <w:i/>
          <w:sz w:val="20"/>
        </w:rPr>
        <w:t>Nicholson</w:t>
      </w:r>
      <w:r>
        <w:rPr>
          <w:rFonts w:ascii="Arial"/>
          <w:i/>
          <w:spacing w:val="1"/>
          <w:sz w:val="20"/>
        </w:rPr>
        <w:t> </w:t>
      </w:r>
      <w:r>
        <w:rPr>
          <w:rFonts w:ascii="Arial"/>
          <w:i/>
          <w:sz w:val="20"/>
        </w:rPr>
        <w:t>v Willan (1804) 5 East 507</w:t>
      </w:r>
      <w:r>
        <w:rPr>
          <w:rFonts w:ascii="Arial"/>
          <w:i/>
          <w:spacing w:val="-1"/>
          <w:sz w:val="20"/>
        </w:rPr>
        <w:t> </w:t>
      </w:r>
      <w:r>
        <w:rPr>
          <w:sz w:val="20"/>
        </w:rPr>
        <w:t>and see below, paras 15-001 et </w:t>
      </w:r>
      <w:r>
        <w:rPr>
          <w:spacing w:val="-4"/>
          <w:sz w:val="20"/>
        </w:rPr>
        <w:t>seq.</w:t>
      </w:r>
    </w:p>
    <w:p>
      <w:pPr>
        <w:pStyle w:val="BodyText"/>
        <w:spacing w:before="8"/>
      </w:pPr>
    </w:p>
    <w:p>
      <w:pPr>
        <w:spacing w:line="235" w:lineRule="auto" w:before="0"/>
        <w:ind w:left="705" w:right="167" w:hanging="541"/>
        <w:jc w:val="both"/>
        <w:rPr>
          <w:sz w:val="20"/>
        </w:rPr>
      </w:pPr>
      <w:r>
        <w:rPr>
          <w:color w:val="005DA1"/>
          <w:position w:val="5"/>
          <w:sz w:val="14"/>
          <w:u w:val="single" w:color="005DA1"/>
        </w:rPr>
        <w:t>1235</w:t>
      </w:r>
      <w:r>
        <w:rPr>
          <w:position w:val="5"/>
          <w:sz w:val="14"/>
        </w:rPr>
        <w:t>.</w:t>
      </w:r>
      <w:r>
        <w:rPr>
          <w:spacing w:val="80"/>
          <w:position w:val="5"/>
          <w:sz w:val="14"/>
        </w:rPr>
        <w:t> </w:t>
      </w:r>
      <w:r>
        <w:rPr>
          <w:rFonts w:ascii="Arial" w:hAnsi="Arial"/>
          <w:i/>
          <w:sz w:val="20"/>
        </w:rPr>
        <w:t>White v John Warwick &amp; Co Ltd [1953] 1 W.L.R. 1285</w:t>
      </w:r>
      <w:r>
        <w:rPr>
          <w:sz w:val="20"/>
        </w:rPr>
        <w:t>; </w:t>
      </w:r>
      <w:r>
        <w:rPr>
          <w:rFonts w:ascii="Arial" w:hAnsi="Arial"/>
          <w:i/>
          <w:sz w:val="20"/>
        </w:rPr>
        <w:t>How Engineering Services Ltd v</w:t>
      </w:r>
      <w:r>
        <w:rPr>
          <w:rFonts w:ascii="Arial" w:hAnsi="Arial"/>
          <w:i/>
          <w:spacing w:val="40"/>
          <w:sz w:val="20"/>
        </w:rPr>
        <w:t> </w:t>
      </w:r>
      <w:r>
        <w:rPr>
          <w:rFonts w:ascii="Arial" w:hAnsi="Arial"/>
          <w:i/>
          <w:sz w:val="20"/>
        </w:rPr>
        <w:t>Southern Insulation (Medway) Ltd [2010] EWHC 1878 (TCC), [2010] B.L.R. 537 </w:t>
      </w:r>
      <w:r>
        <w:rPr>
          <w:sz w:val="20"/>
        </w:rPr>
        <w:t>at [14], </w:t>
      </w:r>
      <w:r>
        <w:rPr>
          <w:sz w:val="20"/>
        </w:rPr>
        <w:t>where Akenhead J. observed that where a duty of care in the tort of negligence exists concurrently</w:t>
      </w:r>
      <w:r>
        <w:rPr>
          <w:spacing w:val="40"/>
          <w:sz w:val="20"/>
        </w:rPr>
        <w:t> </w:t>
      </w:r>
      <w:r>
        <w:rPr>
          <w:sz w:val="20"/>
        </w:rPr>
        <w:t>with a contract between the parties “[t]hat duty of care will be definable by reference to the contractual responsibilities and liabilities assumed by the parties to the contract and, if for instance, certain types of loss are, on the proper interpretation of the contract, excluded or otherwise irrecoverable, the duty of care is similarly circumscribed”.</w:t>
      </w:r>
    </w:p>
    <w:p>
      <w:pPr>
        <w:spacing w:after="0" w:line="235" w:lineRule="auto"/>
        <w:jc w:val="both"/>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569" w:hRule="atLeast"/>
        </w:trPr>
        <w:tc>
          <w:tcPr>
            <w:tcW w:w="496" w:type="dxa"/>
          </w:tcPr>
          <w:p>
            <w:pPr>
              <w:pStyle w:val="TableParagraph"/>
              <w:spacing w:before="0"/>
              <w:ind w:left="0" w:right="43"/>
              <w:rPr>
                <w:sz w:val="14"/>
              </w:rPr>
            </w:pPr>
            <w:r>
              <w:rPr>
                <w:color w:val="005DA1"/>
                <w:spacing w:val="-2"/>
                <w:sz w:val="14"/>
                <w:u w:val="single" w:color="005DA1"/>
              </w:rPr>
              <w:t>1236</w:t>
            </w:r>
            <w:r>
              <w:rPr>
                <w:spacing w:val="-2"/>
                <w:sz w:val="14"/>
              </w:rPr>
              <w:t>.</w:t>
            </w:r>
          </w:p>
        </w:tc>
        <w:tc>
          <w:tcPr>
            <w:tcW w:w="8620" w:type="dxa"/>
          </w:tcPr>
          <w:p>
            <w:pPr>
              <w:pStyle w:val="TableParagraph"/>
              <w:spacing w:line="235" w:lineRule="auto" w:before="0"/>
              <w:jc w:val="left"/>
              <w:rPr>
                <w:sz w:val="20"/>
              </w:rPr>
            </w:pPr>
            <w:r>
              <w:rPr>
                <w:rFonts w:ascii="Arial" w:hAnsi="Arial"/>
                <w:i/>
                <w:sz w:val="20"/>
              </w:rPr>
              <w:t>White v John Warwick &amp; Co Ltd [1953] 1 W.L.R. 1285 </w:t>
            </w:r>
            <w:r>
              <w:rPr>
                <w:sz w:val="20"/>
              </w:rPr>
              <w:t>at 1294 where Denning L.J. held that the plaintiff “can avoid the exemption clause by framing his claim in tort”.</w:t>
            </w:r>
          </w:p>
        </w:tc>
      </w:tr>
      <w:tr>
        <w:trPr>
          <w:trHeight w:val="1140" w:hRule="atLeast"/>
        </w:trPr>
        <w:tc>
          <w:tcPr>
            <w:tcW w:w="496" w:type="dxa"/>
          </w:tcPr>
          <w:p>
            <w:pPr>
              <w:pStyle w:val="TableParagraph"/>
              <w:ind w:left="0" w:right="43"/>
              <w:rPr>
                <w:sz w:val="14"/>
              </w:rPr>
            </w:pPr>
            <w:r>
              <w:rPr>
                <w:color w:val="005DA1"/>
                <w:spacing w:val="-2"/>
                <w:sz w:val="14"/>
                <w:u w:val="single" w:color="005DA1"/>
              </w:rPr>
              <w:t>1237</w:t>
            </w:r>
            <w:r>
              <w:rPr>
                <w:spacing w:val="-2"/>
                <w:sz w:val="14"/>
              </w:rPr>
              <w:t>.</w:t>
            </w:r>
          </w:p>
        </w:tc>
        <w:tc>
          <w:tcPr>
            <w:tcW w:w="8620" w:type="dxa"/>
          </w:tcPr>
          <w:p>
            <w:pPr>
              <w:pStyle w:val="TableParagraph"/>
              <w:spacing w:line="235" w:lineRule="auto" w:before="118"/>
              <w:ind w:right="48"/>
              <w:jc w:val="both"/>
              <w:rPr>
                <w:sz w:val="20"/>
              </w:rPr>
            </w:pPr>
            <w:r>
              <w:rPr>
                <w:sz w:val="20"/>
              </w:rPr>
              <w:t>e.g. </w:t>
            </w:r>
            <w:r>
              <w:rPr>
                <w:rFonts w:ascii="Arial"/>
                <w:i/>
                <w:sz w:val="20"/>
              </w:rPr>
              <w:t>Hollier v Rambler Motors (A.M.C.) Ltd [1972] 2 Q.B. 71</w:t>
            </w:r>
            <w:r>
              <w:rPr>
                <w:sz w:val="20"/>
              </w:rPr>
              <w:t>. In principle a valid </w:t>
            </w:r>
            <w:r>
              <w:rPr>
                <w:sz w:val="20"/>
              </w:rPr>
              <w:t>exemption clause in a contract between the parties may exclude any liability in the tort of negligence otherwise arising on the basis that it would be inconsistent with the contract: </w:t>
            </w:r>
            <w:r>
              <w:rPr>
                <w:rFonts w:ascii="Arial"/>
                <w:i/>
                <w:sz w:val="20"/>
              </w:rPr>
              <w:t>Robinson v PE Jones (Contractors) Ltd [2011] EWCA Civ 9, [2011] B.L.R. 206 </w:t>
            </w:r>
            <w:r>
              <w:rPr>
                <w:sz w:val="20"/>
              </w:rPr>
              <w:t>at [84].</w:t>
            </w:r>
          </w:p>
        </w:tc>
      </w:tr>
      <w:tr>
        <w:trPr>
          <w:trHeight w:val="1365" w:hRule="atLeast"/>
        </w:trPr>
        <w:tc>
          <w:tcPr>
            <w:tcW w:w="496" w:type="dxa"/>
          </w:tcPr>
          <w:p>
            <w:pPr>
              <w:pStyle w:val="TableParagraph"/>
              <w:ind w:left="0" w:right="43"/>
              <w:rPr>
                <w:sz w:val="14"/>
              </w:rPr>
            </w:pPr>
            <w:r>
              <w:rPr>
                <w:color w:val="005DA1"/>
                <w:spacing w:val="-2"/>
                <w:sz w:val="14"/>
                <w:u w:val="single" w:color="005DA1"/>
              </w:rPr>
              <w:t>1238</w:t>
            </w:r>
            <w:r>
              <w:rPr>
                <w:spacing w:val="-2"/>
                <w:sz w:val="14"/>
              </w:rPr>
              <w:t>.</w:t>
            </w:r>
          </w:p>
        </w:tc>
        <w:tc>
          <w:tcPr>
            <w:tcW w:w="8620" w:type="dxa"/>
          </w:tcPr>
          <w:p>
            <w:pPr>
              <w:pStyle w:val="TableParagraph"/>
              <w:spacing w:line="235" w:lineRule="auto" w:before="118"/>
              <w:ind w:right="48"/>
              <w:jc w:val="both"/>
              <w:rPr>
                <w:sz w:val="20"/>
              </w:rPr>
            </w:pPr>
            <w:r>
              <w:rPr>
                <w:sz w:val="20"/>
              </w:rPr>
              <w:t>Unfair Contract Terms Act 1977 s.1(1) and see below, paras 15-064, 15-081—15-083 (where the impact on the 1977 Act of the Consumer Rights Act 2015 is explained). Such an attempted exclusion may also fall within the controls of the Unfair Terms in Consumer </w:t>
            </w:r>
            <w:r>
              <w:rPr>
                <w:sz w:val="20"/>
              </w:rPr>
              <w:t>Contracts Regulations 1999 (SI 1999/2083) or, on its coming into force, the Consumer Rights Act 2015 Pt 2: on which see Vol.II, paras 38-201 et seq. and 38-358 et seq. and 38-377 respectively.</w:t>
            </w:r>
          </w:p>
        </w:tc>
      </w:tr>
      <w:tr>
        <w:trPr>
          <w:trHeight w:val="465" w:hRule="atLeast"/>
        </w:trPr>
        <w:tc>
          <w:tcPr>
            <w:tcW w:w="496" w:type="dxa"/>
          </w:tcPr>
          <w:p>
            <w:pPr>
              <w:pStyle w:val="TableParagraph"/>
              <w:ind w:left="0" w:right="43"/>
              <w:rPr>
                <w:sz w:val="14"/>
              </w:rPr>
            </w:pPr>
            <w:r>
              <w:rPr>
                <w:color w:val="005DA1"/>
                <w:spacing w:val="-2"/>
                <w:sz w:val="14"/>
                <w:u w:val="single" w:color="005DA1"/>
              </w:rPr>
              <w:t>1239</w:t>
            </w:r>
            <w:r>
              <w:rPr>
                <w:spacing w:val="-2"/>
                <w:sz w:val="14"/>
              </w:rPr>
              <w:t>.</w:t>
            </w:r>
          </w:p>
        </w:tc>
        <w:tc>
          <w:tcPr>
            <w:tcW w:w="8620" w:type="dxa"/>
          </w:tcPr>
          <w:p>
            <w:pPr>
              <w:pStyle w:val="TableParagraph"/>
              <w:spacing w:before="114"/>
              <w:jc w:val="left"/>
              <w:rPr>
                <w:sz w:val="20"/>
              </w:rPr>
            </w:pPr>
            <w:r>
              <w:rPr>
                <w:rFonts w:ascii="Arial"/>
                <w:i/>
                <w:sz w:val="20"/>
              </w:rPr>
              <w:t>[1992] Q.B. </w:t>
            </w:r>
            <w:r>
              <w:rPr>
                <w:rFonts w:ascii="Arial"/>
                <w:i/>
                <w:spacing w:val="-4"/>
                <w:sz w:val="20"/>
              </w:rPr>
              <w:t>334</w:t>
            </w:r>
            <w:r>
              <w:rPr>
                <w:spacing w:val="-4"/>
                <w:sz w:val="20"/>
              </w:rPr>
              <w:t>.</w:t>
            </w:r>
          </w:p>
        </w:tc>
      </w:tr>
      <w:tr>
        <w:trPr>
          <w:trHeight w:val="690" w:hRule="atLeast"/>
        </w:trPr>
        <w:tc>
          <w:tcPr>
            <w:tcW w:w="496" w:type="dxa"/>
          </w:tcPr>
          <w:p>
            <w:pPr>
              <w:pStyle w:val="TableParagraph"/>
              <w:ind w:left="0" w:right="43"/>
              <w:rPr>
                <w:sz w:val="14"/>
              </w:rPr>
            </w:pPr>
            <w:r>
              <w:rPr>
                <w:color w:val="005DA1"/>
                <w:spacing w:val="-2"/>
                <w:sz w:val="14"/>
                <w:u w:val="single" w:color="005DA1"/>
              </w:rPr>
              <w:t>1240</w:t>
            </w:r>
            <w:r>
              <w:rPr>
                <w:spacing w:val="-2"/>
                <w:sz w:val="14"/>
              </w:rPr>
              <w:t>.</w:t>
            </w:r>
          </w:p>
        </w:tc>
        <w:tc>
          <w:tcPr>
            <w:tcW w:w="8620" w:type="dxa"/>
          </w:tcPr>
          <w:p>
            <w:pPr>
              <w:pStyle w:val="TableParagraph"/>
              <w:spacing w:line="235" w:lineRule="auto" w:before="118"/>
              <w:jc w:val="left"/>
              <w:rPr>
                <w:sz w:val="20"/>
              </w:rPr>
            </w:pPr>
            <w:r>
              <w:rPr>
                <w:sz w:val="20"/>
              </w:rPr>
              <w:t>See </w:t>
            </w:r>
            <w:r>
              <w:rPr>
                <w:rFonts w:ascii="Arial"/>
                <w:i/>
                <w:sz w:val="20"/>
              </w:rPr>
              <w:t>Davie v New Merton Board Mills [1959] A.C. 604 </w:t>
            </w:r>
            <w:r>
              <w:rPr>
                <w:sz w:val="20"/>
              </w:rPr>
              <w:t>(negligence); </w:t>
            </w:r>
            <w:r>
              <w:rPr>
                <w:rFonts w:ascii="Arial"/>
                <w:i/>
                <w:sz w:val="20"/>
              </w:rPr>
              <w:t>Matthews v Kuwait </w:t>
            </w:r>
            <w:r>
              <w:rPr>
                <w:rFonts w:ascii="Arial"/>
                <w:i/>
                <w:sz w:val="20"/>
              </w:rPr>
              <w:t>Bechtel Corp [1959] 2 Q.B. 57 </w:t>
            </w:r>
            <w:r>
              <w:rPr>
                <w:sz w:val="20"/>
              </w:rPr>
              <w:t>(contract).</w:t>
            </w:r>
          </w:p>
        </w:tc>
      </w:tr>
      <w:tr>
        <w:trPr>
          <w:trHeight w:val="465" w:hRule="atLeast"/>
        </w:trPr>
        <w:tc>
          <w:tcPr>
            <w:tcW w:w="496" w:type="dxa"/>
          </w:tcPr>
          <w:p>
            <w:pPr>
              <w:pStyle w:val="TableParagraph"/>
              <w:ind w:left="0" w:right="43"/>
              <w:rPr>
                <w:sz w:val="14"/>
              </w:rPr>
            </w:pPr>
            <w:r>
              <w:rPr>
                <w:color w:val="005DA1"/>
                <w:spacing w:val="-2"/>
                <w:sz w:val="14"/>
                <w:u w:val="single" w:color="005DA1"/>
              </w:rPr>
              <w:t>1241</w:t>
            </w:r>
            <w:r>
              <w:rPr>
                <w:spacing w:val="-2"/>
                <w:sz w:val="14"/>
              </w:rPr>
              <w:t>.</w:t>
            </w:r>
          </w:p>
        </w:tc>
        <w:tc>
          <w:tcPr>
            <w:tcW w:w="8620" w:type="dxa"/>
          </w:tcPr>
          <w:p>
            <w:pPr>
              <w:pStyle w:val="TableParagraph"/>
              <w:spacing w:before="114"/>
              <w:jc w:val="left"/>
              <w:rPr>
                <w:sz w:val="20"/>
              </w:rPr>
            </w:pPr>
            <w:r>
              <w:rPr>
                <w:rFonts w:ascii="Arial"/>
                <w:i/>
                <w:sz w:val="20"/>
              </w:rPr>
              <w:t>[1986]</w:t>
            </w:r>
            <w:r>
              <w:rPr>
                <w:rFonts w:ascii="Arial"/>
                <w:i/>
                <w:spacing w:val="-1"/>
                <w:sz w:val="20"/>
              </w:rPr>
              <w:t> </w:t>
            </w:r>
            <w:r>
              <w:rPr>
                <w:rFonts w:ascii="Arial"/>
                <w:i/>
                <w:sz w:val="20"/>
              </w:rPr>
              <w:t>A.C. 80, 107</w:t>
            </w:r>
            <w:r>
              <w:rPr>
                <w:sz w:val="20"/>
              </w:rPr>
              <w:t>; see above, para.1-</w:t>
            </w:r>
            <w:r>
              <w:rPr>
                <w:spacing w:val="-4"/>
                <w:sz w:val="20"/>
              </w:rPr>
              <w:t>154.</w:t>
            </w:r>
          </w:p>
        </w:tc>
      </w:tr>
      <w:tr>
        <w:trPr>
          <w:trHeight w:val="465" w:hRule="atLeast"/>
        </w:trPr>
        <w:tc>
          <w:tcPr>
            <w:tcW w:w="496" w:type="dxa"/>
          </w:tcPr>
          <w:p>
            <w:pPr>
              <w:pStyle w:val="TableParagraph"/>
              <w:ind w:left="0" w:right="43"/>
              <w:rPr>
                <w:sz w:val="14"/>
              </w:rPr>
            </w:pPr>
            <w:r>
              <w:rPr>
                <w:color w:val="005DA1"/>
                <w:spacing w:val="-2"/>
                <w:sz w:val="14"/>
                <w:u w:val="single" w:color="005DA1"/>
              </w:rPr>
              <w:t>1242</w:t>
            </w:r>
            <w:r>
              <w:rPr>
                <w:spacing w:val="-2"/>
                <w:sz w:val="14"/>
              </w:rPr>
              <w:t>.</w:t>
            </w:r>
          </w:p>
        </w:tc>
        <w:tc>
          <w:tcPr>
            <w:tcW w:w="8620" w:type="dxa"/>
          </w:tcPr>
          <w:p>
            <w:pPr>
              <w:pStyle w:val="TableParagraph"/>
              <w:spacing w:before="114"/>
              <w:jc w:val="left"/>
              <w:rPr>
                <w:sz w:val="20"/>
              </w:rPr>
            </w:pPr>
            <w:r>
              <w:rPr>
                <w:rFonts w:ascii="Arial"/>
                <w:i/>
                <w:sz w:val="20"/>
              </w:rPr>
              <w:t>[1986] A.C. </w:t>
            </w:r>
            <w:r>
              <w:rPr>
                <w:rFonts w:ascii="Arial"/>
                <w:i/>
                <w:spacing w:val="-5"/>
                <w:sz w:val="20"/>
              </w:rPr>
              <w:t>80</w:t>
            </w:r>
            <w:r>
              <w:rPr>
                <w:spacing w:val="-5"/>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1243</w:t>
            </w:r>
            <w:r>
              <w:rPr>
                <w:spacing w:val="-2"/>
                <w:sz w:val="14"/>
              </w:rPr>
              <w:t>.</w:t>
            </w:r>
          </w:p>
        </w:tc>
        <w:tc>
          <w:tcPr>
            <w:tcW w:w="8620" w:type="dxa"/>
          </w:tcPr>
          <w:p>
            <w:pPr>
              <w:pStyle w:val="TableParagraph"/>
              <w:spacing w:before="114"/>
              <w:jc w:val="left"/>
              <w:rPr>
                <w:sz w:val="20"/>
              </w:rPr>
            </w:pPr>
            <w:r>
              <w:rPr>
                <w:rFonts w:ascii="Arial"/>
                <w:i/>
                <w:sz w:val="20"/>
              </w:rPr>
              <w:t>[1986] A.C. 80</w:t>
            </w:r>
            <w:r>
              <w:rPr>
                <w:rFonts w:ascii="Arial"/>
                <w:i/>
                <w:spacing w:val="-1"/>
                <w:sz w:val="20"/>
              </w:rPr>
              <w:t> </w:t>
            </w:r>
            <w:r>
              <w:rPr>
                <w:sz w:val="20"/>
              </w:rPr>
              <w:t>at </w:t>
            </w:r>
            <w:r>
              <w:rPr>
                <w:spacing w:val="-4"/>
                <w:sz w:val="20"/>
              </w:rPr>
              <w:t>350.</w:t>
            </w:r>
          </w:p>
        </w:tc>
      </w:tr>
      <w:tr>
        <w:trPr>
          <w:trHeight w:val="465" w:hRule="atLeast"/>
        </w:trPr>
        <w:tc>
          <w:tcPr>
            <w:tcW w:w="496" w:type="dxa"/>
          </w:tcPr>
          <w:p>
            <w:pPr>
              <w:pStyle w:val="TableParagraph"/>
              <w:ind w:left="0" w:right="43"/>
              <w:rPr>
                <w:sz w:val="14"/>
              </w:rPr>
            </w:pPr>
            <w:r>
              <w:rPr>
                <w:color w:val="005DA1"/>
                <w:spacing w:val="-2"/>
                <w:sz w:val="14"/>
                <w:u w:val="single" w:color="005DA1"/>
              </w:rPr>
              <w:t>1244</w:t>
            </w:r>
            <w:r>
              <w:rPr>
                <w:spacing w:val="-2"/>
                <w:sz w:val="14"/>
              </w:rPr>
              <w:t>.</w:t>
            </w:r>
          </w:p>
        </w:tc>
        <w:tc>
          <w:tcPr>
            <w:tcW w:w="8620" w:type="dxa"/>
          </w:tcPr>
          <w:p>
            <w:pPr>
              <w:pStyle w:val="TableParagraph"/>
              <w:spacing w:before="114"/>
              <w:jc w:val="left"/>
              <w:rPr>
                <w:sz w:val="20"/>
              </w:rPr>
            </w:pPr>
            <w:r>
              <w:rPr>
                <w:rFonts w:ascii="Arial" w:hAnsi="Arial"/>
                <w:i/>
                <w:sz w:val="20"/>
              </w:rPr>
              <w:t>[1986]</w:t>
            </w:r>
            <w:r>
              <w:rPr>
                <w:rFonts w:ascii="Arial" w:hAnsi="Arial"/>
                <w:i/>
                <w:spacing w:val="-2"/>
                <w:sz w:val="20"/>
              </w:rPr>
              <w:t> </w:t>
            </w:r>
            <w:r>
              <w:rPr>
                <w:rFonts w:ascii="Arial" w:hAnsi="Arial"/>
                <w:i/>
                <w:sz w:val="20"/>
              </w:rPr>
              <w:t>A.C. 80</w:t>
            </w:r>
            <w:r>
              <w:rPr>
                <w:rFonts w:ascii="Arial" w:hAnsi="Arial"/>
                <w:i/>
                <w:spacing w:val="-1"/>
                <w:sz w:val="20"/>
              </w:rPr>
              <w:t> </w:t>
            </w:r>
            <w:r>
              <w:rPr>
                <w:sz w:val="20"/>
              </w:rPr>
              <w:t>at </w:t>
            </w:r>
            <w:r>
              <w:rPr>
                <w:spacing w:val="-2"/>
                <w:sz w:val="20"/>
              </w:rPr>
              <w:t>350–351.</w:t>
            </w:r>
          </w:p>
        </w:tc>
      </w:tr>
      <w:tr>
        <w:trPr>
          <w:trHeight w:val="465" w:hRule="atLeast"/>
        </w:trPr>
        <w:tc>
          <w:tcPr>
            <w:tcW w:w="496" w:type="dxa"/>
          </w:tcPr>
          <w:p>
            <w:pPr>
              <w:pStyle w:val="TableParagraph"/>
              <w:ind w:left="0" w:right="43"/>
              <w:rPr>
                <w:sz w:val="14"/>
              </w:rPr>
            </w:pPr>
            <w:r>
              <w:rPr>
                <w:color w:val="005DA1"/>
                <w:spacing w:val="-2"/>
                <w:sz w:val="14"/>
                <w:u w:val="single" w:color="005DA1"/>
              </w:rPr>
              <w:t>1245</w:t>
            </w:r>
            <w:r>
              <w:rPr>
                <w:spacing w:val="-2"/>
                <w:sz w:val="14"/>
              </w:rPr>
              <w:t>.</w:t>
            </w:r>
          </w:p>
        </w:tc>
        <w:tc>
          <w:tcPr>
            <w:tcW w:w="8620" w:type="dxa"/>
          </w:tcPr>
          <w:p>
            <w:pPr>
              <w:pStyle w:val="TableParagraph"/>
              <w:spacing w:before="114"/>
              <w:jc w:val="left"/>
              <w:rPr>
                <w:sz w:val="20"/>
              </w:rPr>
            </w:pPr>
            <w:r>
              <w:rPr>
                <w:rFonts w:ascii="Arial"/>
                <w:i/>
                <w:sz w:val="20"/>
              </w:rPr>
              <w:t>[1986] A.C. 80</w:t>
            </w:r>
            <w:r>
              <w:rPr>
                <w:rFonts w:ascii="Arial"/>
                <w:i/>
                <w:spacing w:val="-1"/>
                <w:sz w:val="20"/>
              </w:rPr>
              <w:t> </w:t>
            </w:r>
            <w:r>
              <w:rPr>
                <w:sz w:val="20"/>
              </w:rPr>
              <w:t>at </w:t>
            </w:r>
            <w:r>
              <w:rPr>
                <w:spacing w:val="-4"/>
                <w:sz w:val="20"/>
              </w:rPr>
              <w:t>349.</w:t>
            </w:r>
          </w:p>
        </w:tc>
      </w:tr>
      <w:tr>
        <w:trPr>
          <w:trHeight w:val="465" w:hRule="atLeast"/>
        </w:trPr>
        <w:tc>
          <w:tcPr>
            <w:tcW w:w="496" w:type="dxa"/>
          </w:tcPr>
          <w:p>
            <w:pPr>
              <w:pStyle w:val="TableParagraph"/>
              <w:ind w:left="0" w:right="43"/>
              <w:rPr>
                <w:sz w:val="14"/>
              </w:rPr>
            </w:pPr>
            <w:r>
              <w:rPr>
                <w:color w:val="005DA1"/>
                <w:spacing w:val="-2"/>
                <w:sz w:val="14"/>
                <w:u w:val="single" w:color="005DA1"/>
              </w:rPr>
              <w:t>1246</w:t>
            </w:r>
            <w:r>
              <w:rPr>
                <w:spacing w:val="-2"/>
                <w:sz w:val="14"/>
              </w:rPr>
              <w:t>.</w:t>
            </w:r>
          </w:p>
        </w:tc>
        <w:tc>
          <w:tcPr>
            <w:tcW w:w="8620" w:type="dxa"/>
          </w:tcPr>
          <w:p>
            <w:pPr>
              <w:pStyle w:val="TableParagraph"/>
              <w:spacing w:before="114"/>
              <w:jc w:val="left"/>
              <w:rPr>
                <w:sz w:val="20"/>
              </w:rPr>
            </w:pPr>
            <w:r>
              <w:rPr>
                <w:rFonts w:ascii="Arial"/>
                <w:i/>
                <w:sz w:val="20"/>
              </w:rPr>
              <w:t>[1995]</w:t>
            </w:r>
            <w:r>
              <w:rPr>
                <w:rFonts w:ascii="Arial"/>
                <w:i/>
                <w:spacing w:val="-2"/>
                <w:sz w:val="20"/>
              </w:rPr>
              <w:t> </w:t>
            </w:r>
            <w:r>
              <w:rPr>
                <w:rFonts w:ascii="Arial"/>
                <w:i/>
                <w:sz w:val="20"/>
              </w:rPr>
              <w:t>2 A.C. </w:t>
            </w:r>
            <w:r>
              <w:rPr>
                <w:rFonts w:ascii="Arial"/>
                <w:i/>
                <w:spacing w:val="-4"/>
                <w:sz w:val="20"/>
              </w:rPr>
              <w:t>145</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1247</w:t>
            </w:r>
            <w:r>
              <w:rPr>
                <w:spacing w:val="-2"/>
                <w:sz w:val="14"/>
              </w:rPr>
              <w:t>.</w:t>
            </w:r>
          </w:p>
        </w:tc>
        <w:tc>
          <w:tcPr>
            <w:tcW w:w="8620" w:type="dxa"/>
          </w:tcPr>
          <w:p>
            <w:pPr>
              <w:pStyle w:val="TableParagraph"/>
              <w:spacing w:before="114"/>
              <w:jc w:val="left"/>
              <w:rPr>
                <w:sz w:val="20"/>
              </w:rPr>
            </w:pPr>
            <w:r>
              <w:rPr>
                <w:sz w:val="20"/>
              </w:rPr>
              <w:t>See above, paras 1-166—1-</w:t>
            </w:r>
            <w:r>
              <w:rPr>
                <w:spacing w:val="-4"/>
                <w:sz w:val="20"/>
              </w:rPr>
              <w:t>167.</w:t>
            </w:r>
          </w:p>
        </w:tc>
      </w:tr>
      <w:tr>
        <w:trPr>
          <w:trHeight w:val="1365" w:hRule="atLeast"/>
        </w:trPr>
        <w:tc>
          <w:tcPr>
            <w:tcW w:w="496" w:type="dxa"/>
          </w:tcPr>
          <w:p>
            <w:pPr>
              <w:pStyle w:val="TableParagraph"/>
              <w:ind w:left="0" w:right="43"/>
              <w:rPr>
                <w:sz w:val="14"/>
              </w:rPr>
            </w:pPr>
            <w:r>
              <w:rPr>
                <w:color w:val="005DA1"/>
                <w:spacing w:val="-2"/>
                <w:sz w:val="14"/>
                <w:u w:val="single" w:color="005DA1"/>
              </w:rPr>
              <w:t>1248</w:t>
            </w:r>
            <w:r>
              <w:rPr>
                <w:spacing w:val="-2"/>
                <w:sz w:val="14"/>
              </w:rPr>
              <w:t>.</w:t>
            </w:r>
          </w:p>
        </w:tc>
        <w:tc>
          <w:tcPr>
            <w:tcW w:w="8620" w:type="dxa"/>
          </w:tcPr>
          <w:p>
            <w:pPr>
              <w:pStyle w:val="TableParagraph"/>
              <w:spacing w:line="235" w:lineRule="auto" w:before="118"/>
              <w:ind w:right="48"/>
              <w:jc w:val="both"/>
              <w:rPr>
                <w:sz w:val="20"/>
              </w:rPr>
            </w:pPr>
            <w:r>
              <w:rPr>
                <w:rFonts w:ascii="Arial" w:hAnsi="Arial"/>
                <w:i/>
                <w:sz w:val="20"/>
              </w:rPr>
              <w:t>Chatterton v Gerson [1981] 1 Q.B. 432, 442–443</w:t>
            </w:r>
            <w:r>
              <w:rPr>
                <w:sz w:val="20"/>
              </w:rPr>
              <w:t>. For the extent to which the consent needs </w:t>
            </w:r>
            <w:r>
              <w:rPr>
                <w:sz w:val="20"/>
              </w:rPr>
              <w:t>to be “informed” see </w:t>
            </w:r>
            <w:r>
              <w:rPr>
                <w:rFonts w:ascii="Arial" w:hAnsi="Arial"/>
                <w:i/>
                <w:sz w:val="20"/>
              </w:rPr>
              <w:t>Montgomery v Lanarkshire Health Board [2015] UKSC 11, [2015] 2 W.L.R. 768</w:t>
            </w:r>
            <w:r>
              <w:rPr>
                <w:sz w:val="20"/>
              </w:rPr>
              <w:t>. That the consent of the claimant goes to the existence of the tort of battery rather than being merely an example of volenti non fit injuria is supported by the fact that the claimant must show his own lack of consent: </w:t>
            </w:r>
            <w:r>
              <w:rPr>
                <w:rFonts w:ascii="Arial" w:hAnsi="Arial"/>
                <w:i/>
                <w:sz w:val="20"/>
              </w:rPr>
              <w:t>Freeman v Home Office (No.2) [1984] Q.B. 524, 539</w:t>
            </w:r>
            <w:r>
              <w:rPr>
                <w:sz w:val="20"/>
              </w:rPr>
              <w:t>.</w:t>
            </w:r>
          </w:p>
        </w:tc>
      </w:tr>
      <w:tr>
        <w:trPr>
          <w:trHeight w:val="915" w:hRule="atLeast"/>
        </w:trPr>
        <w:tc>
          <w:tcPr>
            <w:tcW w:w="496" w:type="dxa"/>
          </w:tcPr>
          <w:p>
            <w:pPr>
              <w:pStyle w:val="TableParagraph"/>
              <w:ind w:left="0" w:right="43"/>
              <w:rPr>
                <w:sz w:val="14"/>
              </w:rPr>
            </w:pPr>
            <w:r>
              <w:rPr>
                <w:color w:val="005DA1"/>
                <w:spacing w:val="-2"/>
                <w:sz w:val="14"/>
                <w:u w:val="single" w:color="005DA1"/>
              </w:rPr>
              <w:t>1249</w:t>
            </w:r>
            <w:r>
              <w:rPr>
                <w:spacing w:val="-2"/>
                <w:sz w:val="14"/>
              </w:rPr>
              <w:t>.</w:t>
            </w:r>
          </w:p>
        </w:tc>
        <w:tc>
          <w:tcPr>
            <w:tcW w:w="8620" w:type="dxa"/>
          </w:tcPr>
          <w:p>
            <w:pPr>
              <w:pStyle w:val="TableParagraph"/>
              <w:spacing w:line="235" w:lineRule="auto" w:before="118"/>
              <w:ind w:right="49"/>
              <w:jc w:val="both"/>
              <w:rPr>
                <w:sz w:val="20"/>
              </w:rPr>
            </w:pPr>
            <w:r>
              <w:rPr>
                <w:rFonts w:ascii="Arial" w:hAnsi="Arial"/>
                <w:i/>
                <w:sz w:val="20"/>
              </w:rPr>
              <w:t>Sidaway v Board of Governors of the Bethlem Royal Hospital [1985] A.C. 871 </w:t>
            </w:r>
            <w:r>
              <w:rPr>
                <w:sz w:val="20"/>
              </w:rPr>
              <w:t>at </w:t>
            </w:r>
            <w:r>
              <w:rPr>
                <w:sz w:val="20"/>
              </w:rPr>
              <w:t>904–905. Although the SC in </w:t>
            </w:r>
            <w:r>
              <w:rPr>
                <w:rFonts w:ascii="Arial" w:hAnsi="Arial"/>
                <w:i/>
                <w:sz w:val="20"/>
              </w:rPr>
              <w:t>Montgomery v Lanarkshire Health Board</w:t>
            </w:r>
            <w:r>
              <w:rPr>
                <w:sz w:val="20"/>
              </w:rPr>
              <w:t>, above, n.1176, departed from what was said in </w:t>
            </w:r>
            <w:r>
              <w:rPr>
                <w:rFonts w:ascii="Arial" w:hAnsi="Arial"/>
                <w:i/>
                <w:sz w:val="20"/>
              </w:rPr>
              <w:t>Sidaway </w:t>
            </w:r>
            <w:r>
              <w:rPr>
                <w:sz w:val="20"/>
              </w:rPr>
              <w:t>on informed consent, it did not discuss this point.</w:t>
            </w:r>
          </w:p>
        </w:tc>
      </w:tr>
      <w:tr>
        <w:trPr>
          <w:trHeight w:val="690" w:hRule="atLeast"/>
        </w:trPr>
        <w:tc>
          <w:tcPr>
            <w:tcW w:w="496" w:type="dxa"/>
          </w:tcPr>
          <w:p>
            <w:pPr>
              <w:pStyle w:val="TableParagraph"/>
              <w:ind w:left="0" w:right="43"/>
              <w:rPr>
                <w:sz w:val="14"/>
              </w:rPr>
            </w:pPr>
            <w:r>
              <w:rPr>
                <w:color w:val="005DA1"/>
                <w:spacing w:val="-2"/>
                <w:sz w:val="14"/>
                <w:u w:val="single" w:color="005DA1"/>
              </w:rPr>
              <w:t>1250</w:t>
            </w:r>
            <w:r>
              <w:rPr>
                <w:spacing w:val="-2"/>
                <w:sz w:val="14"/>
              </w:rPr>
              <w:t>.</w:t>
            </w:r>
          </w:p>
        </w:tc>
        <w:tc>
          <w:tcPr>
            <w:tcW w:w="8620" w:type="dxa"/>
          </w:tcPr>
          <w:p>
            <w:pPr>
              <w:pStyle w:val="TableParagraph"/>
              <w:spacing w:line="235" w:lineRule="auto" w:before="118"/>
              <w:jc w:val="left"/>
              <w:rPr>
                <w:sz w:val="20"/>
              </w:rPr>
            </w:pPr>
            <w:r>
              <w:rPr>
                <w:sz w:val="20"/>
              </w:rPr>
              <w:t>There</w:t>
            </w:r>
            <w:r>
              <w:rPr>
                <w:spacing w:val="28"/>
                <w:sz w:val="20"/>
              </w:rPr>
              <w:t> </w:t>
            </w:r>
            <w:r>
              <w:rPr>
                <w:sz w:val="20"/>
              </w:rPr>
              <w:t>is</w:t>
            </w:r>
            <w:r>
              <w:rPr>
                <w:spacing w:val="28"/>
                <w:sz w:val="20"/>
              </w:rPr>
              <w:t> </w:t>
            </w:r>
            <w:r>
              <w:rPr>
                <w:sz w:val="20"/>
              </w:rPr>
              <w:t>no</w:t>
            </w:r>
            <w:r>
              <w:rPr>
                <w:spacing w:val="28"/>
                <w:sz w:val="20"/>
              </w:rPr>
              <w:t> </w:t>
            </w:r>
            <w:r>
              <w:rPr>
                <w:sz w:val="20"/>
              </w:rPr>
              <w:t>need</w:t>
            </w:r>
            <w:r>
              <w:rPr>
                <w:spacing w:val="28"/>
                <w:sz w:val="20"/>
              </w:rPr>
              <w:t> </w:t>
            </w:r>
            <w:r>
              <w:rPr>
                <w:sz w:val="20"/>
              </w:rPr>
              <w:t>for</w:t>
            </w:r>
            <w:r>
              <w:rPr>
                <w:spacing w:val="28"/>
                <w:sz w:val="20"/>
              </w:rPr>
              <w:t> </w:t>
            </w:r>
            <w:r>
              <w:rPr>
                <w:sz w:val="20"/>
              </w:rPr>
              <w:t>such</w:t>
            </w:r>
            <w:r>
              <w:rPr>
                <w:spacing w:val="28"/>
                <w:sz w:val="20"/>
              </w:rPr>
              <w:t> </w:t>
            </w:r>
            <w:r>
              <w:rPr>
                <w:sz w:val="20"/>
              </w:rPr>
              <w:t>a</w:t>
            </w:r>
            <w:r>
              <w:rPr>
                <w:spacing w:val="28"/>
                <w:sz w:val="20"/>
              </w:rPr>
              <w:t> </w:t>
            </w:r>
            <w:r>
              <w:rPr>
                <w:sz w:val="20"/>
              </w:rPr>
              <w:t>licence</w:t>
            </w:r>
            <w:r>
              <w:rPr>
                <w:spacing w:val="28"/>
                <w:sz w:val="20"/>
              </w:rPr>
              <w:t> </w:t>
            </w:r>
            <w:r>
              <w:rPr>
                <w:sz w:val="20"/>
              </w:rPr>
              <w:t>to</w:t>
            </w:r>
            <w:r>
              <w:rPr>
                <w:spacing w:val="28"/>
                <w:sz w:val="20"/>
              </w:rPr>
              <w:t> </w:t>
            </w:r>
            <w:r>
              <w:rPr>
                <w:sz w:val="20"/>
              </w:rPr>
              <w:t>be</w:t>
            </w:r>
            <w:r>
              <w:rPr>
                <w:spacing w:val="28"/>
                <w:sz w:val="20"/>
              </w:rPr>
              <w:t> </w:t>
            </w:r>
            <w:r>
              <w:rPr>
                <w:sz w:val="20"/>
              </w:rPr>
              <w:t>contractual</w:t>
            </w:r>
            <w:r>
              <w:rPr>
                <w:spacing w:val="28"/>
                <w:sz w:val="20"/>
              </w:rPr>
              <w:t> </w:t>
            </w:r>
            <w:r>
              <w:rPr>
                <w:sz w:val="20"/>
              </w:rPr>
              <w:t>for</w:t>
            </w:r>
            <w:r>
              <w:rPr>
                <w:spacing w:val="28"/>
                <w:sz w:val="20"/>
              </w:rPr>
              <w:t> </w:t>
            </w:r>
            <w:r>
              <w:rPr>
                <w:sz w:val="20"/>
              </w:rPr>
              <w:t>the</w:t>
            </w:r>
            <w:r>
              <w:rPr>
                <w:spacing w:val="28"/>
                <w:sz w:val="20"/>
              </w:rPr>
              <w:t> </w:t>
            </w:r>
            <w:r>
              <w:rPr>
                <w:sz w:val="20"/>
              </w:rPr>
              <w:t>defence</w:t>
            </w:r>
            <w:r>
              <w:rPr>
                <w:spacing w:val="28"/>
                <w:sz w:val="20"/>
              </w:rPr>
              <w:t> </w:t>
            </w:r>
            <w:r>
              <w:rPr>
                <w:sz w:val="20"/>
              </w:rPr>
              <w:t>to</w:t>
            </w:r>
            <w:r>
              <w:rPr>
                <w:spacing w:val="28"/>
                <w:sz w:val="20"/>
              </w:rPr>
              <w:t> </w:t>
            </w:r>
            <w:r>
              <w:rPr>
                <w:sz w:val="20"/>
              </w:rPr>
              <w:t>arise.</w:t>
            </w:r>
            <w:r>
              <w:rPr>
                <w:spacing w:val="28"/>
                <w:sz w:val="20"/>
              </w:rPr>
              <w:t> </w:t>
            </w:r>
            <w:r>
              <w:rPr>
                <w:sz w:val="20"/>
              </w:rPr>
              <w:t>See</w:t>
            </w:r>
            <w:r>
              <w:rPr>
                <w:spacing w:val="28"/>
                <w:sz w:val="20"/>
              </w:rPr>
              <w:t> </w:t>
            </w:r>
            <w:r>
              <w:rPr>
                <w:sz w:val="20"/>
              </w:rPr>
              <w:t>Clerk</w:t>
            </w:r>
            <w:r>
              <w:rPr>
                <w:spacing w:val="28"/>
                <w:sz w:val="20"/>
              </w:rPr>
              <w:t> </w:t>
            </w:r>
            <w:r>
              <w:rPr>
                <w:sz w:val="20"/>
              </w:rPr>
              <w:t>&amp; Lindsell on Torts, 21st edn (2014), para.19–46.</w:t>
            </w:r>
          </w:p>
        </w:tc>
      </w:tr>
      <w:tr>
        <w:trPr>
          <w:trHeight w:val="465" w:hRule="atLeast"/>
        </w:trPr>
        <w:tc>
          <w:tcPr>
            <w:tcW w:w="496" w:type="dxa"/>
          </w:tcPr>
          <w:p>
            <w:pPr>
              <w:pStyle w:val="TableParagraph"/>
              <w:ind w:left="0" w:right="43"/>
              <w:rPr>
                <w:sz w:val="14"/>
              </w:rPr>
            </w:pPr>
            <w:r>
              <w:rPr>
                <w:color w:val="005DA1"/>
                <w:spacing w:val="-2"/>
                <w:sz w:val="14"/>
                <w:u w:val="single" w:color="005DA1"/>
              </w:rPr>
              <w:t>1251</w:t>
            </w:r>
            <w:r>
              <w:rPr>
                <w:spacing w:val="-2"/>
                <w:sz w:val="14"/>
              </w:rPr>
              <w:t>.</w:t>
            </w:r>
          </w:p>
        </w:tc>
        <w:tc>
          <w:tcPr>
            <w:tcW w:w="8620" w:type="dxa"/>
          </w:tcPr>
          <w:p>
            <w:pPr>
              <w:pStyle w:val="TableParagraph"/>
              <w:spacing w:before="114"/>
              <w:jc w:val="left"/>
              <w:rPr>
                <w:sz w:val="20"/>
              </w:rPr>
            </w:pPr>
            <w:r>
              <w:rPr>
                <w:rFonts w:ascii="Arial"/>
                <w:i/>
                <w:sz w:val="20"/>
              </w:rPr>
              <w:t>[1932]</w:t>
            </w:r>
            <w:r>
              <w:rPr>
                <w:rFonts w:ascii="Arial"/>
                <w:i/>
                <w:spacing w:val="-2"/>
                <w:sz w:val="20"/>
              </w:rPr>
              <w:t> </w:t>
            </w:r>
            <w:r>
              <w:rPr>
                <w:rFonts w:ascii="Arial"/>
                <w:i/>
                <w:sz w:val="20"/>
              </w:rPr>
              <w:t>2 K.B. </w:t>
            </w:r>
            <w:r>
              <w:rPr>
                <w:rFonts w:ascii="Arial"/>
                <w:i/>
                <w:spacing w:val="-4"/>
                <w:sz w:val="20"/>
              </w:rPr>
              <w:t>431</w:t>
            </w:r>
            <w:r>
              <w:rPr>
                <w:spacing w:val="-4"/>
                <w:sz w:val="20"/>
              </w:rPr>
              <w:t>.</w:t>
            </w:r>
          </w:p>
        </w:tc>
      </w:tr>
      <w:tr>
        <w:trPr>
          <w:trHeight w:val="915" w:hRule="atLeast"/>
        </w:trPr>
        <w:tc>
          <w:tcPr>
            <w:tcW w:w="496" w:type="dxa"/>
          </w:tcPr>
          <w:p>
            <w:pPr>
              <w:pStyle w:val="TableParagraph"/>
              <w:ind w:left="0" w:right="43"/>
              <w:rPr>
                <w:sz w:val="14"/>
              </w:rPr>
            </w:pPr>
            <w:r>
              <w:rPr>
                <w:color w:val="005DA1"/>
                <w:spacing w:val="-2"/>
                <w:sz w:val="14"/>
                <w:u w:val="single" w:color="005DA1"/>
              </w:rPr>
              <w:t>1252</w:t>
            </w:r>
            <w:r>
              <w:rPr>
                <w:spacing w:val="-2"/>
                <w:sz w:val="14"/>
              </w:rPr>
              <w:t>.</w:t>
            </w:r>
          </w:p>
        </w:tc>
        <w:tc>
          <w:tcPr>
            <w:tcW w:w="8620" w:type="dxa"/>
          </w:tcPr>
          <w:p>
            <w:pPr>
              <w:pStyle w:val="TableParagraph"/>
              <w:spacing w:line="227" w:lineRule="exact" w:before="114"/>
              <w:jc w:val="left"/>
              <w:rPr>
                <w:rFonts w:ascii="Arial"/>
                <w:i/>
                <w:sz w:val="20"/>
              </w:rPr>
            </w:pPr>
            <w:r>
              <w:rPr>
                <w:rFonts w:ascii="Arial"/>
                <w:i/>
                <w:sz w:val="20"/>
              </w:rPr>
              <w:t>Saif</w:t>
            </w:r>
            <w:r>
              <w:rPr>
                <w:rFonts w:ascii="Arial"/>
                <w:i/>
                <w:spacing w:val="12"/>
                <w:sz w:val="20"/>
              </w:rPr>
              <w:t> </w:t>
            </w:r>
            <w:r>
              <w:rPr>
                <w:rFonts w:ascii="Arial"/>
                <w:i/>
                <w:sz w:val="20"/>
              </w:rPr>
              <w:t>Ali</w:t>
            </w:r>
            <w:r>
              <w:rPr>
                <w:rFonts w:ascii="Arial"/>
                <w:i/>
                <w:spacing w:val="12"/>
                <w:sz w:val="20"/>
              </w:rPr>
              <w:t> </w:t>
            </w:r>
            <w:r>
              <w:rPr>
                <w:rFonts w:ascii="Arial"/>
                <w:i/>
                <w:sz w:val="20"/>
              </w:rPr>
              <w:t>v</w:t>
            </w:r>
            <w:r>
              <w:rPr>
                <w:rFonts w:ascii="Arial"/>
                <w:i/>
                <w:spacing w:val="12"/>
                <w:sz w:val="20"/>
              </w:rPr>
              <w:t> </w:t>
            </w:r>
            <w:r>
              <w:rPr>
                <w:rFonts w:ascii="Arial"/>
                <w:i/>
                <w:sz w:val="20"/>
              </w:rPr>
              <w:t>Sydney</w:t>
            </w:r>
            <w:r>
              <w:rPr>
                <w:rFonts w:ascii="Arial"/>
                <w:i/>
                <w:spacing w:val="12"/>
                <w:sz w:val="20"/>
              </w:rPr>
              <w:t> </w:t>
            </w:r>
            <w:r>
              <w:rPr>
                <w:rFonts w:ascii="Arial"/>
                <w:i/>
                <w:sz w:val="20"/>
              </w:rPr>
              <w:t>Mitchell</w:t>
            </w:r>
            <w:r>
              <w:rPr>
                <w:rFonts w:ascii="Arial"/>
                <w:i/>
                <w:spacing w:val="12"/>
                <w:sz w:val="20"/>
              </w:rPr>
              <w:t> </w:t>
            </w:r>
            <w:r>
              <w:rPr>
                <w:rFonts w:ascii="Arial"/>
                <w:i/>
                <w:sz w:val="20"/>
              </w:rPr>
              <w:t>&amp;</w:t>
            </w:r>
            <w:r>
              <w:rPr>
                <w:rFonts w:ascii="Arial"/>
                <w:i/>
                <w:spacing w:val="12"/>
                <w:sz w:val="20"/>
              </w:rPr>
              <w:t> </w:t>
            </w:r>
            <w:r>
              <w:rPr>
                <w:rFonts w:ascii="Arial"/>
                <w:i/>
                <w:sz w:val="20"/>
              </w:rPr>
              <w:t>Co</w:t>
            </w:r>
            <w:r>
              <w:rPr>
                <w:rFonts w:ascii="Arial"/>
                <w:i/>
                <w:spacing w:val="12"/>
                <w:sz w:val="20"/>
              </w:rPr>
              <w:t> </w:t>
            </w:r>
            <w:r>
              <w:rPr>
                <w:rFonts w:ascii="Arial"/>
                <w:i/>
                <w:sz w:val="20"/>
              </w:rPr>
              <w:t>[1980]</w:t>
            </w:r>
            <w:r>
              <w:rPr>
                <w:rFonts w:ascii="Arial"/>
                <w:i/>
                <w:spacing w:val="12"/>
                <w:sz w:val="20"/>
              </w:rPr>
              <w:t> </w:t>
            </w:r>
            <w:r>
              <w:rPr>
                <w:rFonts w:ascii="Arial"/>
                <w:i/>
                <w:sz w:val="20"/>
              </w:rPr>
              <w:t>A.C.</w:t>
            </w:r>
            <w:r>
              <w:rPr>
                <w:rFonts w:ascii="Arial"/>
                <w:i/>
                <w:spacing w:val="12"/>
                <w:sz w:val="20"/>
              </w:rPr>
              <w:t> </w:t>
            </w:r>
            <w:r>
              <w:rPr>
                <w:rFonts w:ascii="Arial"/>
                <w:i/>
                <w:sz w:val="20"/>
              </w:rPr>
              <w:t>198</w:t>
            </w:r>
            <w:r>
              <w:rPr>
                <w:rFonts w:ascii="Arial"/>
                <w:i/>
                <w:spacing w:val="12"/>
                <w:sz w:val="20"/>
              </w:rPr>
              <w:t> </w:t>
            </w:r>
            <w:r>
              <w:rPr>
                <w:sz w:val="20"/>
              </w:rPr>
              <w:t>applying</w:t>
            </w:r>
            <w:r>
              <w:rPr>
                <w:spacing w:val="12"/>
                <w:sz w:val="20"/>
              </w:rPr>
              <w:t> </w:t>
            </w:r>
            <w:r>
              <w:rPr>
                <w:sz w:val="20"/>
              </w:rPr>
              <w:t>to</w:t>
            </w:r>
            <w:r>
              <w:rPr>
                <w:spacing w:val="12"/>
                <w:sz w:val="20"/>
              </w:rPr>
              <w:t> </w:t>
            </w:r>
            <w:r>
              <w:rPr>
                <w:sz w:val="20"/>
              </w:rPr>
              <w:t>solicitors</w:t>
            </w:r>
            <w:r>
              <w:rPr>
                <w:spacing w:val="12"/>
                <w:sz w:val="20"/>
              </w:rPr>
              <w:t> </w:t>
            </w:r>
            <w:r>
              <w:rPr>
                <w:rFonts w:ascii="Arial"/>
                <w:i/>
                <w:sz w:val="20"/>
              </w:rPr>
              <w:t>Rondel</w:t>
            </w:r>
            <w:r>
              <w:rPr>
                <w:rFonts w:ascii="Arial"/>
                <w:i/>
                <w:spacing w:val="12"/>
                <w:sz w:val="20"/>
              </w:rPr>
              <w:t> </w:t>
            </w:r>
            <w:r>
              <w:rPr>
                <w:rFonts w:ascii="Arial"/>
                <w:i/>
                <w:sz w:val="20"/>
              </w:rPr>
              <w:t>v</w:t>
            </w:r>
            <w:r>
              <w:rPr>
                <w:rFonts w:ascii="Arial"/>
                <w:i/>
                <w:spacing w:val="12"/>
                <w:sz w:val="20"/>
              </w:rPr>
              <w:t> </w:t>
            </w:r>
            <w:r>
              <w:rPr>
                <w:rFonts w:ascii="Arial"/>
                <w:i/>
                <w:sz w:val="20"/>
              </w:rPr>
              <w:t>Worsley</w:t>
            </w:r>
            <w:r>
              <w:rPr>
                <w:rFonts w:ascii="Arial"/>
                <w:i/>
                <w:spacing w:val="12"/>
                <w:sz w:val="20"/>
              </w:rPr>
              <w:t> </w:t>
            </w:r>
            <w:r>
              <w:rPr>
                <w:rFonts w:ascii="Arial"/>
                <w:i/>
                <w:spacing w:val="-2"/>
                <w:sz w:val="20"/>
              </w:rPr>
              <w:t>[1969]</w:t>
            </w:r>
          </w:p>
          <w:p>
            <w:pPr>
              <w:pStyle w:val="TableParagraph"/>
              <w:spacing w:line="235" w:lineRule="auto" w:before="1"/>
              <w:jc w:val="left"/>
              <w:rPr>
                <w:sz w:val="20"/>
              </w:rPr>
            </w:pPr>
            <w:r>
              <w:rPr>
                <w:rFonts w:ascii="Arial"/>
                <w:i/>
                <w:sz w:val="20"/>
              </w:rPr>
              <w:t>A.C. 191</w:t>
            </w:r>
            <w:r>
              <w:rPr>
                <w:sz w:val="20"/>
              </w:rPr>
              <w:t>. In </w:t>
            </w:r>
            <w:r>
              <w:rPr>
                <w:rFonts w:ascii="Arial"/>
                <w:i/>
                <w:sz w:val="20"/>
              </w:rPr>
              <w:t>Arthur J.S. Hall v Simons [2002] 1 A.C. 615 </w:t>
            </w:r>
            <w:r>
              <w:rPr>
                <w:sz w:val="20"/>
              </w:rPr>
              <w:t>this immunity was rejected and </w:t>
            </w:r>
            <w:r>
              <w:rPr>
                <w:sz w:val="20"/>
              </w:rPr>
              <w:t>these earlier decisions not followed.</w:t>
            </w:r>
          </w:p>
        </w:tc>
      </w:tr>
      <w:tr>
        <w:trPr>
          <w:trHeight w:val="690" w:hRule="atLeast"/>
        </w:trPr>
        <w:tc>
          <w:tcPr>
            <w:tcW w:w="496" w:type="dxa"/>
          </w:tcPr>
          <w:p>
            <w:pPr>
              <w:pStyle w:val="TableParagraph"/>
              <w:ind w:left="0" w:right="43"/>
              <w:rPr>
                <w:sz w:val="14"/>
              </w:rPr>
            </w:pPr>
            <w:r>
              <w:rPr>
                <w:color w:val="005DA1"/>
                <w:spacing w:val="-2"/>
                <w:sz w:val="14"/>
                <w:u w:val="single" w:color="005DA1"/>
              </w:rPr>
              <w:t>1253</w:t>
            </w:r>
            <w:r>
              <w:rPr>
                <w:spacing w:val="-2"/>
                <w:sz w:val="14"/>
              </w:rPr>
              <w:t>.</w:t>
            </w:r>
          </w:p>
        </w:tc>
        <w:tc>
          <w:tcPr>
            <w:tcW w:w="8620" w:type="dxa"/>
          </w:tcPr>
          <w:p>
            <w:pPr>
              <w:pStyle w:val="TableParagraph"/>
              <w:spacing w:line="235" w:lineRule="auto" w:before="118"/>
              <w:jc w:val="left"/>
              <w:rPr>
                <w:sz w:val="20"/>
              </w:rPr>
            </w:pPr>
            <w:r>
              <w:rPr>
                <w:sz w:val="20"/>
              </w:rPr>
              <w:t>The</w:t>
            </w:r>
            <w:r>
              <w:rPr>
                <w:spacing w:val="38"/>
                <w:sz w:val="20"/>
              </w:rPr>
              <w:t> </w:t>
            </w:r>
            <w:r>
              <w:rPr>
                <w:sz w:val="20"/>
              </w:rPr>
              <w:t>immunity</w:t>
            </w:r>
            <w:r>
              <w:rPr>
                <w:spacing w:val="38"/>
                <w:sz w:val="20"/>
              </w:rPr>
              <w:t> </w:t>
            </w:r>
            <w:r>
              <w:rPr>
                <w:sz w:val="20"/>
              </w:rPr>
              <w:t>extended</w:t>
            </w:r>
            <w:r>
              <w:rPr>
                <w:spacing w:val="38"/>
                <w:sz w:val="20"/>
              </w:rPr>
              <w:t> </w:t>
            </w:r>
            <w:r>
              <w:rPr>
                <w:sz w:val="20"/>
              </w:rPr>
              <w:t>to</w:t>
            </w:r>
            <w:r>
              <w:rPr>
                <w:spacing w:val="38"/>
                <w:sz w:val="20"/>
              </w:rPr>
              <w:t> </w:t>
            </w:r>
            <w:r>
              <w:rPr>
                <w:sz w:val="20"/>
              </w:rPr>
              <w:t>positive</w:t>
            </w:r>
            <w:r>
              <w:rPr>
                <w:spacing w:val="38"/>
                <w:sz w:val="20"/>
              </w:rPr>
              <w:t> </w:t>
            </w:r>
            <w:r>
              <w:rPr>
                <w:sz w:val="20"/>
              </w:rPr>
              <w:t>acts</w:t>
            </w:r>
            <w:r>
              <w:rPr>
                <w:spacing w:val="38"/>
                <w:sz w:val="20"/>
              </w:rPr>
              <w:t> </w:t>
            </w:r>
            <w:r>
              <w:rPr>
                <w:sz w:val="20"/>
              </w:rPr>
              <w:t>of</w:t>
            </w:r>
            <w:r>
              <w:rPr>
                <w:spacing w:val="38"/>
                <w:sz w:val="20"/>
              </w:rPr>
              <w:t> </w:t>
            </w:r>
            <w:r>
              <w:rPr>
                <w:sz w:val="20"/>
              </w:rPr>
              <w:t>malfeasance</w:t>
            </w:r>
            <w:r>
              <w:rPr>
                <w:spacing w:val="38"/>
                <w:sz w:val="20"/>
              </w:rPr>
              <w:t> </w:t>
            </w:r>
            <w:r>
              <w:rPr>
                <w:sz w:val="20"/>
              </w:rPr>
              <w:t>as</w:t>
            </w:r>
            <w:r>
              <w:rPr>
                <w:spacing w:val="38"/>
                <w:sz w:val="20"/>
              </w:rPr>
              <w:t> </w:t>
            </w:r>
            <w:r>
              <w:rPr>
                <w:sz w:val="20"/>
              </w:rPr>
              <w:t>well</w:t>
            </w:r>
            <w:r>
              <w:rPr>
                <w:spacing w:val="38"/>
                <w:sz w:val="20"/>
              </w:rPr>
              <w:t> </w:t>
            </w:r>
            <w:r>
              <w:rPr>
                <w:sz w:val="20"/>
              </w:rPr>
              <w:t>as</w:t>
            </w:r>
            <w:r>
              <w:rPr>
                <w:spacing w:val="38"/>
                <w:sz w:val="20"/>
              </w:rPr>
              <w:t> </w:t>
            </w:r>
            <w:r>
              <w:rPr>
                <w:sz w:val="20"/>
              </w:rPr>
              <w:t>to</w:t>
            </w:r>
            <w:r>
              <w:rPr>
                <w:spacing w:val="38"/>
                <w:sz w:val="20"/>
              </w:rPr>
              <w:t> </w:t>
            </w:r>
            <w:r>
              <w:rPr>
                <w:sz w:val="20"/>
              </w:rPr>
              <w:t>non-feasance</w:t>
            </w:r>
            <w:r>
              <w:rPr>
                <w:spacing w:val="38"/>
                <w:sz w:val="20"/>
              </w:rPr>
              <w:t> </w:t>
            </w:r>
            <w:r>
              <w:rPr>
                <w:sz w:val="20"/>
              </w:rPr>
              <w:t>and</w:t>
            </w:r>
            <w:r>
              <w:rPr>
                <w:spacing w:val="38"/>
                <w:sz w:val="20"/>
              </w:rPr>
              <w:t> </w:t>
            </w:r>
            <w:r>
              <w:rPr>
                <w:sz w:val="20"/>
              </w:rPr>
              <w:t>to claims for personal injuries: </w:t>
            </w:r>
            <w:r>
              <w:rPr>
                <w:rFonts w:ascii="Arial"/>
                <w:i/>
                <w:sz w:val="20"/>
              </w:rPr>
              <w:t>Travers v Gloucester Corp [1947] 1 K.B. 71</w:t>
            </w:r>
            <w:r>
              <w:rPr>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1254</w:t>
            </w:r>
            <w:r>
              <w:rPr>
                <w:spacing w:val="-2"/>
                <w:sz w:val="14"/>
              </w:rPr>
              <w:t>.</w:t>
            </w:r>
          </w:p>
        </w:tc>
        <w:tc>
          <w:tcPr>
            <w:tcW w:w="8620" w:type="dxa"/>
          </w:tcPr>
          <w:p>
            <w:pPr>
              <w:pStyle w:val="TableParagraph"/>
              <w:spacing w:before="114"/>
              <w:jc w:val="left"/>
              <w:rPr>
                <w:sz w:val="20"/>
              </w:rPr>
            </w:pPr>
            <w:r>
              <w:rPr>
                <w:rFonts w:ascii="Arial"/>
                <w:i/>
                <w:sz w:val="20"/>
              </w:rPr>
              <w:t>Cavalier</w:t>
            </w:r>
            <w:r>
              <w:rPr>
                <w:rFonts w:ascii="Arial"/>
                <w:i/>
                <w:spacing w:val="-1"/>
                <w:sz w:val="20"/>
              </w:rPr>
              <w:t> </w:t>
            </w:r>
            <w:r>
              <w:rPr>
                <w:rFonts w:ascii="Arial"/>
                <w:i/>
                <w:sz w:val="20"/>
              </w:rPr>
              <w:t>v Pope [1906] A.C. 428</w:t>
            </w:r>
            <w:r>
              <w:rPr>
                <w:sz w:val="20"/>
              </w:rPr>
              <w:t>. See now Defective Premises Act 1972 ss.3, </w:t>
            </w:r>
            <w:r>
              <w:rPr>
                <w:spacing w:val="-5"/>
                <w:sz w:val="20"/>
              </w:rPr>
              <w:t>4.</w:t>
            </w:r>
          </w:p>
        </w:tc>
      </w:tr>
      <w:tr>
        <w:trPr>
          <w:trHeight w:val="465" w:hRule="atLeast"/>
        </w:trPr>
        <w:tc>
          <w:tcPr>
            <w:tcW w:w="496" w:type="dxa"/>
          </w:tcPr>
          <w:p>
            <w:pPr>
              <w:pStyle w:val="TableParagraph"/>
              <w:ind w:left="0" w:right="43"/>
              <w:rPr>
                <w:sz w:val="14"/>
              </w:rPr>
            </w:pPr>
            <w:r>
              <w:rPr>
                <w:color w:val="005DA1"/>
                <w:spacing w:val="-2"/>
                <w:sz w:val="14"/>
                <w:u w:val="single" w:color="005DA1"/>
              </w:rPr>
              <w:t>1255</w:t>
            </w:r>
            <w:r>
              <w:rPr>
                <w:spacing w:val="-2"/>
                <w:sz w:val="14"/>
              </w:rPr>
              <w:t>.</w:t>
            </w:r>
          </w:p>
        </w:tc>
        <w:tc>
          <w:tcPr>
            <w:tcW w:w="8620" w:type="dxa"/>
          </w:tcPr>
          <w:p>
            <w:pPr>
              <w:pStyle w:val="TableParagraph"/>
              <w:spacing w:before="114"/>
              <w:jc w:val="left"/>
              <w:rPr>
                <w:sz w:val="20"/>
              </w:rPr>
            </w:pPr>
            <w:r>
              <w:rPr>
                <w:rFonts w:ascii="Arial"/>
                <w:i/>
                <w:sz w:val="20"/>
              </w:rPr>
              <w:t>[1985] 1 Q.B. </w:t>
            </w:r>
            <w:r>
              <w:rPr>
                <w:rFonts w:ascii="Arial"/>
                <w:i/>
                <w:spacing w:val="-5"/>
                <w:sz w:val="20"/>
              </w:rPr>
              <w:t>1</w:t>
            </w:r>
            <w:r>
              <w:rPr>
                <w:spacing w:val="-5"/>
                <w:sz w:val="20"/>
              </w:rPr>
              <w:t>.</w:t>
            </w:r>
          </w:p>
        </w:tc>
      </w:tr>
      <w:tr>
        <w:trPr>
          <w:trHeight w:val="344" w:hRule="atLeast"/>
        </w:trPr>
        <w:tc>
          <w:tcPr>
            <w:tcW w:w="496" w:type="dxa"/>
          </w:tcPr>
          <w:p>
            <w:pPr>
              <w:pStyle w:val="TableParagraph"/>
              <w:ind w:left="0" w:right="43"/>
              <w:rPr>
                <w:sz w:val="14"/>
              </w:rPr>
            </w:pPr>
            <w:bookmarkStart w:name="_bookmark1970" w:id="1972"/>
            <w:bookmarkEnd w:id="1972"/>
            <w:r>
              <w:rPr/>
            </w:r>
            <w:r>
              <w:rPr>
                <w:color w:val="005DA1"/>
                <w:spacing w:val="-2"/>
                <w:sz w:val="14"/>
                <w:u w:val="single" w:color="005DA1"/>
              </w:rPr>
              <w:t>1256</w:t>
            </w:r>
            <w:r>
              <w:rPr>
                <w:spacing w:val="-2"/>
                <w:sz w:val="14"/>
              </w:rPr>
              <w:t>.</w:t>
            </w:r>
          </w:p>
        </w:tc>
        <w:tc>
          <w:tcPr>
            <w:tcW w:w="8620" w:type="dxa"/>
          </w:tcPr>
          <w:p>
            <w:pPr>
              <w:pStyle w:val="TableParagraph"/>
              <w:spacing w:line="210" w:lineRule="exact" w:before="114"/>
              <w:jc w:val="left"/>
              <w:rPr>
                <w:sz w:val="20"/>
              </w:rPr>
            </w:pPr>
            <w:r>
              <w:rPr>
                <w:rFonts w:ascii="Arial"/>
                <w:i/>
                <w:sz w:val="20"/>
              </w:rPr>
              <w:t>[1985] 1 Q.B. 1 </w:t>
            </w:r>
            <w:r>
              <w:rPr>
                <w:sz w:val="20"/>
              </w:rPr>
              <w:t>at </w:t>
            </w:r>
            <w:r>
              <w:rPr>
                <w:spacing w:val="-5"/>
                <w:sz w:val="20"/>
              </w:rPr>
              <w:t>13.</w:t>
            </w:r>
          </w:p>
        </w:tc>
      </w:tr>
    </w:tbl>
    <w:p>
      <w:pPr>
        <w:pStyle w:val="TableParagraph"/>
        <w:spacing w:after="0" w:line="210" w:lineRule="exact"/>
        <w:jc w:val="left"/>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344" w:hRule="atLeast"/>
        </w:trPr>
        <w:tc>
          <w:tcPr>
            <w:tcW w:w="496" w:type="dxa"/>
          </w:tcPr>
          <w:p>
            <w:pPr>
              <w:pStyle w:val="TableParagraph"/>
              <w:spacing w:before="0"/>
              <w:ind w:left="0" w:right="43"/>
              <w:rPr>
                <w:sz w:val="14"/>
              </w:rPr>
            </w:pPr>
            <w:r>
              <w:rPr>
                <w:color w:val="005DA1"/>
                <w:spacing w:val="-2"/>
                <w:sz w:val="14"/>
                <w:u w:val="single" w:color="005DA1"/>
              </w:rPr>
              <w:t>1257</w:t>
            </w:r>
            <w:r>
              <w:rPr>
                <w:spacing w:val="-2"/>
                <w:sz w:val="14"/>
              </w:rPr>
              <w:t>.</w:t>
            </w:r>
          </w:p>
        </w:tc>
        <w:tc>
          <w:tcPr>
            <w:tcW w:w="8621" w:type="dxa"/>
          </w:tcPr>
          <w:p>
            <w:pPr>
              <w:pStyle w:val="TableParagraph"/>
              <w:spacing w:line="223" w:lineRule="exact" w:before="0"/>
              <w:jc w:val="left"/>
              <w:rPr>
                <w:sz w:val="20"/>
              </w:rPr>
            </w:pPr>
            <w:r>
              <w:rPr>
                <w:rFonts w:ascii="Arial"/>
                <w:i/>
                <w:sz w:val="20"/>
              </w:rPr>
              <w:t>[1906] A.C. </w:t>
            </w:r>
            <w:r>
              <w:rPr>
                <w:rFonts w:ascii="Arial"/>
                <w:i/>
                <w:spacing w:val="-4"/>
                <w:sz w:val="20"/>
              </w:rPr>
              <w:t>428</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1258</w:t>
            </w:r>
            <w:r>
              <w:rPr>
                <w:spacing w:val="-2"/>
                <w:sz w:val="14"/>
              </w:rPr>
              <w:t>.</w:t>
            </w:r>
          </w:p>
        </w:tc>
        <w:tc>
          <w:tcPr>
            <w:tcW w:w="8621" w:type="dxa"/>
          </w:tcPr>
          <w:p>
            <w:pPr>
              <w:pStyle w:val="TableParagraph"/>
              <w:spacing w:before="114"/>
              <w:jc w:val="left"/>
              <w:rPr>
                <w:sz w:val="20"/>
              </w:rPr>
            </w:pPr>
            <w:r>
              <w:rPr>
                <w:rFonts w:ascii="Arial"/>
                <w:i/>
                <w:sz w:val="20"/>
              </w:rPr>
              <w:t>Rimmer v Liverpool City Council [1985] 1 Q.B. 1</w:t>
            </w:r>
            <w:r>
              <w:rPr>
                <w:rFonts w:ascii="Arial"/>
                <w:i/>
                <w:spacing w:val="-1"/>
                <w:sz w:val="20"/>
              </w:rPr>
              <w:t> </w:t>
            </w:r>
            <w:r>
              <w:rPr>
                <w:sz w:val="20"/>
              </w:rPr>
              <w:t>at </w:t>
            </w:r>
            <w:r>
              <w:rPr>
                <w:spacing w:val="-7"/>
                <w:sz w:val="20"/>
              </w:rPr>
              <w:t>9.</w:t>
            </w:r>
          </w:p>
        </w:tc>
      </w:tr>
      <w:tr>
        <w:trPr>
          <w:trHeight w:val="465" w:hRule="atLeast"/>
        </w:trPr>
        <w:tc>
          <w:tcPr>
            <w:tcW w:w="496" w:type="dxa"/>
          </w:tcPr>
          <w:p>
            <w:pPr>
              <w:pStyle w:val="TableParagraph"/>
              <w:ind w:left="0" w:right="43"/>
              <w:rPr>
                <w:sz w:val="14"/>
              </w:rPr>
            </w:pPr>
            <w:r>
              <w:rPr>
                <w:color w:val="005DA1"/>
                <w:spacing w:val="-2"/>
                <w:sz w:val="14"/>
                <w:u w:val="single" w:color="005DA1"/>
              </w:rPr>
              <w:t>1259</w:t>
            </w:r>
            <w:r>
              <w:rPr>
                <w:spacing w:val="-2"/>
                <w:sz w:val="14"/>
              </w:rPr>
              <w:t>.</w:t>
            </w:r>
          </w:p>
        </w:tc>
        <w:tc>
          <w:tcPr>
            <w:tcW w:w="8621" w:type="dxa"/>
          </w:tcPr>
          <w:p>
            <w:pPr>
              <w:pStyle w:val="TableParagraph"/>
              <w:spacing w:before="114"/>
              <w:jc w:val="left"/>
              <w:rPr>
                <w:sz w:val="20"/>
              </w:rPr>
            </w:pPr>
            <w:r>
              <w:rPr>
                <w:rFonts w:ascii="Arial"/>
                <w:i/>
                <w:sz w:val="20"/>
              </w:rPr>
              <w:t>[1985] 1 Q.B. 1 </w:t>
            </w:r>
            <w:r>
              <w:rPr>
                <w:sz w:val="20"/>
              </w:rPr>
              <w:t>at </w:t>
            </w:r>
            <w:r>
              <w:rPr>
                <w:spacing w:val="-5"/>
                <w:sz w:val="20"/>
              </w:rPr>
              <w:t>11.</w:t>
            </w:r>
          </w:p>
        </w:tc>
      </w:tr>
      <w:tr>
        <w:trPr>
          <w:trHeight w:val="1365" w:hRule="atLeast"/>
        </w:trPr>
        <w:tc>
          <w:tcPr>
            <w:tcW w:w="496" w:type="dxa"/>
          </w:tcPr>
          <w:p>
            <w:pPr>
              <w:pStyle w:val="TableParagraph"/>
              <w:ind w:left="0" w:right="43"/>
              <w:rPr>
                <w:sz w:val="14"/>
              </w:rPr>
            </w:pPr>
            <w:r>
              <w:rPr>
                <w:color w:val="005DA1"/>
                <w:spacing w:val="-2"/>
                <w:sz w:val="14"/>
                <w:u w:val="single" w:color="005DA1"/>
              </w:rPr>
              <w:t>1260</w:t>
            </w:r>
            <w:r>
              <w:rPr>
                <w:spacing w:val="-2"/>
                <w:sz w:val="14"/>
              </w:rPr>
              <w:t>.</w:t>
            </w:r>
          </w:p>
        </w:tc>
        <w:tc>
          <w:tcPr>
            <w:tcW w:w="8621" w:type="dxa"/>
          </w:tcPr>
          <w:p>
            <w:pPr>
              <w:pStyle w:val="TableParagraph"/>
              <w:spacing w:line="235" w:lineRule="auto" w:before="118"/>
              <w:ind w:right="49"/>
              <w:jc w:val="both"/>
              <w:rPr>
                <w:sz w:val="20"/>
              </w:rPr>
            </w:pPr>
            <w:r>
              <w:rPr>
                <w:sz w:val="20"/>
              </w:rPr>
              <w:t>cf. </w:t>
            </w:r>
            <w:r>
              <w:rPr>
                <w:rFonts w:ascii="Arial"/>
                <w:i/>
                <w:sz w:val="20"/>
              </w:rPr>
              <w:t>McNerny v Lambeth LBC (1988) 21 H.L.R. 188 </w:t>
            </w:r>
            <w:r>
              <w:rPr>
                <w:sz w:val="20"/>
              </w:rPr>
              <w:t>(no liability in tort of negligence in landlord to tenant for condensation damage and illness) and </w:t>
            </w:r>
            <w:r>
              <w:rPr>
                <w:rFonts w:ascii="Arial"/>
                <w:i/>
                <w:sz w:val="20"/>
              </w:rPr>
              <w:t>Baxter v Camden LBC (No.2) [2001] Q.B. 1 </w:t>
            </w:r>
            <w:r>
              <w:rPr>
                <w:sz w:val="20"/>
              </w:rPr>
              <w:t>(no liability in tort of nuisance in landlord to tenant owing to noise from neighbouring property also owned by landlord) in both of which the rule in </w:t>
            </w:r>
            <w:r>
              <w:rPr>
                <w:rFonts w:ascii="Arial"/>
                <w:i/>
                <w:sz w:val="20"/>
              </w:rPr>
              <w:t>Cavalier v Pope [1906] A.C. 428 </w:t>
            </w:r>
            <w:r>
              <w:rPr>
                <w:sz w:val="20"/>
              </w:rPr>
              <w:t>was </w:t>
            </w:r>
            <w:r>
              <w:rPr>
                <w:spacing w:val="-2"/>
                <w:sz w:val="20"/>
              </w:rPr>
              <w:t>applied.</w:t>
            </w:r>
          </w:p>
        </w:tc>
      </w:tr>
      <w:tr>
        <w:trPr>
          <w:trHeight w:val="465" w:hRule="atLeast"/>
        </w:trPr>
        <w:tc>
          <w:tcPr>
            <w:tcW w:w="496" w:type="dxa"/>
          </w:tcPr>
          <w:p>
            <w:pPr>
              <w:pStyle w:val="TableParagraph"/>
              <w:ind w:left="0" w:right="43"/>
              <w:rPr>
                <w:sz w:val="14"/>
              </w:rPr>
            </w:pPr>
            <w:r>
              <w:rPr>
                <w:color w:val="005DA1"/>
                <w:spacing w:val="-2"/>
                <w:sz w:val="14"/>
                <w:u w:val="single" w:color="005DA1"/>
              </w:rPr>
              <w:t>1261</w:t>
            </w:r>
            <w:r>
              <w:rPr>
                <w:spacing w:val="-2"/>
                <w:sz w:val="14"/>
              </w:rPr>
              <w:t>.</w:t>
            </w:r>
          </w:p>
        </w:tc>
        <w:tc>
          <w:tcPr>
            <w:tcW w:w="8621" w:type="dxa"/>
          </w:tcPr>
          <w:p>
            <w:pPr>
              <w:pStyle w:val="TableParagraph"/>
              <w:spacing w:before="114"/>
              <w:jc w:val="left"/>
              <w:rPr>
                <w:sz w:val="20"/>
              </w:rPr>
            </w:pPr>
            <w:r>
              <w:rPr>
                <w:rFonts w:ascii="Arial"/>
                <w:i/>
                <w:sz w:val="20"/>
              </w:rPr>
              <w:t>[1990] 1 Q.B. 818</w:t>
            </w:r>
            <w:r>
              <w:rPr>
                <w:rFonts w:ascii="Arial"/>
                <w:i/>
                <w:spacing w:val="-1"/>
                <w:sz w:val="20"/>
              </w:rPr>
              <w:t> </w:t>
            </w:r>
            <w:r>
              <w:rPr>
                <w:sz w:val="20"/>
              </w:rPr>
              <w:t>(reversed on other grounds</w:t>
            </w:r>
            <w:r>
              <w:rPr>
                <w:spacing w:val="-1"/>
                <w:sz w:val="20"/>
              </w:rPr>
              <w:t> </w:t>
            </w:r>
            <w:r>
              <w:rPr>
                <w:rFonts w:ascii="Arial"/>
                <w:i/>
                <w:sz w:val="20"/>
              </w:rPr>
              <w:t>[1992] 1 A.C. </w:t>
            </w:r>
            <w:r>
              <w:rPr>
                <w:rFonts w:ascii="Arial"/>
                <w:i/>
                <w:spacing w:val="-2"/>
                <w:sz w:val="20"/>
              </w:rPr>
              <w:t>233</w:t>
            </w:r>
            <w:r>
              <w:rPr>
                <w:spacing w:val="-2"/>
                <w:sz w:val="20"/>
              </w:rPr>
              <w:t>).</w:t>
            </w:r>
          </w:p>
        </w:tc>
      </w:tr>
      <w:tr>
        <w:trPr>
          <w:trHeight w:val="1140" w:hRule="atLeast"/>
        </w:trPr>
        <w:tc>
          <w:tcPr>
            <w:tcW w:w="496" w:type="dxa"/>
          </w:tcPr>
          <w:p>
            <w:pPr>
              <w:pStyle w:val="TableParagraph"/>
              <w:ind w:left="0" w:right="43"/>
              <w:rPr>
                <w:sz w:val="14"/>
              </w:rPr>
            </w:pPr>
            <w:r>
              <w:rPr>
                <w:color w:val="005DA1"/>
                <w:spacing w:val="-2"/>
                <w:sz w:val="14"/>
                <w:u w:val="single" w:color="005DA1"/>
              </w:rPr>
              <w:t>1262</w:t>
            </w:r>
            <w:r>
              <w:rPr>
                <w:spacing w:val="-2"/>
                <w:sz w:val="14"/>
              </w:rPr>
              <w:t>.</w:t>
            </w:r>
          </w:p>
        </w:tc>
        <w:tc>
          <w:tcPr>
            <w:tcW w:w="8621" w:type="dxa"/>
          </w:tcPr>
          <w:p>
            <w:pPr>
              <w:pStyle w:val="TableParagraph"/>
              <w:spacing w:line="235" w:lineRule="auto" w:before="118"/>
              <w:ind w:right="49"/>
              <w:jc w:val="both"/>
              <w:rPr>
                <w:sz w:val="20"/>
              </w:rPr>
            </w:pPr>
            <w:r>
              <w:rPr>
                <w:sz w:val="20"/>
              </w:rPr>
              <w:t>cf.</w:t>
            </w:r>
            <w:r>
              <w:rPr>
                <w:spacing w:val="-3"/>
                <w:sz w:val="20"/>
              </w:rPr>
              <w:t> </w:t>
            </w:r>
            <w:r>
              <w:rPr>
                <w:rFonts w:ascii="Arial"/>
                <w:i/>
                <w:sz w:val="20"/>
              </w:rPr>
              <w:t>Banque</w:t>
            </w:r>
            <w:r>
              <w:rPr>
                <w:rFonts w:ascii="Arial"/>
                <w:i/>
                <w:spacing w:val="-3"/>
                <w:sz w:val="20"/>
              </w:rPr>
              <w:t> </w:t>
            </w:r>
            <w:r>
              <w:rPr>
                <w:rFonts w:ascii="Arial"/>
                <w:i/>
                <w:sz w:val="20"/>
              </w:rPr>
              <w:t>Keyser</w:t>
            </w:r>
            <w:r>
              <w:rPr>
                <w:rFonts w:ascii="Arial"/>
                <w:i/>
                <w:spacing w:val="-3"/>
                <w:sz w:val="20"/>
              </w:rPr>
              <w:t> </w:t>
            </w:r>
            <w:r>
              <w:rPr>
                <w:rFonts w:ascii="Arial"/>
                <w:i/>
                <w:sz w:val="20"/>
              </w:rPr>
              <w:t>Ullmann</w:t>
            </w:r>
            <w:r>
              <w:rPr>
                <w:rFonts w:ascii="Arial"/>
                <w:i/>
                <w:spacing w:val="-3"/>
                <w:sz w:val="20"/>
              </w:rPr>
              <w:t> </w:t>
            </w:r>
            <w:r>
              <w:rPr>
                <w:rFonts w:ascii="Arial"/>
                <w:i/>
                <w:sz w:val="20"/>
              </w:rPr>
              <w:t>SA</w:t>
            </w:r>
            <w:r>
              <w:rPr>
                <w:rFonts w:ascii="Arial"/>
                <w:i/>
                <w:spacing w:val="-3"/>
                <w:sz w:val="20"/>
              </w:rPr>
              <w:t> </w:t>
            </w:r>
            <w:r>
              <w:rPr>
                <w:rFonts w:ascii="Arial"/>
                <w:i/>
                <w:sz w:val="20"/>
              </w:rPr>
              <w:t>v</w:t>
            </w:r>
            <w:r>
              <w:rPr>
                <w:rFonts w:ascii="Arial"/>
                <w:i/>
                <w:spacing w:val="-3"/>
                <w:sz w:val="20"/>
              </w:rPr>
              <w:t> </w:t>
            </w:r>
            <w:r>
              <w:rPr>
                <w:rFonts w:ascii="Arial"/>
                <w:i/>
                <w:sz w:val="20"/>
              </w:rPr>
              <w:t>Skandia</w:t>
            </w:r>
            <w:r>
              <w:rPr>
                <w:rFonts w:ascii="Arial"/>
                <w:i/>
                <w:spacing w:val="-3"/>
                <w:sz w:val="20"/>
              </w:rPr>
              <w:t> </w:t>
            </w:r>
            <w:r>
              <w:rPr>
                <w:rFonts w:ascii="Arial"/>
                <w:i/>
                <w:sz w:val="20"/>
              </w:rPr>
              <w:t>(UK)</w:t>
            </w:r>
            <w:r>
              <w:rPr>
                <w:rFonts w:ascii="Arial"/>
                <w:i/>
                <w:spacing w:val="-3"/>
                <w:sz w:val="20"/>
              </w:rPr>
              <w:t> </w:t>
            </w:r>
            <w:r>
              <w:rPr>
                <w:rFonts w:ascii="Arial"/>
                <w:i/>
                <w:sz w:val="20"/>
              </w:rPr>
              <w:t>Co</w:t>
            </w:r>
            <w:r>
              <w:rPr>
                <w:rFonts w:ascii="Arial"/>
                <w:i/>
                <w:spacing w:val="-3"/>
                <w:sz w:val="20"/>
              </w:rPr>
              <w:t> </w:t>
            </w:r>
            <w:r>
              <w:rPr>
                <w:rFonts w:ascii="Arial"/>
                <w:i/>
                <w:sz w:val="20"/>
              </w:rPr>
              <w:t>Insurance</w:t>
            </w:r>
            <w:r>
              <w:rPr>
                <w:rFonts w:ascii="Arial"/>
                <w:i/>
                <w:spacing w:val="-3"/>
                <w:sz w:val="20"/>
              </w:rPr>
              <w:t> </w:t>
            </w:r>
            <w:r>
              <w:rPr>
                <w:rFonts w:ascii="Arial"/>
                <w:i/>
                <w:sz w:val="20"/>
              </w:rPr>
              <w:t>Ltd</w:t>
            </w:r>
            <w:r>
              <w:rPr>
                <w:rFonts w:ascii="Arial"/>
                <w:i/>
                <w:spacing w:val="-3"/>
                <w:sz w:val="20"/>
              </w:rPr>
              <w:t> </w:t>
            </w:r>
            <w:r>
              <w:rPr>
                <w:rFonts w:ascii="Arial"/>
                <w:i/>
                <w:sz w:val="20"/>
              </w:rPr>
              <w:t>[1990]</w:t>
            </w:r>
            <w:r>
              <w:rPr>
                <w:rFonts w:ascii="Arial"/>
                <w:i/>
                <w:spacing w:val="-3"/>
                <w:sz w:val="20"/>
              </w:rPr>
              <w:t> </w:t>
            </w:r>
            <w:r>
              <w:rPr>
                <w:rFonts w:ascii="Arial"/>
                <w:i/>
                <w:sz w:val="20"/>
              </w:rPr>
              <w:t>1</w:t>
            </w:r>
            <w:r>
              <w:rPr>
                <w:rFonts w:ascii="Arial"/>
                <w:i/>
                <w:spacing w:val="-3"/>
                <w:sz w:val="20"/>
              </w:rPr>
              <w:t> </w:t>
            </w:r>
            <w:r>
              <w:rPr>
                <w:rFonts w:ascii="Arial"/>
                <w:i/>
                <w:sz w:val="20"/>
              </w:rPr>
              <w:t>Q.B.</w:t>
            </w:r>
            <w:r>
              <w:rPr>
                <w:rFonts w:ascii="Arial"/>
                <w:i/>
                <w:spacing w:val="-3"/>
                <w:sz w:val="20"/>
              </w:rPr>
              <w:t> </w:t>
            </w:r>
            <w:r>
              <w:rPr>
                <w:rFonts w:ascii="Arial"/>
                <w:i/>
                <w:sz w:val="20"/>
              </w:rPr>
              <w:t>655</w:t>
            </w:r>
            <w:r>
              <w:rPr>
                <w:rFonts w:ascii="Arial"/>
                <w:i/>
                <w:spacing w:val="-3"/>
                <w:sz w:val="20"/>
              </w:rPr>
              <w:t> </w:t>
            </w:r>
            <w:r>
              <w:rPr>
                <w:rFonts w:ascii="Arial"/>
                <w:i/>
                <w:sz w:val="20"/>
              </w:rPr>
              <w:t>(affirmed</w:t>
            </w:r>
            <w:r>
              <w:rPr>
                <w:rFonts w:ascii="Arial"/>
                <w:i/>
                <w:spacing w:val="-3"/>
                <w:sz w:val="20"/>
              </w:rPr>
              <w:t> </w:t>
            </w:r>
            <w:r>
              <w:rPr>
                <w:rFonts w:ascii="Arial"/>
                <w:i/>
                <w:sz w:val="20"/>
              </w:rPr>
              <w:t>on other grounds [1991] 2 A.C. 249)</w:t>
            </w:r>
            <w:r>
              <w:rPr>
                <w:sz w:val="20"/>
              </w:rPr>
              <w:t>. On the new law governing duties of disclosure and representation in contracts of insurance see Consumer Insurance (Disclosure and Representations) Act 2012 and Insurance Act 2015, on which see Vol.II, paras 42-033 et seq.</w:t>
            </w:r>
          </w:p>
        </w:tc>
      </w:tr>
      <w:tr>
        <w:trPr>
          <w:trHeight w:val="465" w:hRule="atLeast"/>
        </w:trPr>
        <w:tc>
          <w:tcPr>
            <w:tcW w:w="496" w:type="dxa"/>
          </w:tcPr>
          <w:p>
            <w:pPr>
              <w:pStyle w:val="TableParagraph"/>
              <w:ind w:left="0" w:right="43"/>
              <w:rPr>
                <w:sz w:val="14"/>
              </w:rPr>
            </w:pPr>
            <w:r>
              <w:rPr>
                <w:color w:val="005DA1"/>
                <w:spacing w:val="-2"/>
                <w:sz w:val="14"/>
                <w:u w:val="single" w:color="005DA1"/>
              </w:rPr>
              <w:t>1263</w:t>
            </w:r>
            <w:r>
              <w:rPr>
                <w:spacing w:val="-2"/>
                <w:sz w:val="14"/>
              </w:rPr>
              <w:t>.</w:t>
            </w:r>
          </w:p>
        </w:tc>
        <w:tc>
          <w:tcPr>
            <w:tcW w:w="8621" w:type="dxa"/>
          </w:tcPr>
          <w:p>
            <w:pPr>
              <w:pStyle w:val="TableParagraph"/>
              <w:spacing w:before="114"/>
              <w:jc w:val="left"/>
              <w:rPr>
                <w:sz w:val="20"/>
              </w:rPr>
            </w:pPr>
            <w:r>
              <w:rPr>
                <w:rFonts w:ascii="Arial" w:hAnsi="Arial"/>
                <w:i/>
                <w:sz w:val="20"/>
              </w:rPr>
              <w:t>[1990] 1 Q.B. 818; [1990] 1 Q.B. 655</w:t>
            </w:r>
            <w:r>
              <w:rPr>
                <w:rFonts w:ascii="Arial" w:hAnsi="Arial"/>
                <w:i/>
                <w:spacing w:val="-1"/>
                <w:sz w:val="20"/>
              </w:rPr>
              <w:t> </w:t>
            </w:r>
            <w:r>
              <w:rPr>
                <w:sz w:val="20"/>
              </w:rPr>
              <w:t>at 897–898 and see below, para.14-</w:t>
            </w:r>
            <w:r>
              <w:rPr>
                <w:spacing w:val="-4"/>
                <w:sz w:val="20"/>
              </w:rPr>
              <w:t>009.</w:t>
            </w:r>
          </w:p>
        </w:tc>
      </w:tr>
      <w:tr>
        <w:trPr>
          <w:trHeight w:val="690" w:hRule="atLeast"/>
        </w:trPr>
        <w:tc>
          <w:tcPr>
            <w:tcW w:w="496" w:type="dxa"/>
          </w:tcPr>
          <w:p>
            <w:pPr>
              <w:pStyle w:val="TableParagraph"/>
              <w:ind w:left="0" w:right="43"/>
              <w:rPr>
                <w:sz w:val="14"/>
              </w:rPr>
            </w:pPr>
            <w:r>
              <w:rPr>
                <w:color w:val="005DA1"/>
                <w:spacing w:val="-2"/>
                <w:sz w:val="14"/>
                <w:u w:val="single" w:color="005DA1"/>
              </w:rPr>
              <w:t>1264</w:t>
            </w:r>
            <w:r>
              <w:rPr>
                <w:spacing w:val="-2"/>
                <w:sz w:val="14"/>
              </w:rPr>
              <w:t>.</w:t>
            </w:r>
          </w:p>
        </w:tc>
        <w:tc>
          <w:tcPr>
            <w:tcW w:w="8621" w:type="dxa"/>
          </w:tcPr>
          <w:p>
            <w:pPr>
              <w:pStyle w:val="TableParagraph"/>
              <w:spacing w:line="235" w:lineRule="auto" w:before="118"/>
              <w:jc w:val="left"/>
              <w:rPr>
                <w:sz w:val="20"/>
              </w:rPr>
            </w:pPr>
            <w:r>
              <w:rPr>
                <w:rFonts w:ascii="Arial" w:hAnsi="Arial"/>
                <w:i/>
                <w:sz w:val="20"/>
              </w:rPr>
              <w:t>[1990]</w:t>
            </w:r>
            <w:r>
              <w:rPr>
                <w:rFonts w:ascii="Arial" w:hAnsi="Arial"/>
                <w:i/>
                <w:spacing w:val="75"/>
                <w:w w:val="150"/>
                <w:sz w:val="20"/>
              </w:rPr>
              <w:t> </w:t>
            </w:r>
            <w:r>
              <w:rPr>
                <w:rFonts w:ascii="Arial" w:hAnsi="Arial"/>
                <w:i/>
                <w:sz w:val="20"/>
              </w:rPr>
              <w:t>1</w:t>
            </w:r>
            <w:r>
              <w:rPr>
                <w:rFonts w:ascii="Arial" w:hAnsi="Arial"/>
                <w:i/>
                <w:spacing w:val="75"/>
                <w:w w:val="150"/>
                <w:sz w:val="20"/>
              </w:rPr>
              <w:t> </w:t>
            </w:r>
            <w:r>
              <w:rPr>
                <w:rFonts w:ascii="Arial" w:hAnsi="Arial"/>
                <w:i/>
                <w:sz w:val="20"/>
              </w:rPr>
              <w:t>Q.B.</w:t>
            </w:r>
            <w:r>
              <w:rPr>
                <w:rFonts w:ascii="Arial" w:hAnsi="Arial"/>
                <w:i/>
                <w:spacing w:val="75"/>
                <w:w w:val="150"/>
                <w:sz w:val="20"/>
              </w:rPr>
              <w:t> </w:t>
            </w:r>
            <w:r>
              <w:rPr>
                <w:rFonts w:ascii="Arial" w:hAnsi="Arial"/>
                <w:i/>
                <w:sz w:val="20"/>
              </w:rPr>
              <w:t>818</w:t>
            </w:r>
            <w:r>
              <w:rPr>
                <w:rFonts w:ascii="Arial" w:hAnsi="Arial"/>
                <w:i/>
                <w:spacing w:val="75"/>
                <w:w w:val="150"/>
                <w:sz w:val="20"/>
              </w:rPr>
              <w:t> </w:t>
            </w:r>
            <w:r>
              <w:rPr>
                <w:sz w:val="20"/>
              </w:rPr>
              <w:t>at</w:t>
            </w:r>
            <w:r>
              <w:rPr>
                <w:spacing w:val="75"/>
                <w:w w:val="150"/>
                <w:sz w:val="20"/>
              </w:rPr>
              <w:t> </w:t>
            </w:r>
            <w:r>
              <w:rPr>
                <w:sz w:val="20"/>
              </w:rPr>
              <w:t>898–899</w:t>
            </w:r>
            <w:r>
              <w:rPr>
                <w:spacing w:val="75"/>
                <w:w w:val="150"/>
                <w:sz w:val="20"/>
              </w:rPr>
              <w:t> </w:t>
            </w:r>
            <w:r>
              <w:rPr>
                <w:sz w:val="20"/>
              </w:rPr>
              <w:t>and</w:t>
            </w:r>
            <w:r>
              <w:rPr>
                <w:spacing w:val="75"/>
                <w:w w:val="150"/>
                <w:sz w:val="20"/>
              </w:rPr>
              <w:t> </w:t>
            </w:r>
            <w:r>
              <w:rPr>
                <w:sz w:val="20"/>
              </w:rPr>
              <w:t>see</w:t>
            </w:r>
            <w:r>
              <w:rPr>
                <w:spacing w:val="75"/>
                <w:w w:val="150"/>
                <w:sz w:val="20"/>
              </w:rPr>
              <w:t> </w:t>
            </w:r>
            <w:r>
              <w:rPr>
                <w:sz w:val="20"/>
              </w:rPr>
              <w:t>below,</w:t>
            </w:r>
            <w:r>
              <w:rPr>
                <w:spacing w:val="75"/>
                <w:w w:val="150"/>
                <w:sz w:val="20"/>
              </w:rPr>
              <w:t> </w:t>
            </w:r>
            <w:r>
              <w:rPr>
                <w:sz w:val="20"/>
              </w:rPr>
              <w:t>paras</w:t>
            </w:r>
            <w:r>
              <w:rPr>
                <w:spacing w:val="75"/>
                <w:w w:val="150"/>
                <w:sz w:val="20"/>
              </w:rPr>
              <w:t> </w:t>
            </w:r>
            <w:r>
              <w:rPr>
                <w:sz w:val="20"/>
              </w:rPr>
              <w:t>14-005—14-010</w:t>
            </w:r>
            <w:r>
              <w:rPr>
                <w:spacing w:val="75"/>
                <w:w w:val="150"/>
                <w:sz w:val="20"/>
              </w:rPr>
              <w:t> </w:t>
            </w:r>
            <w:r>
              <w:rPr>
                <w:sz w:val="20"/>
              </w:rPr>
              <w:t>(where</w:t>
            </w:r>
            <w:r>
              <w:rPr>
                <w:spacing w:val="75"/>
                <w:w w:val="150"/>
                <w:sz w:val="20"/>
              </w:rPr>
              <w:t> </w:t>
            </w:r>
            <w:r>
              <w:rPr>
                <w:sz w:val="20"/>
              </w:rPr>
              <w:t>later developments are explained).</w:t>
            </w:r>
          </w:p>
        </w:tc>
      </w:tr>
      <w:tr>
        <w:trPr>
          <w:trHeight w:val="465" w:hRule="atLeast"/>
        </w:trPr>
        <w:tc>
          <w:tcPr>
            <w:tcW w:w="496" w:type="dxa"/>
          </w:tcPr>
          <w:p>
            <w:pPr>
              <w:pStyle w:val="TableParagraph"/>
              <w:ind w:left="0" w:right="43"/>
              <w:rPr>
                <w:sz w:val="14"/>
              </w:rPr>
            </w:pPr>
            <w:r>
              <w:rPr>
                <w:color w:val="005DA1"/>
                <w:spacing w:val="-2"/>
                <w:sz w:val="14"/>
                <w:u w:val="single" w:color="005DA1"/>
              </w:rPr>
              <w:t>1265</w:t>
            </w:r>
            <w:r>
              <w:rPr>
                <w:spacing w:val="-2"/>
                <w:sz w:val="14"/>
              </w:rPr>
              <w:t>.</w:t>
            </w:r>
          </w:p>
        </w:tc>
        <w:tc>
          <w:tcPr>
            <w:tcW w:w="8621" w:type="dxa"/>
          </w:tcPr>
          <w:p>
            <w:pPr>
              <w:pStyle w:val="TableParagraph"/>
              <w:spacing w:before="114"/>
              <w:jc w:val="left"/>
              <w:rPr>
                <w:sz w:val="20"/>
              </w:rPr>
            </w:pPr>
            <w:r>
              <w:rPr>
                <w:rFonts w:ascii="Arial"/>
                <w:i/>
                <w:sz w:val="20"/>
              </w:rPr>
              <w:t>[1990]</w:t>
            </w:r>
            <w:r>
              <w:rPr>
                <w:rFonts w:ascii="Arial"/>
                <w:i/>
                <w:spacing w:val="-1"/>
                <w:sz w:val="20"/>
              </w:rPr>
              <w:t> </w:t>
            </w:r>
            <w:r>
              <w:rPr>
                <w:rFonts w:ascii="Arial"/>
                <w:i/>
                <w:sz w:val="20"/>
              </w:rPr>
              <w:t>1 Q.B. 818</w:t>
            </w:r>
            <w:r>
              <w:rPr>
                <w:sz w:val="20"/>
              </w:rPr>
              <w:t>, at 901, per May </w:t>
            </w:r>
            <w:r>
              <w:rPr>
                <w:spacing w:val="-4"/>
                <w:sz w:val="20"/>
              </w:rPr>
              <w:t>L.J.</w:t>
            </w:r>
          </w:p>
        </w:tc>
      </w:tr>
      <w:tr>
        <w:trPr>
          <w:trHeight w:val="465" w:hRule="atLeast"/>
        </w:trPr>
        <w:tc>
          <w:tcPr>
            <w:tcW w:w="496" w:type="dxa"/>
          </w:tcPr>
          <w:p>
            <w:pPr>
              <w:pStyle w:val="TableParagraph"/>
              <w:ind w:left="0" w:right="43"/>
              <w:rPr>
                <w:sz w:val="14"/>
              </w:rPr>
            </w:pPr>
            <w:r>
              <w:rPr>
                <w:color w:val="005DA1"/>
                <w:spacing w:val="-2"/>
                <w:sz w:val="14"/>
                <w:u w:val="single" w:color="005DA1"/>
              </w:rPr>
              <w:t>1266</w:t>
            </w:r>
            <w:r>
              <w:rPr>
                <w:spacing w:val="-2"/>
                <w:sz w:val="14"/>
              </w:rPr>
              <w:t>.</w:t>
            </w:r>
          </w:p>
        </w:tc>
        <w:tc>
          <w:tcPr>
            <w:tcW w:w="8621" w:type="dxa"/>
          </w:tcPr>
          <w:p>
            <w:pPr>
              <w:pStyle w:val="TableParagraph"/>
              <w:spacing w:before="114"/>
              <w:jc w:val="left"/>
              <w:rPr>
                <w:sz w:val="20"/>
              </w:rPr>
            </w:pPr>
            <w:r>
              <w:rPr>
                <w:rFonts w:ascii="Arial"/>
                <w:i/>
                <w:sz w:val="20"/>
              </w:rPr>
              <w:t>[1990] 1 Q.B. 818</w:t>
            </w:r>
            <w:r>
              <w:rPr>
                <w:rFonts w:ascii="Arial"/>
                <w:i/>
                <w:spacing w:val="-1"/>
                <w:sz w:val="20"/>
              </w:rPr>
              <w:t> </w:t>
            </w:r>
            <w:r>
              <w:rPr>
                <w:sz w:val="20"/>
              </w:rPr>
              <w:t>at </w:t>
            </w:r>
            <w:r>
              <w:rPr>
                <w:spacing w:val="-4"/>
                <w:sz w:val="20"/>
              </w:rPr>
              <w:t>902.</w:t>
            </w:r>
          </w:p>
        </w:tc>
      </w:tr>
      <w:tr>
        <w:trPr>
          <w:trHeight w:val="465" w:hRule="atLeast"/>
        </w:trPr>
        <w:tc>
          <w:tcPr>
            <w:tcW w:w="496" w:type="dxa"/>
          </w:tcPr>
          <w:p>
            <w:pPr>
              <w:pStyle w:val="TableParagraph"/>
              <w:ind w:left="0" w:right="43"/>
              <w:rPr>
                <w:sz w:val="14"/>
              </w:rPr>
            </w:pPr>
            <w:r>
              <w:rPr>
                <w:color w:val="005DA1"/>
                <w:spacing w:val="-2"/>
                <w:sz w:val="14"/>
                <w:u w:val="single" w:color="005DA1"/>
              </w:rPr>
              <w:t>1267</w:t>
            </w:r>
            <w:r>
              <w:rPr>
                <w:spacing w:val="-2"/>
                <w:sz w:val="14"/>
              </w:rPr>
              <w:t>.</w:t>
            </w:r>
          </w:p>
        </w:tc>
        <w:tc>
          <w:tcPr>
            <w:tcW w:w="8621" w:type="dxa"/>
          </w:tcPr>
          <w:p>
            <w:pPr>
              <w:pStyle w:val="TableParagraph"/>
              <w:spacing w:before="114"/>
              <w:jc w:val="left"/>
              <w:rPr>
                <w:sz w:val="20"/>
              </w:rPr>
            </w:pPr>
            <w:r>
              <w:rPr>
                <w:rFonts w:ascii="Arial"/>
                <w:i/>
                <w:sz w:val="20"/>
              </w:rPr>
              <w:t>[1995]</w:t>
            </w:r>
            <w:r>
              <w:rPr>
                <w:rFonts w:ascii="Arial"/>
                <w:i/>
                <w:spacing w:val="-2"/>
                <w:sz w:val="20"/>
              </w:rPr>
              <w:t> </w:t>
            </w:r>
            <w:r>
              <w:rPr>
                <w:rFonts w:ascii="Arial"/>
                <w:i/>
                <w:sz w:val="20"/>
              </w:rPr>
              <w:t>2 A.C. </w:t>
            </w:r>
            <w:r>
              <w:rPr>
                <w:rFonts w:ascii="Arial"/>
                <w:i/>
                <w:spacing w:val="-4"/>
                <w:sz w:val="20"/>
              </w:rPr>
              <w:t>145</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1268</w:t>
            </w:r>
            <w:r>
              <w:rPr>
                <w:spacing w:val="-2"/>
                <w:sz w:val="14"/>
              </w:rPr>
              <w:t>.</w:t>
            </w:r>
          </w:p>
        </w:tc>
        <w:tc>
          <w:tcPr>
            <w:tcW w:w="8621" w:type="dxa"/>
          </w:tcPr>
          <w:p>
            <w:pPr>
              <w:pStyle w:val="TableParagraph"/>
              <w:spacing w:before="114"/>
              <w:jc w:val="left"/>
              <w:rPr>
                <w:sz w:val="20"/>
              </w:rPr>
            </w:pPr>
            <w:r>
              <w:rPr>
                <w:rFonts w:ascii="Arial"/>
                <w:i/>
                <w:sz w:val="20"/>
              </w:rPr>
              <w:t>[1986] A.C. </w:t>
            </w:r>
            <w:r>
              <w:rPr>
                <w:rFonts w:ascii="Arial"/>
                <w:i/>
                <w:spacing w:val="-5"/>
                <w:sz w:val="20"/>
              </w:rPr>
              <w:t>80</w:t>
            </w:r>
            <w:r>
              <w:rPr>
                <w:spacing w:val="-5"/>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1269</w:t>
            </w:r>
            <w:r>
              <w:rPr>
                <w:spacing w:val="-2"/>
                <w:sz w:val="14"/>
              </w:rPr>
              <w:t>.</w:t>
            </w:r>
          </w:p>
        </w:tc>
        <w:tc>
          <w:tcPr>
            <w:tcW w:w="8621" w:type="dxa"/>
          </w:tcPr>
          <w:p>
            <w:pPr>
              <w:pStyle w:val="TableParagraph"/>
              <w:spacing w:before="114"/>
              <w:jc w:val="left"/>
              <w:rPr>
                <w:sz w:val="20"/>
              </w:rPr>
            </w:pPr>
            <w:r>
              <w:rPr>
                <w:sz w:val="20"/>
              </w:rPr>
              <w:t>See above, para.1-</w:t>
            </w:r>
            <w:r>
              <w:rPr>
                <w:spacing w:val="-4"/>
                <w:sz w:val="20"/>
              </w:rPr>
              <w:t>154.</w:t>
            </w:r>
          </w:p>
        </w:tc>
      </w:tr>
      <w:tr>
        <w:trPr>
          <w:trHeight w:val="1140" w:hRule="atLeast"/>
        </w:trPr>
        <w:tc>
          <w:tcPr>
            <w:tcW w:w="496" w:type="dxa"/>
          </w:tcPr>
          <w:p>
            <w:pPr>
              <w:pStyle w:val="TableParagraph"/>
              <w:ind w:left="0" w:right="43"/>
              <w:rPr>
                <w:sz w:val="14"/>
              </w:rPr>
            </w:pPr>
            <w:r>
              <w:rPr>
                <w:color w:val="005DA1"/>
                <w:spacing w:val="-2"/>
                <w:sz w:val="14"/>
                <w:u w:val="single" w:color="005DA1"/>
              </w:rPr>
              <w:t>1270</w:t>
            </w:r>
            <w:r>
              <w:rPr>
                <w:spacing w:val="-2"/>
                <w:sz w:val="14"/>
              </w:rPr>
              <w:t>.</w:t>
            </w:r>
          </w:p>
        </w:tc>
        <w:tc>
          <w:tcPr>
            <w:tcW w:w="8621" w:type="dxa"/>
          </w:tcPr>
          <w:p>
            <w:pPr>
              <w:pStyle w:val="TableParagraph"/>
              <w:spacing w:line="235" w:lineRule="auto" w:before="118"/>
              <w:ind w:right="49"/>
              <w:jc w:val="both"/>
              <w:rPr>
                <w:sz w:val="20"/>
              </w:rPr>
            </w:pPr>
            <w:r>
              <w:rPr>
                <w:sz w:val="20"/>
              </w:rPr>
              <w:t>On this role of policy in recognition of the duty of care in the tort of negligence, see especially </w:t>
            </w:r>
            <w:r>
              <w:rPr>
                <w:rFonts w:ascii="Arial" w:hAnsi="Arial"/>
                <w:i/>
                <w:sz w:val="20"/>
              </w:rPr>
              <w:t>Marc Rich &amp; Co AG v Bishop Rock Marine Co [1996] 1 A.C. 211</w:t>
            </w:r>
            <w:r>
              <w:rPr>
                <w:sz w:val="20"/>
              </w:rPr>
              <w:t>. For the significance of considerations of policy in relation to liability in the tort of negligence based on an “assumption of responsibility”, see above, para.1-171.</w:t>
            </w:r>
          </w:p>
        </w:tc>
      </w:tr>
      <w:tr>
        <w:trPr>
          <w:trHeight w:val="344" w:hRule="atLeast"/>
        </w:trPr>
        <w:tc>
          <w:tcPr>
            <w:tcW w:w="496" w:type="dxa"/>
          </w:tcPr>
          <w:p>
            <w:pPr>
              <w:pStyle w:val="TableParagraph"/>
              <w:ind w:left="0" w:right="43"/>
              <w:rPr>
                <w:sz w:val="14"/>
              </w:rPr>
            </w:pPr>
            <w:r>
              <w:rPr>
                <w:color w:val="005DA1"/>
                <w:spacing w:val="-2"/>
                <w:sz w:val="14"/>
                <w:u w:val="single" w:color="005DA1"/>
              </w:rPr>
              <w:t>1271</w:t>
            </w:r>
            <w:r>
              <w:rPr>
                <w:spacing w:val="-2"/>
                <w:sz w:val="14"/>
              </w:rPr>
              <w:t>.</w:t>
            </w:r>
          </w:p>
        </w:tc>
        <w:tc>
          <w:tcPr>
            <w:tcW w:w="8621" w:type="dxa"/>
          </w:tcPr>
          <w:p>
            <w:pPr>
              <w:pStyle w:val="TableParagraph"/>
              <w:spacing w:line="210" w:lineRule="exact" w:before="114"/>
              <w:jc w:val="left"/>
              <w:rPr>
                <w:sz w:val="20"/>
              </w:rPr>
            </w:pPr>
            <w:r>
              <w:rPr>
                <w:rFonts w:ascii="Arial"/>
                <w:i/>
                <w:sz w:val="20"/>
              </w:rPr>
              <w:t>[2001] 2 W.L.R. 1076</w:t>
            </w:r>
            <w:r>
              <w:rPr>
                <w:rFonts w:ascii="Arial"/>
                <w:i/>
                <w:spacing w:val="-1"/>
                <w:sz w:val="20"/>
              </w:rPr>
              <w:t> </w:t>
            </w:r>
            <w:r>
              <w:rPr>
                <w:sz w:val="20"/>
              </w:rPr>
              <w:t>and see</w:t>
            </w:r>
            <w:r>
              <w:rPr>
                <w:spacing w:val="-1"/>
                <w:sz w:val="20"/>
              </w:rPr>
              <w:t> </w:t>
            </w:r>
            <w:r>
              <w:rPr>
                <w:rFonts w:ascii="Arial"/>
                <w:i/>
                <w:sz w:val="20"/>
              </w:rPr>
              <w:t>Eastwood v Magnox Plc [2004] UKHL 35, [2005] 1 A.C. </w:t>
            </w:r>
            <w:r>
              <w:rPr>
                <w:rFonts w:ascii="Arial"/>
                <w:i/>
                <w:spacing w:val="-4"/>
                <w:sz w:val="20"/>
              </w:rPr>
              <w:t>503</w:t>
            </w:r>
            <w:r>
              <w:rPr>
                <w:spacing w:val="-4"/>
                <w:sz w:val="20"/>
              </w:rPr>
              <w:t>.</w:t>
            </w:r>
          </w:p>
        </w:tc>
      </w:tr>
    </w:tbl>
    <w:p>
      <w:pPr>
        <w:pStyle w:val="BodyText"/>
        <w:spacing w:before="81"/>
        <w:rPr>
          <w:sz w:val="14"/>
        </w:rPr>
      </w:pPr>
    </w:p>
    <w:p>
      <w:pPr>
        <w:spacing w:line="137" w:lineRule="exact" w:before="0"/>
        <w:ind w:left="165" w:right="0" w:firstLine="0"/>
        <w:jc w:val="left"/>
        <w:rPr>
          <w:sz w:val="14"/>
        </w:rPr>
      </w:pPr>
      <w:r>
        <w:rPr>
          <w:color w:val="005DA1"/>
          <w:spacing w:val="-2"/>
          <w:sz w:val="14"/>
          <w:u w:val="single" w:color="005DA1"/>
        </w:rPr>
        <w:t>1272</w:t>
      </w:r>
      <w:r>
        <w:rPr>
          <w:spacing w:val="-2"/>
          <w:sz w:val="14"/>
        </w:rPr>
        <w:t>.</w:t>
      </w:r>
    </w:p>
    <w:p>
      <w:pPr>
        <w:spacing w:line="203" w:lineRule="exact" w:before="0"/>
        <w:ind w:left="875" w:right="0" w:firstLine="0"/>
        <w:jc w:val="left"/>
        <w:rPr>
          <w:rFonts w:ascii="Arial"/>
          <w:i/>
          <w:sz w:val="20"/>
        </w:rPr>
      </w:pPr>
      <w:r>
        <w:rPr>
          <w:rFonts w:ascii="Arial"/>
          <w:i/>
          <w:sz w:val="20"/>
        </w:rPr>
        <w:drawing>
          <wp:anchor distT="0" distB="0" distL="0" distR="0" allowOverlap="1" layoutInCell="1" locked="0" behindDoc="0" simplePos="0" relativeHeight="15836672">
            <wp:simplePos x="0" y="0"/>
            <wp:positionH relativeFrom="page">
              <wp:posOffset>1257846</wp:posOffset>
            </wp:positionH>
            <wp:positionV relativeFrom="paragraph">
              <wp:posOffset>13064</wp:posOffset>
            </wp:positionV>
            <wp:extent cx="107988" cy="107988"/>
            <wp:effectExtent l="0" t="0" r="0" b="0"/>
            <wp:wrapNone/>
            <wp:docPr id="512" name="Image 512"/>
            <wp:cNvGraphicFramePr>
              <a:graphicFrameLocks/>
            </wp:cNvGraphicFramePr>
            <a:graphic>
              <a:graphicData uri="http://schemas.openxmlformats.org/drawingml/2006/picture">
                <pic:pic>
                  <pic:nvPicPr>
                    <pic:cNvPr id="512" name="Image 51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[2001]</w:t>
      </w:r>
      <w:r>
        <w:rPr>
          <w:rFonts w:ascii="Arial"/>
          <w:i/>
          <w:spacing w:val="5"/>
          <w:sz w:val="20"/>
        </w:rPr>
        <w:t> </w:t>
      </w:r>
      <w:r>
        <w:rPr>
          <w:rFonts w:ascii="Arial"/>
          <w:i/>
          <w:sz w:val="20"/>
        </w:rPr>
        <w:t>2</w:t>
      </w:r>
      <w:r>
        <w:rPr>
          <w:rFonts w:ascii="Arial"/>
          <w:i/>
          <w:spacing w:val="5"/>
          <w:sz w:val="20"/>
        </w:rPr>
        <w:t> </w:t>
      </w:r>
      <w:r>
        <w:rPr>
          <w:rFonts w:ascii="Arial"/>
          <w:i/>
          <w:sz w:val="20"/>
        </w:rPr>
        <w:t>W.L.R.</w:t>
      </w:r>
      <w:r>
        <w:rPr>
          <w:rFonts w:ascii="Arial"/>
          <w:i/>
          <w:spacing w:val="5"/>
          <w:sz w:val="20"/>
        </w:rPr>
        <w:t> </w:t>
      </w:r>
      <w:r>
        <w:rPr>
          <w:rFonts w:ascii="Arial"/>
          <w:i/>
          <w:sz w:val="20"/>
        </w:rPr>
        <w:t>1076</w:t>
      </w:r>
      <w:r>
        <w:rPr>
          <w:rFonts w:ascii="Arial"/>
          <w:i/>
          <w:spacing w:val="5"/>
          <w:sz w:val="20"/>
        </w:rPr>
        <w:t> </w:t>
      </w:r>
      <w:r>
        <w:rPr>
          <w:sz w:val="20"/>
        </w:rPr>
        <w:t>at</w:t>
      </w:r>
      <w:r>
        <w:rPr>
          <w:spacing w:val="5"/>
          <w:sz w:val="20"/>
        </w:rPr>
        <w:t> </w:t>
      </w:r>
      <w:r>
        <w:rPr>
          <w:sz w:val="20"/>
        </w:rPr>
        <w:t>1097</w:t>
      </w:r>
      <w:r>
        <w:rPr>
          <w:spacing w:val="5"/>
          <w:sz w:val="20"/>
        </w:rPr>
        <w:t> </w:t>
      </w:r>
      <w:r>
        <w:rPr>
          <w:sz w:val="20"/>
        </w:rPr>
        <w:t>and</w:t>
      </w:r>
      <w:r>
        <w:rPr>
          <w:spacing w:val="5"/>
          <w:sz w:val="20"/>
        </w:rPr>
        <w:t> </w:t>
      </w:r>
      <w:r>
        <w:rPr>
          <w:sz w:val="20"/>
        </w:rPr>
        <w:t>see</w:t>
      </w:r>
      <w:r>
        <w:rPr>
          <w:spacing w:val="5"/>
          <w:sz w:val="20"/>
        </w:rPr>
        <w:t> </w:t>
      </w:r>
      <w:r>
        <w:rPr>
          <w:sz w:val="20"/>
        </w:rPr>
        <w:t>also</w:t>
      </w:r>
      <w:r>
        <w:rPr>
          <w:spacing w:val="5"/>
          <w:sz w:val="20"/>
        </w:rPr>
        <w:t> </w:t>
      </w:r>
      <w:r>
        <w:rPr>
          <w:sz w:val="20"/>
        </w:rPr>
        <w:t>at</w:t>
      </w:r>
      <w:r>
        <w:rPr>
          <w:spacing w:val="5"/>
          <w:sz w:val="20"/>
        </w:rPr>
        <w:t> </w:t>
      </w:r>
      <w:r>
        <w:rPr>
          <w:sz w:val="20"/>
        </w:rPr>
        <w:t>1122,</w:t>
      </w:r>
      <w:r>
        <w:rPr>
          <w:spacing w:val="5"/>
          <w:sz w:val="20"/>
        </w:rPr>
        <w:t> </w:t>
      </w:r>
      <w:r>
        <w:rPr>
          <w:sz w:val="20"/>
        </w:rPr>
        <w:t>per</w:t>
      </w:r>
      <w:r>
        <w:rPr>
          <w:spacing w:val="5"/>
          <w:sz w:val="20"/>
        </w:rPr>
        <w:t> </w:t>
      </w:r>
      <w:r>
        <w:rPr>
          <w:sz w:val="20"/>
        </w:rPr>
        <w:t>Lord</w:t>
      </w:r>
      <w:r>
        <w:rPr>
          <w:spacing w:val="5"/>
          <w:sz w:val="20"/>
        </w:rPr>
        <w:t> </w:t>
      </w:r>
      <w:r>
        <w:rPr>
          <w:sz w:val="20"/>
        </w:rPr>
        <w:t>Millett.</w:t>
      </w:r>
      <w:r>
        <w:rPr>
          <w:spacing w:val="5"/>
          <w:sz w:val="20"/>
        </w:rPr>
        <w:t> </w:t>
      </w:r>
      <w:r>
        <w:rPr>
          <w:sz w:val="20"/>
        </w:rPr>
        <w:t>cf.</w:t>
      </w:r>
      <w:r>
        <w:rPr>
          <w:spacing w:val="4"/>
          <w:sz w:val="20"/>
        </w:rPr>
        <w:t> </w:t>
      </w:r>
      <w:r>
        <w:rPr>
          <w:rFonts w:ascii="Arial"/>
          <w:i/>
          <w:sz w:val="20"/>
        </w:rPr>
        <w:t>Greenway</w:t>
      </w:r>
      <w:r>
        <w:rPr>
          <w:rFonts w:ascii="Arial"/>
          <w:i/>
          <w:spacing w:val="5"/>
          <w:sz w:val="20"/>
        </w:rPr>
        <w:t> </w:t>
      </w:r>
      <w:r>
        <w:rPr>
          <w:rFonts w:ascii="Arial"/>
          <w:i/>
          <w:sz w:val="20"/>
        </w:rPr>
        <w:t>v</w:t>
      </w:r>
      <w:r>
        <w:rPr>
          <w:rFonts w:ascii="Arial"/>
          <w:i/>
          <w:spacing w:val="5"/>
          <w:sz w:val="20"/>
        </w:rPr>
        <w:t> </w:t>
      </w:r>
      <w:r>
        <w:rPr>
          <w:rFonts w:ascii="Arial"/>
          <w:i/>
          <w:spacing w:val="-2"/>
          <w:sz w:val="20"/>
        </w:rPr>
        <w:t>Johnson</w:t>
      </w:r>
    </w:p>
    <w:p>
      <w:pPr>
        <w:spacing w:line="235" w:lineRule="auto" w:before="2"/>
        <w:ind w:left="705" w:right="0" w:firstLine="0"/>
        <w:jc w:val="left"/>
        <w:rPr>
          <w:sz w:val="20"/>
        </w:rPr>
      </w:pPr>
      <w:r>
        <w:rPr>
          <w:rFonts w:ascii="Arial"/>
          <w:i/>
          <w:sz w:val="20"/>
        </w:rPr>
        <w:t>Matthey</w:t>
      </w:r>
      <w:r>
        <w:rPr>
          <w:rFonts w:ascii="Arial"/>
          <w:i/>
          <w:spacing w:val="-1"/>
          <w:sz w:val="20"/>
        </w:rPr>
        <w:t> </w:t>
      </w:r>
      <w:r>
        <w:rPr>
          <w:rFonts w:ascii="Arial"/>
          <w:i/>
          <w:sz w:val="20"/>
        </w:rPr>
        <w:t>Plc</w:t>
      </w:r>
      <w:r>
        <w:rPr>
          <w:rFonts w:ascii="Arial"/>
          <w:i/>
          <w:spacing w:val="-1"/>
          <w:sz w:val="20"/>
        </w:rPr>
        <w:t> </w:t>
      </w:r>
      <w:r>
        <w:rPr>
          <w:rFonts w:ascii="Arial"/>
          <w:i/>
          <w:sz w:val="20"/>
        </w:rPr>
        <w:t>[2016]</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408,</w:t>
      </w:r>
      <w:r>
        <w:rPr>
          <w:rFonts w:ascii="Arial"/>
          <w:i/>
          <w:spacing w:val="-1"/>
          <w:sz w:val="20"/>
        </w:rPr>
        <w:t> </w:t>
      </w:r>
      <w:r>
        <w:rPr>
          <w:rFonts w:ascii="Arial"/>
          <w:i/>
          <w:sz w:val="20"/>
        </w:rPr>
        <w:t>[2016]</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4487</w:t>
      </w:r>
      <w:r>
        <w:rPr>
          <w:rFonts w:ascii="Arial"/>
          <w:i/>
          <w:spacing w:val="-1"/>
          <w:sz w:val="20"/>
        </w:rPr>
        <w:t> </w:t>
      </w:r>
      <w:r>
        <w:rPr>
          <w:sz w:val="20"/>
        </w:rPr>
        <w:t>(impact</w:t>
      </w:r>
      <w:r>
        <w:rPr>
          <w:spacing w:val="-1"/>
          <w:sz w:val="20"/>
        </w:rPr>
        <w:t> </w:t>
      </w:r>
      <w:r>
        <w:rPr>
          <w:sz w:val="20"/>
        </w:rPr>
        <w:t>of</w:t>
      </w:r>
      <w:r>
        <w:rPr>
          <w:spacing w:val="-1"/>
          <w:sz w:val="20"/>
        </w:rPr>
        <w:t> </w:t>
      </w:r>
      <w:r>
        <w:rPr>
          <w:sz w:val="20"/>
        </w:rPr>
        <w:t>absence</w:t>
      </w:r>
      <w:r>
        <w:rPr>
          <w:spacing w:val="-1"/>
          <w:sz w:val="20"/>
        </w:rPr>
        <w:t> </w:t>
      </w:r>
      <w:r>
        <w:rPr>
          <w:sz w:val="20"/>
        </w:rPr>
        <w:t>of</w:t>
      </w:r>
      <w:r>
        <w:rPr>
          <w:spacing w:val="-1"/>
          <w:sz w:val="20"/>
        </w:rPr>
        <w:t> </w:t>
      </w:r>
      <w:r>
        <w:rPr>
          <w:sz w:val="20"/>
        </w:rPr>
        <w:t>implied</w:t>
      </w:r>
      <w:r>
        <w:rPr>
          <w:spacing w:val="-1"/>
          <w:sz w:val="20"/>
        </w:rPr>
        <w:t> </w:t>
      </w:r>
      <w:r>
        <w:rPr>
          <w:sz w:val="20"/>
        </w:rPr>
        <w:t>term</w:t>
      </w:r>
      <w:r>
        <w:rPr>
          <w:spacing w:val="-1"/>
          <w:sz w:val="20"/>
        </w:rPr>
        <w:t> </w:t>
      </w:r>
      <w:r>
        <w:rPr>
          <w:sz w:val="20"/>
        </w:rPr>
        <w:t>for duty of care in the tort of negligence), on which see below para.1-190A.</w:t>
      </w:r>
    </w:p>
    <w:p>
      <w:pPr>
        <w:pStyle w:val="BodyText"/>
        <w:spacing w:before="9"/>
      </w:pPr>
    </w:p>
    <w:p>
      <w:pPr>
        <w:pStyle w:val="BodyText"/>
        <w:spacing w:line="235" w:lineRule="auto"/>
        <w:ind w:left="705" w:right="167" w:hanging="541"/>
        <w:jc w:val="both"/>
      </w:pPr>
      <w:r>
        <w:rPr>
          <w:color w:val="005DA1"/>
          <w:position w:val="5"/>
          <w:sz w:val="14"/>
          <w:u w:val="single" w:color="005DA1"/>
        </w:rPr>
        <w:t>1273</w:t>
      </w:r>
      <w:r>
        <w:rPr>
          <w:position w:val="5"/>
          <w:sz w:val="14"/>
        </w:rPr>
        <w:t>.</w:t>
      </w:r>
      <w:r>
        <w:rPr>
          <w:spacing w:val="80"/>
          <w:w w:val="150"/>
          <w:position w:val="5"/>
          <w:sz w:val="14"/>
        </w:rPr>
        <w:t> </w:t>
      </w:r>
      <w:r>
        <w:rPr/>
        <w:t>cf. </w:t>
      </w:r>
      <w:r>
        <w:rPr>
          <w:rFonts w:ascii="Arial" w:hAnsi="Arial"/>
          <w:i/>
        </w:rPr>
        <w:t>Ali v Christian Salvesen Food Services Ltd [1997] 1 All E.R. 721</w:t>
      </w:r>
      <w:r>
        <w:rPr/>
        <w:t>, especially at 726 in </w:t>
      </w:r>
      <w:r>
        <w:rPr/>
        <w:t>which the Court of Appeal refused to imply a term in a collective agreement which represented “a carefully negotiated compromise between two potentially conflicting objectives” and which was “wholly silent” as to the issue about which it was argued a term should be implied.</w:t>
      </w:r>
    </w:p>
    <w:p>
      <w:pPr>
        <w:pStyle w:val="BodyText"/>
        <w:spacing w:before="4"/>
      </w:pPr>
    </w:p>
    <w:p>
      <w:pPr>
        <w:spacing w:before="1"/>
        <w:ind w:left="165" w:right="0" w:firstLine="0"/>
        <w:jc w:val="left"/>
        <w:rPr>
          <w:sz w:val="20"/>
        </w:rPr>
      </w:pPr>
      <w:r>
        <w:rPr>
          <w:color w:val="005DA1"/>
          <w:position w:val="5"/>
          <w:sz w:val="14"/>
          <w:u w:val="single" w:color="005DA1"/>
        </w:rPr>
        <w:t>1274</w:t>
      </w:r>
      <w:r>
        <w:rPr>
          <w:position w:val="5"/>
          <w:sz w:val="14"/>
        </w:rPr>
        <w:t>.</w:t>
      </w:r>
      <w:r>
        <w:rPr>
          <w:spacing w:val="55"/>
          <w:position w:val="5"/>
          <w:sz w:val="14"/>
        </w:rPr>
        <w:t>  </w:t>
      </w:r>
      <w:r>
        <w:rPr>
          <w:rFonts w:ascii="Arial" w:hAnsi="Arial"/>
          <w:i/>
          <w:sz w:val="20"/>
        </w:rPr>
        <w:t>[1995]</w:t>
      </w:r>
      <w:r>
        <w:rPr>
          <w:rFonts w:ascii="Arial" w:hAnsi="Arial"/>
          <w:i/>
          <w:spacing w:val="1"/>
          <w:sz w:val="20"/>
        </w:rPr>
        <w:t> </w:t>
      </w:r>
      <w:r>
        <w:rPr>
          <w:rFonts w:ascii="Arial" w:hAnsi="Arial"/>
          <w:i/>
          <w:sz w:val="20"/>
        </w:rPr>
        <w:t>2 A.C. 145</w:t>
      </w:r>
      <w:r>
        <w:rPr>
          <w:rFonts w:ascii="Arial" w:hAnsi="Arial"/>
          <w:i/>
          <w:spacing w:val="-1"/>
          <w:sz w:val="20"/>
        </w:rPr>
        <w:t> </w:t>
      </w:r>
      <w:r>
        <w:rPr>
          <w:sz w:val="20"/>
        </w:rPr>
        <w:t>and see above paras 1-166—1-</w:t>
      </w:r>
      <w:r>
        <w:rPr>
          <w:spacing w:val="-4"/>
          <w:sz w:val="20"/>
        </w:rPr>
        <w:t>167.</w:t>
      </w:r>
    </w:p>
    <w:p>
      <w:pPr>
        <w:pStyle w:val="BodyText"/>
        <w:spacing w:before="8"/>
      </w:pPr>
    </w:p>
    <w:p>
      <w:pPr>
        <w:spacing w:line="235" w:lineRule="auto" w:before="0"/>
        <w:ind w:left="705" w:right="0" w:hanging="541"/>
        <w:jc w:val="left"/>
        <w:rPr>
          <w:sz w:val="20"/>
        </w:rPr>
      </w:pPr>
      <w:r>
        <w:rPr>
          <w:color w:val="005DA1"/>
          <w:position w:val="5"/>
          <w:sz w:val="14"/>
          <w:u w:val="single" w:color="005DA1"/>
        </w:rPr>
        <w:t>1275</w:t>
      </w:r>
      <w:r>
        <w:rPr>
          <w:position w:val="5"/>
          <w:sz w:val="14"/>
        </w:rPr>
        <w:t>.</w:t>
      </w:r>
      <w:r>
        <w:rPr>
          <w:spacing w:val="40"/>
          <w:position w:val="5"/>
          <w:sz w:val="14"/>
        </w:rPr>
        <w:t>  </w:t>
      </w:r>
      <w:r>
        <w:rPr>
          <w:sz w:val="20"/>
        </w:rPr>
        <w:t>See below, paras 15-008 et seq. and cf. </w:t>
      </w:r>
      <w:r>
        <w:rPr>
          <w:rFonts w:ascii="Arial"/>
          <w:i/>
          <w:sz w:val="20"/>
        </w:rPr>
        <w:t>Smith v Charles Baker &amp; Sons [1891] A.C. 325 </w:t>
      </w:r>
      <w:r>
        <w:rPr>
          <w:sz w:val="20"/>
        </w:rPr>
        <w:t>(mere entry of contract with knowledge of risk not sufficient for defence of volenti non fit injuria).</w:t>
      </w:r>
    </w:p>
    <w:p>
      <w:pPr>
        <w:pStyle w:val="BodyText"/>
        <w:spacing w:before="9"/>
      </w:pPr>
    </w:p>
    <w:p>
      <w:pPr>
        <w:pStyle w:val="BodyText"/>
        <w:spacing w:line="235" w:lineRule="auto" w:before="1"/>
        <w:ind w:left="705" w:right="167" w:hanging="541"/>
        <w:jc w:val="both"/>
      </w:pPr>
      <w:r>
        <w:rPr>
          <w:color w:val="005DA1"/>
          <w:position w:val="5"/>
          <w:sz w:val="14"/>
          <w:u w:val="single" w:color="005DA1"/>
        </w:rPr>
        <w:t>1276</w:t>
      </w:r>
      <w:r>
        <w:rPr>
          <w:position w:val="5"/>
          <w:sz w:val="14"/>
        </w:rPr>
        <w:t>.</w:t>
      </w:r>
      <w:r>
        <w:rPr>
          <w:spacing w:val="80"/>
          <w:position w:val="5"/>
          <w:sz w:val="14"/>
        </w:rPr>
        <w:t> </w:t>
      </w:r>
      <w:r>
        <w:rPr/>
        <w:t>This would be the case notably as regards “business liability for negligence” under the Unfair Contract Terms Act 1977 s.2 or in the case of a term in a “consumer contract” under the </w:t>
      </w:r>
      <w:r>
        <w:rPr/>
        <w:t>Unfair Terms in Consumer Contracts Regulations 1999 or (on its coming into force) the Consumer Rights Act 2015 Pt 2.</w:t>
      </w:r>
    </w:p>
    <w:p>
      <w:pPr>
        <w:pStyle w:val="BodyText"/>
        <w:spacing w:after="0" w:line="235" w:lineRule="auto"/>
        <w:jc w:val="both"/>
        <w:sectPr>
          <w:pgSz w:w="11900" w:h="16840"/>
          <w:pgMar w:header="971" w:footer="0" w:top="1300" w:bottom="280" w:left="1275" w:right="1275"/>
        </w:sectPr>
      </w:pPr>
    </w:p>
    <w:p>
      <w:pPr>
        <w:spacing w:before="166"/>
        <w:ind w:left="165" w:right="0" w:firstLine="0"/>
        <w:jc w:val="left"/>
        <w:rPr>
          <w:sz w:val="20"/>
        </w:rPr>
      </w:pPr>
      <w:r>
        <w:rPr>
          <w:color w:val="005DA1"/>
          <w:position w:val="5"/>
          <w:sz w:val="14"/>
          <w:u w:val="single" w:color="005DA1"/>
        </w:rPr>
        <w:t>1277</w:t>
      </w:r>
      <w:r>
        <w:rPr>
          <w:position w:val="5"/>
          <w:sz w:val="14"/>
        </w:rPr>
        <w:t>.</w:t>
      </w:r>
      <w:r>
        <w:rPr>
          <w:spacing w:val="55"/>
          <w:position w:val="5"/>
          <w:sz w:val="14"/>
        </w:rPr>
        <w:t>  </w:t>
      </w:r>
      <w:r>
        <w:rPr>
          <w:rFonts w:ascii="Arial" w:hAnsi="Arial"/>
          <w:i/>
          <w:sz w:val="20"/>
        </w:rPr>
        <w:t>[1995]</w:t>
      </w:r>
      <w:r>
        <w:rPr>
          <w:rFonts w:ascii="Arial" w:hAnsi="Arial"/>
          <w:i/>
          <w:spacing w:val="1"/>
          <w:sz w:val="20"/>
        </w:rPr>
        <w:t> </w:t>
      </w:r>
      <w:r>
        <w:rPr>
          <w:rFonts w:ascii="Arial" w:hAnsi="Arial"/>
          <w:i/>
          <w:sz w:val="20"/>
        </w:rPr>
        <w:t>2 A.C. 145</w:t>
      </w:r>
      <w:r>
        <w:rPr>
          <w:rFonts w:ascii="Arial" w:hAnsi="Arial"/>
          <w:i/>
          <w:spacing w:val="-1"/>
          <w:sz w:val="20"/>
        </w:rPr>
        <w:t> </w:t>
      </w:r>
      <w:r>
        <w:rPr>
          <w:sz w:val="20"/>
        </w:rPr>
        <w:t>and see above, paras 1-166—1-</w:t>
      </w:r>
      <w:r>
        <w:rPr>
          <w:spacing w:val="-4"/>
          <w:sz w:val="20"/>
        </w:rPr>
        <w:t>167.</w:t>
      </w:r>
    </w:p>
    <w:p>
      <w:pPr>
        <w:pStyle w:val="BodyText"/>
        <w:spacing w:before="125"/>
      </w:pPr>
    </w:p>
    <w:p>
      <w:pPr>
        <w:spacing w:before="1"/>
        <w:ind w:left="165" w:right="0" w:firstLine="0"/>
        <w:jc w:val="left"/>
        <w:rPr>
          <w:rFonts w:ascii="Arial"/>
          <w:i/>
          <w:sz w:val="20"/>
        </w:rPr>
      </w:pPr>
      <w:r>
        <w:rPr>
          <w:color w:val="005DA1"/>
          <w:sz w:val="20"/>
          <w:u w:val="single" w:color="005DA1"/>
          <w:vertAlign w:val="superscript"/>
        </w:rPr>
        <w:t>1278</w:t>
      </w:r>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513" name="Image 513"/>
            <wp:cNvGraphicFramePr>
              <a:graphicFrameLocks/>
            </wp:cNvGraphicFramePr>
            <a:graphic>
              <a:graphicData uri="http://schemas.openxmlformats.org/drawingml/2006/picture">
                <pic:pic>
                  <pic:nvPicPr>
                    <pic:cNvPr id="513" name="Image 51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[1990]</w:t>
      </w:r>
      <w:r>
        <w:rPr>
          <w:rFonts w:ascii="Arial"/>
          <w:i/>
          <w:spacing w:val="11"/>
          <w:sz w:val="20"/>
          <w:vertAlign w:val="baseline"/>
        </w:rPr>
        <w:t> </w:t>
      </w:r>
      <w:r>
        <w:rPr>
          <w:rFonts w:ascii="Arial"/>
          <w:i/>
          <w:sz w:val="20"/>
          <w:vertAlign w:val="baseline"/>
        </w:rPr>
        <w:t>1</w:t>
      </w:r>
      <w:r>
        <w:rPr>
          <w:rFonts w:ascii="Arial"/>
          <w:i/>
          <w:spacing w:val="11"/>
          <w:sz w:val="20"/>
          <w:vertAlign w:val="baseline"/>
        </w:rPr>
        <w:t> </w:t>
      </w:r>
      <w:r>
        <w:rPr>
          <w:rFonts w:ascii="Arial"/>
          <w:i/>
          <w:sz w:val="20"/>
          <w:vertAlign w:val="baseline"/>
        </w:rPr>
        <w:t>W.L.R.</w:t>
      </w:r>
      <w:r>
        <w:rPr>
          <w:rFonts w:ascii="Arial"/>
          <w:i/>
          <w:spacing w:val="10"/>
          <w:sz w:val="20"/>
          <w:vertAlign w:val="baseline"/>
        </w:rPr>
        <w:t> </w:t>
      </w:r>
      <w:r>
        <w:rPr>
          <w:rFonts w:ascii="Arial"/>
          <w:i/>
          <w:sz w:val="20"/>
          <w:vertAlign w:val="baseline"/>
        </w:rPr>
        <w:t>212</w:t>
      </w:r>
      <w:r>
        <w:rPr>
          <w:rFonts w:ascii="Arial"/>
          <w:i/>
          <w:spacing w:val="9"/>
          <w:sz w:val="20"/>
          <w:vertAlign w:val="baseline"/>
        </w:rPr>
        <w:t> </w:t>
      </w:r>
      <w:r>
        <w:rPr>
          <w:sz w:val="20"/>
          <w:vertAlign w:val="baseline"/>
        </w:rPr>
        <w:t>and</w:t>
      </w:r>
      <w:r>
        <w:rPr>
          <w:spacing w:val="10"/>
          <w:sz w:val="20"/>
          <w:vertAlign w:val="baseline"/>
        </w:rPr>
        <w:t> </w:t>
      </w:r>
      <w:r>
        <w:rPr>
          <w:sz w:val="20"/>
          <w:vertAlign w:val="baseline"/>
        </w:rPr>
        <w:t>see</w:t>
      </w:r>
      <w:r>
        <w:rPr>
          <w:spacing w:val="10"/>
          <w:sz w:val="20"/>
          <w:vertAlign w:val="baseline"/>
        </w:rPr>
        <w:t> </w:t>
      </w:r>
      <w:r>
        <w:rPr>
          <w:sz w:val="20"/>
          <w:vertAlign w:val="baseline"/>
        </w:rPr>
        <w:t>also</w:t>
      </w:r>
      <w:r>
        <w:rPr>
          <w:spacing w:val="9"/>
          <w:sz w:val="20"/>
          <w:vertAlign w:val="baseline"/>
        </w:rPr>
        <w:t> </w:t>
      </w:r>
      <w:r>
        <w:rPr>
          <w:rFonts w:ascii="Arial"/>
          <w:i/>
          <w:sz w:val="20"/>
          <w:vertAlign w:val="baseline"/>
        </w:rPr>
        <w:t>Van</w:t>
      </w:r>
      <w:r>
        <w:rPr>
          <w:rFonts w:ascii="Arial"/>
          <w:i/>
          <w:spacing w:val="11"/>
          <w:sz w:val="20"/>
          <w:vertAlign w:val="baseline"/>
        </w:rPr>
        <w:t> </w:t>
      </w:r>
      <w:r>
        <w:rPr>
          <w:rFonts w:ascii="Arial"/>
          <w:i/>
          <w:sz w:val="20"/>
          <w:vertAlign w:val="baseline"/>
        </w:rPr>
        <w:t>Oppen</w:t>
      </w:r>
      <w:r>
        <w:rPr>
          <w:rFonts w:ascii="Arial"/>
          <w:i/>
          <w:spacing w:val="10"/>
          <w:sz w:val="20"/>
          <w:vertAlign w:val="baseline"/>
        </w:rPr>
        <w:t> </w:t>
      </w:r>
      <w:r>
        <w:rPr>
          <w:rFonts w:ascii="Arial"/>
          <w:i/>
          <w:sz w:val="20"/>
          <w:vertAlign w:val="baseline"/>
        </w:rPr>
        <w:t>v</w:t>
      </w:r>
      <w:r>
        <w:rPr>
          <w:rFonts w:ascii="Arial"/>
          <w:i/>
          <w:spacing w:val="10"/>
          <w:sz w:val="20"/>
          <w:vertAlign w:val="baseline"/>
        </w:rPr>
        <w:t> </w:t>
      </w:r>
      <w:r>
        <w:rPr>
          <w:rFonts w:ascii="Arial"/>
          <w:i/>
          <w:sz w:val="20"/>
          <w:vertAlign w:val="baseline"/>
        </w:rPr>
        <w:t>Clerk</w:t>
      </w:r>
      <w:r>
        <w:rPr>
          <w:rFonts w:ascii="Arial"/>
          <w:i/>
          <w:spacing w:val="10"/>
          <w:sz w:val="20"/>
          <w:vertAlign w:val="baseline"/>
        </w:rPr>
        <w:t> </w:t>
      </w:r>
      <w:r>
        <w:rPr>
          <w:rFonts w:ascii="Arial"/>
          <w:i/>
          <w:sz w:val="20"/>
          <w:vertAlign w:val="baseline"/>
        </w:rPr>
        <w:t>to</w:t>
      </w:r>
      <w:r>
        <w:rPr>
          <w:rFonts w:ascii="Arial"/>
          <w:i/>
          <w:spacing w:val="10"/>
          <w:sz w:val="20"/>
          <w:vertAlign w:val="baseline"/>
        </w:rPr>
        <w:t> </w:t>
      </w:r>
      <w:r>
        <w:rPr>
          <w:rFonts w:ascii="Arial"/>
          <w:i/>
          <w:sz w:val="20"/>
          <w:vertAlign w:val="baseline"/>
        </w:rPr>
        <w:t>the</w:t>
      </w:r>
      <w:r>
        <w:rPr>
          <w:rFonts w:ascii="Arial"/>
          <w:i/>
          <w:spacing w:val="10"/>
          <w:sz w:val="20"/>
          <w:vertAlign w:val="baseline"/>
        </w:rPr>
        <w:t> </w:t>
      </w:r>
      <w:r>
        <w:rPr>
          <w:rFonts w:ascii="Arial"/>
          <w:i/>
          <w:sz w:val="20"/>
          <w:vertAlign w:val="baseline"/>
        </w:rPr>
        <w:t>Bedford</w:t>
      </w:r>
      <w:r>
        <w:rPr>
          <w:rFonts w:ascii="Arial"/>
          <w:i/>
          <w:spacing w:val="10"/>
          <w:sz w:val="20"/>
          <w:vertAlign w:val="baseline"/>
        </w:rPr>
        <w:t> </w:t>
      </w:r>
      <w:r>
        <w:rPr>
          <w:rFonts w:ascii="Arial"/>
          <w:i/>
          <w:sz w:val="20"/>
          <w:vertAlign w:val="baseline"/>
        </w:rPr>
        <w:t>Charity</w:t>
      </w:r>
      <w:r>
        <w:rPr>
          <w:rFonts w:ascii="Arial"/>
          <w:i/>
          <w:spacing w:val="11"/>
          <w:sz w:val="20"/>
          <w:vertAlign w:val="baseline"/>
        </w:rPr>
        <w:t> </w:t>
      </w:r>
      <w:r>
        <w:rPr>
          <w:rFonts w:ascii="Arial"/>
          <w:i/>
          <w:sz w:val="20"/>
          <w:vertAlign w:val="baseline"/>
        </w:rPr>
        <w:t>Trustees</w:t>
      </w:r>
      <w:r>
        <w:rPr>
          <w:rFonts w:ascii="Arial"/>
          <w:i/>
          <w:spacing w:val="10"/>
          <w:sz w:val="20"/>
          <w:vertAlign w:val="baseline"/>
        </w:rPr>
        <w:t> </w:t>
      </w:r>
      <w:r>
        <w:rPr>
          <w:rFonts w:ascii="Arial"/>
          <w:i/>
          <w:spacing w:val="-2"/>
          <w:sz w:val="20"/>
          <w:vertAlign w:val="baseline"/>
        </w:rPr>
        <w:t>[1990]</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794" w:hRule="atLeast"/>
        </w:trPr>
        <w:tc>
          <w:tcPr>
            <w:tcW w:w="496" w:type="dxa"/>
          </w:tcPr>
          <w:p>
            <w:pPr>
              <w:pStyle w:val="TableParagraph"/>
              <w:spacing w:before="0"/>
              <w:ind w:left="0"/>
              <w:jc w:val="left"/>
              <w:rPr>
                <w:rFonts w:ascii="Times New Roman"/>
                <w:sz w:val="18"/>
              </w:rPr>
            </w:pPr>
          </w:p>
        </w:tc>
        <w:tc>
          <w:tcPr>
            <w:tcW w:w="8621" w:type="dxa"/>
          </w:tcPr>
          <w:p>
            <w:pPr>
              <w:pStyle w:val="TableParagraph"/>
              <w:spacing w:line="235" w:lineRule="auto" w:before="0"/>
              <w:ind w:right="49"/>
              <w:jc w:val="both"/>
              <w:rPr>
                <w:sz w:val="20"/>
              </w:rPr>
            </w:pPr>
            <w:r>
              <w:rPr>
                <w:rFonts w:ascii="Arial"/>
                <w:i/>
                <w:sz w:val="20"/>
              </w:rPr>
              <w:t>1 W.L.R. 235 </w:t>
            </w:r>
            <w:r>
              <w:rPr>
                <w:sz w:val="20"/>
              </w:rPr>
              <w:t>and </w:t>
            </w:r>
            <w:r>
              <w:rPr>
                <w:rFonts w:ascii="Arial"/>
                <w:i/>
                <w:sz w:val="20"/>
              </w:rPr>
              <w:t>Greenway v Johnson Matthey Plc [2016] EWCA Civ 408, [2016] 1 W.L.R. 4487 </w:t>
            </w:r>
            <w:r>
              <w:rPr>
                <w:sz w:val="20"/>
              </w:rPr>
              <w:t>(appeal to SC pending) (below para.1-190A), which was itself seen the CA as </w:t>
            </w:r>
            <w:r>
              <w:rPr>
                <w:sz w:val="20"/>
              </w:rPr>
              <w:t>an analogous case to </w:t>
            </w:r>
            <w:r>
              <w:rPr>
                <w:rFonts w:ascii="Arial"/>
                <w:i/>
                <w:sz w:val="20"/>
              </w:rPr>
              <w:t>Reid v Rush &amp; Tompkins Group Plc : [2016] EWCA Civ 408 </w:t>
            </w:r>
            <w:r>
              <w:rPr>
                <w:sz w:val="20"/>
              </w:rPr>
              <w:t>at [41].</w:t>
            </w:r>
          </w:p>
        </w:tc>
      </w:tr>
      <w:tr>
        <w:trPr>
          <w:trHeight w:val="465" w:hRule="atLeast"/>
        </w:trPr>
        <w:tc>
          <w:tcPr>
            <w:tcW w:w="496" w:type="dxa"/>
          </w:tcPr>
          <w:p>
            <w:pPr>
              <w:pStyle w:val="TableParagraph"/>
              <w:ind w:left="0" w:right="43"/>
              <w:rPr>
                <w:sz w:val="14"/>
              </w:rPr>
            </w:pPr>
            <w:r>
              <w:rPr>
                <w:color w:val="005DA1"/>
                <w:spacing w:val="-2"/>
                <w:sz w:val="14"/>
                <w:u w:val="single" w:color="005DA1"/>
              </w:rPr>
              <w:t>1279</w:t>
            </w:r>
            <w:r>
              <w:rPr>
                <w:spacing w:val="-2"/>
                <w:sz w:val="14"/>
              </w:rPr>
              <w:t>.</w:t>
            </w:r>
          </w:p>
        </w:tc>
        <w:tc>
          <w:tcPr>
            <w:tcW w:w="8621" w:type="dxa"/>
          </w:tcPr>
          <w:p>
            <w:pPr>
              <w:pStyle w:val="TableParagraph"/>
              <w:spacing w:before="114"/>
              <w:jc w:val="left"/>
              <w:rPr>
                <w:sz w:val="20"/>
              </w:rPr>
            </w:pPr>
            <w:r>
              <w:rPr>
                <w:sz w:val="20"/>
              </w:rPr>
              <w:t>Relying on</w:t>
            </w:r>
            <w:r>
              <w:rPr>
                <w:spacing w:val="-1"/>
                <w:sz w:val="20"/>
              </w:rPr>
              <w:t> </w:t>
            </w:r>
            <w:r>
              <w:rPr>
                <w:rFonts w:ascii="Arial"/>
                <w:i/>
                <w:sz w:val="20"/>
              </w:rPr>
              <w:t>Liverpool City Council v Irwin [1977] A.C. 239</w:t>
            </w:r>
            <w:r>
              <w:rPr>
                <w:rFonts w:ascii="Arial"/>
                <w:i/>
                <w:spacing w:val="-1"/>
                <w:sz w:val="20"/>
              </w:rPr>
              <w:t> </w:t>
            </w:r>
            <w:r>
              <w:rPr>
                <w:sz w:val="20"/>
              </w:rPr>
              <w:t>and see below, para.14-</w:t>
            </w:r>
            <w:r>
              <w:rPr>
                <w:spacing w:val="-4"/>
                <w:sz w:val="20"/>
              </w:rPr>
              <w:t>011.</w:t>
            </w:r>
          </w:p>
        </w:tc>
      </w:tr>
      <w:tr>
        <w:trPr>
          <w:trHeight w:val="465" w:hRule="atLeast"/>
        </w:trPr>
        <w:tc>
          <w:tcPr>
            <w:tcW w:w="496" w:type="dxa"/>
          </w:tcPr>
          <w:p>
            <w:pPr>
              <w:pStyle w:val="TableParagraph"/>
              <w:ind w:left="0" w:right="43"/>
              <w:rPr>
                <w:sz w:val="14"/>
              </w:rPr>
            </w:pPr>
            <w:r>
              <w:rPr>
                <w:color w:val="005DA1"/>
                <w:spacing w:val="-2"/>
                <w:sz w:val="14"/>
                <w:u w:val="single" w:color="005DA1"/>
              </w:rPr>
              <w:t>1280</w:t>
            </w:r>
            <w:r>
              <w:rPr>
                <w:spacing w:val="-2"/>
                <w:sz w:val="14"/>
              </w:rPr>
              <w:t>.</w:t>
            </w:r>
          </w:p>
        </w:tc>
        <w:tc>
          <w:tcPr>
            <w:tcW w:w="8621" w:type="dxa"/>
          </w:tcPr>
          <w:p>
            <w:pPr>
              <w:pStyle w:val="TableParagraph"/>
              <w:spacing w:before="114"/>
              <w:jc w:val="left"/>
              <w:rPr>
                <w:sz w:val="20"/>
              </w:rPr>
            </w:pPr>
            <w:r>
              <w:rPr>
                <w:rFonts w:ascii="Arial"/>
                <w:i/>
                <w:sz w:val="20"/>
              </w:rPr>
              <w:t>[1990] 1 W.L.R. 212</w:t>
            </w:r>
            <w:r>
              <w:rPr>
                <w:rFonts w:ascii="Arial"/>
                <w:i/>
                <w:spacing w:val="-1"/>
                <w:sz w:val="20"/>
              </w:rPr>
              <w:t> </w:t>
            </w:r>
            <w:r>
              <w:rPr>
                <w:sz w:val="20"/>
              </w:rPr>
              <w:t>at </w:t>
            </w:r>
            <w:r>
              <w:rPr>
                <w:spacing w:val="-4"/>
                <w:sz w:val="20"/>
              </w:rPr>
              <w:t>229.</w:t>
            </w:r>
          </w:p>
        </w:tc>
      </w:tr>
      <w:tr>
        <w:trPr>
          <w:trHeight w:val="465" w:hRule="atLeast"/>
        </w:trPr>
        <w:tc>
          <w:tcPr>
            <w:tcW w:w="496" w:type="dxa"/>
          </w:tcPr>
          <w:p>
            <w:pPr>
              <w:pStyle w:val="TableParagraph"/>
              <w:ind w:left="0" w:right="43"/>
              <w:rPr>
                <w:sz w:val="14"/>
              </w:rPr>
            </w:pPr>
            <w:r>
              <w:rPr>
                <w:color w:val="005DA1"/>
                <w:spacing w:val="-2"/>
                <w:sz w:val="14"/>
                <w:u w:val="single" w:color="005DA1"/>
              </w:rPr>
              <w:t>1281</w:t>
            </w:r>
            <w:r>
              <w:rPr>
                <w:spacing w:val="-2"/>
                <w:sz w:val="14"/>
              </w:rPr>
              <w:t>.</w:t>
            </w:r>
          </w:p>
        </w:tc>
        <w:tc>
          <w:tcPr>
            <w:tcW w:w="8621" w:type="dxa"/>
          </w:tcPr>
          <w:p>
            <w:pPr>
              <w:pStyle w:val="TableParagraph"/>
              <w:spacing w:before="114"/>
              <w:jc w:val="left"/>
              <w:rPr>
                <w:sz w:val="20"/>
              </w:rPr>
            </w:pPr>
            <w:r>
              <w:rPr>
                <w:rFonts w:ascii="Arial"/>
                <w:i/>
                <w:sz w:val="20"/>
              </w:rPr>
              <w:t>[1986] A.C. 80, 107</w:t>
            </w:r>
            <w:r>
              <w:rPr>
                <w:rFonts w:ascii="Arial"/>
                <w:i/>
                <w:spacing w:val="-1"/>
                <w:sz w:val="20"/>
              </w:rPr>
              <w:t> </w:t>
            </w:r>
            <w:r>
              <w:rPr>
                <w:sz w:val="20"/>
              </w:rPr>
              <w:t>above, para.1-</w:t>
            </w:r>
            <w:r>
              <w:rPr>
                <w:spacing w:val="-4"/>
                <w:sz w:val="20"/>
              </w:rPr>
              <w:t>154.</w:t>
            </w:r>
          </w:p>
        </w:tc>
      </w:tr>
      <w:tr>
        <w:trPr>
          <w:trHeight w:val="465" w:hRule="atLeast"/>
        </w:trPr>
        <w:tc>
          <w:tcPr>
            <w:tcW w:w="496" w:type="dxa"/>
          </w:tcPr>
          <w:p>
            <w:pPr>
              <w:pStyle w:val="TableParagraph"/>
              <w:ind w:left="0" w:right="43"/>
              <w:rPr>
                <w:sz w:val="14"/>
              </w:rPr>
            </w:pPr>
            <w:r>
              <w:rPr>
                <w:color w:val="005DA1"/>
                <w:spacing w:val="-2"/>
                <w:sz w:val="14"/>
                <w:u w:val="single" w:color="005DA1"/>
              </w:rPr>
              <w:t>1282</w:t>
            </w:r>
            <w:r>
              <w:rPr>
                <w:spacing w:val="-2"/>
                <w:sz w:val="14"/>
              </w:rPr>
              <w:t>.</w:t>
            </w:r>
          </w:p>
        </w:tc>
        <w:tc>
          <w:tcPr>
            <w:tcW w:w="8621" w:type="dxa"/>
          </w:tcPr>
          <w:p>
            <w:pPr>
              <w:pStyle w:val="TableParagraph"/>
              <w:spacing w:before="114"/>
              <w:jc w:val="left"/>
              <w:rPr>
                <w:sz w:val="20"/>
              </w:rPr>
            </w:pPr>
            <w:r>
              <w:rPr>
                <w:rFonts w:ascii="Arial"/>
                <w:i/>
                <w:sz w:val="20"/>
              </w:rPr>
              <w:t>[1990]</w:t>
            </w:r>
            <w:r>
              <w:rPr>
                <w:rFonts w:ascii="Arial"/>
                <w:i/>
                <w:spacing w:val="-2"/>
                <w:sz w:val="20"/>
              </w:rPr>
              <w:t> </w:t>
            </w:r>
            <w:r>
              <w:rPr>
                <w:rFonts w:ascii="Arial"/>
                <w:i/>
                <w:sz w:val="20"/>
              </w:rPr>
              <w:t>1 W.L.R. 212, </w:t>
            </w:r>
            <w:r>
              <w:rPr>
                <w:rFonts w:ascii="Arial"/>
                <w:i/>
                <w:spacing w:val="-4"/>
                <w:sz w:val="20"/>
              </w:rPr>
              <w:t>232</w:t>
            </w:r>
            <w:r>
              <w:rPr>
                <w:spacing w:val="-4"/>
                <w:sz w:val="20"/>
              </w:rPr>
              <w:t>.</w:t>
            </w:r>
          </w:p>
        </w:tc>
      </w:tr>
      <w:tr>
        <w:trPr>
          <w:trHeight w:val="465" w:hRule="atLeast"/>
        </w:trPr>
        <w:tc>
          <w:tcPr>
            <w:tcW w:w="496" w:type="dxa"/>
          </w:tcPr>
          <w:p>
            <w:pPr>
              <w:pStyle w:val="TableParagraph"/>
              <w:ind w:left="0" w:right="43"/>
              <w:rPr>
                <w:sz w:val="14"/>
              </w:rPr>
            </w:pPr>
            <w:r>
              <w:rPr>
                <w:color w:val="005DA1"/>
                <w:spacing w:val="-2"/>
                <w:sz w:val="14"/>
                <w:u w:val="single" w:color="005DA1"/>
              </w:rPr>
              <w:t>1283</w:t>
            </w:r>
            <w:r>
              <w:rPr>
                <w:spacing w:val="-2"/>
                <w:sz w:val="14"/>
              </w:rPr>
              <w:t>.</w:t>
            </w:r>
          </w:p>
        </w:tc>
        <w:tc>
          <w:tcPr>
            <w:tcW w:w="8621" w:type="dxa"/>
          </w:tcPr>
          <w:p>
            <w:pPr>
              <w:pStyle w:val="TableParagraph"/>
              <w:spacing w:before="114"/>
              <w:jc w:val="left"/>
              <w:rPr>
                <w:sz w:val="20"/>
              </w:rPr>
            </w:pPr>
            <w:r>
              <w:rPr>
                <w:rFonts w:ascii="Arial"/>
                <w:i/>
                <w:sz w:val="20"/>
              </w:rPr>
              <w:t>[1990]</w:t>
            </w:r>
            <w:r>
              <w:rPr>
                <w:rFonts w:ascii="Arial"/>
                <w:i/>
                <w:spacing w:val="-2"/>
                <w:sz w:val="20"/>
              </w:rPr>
              <w:t> </w:t>
            </w:r>
            <w:r>
              <w:rPr>
                <w:rFonts w:ascii="Arial"/>
                <w:i/>
                <w:sz w:val="20"/>
              </w:rPr>
              <w:t>1 A.C. </w:t>
            </w:r>
            <w:r>
              <w:rPr>
                <w:rFonts w:ascii="Arial"/>
                <w:i/>
                <w:spacing w:val="-4"/>
                <w:sz w:val="20"/>
              </w:rPr>
              <w:t>637</w:t>
            </w:r>
            <w:r>
              <w:rPr>
                <w:spacing w:val="-4"/>
                <w:sz w:val="20"/>
              </w:rPr>
              <w:t>.</w:t>
            </w:r>
          </w:p>
        </w:tc>
      </w:tr>
      <w:tr>
        <w:trPr>
          <w:trHeight w:val="465" w:hRule="atLeast"/>
        </w:trPr>
        <w:tc>
          <w:tcPr>
            <w:tcW w:w="496" w:type="dxa"/>
          </w:tcPr>
          <w:p>
            <w:pPr>
              <w:pStyle w:val="TableParagraph"/>
              <w:ind w:left="0" w:right="43"/>
              <w:rPr>
                <w:sz w:val="14"/>
              </w:rPr>
            </w:pPr>
            <w:bookmarkStart w:name="_bookmark1971" w:id="1973"/>
            <w:bookmarkEnd w:id="1973"/>
            <w:r>
              <w:rPr/>
            </w:r>
            <w:hyperlink w:history="true" w:anchor="_bookmark1833">
              <w:r>
                <w:rPr>
                  <w:color w:val="005DA1"/>
                  <w:spacing w:val="-2"/>
                  <w:sz w:val="14"/>
                  <w:u w:val="single" w:color="005DA1"/>
                </w:rPr>
                <w:t>1284</w:t>
              </w:r>
            </w:hyperlink>
            <w:r>
              <w:rPr>
                <w:spacing w:val="-2"/>
                <w:sz w:val="14"/>
              </w:rPr>
              <w:t>.</w:t>
            </w:r>
          </w:p>
        </w:tc>
        <w:tc>
          <w:tcPr>
            <w:tcW w:w="8621" w:type="dxa"/>
          </w:tcPr>
          <w:p>
            <w:pPr>
              <w:pStyle w:val="TableParagraph"/>
              <w:spacing w:before="114"/>
              <w:jc w:val="left"/>
              <w:rPr>
                <w:sz w:val="20"/>
              </w:rPr>
            </w:pPr>
            <w:r>
              <w:rPr>
                <w:rFonts w:ascii="Arial"/>
                <w:i/>
                <w:sz w:val="20"/>
              </w:rPr>
              <w:t>[1990] 1 A.C. 637</w:t>
            </w:r>
            <w:r>
              <w:rPr>
                <w:rFonts w:ascii="Arial"/>
                <w:i/>
                <w:spacing w:val="-1"/>
                <w:sz w:val="20"/>
              </w:rPr>
              <w:t> </w:t>
            </w:r>
            <w:r>
              <w:rPr>
                <w:sz w:val="20"/>
              </w:rPr>
              <w:t>at </w:t>
            </w:r>
            <w:r>
              <w:rPr>
                <w:spacing w:val="-4"/>
                <w:sz w:val="20"/>
              </w:rPr>
              <w:t>650.</w:t>
            </w:r>
          </w:p>
        </w:tc>
      </w:tr>
      <w:tr>
        <w:trPr>
          <w:trHeight w:val="915" w:hRule="atLeast"/>
        </w:trPr>
        <w:tc>
          <w:tcPr>
            <w:tcW w:w="496" w:type="dxa"/>
          </w:tcPr>
          <w:p>
            <w:pPr>
              <w:pStyle w:val="TableParagraph"/>
              <w:ind w:left="0" w:right="43"/>
              <w:rPr>
                <w:sz w:val="14"/>
              </w:rPr>
            </w:pPr>
            <w:bookmarkStart w:name="_bookmark1972" w:id="1974"/>
            <w:bookmarkEnd w:id="1974"/>
            <w:r>
              <w:rPr/>
            </w:r>
            <w:hyperlink w:history="true" w:anchor="_bookmark1834">
              <w:r>
                <w:rPr>
                  <w:color w:val="005DA1"/>
                  <w:spacing w:val="-2"/>
                  <w:sz w:val="14"/>
                  <w:u w:val="single" w:color="005DA1"/>
                </w:rPr>
                <w:t>1285</w:t>
              </w:r>
            </w:hyperlink>
            <w:r>
              <w:rPr>
                <w:spacing w:val="-2"/>
                <w:sz w:val="14"/>
              </w:rPr>
              <w:t>.</w:t>
            </w:r>
          </w:p>
        </w:tc>
        <w:tc>
          <w:tcPr>
            <w:tcW w:w="8621" w:type="dxa"/>
          </w:tcPr>
          <w:p>
            <w:pPr>
              <w:pStyle w:val="TableParagraph"/>
              <w:spacing w:line="235" w:lineRule="auto" w:before="118"/>
              <w:ind w:right="49"/>
              <w:jc w:val="both"/>
              <w:rPr>
                <w:sz w:val="20"/>
              </w:rPr>
            </w:pPr>
            <w:r>
              <w:rPr>
                <w:rFonts w:ascii="Arial"/>
                <w:i/>
                <w:sz w:val="20"/>
              </w:rPr>
              <w:t>[1990]</w:t>
            </w:r>
            <w:r>
              <w:rPr>
                <w:rFonts w:ascii="Arial"/>
                <w:i/>
                <w:spacing w:val="-3"/>
                <w:sz w:val="20"/>
              </w:rPr>
              <w:t> </w:t>
            </w:r>
            <w:r>
              <w:rPr>
                <w:rFonts w:ascii="Arial"/>
                <w:i/>
                <w:sz w:val="20"/>
              </w:rPr>
              <w:t>1</w:t>
            </w:r>
            <w:r>
              <w:rPr>
                <w:rFonts w:ascii="Arial"/>
                <w:i/>
                <w:spacing w:val="-3"/>
                <w:sz w:val="20"/>
              </w:rPr>
              <w:t> </w:t>
            </w:r>
            <w:r>
              <w:rPr>
                <w:rFonts w:ascii="Arial"/>
                <w:i/>
                <w:sz w:val="20"/>
              </w:rPr>
              <w:t>A.C.</w:t>
            </w:r>
            <w:r>
              <w:rPr>
                <w:rFonts w:ascii="Arial"/>
                <w:i/>
                <w:spacing w:val="-3"/>
                <w:sz w:val="20"/>
              </w:rPr>
              <w:t> </w:t>
            </w:r>
            <w:r>
              <w:rPr>
                <w:rFonts w:ascii="Arial"/>
                <w:i/>
                <w:sz w:val="20"/>
              </w:rPr>
              <w:t>637</w:t>
            </w:r>
            <w:r>
              <w:rPr>
                <w:sz w:val="20"/>
              </w:rPr>
              <w:t>.</w:t>
            </w:r>
            <w:r>
              <w:rPr>
                <w:spacing w:val="-3"/>
                <w:sz w:val="20"/>
              </w:rPr>
              <w:t> </w:t>
            </w:r>
            <w:r>
              <w:rPr>
                <w:sz w:val="20"/>
              </w:rPr>
              <w:t>If</w:t>
            </w:r>
            <w:r>
              <w:rPr>
                <w:spacing w:val="-3"/>
                <w:sz w:val="20"/>
              </w:rPr>
              <w:t> </w:t>
            </w:r>
            <w:r>
              <w:rPr>
                <w:sz w:val="20"/>
              </w:rPr>
              <w:t>given</w:t>
            </w:r>
            <w:r>
              <w:rPr>
                <w:spacing w:val="-3"/>
                <w:sz w:val="20"/>
              </w:rPr>
              <w:t> </w:t>
            </w:r>
            <w:r>
              <w:rPr>
                <w:sz w:val="20"/>
              </w:rPr>
              <w:t>a</w:t>
            </w:r>
            <w:r>
              <w:rPr>
                <w:spacing w:val="-3"/>
                <w:sz w:val="20"/>
              </w:rPr>
              <w:t> </w:t>
            </w:r>
            <w:r>
              <w:rPr>
                <w:sz w:val="20"/>
              </w:rPr>
              <w:t>general</w:t>
            </w:r>
            <w:r>
              <w:rPr>
                <w:spacing w:val="-3"/>
                <w:sz w:val="20"/>
              </w:rPr>
              <w:t> </w:t>
            </w:r>
            <w:r>
              <w:rPr>
                <w:sz w:val="20"/>
              </w:rPr>
              <w:t>application,</w:t>
            </w:r>
            <w:r>
              <w:rPr>
                <w:spacing w:val="-3"/>
                <w:sz w:val="20"/>
              </w:rPr>
              <w:t> </w:t>
            </w:r>
            <w:r>
              <w:rPr>
                <w:sz w:val="20"/>
              </w:rPr>
              <w:t>this</w:t>
            </w:r>
            <w:r>
              <w:rPr>
                <w:spacing w:val="-3"/>
                <w:sz w:val="20"/>
              </w:rPr>
              <w:t> </w:t>
            </w:r>
            <w:r>
              <w:rPr>
                <w:sz w:val="20"/>
              </w:rPr>
              <w:t>statement</w:t>
            </w:r>
            <w:r>
              <w:rPr>
                <w:spacing w:val="-3"/>
                <w:sz w:val="20"/>
              </w:rPr>
              <w:t> </w:t>
            </w:r>
            <w:r>
              <w:rPr>
                <w:sz w:val="20"/>
              </w:rPr>
              <w:t>would</w:t>
            </w:r>
            <w:r>
              <w:rPr>
                <w:spacing w:val="-3"/>
                <w:sz w:val="20"/>
              </w:rPr>
              <w:t> </w:t>
            </w:r>
            <w:r>
              <w:rPr>
                <w:sz w:val="20"/>
              </w:rPr>
              <w:t>clearly</w:t>
            </w:r>
            <w:r>
              <w:rPr>
                <w:spacing w:val="-3"/>
                <w:sz w:val="20"/>
              </w:rPr>
              <w:t> </w:t>
            </w:r>
            <w:r>
              <w:rPr>
                <w:sz w:val="20"/>
              </w:rPr>
              <w:t>prevent</w:t>
            </w:r>
            <w:r>
              <w:rPr>
                <w:spacing w:val="-3"/>
                <w:sz w:val="20"/>
              </w:rPr>
              <w:t> </w:t>
            </w:r>
            <w:r>
              <w:rPr>
                <w:sz w:val="20"/>
              </w:rPr>
              <w:t>a</w:t>
            </w:r>
            <w:r>
              <w:rPr>
                <w:spacing w:val="-3"/>
                <w:sz w:val="20"/>
              </w:rPr>
              <w:t> </w:t>
            </w:r>
            <w:r>
              <w:rPr>
                <w:sz w:val="20"/>
              </w:rPr>
              <w:t>claimant from suing in tort after the expiry of a limitation period applicable to a contractual action, on which see below, para.1-198.</w:t>
            </w:r>
          </w:p>
        </w:tc>
      </w:tr>
      <w:tr>
        <w:trPr>
          <w:trHeight w:val="915" w:hRule="atLeast"/>
        </w:trPr>
        <w:tc>
          <w:tcPr>
            <w:tcW w:w="496" w:type="dxa"/>
          </w:tcPr>
          <w:p>
            <w:pPr>
              <w:pStyle w:val="TableParagraph"/>
              <w:ind w:left="0" w:right="43"/>
              <w:rPr>
                <w:sz w:val="14"/>
              </w:rPr>
            </w:pPr>
            <w:bookmarkStart w:name="_bookmark1973" w:id="1975"/>
            <w:bookmarkEnd w:id="1975"/>
            <w:r>
              <w:rPr/>
            </w:r>
            <w:hyperlink w:history="true" w:anchor="_bookmark1835">
              <w:r>
                <w:rPr>
                  <w:color w:val="005DA1"/>
                  <w:spacing w:val="-2"/>
                  <w:sz w:val="14"/>
                  <w:u w:val="single" w:color="005DA1"/>
                </w:rPr>
                <w:t>1286</w:t>
              </w:r>
            </w:hyperlink>
            <w:r>
              <w:rPr>
                <w:spacing w:val="-2"/>
                <w:sz w:val="14"/>
              </w:rPr>
              <w:t>.</w:t>
            </w:r>
          </w:p>
        </w:tc>
        <w:tc>
          <w:tcPr>
            <w:tcW w:w="8621" w:type="dxa"/>
          </w:tcPr>
          <w:p>
            <w:pPr>
              <w:pStyle w:val="TableParagraph"/>
              <w:spacing w:line="227" w:lineRule="exact" w:before="114"/>
              <w:jc w:val="left"/>
              <w:rPr>
                <w:rFonts w:ascii="Arial"/>
                <w:i/>
                <w:sz w:val="20"/>
              </w:rPr>
            </w:pPr>
            <w:r>
              <w:rPr>
                <w:sz w:val="20"/>
              </w:rPr>
              <w:t>See</w:t>
            </w:r>
            <w:r>
              <w:rPr>
                <w:spacing w:val="24"/>
                <w:sz w:val="20"/>
              </w:rPr>
              <w:t> </w:t>
            </w:r>
            <w:r>
              <w:rPr>
                <w:sz w:val="20"/>
              </w:rPr>
              <w:t>similarly,</w:t>
            </w:r>
            <w:r>
              <w:rPr>
                <w:spacing w:val="23"/>
                <w:sz w:val="20"/>
              </w:rPr>
              <w:t> </w:t>
            </w:r>
            <w:r>
              <w:rPr>
                <w:rFonts w:ascii="Arial"/>
                <w:i/>
                <w:sz w:val="20"/>
              </w:rPr>
              <w:t>Bank</w:t>
            </w:r>
            <w:r>
              <w:rPr>
                <w:rFonts w:ascii="Arial"/>
                <w:i/>
                <w:spacing w:val="24"/>
                <w:sz w:val="20"/>
              </w:rPr>
              <w:t> </w:t>
            </w:r>
            <w:r>
              <w:rPr>
                <w:rFonts w:ascii="Arial"/>
                <w:i/>
                <w:sz w:val="20"/>
              </w:rPr>
              <w:t>of</w:t>
            </w:r>
            <w:r>
              <w:rPr>
                <w:rFonts w:ascii="Arial"/>
                <w:i/>
                <w:spacing w:val="24"/>
                <w:sz w:val="20"/>
              </w:rPr>
              <w:t> </w:t>
            </w:r>
            <w:r>
              <w:rPr>
                <w:rFonts w:ascii="Arial"/>
                <w:i/>
                <w:sz w:val="20"/>
              </w:rPr>
              <w:t>Nova</w:t>
            </w:r>
            <w:r>
              <w:rPr>
                <w:rFonts w:ascii="Arial"/>
                <w:i/>
                <w:spacing w:val="24"/>
                <w:sz w:val="20"/>
              </w:rPr>
              <w:t> </w:t>
            </w:r>
            <w:r>
              <w:rPr>
                <w:rFonts w:ascii="Arial"/>
                <w:i/>
                <w:sz w:val="20"/>
              </w:rPr>
              <w:t>Scotia</w:t>
            </w:r>
            <w:r>
              <w:rPr>
                <w:rFonts w:ascii="Arial"/>
                <w:i/>
                <w:spacing w:val="24"/>
                <w:sz w:val="20"/>
              </w:rPr>
              <w:t> </w:t>
            </w:r>
            <w:r>
              <w:rPr>
                <w:rFonts w:ascii="Arial"/>
                <w:i/>
                <w:sz w:val="20"/>
              </w:rPr>
              <w:t>v</w:t>
            </w:r>
            <w:r>
              <w:rPr>
                <w:rFonts w:ascii="Arial"/>
                <w:i/>
                <w:spacing w:val="24"/>
                <w:sz w:val="20"/>
              </w:rPr>
              <w:t> </w:t>
            </w:r>
            <w:r>
              <w:rPr>
                <w:rFonts w:ascii="Arial"/>
                <w:i/>
                <w:sz w:val="20"/>
              </w:rPr>
              <w:t>Hellenic</w:t>
            </w:r>
            <w:r>
              <w:rPr>
                <w:rFonts w:ascii="Arial"/>
                <w:i/>
                <w:spacing w:val="24"/>
                <w:sz w:val="20"/>
              </w:rPr>
              <w:t> </w:t>
            </w:r>
            <w:r>
              <w:rPr>
                <w:rFonts w:ascii="Arial"/>
                <w:i/>
                <w:sz w:val="20"/>
              </w:rPr>
              <w:t>War</w:t>
            </w:r>
            <w:r>
              <w:rPr>
                <w:rFonts w:ascii="Arial"/>
                <w:i/>
                <w:spacing w:val="24"/>
                <w:sz w:val="20"/>
              </w:rPr>
              <w:t> </w:t>
            </w:r>
            <w:r>
              <w:rPr>
                <w:rFonts w:ascii="Arial"/>
                <w:i/>
                <w:sz w:val="20"/>
              </w:rPr>
              <w:t>Risks</w:t>
            </w:r>
            <w:r>
              <w:rPr>
                <w:rFonts w:ascii="Arial"/>
                <w:i/>
                <w:spacing w:val="24"/>
                <w:sz w:val="20"/>
              </w:rPr>
              <w:t> </w:t>
            </w:r>
            <w:r>
              <w:rPr>
                <w:rFonts w:ascii="Arial"/>
                <w:i/>
                <w:sz w:val="20"/>
              </w:rPr>
              <w:t>Association</w:t>
            </w:r>
            <w:r>
              <w:rPr>
                <w:rFonts w:ascii="Arial"/>
                <w:i/>
                <w:spacing w:val="24"/>
                <w:sz w:val="20"/>
              </w:rPr>
              <w:t> </w:t>
            </w:r>
            <w:r>
              <w:rPr>
                <w:rFonts w:ascii="Arial"/>
                <w:i/>
                <w:sz w:val="20"/>
              </w:rPr>
              <w:t>(Bermuda)</w:t>
            </w:r>
            <w:r>
              <w:rPr>
                <w:rFonts w:ascii="Arial"/>
                <w:i/>
                <w:spacing w:val="24"/>
                <w:sz w:val="20"/>
              </w:rPr>
              <w:t> </w:t>
            </w:r>
            <w:r>
              <w:rPr>
                <w:rFonts w:ascii="Arial"/>
                <w:i/>
                <w:sz w:val="20"/>
              </w:rPr>
              <w:t>Ltd</w:t>
            </w:r>
            <w:r>
              <w:rPr>
                <w:rFonts w:ascii="Arial"/>
                <w:i/>
                <w:spacing w:val="24"/>
                <w:sz w:val="20"/>
              </w:rPr>
              <w:t> </w:t>
            </w:r>
            <w:r>
              <w:rPr>
                <w:rFonts w:ascii="Arial"/>
                <w:i/>
                <w:sz w:val="20"/>
              </w:rPr>
              <w:t>[1990]</w:t>
            </w:r>
            <w:r>
              <w:rPr>
                <w:rFonts w:ascii="Arial"/>
                <w:i/>
                <w:spacing w:val="24"/>
                <w:sz w:val="20"/>
              </w:rPr>
              <w:t> </w:t>
            </w:r>
            <w:r>
              <w:rPr>
                <w:rFonts w:ascii="Arial"/>
                <w:i/>
                <w:spacing w:val="-10"/>
                <w:sz w:val="20"/>
              </w:rPr>
              <w:t>1</w:t>
            </w:r>
          </w:p>
          <w:p>
            <w:pPr>
              <w:pStyle w:val="TableParagraph"/>
              <w:spacing w:line="235" w:lineRule="auto" w:before="1"/>
              <w:jc w:val="left"/>
              <w:rPr>
                <w:sz w:val="20"/>
              </w:rPr>
            </w:pPr>
            <w:r>
              <w:rPr>
                <w:rFonts w:ascii="Arial"/>
                <w:i/>
                <w:sz w:val="20"/>
              </w:rPr>
              <w:t>Q.B.</w:t>
            </w:r>
            <w:r>
              <w:rPr>
                <w:rFonts w:ascii="Arial"/>
                <w:i/>
                <w:spacing w:val="40"/>
                <w:sz w:val="20"/>
              </w:rPr>
              <w:t> </w:t>
            </w:r>
            <w:r>
              <w:rPr>
                <w:rFonts w:ascii="Arial"/>
                <w:i/>
                <w:sz w:val="20"/>
              </w:rPr>
              <w:t>818</w:t>
            </w:r>
            <w:r>
              <w:rPr>
                <w:rFonts w:ascii="Arial"/>
                <w:i/>
                <w:spacing w:val="40"/>
                <w:sz w:val="20"/>
              </w:rPr>
              <w:t> </w:t>
            </w:r>
            <w:r>
              <w:rPr>
                <w:sz w:val="20"/>
              </w:rPr>
              <w:t>and</w:t>
            </w:r>
            <w:r>
              <w:rPr>
                <w:spacing w:val="40"/>
                <w:sz w:val="20"/>
              </w:rPr>
              <w:t> </w:t>
            </w:r>
            <w:r>
              <w:rPr>
                <w:sz w:val="20"/>
              </w:rPr>
              <w:t>see</w:t>
            </w:r>
            <w:r>
              <w:rPr>
                <w:spacing w:val="40"/>
                <w:sz w:val="20"/>
              </w:rPr>
              <w:t> </w:t>
            </w:r>
            <w:r>
              <w:rPr>
                <w:sz w:val="20"/>
              </w:rPr>
              <w:t>above,</w:t>
            </w:r>
            <w:r>
              <w:rPr>
                <w:spacing w:val="40"/>
                <w:sz w:val="20"/>
              </w:rPr>
              <w:t> </w:t>
            </w:r>
            <w:r>
              <w:rPr>
                <w:sz w:val="20"/>
              </w:rPr>
              <w:t>para.1-184</w:t>
            </w:r>
            <w:r>
              <w:rPr>
                <w:spacing w:val="40"/>
                <w:sz w:val="20"/>
              </w:rPr>
              <w:t> </w:t>
            </w:r>
            <w:r>
              <w:rPr>
                <w:sz w:val="20"/>
              </w:rPr>
              <w:t>and</w:t>
            </w:r>
            <w:r>
              <w:rPr>
                <w:spacing w:val="40"/>
                <w:sz w:val="20"/>
              </w:rPr>
              <w:t> </w:t>
            </w:r>
            <w:r>
              <w:rPr>
                <w:rFonts w:ascii="Arial"/>
                <w:i/>
                <w:sz w:val="20"/>
              </w:rPr>
              <w:t>Greater</w:t>
            </w:r>
            <w:r>
              <w:rPr>
                <w:rFonts w:ascii="Arial"/>
                <w:i/>
                <w:spacing w:val="40"/>
                <w:sz w:val="20"/>
              </w:rPr>
              <w:t> </w:t>
            </w:r>
            <w:r>
              <w:rPr>
                <w:rFonts w:ascii="Arial"/>
                <w:i/>
                <w:sz w:val="20"/>
              </w:rPr>
              <w:t>Nottingham</w:t>
            </w:r>
            <w:r>
              <w:rPr>
                <w:rFonts w:ascii="Arial"/>
                <w:i/>
                <w:spacing w:val="40"/>
                <w:sz w:val="20"/>
              </w:rPr>
              <w:t> </w:t>
            </w:r>
            <w:r>
              <w:rPr>
                <w:rFonts w:ascii="Arial"/>
                <w:i/>
                <w:sz w:val="20"/>
              </w:rPr>
              <w:t>Co-Operative</w:t>
            </w:r>
            <w:r>
              <w:rPr>
                <w:rFonts w:ascii="Arial"/>
                <w:i/>
                <w:spacing w:val="40"/>
                <w:sz w:val="20"/>
              </w:rPr>
              <w:t> </w:t>
            </w:r>
            <w:r>
              <w:rPr>
                <w:rFonts w:ascii="Arial"/>
                <w:i/>
                <w:sz w:val="20"/>
              </w:rPr>
              <w:t>Society</w:t>
            </w:r>
            <w:r>
              <w:rPr>
                <w:rFonts w:ascii="Arial"/>
                <w:i/>
                <w:spacing w:val="40"/>
                <w:sz w:val="20"/>
              </w:rPr>
              <w:t> </w:t>
            </w:r>
            <w:r>
              <w:rPr>
                <w:rFonts w:ascii="Arial"/>
                <w:i/>
                <w:sz w:val="20"/>
              </w:rPr>
              <w:t>Ltd</w:t>
            </w:r>
            <w:r>
              <w:rPr>
                <w:rFonts w:ascii="Arial"/>
                <w:i/>
                <w:spacing w:val="40"/>
                <w:sz w:val="20"/>
              </w:rPr>
              <w:t> </w:t>
            </w:r>
            <w:r>
              <w:rPr>
                <w:rFonts w:ascii="Arial"/>
                <w:i/>
                <w:sz w:val="20"/>
              </w:rPr>
              <w:t>v Cementation Piling &amp; Foundations Ltd [1989] Q.B. 71</w:t>
            </w:r>
            <w:r>
              <w:rPr>
                <w:sz w:val="20"/>
              </w:rPr>
              <w:t>.</w:t>
            </w:r>
          </w:p>
        </w:tc>
      </w:tr>
      <w:tr>
        <w:trPr>
          <w:trHeight w:val="465" w:hRule="atLeast"/>
        </w:trPr>
        <w:tc>
          <w:tcPr>
            <w:tcW w:w="496" w:type="dxa"/>
          </w:tcPr>
          <w:p>
            <w:pPr>
              <w:pStyle w:val="TableParagraph"/>
              <w:ind w:left="0" w:right="43"/>
              <w:rPr>
                <w:sz w:val="14"/>
              </w:rPr>
            </w:pPr>
            <w:bookmarkStart w:name="_bookmark1974" w:id="1976"/>
            <w:bookmarkEnd w:id="1976"/>
            <w:r>
              <w:rPr/>
            </w:r>
            <w:hyperlink w:history="true" w:anchor="_bookmark1836">
              <w:r>
                <w:rPr>
                  <w:color w:val="005DA1"/>
                  <w:spacing w:val="-2"/>
                  <w:sz w:val="14"/>
                  <w:u w:val="single" w:color="005DA1"/>
                </w:rPr>
                <w:t>1287</w:t>
              </w:r>
            </w:hyperlink>
            <w:r>
              <w:rPr>
                <w:spacing w:val="-2"/>
                <w:sz w:val="14"/>
              </w:rPr>
              <w:t>.</w:t>
            </w:r>
          </w:p>
        </w:tc>
        <w:tc>
          <w:tcPr>
            <w:tcW w:w="8621" w:type="dxa"/>
          </w:tcPr>
          <w:p>
            <w:pPr>
              <w:pStyle w:val="TableParagraph"/>
              <w:spacing w:before="114"/>
              <w:jc w:val="left"/>
              <w:rPr>
                <w:sz w:val="20"/>
              </w:rPr>
            </w:pPr>
            <w:r>
              <w:rPr>
                <w:sz w:val="20"/>
              </w:rPr>
              <w:t>Above, paras 1-166 et </w:t>
            </w:r>
            <w:r>
              <w:rPr>
                <w:spacing w:val="-4"/>
                <w:sz w:val="20"/>
              </w:rPr>
              <w:t>seq.</w:t>
            </w:r>
          </w:p>
        </w:tc>
      </w:tr>
      <w:tr>
        <w:trPr>
          <w:trHeight w:val="465" w:hRule="atLeast"/>
        </w:trPr>
        <w:tc>
          <w:tcPr>
            <w:tcW w:w="496" w:type="dxa"/>
          </w:tcPr>
          <w:p>
            <w:pPr>
              <w:pStyle w:val="TableParagraph"/>
              <w:ind w:left="0" w:right="43"/>
              <w:rPr>
                <w:sz w:val="14"/>
              </w:rPr>
            </w:pPr>
            <w:bookmarkStart w:name="_bookmark1975" w:id="1977"/>
            <w:bookmarkEnd w:id="1977"/>
            <w:r>
              <w:rPr/>
            </w:r>
            <w:hyperlink w:history="true" w:anchor="_bookmark1837">
              <w:r>
                <w:rPr>
                  <w:color w:val="005DA1"/>
                  <w:spacing w:val="-2"/>
                  <w:sz w:val="14"/>
                  <w:u w:val="single" w:color="005DA1"/>
                </w:rPr>
                <w:t>1288</w:t>
              </w:r>
            </w:hyperlink>
            <w:r>
              <w:rPr>
                <w:spacing w:val="-2"/>
                <w:sz w:val="14"/>
              </w:rPr>
              <w:t>.</w:t>
            </w:r>
          </w:p>
        </w:tc>
        <w:tc>
          <w:tcPr>
            <w:tcW w:w="8621" w:type="dxa"/>
          </w:tcPr>
          <w:p>
            <w:pPr>
              <w:pStyle w:val="TableParagraph"/>
              <w:spacing w:before="114"/>
              <w:jc w:val="left"/>
              <w:rPr>
                <w:sz w:val="20"/>
              </w:rPr>
            </w:pPr>
            <w:r>
              <w:rPr>
                <w:sz w:val="20"/>
              </w:rPr>
              <w:t>On the assumption that the implied term is put before the court for its </w:t>
            </w:r>
            <w:r>
              <w:rPr>
                <w:spacing w:val="-2"/>
                <w:sz w:val="20"/>
              </w:rPr>
              <w:t>consideration.</w:t>
            </w:r>
          </w:p>
        </w:tc>
      </w:tr>
      <w:tr>
        <w:trPr>
          <w:trHeight w:val="465" w:hRule="atLeast"/>
        </w:trPr>
        <w:tc>
          <w:tcPr>
            <w:tcW w:w="496" w:type="dxa"/>
          </w:tcPr>
          <w:p>
            <w:pPr>
              <w:pStyle w:val="TableParagraph"/>
              <w:ind w:left="0" w:right="43"/>
              <w:rPr>
                <w:sz w:val="14"/>
              </w:rPr>
            </w:pPr>
            <w:bookmarkStart w:name="_bookmark1976" w:id="1978"/>
            <w:bookmarkEnd w:id="1978"/>
            <w:r>
              <w:rPr/>
            </w:r>
            <w:hyperlink w:history="true" w:anchor="_bookmark1838">
              <w:r>
                <w:rPr>
                  <w:color w:val="005DA1"/>
                  <w:spacing w:val="-2"/>
                  <w:sz w:val="14"/>
                  <w:u w:val="single" w:color="005DA1"/>
                </w:rPr>
                <w:t>1289</w:t>
              </w:r>
            </w:hyperlink>
            <w:r>
              <w:rPr>
                <w:spacing w:val="-2"/>
                <w:sz w:val="14"/>
              </w:rPr>
              <w:t>.</w:t>
            </w:r>
          </w:p>
        </w:tc>
        <w:tc>
          <w:tcPr>
            <w:tcW w:w="8621" w:type="dxa"/>
          </w:tcPr>
          <w:p>
            <w:pPr>
              <w:pStyle w:val="TableParagraph"/>
              <w:spacing w:before="114"/>
              <w:jc w:val="left"/>
              <w:rPr>
                <w:sz w:val="20"/>
              </w:rPr>
            </w:pPr>
            <w:r>
              <w:rPr>
                <w:rFonts w:ascii="Arial"/>
                <w:i/>
                <w:sz w:val="20"/>
              </w:rPr>
              <w:t>[1995] 49 Con. L.R. </w:t>
            </w:r>
            <w:r>
              <w:rPr>
                <w:rFonts w:ascii="Arial"/>
                <w:i/>
                <w:spacing w:val="-5"/>
                <w:sz w:val="20"/>
              </w:rPr>
              <w:t>99</w:t>
            </w:r>
            <w:r>
              <w:rPr>
                <w:spacing w:val="-5"/>
                <w:sz w:val="20"/>
              </w:rPr>
              <w:t>.</w:t>
            </w:r>
          </w:p>
        </w:tc>
      </w:tr>
      <w:tr>
        <w:trPr>
          <w:trHeight w:val="690" w:hRule="atLeast"/>
        </w:trPr>
        <w:tc>
          <w:tcPr>
            <w:tcW w:w="496" w:type="dxa"/>
          </w:tcPr>
          <w:p>
            <w:pPr>
              <w:pStyle w:val="TableParagraph"/>
              <w:ind w:left="0" w:right="43"/>
              <w:rPr>
                <w:sz w:val="14"/>
              </w:rPr>
            </w:pPr>
            <w:bookmarkStart w:name="_bookmark1977" w:id="1979"/>
            <w:bookmarkEnd w:id="1979"/>
            <w:r>
              <w:rPr/>
            </w:r>
            <w:hyperlink w:history="true" w:anchor="_bookmark1839">
              <w:r>
                <w:rPr>
                  <w:color w:val="005DA1"/>
                  <w:spacing w:val="-2"/>
                  <w:sz w:val="14"/>
                  <w:u w:val="single" w:color="005DA1"/>
                </w:rPr>
                <w:t>1290</w:t>
              </w:r>
            </w:hyperlink>
            <w:r>
              <w:rPr>
                <w:spacing w:val="-2"/>
                <w:sz w:val="14"/>
              </w:rPr>
              <w:t>.</w:t>
            </w:r>
          </w:p>
        </w:tc>
        <w:tc>
          <w:tcPr>
            <w:tcW w:w="8621" w:type="dxa"/>
          </w:tcPr>
          <w:p>
            <w:pPr>
              <w:pStyle w:val="TableParagraph"/>
              <w:spacing w:line="235" w:lineRule="auto" w:before="118"/>
              <w:jc w:val="left"/>
              <w:rPr>
                <w:sz w:val="20"/>
              </w:rPr>
            </w:pPr>
            <w:r>
              <w:rPr>
                <w:sz w:val="20"/>
              </w:rPr>
              <w:t>The</w:t>
            </w:r>
            <w:r>
              <w:rPr>
                <w:spacing w:val="28"/>
                <w:sz w:val="20"/>
              </w:rPr>
              <w:t> </w:t>
            </w:r>
            <w:r>
              <w:rPr>
                <w:sz w:val="20"/>
              </w:rPr>
              <w:t>plaintiffs</w:t>
            </w:r>
            <w:r>
              <w:rPr>
                <w:spacing w:val="28"/>
                <w:sz w:val="20"/>
              </w:rPr>
              <w:t> </w:t>
            </w:r>
            <w:r>
              <w:rPr>
                <w:sz w:val="20"/>
              </w:rPr>
              <w:t>also</w:t>
            </w:r>
            <w:r>
              <w:rPr>
                <w:spacing w:val="28"/>
                <w:sz w:val="20"/>
              </w:rPr>
              <w:t> </w:t>
            </w:r>
            <w:r>
              <w:rPr>
                <w:sz w:val="20"/>
              </w:rPr>
              <w:t>claimed</w:t>
            </w:r>
            <w:r>
              <w:rPr>
                <w:spacing w:val="28"/>
                <w:sz w:val="20"/>
              </w:rPr>
              <w:t> </w:t>
            </w:r>
            <w:r>
              <w:rPr>
                <w:sz w:val="20"/>
              </w:rPr>
              <w:t>against</w:t>
            </w:r>
            <w:r>
              <w:rPr>
                <w:spacing w:val="28"/>
                <w:sz w:val="20"/>
              </w:rPr>
              <w:t> </w:t>
            </w:r>
            <w:r>
              <w:rPr>
                <w:sz w:val="20"/>
              </w:rPr>
              <w:t>their</w:t>
            </w:r>
            <w:r>
              <w:rPr>
                <w:spacing w:val="28"/>
                <w:sz w:val="20"/>
              </w:rPr>
              <w:t> </w:t>
            </w:r>
            <w:r>
              <w:rPr>
                <w:sz w:val="20"/>
              </w:rPr>
              <w:t>solicitors,</w:t>
            </w:r>
            <w:r>
              <w:rPr>
                <w:spacing w:val="28"/>
                <w:sz w:val="20"/>
              </w:rPr>
              <w:t> </w:t>
            </w:r>
            <w:r>
              <w:rPr>
                <w:sz w:val="20"/>
              </w:rPr>
              <w:t>but</w:t>
            </w:r>
            <w:r>
              <w:rPr>
                <w:spacing w:val="28"/>
                <w:sz w:val="20"/>
              </w:rPr>
              <w:t> </w:t>
            </w:r>
            <w:r>
              <w:rPr>
                <w:sz w:val="20"/>
              </w:rPr>
              <w:t>no</w:t>
            </w:r>
            <w:r>
              <w:rPr>
                <w:spacing w:val="28"/>
                <w:sz w:val="20"/>
              </w:rPr>
              <w:t> </w:t>
            </w:r>
            <w:r>
              <w:rPr>
                <w:sz w:val="20"/>
              </w:rPr>
              <w:t>issue</w:t>
            </w:r>
            <w:r>
              <w:rPr>
                <w:spacing w:val="28"/>
                <w:sz w:val="20"/>
              </w:rPr>
              <w:t> </w:t>
            </w:r>
            <w:r>
              <w:rPr>
                <w:sz w:val="20"/>
              </w:rPr>
              <w:t>relating</w:t>
            </w:r>
            <w:r>
              <w:rPr>
                <w:spacing w:val="28"/>
                <w:sz w:val="20"/>
              </w:rPr>
              <w:t> </w:t>
            </w:r>
            <w:r>
              <w:rPr>
                <w:sz w:val="20"/>
              </w:rPr>
              <w:t>to</w:t>
            </w:r>
            <w:r>
              <w:rPr>
                <w:spacing w:val="28"/>
                <w:sz w:val="20"/>
              </w:rPr>
              <w:t> </w:t>
            </w:r>
            <w:r>
              <w:rPr>
                <w:sz w:val="20"/>
              </w:rPr>
              <w:t>the</w:t>
            </w:r>
            <w:r>
              <w:rPr>
                <w:spacing w:val="28"/>
                <w:sz w:val="20"/>
              </w:rPr>
              <w:t> </w:t>
            </w:r>
            <w:r>
              <w:rPr>
                <w:sz w:val="20"/>
              </w:rPr>
              <w:t>latters’</w:t>
            </w:r>
            <w:r>
              <w:rPr>
                <w:spacing w:val="28"/>
                <w:sz w:val="20"/>
              </w:rPr>
              <w:t> </w:t>
            </w:r>
            <w:r>
              <w:rPr>
                <w:sz w:val="20"/>
              </w:rPr>
              <w:t>liability arose before the Court of Appeal.</w:t>
            </w:r>
          </w:p>
        </w:tc>
      </w:tr>
      <w:tr>
        <w:trPr>
          <w:trHeight w:val="465" w:hRule="atLeast"/>
        </w:trPr>
        <w:tc>
          <w:tcPr>
            <w:tcW w:w="496" w:type="dxa"/>
          </w:tcPr>
          <w:p>
            <w:pPr>
              <w:pStyle w:val="TableParagraph"/>
              <w:ind w:left="0" w:right="43"/>
              <w:rPr>
                <w:sz w:val="14"/>
              </w:rPr>
            </w:pPr>
            <w:bookmarkStart w:name="_bookmark1978" w:id="1980"/>
            <w:bookmarkEnd w:id="1980"/>
            <w:r>
              <w:rPr/>
            </w:r>
            <w:hyperlink w:history="true" w:anchor="_bookmark1840">
              <w:r>
                <w:rPr>
                  <w:color w:val="005DA1"/>
                  <w:spacing w:val="-2"/>
                  <w:sz w:val="14"/>
                  <w:u w:val="single" w:color="005DA1"/>
                </w:rPr>
                <w:t>1291</w:t>
              </w:r>
            </w:hyperlink>
            <w:r>
              <w:rPr>
                <w:spacing w:val="-2"/>
                <w:sz w:val="14"/>
              </w:rPr>
              <w:t>.</w:t>
            </w:r>
          </w:p>
        </w:tc>
        <w:tc>
          <w:tcPr>
            <w:tcW w:w="8621" w:type="dxa"/>
          </w:tcPr>
          <w:p>
            <w:pPr>
              <w:pStyle w:val="TableParagraph"/>
              <w:spacing w:before="114"/>
              <w:jc w:val="left"/>
              <w:rPr>
                <w:sz w:val="20"/>
              </w:rPr>
            </w:pPr>
            <w:r>
              <w:rPr>
                <w:rFonts w:ascii="Arial"/>
                <w:i/>
                <w:sz w:val="20"/>
              </w:rPr>
              <w:t>[1995]</w:t>
            </w:r>
            <w:r>
              <w:rPr>
                <w:rFonts w:ascii="Arial"/>
                <w:i/>
                <w:spacing w:val="-2"/>
                <w:sz w:val="20"/>
              </w:rPr>
              <w:t> </w:t>
            </w:r>
            <w:r>
              <w:rPr>
                <w:rFonts w:ascii="Arial"/>
                <w:i/>
                <w:sz w:val="20"/>
              </w:rPr>
              <w:t>2 A.C. 145, </w:t>
            </w:r>
            <w:r>
              <w:rPr>
                <w:rFonts w:ascii="Arial"/>
                <w:i/>
                <w:spacing w:val="-4"/>
                <w:sz w:val="20"/>
              </w:rPr>
              <w:t>193</w:t>
            </w:r>
            <w:r>
              <w:rPr>
                <w:spacing w:val="-4"/>
                <w:sz w:val="20"/>
              </w:rPr>
              <w:t>.</w:t>
            </w:r>
          </w:p>
        </w:tc>
      </w:tr>
      <w:tr>
        <w:trPr>
          <w:trHeight w:val="465" w:hRule="atLeast"/>
        </w:trPr>
        <w:tc>
          <w:tcPr>
            <w:tcW w:w="496" w:type="dxa"/>
          </w:tcPr>
          <w:p>
            <w:pPr>
              <w:pStyle w:val="TableParagraph"/>
              <w:ind w:left="0" w:right="43"/>
              <w:rPr>
                <w:sz w:val="14"/>
              </w:rPr>
            </w:pPr>
            <w:bookmarkStart w:name="_bookmark1979" w:id="1981"/>
            <w:bookmarkEnd w:id="1981"/>
            <w:r>
              <w:rPr/>
            </w:r>
            <w:hyperlink w:history="true" w:anchor="_bookmark1841">
              <w:r>
                <w:rPr>
                  <w:color w:val="005DA1"/>
                  <w:spacing w:val="-2"/>
                  <w:sz w:val="14"/>
                  <w:u w:val="single" w:color="005DA1"/>
                </w:rPr>
                <w:t>1292</w:t>
              </w:r>
            </w:hyperlink>
            <w:r>
              <w:rPr>
                <w:spacing w:val="-2"/>
                <w:sz w:val="14"/>
              </w:rPr>
              <w:t>.</w:t>
            </w:r>
          </w:p>
        </w:tc>
        <w:tc>
          <w:tcPr>
            <w:tcW w:w="8621" w:type="dxa"/>
          </w:tcPr>
          <w:p>
            <w:pPr>
              <w:pStyle w:val="TableParagraph"/>
              <w:spacing w:before="114"/>
              <w:jc w:val="left"/>
              <w:rPr>
                <w:sz w:val="20"/>
              </w:rPr>
            </w:pPr>
            <w:r>
              <w:rPr>
                <w:rFonts w:ascii="Arial"/>
                <w:i/>
                <w:sz w:val="20"/>
              </w:rPr>
              <w:t>[1995]</w:t>
            </w:r>
            <w:r>
              <w:rPr>
                <w:rFonts w:ascii="Arial"/>
                <w:i/>
                <w:spacing w:val="-2"/>
                <w:sz w:val="20"/>
              </w:rPr>
              <w:t> </w:t>
            </w:r>
            <w:r>
              <w:rPr>
                <w:rFonts w:ascii="Arial"/>
                <w:i/>
                <w:sz w:val="20"/>
              </w:rPr>
              <w:t>49 Con. L.R. 99, </w:t>
            </w:r>
            <w:r>
              <w:rPr>
                <w:rFonts w:ascii="Arial"/>
                <w:i/>
                <w:spacing w:val="-4"/>
                <w:sz w:val="20"/>
              </w:rPr>
              <w:t>114</w:t>
            </w:r>
            <w:r>
              <w:rPr>
                <w:spacing w:val="-4"/>
                <w:sz w:val="20"/>
              </w:rPr>
              <w:t>.</w:t>
            </w:r>
          </w:p>
        </w:tc>
      </w:tr>
      <w:tr>
        <w:trPr>
          <w:trHeight w:val="915" w:hRule="atLeast"/>
        </w:trPr>
        <w:tc>
          <w:tcPr>
            <w:tcW w:w="496" w:type="dxa"/>
          </w:tcPr>
          <w:p>
            <w:pPr>
              <w:pStyle w:val="TableParagraph"/>
              <w:ind w:left="0" w:right="43"/>
              <w:rPr>
                <w:sz w:val="14"/>
              </w:rPr>
            </w:pPr>
            <w:bookmarkStart w:name="_bookmark1980" w:id="1982"/>
            <w:bookmarkEnd w:id="1982"/>
            <w:r>
              <w:rPr/>
            </w:r>
            <w:hyperlink w:history="true" w:anchor="_bookmark1842">
              <w:r>
                <w:rPr>
                  <w:color w:val="005DA1"/>
                  <w:spacing w:val="-2"/>
                  <w:sz w:val="14"/>
                  <w:u w:val="single" w:color="005DA1"/>
                </w:rPr>
                <w:t>1293</w:t>
              </w:r>
            </w:hyperlink>
            <w:r>
              <w:rPr>
                <w:spacing w:val="-2"/>
                <w:sz w:val="14"/>
              </w:rPr>
              <w:t>.</w:t>
            </w:r>
          </w:p>
        </w:tc>
        <w:tc>
          <w:tcPr>
            <w:tcW w:w="8621" w:type="dxa"/>
          </w:tcPr>
          <w:p>
            <w:pPr>
              <w:pStyle w:val="TableParagraph"/>
              <w:spacing w:line="235" w:lineRule="auto" w:before="118"/>
              <w:ind w:right="50"/>
              <w:jc w:val="both"/>
              <w:rPr>
                <w:sz w:val="20"/>
              </w:rPr>
            </w:pPr>
            <w:r>
              <w:rPr>
                <w:sz w:val="20"/>
              </w:rPr>
              <w:t>This approach was followed by the HC in </w:t>
            </w:r>
            <w:r>
              <w:rPr>
                <w:rFonts w:ascii="Arial" w:hAnsi="Arial"/>
                <w:i/>
                <w:sz w:val="20"/>
              </w:rPr>
              <w:t>Sumitomo Bank Ltd v Banque Bruxelles Lambert SA [1997] 1 Lloyd’s Rep. 487 </w:t>
            </w:r>
            <w:r>
              <w:rPr>
                <w:sz w:val="20"/>
              </w:rPr>
              <w:t>(duty of care arising from failure in carrying out pre-contractual </w:t>
            </w:r>
            <w:r>
              <w:rPr>
                <w:spacing w:val="-2"/>
                <w:sz w:val="20"/>
              </w:rPr>
              <w:t>disclosure).</w:t>
            </w:r>
          </w:p>
        </w:tc>
      </w:tr>
      <w:tr>
        <w:trPr>
          <w:trHeight w:val="690" w:hRule="atLeast"/>
        </w:trPr>
        <w:tc>
          <w:tcPr>
            <w:tcW w:w="496" w:type="dxa"/>
          </w:tcPr>
          <w:p>
            <w:pPr>
              <w:pStyle w:val="TableParagraph"/>
              <w:ind w:left="0" w:right="43"/>
              <w:rPr>
                <w:sz w:val="14"/>
              </w:rPr>
            </w:pPr>
            <w:bookmarkStart w:name="_bookmark1981" w:id="1983"/>
            <w:bookmarkEnd w:id="1983"/>
            <w:r>
              <w:rPr/>
            </w:r>
            <w:hyperlink w:history="true" w:anchor="_bookmark1843">
              <w:r>
                <w:rPr>
                  <w:color w:val="005DA1"/>
                  <w:spacing w:val="-2"/>
                  <w:sz w:val="14"/>
                  <w:u w:val="single" w:color="005DA1"/>
                </w:rPr>
                <w:t>1294</w:t>
              </w:r>
            </w:hyperlink>
            <w:r>
              <w:rPr>
                <w:spacing w:val="-2"/>
                <w:sz w:val="14"/>
              </w:rPr>
              <w:t>.</w:t>
            </w:r>
          </w:p>
        </w:tc>
        <w:tc>
          <w:tcPr>
            <w:tcW w:w="8621" w:type="dxa"/>
          </w:tcPr>
          <w:p>
            <w:pPr>
              <w:pStyle w:val="TableParagraph"/>
              <w:spacing w:line="235" w:lineRule="auto" w:before="118"/>
              <w:jc w:val="left"/>
              <w:rPr>
                <w:sz w:val="20"/>
              </w:rPr>
            </w:pPr>
            <w:r>
              <w:rPr>
                <w:sz w:val="20"/>
              </w:rPr>
              <w:t>This</w:t>
            </w:r>
            <w:r>
              <w:rPr>
                <w:spacing w:val="25"/>
                <w:sz w:val="20"/>
              </w:rPr>
              <w:t> </w:t>
            </w:r>
            <w:r>
              <w:rPr>
                <w:sz w:val="20"/>
              </w:rPr>
              <w:t>can</w:t>
            </w:r>
            <w:r>
              <w:rPr>
                <w:spacing w:val="25"/>
                <w:sz w:val="20"/>
              </w:rPr>
              <w:t> </w:t>
            </w:r>
            <w:r>
              <w:rPr>
                <w:sz w:val="20"/>
              </w:rPr>
              <w:t>be</w:t>
            </w:r>
            <w:r>
              <w:rPr>
                <w:spacing w:val="25"/>
                <w:sz w:val="20"/>
              </w:rPr>
              <w:t> </w:t>
            </w:r>
            <w:r>
              <w:rPr>
                <w:sz w:val="20"/>
              </w:rPr>
              <w:t>seen</w:t>
            </w:r>
            <w:r>
              <w:rPr>
                <w:spacing w:val="25"/>
                <w:sz w:val="20"/>
              </w:rPr>
              <w:t> </w:t>
            </w:r>
            <w:r>
              <w:rPr>
                <w:sz w:val="20"/>
              </w:rPr>
              <w:t>Hirst</w:t>
            </w:r>
            <w:r>
              <w:rPr>
                <w:spacing w:val="25"/>
                <w:sz w:val="20"/>
              </w:rPr>
              <w:t> </w:t>
            </w:r>
            <w:r>
              <w:rPr>
                <w:sz w:val="20"/>
              </w:rPr>
              <w:t>L.J.’s</w:t>
            </w:r>
            <w:r>
              <w:rPr>
                <w:spacing w:val="25"/>
                <w:sz w:val="20"/>
              </w:rPr>
              <w:t> </w:t>
            </w:r>
            <w:r>
              <w:rPr>
                <w:sz w:val="20"/>
              </w:rPr>
              <w:t>reliance</w:t>
            </w:r>
            <w:r>
              <w:rPr>
                <w:spacing w:val="25"/>
                <w:sz w:val="20"/>
              </w:rPr>
              <w:t> </w:t>
            </w:r>
            <w:r>
              <w:rPr>
                <w:sz w:val="20"/>
              </w:rPr>
              <w:t>on</w:t>
            </w:r>
            <w:r>
              <w:rPr>
                <w:spacing w:val="25"/>
                <w:sz w:val="20"/>
              </w:rPr>
              <w:t> </w:t>
            </w:r>
            <w:r>
              <w:rPr>
                <w:sz w:val="20"/>
              </w:rPr>
              <w:t>passages</w:t>
            </w:r>
            <w:r>
              <w:rPr>
                <w:spacing w:val="25"/>
                <w:sz w:val="20"/>
              </w:rPr>
              <w:t> </w:t>
            </w:r>
            <w:r>
              <w:rPr>
                <w:sz w:val="20"/>
              </w:rPr>
              <w:t>from</w:t>
            </w:r>
            <w:r>
              <w:rPr>
                <w:spacing w:val="25"/>
                <w:sz w:val="20"/>
              </w:rPr>
              <w:t> </w:t>
            </w:r>
            <w:r>
              <w:rPr>
                <w:sz w:val="20"/>
              </w:rPr>
              <w:t>Lord</w:t>
            </w:r>
            <w:r>
              <w:rPr>
                <w:spacing w:val="25"/>
                <w:sz w:val="20"/>
              </w:rPr>
              <w:t> </w:t>
            </w:r>
            <w:r>
              <w:rPr>
                <w:sz w:val="20"/>
              </w:rPr>
              <w:t>Goff’s</w:t>
            </w:r>
            <w:r>
              <w:rPr>
                <w:spacing w:val="25"/>
                <w:sz w:val="20"/>
              </w:rPr>
              <w:t> </w:t>
            </w:r>
            <w:r>
              <w:rPr>
                <w:sz w:val="20"/>
              </w:rPr>
              <w:t>speech</w:t>
            </w:r>
            <w:r>
              <w:rPr>
                <w:spacing w:val="25"/>
                <w:sz w:val="20"/>
              </w:rPr>
              <w:t> </w:t>
            </w:r>
            <w:r>
              <w:rPr>
                <w:sz w:val="20"/>
              </w:rPr>
              <w:t>in</w:t>
            </w:r>
            <w:r>
              <w:rPr>
                <w:spacing w:val="25"/>
                <w:sz w:val="20"/>
              </w:rPr>
              <w:t> </w:t>
            </w:r>
            <w:r>
              <w:rPr>
                <w:rFonts w:ascii="Arial" w:hAnsi="Arial"/>
                <w:i/>
                <w:sz w:val="20"/>
              </w:rPr>
              <w:t>Henderson</w:t>
            </w:r>
            <w:r>
              <w:rPr>
                <w:rFonts w:ascii="Arial" w:hAnsi="Arial"/>
                <w:i/>
                <w:spacing w:val="25"/>
                <w:sz w:val="20"/>
              </w:rPr>
              <w:t> </w:t>
            </w:r>
            <w:r>
              <w:rPr>
                <w:rFonts w:ascii="Arial" w:hAnsi="Arial"/>
                <w:i/>
                <w:sz w:val="20"/>
              </w:rPr>
              <w:t>v Merrett Syndicates Ltd [1995] 2 A.C. 145, 178 </w:t>
            </w:r>
            <w:r>
              <w:rPr>
                <w:sz w:val="20"/>
              </w:rPr>
              <w:t>and 193–194.</w:t>
            </w:r>
          </w:p>
        </w:tc>
      </w:tr>
      <w:tr>
        <w:trPr>
          <w:trHeight w:val="465" w:hRule="atLeast"/>
        </w:trPr>
        <w:tc>
          <w:tcPr>
            <w:tcW w:w="496" w:type="dxa"/>
          </w:tcPr>
          <w:p>
            <w:pPr>
              <w:pStyle w:val="TableParagraph"/>
              <w:ind w:left="0" w:right="43"/>
              <w:rPr>
                <w:sz w:val="14"/>
              </w:rPr>
            </w:pPr>
            <w:bookmarkStart w:name="_bookmark1982" w:id="1984"/>
            <w:bookmarkEnd w:id="1984"/>
            <w:r>
              <w:rPr/>
            </w:r>
            <w:hyperlink w:history="true" w:anchor="_bookmark1844">
              <w:r>
                <w:rPr>
                  <w:color w:val="005DA1"/>
                  <w:spacing w:val="-2"/>
                  <w:sz w:val="14"/>
                  <w:u w:val="single" w:color="005DA1"/>
                </w:rPr>
                <w:t>1295</w:t>
              </w:r>
            </w:hyperlink>
            <w:r>
              <w:rPr>
                <w:spacing w:val="-2"/>
                <w:sz w:val="14"/>
              </w:rPr>
              <w:t>.</w:t>
            </w:r>
          </w:p>
        </w:tc>
        <w:tc>
          <w:tcPr>
            <w:tcW w:w="8621" w:type="dxa"/>
          </w:tcPr>
          <w:p>
            <w:pPr>
              <w:pStyle w:val="TableParagraph"/>
              <w:spacing w:before="114"/>
              <w:jc w:val="left"/>
              <w:rPr>
                <w:sz w:val="20"/>
              </w:rPr>
            </w:pPr>
            <w:r>
              <w:rPr>
                <w:rFonts w:ascii="Arial"/>
                <w:i/>
                <w:sz w:val="20"/>
              </w:rPr>
              <w:t>[1990]</w:t>
            </w:r>
            <w:r>
              <w:rPr>
                <w:rFonts w:ascii="Arial"/>
                <w:i/>
                <w:spacing w:val="-2"/>
                <w:sz w:val="20"/>
              </w:rPr>
              <w:t> </w:t>
            </w:r>
            <w:r>
              <w:rPr>
                <w:rFonts w:ascii="Arial"/>
                <w:i/>
                <w:sz w:val="20"/>
              </w:rPr>
              <w:t>2 A.C. 605, </w:t>
            </w:r>
            <w:r>
              <w:rPr>
                <w:rFonts w:ascii="Arial"/>
                <w:i/>
                <w:spacing w:val="-4"/>
                <w:sz w:val="20"/>
              </w:rPr>
              <w:t>638</w:t>
            </w:r>
            <w:r>
              <w:rPr>
                <w:spacing w:val="-4"/>
                <w:sz w:val="20"/>
              </w:rPr>
              <w:t>.</w:t>
            </w:r>
          </w:p>
        </w:tc>
      </w:tr>
      <w:tr>
        <w:trPr>
          <w:trHeight w:val="465" w:hRule="atLeast"/>
        </w:trPr>
        <w:tc>
          <w:tcPr>
            <w:tcW w:w="496" w:type="dxa"/>
          </w:tcPr>
          <w:p>
            <w:pPr>
              <w:pStyle w:val="TableParagraph"/>
              <w:ind w:left="0" w:right="43"/>
              <w:rPr>
                <w:sz w:val="14"/>
              </w:rPr>
            </w:pPr>
            <w:bookmarkStart w:name="_bookmark1983" w:id="1985"/>
            <w:bookmarkEnd w:id="1985"/>
            <w:r>
              <w:rPr/>
            </w:r>
            <w:hyperlink w:history="true" w:anchor="_bookmark1845">
              <w:r>
                <w:rPr>
                  <w:color w:val="005DA1"/>
                  <w:spacing w:val="-2"/>
                  <w:sz w:val="14"/>
                  <w:u w:val="single" w:color="005DA1"/>
                </w:rPr>
                <w:t>1296</w:t>
              </w:r>
            </w:hyperlink>
            <w:r>
              <w:rPr>
                <w:spacing w:val="-2"/>
                <w:sz w:val="14"/>
              </w:rPr>
              <w:t>.</w:t>
            </w:r>
          </w:p>
        </w:tc>
        <w:tc>
          <w:tcPr>
            <w:tcW w:w="8621" w:type="dxa"/>
          </w:tcPr>
          <w:p>
            <w:pPr>
              <w:pStyle w:val="TableParagraph"/>
              <w:spacing w:before="114"/>
              <w:jc w:val="left"/>
              <w:rPr>
                <w:sz w:val="20"/>
              </w:rPr>
            </w:pPr>
            <w:r>
              <w:rPr>
                <w:rFonts w:ascii="Arial"/>
                <w:i/>
                <w:sz w:val="20"/>
              </w:rPr>
              <w:t>[1995]</w:t>
            </w:r>
            <w:r>
              <w:rPr>
                <w:rFonts w:ascii="Arial"/>
                <w:i/>
                <w:spacing w:val="-2"/>
                <w:sz w:val="20"/>
              </w:rPr>
              <w:t> </w:t>
            </w:r>
            <w:r>
              <w:rPr>
                <w:rFonts w:ascii="Arial"/>
                <w:i/>
                <w:sz w:val="20"/>
              </w:rPr>
              <w:t>49 Con. L.R. 99, </w:t>
            </w:r>
            <w:r>
              <w:rPr>
                <w:rFonts w:ascii="Arial"/>
                <w:i/>
                <w:spacing w:val="-4"/>
                <w:sz w:val="20"/>
              </w:rPr>
              <w:t>114</w:t>
            </w:r>
            <w:r>
              <w:rPr>
                <w:spacing w:val="-4"/>
                <w:sz w:val="20"/>
              </w:rPr>
              <w:t>.</w:t>
            </w:r>
          </w:p>
        </w:tc>
      </w:tr>
      <w:tr>
        <w:trPr>
          <w:trHeight w:val="465" w:hRule="atLeast"/>
        </w:trPr>
        <w:tc>
          <w:tcPr>
            <w:tcW w:w="496" w:type="dxa"/>
          </w:tcPr>
          <w:p>
            <w:pPr>
              <w:pStyle w:val="TableParagraph"/>
              <w:ind w:left="0" w:right="43"/>
              <w:rPr>
                <w:sz w:val="14"/>
              </w:rPr>
            </w:pPr>
            <w:bookmarkStart w:name="_bookmark1984" w:id="1986"/>
            <w:bookmarkEnd w:id="1986"/>
            <w:r>
              <w:rPr/>
            </w:r>
            <w:hyperlink w:history="true" w:anchor="_bookmark1846">
              <w:r>
                <w:rPr>
                  <w:color w:val="005DA1"/>
                  <w:spacing w:val="-2"/>
                  <w:sz w:val="14"/>
                  <w:u w:val="single" w:color="005DA1"/>
                </w:rPr>
                <w:t>1297</w:t>
              </w:r>
            </w:hyperlink>
            <w:r>
              <w:rPr>
                <w:spacing w:val="-2"/>
                <w:sz w:val="14"/>
              </w:rPr>
              <w:t>.</w:t>
            </w:r>
          </w:p>
        </w:tc>
        <w:tc>
          <w:tcPr>
            <w:tcW w:w="8621" w:type="dxa"/>
          </w:tcPr>
          <w:p>
            <w:pPr>
              <w:pStyle w:val="TableParagraph"/>
              <w:spacing w:before="114"/>
              <w:jc w:val="left"/>
              <w:rPr>
                <w:sz w:val="20"/>
              </w:rPr>
            </w:pPr>
            <w:r>
              <w:rPr>
                <w:sz w:val="20"/>
              </w:rPr>
              <w:t>cf.</w:t>
            </w:r>
            <w:r>
              <w:rPr>
                <w:spacing w:val="-2"/>
                <w:sz w:val="20"/>
              </w:rPr>
              <w:t> </w:t>
            </w:r>
            <w:r>
              <w:rPr>
                <w:rFonts w:ascii="Arial" w:hAnsi="Arial"/>
                <w:i/>
                <w:sz w:val="20"/>
              </w:rPr>
              <w:t>Tesco Stores Ltd v The Norman Hitchcox Partnership Ltd [1998] 56 Con. L.R. 52, </w:t>
            </w:r>
            <w:r>
              <w:rPr>
                <w:rFonts w:ascii="Arial" w:hAnsi="Arial"/>
                <w:i/>
                <w:spacing w:val="-2"/>
                <w:sz w:val="20"/>
              </w:rPr>
              <w:t>163–165</w:t>
            </w:r>
            <w:r>
              <w:rPr>
                <w:spacing w:val="-2"/>
                <w:sz w:val="20"/>
              </w:rPr>
              <w:t>.</w:t>
            </w:r>
          </w:p>
        </w:tc>
      </w:tr>
      <w:tr>
        <w:trPr>
          <w:trHeight w:val="465" w:hRule="atLeast"/>
        </w:trPr>
        <w:tc>
          <w:tcPr>
            <w:tcW w:w="496" w:type="dxa"/>
          </w:tcPr>
          <w:p>
            <w:pPr>
              <w:pStyle w:val="TableParagraph"/>
              <w:ind w:left="0" w:right="43"/>
              <w:rPr>
                <w:sz w:val="14"/>
              </w:rPr>
            </w:pPr>
            <w:bookmarkStart w:name="_bookmark1985" w:id="1987"/>
            <w:bookmarkEnd w:id="1987"/>
            <w:r>
              <w:rPr/>
            </w:r>
            <w:hyperlink w:history="true" w:anchor="_bookmark1847">
              <w:r>
                <w:rPr>
                  <w:color w:val="005DA1"/>
                  <w:spacing w:val="-2"/>
                  <w:sz w:val="14"/>
                  <w:u w:val="single" w:color="005DA1"/>
                </w:rPr>
                <w:t>1298</w:t>
              </w:r>
            </w:hyperlink>
            <w:r>
              <w:rPr>
                <w:spacing w:val="-2"/>
                <w:sz w:val="14"/>
              </w:rPr>
              <w:t>.</w:t>
            </w:r>
          </w:p>
        </w:tc>
        <w:tc>
          <w:tcPr>
            <w:tcW w:w="8621" w:type="dxa"/>
          </w:tcPr>
          <w:p>
            <w:pPr>
              <w:pStyle w:val="TableParagraph"/>
              <w:spacing w:before="114"/>
              <w:jc w:val="left"/>
              <w:rPr>
                <w:sz w:val="20"/>
              </w:rPr>
            </w:pPr>
            <w:r>
              <w:rPr>
                <w:rFonts w:ascii="Arial" w:hAnsi="Arial"/>
                <w:i/>
                <w:sz w:val="20"/>
              </w:rPr>
              <w:t>[2000] I.R.L.R. 499</w:t>
            </w:r>
            <w:r>
              <w:rPr>
                <w:rFonts w:ascii="Arial" w:hAnsi="Arial"/>
                <w:i/>
                <w:spacing w:val="-1"/>
                <w:sz w:val="20"/>
              </w:rPr>
              <w:t> </w:t>
            </w:r>
            <w:r>
              <w:rPr>
                <w:sz w:val="20"/>
              </w:rPr>
              <w:t>at </w:t>
            </w:r>
            <w:r>
              <w:rPr>
                <w:spacing w:val="-2"/>
                <w:sz w:val="20"/>
              </w:rPr>
              <w:t>[21]–[23].</w:t>
            </w:r>
          </w:p>
        </w:tc>
      </w:tr>
      <w:tr>
        <w:trPr>
          <w:trHeight w:val="690" w:hRule="atLeast"/>
        </w:trPr>
        <w:tc>
          <w:tcPr>
            <w:tcW w:w="496" w:type="dxa"/>
          </w:tcPr>
          <w:p>
            <w:pPr>
              <w:pStyle w:val="TableParagraph"/>
              <w:ind w:left="0" w:right="43"/>
              <w:rPr>
                <w:sz w:val="14"/>
              </w:rPr>
            </w:pPr>
            <w:bookmarkStart w:name="_bookmark1986" w:id="1988"/>
            <w:bookmarkEnd w:id="1988"/>
            <w:r>
              <w:rPr/>
            </w:r>
            <w:hyperlink w:history="true" w:anchor="_bookmark1848">
              <w:r>
                <w:rPr>
                  <w:color w:val="005DA1"/>
                  <w:spacing w:val="-2"/>
                  <w:sz w:val="14"/>
                  <w:u w:val="single" w:color="005DA1"/>
                </w:rPr>
                <w:t>1299</w:t>
              </w:r>
            </w:hyperlink>
            <w:r>
              <w:rPr>
                <w:spacing w:val="-2"/>
                <w:sz w:val="14"/>
              </w:rPr>
              <w:t>.</w:t>
            </w:r>
          </w:p>
        </w:tc>
        <w:tc>
          <w:tcPr>
            <w:tcW w:w="8621" w:type="dxa"/>
          </w:tcPr>
          <w:p>
            <w:pPr>
              <w:pStyle w:val="TableParagraph"/>
              <w:spacing w:line="227" w:lineRule="exact" w:before="114"/>
              <w:jc w:val="left"/>
              <w:rPr>
                <w:rFonts w:ascii="Arial"/>
                <w:i/>
                <w:sz w:val="20"/>
              </w:rPr>
            </w:pPr>
            <w:r>
              <w:rPr>
                <w:sz w:val="20"/>
              </w:rPr>
              <w:t>See</w:t>
            </w:r>
            <w:r>
              <w:rPr>
                <w:spacing w:val="45"/>
                <w:sz w:val="20"/>
              </w:rPr>
              <w:t> </w:t>
            </w:r>
            <w:r>
              <w:rPr>
                <w:sz w:val="20"/>
              </w:rPr>
              <w:t>similarly</w:t>
            </w:r>
            <w:r>
              <w:rPr>
                <w:spacing w:val="44"/>
                <w:sz w:val="20"/>
              </w:rPr>
              <w:t> </w:t>
            </w:r>
            <w:r>
              <w:rPr>
                <w:rFonts w:ascii="Arial"/>
                <w:i/>
                <w:sz w:val="20"/>
              </w:rPr>
              <w:t>Freemont</w:t>
            </w:r>
            <w:r>
              <w:rPr>
                <w:rFonts w:ascii="Arial"/>
                <w:i/>
                <w:spacing w:val="45"/>
                <w:sz w:val="20"/>
              </w:rPr>
              <w:t> </w:t>
            </w:r>
            <w:r>
              <w:rPr>
                <w:rFonts w:ascii="Arial"/>
                <w:i/>
                <w:sz w:val="20"/>
              </w:rPr>
              <w:t>(Denbigh)</w:t>
            </w:r>
            <w:r>
              <w:rPr>
                <w:rFonts w:ascii="Arial"/>
                <w:i/>
                <w:spacing w:val="45"/>
                <w:sz w:val="20"/>
              </w:rPr>
              <w:t> </w:t>
            </w:r>
            <w:r>
              <w:rPr>
                <w:rFonts w:ascii="Arial"/>
                <w:i/>
                <w:sz w:val="20"/>
              </w:rPr>
              <w:t>Ltd</w:t>
            </w:r>
            <w:r>
              <w:rPr>
                <w:rFonts w:ascii="Arial"/>
                <w:i/>
                <w:spacing w:val="45"/>
                <w:sz w:val="20"/>
              </w:rPr>
              <w:t> </w:t>
            </w:r>
            <w:r>
              <w:rPr>
                <w:rFonts w:ascii="Arial"/>
                <w:i/>
                <w:sz w:val="20"/>
              </w:rPr>
              <w:t>v</w:t>
            </w:r>
            <w:r>
              <w:rPr>
                <w:rFonts w:ascii="Arial"/>
                <w:i/>
                <w:spacing w:val="45"/>
                <w:sz w:val="20"/>
              </w:rPr>
              <w:t> </w:t>
            </w:r>
            <w:r>
              <w:rPr>
                <w:rFonts w:ascii="Arial"/>
                <w:i/>
                <w:sz w:val="20"/>
              </w:rPr>
              <w:t>Knight</w:t>
            </w:r>
            <w:r>
              <w:rPr>
                <w:rFonts w:ascii="Arial"/>
                <w:i/>
                <w:spacing w:val="45"/>
                <w:sz w:val="20"/>
              </w:rPr>
              <w:t> </w:t>
            </w:r>
            <w:r>
              <w:rPr>
                <w:rFonts w:ascii="Arial"/>
                <w:i/>
                <w:sz w:val="20"/>
              </w:rPr>
              <w:t>Frank</w:t>
            </w:r>
            <w:r>
              <w:rPr>
                <w:rFonts w:ascii="Arial"/>
                <w:i/>
                <w:spacing w:val="45"/>
                <w:sz w:val="20"/>
              </w:rPr>
              <w:t> </w:t>
            </w:r>
            <w:r>
              <w:rPr>
                <w:rFonts w:ascii="Arial"/>
                <w:i/>
                <w:sz w:val="20"/>
              </w:rPr>
              <w:t>Ltd</w:t>
            </w:r>
            <w:r>
              <w:rPr>
                <w:rFonts w:ascii="Arial"/>
                <w:i/>
                <w:spacing w:val="45"/>
                <w:sz w:val="20"/>
              </w:rPr>
              <w:t> </w:t>
            </w:r>
            <w:r>
              <w:rPr>
                <w:rFonts w:ascii="Arial"/>
                <w:i/>
                <w:sz w:val="20"/>
              </w:rPr>
              <w:t>[2014]</w:t>
            </w:r>
            <w:r>
              <w:rPr>
                <w:rFonts w:ascii="Arial"/>
                <w:i/>
                <w:spacing w:val="45"/>
                <w:sz w:val="20"/>
              </w:rPr>
              <w:t> </w:t>
            </w:r>
            <w:r>
              <w:rPr>
                <w:rFonts w:ascii="Arial"/>
                <w:i/>
                <w:sz w:val="20"/>
              </w:rPr>
              <w:t>EWHC</w:t>
            </w:r>
            <w:r>
              <w:rPr>
                <w:rFonts w:ascii="Arial"/>
                <w:i/>
                <w:spacing w:val="45"/>
                <w:sz w:val="20"/>
              </w:rPr>
              <w:t> </w:t>
            </w:r>
            <w:r>
              <w:rPr>
                <w:rFonts w:ascii="Arial"/>
                <w:i/>
                <w:sz w:val="20"/>
              </w:rPr>
              <w:t>3347</w:t>
            </w:r>
            <w:r>
              <w:rPr>
                <w:rFonts w:ascii="Arial"/>
                <w:i/>
                <w:spacing w:val="45"/>
                <w:sz w:val="20"/>
              </w:rPr>
              <w:t> </w:t>
            </w:r>
            <w:r>
              <w:rPr>
                <w:rFonts w:ascii="Arial"/>
                <w:i/>
                <w:sz w:val="20"/>
              </w:rPr>
              <w:t>(Ch),</w:t>
            </w:r>
            <w:r>
              <w:rPr>
                <w:rFonts w:ascii="Arial"/>
                <w:i/>
                <w:spacing w:val="45"/>
                <w:sz w:val="20"/>
              </w:rPr>
              <w:t> </w:t>
            </w:r>
            <w:r>
              <w:rPr>
                <w:rFonts w:ascii="Arial"/>
                <w:i/>
                <w:spacing w:val="-2"/>
                <w:sz w:val="20"/>
              </w:rPr>
              <w:t>[2015]</w:t>
            </w:r>
          </w:p>
          <w:p>
            <w:pPr>
              <w:pStyle w:val="TableParagraph"/>
              <w:spacing w:line="227" w:lineRule="exact" w:before="0"/>
              <w:jc w:val="left"/>
              <w:rPr>
                <w:sz w:val="20"/>
              </w:rPr>
            </w:pPr>
            <w:r>
              <w:rPr>
                <w:rFonts w:ascii="Arial" w:hAnsi="Arial"/>
                <w:i/>
                <w:sz w:val="20"/>
              </w:rPr>
              <w:t>P.N.L.R. </w:t>
            </w:r>
            <w:r>
              <w:rPr>
                <w:sz w:val="20"/>
              </w:rPr>
              <w:t>[34], [148]–[149] (surveyor’s restricted contractual duty limiting any duty of care in </w:t>
            </w:r>
            <w:r>
              <w:rPr>
                <w:spacing w:val="-2"/>
                <w:sz w:val="20"/>
              </w:rPr>
              <w:t>tort).</w:t>
            </w:r>
          </w:p>
        </w:tc>
      </w:tr>
      <w:tr>
        <w:trPr>
          <w:trHeight w:val="344" w:hRule="atLeast"/>
        </w:trPr>
        <w:tc>
          <w:tcPr>
            <w:tcW w:w="496" w:type="dxa"/>
          </w:tcPr>
          <w:p>
            <w:pPr>
              <w:pStyle w:val="TableParagraph"/>
              <w:ind w:left="0" w:right="43"/>
              <w:rPr>
                <w:sz w:val="14"/>
              </w:rPr>
            </w:pPr>
            <w:bookmarkStart w:name="_bookmark1987" w:id="1989"/>
            <w:bookmarkEnd w:id="1989"/>
            <w:r>
              <w:rPr/>
            </w:r>
            <w:hyperlink w:history="true" w:anchor="_bookmark1849">
              <w:r>
                <w:rPr>
                  <w:color w:val="005DA1"/>
                  <w:spacing w:val="-2"/>
                  <w:sz w:val="14"/>
                  <w:u w:val="single" w:color="005DA1"/>
                </w:rPr>
                <w:t>1300</w:t>
              </w:r>
            </w:hyperlink>
            <w:r>
              <w:rPr>
                <w:spacing w:val="-2"/>
                <w:sz w:val="14"/>
              </w:rPr>
              <w:t>.</w:t>
            </w:r>
          </w:p>
        </w:tc>
        <w:tc>
          <w:tcPr>
            <w:tcW w:w="8621" w:type="dxa"/>
          </w:tcPr>
          <w:p>
            <w:pPr>
              <w:pStyle w:val="TableParagraph"/>
              <w:spacing w:line="210" w:lineRule="exact" w:before="114"/>
              <w:jc w:val="left"/>
              <w:rPr>
                <w:sz w:val="20"/>
              </w:rPr>
            </w:pPr>
            <w:r>
              <w:rPr>
                <w:rFonts w:ascii="Arial"/>
                <w:i/>
                <w:sz w:val="20"/>
              </w:rPr>
              <w:t>[2014] EWHC 3957 (QB), [2015] P.I.Q.R. P10</w:t>
            </w:r>
            <w:r>
              <w:rPr>
                <w:rFonts w:ascii="Arial"/>
                <w:i/>
                <w:spacing w:val="-1"/>
                <w:sz w:val="20"/>
              </w:rPr>
              <w:t> </w:t>
            </w:r>
            <w:r>
              <w:rPr>
                <w:sz w:val="20"/>
              </w:rPr>
              <w:t>(appeal </w:t>
            </w:r>
            <w:r>
              <w:rPr>
                <w:spacing w:val="-2"/>
                <w:sz w:val="20"/>
              </w:rPr>
              <w:t>pending).</w:t>
            </w:r>
          </w:p>
        </w:tc>
      </w:tr>
    </w:tbl>
    <w:p>
      <w:pPr>
        <w:pStyle w:val="TableParagraph"/>
        <w:spacing w:after="0" w:line="210" w:lineRule="exact"/>
        <w:jc w:val="left"/>
        <w:rPr>
          <w:sz w:val="20"/>
        </w:rPr>
        <w:sectPr>
          <w:pgSz w:w="11900" w:h="16840"/>
          <w:pgMar w:header="971" w:footer="0" w:top="1300" w:bottom="280" w:left="1275" w:right="1275"/>
        </w:sectPr>
      </w:pPr>
    </w:p>
    <w:p>
      <w:pPr>
        <w:pStyle w:val="BodyText"/>
        <w:spacing w:after="1"/>
        <w:rPr>
          <w:rFonts w:ascii="Arial"/>
          <w:i/>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569" w:hRule="atLeast"/>
        </w:trPr>
        <w:tc>
          <w:tcPr>
            <w:tcW w:w="496" w:type="dxa"/>
          </w:tcPr>
          <w:p>
            <w:pPr>
              <w:pStyle w:val="TableParagraph"/>
              <w:spacing w:before="0"/>
              <w:ind w:left="0" w:right="43"/>
              <w:rPr>
                <w:sz w:val="14"/>
              </w:rPr>
            </w:pPr>
            <w:hyperlink w:history="true" w:anchor="_bookmark1850">
              <w:r>
                <w:rPr>
                  <w:color w:val="005DA1"/>
                  <w:spacing w:val="-2"/>
                  <w:sz w:val="14"/>
                  <w:u w:val="single" w:color="005DA1"/>
                </w:rPr>
                <w:t>1301</w:t>
              </w:r>
            </w:hyperlink>
            <w:r>
              <w:rPr>
                <w:spacing w:val="-2"/>
                <w:sz w:val="14"/>
              </w:rPr>
              <w:t>.</w:t>
            </w:r>
          </w:p>
        </w:tc>
        <w:tc>
          <w:tcPr>
            <w:tcW w:w="8620" w:type="dxa"/>
          </w:tcPr>
          <w:p>
            <w:pPr>
              <w:pStyle w:val="TableParagraph"/>
              <w:spacing w:line="221" w:lineRule="exact" w:before="0"/>
              <w:jc w:val="left"/>
              <w:rPr>
                <w:rFonts w:ascii="Arial" w:hAnsi="Arial"/>
                <w:i/>
                <w:sz w:val="20"/>
              </w:rPr>
            </w:pPr>
            <w:r>
              <w:rPr>
                <w:rFonts w:ascii="Arial" w:hAnsi="Arial"/>
                <w:i/>
                <w:sz w:val="20"/>
              </w:rPr>
              <w:t>[2014] EWHC</w:t>
            </w:r>
            <w:r>
              <w:rPr>
                <w:rFonts w:ascii="Arial" w:hAnsi="Arial"/>
                <w:i/>
                <w:spacing w:val="1"/>
                <w:sz w:val="20"/>
              </w:rPr>
              <w:t> </w:t>
            </w:r>
            <w:r>
              <w:rPr>
                <w:rFonts w:ascii="Arial" w:hAnsi="Arial"/>
                <w:i/>
                <w:sz w:val="20"/>
              </w:rPr>
              <w:t>3957</w:t>
            </w:r>
            <w:r>
              <w:rPr>
                <w:rFonts w:ascii="Arial" w:hAnsi="Arial"/>
                <w:i/>
                <w:spacing w:val="1"/>
                <w:sz w:val="20"/>
              </w:rPr>
              <w:t> </w:t>
            </w:r>
            <w:r>
              <w:rPr>
                <w:rFonts w:ascii="Arial" w:hAnsi="Arial"/>
                <w:i/>
                <w:sz w:val="20"/>
              </w:rPr>
              <w:t>(QB)</w:t>
            </w:r>
            <w:r>
              <w:rPr>
                <w:rFonts w:ascii="Arial" w:hAnsi="Arial"/>
                <w:i/>
                <w:spacing w:val="1"/>
                <w:sz w:val="20"/>
              </w:rPr>
              <w:t> </w:t>
            </w:r>
            <w:r>
              <w:rPr>
                <w:sz w:val="20"/>
              </w:rPr>
              <w:t>at</w:t>
            </w:r>
            <w:r>
              <w:rPr>
                <w:spacing w:val="1"/>
                <w:sz w:val="20"/>
              </w:rPr>
              <w:t> </w:t>
            </w:r>
            <w:r>
              <w:rPr>
                <w:sz w:val="20"/>
              </w:rPr>
              <w:t>[32]–[33],</w:t>
            </w:r>
            <w:r>
              <w:rPr>
                <w:spacing w:val="1"/>
                <w:sz w:val="20"/>
              </w:rPr>
              <w:t> </w:t>
            </w:r>
            <w:r>
              <w:rPr>
                <w:sz w:val="20"/>
              </w:rPr>
              <w:t>applying</w:t>
            </w:r>
            <w:r>
              <w:rPr>
                <w:spacing w:val="1"/>
                <w:sz w:val="20"/>
              </w:rPr>
              <w:t> </w:t>
            </w:r>
            <w:r>
              <w:rPr>
                <w:rFonts w:ascii="Arial" w:hAnsi="Arial"/>
                <w:i/>
                <w:sz w:val="20"/>
              </w:rPr>
              <w:t>Cartledge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E.</w:t>
            </w:r>
            <w:r>
              <w:rPr>
                <w:rFonts w:ascii="Arial" w:hAnsi="Arial"/>
                <w:i/>
                <w:spacing w:val="1"/>
                <w:sz w:val="20"/>
              </w:rPr>
              <w:t> </w:t>
            </w:r>
            <w:r>
              <w:rPr>
                <w:rFonts w:ascii="Arial" w:hAnsi="Arial"/>
                <w:i/>
                <w:sz w:val="20"/>
              </w:rPr>
              <w:t>Jopling</w:t>
            </w:r>
            <w:r>
              <w:rPr>
                <w:rFonts w:ascii="Arial" w:hAnsi="Arial"/>
                <w:i/>
                <w:spacing w:val="1"/>
                <w:sz w:val="20"/>
              </w:rPr>
              <w:t> </w:t>
            </w:r>
            <w:r>
              <w:rPr>
                <w:rFonts w:ascii="Arial" w:hAnsi="Arial"/>
                <w:i/>
                <w:sz w:val="20"/>
              </w:rPr>
              <w:t>[1963]</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758</w:t>
            </w:r>
            <w:r>
              <w:rPr>
                <w:sz w:val="20"/>
              </w:rPr>
              <w:t>;</w:t>
            </w:r>
            <w:r>
              <w:rPr>
                <w:spacing w:val="1"/>
                <w:sz w:val="20"/>
              </w:rPr>
              <w:t> </w:t>
            </w:r>
            <w:r>
              <w:rPr>
                <w:rFonts w:ascii="Arial" w:hAnsi="Arial"/>
                <w:i/>
                <w:spacing w:val="-2"/>
                <w:sz w:val="20"/>
              </w:rPr>
              <w:t>Rothwell</w:t>
            </w:r>
          </w:p>
          <w:p>
            <w:pPr>
              <w:pStyle w:val="TableParagraph"/>
              <w:spacing w:line="227" w:lineRule="exact" w:before="0"/>
              <w:jc w:val="left"/>
              <w:rPr>
                <w:sz w:val="20"/>
              </w:rPr>
            </w:pPr>
            <w:r>
              <w:rPr>
                <w:rFonts w:ascii="Arial"/>
                <w:i/>
                <w:sz w:val="20"/>
              </w:rPr>
              <w:t>v Chemical and Insulating Co Ltd [2007] UKHL 39, [2008] 1 A.C. </w:t>
            </w:r>
            <w:r>
              <w:rPr>
                <w:rFonts w:ascii="Arial"/>
                <w:i/>
                <w:spacing w:val="-4"/>
                <w:sz w:val="20"/>
              </w:rPr>
              <w:t>281</w:t>
            </w:r>
            <w:r>
              <w:rPr>
                <w:spacing w:val="-4"/>
                <w:sz w:val="20"/>
              </w:rPr>
              <w:t>.</w:t>
            </w:r>
          </w:p>
        </w:tc>
      </w:tr>
      <w:tr>
        <w:trPr>
          <w:trHeight w:val="465" w:hRule="atLeast"/>
        </w:trPr>
        <w:tc>
          <w:tcPr>
            <w:tcW w:w="496" w:type="dxa"/>
          </w:tcPr>
          <w:p>
            <w:pPr>
              <w:pStyle w:val="TableParagraph"/>
              <w:ind w:left="0" w:right="43"/>
              <w:rPr>
                <w:sz w:val="14"/>
              </w:rPr>
            </w:pPr>
            <w:bookmarkStart w:name="_bookmark1988" w:id="1990"/>
            <w:bookmarkEnd w:id="1990"/>
            <w:r>
              <w:rPr/>
            </w:r>
            <w:hyperlink w:history="true" w:anchor="_bookmark1851">
              <w:r>
                <w:rPr>
                  <w:color w:val="005DA1"/>
                  <w:spacing w:val="-2"/>
                  <w:sz w:val="14"/>
                  <w:u w:val="single" w:color="005DA1"/>
                </w:rPr>
                <w:t>1302</w:t>
              </w:r>
            </w:hyperlink>
            <w:r>
              <w:rPr>
                <w:spacing w:val="-2"/>
                <w:sz w:val="14"/>
              </w:rPr>
              <w:t>.</w:t>
            </w:r>
          </w:p>
        </w:tc>
        <w:tc>
          <w:tcPr>
            <w:tcW w:w="8620" w:type="dxa"/>
          </w:tcPr>
          <w:p>
            <w:pPr>
              <w:pStyle w:val="TableParagraph"/>
              <w:spacing w:before="114"/>
              <w:jc w:val="left"/>
              <w:rPr>
                <w:sz w:val="20"/>
              </w:rPr>
            </w:pPr>
            <w:r>
              <w:rPr>
                <w:rFonts w:ascii="Arial"/>
                <w:i/>
                <w:sz w:val="20"/>
              </w:rPr>
              <w:t>[2014] EWHC 3957 (QB)</w:t>
            </w:r>
            <w:r>
              <w:rPr>
                <w:rFonts w:ascii="Arial"/>
                <w:i/>
                <w:spacing w:val="-1"/>
                <w:sz w:val="20"/>
              </w:rPr>
              <w:t> </w:t>
            </w:r>
            <w:r>
              <w:rPr>
                <w:sz w:val="20"/>
              </w:rPr>
              <w:t>at [38] and [46] per Jay </w:t>
            </w:r>
            <w:r>
              <w:rPr>
                <w:spacing w:val="-5"/>
                <w:sz w:val="20"/>
              </w:rPr>
              <w:t>J.</w:t>
            </w:r>
          </w:p>
        </w:tc>
      </w:tr>
      <w:tr>
        <w:trPr>
          <w:trHeight w:val="690" w:hRule="atLeast"/>
        </w:trPr>
        <w:tc>
          <w:tcPr>
            <w:tcW w:w="496" w:type="dxa"/>
          </w:tcPr>
          <w:p>
            <w:pPr>
              <w:pStyle w:val="TableParagraph"/>
              <w:ind w:left="0" w:right="43"/>
              <w:rPr>
                <w:sz w:val="14"/>
              </w:rPr>
            </w:pPr>
            <w:bookmarkStart w:name="_bookmark1989" w:id="1991"/>
            <w:bookmarkEnd w:id="1991"/>
            <w:r>
              <w:rPr/>
            </w:r>
            <w:hyperlink w:history="true" w:anchor="_bookmark1852">
              <w:r>
                <w:rPr>
                  <w:color w:val="005DA1"/>
                  <w:spacing w:val="-2"/>
                  <w:sz w:val="14"/>
                  <w:u w:val="single" w:color="005DA1"/>
                </w:rPr>
                <w:t>1303</w:t>
              </w:r>
            </w:hyperlink>
            <w:r>
              <w:rPr>
                <w:spacing w:val="-2"/>
                <w:sz w:val="14"/>
              </w:rPr>
              <w:t>.</w:t>
            </w:r>
          </w:p>
        </w:tc>
        <w:tc>
          <w:tcPr>
            <w:tcW w:w="8620" w:type="dxa"/>
          </w:tcPr>
          <w:p>
            <w:pPr>
              <w:pStyle w:val="TableParagraph"/>
              <w:spacing w:line="235" w:lineRule="auto" w:before="118"/>
              <w:jc w:val="left"/>
              <w:rPr>
                <w:sz w:val="20"/>
              </w:rPr>
            </w:pPr>
            <w:r>
              <w:rPr>
                <w:rFonts w:ascii="Arial" w:hAnsi="Arial"/>
                <w:i/>
                <w:sz w:val="20"/>
              </w:rPr>
              <w:t>[2014]</w:t>
            </w:r>
            <w:r>
              <w:rPr>
                <w:rFonts w:ascii="Arial" w:hAnsi="Arial"/>
                <w:i/>
                <w:spacing w:val="37"/>
                <w:sz w:val="20"/>
              </w:rPr>
              <w:t> </w:t>
            </w:r>
            <w:r>
              <w:rPr>
                <w:rFonts w:ascii="Arial" w:hAnsi="Arial"/>
                <w:i/>
                <w:sz w:val="20"/>
              </w:rPr>
              <w:t>EWHC</w:t>
            </w:r>
            <w:r>
              <w:rPr>
                <w:rFonts w:ascii="Arial" w:hAnsi="Arial"/>
                <w:i/>
                <w:spacing w:val="37"/>
                <w:sz w:val="20"/>
              </w:rPr>
              <w:t> </w:t>
            </w:r>
            <w:r>
              <w:rPr>
                <w:rFonts w:ascii="Arial" w:hAnsi="Arial"/>
                <w:i/>
                <w:sz w:val="20"/>
              </w:rPr>
              <w:t>3957</w:t>
            </w:r>
            <w:r>
              <w:rPr>
                <w:rFonts w:ascii="Arial" w:hAnsi="Arial"/>
                <w:i/>
                <w:spacing w:val="37"/>
                <w:sz w:val="20"/>
              </w:rPr>
              <w:t> </w:t>
            </w:r>
            <w:r>
              <w:rPr>
                <w:rFonts w:ascii="Arial" w:hAnsi="Arial"/>
                <w:i/>
                <w:sz w:val="20"/>
              </w:rPr>
              <w:t>(QB)</w:t>
            </w:r>
            <w:r>
              <w:rPr>
                <w:rFonts w:ascii="Arial" w:hAnsi="Arial"/>
                <w:i/>
                <w:spacing w:val="37"/>
                <w:sz w:val="20"/>
              </w:rPr>
              <w:t> </w:t>
            </w:r>
            <w:r>
              <w:rPr>
                <w:sz w:val="20"/>
              </w:rPr>
              <w:t>at</w:t>
            </w:r>
            <w:r>
              <w:rPr>
                <w:spacing w:val="37"/>
                <w:sz w:val="20"/>
              </w:rPr>
              <w:t> </w:t>
            </w:r>
            <w:r>
              <w:rPr>
                <w:sz w:val="20"/>
              </w:rPr>
              <w:t>[47],</w:t>
            </w:r>
            <w:r>
              <w:rPr>
                <w:spacing w:val="37"/>
                <w:sz w:val="20"/>
              </w:rPr>
              <w:t> </w:t>
            </w:r>
            <w:r>
              <w:rPr>
                <w:sz w:val="20"/>
              </w:rPr>
              <w:t>applying</w:t>
            </w:r>
            <w:r>
              <w:rPr>
                <w:spacing w:val="37"/>
                <w:sz w:val="20"/>
              </w:rPr>
              <w:t> </w:t>
            </w:r>
            <w:r>
              <w:rPr>
                <w:sz w:val="20"/>
              </w:rPr>
              <w:t>the</w:t>
            </w:r>
            <w:r>
              <w:rPr>
                <w:spacing w:val="37"/>
                <w:sz w:val="20"/>
              </w:rPr>
              <w:t> </w:t>
            </w:r>
            <w:r>
              <w:rPr>
                <w:sz w:val="20"/>
              </w:rPr>
              <w:t>approach</w:t>
            </w:r>
            <w:r>
              <w:rPr>
                <w:spacing w:val="37"/>
                <w:sz w:val="20"/>
              </w:rPr>
              <w:t> </w:t>
            </w:r>
            <w:r>
              <w:rPr>
                <w:sz w:val="20"/>
              </w:rPr>
              <w:t>to</w:t>
            </w:r>
            <w:r>
              <w:rPr>
                <w:spacing w:val="37"/>
                <w:sz w:val="20"/>
              </w:rPr>
              <w:t> </w:t>
            </w:r>
            <w:r>
              <w:rPr>
                <w:sz w:val="20"/>
              </w:rPr>
              <w:t>the</w:t>
            </w:r>
            <w:r>
              <w:rPr>
                <w:spacing w:val="37"/>
                <w:sz w:val="20"/>
              </w:rPr>
              <w:t> </w:t>
            </w:r>
            <w:r>
              <w:rPr>
                <w:sz w:val="20"/>
              </w:rPr>
              <w:t>“scope</w:t>
            </w:r>
            <w:r>
              <w:rPr>
                <w:spacing w:val="37"/>
                <w:sz w:val="20"/>
              </w:rPr>
              <w:t> </w:t>
            </w:r>
            <w:r>
              <w:rPr>
                <w:sz w:val="20"/>
              </w:rPr>
              <w:t>of</w:t>
            </w:r>
            <w:r>
              <w:rPr>
                <w:spacing w:val="37"/>
                <w:sz w:val="20"/>
              </w:rPr>
              <w:t> </w:t>
            </w:r>
            <w:r>
              <w:rPr>
                <w:sz w:val="20"/>
              </w:rPr>
              <w:t>the</w:t>
            </w:r>
            <w:r>
              <w:rPr>
                <w:spacing w:val="37"/>
                <w:sz w:val="20"/>
              </w:rPr>
              <w:t> </w:t>
            </w:r>
            <w:r>
              <w:rPr>
                <w:sz w:val="20"/>
              </w:rPr>
              <w:t>duty”</w:t>
            </w:r>
            <w:r>
              <w:rPr>
                <w:spacing w:val="37"/>
                <w:sz w:val="20"/>
              </w:rPr>
              <w:t> </w:t>
            </w:r>
            <w:r>
              <w:rPr>
                <w:sz w:val="20"/>
              </w:rPr>
              <w:t>of</w:t>
            </w:r>
            <w:r>
              <w:rPr>
                <w:spacing w:val="37"/>
                <w:sz w:val="20"/>
              </w:rPr>
              <w:t> </w:t>
            </w:r>
            <w:r>
              <w:rPr>
                <w:sz w:val="20"/>
              </w:rPr>
              <w:t>Lord Hoffmann in </w:t>
            </w:r>
            <w:r>
              <w:rPr>
                <w:rFonts w:ascii="Arial" w:hAnsi="Arial"/>
                <w:i/>
                <w:sz w:val="20"/>
              </w:rPr>
              <w:t>SAMCO v York Montague [1997] A.C. 191 </w:t>
            </w:r>
            <w:r>
              <w:rPr>
                <w:sz w:val="20"/>
              </w:rPr>
              <w:t>at 211-212.</w:t>
            </w:r>
          </w:p>
        </w:tc>
      </w:tr>
      <w:tr>
        <w:trPr>
          <w:trHeight w:val="344" w:hRule="atLeast"/>
        </w:trPr>
        <w:tc>
          <w:tcPr>
            <w:tcW w:w="496" w:type="dxa"/>
          </w:tcPr>
          <w:p>
            <w:pPr>
              <w:pStyle w:val="TableParagraph"/>
              <w:ind w:left="0" w:right="43"/>
              <w:rPr>
                <w:sz w:val="14"/>
              </w:rPr>
            </w:pPr>
            <w:bookmarkStart w:name="_bookmark1990" w:id="1992"/>
            <w:bookmarkEnd w:id="1992"/>
            <w:r>
              <w:rPr/>
            </w:r>
            <w:hyperlink w:history="true" w:anchor="_bookmark1853">
              <w:r>
                <w:rPr>
                  <w:color w:val="005DA1"/>
                  <w:spacing w:val="-2"/>
                  <w:sz w:val="14"/>
                  <w:u w:val="single" w:color="005DA1"/>
                </w:rPr>
                <w:t>1304</w:t>
              </w:r>
            </w:hyperlink>
            <w:r>
              <w:rPr>
                <w:spacing w:val="-2"/>
                <w:sz w:val="14"/>
              </w:rPr>
              <w:t>.</w:t>
            </w:r>
          </w:p>
        </w:tc>
        <w:tc>
          <w:tcPr>
            <w:tcW w:w="8620" w:type="dxa"/>
          </w:tcPr>
          <w:p>
            <w:pPr>
              <w:pStyle w:val="TableParagraph"/>
              <w:spacing w:line="210" w:lineRule="exact" w:before="114"/>
              <w:jc w:val="left"/>
              <w:rPr>
                <w:sz w:val="20"/>
              </w:rPr>
            </w:pPr>
            <w:r>
              <w:rPr>
                <w:rFonts w:ascii="Arial"/>
                <w:i/>
                <w:sz w:val="20"/>
              </w:rPr>
              <w:t>[2014] EWHC 3957 (QB)</w:t>
            </w:r>
            <w:r>
              <w:rPr>
                <w:rFonts w:ascii="Arial"/>
                <w:i/>
                <w:spacing w:val="-1"/>
                <w:sz w:val="20"/>
              </w:rPr>
              <w:t> </w:t>
            </w:r>
            <w:r>
              <w:rPr>
                <w:sz w:val="20"/>
              </w:rPr>
              <w:t>at [47] per Jay </w:t>
            </w:r>
            <w:r>
              <w:rPr>
                <w:spacing w:val="-5"/>
                <w:sz w:val="20"/>
              </w:rPr>
              <w:t>J.</w:t>
            </w:r>
          </w:p>
        </w:tc>
      </w:tr>
    </w:tbl>
    <w:p>
      <w:pPr>
        <w:pStyle w:val="BodyText"/>
        <w:spacing w:before="125"/>
        <w:rPr>
          <w:rFonts w:ascii="Arial"/>
          <w:i/>
        </w:rPr>
      </w:pPr>
    </w:p>
    <w:p>
      <w:pPr>
        <w:spacing w:before="0"/>
        <w:ind w:left="165" w:right="0" w:firstLine="0"/>
        <w:jc w:val="left"/>
        <w:rPr>
          <w:sz w:val="20"/>
        </w:rPr>
      </w:pPr>
      <w:bookmarkStart w:name="_bookmark1991" w:id="1993"/>
      <w:bookmarkEnd w:id="1993"/>
      <w:r>
        <w:rPr/>
      </w:r>
      <w:hyperlink w:history="true" w:anchor="_bookmark1854">
        <w:r>
          <w:rPr>
            <w:color w:val="005DA1"/>
            <w:sz w:val="20"/>
            <w:u w:val="single" w:color="005DA1"/>
            <w:vertAlign w:val="superscript"/>
          </w:rPr>
          <w:t>1305</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514" name="Image 514"/>
            <wp:cNvGraphicFramePr>
              <a:graphicFrameLocks/>
            </wp:cNvGraphicFramePr>
            <a:graphic>
              <a:graphicData uri="http://schemas.openxmlformats.org/drawingml/2006/picture">
                <pic:pic>
                  <pic:nvPicPr>
                    <pic:cNvPr id="514" name="Image 51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3"/>
          <w:sz w:val="20"/>
          <w:vertAlign w:val="baseline"/>
        </w:rPr>
        <w:t> </w:t>
      </w:r>
      <w:r>
        <w:rPr>
          <w:rFonts w:ascii="Arial"/>
          <w:i/>
          <w:sz w:val="20"/>
          <w:vertAlign w:val="baseline"/>
        </w:rPr>
        <w:t>EWCA</w:t>
      </w:r>
      <w:r>
        <w:rPr>
          <w:rFonts w:ascii="Arial"/>
          <w:i/>
          <w:spacing w:val="1"/>
          <w:sz w:val="20"/>
          <w:vertAlign w:val="baseline"/>
        </w:rPr>
        <w:t> </w:t>
      </w:r>
      <w:r>
        <w:rPr>
          <w:rFonts w:ascii="Arial"/>
          <w:i/>
          <w:sz w:val="20"/>
          <w:vertAlign w:val="baseline"/>
        </w:rPr>
        <w:t>Civ</w:t>
      </w:r>
      <w:r>
        <w:rPr>
          <w:rFonts w:ascii="Arial"/>
          <w:i/>
          <w:spacing w:val="2"/>
          <w:sz w:val="20"/>
          <w:vertAlign w:val="baseline"/>
        </w:rPr>
        <w:t> </w:t>
      </w:r>
      <w:r>
        <w:rPr>
          <w:rFonts w:ascii="Arial"/>
          <w:i/>
          <w:sz w:val="20"/>
          <w:vertAlign w:val="baseline"/>
        </w:rPr>
        <w:t>408,</w:t>
      </w:r>
      <w:r>
        <w:rPr>
          <w:rFonts w:ascii="Arial"/>
          <w:i/>
          <w:spacing w:val="1"/>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1</w:t>
      </w:r>
      <w:r>
        <w:rPr>
          <w:rFonts w:ascii="Arial"/>
          <w:i/>
          <w:spacing w:val="1"/>
          <w:sz w:val="20"/>
          <w:vertAlign w:val="baseline"/>
        </w:rPr>
        <w:t> </w:t>
      </w:r>
      <w:r>
        <w:rPr>
          <w:rFonts w:ascii="Arial"/>
          <w:i/>
          <w:sz w:val="20"/>
          <w:vertAlign w:val="baseline"/>
        </w:rPr>
        <w:t>W.L.R.</w:t>
      </w:r>
      <w:r>
        <w:rPr>
          <w:rFonts w:ascii="Arial"/>
          <w:i/>
          <w:spacing w:val="2"/>
          <w:sz w:val="20"/>
          <w:vertAlign w:val="baseline"/>
        </w:rPr>
        <w:t> </w:t>
      </w:r>
      <w:r>
        <w:rPr>
          <w:rFonts w:ascii="Arial"/>
          <w:i/>
          <w:sz w:val="20"/>
          <w:vertAlign w:val="baseline"/>
        </w:rPr>
        <w:t>4487</w:t>
      </w:r>
      <w:r>
        <w:rPr>
          <w:rFonts w:ascii="Arial"/>
          <w:i/>
          <w:spacing w:val="1"/>
          <w:sz w:val="20"/>
          <w:vertAlign w:val="baseline"/>
        </w:rPr>
        <w:t> </w:t>
      </w:r>
      <w:r>
        <w:rPr>
          <w:rFonts w:ascii="Arial"/>
          <w:i/>
          <w:sz w:val="20"/>
          <w:vertAlign w:val="baseline"/>
        </w:rPr>
        <w:t>(appeal</w:t>
      </w:r>
      <w:r>
        <w:rPr>
          <w:rFonts w:ascii="Arial"/>
          <w:i/>
          <w:spacing w:val="2"/>
          <w:sz w:val="20"/>
          <w:vertAlign w:val="baseline"/>
        </w:rPr>
        <w:t> </w:t>
      </w:r>
      <w:r>
        <w:rPr>
          <w:rFonts w:ascii="Arial"/>
          <w:i/>
          <w:sz w:val="20"/>
          <w:vertAlign w:val="baseline"/>
        </w:rPr>
        <w:t>to</w:t>
      </w:r>
      <w:r>
        <w:rPr>
          <w:rFonts w:ascii="Arial"/>
          <w:i/>
          <w:spacing w:val="1"/>
          <w:sz w:val="20"/>
          <w:vertAlign w:val="baseline"/>
        </w:rPr>
        <w:t> </w:t>
      </w:r>
      <w:r>
        <w:rPr>
          <w:rFonts w:ascii="Arial"/>
          <w:i/>
          <w:sz w:val="20"/>
          <w:vertAlign w:val="baseline"/>
        </w:rPr>
        <w:t>SC</w:t>
      </w:r>
      <w:r>
        <w:rPr>
          <w:rFonts w:ascii="Arial"/>
          <w:i/>
          <w:spacing w:val="2"/>
          <w:sz w:val="20"/>
          <w:vertAlign w:val="baseline"/>
        </w:rPr>
        <w:t> </w:t>
      </w:r>
      <w:r>
        <w:rPr>
          <w:rFonts w:ascii="Arial"/>
          <w:i/>
          <w:spacing w:val="-2"/>
          <w:sz w:val="20"/>
          <w:vertAlign w:val="baseline"/>
        </w:rPr>
        <w:t>pending)</w:t>
      </w:r>
      <w:r>
        <w:rPr>
          <w:spacing w:val="-2"/>
          <w:sz w:val="20"/>
          <w:vertAlign w:val="baseline"/>
        </w:rPr>
        <w:t>.</w:t>
      </w:r>
    </w:p>
    <w:p>
      <w:pPr>
        <w:pStyle w:val="BodyText"/>
        <w:spacing w:before="125"/>
      </w:pPr>
    </w:p>
    <w:p>
      <w:pPr>
        <w:spacing w:before="0"/>
        <w:ind w:left="165" w:right="0" w:firstLine="0"/>
        <w:jc w:val="left"/>
        <w:rPr>
          <w:sz w:val="20"/>
        </w:rPr>
      </w:pPr>
      <w:bookmarkStart w:name="_bookmark1992" w:id="1994"/>
      <w:bookmarkEnd w:id="1994"/>
      <w:r>
        <w:rPr/>
      </w:r>
      <w:hyperlink w:history="true" w:anchor="_bookmark1855">
        <w:r>
          <w:rPr>
            <w:color w:val="005DA1"/>
            <w:sz w:val="20"/>
            <w:u w:val="single" w:color="005DA1"/>
            <w:vertAlign w:val="superscript"/>
          </w:rPr>
          <w:t>1306</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515" name="Image 515"/>
            <wp:cNvGraphicFramePr>
              <a:graphicFrameLocks/>
            </wp:cNvGraphicFramePr>
            <a:graphic>
              <a:graphicData uri="http://schemas.openxmlformats.org/drawingml/2006/picture">
                <pic:pic>
                  <pic:nvPicPr>
                    <pic:cNvPr id="515" name="Image 51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[2016]</w:t>
      </w:r>
      <w:r>
        <w:rPr>
          <w:rFonts w:ascii="Arial" w:hAnsi="Arial"/>
          <w:i/>
          <w:spacing w:val="3"/>
          <w:sz w:val="20"/>
          <w:vertAlign w:val="baseline"/>
        </w:rPr>
        <w:t> </w:t>
      </w:r>
      <w:r>
        <w:rPr>
          <w:rFonts w:ascii="Arial" w:hAnsi="Arial"/>
          <w:i/>
          <w:sz w:val="20"/>
          <w:vertAlign w:val="baseline"/>
        </w:rPr>
        <w:t>EWCA</w:t>
      </w:r>
      <w:r>
        <w:rPr>
          <w:rFonts w:ascii="Arial" w:hAnsi="Arial"/>
          <w:i/>
          <w:spacing w:val="3"/>
          <w:sz w:val="20"/>
          <w:vertAlign w:val="baseline"/>
        </w:rPr>
        <w:t> </w:t>
      </w:r>
      <w:r>
        <w:rPr>
          <w:rFonts w:ascii="Arial" w:hAnsi="Arial"/>
          <w:i/>
          <w:sz w:val="20"/>
          <w:vertAlign w:val="baseline"/>
        </w:rPr>
        <w:t>Civ</w:t>
      </w:r>
      <w:r>
        <w:rPr>
          <w:rFonts w:ascii="Arial" w:hAnsi="Arial"/>
          <w:i/>
          <w:spacing w:val="3"/>
          <w:sz w:val="20"/>
          <w:vertAlign w:val="baseline"/>
        </w:rPr>
        <w:t> </w:t>
      </w:r>
      <w:r>
        <w:rPr>
          <w:rFonts w:ascii="Arial" w:hAnsi="Arial"/>
          <w:i/>
          <w:sz w:val="20"/>
          <w:vertAlign w:val="baseline"/>
        </w:rPr>
        <w:t>408</w:t>
      </w:r>
      <w:r>
        <w:rPr>
          <w:rFonts w:ascii="Arial" w:hAnsi="Arial"/>
          <w:i/>
          <w:spacing w:val="1"/>
          <w:sz w:val="20"/>
          <w:vertAlign w:val="baseline"/>
        </w:rPr>
        <w:t> </w:t>
      </w:r>
      <w:r>
        <w:rPr>
          <w:sz w:val="20"/>
          <w:vertAlign w:val="baseline"/>
        </w:rPr>
        <w:t>at</w:t>
      </w:r>
      <w:r>
        <w:rPr>
          <w:spacing w:val="3"/>
          <w:sz w:val="20"/>
          <w:vertAlign w:val="baseline"/>
        </w:rPr>
        <w:t> </w:t>
      </w:r>
      <w:r>
        <w:rPr>
          <w:spacing w:val="-2"/>
          <w:sz w:val="20"/>
          <w:vertAlign w:val="baseline"/>
        </w:rPr>
        <w:t>[29]–[33].</w:t>
      </w:r>
    </w:p>
    <w:p>
      <w:pPr>
        <w:pStyle w:val="BodyText"/>
        <w:spacing w:before="129"/>
      </w:pPr>
    </w:p>
    <w:p>
      <w:pPr>
        <w:spacing w:line="235" w:lineRule="auto" w:before="0"/>
        <w:ind w:left="705" w:right="0" w:hanging="541"/>
        <w:jc w:val="left"/>
        <w:rPr>
          <w:sz w:val="20"/>
        </w:rPr>
      </w:pPr>
      <w:bookmarkStart w:name="_bookmark1993" w:id="1995"/>
      <w:bookmarkEnd w:id="1995"/>
      <w:r>
        <w:rPr/>
      </w:r>
      <w:hyperlink w:history="true" w:anchor="_bookmark1856">
        <w:r>
          <w:rPr>
            <w:color w:val="005DA1"/>
            <w:sz w:val="20"/>
            <w:u w:val="single" w:color="005DA1"/>
            <w:vertAlign w:val="superscript"/>
          </w:rPr>
          <w:t>1307</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516" name="Image 516"/>
            <wp:cNvGraphicFramePr>
              <a:graphicFrameLocks/>
            </wp:cNvGraphicFramePr>
            <a:graphic>
              <a:graphicData uri="http://schemas.openxmlformats.org/drawingml/2006/picture">
                <pic:pic>
                  <pic:nvPicPr>
                    <pic:cNvPr id="516" name="Image 51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32"/>
          <w:sz w:val="20"/>
          <w:vertAlign w:val="baseline"/>
        </w:rPr>
        <w:t> </w:t>
      </w:r>
      <w:r>
        <w:rPr>
          <w:rFonts w:ascii="Arial"/>
          <w:i/>
          <w:sz w:val="20"/>
          <w:vertAlign w:val="baseline"/>
        </w:rPr>
        <w:t>EWCA</w:t>
      </w:r>
      <w:r>
        <w:rPr>
          <w:rFonts w:ascii="Arial"/>
          <w:i/>
          <w:spacing w:val="32"/>
          <w:sz w:val="20"/>
          <w:vertAlign w:val="baseline"/>
        </w:rPr>
        <w:t> </w:t>
      </w:r>
      <w:r>
        <w:rPr>
          <w:rFonts w:ascii="Arial"/>
          <w:i/>
          <w:sz w:val="20"/>
          <w:vertAlign w:val="baseline"/>
        </w:rPr>
        <w:t>Civ</w:t>
      </w:r>
      <w:r>
        <w:rPr>
          <w:rFonts w:ascii="Arial"/>
          <w:i/>
          <w:spacing w:val="32"/>
          <w:sz w:val="20"/>
          <w:vertAlign w:val="baseline"/>
        </w:rPr>
        <w:t> </w:t>
      </w:r>
      <w:r>
        <w:rPr>
          <w:rFonts w:ascii="Arial"/>
          <w:i/>
          <w:sz w:val="20"/>
          <w:vertAlign w:val="baseline"/>
        </w:rPr>
        <w:t>408</w:t>
      </w:r>
      <w:r>
        <w:rPr>
          <w:rFonts w:ascii="Arial"/>
          <w:i/>
          <w:spacing w:val="31"/>
          <w:sz w:val="20"/>
          <w:vertAlign w:val="baseline"/>
        </w:rPr>
        <w:t> </w:t>
      </w:r>
      <w:r>
        <w:rPr>
          <w:sz w:val="20"/>
          <w:vertAlign w:val="baseline"/>
        </w:rPr>
        <w:t>at</w:t>
      </w:r>
      <w:r>
        <w:rPr>
          <w:spacing w:val="32"/>
          <w:sz w:val="20"/>
          <w:vertAlign w:val="baseline"/>
        </w:rPr>
        <w:t> </w:t>
      </w:r>
      <w:r>
        <w:rPr>
          <w:sz w:val="20"/>
          <w:vertAlign w:val="baseline"/>
        </w:rPr>
        <w:t>[37]</w:t>
      </w:r>
      <w:r>
        <w:rPr>
          <w:spacing w:val="32"/>
          <w:sz w:val="20"/>
          <w:vertAlign w:val="baseline"/>
        </w:rPr>
        <w:t> </w:t>
      </w:r>
      <w:r>
        <w:rPr>
          <w:sz w:val="20"/>
          <w:vertAlign w:val="baseline"/>
        </w:rPr>
        <w:t>per</w:t>
      </w:r>
      <w:r>
        <w:rPr>
          <w:spacing w:val="32"/>
          <w:sz w:val="20"/>
          <w:vertAlign w:val="baseline"/>
        </w:rPr>
        <w:t> </w:t>
      </w:r>
      <w:r>
        <w:rPr>
          <w:sz w:val="20"/>
          <w:vertAlign w:val="baseline"/>
        </w:rPr>
        <w:t>Sales</w:t>
      </w:r>
      <w:r>
        <w:rPr>
          <w:spacing w:val="32"/>
          <w:sz w:val="20"/>
          <w:vertAlign w:val="baseline"/>
        </w:rPr>
        <w:t> </w:t>
      </w:r>
      <w:r>
        <w:rPr>
          <w:sz w:val="20"/>
          <w:vertAlign w:val="baseline"/>
        </w:rPr>
        <w:t>L.J.</w:t>
      </w:r>
      <w:r>
        <w:rPr>
          <w:spacing w:val="32"/>
          <w:sz w:val="20"/>
          <w:vertAlign w:val="baseline"/>
        </w:rPr>
        <w:t> </w:t>
      </w:r>
      <w:r>
        <w:rPr>
          <w:sz w:val="20"/>
          <w:vertAlign w:val="baseline"/>
        </w:rPr>
        <w:t>(with</w:t>
      </w:r>
      <w:r>
        <w:rPr>
          <w:spacing w:val="32"/>
          <w:sz w:val="20"/>
          <w:vertAlign w:val="baseline"/>
        </w:rPr>
        <w:t> </w:t>
      </w:r>
      <w:r>
        <w:rPr>
          <w:sz w:val="20"/>
          <w:vertAlign w:val="baseline"/>
        </w:rPr>
        <w:t>whom</w:t>
      </w:r>
      <w:r>
        <w:rPr>
          <w:spacing w:val="32"/>
          <w:sz w:val="20"/>
          <w:vertAlign w:val="baseline"/>
        </w:rPr>
        <w:t> </w:t>
      </w:r>
      <w:r>
        <w:rPr>
          <w:sz w:val="20"/>
          <w:vertAlign w:val="baseline"/>
        </w:rPr>
        <w:t>Davis</w:t>
      </w:r>
      <w:r>
        <w:rPr>
          <w:spacing w:val="32"/>
          <w:sz w:val="20"/>
          <w:vertAlign w:val="baseline"/>
        </w:rPr>
        <w:t> </w:t>
      </w:r>
      <w:r>
        <w:rPr>
          <w:sz w:val="20"/>
          <w:vertAlign w:val="baseline"/>
        </w:rPr>
        <w:t>L.J.</w:t>
      </w:r>
      <w:r>
        <w:rPr>
          <w:spacing w:val="32"/>
          <w:sz w:val="20"/>
          <w:vertAlign w:val="baseline"/>
        </w:rPr>
        <w:t> </w:t>
      </w:r>
      <w:r>
        <w:rPr>
          <w:sz w:val="20"/>
          <w:vertAlign w:val="baseline"/>
        </w:rPr>
        <w:t>and</w:t>
      </w:r>
      <w:r>
        <w:rPr>
          <w:spacing w:val="32"/>
          <w:sz w:val="20"/>
          <w:vertAlign w:val="baseline"/>
        </w:rPr>
        <w:t> </w:t>
      </w:r>
      <w:r>
        <w:rPr>
          <w:sz w:val="20"/>
          <w:vertAlign w:val="baseline"/>
        </w:rPr>
        <w:t>Lord</w:t>
      </w:r>
      <w:r>
        <w:rPr>
          <w:spacing w:val="32"/>
          <w:sz w:val="20"/>
          <w:vertAlign w:val="baseline"/>
        </w:rPr>
        <w:t> </w:t>
      </w:r>
      <w:r>
        <w:rPr>
          <w:sz w:val="20"/>
          <w:vertAlign w:val="baseline"/>
        </w:rPr>
        <w:t>Dyson</w:t>
      </w:r>
      <w:r>
        <w:rPr>
          <w:spacing w:val="32"/>
          <w:sz w:val="20"/>
          <w:vertAlign w:val="baseline"/>
        </w:rPr>
        <w:t> </w:t>
      </w:r>
      <w:r>
        <w:rPr>
          <w:sz w:val="20"/>
          <w:vertAlign w:val="baseline"/>
        </w:rPr>
        <w:t>M.R. </w:t>
      </w:r>
      <w:r>
        <w:rPr>
          <w:spacing w:val="-2"/>
          <w:sz w:val="20"/>
          <w:vertAlign w:val="baseline"/>
        </w:rPr>
        <w:t>agreed).</w:t>
      </w:r>
    </w:p>
    <w:p>
      <w:pPr>
        <w:pStyle w:val="BodyText"/>
        <w:spacing w:before="125"/>
      </w:pPr>
    </w:p>
    <w:p>
      <w:pPr>
        <w:spacing w:before="1"/>
        <w:ind w:left="165" w:right="0" w:firstLine="0"/>
        <w:jc w:val="left"/>
        <w:rPr>
          <w:sz w:val="20"/>
        </w:rPr>
      </w:pPr>
      <w:bookmarkStart w:name="_bookmark1994" w:id="1996"/>
      <w:bookmarkEnd w:id="1996"/>
      <w:r>
        <w:rPr/>
      </w:r>
      <w:hyperlink w:history="true" w:anchor="_bookmark1857">
        <w:r>
          <w:rPr>
            <w:color w:val="005DA1"/>
            <w:sz w:val="20"/>
            <w:u w:val="single" w:color="005DA1"/>
            <w:vertAlign w:val="superscript"/>
          </w:rPr>
          <w:t>1308</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517" name="Image 517"/>
            <wp:cNvGraphicFramePr>
              <a:graphicFrameLocks/>
            </wp:cNvGraphicFramePr>
            <a:graphic>
              <a:graphicData uri="http://schemas.openxmlformats.org/drawingml/2006/picture">
                <pic:pic>
                  <pic:nvPicPr>
                    <pic:cNvPr id="517" name="Image 51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2"/>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2"/>
          <w:sz w:val="20"/>
          <w:vertAlign w:val="baseline"/>
        </w:rPr>
        <w:t> </w:t>
      </w:r>
      <w:r>
        <w:rPr>
          <w:rFonts w:ascii="Arial"/>
          <w:i/>
          <w:sz w:val="20"/>
          <w:vertAlign w:val="baseline"/>
        </w:rPr>
        <w:t>408</w:t>
      </w:r>
      <w:r>
        <w:rPr>
          <w:rFonts w:ascii="Arial"/>
          <w:i/>
          <w:spacing w:val="1"/>
          <w:sz w:val="20"/>
          <w:vertAlign w:val="baseline"/>
        </w:rPr>
        <w:t> </w:t>
      </w:r>
      <w:r>
        <w:rPr>
          <w:sz w:val="20"/>
          <w:vertAlign w:val="baseline"/>
        </w:rPr>
        <w:t>at</w:t>
      </w:r>
      <w:r>
        <w:rPr>
          <w:spacing w:val="2"/>
          <w:sz w:val="20"/>
          <w:vertAlign w:val="baseline"/>
        </w:rPr>
        <w:t> </w:t>
      </w:r>
      <w:r>
        <w:rPr>
          <w:sz w:val="20"/>
          <w:vertAlign w:val="baseline"/>
        </w:rPr>
        <w:t>[37]</w:t>
      </w:r>
      <w:r>
        <w:rPr>
          <w:spacing w:val="2"/>
          <w:sz w:val="20"/>
          <w:vertAlign w:val="baseline"/>
        </w:rPr>
        <w:t> </w:t>
      </w:r>
      <w:r>
        <w:rPr>
          <w:sz w:val="20"/>
          <w:vertAlign w:val="baseline"/>
        </w:rPr>
        <w:t>per</w:t>
      </w:r>
      <w:r>
        <w:rPr>
          <w:spacing w:val="2"/>
          <w:sz w:val="20"/>
          <w:vertAlign w:val="baseline"/>
        </w:rPr>
        <w:t> </w:t>
      </w:r>
      <w:r>
        <w:rPr>
          <w:sz w:val="20"/>
          <w:vertAlign w:val="baseline"/>
        </w:rPr>
        <w:t>Sales</w:t>
      </w:r>
      <w:r>
        <w:rPr>
          <w:spacing w:val="2"/>
          <w:sz w:val="20"/>
          <w:vertAlign w:val="baseline"/>
        </w:rPr>
        <w:t> </w:t>
      </w:r>
      <w:r>
        <w:rPr>
          <w:spacing w:val="-4"/>
          <w:sz w:val="20"/>
          <w:vertAlign w:val="baseline"/>
        </w:rPr>
        <w:t>L.J.</w:t>
      </w:r>
    </w:p>
    <w:p>
      <w:pPr>
        <w:pStyle w:val="BodyText"/>
        <w:spacing w:before="124"/>
      </w:pPr>
    </w:p>
    <w:p>
      <w:pPr>
        <w:spacing w:before="1"/>
        <w:ind w:left="165" w:right="0" w:firstLine="0"/>
        <w:jc w:val="left"/>
        <w:rPr>
          <w:sz w:val="20"/>
        </w:rPr>
      </w:pPr>
      <w:bookmarkStart w:name="_bookmark1995" w:id="1997"/>
      <w:bookmarkEnd w:id="1997"/>
      <w:r>
        <w:rPr/>
      </w:r>
      <w:hyperlink w:history="true" w:anchor="_bookmark1858">
        <w:r>
          <w:rPr>
            <w:color w:val="005DA1"/>
            <w:sz w:val="20"/>
            <w:u w:val="single" w:color="005DA1"/>
            <w:vertAlign w:val="superscript"/>
          </w:rPr>
          <w:t>1309</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518" name="Image 518"/>
            <wp:cNvGraphicFramePr>
              <a:graphicFrameLocks/>
            </wp:cNvGraphicFramePr>
            <a:graphic>
              <a:graphicData uri="http://schemas.openxmlformats.org/drawingml/2006/picture">
                <pic:pic>
                  <pic:nvPicPr>
                    <pic:cNvPr id="518" name="Image 51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[2016]</w:t>
      </w:r>
      <w:r>
        <w:rPr>
          <w:rFonts w:ascii="Arial" w:hAnsi="Arial"/>
          <w:i/>
          <w:spacing w:val="3"/>
          <w:sz w:val="20"/>
          <w:vertAlign w:val="baseline"/>
        </w:rPr>
        <w:t> </w:t>
      </w:r>
      <w:r>
        <w:rPr>
          <w:rFonts w:ascii="Arial" w:hAnsi="Arial"/>
          <w:i/>
          <w:sz w:val="20"/>
          <w:vertAlign w:val="baseline"/>
        </w:rPr>
        <w:t>EWCA</w:t>
      </w:r>
      <w:r>
        <w:rPr>
          <w:rFonts w:ascii="Arial" w:hAnsi="Arial"/>
          <w:i/>
          <w:spacing w:val="3"/>
          <w:sz w:val="20"/>
          <w:vertAlign w:val="baseline"/>
        </w:rPr>
        <w:t> </w:t>
      </w:r>
      <w:r>
        <w:rPr>
          <w:rFonts w:ascii="Arial" w:hAnsi="Arial"/>
          <w:i/>
          <w:sz w:val="20"/>
          <w:vertAlign w:val="baseline"/>
        </w:rPr>
        <w:t>Civ</w:t>
      </w:r>
      <w:r>
        <w:rPr>
          <w:rFonts w:ascii="Arial" w:hAnsi="Arial"/>
          <w:i/>
          <w:spacing w:val="3"/>
          <w:sz w:val="20"/>
          <w:vertAlign w:val="baseline"/>
        </w:rPr>
        <w:t> </w:t>
      </w:r>
      <w:r>
        <w:rPr>
          <w:rFonts w:ascii="Arial" w:hAnsi="Arial"/>
          <w:i/>
          <w:sz w:val="20"/>
          <w:vertAlign w:val="baseline"/>
        </w:rPr>
        <w:t>408</w:t>
      </w:r>
      <w:r>
        <w:rPr>
          <w:rFonts w:ascii="Arial" w:hAnsi="Arial"/>
          <w:i/>
          <w:spacing w:val="1"/>
          <w:sz w:val="20"/>
          <w:vertAlign w:val="baseline"/>
        </w:rPr>
        <w:t> </w:t>
      </w:r>
      <w:r>
        <w:rPr>
          <w:sz w:val="20"/>
          <w:vertAlign w:val="baseline"/>
        </w:rPr>
        <w:t>at</w:t>
      </w:r>
      <w:r>
        <w:rPr>
          <w:spacing w:val="3"/>
          <w:sz w:val="20"/>
          <w:vertAlign w:val="baseline"/>
        </w:rPr>
        <w:t> </w:t>
      </w:r>
      <w:r>
        <w:rPr>
          <w:spacing w:val="-2"/>
          <w:sz w:val="20"/>
          <w:vertAlign w:val="baseline"/>
        </w:rPr>
        <w:t>[39]–[40].</w:t>
      </w:r>
    </w:p>
    <w:p>
      <w:pPr>
        <w:pStyle w:val="BodyText"/>
        <w:spacing w:before="124"/>
      </w:pPr>
    </w:p>
    <w:p>
      <w:pPr>
        <w:spacing w:before="1"/>
        <w:ind w:left="165" w:right="0" w:firstLine="0"/>
        <w:jc w:val="left"/>
        <w:rPr>
          <w:sz w:val="20"/>
        </w:rPr>
      </w:pPr>
      <w:bookmarkStart w:name="_bookmark1996" w:id="1998"/>
      <w:bookmarkEnd w:id="1998"/>
      <w:r>
        <w:rPr/>
      </w:r>
      <w:hyperlink w:history="true" w:anchor="_bookmark1859">
        <w:r>
          <w:rPr>
            <w:color w:val="005DA1"/>
            <w:sz w:val="20"/>
            <w:u w:val="single" w:color="005DA1"/>
            <w:vertAlign w:val="superscript"/>
          </w:rPr>
          <w:t>1310</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519" name="Image 519"/>
            <wp:cNvGraphicFramePr>
              <a:graphicFrameLocks/>
            </wp:cNvGraphicFramePr>
            <a:graphic>
              <a:graphicData uri="http://schemas.openxmlformats.org/drawingml/2006/picture">
                <pic:pic>
                  <pic:nvPicPr>
                    <pic:cNvPr id="519" name="Image 51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[1990]</w:t>
      </w:r>
      <w:r>
        <w:rPr>
          <w:rFonts w:ascii="Arial"/>
          <w:i/>
          <w:spacing w:val="3"/>
          <w:sz w:val="20"/>
          <w:vertAlign w:val="baseline"/>
        </w:rPr>
        <w:t> </w:t>
      </w:r>
      <w:r>
        <w:rPr>
          <w:rFonts w:ascii="Arial"/>
          <w:i/>
          <w:sz w:val="20"/>
          <w:vertAlign w:val="baseline"/>
        </w:rPr>
        <w:t>2</w:t>
      </w:r>
      <w:r>
        <w:rPr>
          <w:rFonts w:ascii="Arial"/>
          <w:i/>
          <w:spacing w:val="3"/>
          <w:sz w:val="20"/>
          <w:vertAlign w:val="baseline"/>
        </w:rPr>
        <w:t> </w:t>
      </w:r>
      <w:r>
        <w:rPr>
          <w:rFonts w:ascii="Arial"/>
          <w:i/>
          <w:sz w:val="20"/>
          <w:vertAlign w:val="baseline"/>
        </w:rPr>
        <w:t>A.C.</w:t>
      </w:r>
      <w:r>
        <w:rPr>
          <w:rFonts w:ascii="Arial"/>
          <w:i/>
          <w:spacing w:val="3"/>
          <w:sz w:val="20"/>
          <w:vertAlign w:val="baseline"/>
        </w:rPr>
        <w:t> </w:t>
      </w:r>
      <w:r>
        <w:rPr>
          <w:rFonts w:ascii="Arial"/>
          <w:i/>
          <w:sz w:val="20"/>
          <w:vertAlign w:val="baseline"/>
        </w:rPr>
        <w:t>605,</w:t>
      </w:r>
      <w:r>
        <w:rPr>
          <w:rFonts w:ascii="Arial"/>
          <w:i/>
          <w:spacing w:val="3"/>
          <w:sz w:val="20"/>
          <w:vertAlign w:val="baseline"/>
        </w:rPr>
        <w:t> </w:t>
      </w:r>
      <w:r>
        <w:rPr>
          <w:rFonts w:ascii="Arial"/>
          <w:i/>
          <w:spacing w:val="-4"/>
          <w:sz w:val="20"/>
          <w:vertAlign w:val="baseline"/>
        </w:rPr>
        <w:t>618</w:t>
      </w:r>
      <w:r>
        <w:rPr>
          <w:spacing w:val="-4"/>
          <w:sz w:val="20"/>
          <w:vertAlign w:val="baseline"/>
        </w:rPr>
        <w:t>.</w:t>
      </w:r>
    </w:p>
    <w:p>
      <w:pPr>
        <w:pStyle w:val="BodyText"/>
        <w:spacing w:before="124"/>
      </w:pPr>
    </w:p>
    <w:p>
      <w:pPr>
        <w:spacing w:before="1"/>
        <w:ind w:left="165" w:right="0" w:firstLine="0"/>
        <w:jc w:val="left"/>
        <w:rPr>
          <w:sz w:val="20"/>
        </w:rPr>
      </w:pPr>
      <w:bookmarkStart w:name="_bookmark1997" w:id="1999"/>
      <w:bookmarkEnd w:id="1999"/>
      <w:r>
        <w:rPr/>
      </w:r>
      <w:hyperlink w:history="true" w:anchor="_bookmark1860">
        <w:r>
          <w:rPr>
            <w:color w:val="005DA1"/>
            <w:sz w:val="20"/>
            <w:u w:val="single" w:color="005DA1"/>
            <w:vertAlign w:val="superscript"/>
          </w:rPr>
          <w:t>1311</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520" name="Image 520"/>
            <wp:cNvGraphicFramePr>
              <a:graphicFrameLocks/>
            </wp:cNvGraphicFramePr>
            <a:graphic>
              <a:graphicData uri="http://schemas.openxmlformats.org/drawingml/2006/picture">
                <pic:pic>
                  <pic:nvPicPr>
                    <pic:cNvPr id="520" name="Image 52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3"/>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2"/>
          <w:sz w:val="20"/>
          <w:vertAlign w:val="baseline"/>
        </w:rPr>
        <w:t> </w:t>
      </w:r>
      <w:r>
        <w:rPr>
          <w:rFonts w:ascii="Arial"/>
          <w:i/>
          <w:sz w:val="20"/>
          <w:vertAlign w:val="baseline"/>
        </w:rPr>
        <w:t>408</w:t>
      </w:r>
      <w:r>
        <w:rPr>
          <w:rFonts w:ascii="Arial"/>
          <w:i/>
          <w:spacing w:val="1"/>
          <w:sz w:val="20"/>
          <w:vertAlign w:val="baseline"/>
        </w:rPr>
        <w:t> </w:t>
      </w:r>
      <w:r>
        <w:rPr>
          <w:sz w:val="20"/>
          <w:vertAlign w:val="baseline"/>
        </w:rPr>
        <w:t>at</w:t>
      </w:r>
      <w:r>
        <w:rPr>
          <w:spacing w:val="3"/>
          <w:sz w:val="20"/>
          <w:vertAlign w:val="baseline"/>
        </w:rPr>
        <w:t> </w:t>
      </w:r>
      <w:r>
        <w:rPr>
          <w:sz w:val="20"/>
          <w:vertAlign w:val="baseline"/>
        </w:rPr>
        <w:t>[40]</w:t>
      </w:r>
      <w:r>
        <w:rPr>
          <w:spacing w:val="2"/>
          <w:sz w:val="20"/>
          <w:vertAlign w:val="baseline"/>
        </w:rPr>
        <w:t> </w:t>
      </w:r>
      <w:r>
        <w:rPr>
          <w:sz w:val="20"/>
          <w:vertAlign w:val="baseline"/>
        </w:rPr>
        <w:t>and</w:t>
      </w:r>
      <w:r>
        <w:rPr>
          <w:spacing w:val="2"/>
          <w:sz w:val="20"/>
          <w:vertAlign w:val="baseline"/>
        </w:rPr>
        <w:t> </w:t>
      </w:r>
      <w:r>
        <w:rPr>
          <w:spacing w:val="-2"/>
          <w:sz w:val="20"/>
          <w:vertAlign w:val="baseline"/>
        </w:rPr>
        <w:t>[45].</w:t>
      </w:r>
    </w:p>
    <w:p>
      <w:pPr>
        <w:pStyle w:val="BodyText"/>
        <w:spacing w:before="124"/>
      </w:pPr>
    </w:p>
    <w:p>
      <w:pPr>
        <w:spacing w:before="1"/>
        <w:ind w:left="165" w:right="0" w:firstLine="0"/>
        <w:jc w:val="left"/>
        <w:rPr>
          <w:sz w:val="20"/>
        </w:rPr>
      </w:pPr>
      <w:bookmarkStart w:name="_bookmark1998" w:id="2000"/>
      <w:bookmarkEnd w:id="2000"/>
      <w:r>
        <w:rPr/>
      </w:r>
      <w:hyperlink w:history="true" w:anchor="_bookmark1861">
        <w:r>
          <w:rPr>
            <w:color w:val="005DA1"/>
            <w:sz w:val="20"/>
            <w:u w:val="single" w:color="005DA1"/>
            <w:vertAlign w:val="superscript"/>
          </w:rPr>
          <w:t>1312</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521" name="Image 521"/>
            <wp:cNvGraphicFramePr>
              <a:graphicFrameLocks/>
            </wp:cNvGraphicFramePr>
            <a:graphic>
              <a:graphicData uri="http://schemas.openxmlformats.org/drawingml/2006/picture">
                <pic:pic>
                  <pic:nvPicPr>
                    <pic:cNvPr id="521" name="Image 52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408</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[47].</w:t>
      </w:r>
    </w:p>
    <w:p>
      <w:pPr>
        <w:pStyle w:val="BodyText"/>
        <w:spacing w:before="125"/>
      </w:pPr>
    </w:p>
    <w:p>
      <w:pPr>
        <w:spacing w:before="0"/>
        <w:ind w:left="165" w:right="0" w:firstLine="0"/>
        <w:jc w:val="left"/>
        <w:rPr>
          <w:sz w:val="20"/>
        </w:rPr>
      </w:pPr>
      <w:bookmarkStart w:name="_bookmark1999" w:id="2001"/>
      <w:bookmarkEnd w:id="2001"/>
      <w:r>
        <w:rPr/>
      </w:r>
      <w:hyperlink w:history="true" w:anchor="_bookmark1862">
        <w:r>
          <w:rPr>
            <w:color w:val="005DA1"/>
            <w:sz w:val="20"/>
            <w:u w:val="single" w:color="005DA1"/>
            <w:vertAlign w:val="superscript"/>
          </w:rPr>
          <w:t>1313</w:t>
        </w:r>
      </w:hyperlink>
      <w:r>
        <w:rPr>
          <w:sz w:val="20"/>
          <w:vertAlign w:val="superscript"/>
        </w:rPr>
        <w:t>.</w:t>
      </w:r>
      <w:r>
        <w:rPr>
          <w:spacing w:val="45"/>
          <w:sz w:val="20"/>
          <w:vertAlign w:val="baseline"/>
        </w:rPr>
        <w:t>  </w:t>
      </w:r>
      <w:r>
        <w:rPr>
          <w:spacing w:val="23"/>
          <w:position w:val="-2"/>
          <w:sz w:val="20"/>
          <w:vertAlign w:val="baseline"/>
        </w:rPr>
        <w:drawing>
          <wp:inline distT="0" distB="0" distL="0" distR="0">
            <wp:extent cx="107988" cy="107988"/>
            <wp:effectExtent l="0" t="0" r="0" b="0"/>
            <wp:docPr id="522" name="Image 522"/>
            <wp:cNvGraphicFramePr>
              <a:graphicFrameLocks/>
            </wp:cNvGraphicFramePr>
            <a:graphic>
              <a:graphicData uri="http://schemas.openxmlformats.org/drawingml/2006/picture">
                <pic:pic>
                  <pic:nvPicPr>
                    <pic:cNvPr id="522" name="Image 52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[1995]</w:t>
      </w:r>
      <w:r>
        <w:rPr>
          <w:rFonts w:ascii="Arial"/>
          <w:i/>
          <w:spacing w:val="3"/>
          <w:sz w:val="20"/>
          <w:vertAlign w:val="baseline"/>
        </w:rPr>
        <w:t> </w:t>
      </w:r>
      <w:r>
        <w:rPr>
          <w:rFonts w:ascii="Arial"/>
          <w:i/>
          <w:sz w:val="20"/>
          <w:vertAlign w:val="baseline"/>
        </w:rPr>
        <w:t>2</w:t>
      </w:r>
      <w:r>
        <w:rPr>
          <w:rFonts w:ascii="Arial"/>
          <w:i/>
          <w:spacing w:val="3"/>
          <w:sz w:val="20"/>
          <w:vertAlign w:val="baseline"/>
        </w:rPr>
        <w:t> </w:t>
      </w:r>
      <w:r>
        <w:rPr>
          <w:rFonts w:ascii="Arial"/>
          <w:i/>
          <w:sz w:val="20"/>
          <w:vertAlign w:val="baseline"/>
        </w:rPr>
        <w:t>A.C.</w:t>
      </w:r>
      <w:r>
        <w:rPr>
          <w:rFonts w:ascii="Arial"/>
          <w:i/>
          <w:spacing w:val="4"/>
          <w:sz w:val="20"/>
          <w:vertAlign w:val="baseline"/>
        </w:rPr>
        <w:t> </w:t>
      </w:r>
      <w:r>
        <w:rPr>
          <w:rFonts w:ascii="Arial"/>
          <w:i/>
          <w:spacing w:val="-4"/>
          <w:sz w:val="20"/>
          <w:vertAlign w:val="baseline"/>
        </w:rPr>
        <w:t>296</w:t>
      </w:r>
      <w:r>
        <w:rPr>
          <w:spacing w:val="-4"/>
          <w:sz w:val="20"/>
          <w:vertAlign w:val="baseline"/>
        </w:rPr>
        <w:t>.</w:t>
      </w:r>
    </w:p>
    <w:p>
      <w:pPr>
        <w:pStyle w:val="BodyText"/>
        <w:spacing w:before="125"/>
      </w:pPr>
    </w:p>
    <w:p>
      <w:pPr>
        <w:spacing w:before="0"/>
        <w:ind w:left="165" w:right="0" w:firstLine="0"/>
        <w:jc w:val="left"/>
        <w:rPr>
          <w:sz w:val="20"/>
        </w:rPr>
      </w:pPr>
      <w:bookmarkStart w:name="_bookmark2000" w:id="2002"/>
      <w:bookmarkEnd w:id="2002"/>
      <w:r>
        <w:rPr/>
      </w:r>
      <w:hyperlink w:history="true" w:anchor="_bookmark1863">
        <w:r>
          <w:rPr>
            <w:color w:val="005DA1"/>
            <w:sz w:val="20"/>
            <w:u w:val="single" w:color="005DA1"/>
            <w:vertAlign w:val="superscript"/>
          </w:rPr>
          <w:t>1314</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523" name="Image 523"/>
            <wp:cNvGraphicFramePr>
              <a:graphicFrameLocks/>
            </wp:cNvGraphicFramePr>
            <a:graphic>
              <a:graphicData uri="http://schemas.openxmlformats.org/drawingml/2006/picture">
                <pic:pic>
                  <pic:nvPicPr>
                    <pic:cNvPr id="523" name="Image 52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2"/>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2"/>
          <w:sz w:val="20"/>
          <w:vertAlign w:val="baseline"/>
        </w:rPr>
        <w:t> </w:t>
      </w:r>
      <w:r>
        <w:rPr>
          <w:rFonts w:ascii="Arial"/>
          <w:i/>
          <w:sz w:val="20"/>
          <w:vertAlign w:val="baseline"/>
        </w:rPr>
        <w:t>408</w:t>
      </w:r>
      <w:r>
        <w:rPr>
          <w:rFonts w:ascii="Arial"/>
          <w:i/>
          <w:spacing w:val="1"/>
          <w:sz w:val="20"/>
          <w:vertAlign w:val="baseline"/>
        </w:rPr>
        <w:t> </w:t>
      </w:r>
      <w:r>
        <w:rPr>
          <w:sz w:val="20"/>
          <w:vertAlign w:val="baseline"/>
        </w:rPr>
        <w:t>at</w:t>
      </w:r>
      <w:r>
        <w:rPr>
          <w:spacing w:val="2"/>
          <w:sz w:val="20"/>
          <w:vertAlign w:val="baseline"/>
        </w:rPr>
        <w:t> </w:t>
      </w:r>
      <w:r>
        <w:rPr>
          <w:sz w:val="20"/>
          <w:vertAlign w:val="baseline"/>
        </w:rPr>
        <w:t>[48]</w:t>
      </w:r>
      <w:r>
        <w:rPr>
          <w:spacing w:val="2"/>
          <w:sz w:val="20"/>
          <w:vertAlign w:val="baseline"/>
        </w:rPr>
        <w:t> </w:t>
      </w:r>
      <w:r>
        <w:rPr>
          <w:sz w:val="20"/>
          <w:vertAlign w:val="baseline"/>
        </w:rPr>
        <w:t>per</w:t>
      </w:r>
      <w:r>
        <w:rPr>
          <w:spacing w:val="2"/>
          <w:sz w:val="20"/>
          <w:vertAlign w:val="baseline"/>
        </w:rPr>
        <w:t> </w:t>
      </w:r>
      <w:r>
        <w:rPr>
          <w:sz w:val="20"/>
          <w:vertAlign w:val="baseline"/>
        </w:rPr>
        <w:t>Sales</w:t>
      </w:r>
      <w:r>
        <w:rPr>
          <w:spacing w:val="2"/>
          <w:sz w:val="20"/>
          <w:vertAlign w:val="baseline"/>
        </w:rPr>
        <w:t> </w:t>
      </w:r>
      <w:r>
        <w:rPr>
          <w:spacing w:val="-4"/>
          <w:sz w:val="20"/>
          <w:vertAlign w:val="baseline"/>
        </w:rPr>
        <w:t>L.J.</w:t>
      </w:r>
    </w:p>
    <w:p>
      <w:pPr>
        <w:pStyle w:val="BodyText"/>
        <w:spacing w:before="128"/>
      </w:pPr>
    </w:p>
    <w:p>
      <w:pPr>
        <w:spacing w:line="235" w:lineRule="auto" w:before="1"/>
        <w:ind w:left="705" w:right="0" w:hanging="541"/>
        <w:jc w:val="left"/>
        <w:rPr>
          <w:sz w:val="20"/>
        </w:rPr>
      </w:pPr>
      <w:bookmarkStart w:name="_bookmark2001" w:id="2003"/>
      <w:bookmarkEnd w:id="2003"/>
      <w:r>
        <w:rPr/>
      </w:r>
      <w:hyperlink w:history="true" w:anchor="_bookmark1864">
        <w:r>
          <w:rPr>
            <w:color w:val="005DA1"/>
            <w:sz w:val="20"/>
            <w:u w:val="single" w:color="005DA1"/>
            <w:vertAlign w:val="superscript"/>
          </w:rPr>
          <w:t>1315</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524" name="Image 524"/>
            <wp:cNvGraphicFramePr>
              <a:graphicFrameLocks/>
            </wp:cNvGraphicFramePr>
            <a:graphic>
              <a:graphicData uri="http://schemas.openxmlformats.org/drawingml/2006/picture">
                <pic:pic>
                  <pic:nvPicPr>
                    <pic:cNvPr id="524" name="Image 52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 EWCA Civ 408 </w:t>
      </w:r>
      <w:r>
        <w:rPr>
          <w:sz w:val="20"/>
          <w:vertAlign w:val="baseline"/>
        </w:rPr>
        <w:t>at [49], referring to </w:t>
      </w:r>
      <w:r>
        <w:rPr>
          <w:rFonts w:ascii="Arial"/>
          <w:i/>
          <w:sz w:val="20"/>
          <w:vertAlign w:val="baseline"/>
        </w:rPr>
        <w:t>Scally v Southern Health and Social Services Board [1992] 1 A.C. 294 </w:t>
      </w:r>
      <w:r>
        <w:rPr>
          <w:sz w:val="20"/>
          <w:vertAlign w:val="baseline"/>
        </w:rPr>
        <w:t>at 303.</w:t>
      </w:r>
    </w:p>
    <w:p>
      <w:pPr>
        <w:pStyle w:val="BodyText"/>
        <w:spacing w:before="17"/>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458" w:hRule="atLeast"/>
        </w:trPr>
        <w:tc>
          <w:tcPr>
            <w:tcW w:w="496" w:type="dxa"/>
          </w:tcPr>
          <w:p>
            <w:pPr>
              <w:pStyle w:val="TableParagraph"/>
              <w:spacing w:line="156" w:lineRule="exact" w:before="0"/>
              <w:ind w:left="0" w:right="43"/>
              <w:rPr>
                <w:sz w:val="14"/>
              </w:rPr>
            </w:pPr>
            <w:bookmarkStart w:name="_bookmark2002" w:id="2004"/>
            <w:bookmarkEnd w:id="2004"/>
            <w:r>
              <w:rPr/>
            </w:r>
            <w:hyperlink w:history="true" w:anchor="_bookmark1865">
              <w:r>
                <w:rPr>
                  <w:color w:val="005DA1"/>
                  <w:spacing w:val="-2"/>
                  <w:sz w:val="14"/>
                  <w:u w:val="single" w:color="005DA1"/>
                </w:rPr>
                <w:t>1316</w:t>
              </w:r>
            </w:hyperlink>
            <w:r>
              <w:rPr>
                <w:spacing w:val="-2"/>
                <w:sz w:val="14"/>
              </w:rPr>
              <w:t>.</w:t>
            </w:r>
          </w:p>
        </w:tc>
        <w:tc>
          <w:tcPr>
            <w:tcW w:w="8620" w:type="dxa"/>
          </w:tcPr>
          <w:p>
            <w:pPr>
              <w:pStyle w:val="TableParagraph"/>
              <w:spacing w:before="108"/>
              <w:ind w:left="264"/>
              <w:jc w:val="left"/>
              <w:rPr>
                <w:sz w:val="20"/>
              </w:rPr>
            </w:pPr>
            <w:r>
              <w:rPr>
                <w:sz w:val="20"/>
              </w:rPr>
              <mc:AlternateContent>
                <mc:Choice Requires="wps">
                  <w:drawing>
                    <wp:anchor distT="0" distB="0" distL="0" distR="0" allowOverlap="1" layoutInCell="1" locked="0" behindDoc="1" simplePos="0" relativeHeight="480532480">
                      <wp:simplePos x="0" y="0"/>
                      <wp:positionH relativeFrom="column">
                        <wp:posOffset>60516</wp:posOffset>
                      </wp:positionH>
                      <wp:positionV relativeFrom="paragraph">
                        <wp:posOffset>96518</wp:posOffset>
                      </wp:positionV>
                      <wp:extent cx="108585" cy="108585"/>
                      <wp:effectExtent l="0" t="0" r="0" b="0"/>
                      <wp:wrapNone/>
                      <wp:docPr id="525" name="Group 525"/>
                      <wp:cNvGraphicFramePr>
                        <a:graphicFrameLocks/>
                      </wp:cNvGraphicFramePr>
                      <a:graphic>
                        <a:graphicData uri="http://schemas.microsoft.com/office/word/2010/wordprocessingGroup">
                          <wpg:wgp>
                            <wpg:cNvPr id="525" name="Group 525"/>
                            <wpg:cNvGrpSpPr/>
                            <wpg:grpSpPr>
                              <a:xfrm>
                                <a:off x="0" y="0"/>
                                <a:ext cx="108585" cy="108585"/>
                                <a:chExt cx="108585" cy="108585"/>
                              </a:xfrm>
                            </wpg:grpSpPr>
                            <pic:pic>
                              <pic:nvPicPr>
                                <pic:cNvPr id="526" name="Image 526"/>
                                <pic:cNvPicPr/>
                              </pic:nvPicPr>
                              <pic:blipFill>
                                <a:blip r:embed="rId6" cstate="print"/>
                                <a:stretch>
                                  <a:fillRect/>
                                </a:stretch>
                              </pic:blipFill>
                              <pic:spPr>
                                <a:xfrm>
                                  <a:off x="0" y="0"/>
                                  <a:ext cx="107988" cy="107988"/>
                                </a:xfrm>
                                <a:prstGeom prst="rect">
                                  <a:avLst/>
                                </a:prstGeom>
                              </pic:spPr>
                            </pic:pic>
                          </wpg:wgp>
                        </a:graphicData>
                      </a:graphic>
                    </wp:anchor>
                  </w:drawing>
                </mc:Choice>
                <mc:Fallback>
                  <w:pict>
                    <v:group style="position:absolute;margin-left:4.765088pt;margin-top:7.599883pt;width:8.550pt;height:8.550pt;mso-position-horizontal-relative:column;mso-position-vertical-relative:paragraph;z-index:-22784000" id="docshapegroup82" coordorigin="95,152" coordsize="171,171">
                      <v:shape style="position:absolute;left:95;top:152;width:171;height:171" type="#_x0000_t75" id="docshape83" stroked="false">
                        <v:imagedata r:id="rId6" o:title=""/>
                      </v:shape>
                      <w10:wrap type="none"/>
                    </v:group>
                  </w:pict>
                </mc:Fallback>
              </mc:AlternateContent>
            </w:r>
            <w:r>
              <w:rPr>
                <w:rFonts w:ascii="Arial"/>
                <w:i/>
                <w:sz w:val="20"/>
              </w:rPr>
              <w:t>[2016] EWCA Civ 408</w:t>
            </w:r>
            <w:r>
              <w:rPr>
                <w:rFonts w:ascii="Arial"/>
                <w:i/>
                <w:spacing w:val="-1"/>
                <w:sz w:val="20"/>
              </w:rPr>
              <w:t> </w:t>
            </w:r>
            <w:r>
              <w:rPr>
                <w:sz w:val="20"/>
              </w:rPr>
              <w:t>at </w:t>
            </w:r>
            <w:r>
              <w:rPr>
                <w:spacing w:val="-2"/>
                <w:sz w:val="20"/>
              </w:rPr>
              <w:t>[51].</w:t>
            </w:r>
          </w:p>
        </w:tc>
      </w:tr>
      <w:tr>
        <w:trPr>
          <w:trHeight w:val="465" w:hRule="atLeast"/>
        </w:trPr>
        <w:tc>
          <w:tcPr>
            <w:tcW w:w="496" w:type="dxa"/>
          </w:tcPr>
          <w:p>
            <w:pPr>
              <w:pStyle w:val="TableParagraph"/>
              <w:ind w:left="0" w:right="43"/>
              <w:rPr>
                <w:sz w:val="14"/>
              </w:rPr>
            </w:pPr>
            <w:bookmarkStart w:name="_bookmark2003" w:id="2005"/>
            <w:bookmarkEnd w:id="2005"/>
            <w:r>
              <w:rPr/>
            </w:r>
            <w:hyperlink w:history="true" w:anchor="_bookmark1866">
              <w:r>
                <w:rPr>
                  <w:color w:val="005DA1"/>
                  <w:spacing w:val="-2"/>
                  <w:sz w:val="14"/>
                  <w:u w:val="single" w:color="005DA1"/>
                </w:rPr>
                <w:t>1317</w:t>
              </w:r>
            </w:hyperlink>
            <w:r>
              <w:rPr>
                <w:spacing w:val="-2"/>
                <w:sz w:val="14"/>
              </w:rPr>
              <w:t>.</w:t>
            </w:r>
          </w:p>
        </w:tc>
        <w:tc>
          <w:tcPr>
            <w:tcW w:w="8620" w:type="dxa"/>
          </w:tcPr>
          <w:p>
            <w:pPr>
              <w:pStyle w:val="TableParagraph"/>
              <w:spacing w:before="114"/>
              <w:jc w:val="left"/>
              <w:rPr>
                <w:sz w:val="20"/>
              </w:rPr>
            </w:pPr>
            <w:r>
              <w:rPr>
                <w:sz w:val="20"/>
              </w:rPr>
              <w:t>See above, paras 1-150—1-</w:t>
            </w:r>
            <w:r>
              <w:rPr>
                <w:spacing w:val="-4"/>
                <w:sz w:val="20"/>
              </w:rPr>
              <w:t>153.</w:t>
            </w:r>
          </w:p>
        </w:tc>
      </w:tr>
      <w:tr>
        <w:trPr>
          <w:trHeight w:val="465" w:hRule="atLeast"/>
        </w:trPr>
        <w:tc>
          <w:tcPr>
            <w:tcW w:w="496" w:type="dxa"/>
          </w:tcPr>
          <w:p>
            <w:pPr>
              <w:pStyle w:val="TableParagraph"/>
              <w:ind w:left="0" w:right="43"/>
              <w:rPr>
                <w:sz w:val="14"/>
              </w:rPr>
            </w:pPr>
            <w:bookmarkStart w:name="_bookmark2004" w:id="2006"/>
            <w:bookmarkEnd w:id="2006"/>
            <w:r>
              <w:rPr/>
            </w:r>
            <w:hyperlink w:history="true" w:anchor="_bookmark1867">
              <w:r>
                <w:rPr>
                  <w:color w:val="005DA1"/>
                  <w:spacing w:val="-2"/>
                  <w:sz w:val="14"/>
                  <w:u w:val="single" w:color="005DA1"/>
                </w:rPr>
                <w:t>1318</w:t>
              </w:r>
            </w:hyperlink>
            <w:r>
              <w:rPr>
                <w:spacing w:val="-2"/>
                <w:sz w:val="14"/>
              </w:rPr>
              <w:t>.</w:t>
            </w:r>
          </w:p>
        </w:tc>
        <w:tc>
          <w:tcPr>
            <w:tcW w:w="8620" w:type="dxa"/>
          </w:tcPr>
          <w:p>
            <w:pPr>
              <w:pStyle w:val="TableParagraph"/>
              <w:spacing w:before="114"/>
              <w:jc w:val="left"/>
              <w:rPr>
                <w:sz w:val="20"/>
              </w:rPr>
            </w:pPr>
            <w:r>
              <w:rPr>
                <w:rFonts w:ascii="Arial"/>
                <w:i/>
                <w:sz w:val="20"/>
              </w:rPr>
              <w:t>[1995]</w:t>
            </w:r>
            <w:r>
              <w:rPr>
                <w:rFonts w:ascii="Arial"/>
                <w:i/>
                <w:spacing w:val="-1"/>
                <w:sz w:val="20"/>
              </w:rPr>
              <w:t> </w:t>
            </w:r>
            <w:r>
              <w:rPr>
                <w:rFonts w:ascii="Arial"/>
                <w:i/>
                <w:sz w:val="20"/>
              </w:rPr>
              <w:t>2 A.C. 145</w:t>
            </w:r>
            <w:r>
              <w:rPr>
                <w:sz w:val="20"/>
              </w:rPr>
              <w:t>, above, para.1-</w:t>
            </w:r>
            <w:r>
              <w:rPr>
                <w:spacing w:val="-4"/>
                <w:sz w:val="20"/>
              </w:rPr>
              <w:t>166.</w:t>
            </w:r>
          </w:p>
        </w:tc>
      </w:tr>
      <w:tr>
        <w:trPr>
          <w:trHeight w:val="465" w:hRule="atLeast"/>
        </w:trPr>
        <w:tc>
          <w:tcPr>
            <w:tcW w:w="496" w:type="dxa"/>
          </w:tcPr>
          <w:p>
            <w:pPr>
              <w:pStyle w:val="TableParagraph"/>
              <w:ind w:left="0" w:right="43"/>
              <w:rPr>
                <w:sz w:val="14"/>
              </w:rPr>
            </w:pPr>
            <w:bookmarkStart w:name="_bookmark2005" w:id="2007"/>
            <w:bookmarkEnd w:id="2007"/>
            <w:r>
              <w:rPr/>
            </w:r>
            <w:hyperlink w:history="true" w:anchor="_bookmark1868">
              <w:r>
                <w:rPr>
                  <w:color w:val="005DA1"/>
                  <w:spacing w:val="-2"/>
                  <w:sz w:val="14"/>
                  <w:u w:val="single" w:color="005DA1"/>
                </w:rPr>
                <w:t>1319</w:t>
              </w:r>
            </w:hyperlink>
            <w:r>
              <w:rPr>
                <w:spacing w:val="-2"/>
                <w:sz w:val="14"/>
              </w:rPr>
              <w:t>.</w:t>
            </w:r>
          </w:p>
        </w:tc>
        <w:tc>
          <w:tcPr>
            <w:tcW w:w="8620" w:type="dxa"/>
          </w:tcPr>
          <w:p>
            <w:pPr>
              <w:pStyle w:val="TableParagraph"/>
              <w:spacing w:before="114"/>
              <w:jc w:val="left"/>
              <w:rPr>
                <w:sz w:val="20"/>
              </w:rPr>
            </w:pPr>
            <w:r>
              <w:rPr>
                <w:sz w:val="20"/>
              </w:rPr>
              <w:t>See below, paras 9-053—9-</w:t>
            </w:r>
            <w:r>
              <w:rPr>
                <w:spacing w:val="-4"/>
                <w:sz w:val="20"/>
              </w:rPr>
              <w:t>054.</w:t>
            </w:r>
          </w:p>
        </w:tc>
      </w:tr>
      <w:tr>
        <w:trPr>
          <w:trHeight w:val="465" w:hRule="atLeast"/>
        </w:trPr>
        <w:tc>
          <w:tcPr>
            <w:tcW w:w="496" w:type="dxa"/>
          </w:tcPr>
          <w:p>
            <w:pPr>
              <w:pStyle w:val="TableParagraph"/>
              <w:ind w:left="0" w:right="43"/>
              <w:rPr>
                <w:sz w:val="14"/>
              </w:rPr>
            </w:pPr>
            <w:bookmarkStart w:name="_bookmark2006" w:id="2008"/>
            <w:bookmarkEnd w:id="2008"/>
            <w:r>
              <w:rPr/>
            </w:r>
            <w:hyperlink w:history="true" w:anchor="_bookmark1869">
              <w:r>
                <w:rPr>
                  <w:color w:val="005DA1"/>
                  <w:spacing w:val="-2"/>
                  <w:sz w:val="14"/>
                  <w:u w:val="single" w:color="005DA1"/>
                </w:rPr>
                <w:t>1320</w:t>
              </w:r>
            </w:hyperlink>
            <w:r>
              <w:rPr>
                <w:spacing w:val="-2"/>
                <w:sz w:val="14"/>
              </w:rPr>
              <w:t>.</w:t>
            </w:r>
          </w:p>
        </w:tc>
        <w:tc>
          <w:tcPr>
            <w:tcW w:w="8620" w:type="dxa"/>
          </w:tcPr>
          <w:p>
            <w:pPr>
              <w:pStyle w:val="TableParagraph"/>
              <w:spacing w:before="114"/>
              <w:jc w:val="left"/>
              <w:rPr>
                <w:sz w:val="20"/>
              </w:rPr>
            </w:pPr>
            <w:r>
              <w:rPr>
                <w:sz w:val="20"/>
              </w:rPr>
              <w:t>See above, para.1-</w:t>
            </w:r>
            <w:r>
              <w:rPr>
                <w:spacing w:val="-4"/>
                <w:sz w:val="20"/>
              </w:rPr>
              <w:t>160.</w:t>
            </w:r>
          </w:p>
        </w:tc>
      </w:tr>
      <w:tr>
        <w:trPr>
          <w:trHeight w:val="465" w:hRule="atLeast"/>
        </w:trPr>
        <w:tc>
          <w:tcPr>
            <w:tcW w:w="496" w:type="dxa"/>
          </w:tcPr>
          <w:p>
            <w:pPr>
              <w:pStyle w:val="TableParagraph"/>
              <w:ind w:left="0" w:right="43"/>
              <w:rPr>
                <w:sz w:val="14"/>
              </w:rPr>
            </w:pPr>
            <w:bookmarkStart w:name="_bookmark2007" w:id="2009"/>
            <w:bookmarkEnd w:id="2009"/>
            <w:r>
              <w:rPr/>
            </w:r>
            <w:hyperlink w:history="true" w:anchor="_bookmark1870">
              <w:r>
                <w:rPr>
                  <w:color w:val="005DA1"/>
                  <w:spacing w:val="-2"/>
                  <w:sz w:val="14"/>
                  <w:u w:val="single" w:color="005DA1"/>
                </w:rPr>
                <w:t>1321</w:t>
              </w:r>
            </w:hyperlink>
            <w:r>
              <w:rPr>
                <w:spacing w:val="-2"/>
                <w:sz w:val="14"/>
              </w:rPr>
              <w:t>.</w:t>
            </w:r>
          </w:p>
        </w:tc>
        <w:tc>
          <w:tcPr>
            <w:tcW w:w="8620" w:type="dxa"/>
          </w:tcPr>
          <w:p>
            <w:pPr>
              <w:pStyle w:val="TableParagraph"/>
              <w:spacing w:before="114"/>
              <w:jc w:val="left"/>
              <w:rPr>
                <w:sz w:val="20"/>
              </w:rPr>
            </w:pPr>
            <w:r>
              <w:rPr>
                <w:rFonts w:ascii="Arial"/>
                <w:i/>
                <w:sz w:val="20"/>
              </w:rPr>
              <w:t>Johnson v Pye (1665) 1 Sid. </w:t>
            </w:r>
            <w:r>
              <w:rPr>
                <w:rFonts w:ascii="Arial"/>
                <w:i/>
                <w:spacing w:val="-4"/>
                <w:sz w:val="20"/>
              </w:rPr>
              <w:t>258</w:t>
            </w:r>
            <w:r>
              <w:rPr>
                <w:spacing w:val="-4"/>
                <w:sz w:val="20"/>
              </w:rPr>
              <w:t>.</w:t>
            </w:r>
          </w:p>
        </w:tc>
      </w:tr>
      <w:tr>
        <w:trPr>
          <w:trHeight w:val="465" w:hRule="atLeast"/>
        </w:trPr>
        <w:tc>
          <w:tcPr>
            <w:tcW w:w="496" w:type="dxa"/>
          </w:tcPr>
          <w:p>
            <w:pPr>
              <w:pStyle w:val="TableParagraph"/>
              <w:ind w:left="0" w:right="43"/>
              <w:rPr>
                <w:sz w:val="14"/>
              </w:rPr>
            </w:pPr>
            <w:bookmarkStart w:name="_bookmark2008" w:id="2010"/>
            <w:bookmarkEnd w:id="2010"/>
            <w:r>
              <w:rPr/>
            </w:r>
            <w:hyperlink w:history="true" w:anchor="_bookmark1870">
              <w:r>
                <w:rPr>
                  <w:color w:val="005DA1"/>
                  <w:spacing w:val="-2"/>
                  <w:sz w:val="14"/>
                  <w:u w:val="single" w:color="005DA1"/>
                </w:rPr>
                <w:t>1322</w:t>
              </w:r>
            </w:hyperlink>
            <w:r>
              <w:rPr>
                <w:spacing w:val="-2"/>
                <w:sz w:val="14"/>
              </w:rPr>
              <w:t>.</w:t>
            </w:r>
          </w:p>
        </w:tc>
        <w:tc>
          <w:tcPr>
            <w:tcW w:w="8620" w:type="dxa"/>
          </w:tcPr>
          <w:p>
            <w:pPr>
              <w:pStyle w:val="TableParagraph"/>
              <w:spacing w:before="114"/>
              <w:jc w:val="left"/>
              <w:rPr>
                <w:sz w:val="20"/>
              </w:rPr>
            </w:pPr>
            <w:r>
              <w:rPr>
                <w:sz w:val="20"/>
              </w:rPr>
              <w:t>See below, para.9-</w:t>
            </w:r>
            <w:r>
              <w:rPr>
                <w:spacing w:val="-4"/>
                <w:sz w:val="20"/>
              </w:rPr>
              <w:t>053.</w:t>
            </w:r>
          </w:p>
        </w:tc>
      </w:tr>
      <w:tr>
        <w:trPr>
          <w:trHeight w:val="465" w:hRule="atLeast"/>
        </w:trPr>
        <w:tc>
          <w:tcPr>
            <w:tcW w:w="496" w:type="dxa"/>
          </w:tcPr>
          <w:p>
            <w:pPr>
              <w:pStyle w:val="TableParagraph"/>
              <w:ind w:left="0" w:right="43"/>
              <w:rPr>
                <w:sz w:val="14"/>
              </w:rPr>
            </w:pPr>
            <w:bookmarkStart w:name="_bookmark2009" w:id="2011"/>
            <w:bookmarkEnd w:id="2011"/>
            <w:r>
              <w:rPr/>
            </w:r>
            <w:hyperlink w:history="true" w:anchor="_bookmark1871">
              <w:r>
                <w:rPr>
                  <w:color w:val="005DA1"/>
                  <w:spacing w:val="-2"/>
                  <w:sz w:val="14"/>
                  <w:u w:val="single" w:color="005DA1"/>
                </w:rPr>
                <w:t>1323</w:t>
              </w:r>
            </w:hyperlink>
            <w:r>
              <w:rPr>
                <w:spacing w:val="-2"/>
                <w:sz w:val="14"/>
              </w:rPr>
              <w:t>.</w:t>
            </w:r>
          </w:p>
        </w:tc>
        <w:tc>
          <w:tcPr>
            <w:tcW w:w="8620" w:type="dxa"/>
          </w:tcPr>
          <w:p>
            <w:pPr>
              <w:pStyle w:val="TableParagraph"/>
              <w:spacing w:before="114"/>
              <w:jc w:val="left"/>
              <w:rPr>
                <w:sz w:val="20"/>
              </w:rPr>
            </w:pPr>
            <w:r>
              <w:rPr>
                <w:sz w:val="20"/>
              </w:rPr>
              <w:t>See below, para.9-</w:t>
            </w:r>
            <w:r>
              <w:rPr>
                <w:spacing w:val="-4"/>
                <w:sz w:val="20"/>
              </w:rPr>
              <w:t>054.</w:t>
            </w:r>
          </w:p>
        </w:tc>
      </w:tr>
      <w:tr>
        <w:trPr>
          <w:trHeight w:val="569" w:hRule="atLeast"/>
        </w:trPr>
        <w:tc>
          <w:tcPr>
            <w:tcW w:w="496" w:type="dxa"/>
          </w:tcPr>
          <w:p>
            <w:pPr>
              <w:pStyle w:val="TableParagraph"/>
              <w:ind w:left="0" w:right="43"/>
              <w:rPr>
                <w:sz w:val="14"/>
              </w:rPr>
            </w:pPr>
            <w:bookmarkStart w:name="_bookmark2010" w:id="2012"/>
            <w:bookmarkEnd w:id="2012"/>
            <w:r>
              <w:rPr/>
            </w:r>
            <w:hyperlink w:history="true" w:anchor="_bookmark1872">
              <w:r>
                <w:rPr>
                  <w:color w:val="005DA1"/>
                  <w:spacing w:val="-2"/>
                  <w:sz w:val="14"/>
                  <w:u w:val="single" w:color="005DA1"/>
                </w:rPr>
                <w:t>1324</w:t>
              </w:r>
            </w:hyperlink>
            <w:r>
              <w:rPr>
                <w:spacing w:val="-2"/>
                <w:sz w:val="14"/>
              </w:rPr>
              <w:t>.</w:t>
            </w:r>
          </w:p>
        </w:tc>
        <w:tc>
          <w:tcPr>
            <w:tcW w:w="8620" w:type="dxa"/>
          </w:tcPr>
          <w:p>
            <w:pPr>
              <w:pStyle w:val="TableParagraph"/>
              <w:spacing w:line="226" w:lineRule="exact" w:before="97"/>
              <w:jc w:val="left"/>
              <w:rPr>
                <w:sz w:val="20"/>
              </w:rPr>
            </w:pPr>
            <w:r>
              <w:rPr>
                <w:rFonts w:ascii="Arial"/>
                <w:i/>
                <w:sz w:val="20"/>
              </w:rPr>
              <w:t>Burnard v Haggis (1863) 32 L.J.N.S. 189, 191</w:t>
            </w:r>
            <w:r>
              <w:rPr>
                <w:sz w:val="20"/>
              </w:rPr>
              <w:t>, per Keating J. This passage does not appear </w:t>
            </w:r>
            <w:r>
              <w:rPr>
                <w:sz w:val="20"/>
              </w:rPr>
              <w:t>in the other report at </w:t>
            </w:r>
            <w:r>
              <w:rPr>
                <w:rFonts w:ascii="Arial"/>
                <w:i/>
                <w:sz w:val="20"/>
              </w:rPr>
              <w:t>(1863) 14 C.B.(N.S.) 45</w:t>
            </w:r>
            <w:r>
              <w:rPr>
                <w:sz w:val="20"/>
              </w:rPr>
              <w:t>.</w:t>
            </w:r>
          </w:p>
        </w:tc>
      </w:tr>
    </w:tbl>
    <w:p>
      <w:pPr>
        <w:pStyle w:val="TableParagraph"/>
        <w:spacing w:after="0" w:line="226" w:lineRule="exact"/>
        <w:jc w:val="left"/>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344" w:hRule="atLeast"/>
        </w:trPr>
        <w:tc>
          <w:tcPr>
            <w:tcW w:w="496" w:type="dxa"/>
          </w:tcPr>
          <w:p>
            <w:pPr>
              <w:pStyle w:val="TableParagraph"/>
              <w:spacing w:before="0"/>
              <w:ind w:left="0" w:right="43"/>
              <w:rPr>
                <w:sz w:val="14"/>
              </w:rPr>
            </w:pPr>
            <w:hyperlink w:history="true" w:anchor="_bookmark1873">
              <w:r>
                <w:rPr>
                  <w:color w:val="005DA1"/>
                  <w:spacing w:val="-2"/>
                  <w:sz w:val="14"/>
                  <w:u w:val="single" w:color="005DA1"/>
                </w:rPr>
                <w:t>1325</w:t>
              </w:r>
            </w:hyperlink>
            <w:r>
              <w:rPr>
                <w:spacing w:val="-2"/>
                <w:sz w:val="14"/>
              </w:rPr>
              <w:t>.</w:t>
            </w:r>
          </w:p>
        </w:tc>
        <w:tc>
          <w:tcPr>
            <w:tcW w:w="8621" w:type="dxa"/>
          </w:tcPr>
          <w:p>
            <w:pPr>
              <w:pStyle w:val="TableParagraph"/>
              <w:spacing w:line="223" w:lineRule="exact" w:before="0"/>
              <w:jc w:val="left"/>
              <w:rPr>
                <w:sz w:val="20"/>
              </w:rPr>
            </w:pPr>
            <w:r>
              <w:rPr>
                <w:rFonts w:ascii="Arial"/>
                <w:i/>
                <w:sz w:val="20"/>
              </w:rPr>
              <w:t>(1863) 14 C.B.(N.S.) 45, 53, (1863) 32 L.J.N.S. 189, </w:t>
            </w:r>
            <w:r>
              <w:rPr>
                <w:rFonts w:ascii="Arial"/>
                <w:i/>
                <w:spacing w:val="-4"/>
                <w:sz w:val="20"/>
              </w:rPr>
              <w:t>191</w:t>
            </w:r>
            <w:r>
              <w:rPr>
                <w:spacing w:val="-4"/>
                <w:sz w:val="20"/>
              </w:rPr>
              <w:t>.</w:t>
            </w:r>
          </w:p>
        </w:tc>
      </w:tr>
      <w:tr>
        <w:trPr>
          <w:trHeight w:val="465" w:hRule="atLeast"/>
        </w:trPr>
        <w:tc>
          <w:tcPr>
            <w:tcW w:w="496" w:type="dxa"/>
          </w:tcPr>
          <w:p>
            <w:pPr>
              <w:pStyle w:val="TableParagraph"/>
              <w:ind w:left="0" w:right="43"/>
              <w:rPr>
                <w:sz w:val="14"/>
              </w:rPr>
            </w:pPr>
            <w:bookmarkStart w:name="_bookmark2011" w:id="2013"/>
            <w:bookmarkEnd w:id="2013"/>
            <w:r>
              <w:rPr/>
            </w:r>
            <w:hyperlink w:history="true" w:anchor="_bookmark1874">
              <w:r>
                <w:rPr>
                  <w:color w:val="005DA1"/>
                  <w:spacing w:val="-2"/>
                  <w:sz w:val="14"/>
                  <w:u w:val="single" w:color="005DA1"/>
                </w:rPr>
                <w:t>1326</w:t>
              </w:r>
            </w:hyperlink>
            <w:r>
              <w:rPr>
                <w:spacing w:val="-2"/>
                <w:sz w:val="14"/>
              </w:rPr>
              <w:t>.</w:t>
            </w:r>
          </w:p>
        </w:tc>
        <w:tc>
          <w:tcPr>
            <w:tcW w:w="8621" w:type="dxa"/>
          </w:tcPr>
          <w:p>
            <w:pPr>
              <w:pStyle w:val="TableParagraph"/>
              <w:spacing w:before="114"/>
              <w:jc w:val="left"/>
              <w:rPr>
                <w:sz w:val="20"/>
              </w:rPr>
            </w:pPr>
            <w:r>
              <w:rPr>
                <w:sz w:val="20"/>
              </w:rPr>
              <w:t>See also</w:t>
            </w:r>
            <w:r>
              <w:rPr>
                <w:spacing w:val="-1"/>
                <w:sz w:val="20"/>
              </w:rPr>
              <w:t> </w:t>
            </w:r>
            <w:r>
              <w:rPr>
                <w:rFonts w:ascii="Arial"/>
                <w:i/>
                <w:sz w:val="20"/>
              </w:rPr>
              <w:t>Ballett v Mingay [1943] K.B. </w:t>
            </w:r>
            <w:r>
              <w:rPr>
                <w:rFonts w:ascii="Arial"/>
                <w:i/>
                <w:spacing w:val="-4"/>
                <w:sz w:val="20"/>
              </w:rPr>
              <w:t>281</w:t>
            </w:r>
            <w:r>
              <w:rPr>
                <w:spacing w:val="-4"/>
                <w:sz w:val="20"/>
              </w:rPr>
              <w:t>.</w:t>
            </w:r>
          </w:p>
        </w:tc>
      </w:tr>
      <w:tr>
        <w:trPr>
          <w:trHeight w:val="465" w:hRule="atLeast"/>
        </w:trPr>
        <w:tc>
          <w:tcPr>
            <w:tcW w:w="496" w:type="dxa"/>
          </w:tcPr>
          <w:p>
            <w:pPr>
              <w:pStyle w:val="TableParagraph"/>
              <w:ind w:left="0" w:right="43"/>
              <w:rPr>
                <w:sz w:val="14"/>
              </w:rPr>
            </w:pPr>
            <w:bookmarkStart w:name="_bookmark2012" w:id="2014"/>
            <w:bookmarkEnd w:id="2014"/>
            <w:r>
              <w:rPr/>
            </w:r>
            <w:hyperlink w:history="true" w:anchor="_bookmark1875">
              <w:r>
                <w:rPr>
                  <w:color w:val="005DA1"/>
                  <w:spacing w:val="-2"/>
                  <w:sz w:val="14"/>
                  <w:u w:val="single" w:color="005DA1"/>
                </w:rPr>
                <w:t>1327</w:t>
              </w:r>
            </w:hyperlink>
            <w:r>
              <w:rPr>
                <w:spacing w:val="-2"/>
                <w:sz w:val="14"/>
              </w:rPr>
              <w:t>.</w:t>
            </w:r>
          </w:p>
        </w:tc>
        <w:tc>
          <w:tcPr>
            <w:tcW w:w="8621" w:type="dxa"/>
          </w:tcPr>
          <w:p>
            <w:pPr>
              <w:pStyle w:val="TableParagraph"/>
              <w:spacing w:before="114"/>
              <w:jc w:val="left"/>
              <w:rPr>
                <w:sz w:val="20"/>
              </w:rPr>
            </w:pPr>
            <w:r>
              <w:rPr>
                <w:sz w:val="20"/>
              </w:rPr>
              <w:t>See above, paras 1-150—1-</w:t>
            </w:r>
            <w:r>
              <w:rPr>
                <w:spacing w:val="-4"/>
                <w:sz w:val="20"/>
              </w:rPr>
              <w:t>151.</w:t>
            </w:r>
          </w:p>
        </w:tc>
      </w:tr>
      <w:tr>
        <w:trPr>
          <w:trHeight w:val="465" w:hRule="atLeast"/>
        </w:trPr>
        <w:tc>
          <w:tcPr>
            <w:tcW w:w="496" w:type="dxa"/>
          </w:tcPr>
          <w:p>
            <w:pPr>
              <w:pStyle w:val="TableParagraph"/>
              <w:ind w:left="0" w:right="43"/>
              <w:rPr>
                <w:sz w:val="14"/>
              </w:rPr>
            </w:pPr>
            <w:bookmarkStart w:name="_bookmark2013" w:id="2015"/>
            <w:bookmarkEnd w:id="2015"/>
            <w:r>
              <w:rPr/>
            </w:r>
            <w:hyperlink w:history="true" w:anchor="_bookmark1876">
              <w:r>
                <w:rPr>
                  <w:color w:val="005DA1"/>
                  <w:spacing w:val="-2"/>
                  <w:sz w:val="14"/>
                  <w:u w:val="single" w:color="005DA1"/>
                </w:rPr>
                <w:t>1328</w:t>
              </w:r>
            </w:hyperlink>
            <w:r>
              <w:rPr>
                <w:spacing w:val="-2"/>
                <w:sz w:val="14"/>
              </w:rPr>
              <w:t>.</w:t>
            </w:r>
          </w:p>
        </w:tc>
        <w:tc>
          <w:tcPr>
            <w:tcW w:w="8621" w:type="dxa"/>
          </w:tcPr>
          <w:p>
            <w:pPr>
              <w:pStyle w:val="TableParagraph"/>
              <w:spacing w:before="114"/>
              <w:jc w:val="left"/>
              <w:rPr>
                <w:sz w:val="20"/>
              </w:rPr>
            </w:pPr>
            <w:r>
              <w:rPr>
                <w:sz w:val="20"/>
              </w:rPr>
              <w:t>See above, para.1-150 and below, paras 7-055, 7-077 and 26-019 et </w:t>
            </w:r>
            <w:r>
              <w:rPr>
                <w:spacing w:val="-4"/>
                <w:sz w:val="20"/>
              </w:rPr>
              <w:t>seq.</w:t>
            </w:r>
          </w:p>
        </w:tc>
      </w:tr>
      <w:tr>
        <w:trPr>
          <w:trHeight w:val="465" w:hRule="atLeast"/>
        </w:trPr>
        <w:tc>
          <w:tcPr>
            <w:tcW w:w="496" w:type="dxa"/>
          </w:tcPr>
          <w:p>
            <w:pPr>
              <w:pStyle w:val="TableParagraph"/>
              <w:ind w:left="0" w:right="43"/>
              <w:rPr>
                <w:sz w:val="14"/>
              </w:rPr>
            </w:pPr>
            <w:bookmarkStart w:name="_bookmark2014" w:id="2016"/>
            <w:bookmarkEnd w:id="2016"/>
            <w:r>
              <w:rPr/>
            </w:r>
            <w:hyperlink w:history="true" w:anchor="_bookmark1877">
              <w:r>
                <w:rPr>
                  <w:color w:val="005DA1"/>
                  <w:spacing w:val="-2"/>
                  <w:sz w:val="14"/>
                  <w:u w:val="single" w:color="005DA1"/>
                </w:rPr>
                <w:t>1329</w:t>
              </w:r>
            </w:hyperlink>
            <w:r>
              <w:rPr>
                <w:spacing w:val="-2"/>
                <w:sz w:val="14"/>
              </w:rPr>
              <w:t>.</w:t>
            </w:r>
          </w:p>
        </w:tc>
        <w:tc>
          <w:tcPr>
            <w:tcW w:w="8621" w:type="dxa"/>
          </w:tcPr>
          <w:p>
            <w:pPr>
              <w:pStyle w:val="TableParagraph"/>
              <w:spacing w:before="114"/>
              <w:jc w:val="left"/>
              <w:rPr>
                <w:sz w:val="20"/>
              </w:rPr>
            </w:pPr>
            <w:r>
              <w:rPr>
                <w:sz w:val="20"/>
              </w:rPr>
              <w:t>See above, para.1-</w:t>
            </w:r>
            <w:r>
              <w:rPr>
                <w:spacing w:val="-4"/>
                <w:sz w:val="20"/>
              </w:rPr>
              <w:t>150.</w:t>
            </w:r>
          </w:p>
        </w:tc>
      </w:tr>
      <w:tr>
        <w:trPr>
          <w:trHeight w:val="690" w:hRule="atLeast"/>
        </w:trPr>
        <w:tc>
          <w:tcPr>
            <w:tcW w:w="496" w:type="dxa"/>
          </w:tcPr>
          <w:p>
            <w:pPr>
              <w:pStyle w:val="TableParagraph"/>
              <w:ind w:left="0" w:right="43"/>
              <w:rPr>
                <w:sz w:val="14"/>
              </w:rPr>
            </w:pPr>
            <w:bookmarkStart w:name="_bookmark2015" w:id="2017"/>
            <w:bookmarkEnd w:id="2017"/>
            <w:r>
              <w:rPr/>
            </w:r>
            <w:hyperlink w:history="true" w:anchor="_bookmark1878">
              <w:r>
                <w:rPr>
                  <w:color w:val="005DA1"/>
                  <w:spacing w:val="-2"/>
                  <w:sz w:val="14"/>
                  <w:u w:val="single" w:color="005DA1"/>
                </w:rPr>
                <w:t>1330</w:t>
              </w:r>
            </w:hyperlink>
            <w:r>
              <w:rPr>
                <w:spacing w:val="-2"/>
                <w:sz w:val="14"/>
              </w:rPr>
              <w:t>.</w:t>
            </w:r>
          </w:p>
        </w:tc>
        <w:tc>
          <w:tcPr>
            <w:tcW w:w="8621" w:type="dxa"/>
          </w:tcPr>
          <w:p>
            <w:pPr>
              <w:pStyle w:val="TableParagraph"/>
              <w:spacing w:line="235" w:lineRule="auto" w:before="118"/>
              <w:jc w:val="left"/>
              <w:rPr>
                <w:sz w:val="20"/>
              </w:rPr>
            </w:pPr>
            <w:r>
              <w:rPr>
                <w:sz w:val="20"/>
              </w:rPr>
              <w:t>And</w:t>
            </w:r>
            <w:r>
              <w:rPr>
                <w:spacing w:val="24"/>
                <w:sz w:val="20"/>
              </w:rPr>
              <w:t> </w:t>
            </w:r>
            <w:r>
              <w:rPr>
                <w:sz w:val="20"/>
              </w:rPr>
              <w:t>cf.</w:t>
            </w:r>
            <w:r>
              <w:rPr>
                <w:spacing w:val="24"/>
                <w:sz w:val="20"/>
              </w:rPr>
              <w:t> </w:t>
            </w:r>
            <w:r>
              <w:rPr>
                <w:sz w:val="20"/>
              </w:rPr>
              <w:t>Cane,</w:t>
            </w:r>
            <w:r>
              <w:rPr>
                <w:spacing w:val="24"/>
                <w:sz w:val="20"/>
              </w:rPr>
              <w:t> </w:t>
            </w:r>
            <w:r>
              <w:rPr>
                <w:rFonts w:ascii="Arial" w:hAnsi="Arial"/>
                <w:i/>
                <w:sz w:val="20"/>
              </w:rPr>
              <w:t>Tort</w:t>
            </w:r>
            <w:r>
              <w:rPr>
                <w:rFonts w:ascii="Arial" w:hAnsi="Arial"/>
                <w:i/>
                <w:spacing w:val="24"/>
                <w:sz w:val="20"/>
              </w:rPr>
              <w:t> </w:t>
            </w:r>
            <w:r>
              <w:rPr>
                <w:rFonts w:ascii="Arial" w:hAnsi="Arial"/>
                <w:i/>
                <w:sz w:val="20"/>
              </w:rPr>
              <w:t>Law</w:t>
            </w:r>
            <w:r>
              <w:rPr>
                <w:rFonts w:ascii="Arial" w:hAnsi="Arial"/>
                <w:i/>
                <w:spacing w:val="24"/>
                <w:sz w:val="20"/>
              </w:rPr>
              <w:t> </w:t>
            </w:r>
            <w:r>
              <w:rPr>
                <w:rFonts w:ascii="Arial" w:hAnsi="Arial"/>
                <w:i/>
                <w:sz w:val="20"/>
              </w:rPr>
              <w:t>and</w:t>
            </w:r>
            <w:r>
              <w:rPr>
                <w:rFonts w:ascii="Arial" w:hAnsi="Arial"/>
                <w:i/>
                <w:spacing w:val="24"/>
                <w:sz w:val="20"/>
              </w:rPr>
              <w:t> </w:t>
            </w:r>
            <w:r>
              <w:rPr>
                <w:rFonts w:ascii="Arial" w:hAnsi="Arial"/>
                <w:i/>
                <w:sz w:val="20"/>
              </w:rPr>
              <w:t>Economic</w:t>
            </w:r>
            <w:r>
              <w:rPr>
                <w:rFonts w:ascii="Arial" w:hAnsi="Arial"/>
                <w:i/>
                <w:spacing w:val="24"/>
                <w:sz w:val="20"/>
              </w:rPr>
              <w:t> </w:t>
            </w:r>
            <w:r>
              <w:rPr>
                <w:rFonts w:ascii="Arial" w:hAnsi="Arial"/>
                <w:i/>
                <w:sz w:val="20"/>
              </w:rPr>
              <w:t>Interests</w:t>
            </w:r>
            <w:r>
              <w:rPr>
                <w:sz w:val="20"/>
              </w:rPr>
              <w:t>,</w:t>
            </w:r>
            <w:r>
              <w:rPr>
                <w:spacing w:val="24"/>
                <w:sz w:val="20"/>
              </w:rPr>
              <w:t> </w:t>
            </w:r>
            <w:r>
              <w:rPr>
                <w:sz w:val="20"/>
              </w:rPr>
              <w:t>2nd</w:t>
            </w:r>
            <w:r>
              <w:rPr>
                <w:spacing w:val="24"/>
                <w:sz w:val="20"/>
              </w:rPr>
              <w:t> </w:t>
            </w:r>
            <w:r>
              <w:rPr>
                <w:sz w:val="20"/>
              </w:rPr>
              <w:t>edn</w:t>
            </w:r>
            <w:r>
              <w:rPr>
                <w:spacing w:val="24"/>
                <w:sz w:val="20"/>
              </w:rPr>
              <w:t> </w:t>
            </w:r>
            <w:r>
              <w:rPr>
                <w:sz w:val="20"/>
              </w:rPr>
              <w:t>(1996),</w:t>
            </w:r>
            <w:r>
              <w:rPr>
                <w:spacing w:val="24"/>
                <w:sz w:val="20"/>
              </w:rPr>
              <w:t> </w:t>
            </w:r>
            <w:r>
              <w:rPr>
                <w:sz w:val="20"/>
              </w:rPr>
              <w:t>pp.142–145</w:t>
            </w:r>
            <w:r>
              <w:rPr>
                <w:spacing w:val="24"/>
                <w:sz w:val="20"/>
              </w:rPr>
              <w:t> </w:t>
            </w:r>
            <w:r>
              <w:rPr>
                <w:sz w:val="20"/>
              </w:rPr>
              <w:t>and</w:t>
            </w:r>
            <w:r>
              <w:rPr>
                <w:spacing w:val="24"/>
                <w:sz w:val="20"/>
              </w:rPr>
              <w:t> </w:t>
            </w:r>
            <w:r>
              <w:rPr>
                <w:sz w:val="20"/>
              </w:rPr>
              <w:t>Whittaker (1996) 16 O.J.L.S. 191, 207 et seq.</w:t>
            </w:r>
          </w:p>
        </w:tc>
      </w:tr>
      <w:tr>
        <w:trPr>
          <w:trHeight w:val="465" w:hRule="atLeast"/>
        </w:trPr>
        <w:tc>
          <w:tcPr>
            <w:tcW w:w="496" w:type="dxa"/>
          </w:tcPr>
          <w:p>
            <w:pPr>
              <w:pStyle w:val="TableParagraph"/>
              <w:ind w:left="0" w:right="43"/>
              <w:rPr>
                <w:sz w:val="14"/>
              </w:rPr>
            </w:pPr>
            <w:bookmarkStart w:name="_bookmark2016" w:id="2018"/>
            <w:bookmarkEnd w:id="2018"/>
            <w:r>
              <w:rPr/>
            </w:r>
            <w:hyperlink w:history="true" w:anchor="_bookmark1879">
              <w:r>
                <w:rPr>
                  <w:color w:val="005DA1"/>
                  <w:spacing w:val="-2"/>
                  <w:sz w:val="14"/>
                  <w:u w:val="single" w:color="005DA1"/>
                </w:rPr>
                <w:t>1331</w:t>
              </w:r>
            </w:hyperlink>
            <w:r>
              <w:rPr>
                <w:spacing w:val="-2"/>
                <w:sz w:val="14"/>
              </w:rPr>
              <w:t>.</w:t>
            </w:r>
          </w:p>
        </w:tc>
        <w:tc>
          <w:tcPr>
            <w:tcW w:w="8621" w:type="dxa"/>
          </w:tcPr>
          <w:p>
            <w:pPr>
              <w:pStyle w:val="TableParagraph"/>
              <w:spacing w:before="114"/>
              <w:jc w:val="left"/>
              <w:rPr>
                <w:sz w:val="20"/>
              </w:rPr>
            </w:pPr>
            <w:r>
              <w:rPr>
                <w:sz w:val="20"/>
              </w:rPr>
              <w:t>See above, para.1-</w:t>
            </w:r>
            <w:r>
              <w:rPr>
                <w:spacing w:val="-4"/>
                <w:sz w:val="20"/>
              </w:rPr>
              <w:t>161.</w:t>
            </w:r>
          </w:p>
        </w:tc>
      </w:tr>
      <w:tr>
        <w:trPr>
          <w:trHeight w:val="465" w:hRule="atLeast"/>
        </w:trPr>
        <w:tc>
          <w:tcPr>
            <w:tcW w:w="496" w:type="dxa"/>
          </w:tcPr>
          <w:p>
            <w:pPr>
              <w:pStyle w:val="TableParagraph"/>
              <w:ind w:left="0" w:right="43"/>
              <w:rPr>
                <w:sz w:val="14"/>
              </w:rPr>
            </w:pPr>
            <w:bookmarkStart w:name="_bookmark2017" w:id="2019"/>
            <w:bookmarkEnd w:id="2019"/>
            <w:r>
              <w:rPr/>
            </w:r>
            <w:hyperlink w:history="true" w:anchor="_bookmark1880">
              <w:r>
                <w:rPr>
                  <w:color w:val="005DA1"/>
                  <w:spacing w:val="-2"/>
                  <w:sz w:val="14"/>
                  <w:u w:val="single" w:color="005DA1"/>
                </w:rPr>
                <w:t>1332</w:t>
              </w:r>
            </w:hyperlink>
            <w:r>
              <w:rPr>
                <w:spacing w:val="-2"/>
                <w:sz w:val="14"/>
              </w:rPr>
              <w:t>.</w:t>
            </w:r>
          </w:p>
        </w:tc>
        <w:tc>
          <w:tcPr>
            <w:tcW w:w="8621" w:type="dxa"/>
          </w:tcPr>
          <w:p>
            <w:pPr>
              <w:pStyle w:val="TableParagraph"/>
              <w:spacing w:before="114"/>
              <w:jc w:val="left"/>
              <w:rPr>
                <w:sz w:val="20"/>
              </w:rPr>
            </w:pPr>
            <w:r>
              <w:rPr>
                <w:rFonts w:ascii="Arial"/>
                <w:i/>
                <w:sz w:val="20"/>
              </w:rPr>
              <w:t>[1964]</w:t>
            </w:r>
            <w:r>
              <w:rPr>
                <w:rFonts w:ascii="Arial"/>
                <w:i/>
                <w:spacing w:val="-2"/>
                <w:sz w:val="20"/>
              </w:rPr>
              <w:t> </w:t>
            </w:r>
            <w:r>
              <w:rPr>
                <w:rFonts w:ascii="Arial"/>
                <w:i/>
                <w:sz w:val="20"/>
              </w:rPr>
              <w:t>1 W.L.R. </w:t>
            </w:r>
            <w:r>
              <w:rPr>
                <w:rFonts w:ascii="Arial"/>
                <w:i/>
                <w:spacing w:val="-4"/>
                <w:sz w:val="20"/>
              </w:rPr>
              <w:t>885</w:t>
            </w:r>
            <w:r>
              <w:rPr>
                <w:spacing w:val="-4"/>
                <w:sz w:val="20"/>
              </w:rPr>
              <w:t>.</w:t>
            </w:r>
          </w:p>
        </w:tc>
      </w:tr>
      <w:tr>
        <w:trPr>
          <w:trHeight w:val="465" w:hRule="atLeast"/>
        </w:trPr>
        <w:tc>
          <w:tcPr>
            <w:tcW w:w="496" w:type="dxa"/>
          </w:tcPr>
          <w:p>
            <w:pPr>
              <w:pStyle w:val="TableParagraph"/>
              <w:ind w:left="0" w:right="43"/>
              <w:rPr>
                <w:sz w:val="14"/>
              </w:rPr>
            </w:pPr>
            <w:bookmarkStart w:name="_bookmark2018" w:id="2020"/>
            <w:bookmarkEnd w:id="2020"/>
            <w:r>
              <w:rPr/>
            </w:r>
            <w:hyperlink w:history="true" w:anchor="_bookmark1880">
              <w:r>
                <w:rPr>
                  <w:color w:val="005DA1"/>
                  <w:spacing w:val="-2"/>
                  <w:sz w:val="14"/>
                  <w:u w:val="single" w:color="005DA1"/>
                </w:rPr>
                <w:t>1333</w:t>
              </w:r>
            </w:hyperlink>
            <w:r>
              <w:rPr>
                <w:spacing w:val="-2"/>
                <w:sz w:val="14"/>
              </w:rPr>
              <w:t>.</w:t>
            </w:r>
          </w:p>
        </w:tc>
        <w:tc>
          <w:tcPr>
            <w:tcW w:w="8621" w:type="dxa"/>
          </w:tcPr>
          <w:p>
            <w:pPr>
              <w:pStyle w:val="TableParagraph"/>
              <w:spacing w:before="114"/>
              <w:jc w:val="left"/>
              <w:rPr>
                <w:sz w:val="20"/>
              </w:rPr>
            </w:pPr>
            <w:r>
              <w:rPr>
                <w:rFonts w:ascii="Arial"/>
                <w:i/>
                <w:sz w:val="20"/>
              </w:rPr>
              <w:t>[1964] 1 W.L.R. 885</w:t>
            </w:r>
            <w:r>
              <w:rPr>
                <w:rFonts w:ascii="Arial"/>
                <w:i/>
                <w:spacing w:val="-1"/>
                <w:sz w:val="20"/>
              </w:rPr>
              <w:t> </w:t>
            </w:r>
            <w:r>
              <w:rPr>
                <w:sz w:val="20"/>
              </w:rPr>
              <w:t>at </w:t>
            </w:r>
            <w:r>
              <w:rPr>
                <w:spacing w:val="-4"/>
                <w:sz w:val="20"/>
              </w:rPr>
              <w:t>891.</w:t>
            </w:r>
          </w:p>
        </w:tc>
      </w:tr>
      <w:tr>
        <w:trPr>
          <w:trHeight w:val="1365" w:hRule="atLeast"/>
        </w:trPr>
        <w:tc>
          <w:tcPr>
            <w:tcW w:w="496" w:type="dxa"/>
          </w:tcPr>
          <w:p>
            <w:pPr>
              <w:pStyle w:val="TableParagraph"/>
              <w:ind w:left="0" w:right="43"/>
              <w:rPr>
                <w:sz w:val="14"/>
              </w:rPr>
            </w:pPr>
            <w:bookmarkStart w:name="_bookmark2019" w:id="2021"/>
            <w:bookmarkEnd w:id="2021"/>
            <w:r>
              <w:rPr/>
            </w:r>
            <w:hyperlink w:history="true" w:anchor="_bookmark1881">
              <w:r>
                <w:rPr>
                  <w:color w:val="005DA1"/>
                  <w:spacing w:val="-2"/>
                  <w:sz w:val="14"/>
                  <w:u w:val="single" w:color="005DA1"/>
                </w:rPr>
                <w:t>1334</w:t>
              </w:r>
            </w:hyperlink>
            <w:r>
              <w:rPr>
                <w:spacing w:val="-2"/>
                <w:sz w:val="14"/>
              </w:rPr>
              <w:t>.</w:t>
            </w:r>
          </w:p>
        </w:tc>
        <w:tc>
          <w:tcPr>
            <w:tcW w:w="8621" w:type="dxa"/>
          </w:tcPr>
          <w:p>
            <w:pPr>
              <w:pStyle w:val="TableParagraph"/>
              <w:spacing w:line="227" w:lineRule="exact" w:before="114"/>
              <w:jc w:val="both"/>
              <w:rPr>
                <w:rFonts w:ascii="Arial"/>
                <w:i/>
                <w:sz w:val="20"/>
              </w:rPr>
            </w:pPr>
            <w:r>
              <w:rPr>
                <w:sz w:val="20"/>
              </w:rPr>
              <w:t>And</w:t>
            </w:r>
            <w:r>
              <w:rPr>
                <w:spacing w:val="1"/>
                <w:sz w:val="20"/>
              </w:rPr>
              <w:t> </w:t>
            </w:r>
            <w:r>
              <w:rPr>
                <w:sz w:val="20"/>
              </w:rPr>
              <w:t>cf.</w:t>
            </w:r>
            <w:r>
              <w:rPr>
                <w:spacing w:val="1"/>
                <w:sz w:val="20"/>
              </w:rPr>
              <w:t> </w:t>
            </w:r>
            <w:r>
              <w:rPr>
                <w:rFonts w:ascii="Arial"/>
                <w:i/>
                <w:sz w:val="20"/>
              </w:rPr>
              <w:t>County</w:t>
            </w:r>
            <w:r>
              <w:rPr>
                <w:rFonts w:ascii="Arial"/>
                <w:i/>
                <w:spacing w:val="1"/>
                <w:sz w:val="20"/>
              </w:rPr>
              <w:t> </w:t>
            </w:r>
            <w:r>
              <w:rPr>
                <w:rFonts w:ascii="Arial"/>
                <w:i/>
                <w:sz w:val="20"/>
              </w:rPr>
              <w:t>Personnel</w:t>
            </w:r>
            <w:r>
              <w:rPr>
                <w:rFonts w:ascii="Arial"/>
                <w:i/>
                <w:spacing w:val="1"/>
                <w:sz w:val="20"/>
              </w:rPr>
              <w:t> </w:t>
            </w:r>
            <w:r>
              <w:rPr>
                <w:rFonts w:ascii="Arial"/>
                <w:i/>
                <w:sz w:val="20"/>
              </w:rPr>
              <w:t>(Employment</w:t>
            </w:r>
            <w:r>
              <w:rPr>
                <w:rFonts w:ascii="Arial"/>
                <w:i/>
                <w:spacing w:val="1"/>
                <w:sz w:val="20"/>
              </w:rPr>
              <w:t> </w:t>
            </w:r>
            <w:r>
              <w:rPr>
                <w:rFonts w:ascii="Arial"/>
                <w:i/>
                <w:sz w:val="20"/>
              </w:rPr>
              <w:t>Agency)</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Alan</w:t>
            </w:r>
            <w:r>
              <w:rPr>
                <w:rFonts w:ascii="Arial"/>
                <w:i/>
                <w:spacing w:val="1"/>
                <w:sz w:val="20"/>
              </w:rPr>
              <w:t> </w:t>
            </w:r>
            <w:r>
              <w:rPr>
                <w:rFonts w:ascii="Arial"/>
                <w:i/>
                <w:sz w:val="20"/>
              </w:rPr>
              <w:t>R.</w:t>
            </w:r>
            <w:r>
              <w:rPr>
                <w:rFonts w:ascii="Arial"/>
                <w:i/>
                <w:spacing w:val="1"/>
                <w:sz w:val="20"/>
              </w:rPr>
              <w:t> </w:t>
            </w:r>
            <w:r>
              <w:rPr>
                <w:rFonts w:ascii="Arial"/>
                <w:i/>
                <w:sz w:val="20"/>
              </w:rPr>
              <w:t>Pulver</w:t>
            </w:r>
            <w:r>
              <w:rPr>
                <w:rFonts w:ascii="Arial"/>
                <w:i/>
                <w:spacing w:val="1"/>
                <w:sz w:val="20"/>
              </w:rPr>
              <w:t> </w:t>
            </w:r>
            <w:r>
              <w:rPr>
                <w:rFonts w:ascii="Arial"/>
                <w:i/>
                <w:sz w:val="20"/>
              </w:rPr>
              <w:t>&amp;</w:t>
            </w:r>
            <w:r>
              <w:rPr>
                <w:rFonts w:ascii="Arial"/>
                <w:i/>
                <w:spacing w:val="1"/>
                <w:sz w:val="20"/>
              </w:rPr>
              <w:t> </w:t>
            </w:r>
            <w:r>
              <w:rPr>
                <w:rFonts w:ascii="Arial"/>
                <w:i/>
                <w:sz w:val="20"/>
              </w:rPr>
              <w:t>Co</w:t>
            </w:r>
            <w:r>
              <w:rPr>
                <w:rFonts w:ascii="Arial"/>
                <w:i/>
                <w:spacing w:val="1"/>
                <w:sz w:val="20"/>
              </w:rPr>
              <w:t> </w:t>
            </w:r>
            <w:r>
              <w:rPr>
                <w:rFonts w:ascii="Arial"/>
                <w:i/>
                <w:sz w:val="20"/>
              </w:rPr>
              <w:t>[1987]</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pacing w:val="-5"/>
                <w:sz w:val="20"/>
              </w:rPr>
              <w:t>916</w:t>
            </w:r>
          </w:p>
          <w:p>
            <w:pPr>
              <w:pStyle w:val="TableParagraph"/>
              <w:spacing w:line="235" w:lineRule="auto" w:before="1"/>
              <w:ind w:right="49"/>
              <w:jc w:val="both"/>
              <w:rPr>
                <w:sz w:val="20"/>
              </w:rPr>
            </w:pPr>
            <w:r>
              <w:rPr>
                <w:sz w:val="20"/>
              </w:rPr>
              <w:t>, where the court did not generally feel it necessary to classify the claim beyond that it was for negligence, though the test of remoteness applied was found in </w:t>
            </w:r>
            <w:r>
              <w:rPr>
                <w:rFonts w:ascii="Arial"/>
                <w:i/>
                <w:sz w:val="20"/>
              </w:rPr>
              <w:t>Hadley v Baxendale (1854) 9 Exch. 341</w:t>
            </w:r>
            <w:r>
              <w:rPr>
                <w:sz w:val="20"/>
              </w:rPr>
              <w:t>: </w:t>
            </w:r>
            <w:r>
              <w:rPr>
                <w:rFonts w:ascii="Arial"/>
                <w:i/>
                <w:sz w:val="20"/>
              </w:rPr>
              <w:t>County Personnel (Employment Agency) Ltd v Alan R. Pulver &amp; Co [1987] 1 </w:t>
            </w:r>
            <w:r>
              <w:rPr>
                <w:rFonts w:ascii="Arial"/>
                <w:i/>
                <w:sz w:val="20"/>
              </w:rPr>
              <w:t>W.L.R. 916 </w:t>
            </w:r>
            <w:r>
              <w:rPr>
                <w:sz w:val="20"/>
              </w:rPr>
              <w:t>at 926.</w:t>
            </w:r>
          </w:p>
        </w:tc>
      </w:tr>
      <w:tr>
        <w:trPr>
          <w:trHeight w:val="690" w:hRule="atLeast"/>
        </w:trPr>
        <w:tc>
          <w:tcPr>
            <w:tcW w:w="496" w:type="dxa"/>
          </w:tcPr>
          <w:p>
            <w:pPr>
              <w:pStyle w:val="TableParagraph"/>
              <w:ind w:left="0" w:right="43"/>
              <w:rPr>
                <w:sz w:val="14"/>
              </w:rPr>
            </w:pPr>
            <w:bookmarkStart w:name="_bookmark2020" w:id="2022"/>
            <w:bookmarkEnd w:id="2022"/>
            <w:r>
              <w:rPr/>
            </w:r>
            <w:hyperlink w:history="true" w:anchor="_bookmark1882">
              <w:r>
                <w:rPr>
                  <w:color w:val="005DA1"/>
                  <w:spacing w:val="-2"/>
                  <w:sz w:val="14"/>
                  <w:u w:val="single" w:color="005DA1"/>
                </w:rPr>
                <w:t>1335</w:t>
              </w:r>
            </w:hyperlink>
            <w:r>
              <w:rPr>
                <w:spacing w:val="-2"/>
                <w:sz w:val="14"/>
              </w:rPr>
              <w:t>.</w:t>
            </w:r>
          </w:p>
        </w:tc>
        <w:tc>
          <w:tcPr>
            <w:tcW w:w="8621" w:type="dxa"/>
          </w:tcPr>
          <w:p>
            <w:pPr>
              <w:pStyle w:val="TableParagraph"/>
              <w:spacing w:line="235" w:lineRule="auto" w:before="118"/>
              <w:jc w:val="left"/>
              <w:rPr>
                <w:sz w:val="20"/>
              </w:rPr>
            </w:pPr>
            <w:r>
              <w:rPr>
                <w:rFonts w:ascii="Arial"/>
                <w:i/>
                <w:sz w:val="20"/>
              </w:rPr>
              <w:t>[1964] 1 W.L.R. 885, 887</w:t>
            </w:r>
            <w:r>
              <w:rPr>
                <w:sz w:val="20"/>
              </w:rPr>
              <w:t>, citing Lord Haldane in </w:t>
            </w:r>
            <w:r>
              <w:rPr>
                <w:rFonts w:ascii="Arial"/>
                <w:i/>
                <w:sz w:val="20"/>
              </w:rPr>
              <w:t>British Westinghouse Electric &amp; Manufacturing Co Ltd v Underground Electric Rlys Co of London Ltd [1912] A.C. 673, 689</w:t>
            </w:r>
            <w:r>
              <w:rPr>
                <w:sz w:val="20"/>
              </w:rPr>
              <w:t>.</w:t>
            </w:r>
          </w:p>
        </w:tc>
      </w:tr>
      <w:tr>
        <w:trPr>
          <w:trHeight w:val="569" w:hRule="atLeast"/>
        </w:trPr>
        <w:tc>
          <w:tcPr>
            <w:tcW w:w="496" w:type="dxa"/>
          </w:tcPr>
          <w:p>
            <w:pPr>
              <w:pStyle w:val="TableParagraph"/>
              <w:ind w:left="0" w:right="43"/>
              <w:rPr>
                <w:sz w:val="14"/>
              </w:rPr>
            </w:pPr>
            <w:bookmarkStart w:name="_bookmark2021" w:id="2023"/>
            <w:bookmarkEnd w:id="2023"/>
            <w:r>
              <w:rPr/>
            </w:r>
            <w:hyperlink w:history="true" w:anchor="_bookmark1883">
              <w:r>
                <w:rPr>
                  <w:color w:val="005DA1"/>
                  <w:spacing w:val="-2"/>
                  <w:sz w:val="14"/>
                  <w:u w:val="single" w:color="005DA1"/>
                </w:rPr>
                <w:t>1336</w:t>
              </w:r>
            </w:hyperlink>
            <w:r>
              <w:rPr>
                <w:spacing w:val="-2"/>
                <w:sz w:val="14"/>
              </w:rPr>
              <w:t>.</w:t>
            </w:r>
          </w:p>
        </w:tc>
        <w:tc>
          <w:tcPr>
            <w:tcW w:w="8621" w:type="dxa"/>
          </w:tcPr>
          <w:p>
            <w:pPr>
              <w:pStyle w:val="TableParagraph"/>
              <w:spacing w:line="226" w:lineRule="exact" w:before="97"/>
              <w:jc w:val="left"/>
              <w:rPr>
                <w:sz w:val="20"/>
              </w:rPr>
            </w:pPr>
            <w:r>
              <w:rPr>
                <w:rFonts w:ascii="Arial" w:hAnsi="Arial"/>
                <w:i/>
                <w:sz w:val="20"/>
              </w:rPr>
              <w:t>[1964] 1 W.L.R. 885 </w:t>
            </w:r>
            <w:r>
              <w:rPr>
                <w:sz w:val="20"/>
              </w:rPr>
              <w:t>at 888. As the property with the restriction was worth the price which </w:t>
            </w:r>
            <w:r>
              <w:rPr>
                <w:sz w:val="20"/>
              </w:rPr>
              <w:t>they paid, the plaintiffs’ loss was held to be nil: at [891]. cf. </w:t>
            </w:r>
            <w:r>
              <w:rPr>
                <w:rFonts w:ascii="Arial" w:hAnsi="Arial"/>
                <w:i/>
                <w:sz w:val="20"/>
              </w:rPr>
              <w:t>Murray v Lloyd [1989] 1 W.L.R. 1260</w:t>
            </w:r>
            <w:r>
              <w:rPr>
                <w:sz w:val="20"/>
              </w:rPr>
              <w:t>.</w:t>
            </w:r>
          </w:p>
        </w:tc>
      </w:tr>
      <w:tr>
        <w:trPr>
          <w:trHeight w:val="810" w:hRule="atLeast"/>
        </w:trPr>
        <w:tc>
          <w:tcPr>
            <w:tcW w:w="496" w:type="dxa"/>
          </w:tcPr>
          <w:p>
            <w:pPr>
              <w:pStyle w:val="TableParagraph"/>
              <w:spacing w:before="81"/>
              <w:ind w:left="0"/>
              <w:jc w:val="left"/>
              <w:rPr>
                <w:sz w:val="14"/>
              </w:rPr>
            </w:pPr>
          </w:p>
          <w:p>
            <w:pPr>
              <w:pStyle w:val="TableParagraph"/>
              <w:spacing w:before="0"/>
              <w:ind w:left="0" w:right="43"/>
              <w:rPr>
                <w:sz w:val="14"/>
              </w:rPr>
            </w:pPr>
            <w:bookmarkStart w:name="_bookmark2022" w:id="2024"/>
            <w:bookmarkEnd w:id="2024"/>
            <w:r>
              <w:rPr/>
            </w:r>
            <w:hyperlink w:history="true" w:anchor="_bookmark1884">
              <w:r>
                <w:rPr>
                  <w:color w:val="005DA1"/>
                  <w:spacing w:val="-2"/>
                  <w:sz w:val="14"/>
                  <w:u w:val="single" w:color="005DA1"/>
                </w:rPr>
                <w:t>1337</w:t>
              </w:r>
            </w:hyperlink>
            <w:r>
              <w:rPr>
                <w:spacing w:val="-2"/>
                <w:sz w:val="14"/>
              </w:rPr>
              <w:t>.</w:t>
            </w:r>
          </w:p>
        </w:tc>
        <w:tc>
          <w:tcPr>
            <w:tcW w:w="8621" w:type="dxa"/>
          </w:tcPr>
          <w:p>
            <w:pPr>
              <w:pStyle w:val="TableParagraph"/>
              <w:spacing w:before="108"/>
              <w:ind w:left="0"/>
              <w:jc w:val="left"/>
              <w:rPr>
                <w:sz w:val="20"/>
              </w:rPr>
            </w:pPr>
          </w:p>
          <w:p>
            <w:pPr>
              <w:pStyle w:val="TableParagraph"/>
              <w:spacing w:line="226" w:lineRule="exact" w:before="1"/>
              <w:ind w:right="47" w:firstLine="170"/>
              <w:jc w:val="left"/>
              <w:rPr>
                <w:rFonts w:ascii="Arial"/>
                <w:i/>
                <w:sz w:val="20"/>
              </w:rPr>
            </w:pPr>
            <w:r>
              <w:rPr>
                <w:rFonts w:ascii="Arial"/>
                <w:i/>
                <w:sz w:val="20"/>
              </w:rPr>
              <mc:AlternateContent>
                <mc:Choice Requires="wps">
                  <w:drawing>
                    <wp:anchor distT="0" distB="0" distL="0" distR="0" allowOverlap="1" layoutInCell="1" locked="0" behindDoc="1" simplePos="0" relativeHeight="480532992">
                      <wp:simplePos x="0" y="0"/>
                      <wp:positionH relativeFrom="column">
                        <wp:posOffset>60516</wp:posOffset>
                      </wp:positionH>
                      <wp:positionV relativeFrom="paragraph">
                        <wp:posOffset>38884</wp:posOffset>
                      </wp:positionV>
                      <wp:extent cx="108585" cy="108585"/>
                      <wp:effectExtent l="0" t="0" r="0" b="0"/>
                      <wp:wrapNone/>
                      <wp:docPr id="527" name="Group 527"/>
                      <wp:cNvGraphicFramePr>
                        <a:graphicFrameLocks/>
                      </wp:cNvGraphicFramePr>
                      <a:graphic>
                        <a:graphicData uri="http://schemas.microsoft.com/office/word/2010/wordprocessingGroup">
                          <wpg:wgp>
                            <wpg:cNvPr id="527" name="Group 527"/>
                            <wpg:cNvGrpSpPr/>
                            <wpg:grpSpPr>
                              <a:xfrm>
                                <a:off x="0" y="0"/>
                                <a:ext cx="108585" cy="108585"/>
                                <a:chExt cx="108585" cy="108585"/>
                              </a:xfrm>
                            </wpg:grpSpPr>
                            <pic:pic>
                              <pic:nvPicPr>
                                <pic:cNvPr id="528" name="Image 528"/>
                                <pic:cNvPicPr/>
                              </pic:nvPicPr>
                              <pic:blipFill>
                                <a:blip r:embed="rId6" cstate="print"/>
                                <a:stretch>
                                  <a:fillRect/>
                                </a:stretch>
                              </pic:blipFill>
                              <pic:spPr>
                                <a:xfrm>
                                  <a:off x="0" y="0"/>
                                  <a:ext cx="107988" cy="107988"/>
                                </a:xfrm>
                                <a:prstGeom prst="rect">
                                  <a:avLst/>
                                </a:prstGeom>
                              </pic:spPr>
                            </pic:pic>
                          </wpg:wgp>
                        </a:graphicData>
                      </a:graphic>
                    </wp:anchor>
                  </w:drawing>
                </mc:Choice>
                <mc:Fallback>
                  <w:pict>
                    <v:group style="position:absolute;margin-left:4.765088pt;margin-top:3.061797pt;width:8.550pt;height:8.550pt;mso-position-horizontal-relative:column;mso-position-vertical-relative:paragraph;z-index:-22783488" id="docshapegroup84" coordorigin="95,61" coordsize="171,171">
                      <v:shape style="position:absolute;left:95;top:61;width:171;height:171" type="#_x0000_t75" id="docshape85" stroked="false">
                        <v:imagedata r:id="rId6" o:title=""/>
                      </v:shape>
                      <w10:wrap type="none"/>
                    </v:group>
                  </w:pict>
                </mc:Fallback>
              </mc:AlternateContent>
            </w:r>
            <w:r>
              <w:rPr>
                <w:rFonts w:ascii="Arial"/>
                <w:i/>
                <w:sz w:val="20"/>
              </w:rPr>
              <w:t>Swingcastle</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Alistair</w:t>
            </w:r>
            <w:r>
              <w:rPr>
                <w:rFonts w:ascii="Arial"/>
                <w:i/>
                <w:spacing w:val="-2"/>
                <w:sz w:val="20"/>
              </w:rPr>
              <w:t> </w:t>
            </w:r>
            <w:r>
              <w:rPr>
                <w:rFonts w:ascii="Arial"/>
                <w:i/>
                <w:sz w:val="20"/>
              </w:rPr>
              <w:t>Gibson</w:t>
            </w:r>
            <w:r>
              <w:rPr>
                <w:rFonts w:ascii="Arial"/>
                <w:i/>
                <w:spacing w:val="-2"/>
                <w:sz w:val="20"/>
              </w:rPr>
              <w:t> </w:t>
            </w:r>
            <w:r>
              <w:rPr>
                <w:rFonts w:ascii="Arial"/>
                <w:i/>
                <w:sz w:val="20"/>
              </w:rPr>
              <w:t>[1991]</w:t>
            </w:r>
            <w:r>
              <w:rPr>
                <w:rFonts w:ascii="Arial"/>
                <w:i/>
                <w:spacing w:val="-2"/>
                <w:sz w:val="20"/>
              </w:rPr>
              <w:t> </w:t>
            </w:r>
            <w:r>
              <w:rPr>
                <w:rFonts w:ascii="Arial"/>
                <w:i/>
                <w:sz w:val="20"/>
              </w:rPr>
              <w:t>2</w:t>
            </w:r>
            <w:r>
              <w:rPr>
                <w:rFonts w:ascii="Arial"/>
                <w:i/>
                <w:spacing w:val="-2"/>
                <w:sz w:val="20"/>
              </w:rPr>
              <w:t> </w:t>
            </w:r>
            <w:r>
              <w:rPr>
                <w:rFonts w:ascii="Arial"/>
                <w:i/>
                <w:sz w:val="20"/>
              </w:rPr>
              <w:t>A.C.</w:t>
            </w:r>
            <w:r>
              <w:rPr>
                <w:rFonts w:ascii="Arial"/>
                <w:i/>
                <w:spacing w:val="-2"/>
                <w:sz w:val="20"/>
              </w:rPr>
              <w:t> </w:t>
            </w:r>
            <w:r>
              <w:rPr>
                <w:rFonts w:ascii="Arial"/>
                <w:i/>
                <w:sz w:val="20"/>
              </w:rPr>
              <w:t>223</w:t>
            </w:r>
            <w:r>
              <w:rPr>
                <w:sz w:val="20"/>
              </w:rPr>
              <w:t>.</w:t>
            </w:r>
            <w:r>
              <w:rPr>
                <w:spacing w:val="-2"/>
                <w:sz w:val="20"/>
              </w:rPr>
              <w:t> </w:t>
            </w:r>
            <w:r>
              <w:rPr>
                <w:sz w:val="20"/>
              </w:rPr>
              <w:t>cf.</w:t>
            </w:r>
            <w:r>
              <w:rPr>
                <w:spacing w:val="-2"/>
                <w:sz w:val="20"/>
              </w:rPr>
              <w:t> </w:t>
            </w:r>
            <w:r>
              <w:rPr>
                <w:rFonts w:ascii="Arial"/>
                <w:i/>
                <w:sz w:val="20"/>
              </w:rPr>
              <w:t>Banque</w:t>
            </w:r>
            <w:r>
              <w:rPr>
                <w:rFonts w:ascii="Arial"/>
                <w:i/>
                <w:spacing w:val="-2"/>
                <w:sz w:val="20"/>
              </w:rPr>
              <w:t> </w:t>
            </w:r>
            <w:r>
              <w:rPr>
                <w:rFonts w:ascii="Arial"/>
                <w:i/>
                <w:sz w:val="20"/>
              </w:rPr>
              <w:t>Bruxelles</w:t>
            </w:r>
            <w:r>
              <w:rPr>
                <w:rFonts w:ascii="Arial"/>
                <w:i/>
                <w:spacing w:val="-2"/>
                <w:sz w:val="20"/>
              </w:rPr>
              <w:t> </w:t>
            </w:r>
            <w:r>
              <w:rPr>
                <w:rFonts w:ascii="Arial"/>
                <w:i/>
                <w:sz w:val="20"/>
              </w:rPr>
              <w:t>Lambert</w:t>
            </w:r>
            <w:r>
              <w:rPr>
                <w:rFonts w:ascii="Arial"/>
                <w:i/>
                <w:spacing w:val="-2"/>
                <w:sz w:val="20"/>
              </w:rPr>
              <w:t> </w:t>
            </w:r>
            <w:r>
              <w:rPr>
                <w:rFonts w:ascii="Arial"/>
                <w:i/>
                <w:sz w:val="20"/>
              </w:rPr>
              <w:t>SA</w:t>
            </w:r>
            <w:r>
              <w:rPr>
                <w:rFonts w:ascii="Arial"/>
                <w:i/>
                <w:spacing w:val="-2"/>
                <w:sz w:val="20"/>
              </w:rPr>
              <w:t> </w:t>
            </w:r>
            <w:r>
              <w:rPr>
                <w:rFonts w:ascii="Arial"/>
                <w:i/>
                <w:sz w:val="20"/>
              </w:rPr>
              <w:t>v</w:t>
            </w:r>
            <w:r>
              <w:rPr>
                <w:rFonts w:ascii="Arial"/>
                <w:i/>
                <w:spacing w:val="-2"/>
                <w:sz w:val="20"/>
              </w:rPr>
              <w:t> </w:t>
            </w:r>
            <w:r>
              <w:rPr>
                <w:rFonts w:ascii="Arial"/>
                <w:i/>
                <w:sz w:val="20"/>
              </w:rPr>
              <w:t>Eagle Star</w:t>
            </w:r>
            <w:r>
              <w:rPr>
                <w:rFonts w:ascii="Arial"/>
                <w:i/>
                <w:spacing w:val="1"/>
                <w:sz w:val="20"/>
              </w:rPr>
              <w:t> </w:t>
            </w:r>
            <w:r>
              <w:rPr>
                <w:rFonts w:ascii="Arial"/>
                <w:i/>
                <w:sz w:val="20"/>
              </w:rPr>
              <w:t>Insurance</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sub</w:t>
            </w:r>
            <w:r>
              <w:rPr>
                <w:rFonts w:ascii="Arial"/>
                <w:i/>
                <w:spacing w:val="1"/>
                <w:sz w:val="20"/>
              </w:rPr>
              <w:t> </w:t>
            </w:r>
            <w:r>
              <w:rPr>
                <w:rFonts w:ascii="Arial"/>
                <w:i/>
                <w:sz w:val="20"/>
              </w:rPr>
              <w:t>nom.</w:t>
            </w:r>
            <w:r>
              <w:rPr>
                <w:rFonts w:ascii="Arial"/>
                <w:i/>
                <w:spacing w:val="1"/>
                <w:sz w:val="20"/>
              </w:rPr>
              <w:t> </w:t>
            </w:r>
            <w:r>
              <w:rPr>
                <w:rFonts w:ascii="Arial"/>
                <w:i/>
                <w:sz w:val="20"/>
              </w:rPr>
              <w:t>South</w:t>
            </w:r>
            <w:r>
              <w:rPr>
                <w:rFonts w:ascii="Arial"/>
                <w:i/>
                <w:spacing w:val="1"/>
                <w:sz w:val="20"/>
              </w:rPr>
              <w:t> </w:t>
            </w:r>
            <w:r>
              <w:rPr>
                <w:rFonts w:ascii="Arial"/>
                <w:i/>
                <w:sz w:val="20"/>
              </w:rPr>
              <w:t>Australia</w:t>
            </w:r>
            <w:r>
              <w:rPr>
                <w:rFonts w:ascii="Arial"/>
                <w:i/>
                <w:spacing w:val="1"/>
                <w:sz w:val="20"/>
              </w:rPr>
              <w:t> </w:t>
            </w:r>
            <w:r>
              <w:rPr>
                <w:rFonts w:ascii="Arial"/>
                <w:i/>
                <w:sz w:val="20"/>
              </w:rPr>
              <w:t>Asset</w:t>
            </w:r>
            <w:r>
              <w:rPr>
                <w:rFonts w:ascii="Arial"/>
                <w:i/>
                <w:spacing w:val="1"/>
                <w:sz w:val="20"/>
              </w:rPr>
              <w:t> </w:t>
            </w:r>
            <w:r>
              <w:rPr>
                <w:rFonts w:ascii="Arial"/>
                <w:i/>
                <w:sz w:val="20"/>
              </w:rPr>
              <w:t>Management</w:t>
            </w:r>
            <w:r>
              <w:rPr>
                <w:rFonts w:ascii="Arial"/>
                <w:i/>
                <w:spacing w:val="1"/>
                <w:sz w:val="20"/>
              </w:rPr>
              <w:t> </w:t>
            </w:r>
            <w:r>
              <w:rPr>
                <w:rFonts w:ascii="Arial"/>
                <w:i/>
                <w:sz w:val="20"/>
              </w:rPr>
              <w:t>Corp</w:t>
            </w:r>
            <w:r>
              <w:rPr>
                <w:rFonts w:ascii="Arial"/>
                <w:i/>
                <w:spacing w:val="1"/>
                <w:sz w:val="20"/>
              </w:rPr>
              <w:t> </w:t>
            </w:r>
            <w:r>
              <w:rPr>
                <w:rFonts w:ascii="Arial"/>
                <w:i/>
                <w:sz w:val="20"/>
              </w:rPr>
              <w:t>v</w:t>
            </w:r>
            <w:r>
              <w:rPr>
                <w:rFonts w:ascii="Arial"/>
                <w:i/>
                <w:spacing w:val="1"/>
                <w:sz w:val="20"/>
              </w:rPr>
              <w:t> </w:t>
            </w:r>
            <w:r>
              <w:rPr>
                <w:rFonts w:ascii="Arial"/>
                <w:i/>
                <w:sz w:val="20"/>
              </w:rPr>
              <w:t>York</w:t>
            </w:r>
            <w:r>
              <w:rPr>
                <w:rFonts w:ascii="Arial"/>
                <w:i/>
                <w:spacing w:val="1"/>
                <w:sz w:val="20"/>
              </w:rPr>
              <w:t> </w:t>
            </w:r>
            <w:r>
              <w:rPr>
                <w:rFonts w:ascii="Arial"/>
                <w:i/>
                <w:sz w:val="20"/>
              </w:rPr>
              <w:t>Montague</w:t>
            </w:r>
            <w:r>
              <w:rPr>
                <w:rFonts w:ascii="Arial"/>
                <w:i/>
                <w:spacing w:val="1"/>
                <w:sz w:val="20"/>
              </w:rPr>
              <w:t> </w:t>
            </w:r>
            <w:r>
              <w:rPr>
                <w:rFonts w:ascii="Arial"/>
                <w:i/>
                <w:spacing w:val="-5"/>
                <w:sz w:val="20"/>
              </w:rPr>
              <w:t>Ltd</w:t>
            </w:r>
          </w:p>
        </w:tc>
      </w:tr>
      <w:tr>
        <w:trPr>
          <w:trHeight w:val="1245" w:hRule="atLeast"/>
        </w:trPr>
        <w:tc>
          <w:tcPr>
            <w:tcW w:w="496" w:type="dxa"/>
          </w:tcPr>
          <w:p>
            <w:pPr>
              <w:pStyle w:val="TableParagraph"/>
              <w:spacing w:before="0"/>
              <w:ind w:left="0"/>
              <w:jc w:val="left"/>
              <w:rPr>
                <w:rFonts w:ascii="Times New Roman"/>
                <w:sz w:val="18"/>
              </w:rPr>
            </w:pPr>
          </w:p>
        </w:tc>
        <w:tc>
          <w:tcPr>
            <w:tcW w:w="8621" w:type="dxa"/>
          </w:tcPr>
          <w:p>
            <w:pPr>
              <w:pStyle w:val="TableParagraph"/>
              <w:spacing w:line="235" w:lineRule="auto" w:before="0"/>
              <w:ind w:right="49"/>
              <w:jc w:val="both"/>
              <w:rPr>
                <w:sz w:val="20"/>
              </w:rPr>
            </w:pPr>
            <w:r>
              <w:rPr>
                <w:rFonts w:ascii="Arial" w:hAnsi="Arial"/>
                <w:i/>
                <w:sz w:val="20"/>
              </w:rPr>
              <w:t>[1997]</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191</w:t>
            </w:r>
            <w:r>
              <w:rPr>
                <w:rFonts w:ascii="Arial" w:hAnsi="Arial"/>
                <w:i/>
                <w:spacing w:val="-3"/>
                <w:sz w:val="20"/>
              </w:rPr>
              <w:t> </w:t>
            </w:r>
            <w:r>
              <w:rPr>
                <w:sz w:val="20"/>
              </w:rPr>
              <w:t>especially</w:t>
            </w:r>
            <w:r>
              <w:rPr>
                <w:spacing w:val="-3"/>
                <w:sz w:val="20"/>
              </w:rPr>
              <w:t> </w:t>
            </w:r>
            <w:r>
              <w:rPr>
                <w:sz w:val="20"/>
              </w:rPr>
              <w:t>at</w:t>
            </w:r>
            <w:r>
              <w:rPr>
                <w:spacing w:val="-3"/>
                <w:sz w:val="20"/>
              </w:rPr>
              <w:t> </w:t>
            </w:r>
            <w:r>
              <w:rPr>
                <w:sz w:val="20"/>
              </w:rPr>
              <w:t>216–217;</w:t>
            </w:r>
            <w:r>
              <w:rPr>
                <w:spacing w:val="-4"/>
                <w:sz w:val="20"/>
              </w:rPr>
              <w:t> </w:t>
            </w:r>
            <w:r>
              <w:rPr>
                <w:rFonts w:ascii="Arial" w:hAnsi="Arial"/>
                <w:i/>
                <w:sz w:val="20"/>
              </w:rPr>
              <w:t>Haugesund</w:t>
            </w:r>
            <w:r>
              <w:rPr>
                <w:rFonts w:ascii="Arial" w:hAnsi="Arial"/>
                <w:i/>
                <w:spacing w:val="-3"/>
                <w:sz w:val="20"/>
              </w:rPr>
              <w:t> </w:t>
            </w:r>
            <w:r>
              <w:rPr>
                <w:rFonts w:ascii="Arial" w:hAnsi="Arial"/>
                <w:i/>
                <w:sz w:val="20"/>
              </w:rPr>
              <w:t>Kommune</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Depfa</w:t>
            </w:r>
            <w:r>
              <w:rPr>
                <w:rFonts w:ascii="Arial" w:hAnsi="Arial"/>
                <w:i/>
                <w:spacing w:val="-3"/>
                <w:sz w:val="20"/>
              </w:rPr>
              <w:t> </w:t>
            </w:r>
            <w:r>
              <w:rPr>
                <w:rFonts w:ascii="Arial" w:hAnsi="Arial"/>
                <w:i/>
                <w:sz w:val="20"/>
              </w:rPr>
              <w:t>ACS</w:t>
            </w:r>
            <w:r>
              <w:rPr>
                <w:rFonts w:ascii="Arial" w:hAnsi="Arial"/>
                <w:i/>
                <w:spacing w:val="-3"/>
                <w:sz w:val="20"/>
              </w:rPr>
              <w:t> </w:t>
            </w:r>
            <w:r>
              <w:rPr>
                <w:rFonts w:ascii="Arial" w:hAnsi="Arial"/>
                <w:i/>
                <w:sz w:val="20"/>
              </w:rPr>
              <w:t>Bank</w:t>
            </w:r>
            <w:r>
              <w:rPr>
                <w:rFonts w:ascii="Arial" w:hAnsi="Arial"/>
                <w:i/>
                <w:spacing w:val="-3"/>
                <w:sz w:val="20"/>
              </w:rPr>
              <w:t> </w:t>
            </w:r>
            <w:r>
              <w:rPr>
                <w:rFonts w:ascii="Arial" w:hAnsi="Arial"/>
                <w:i/>
                <w:sz w:val="20"/>
              </w:rPr>
              <w:t>[2011]</w:t>
            </w:r>
            <w:r>
              <w:rPr>
                <w:rFonts w:ascii="Arial" w:hAnsi="Arial"/>
                <w:i/>
                <w:spacing w:val="-3"/>
                <w:sz w:val="20"/>
              </w:rPr>
              <w:t> </w:t>
            </w:r>
            <w:r>
              <w:rPr>
                <w:rFonts w:ascii="Arial" w:hAnsi="Arial"/>
                <w:i/>
                <w:sz w:val="20"/>
              </w:rPr>
              <w:t>EWCA Civ 33, [2011] 3 All E.R. 655 </w:t>
            </w:r>
            <w:r>
              <w:rPr>
                <w:sz w:val="20"/>
              </w:rPr>
              <w:t>at [73] (scope of duty of lawyers advising on invalid loan agreement treated as same in contract and tort); and see below, para.26-031. See also</w:t>
            </w:r>
            <w:r>
              <w:rPr>
                <w:spacing w:val="40"/>
                <w:sz w:val="20"/>
              </w:rPr>
              <w:t> </w:t>
            </w:r>
            <w:r>
              <w:rPr>
                <w:rFonts w:ascii="Arial" w:hAnsi="Arial"/>
                <w:i/>
                <w:sz w:val="20"/>
              </w:rPr>
              <w:t>Hughes-Holland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BPE</w:t>
            </w:r>
            <w:r>
              <w:rPr>
                <w:rFonts w:ascii="Arial" w:hAnsi="Arial"/>
                <w:i/>
                <w:spacing w:val="40"/>
                <w:sz w:val="20"/>
              </w:rPr>
              <w:t> </w:t>
            </w:r>
            <w:r>
              <w:rPr>
                <w:rFonts w:ascii="Arial" w:hAnsi="Arial"/>
                <w:i/>
                <w:sz w:val="20"/>
              </w:rPr>
              <w:t>Solicitors</w:t>
            </w:r>
            <w:r>
              <w:rPr>
                <w:rFonts w:ascii="Arial" w:hAnsi="Arial"/>
                <w:i/>
                <w:spacing w:val="40"/>
                <w:sz w:val="20"/>
              </w:rPr>
              <w:t> </w:t>
            </w:r>
            <w:r>
              <w:rPr>
                <w:rFonts w:ascii="Arial" w:hAnsi="Arial"/>
                <w:i/>
                <w:sz w:val="20"/>
              </w:rPr>
              <w:t>[2017]</w:t>
            </w:r>
            <w:r>
              <w:rPr>
                <w:rFonts w:ascii="Arial" w:hAnsi="Arial"/>
                <w:i/>
                <w:spacing w:val="40"/>
                <w:sz w:val="20"/>
              </w:rPr>
              <w:t> </w:t>
            </w:r>
            <w:r>
              <w:rPr>
                <w:rFonts w:ascii="Arial" w:hAnsi="Arial"/>
                <w:i/>
                <w:sz w:val="20"/>
              </w:rPr>
              <w:t>UKSC</w:t>
            </w:r>
            <w:r>
              <w:rPr>
                <w:rFonts w:ascii="Arial" w:hAnsi="Arial"/>
                <w:i/>
                <w:spacing w:val="40"/>
                <w:sz w:val="20"/>
              </w:rPr>
              <w:t> </w:t>
            </w:r>
            <w:r>
              <w:rPr>
                <w:rFonts w:ascii="Arial" w:hAnsi="Arial"/>
                <w:i/>
                <w:sz w:val="20"/>
              </w:rPr>
              <w:t>21,</w:t>
            </w:r>
            <w:r>
              <w:rPr>
                <w:rFonts w:ascii="Arial" w:hAnsi="Arial"/>
                <w:i/>
                <w:spacing w:val="40"/>
                <w:sz w:val="20"/>
              </w:rPr>
              <w:t> </w:t>
            </w:r>
            <w:r>
              <w:rPr>
                <w:rFonts w:ascii="Arial" w:hAnsi="Arial"/>
                <w:i/>
                <w:sz w:val="20"/>
              </w:rPr>
              <w:t>[2017]</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1029</w:t>
            </w:r>
            <w:r>
              <w:rPr>
                <w:sz w:val="20"/>
              </w:rPr>
              <w:t>.</w:t>
            </w:r>
            <w:r>
              <w:rPr>
                <w:spacing w:val="40"/>
                <w:sz w:val="20"/>
              </w:rPr>
              <w:t> </w:t>
            </w:r>
            <w:r>
              <w:rPr>
                <w:sz w:val="20"/>
              </w:rPr>
              <w:t>cf.</w:t>
            </w:r>
            <w:r>
              <w:rPr>
                <w:spacing w:val="40"/>
                <w:sz w:val="20"/>
              </w:rPr>
              <w:t> </w:t>
            </w:r>
            <w:r>
              <w:rPr>
                <w:sz w:val="20"/>
              </w:rPr>
              <w:t>above, para.1-190A (scope of duty in tort reflected in scope of duty in implied contract term).</w:t>
            </w:r>
          </w:p>
        </w:tc>
      </w:tr>
      <w:tr>
        <w:trPr>
          <w:trHeight w:val="465" w:hRule="atLeast"/>
        </w:trPr>
        <w:tc>
          <w:tcPr>
            <w:tcW w:w="496" w:type="dxa"/>
          </w:tcPr>
          <w:p>
            <w:pPr>
              <w:pStyle w:val="TableParagraph"/>
              <w:ind w:left="0" w:right="43"/>
              <w:rPr>
                <w:sz w:val="14"/>
              </w:rPr>
            </w:pPr>
            <w:bookmarkStart w:name="_bookmark2023" w:id="2025"/>
            <w:bookmarkEnd w:id="2025"/>
            <w:r>
              <w:rPr/>
            </w:r>
            <w:hyperlink w:history="true" w:anchor="_bookmark1885">
              <w:r>
                <w:rPr>
                  <w:color w:val="005DA1"/>
                  <w:spacing w:val="-2"/>
                  <w:sz w:val="14"/>
                  <w:u w:val="single" w:color="005DA1"/>
                </w:rPr>
                <w:t>1338</w:t>
              </w:r>
            </w:hyperlink>
            <w:r>
              <w:rPr>
                <w:spacing w:val="-2"/>
                <w:sz w:val="14"/>
              </w:rPr>
              <w:t>.</w:t>
            </w:r>
          </w:p>
        </w:tc>
        <w:tc>
          <w:tcPr>
            <w:tcW w:w="8621" w:type="dxa"/>
          </w:tcPr>
          <w:p>
            <w:pPr>
              <w:pStyle w:val="TableParagraph"/>
              <w:spacing w:before="114"/>
              <w:jc w:val="left"/>
              <w:rPr>
                <w:sz w:val="20"/>
              </w:rPr>
            </w:pPr>
            <w:r>
              <w:rPr>
                <w:rFonts w:ascii="Arial"/>
                <w:i/>
                <w:sz w:val="20"/>
              </w:rPr>
              <w:t>Swingcastle Ltd v Alistair Gibson [1991] 2 A.C. 223, </w:t>
            </w:r>
            <w:r>
              <w:rPr>
                <w:rFonts w:ascii="Arial"/>
                <w:i/>
                <w:spacing w:val="-4"/>
                <w:sz w:val="20"/>
              </w:rPr>
              <w:t>225</w:t>
            </w:r>
            <w:r>
              <w:rPr>
                <w:spacing w:val="-4"/>
                <w:sz w:val="20"/>
              </w:rPr>
              <w:t>.</w:t>
            </w:r>
          </w:p>
        </w:tc>
      </w:tr>
      <w:tr>
        <w:trPr>
          <w:trHeight w:val="915" w:hRule="atLeast"/>
        </w:trPr>
        <w:tc>
          <w:tcPr>
            <w:tcW w:w="496" w:type="dxa"/>
          </w:tcPr>
          <w:p>
            <w:pPr>
              <w:pStyle w:val="TableParagraph"/>
              <w:ind w:left="0" w:right="43"/>
              <w:rPr>
                <w:sz w:val="14"/>
              </w:rPr>
            </w:pPr>
            <w:bookmarkStart w:name="_bookmark2024" w:id="2026"/>
            <w:bookmarkEnd w:id="2026"/>
            <w:r>
              <w:rPr/>
            </w:r>
            <w:hyperlink w:history="true" w:anchor="_bookmark1885">
              <w:r>
                <w:rPr>
                  <w:color w:val="005DA1"/>
                  <w:spacing w:val="-2"/>
                  <w:sz w:val="14"/>
                  <w:u w:val="single" w:color="005DA1"/>
                </w:rPr>
                <w:t>1339</w:t>
              </w:r>
            </w:hyperlink>
            <w:r>
              <w:rPr>
                <w:spacing w:val="-2"/>
                <w:sz w:val="14"/>
              </w:rPr>
              <w:t>.</w:t>
            </w:r>
          </w:p>
        </w:tc>
        <w:tc>
          <w:tcPr>
            <w:tcW w:w="8621" w:type="dxa"/>
          </w:tcPr>
          <w:p>
            <w:pPr>
              <w:pStyle w:val="TableParagraph"/>
              <w:spacing w:line="235" w:lineRule="auto" w:before="118"/>
              <w:ind w:right="49"/>
              <w:jc w:val="both"/>
              <w:rPr>
                <w:sz w:val="20"/>
              </w:rPr>
            </w:pPr>
            <w:r>
              <w:rPr>
                <w:rFonts w:ascii="Arial"/>
                <w:i/>
                <w:sz w:val="20"/>
              </w:rPr>
              <w:t>Swingcastle Ltd v Alistair Gibson [1991] 2 A.C. 223 </w:t>
            </w:r>
            <w:r>
              <w:rPr>
                <w:sz w:val="20"/>
              </w:rPr>
              <w:t>at 238. While the House of Lords noted that the action before it was founded in tort, it did not consider the principles applicable to be any different from those in contract.</w:t>
            </w:r>
          </w:p>
        </w:tc>
      </w:tr>
      <w:tr>
        <w:trPr>
          <w:trHeight w:val="465" w:hRule="atLeast"/>
        </w:trPr>
        <w:tc>
          <w:tcPr>
            <w:tcW w:w="496" w:type="dxa"/>
          </w:tcPr>
          <w:p>
            <w:pPr>
              <w:pStyle w:val="TableParagraph"/>
              <w:ind w:left="0" w:right="43"/>
              <w:rPr>
                <w:sz w:val="14"/>
              </w:rPr>
            </w:pPr>
            <w:bookmarkStart w:name="_bookmark2025" w:id="2027"/>
            <w:bookmarkEnd w:id="2027"/>
            <w:r>
              <w:rPr/>
            </w:r>
            <w:hyperlink w:history="true" w:anchor="_bookmark1886">
              <w:r>
                <w:rPr>
                  <w:color w:val="005DA1"/>
                  <w:spacing w:val="-2"/>
                  <w:sz w:val="14"/>
                  <w:u w:val="single" w:color="005DA1"/>
                </w:rPr>
                <w:t>1340</w:t>
              </w:r>
            </w:hyperlink>
            <w:r>
              <w:rPr>
                <w:spacing w:val="-2"/>
                <w:sz w:val="14"/>
              </w:rPr>
              <w:t>.</w:t>
            </w:r>
          </w:p>
        </w:tc>
        <w:tc>
          <w:tcPr>
            <w:tcW w:w="8621" w:type="dxa"/>
          </w:tcPr>
          <w:p>
            <w:pPr>
              <w:pStyle w:val="TableParagraph"/>
              <w:spacing w:before="114"/>
              <w:jc w:val="left"/>
              <w:rPr>
                <w:sz w:val="20"/>
              </w:rPr>
            </w:pPr>
            <w:r>
              <w:rPr>
                <w:rFonts w:ascii="Arial"/>
                <w:i/>
                <w:sz w:val="20"/>
              </w:rPr>
              <w:t>[1986]</w:t>
            </w:r>
            <w:r>
              <w:rPr>
                <w:rFonts w:ascii="Arial"/>
                <w:i/>
                <w:spacing w:val="-2"/>
                <w:sz w:val="20"/>
              </w:rPr>
              <w:t> </w:t>
            </w:r>
            <w:r>
              <w:rPr>
                <w:rFonts w:ascii="Arial"/>
                <w:i/>
                <w:sz w:val="20"/>
              </w:rPr>
              <w:t>1 Q.B. </w:t>
            </w:r>
            <w:r>
              <w:rPr>
                <w:rFonts w:ascii="Arial"/>
                <w:i/>
                <w:spacing w:val="-4"/>
                <w:sz w:val="20"/>
              </w:rPr>
              <w:t>644</w:t>
            </w:r>
            <w:r>
              <w:rPr>
                <w:spacing w:val="-4"/>
                <w:sz w:val="20"/>
              </w:rPr>
              <w:t>.</w:t>
            </w:r>
          </w:p>
        </w:tc>
      </w:tr>
      <w:tr>
        <w:trPr>
          <w:trHeight w:val="465" w:hRule="atLeast"/>
        </w:trPr>
        <w:tc>
          <w:tcPr>
            <w:tcW w:w="496" w:type="dxa"/>
          </w:tcPr>
          <w:p>
            <w:pPr>
              <w:pStyle w:val="TableParagraph"/>
              <w:ind w:left="0" w:right="43"/>
              <w:rPr>
                <w:sz w:val="14"/>
              </w:rPr>
            </w:pPr>
            <w:bookmarkStart w:name="_bookmark2026" w:id="2028"/>
            <w:bookmarkEnd w:id="2028"/>
            <w:r>
              <w:rPr/>
            </w:r>
            <w:hyperlink w:history="true" w:anchor="_bookmark1887">
              <w:r>
                <w:rPr>
                  <w:color w:val="005DA1"/>
                  <w:spacing w:val="-2"/>
                  <w:sz w:val="14"/>
                  <w:u w:val="single" w:color="005DA1"/>
                </w:rPr>
                <w:t>1341</w:t>
              </w:r>
            </w:hyperlink>
            <w:r>
              <w:rPr>
                <w:spacing w:val="-2"/>
                <w:sz w:val="14"/>
              </w:rPr>
              <w:t>.</w:t>
            </w:r>
          </w:p>
        </w:tc>
        <w:tc>
          <w:tcPr>
            <w:tcW w:w="8621" w:type="dxa"/>
          </w:tcPr>
          <w:p>
            <w:pPr>
              <w:pStyle w:val="TableParagraph"/>
              <w:spacing w:before="114"/>
              <w:jc w:val="left"/>
              <w:rPr>
                <w:sz w:val="20"/>
              </w:rPr>
            </w:pPr>
            <w:r>
              <w:rPr>
                <w:rFonts w:ascii="Arial"/>
                <w:i/>
                <w:sz w:val="20"/>
              </w:rPr>
              <w:t>[1986] 1 Q.B. 644</w:t>
            </w:r>
            <w:r>
              <w:rPr>
                <w:rFonts w:ascii="Arial"/>
                <w:i/>
                <w:spacing w:val="-1"/>
                <w:sz w:val="20"/>
              </w:rPr>
              <w:t> </w:t>
            </w:r>
            <w:r>
              <w:rPr>
                <w:sz w:val="20"/>
              </w:rPr>
              <w:t>at </w:t>
            </w:r>
            <w:r>
              <w:rPr>
                <w:spacing w:val="-4"/>
                <w:sz w:val="20"/>
              </w:rPr>
              <w:t>658.</w:t>
            </w:r>
          </w:p>
        </w:tc>
      </w:tr>
      <w:tr>
        <w:trPr>
          <w:trHeight w:val="465" w:hRule="atLeast"/>
        </w:trPr>
        <w:tc>
          <w:tcPr>
            <w:tcW w:w="496" w:type="dxa"/>
          </w:tcPr>
          <w:p>
            <w:pPr>
              <w:pStyle w:val="TableParagraph"/>
              <w:ind w:left="0" w:right="43"/>
              <w:rPr>
                <w:sz w:val="14"/>
              </w:rPr>
            </w:pPr>
            <w:bookmarkStart w:name="_bookmark2027" w:id="2029"/>
            <w:bookmarkEnd w:id="2029"/>
            <w:r>
              <w:rPr/>
            </w:r>
            <w:hyperlink w:history="true" w:anchor="_bookmark1888">
              <w:r>
                <w:rPr>
                  <w:color w:val="005DA1"/>
                  <w:spacing w:val="-2"/>
                  <w:sz w:val="14"/>
                  <w:u w:val="single" w:color="005DA1"/>
                </w:rPr>
                <w:t>1342</w:t>
              </w:r>
            </w:hyperlink>
            <w:r>
              <w:rPr>
                <w:spacing w:val="-2"/>
                <w:sz w:val="14"/>
              </w:rPr>
              <w:t>.</w:t>
            </w:r>
          </w:p>
        </w:tc>
        <w:tc>
          <w:tcPr>
            <w:tcW w:w="8621" w:type="dxa"/>
          </w:tcPr>
          <w:p>
            <w:pPr>
              <w:pStyle w:val="TableParagraph"/>
              <w:spacing w:before="114"/>
              <w:jc w:val="left"/>
              <w:rPr>
                <w:sz w:val="20"/>
              </w:rPr>
            </w:pPr>
            <w:r>
              <w:rPr>
                <w:rFonts w:ascii="Arial"/>
                <w:i/>
                <w:sz w:val="20"/>
              </w:rPr>
              <w:t>[1986]</w:t>
            </w:r>
            <w:r>
              <w:rPr>
                <w:rFonts w:ascii="Arial"/>
                <w:i/>
                <w:spacing w:val="-2"/>
                <w:sz w:val="20"/>
              </w:rPr>
              <w:t> </w:t>
            </w:r>
            <w:r>
              <w:rPr>
                <w:rFonts w:ascii="Arial"/>
                <w:i/>
                <w:sz w:val="20"/>
              </w:rPr>
              <w:t>1 Q.B. 644</w:t>
            </w:r>
            <w:r>
              <w:rPr>
                <w:rFonts w:ascii="Arial"/>
                <w:i/>
                <w:spacing w:val="-1"/>
                <w:sz w:val="20"/>
              </w:rPr>
              <w:t> </w:t>
            </w:r>
            <w:r>
              <w:rPr>
                <w:sz w:val="20"/>
              </w:rPr>
              <w:t>at 685, </w:t>
            </w:r>
            <w:r>
              <w:rPr>
                <w:spacing w:val="-4"/>
                <w:sz w:val="20"/>
              </w:rPr>
              <w:t>688.</w:t>
            </w:r>
          </w:p>
        </w:tc>
      </w:tr>
      <w:tr>
        <w:trPr>
          <w:trHeight w:val="690" w:hRule="atLeast"/>
        </w:trPr>
        <w:tc>
          <w:tcPr>
            <w:tcW w:w="496" w:type="dxa"/>
          </w:tcPr>
          <w:p>
            <w:pPr>
              <w:pStyle w:val="TableParagraph"/>
              <w:ind w:left="0" w:right="43"/>
              <w:rPr>
                <w:sz w:val="14"/>
              </w:rPr>
            </w:pPr>
            <w:bookmarkStart w:name="_bookmark2028" w:id="2030"/>
            <w:bookmarkEnd w:id="2030"/>
            <w:r>
              <w:rPr/>
            </w:r>
            <w:hyperlink w:history="true" w:anchor="_bookmark1889">
              <w:r>
                <w:rPr>
                  <w:color w:val="005DA1"/>
                  <w:spacing w:val="-2"/>
                  <w:sz w:val="14"/>
                  <w:u w:val="single" w:color="005DA1"/>
                </w:rPr>
                <w:t>1343</w:t>
              </w:r>
            </w:hyperlink>
            <w:r>
              <w:rPr>
                <w:spacing w:val="-2"/>
                <w:sz w:val="14"/>
              </w:rPr>
              <w:t>.</w:t>
            </w:r>
          </w:p>
        </w:tc>
        <w:tc>
          <w:tcPr>
            <w:tcW w:w="8621" w:type="dxa"/>
          </w:tcPr>
          <w:p>
            <w:pPr>
              <w:pStyle w:val="TableParagraph"/>
              <w:spacing w:line="235" w:lineRule="auto" w:before="118"/>
              <w:jc w:val="left"/>
              <w:rPr>
                <w:sz w:val="20"/>
              </w:rPr>
            </w:pPr>
            <w:r>
              <w:rPr>
                <w:rFonts w:ascii="Arial"/>
                <w:i/>
                <w:sz w:val="20"/>
              </w:rPr>
              <w:t>[1986] 1 Q.B. 644 </w:t>
            </w:r>
            <w:r>
              <w:rPr>
                <w:sz w:val="20"/>
              </w:rPr>
              <w:t>at 679 (Kerr L.J.), with whom Neill and Nourse L.JJ. agreed on this point: at 684, 685.</w:t>
            </w:r>
          </w:p>
        </w:tc>
      </w:tr>
      <w:tr>
        <w:trPr>
          <w:trHeight w:val="465" w:hRule="atLeast"/>
        </w:trPr>
        <w:tc>
          <w:tcPr>
            <w:tcW w:w="496" w:type="dxa"/>
          </w:tcPr>
          <w:p>
            <w:pPr>
              <w:pStyle w:val="TableParagraph"/>
              <w:ind w:left="0" w:right="43"/>
              <w:rPr>
                <w:sz w:val="14"/>
              </w:rPr>
            </w:pPr>
            <w:bookmarkStart w:name="_bookmark2029" w:id="2031"/>
            <w:bookmarkEnd w:id="2031"/>
            <w:r>
              <w:rPr/>
            </w:r>
            <w:hyperlink w:history="true" w:anchor="_bookmark1890">
              <w:r>
                <w:rPr>
                  <w:color w:val="005DA1"/>
                  <w:spacing w:val="-2"/>
                  <w:sz w:val="14"/>
                  <w:u w:val="single" w:color="005DA1"/>
                </w:rPr>
                <w:t>1344</w:t>
              </w:r>
            </w:hyperlink>
            <w:r>
              <w:rPr>
                <w:spacing w:val="-2"/>
                <w:sz w:val="14"/>
              </w:rPr>
              <w:t>.</w:t>
            </w:r>
          </w:p>
        </w:tc>
        <w:tc>
          <w:tcPr>
            <w:tcW w:w="8621" w:type="dxa"/>
          </w:tcPr>
          <w:p>
            <w:pPr>
              <w:pStyle w:val="TableParagraph"/>
              <w:spacing w:before="114"/>
              <w:jc w:val="left"/>
              <w:rPr>
                <w:sz w:val="20"/>
              </w:rPr>
            </w:pPr>
            <w:r>
              <w:rPr>
                <w:rFonts w:ascii="Arial"/>
                <w:i/>
                <w:sz w:val="20"/>
              </w:rPr>
              <w:t>[1986] 1 Q.B. 644</w:t>
            </w:r>
            <w:r>
              <w:rPr>
                <w:rFonts w:ascii="Arial"/>
                <w:i/>
                <w:spacing w:val="-1"/>
                <w:sz w:val="20"/>
              </w:rPr>
              <w:t> </w:t>
            </w:r>
            <w:r>
              <w:rPr>
                <w:sz w:val="20"/>
              </w:rPr>
              <w:t>at </w:t>
            </w:r>
            <w:r>
              <w:rPr>
                <w:spacing w:val="-4"/>
                <w:sz w:val="20"/>
              </w:rPr>
              <w:t>678.</w:t>
            </w:r>
          </w:p>
        </w:tc>
      </w:tr>
      <w:tr>
        <w:trPr>
          <w:trHeight w:val="465" w:hRule="atLeast"/>
        </w:trPr>
        <w:tc>
          <w:tcPr>
            <w:tcW w:w="496" w:type="dxa"/>
          </w:tcPr>
          <w:p>
            <w:pPr>
              <w:pStyle w:val="TableParagraph"/>
              <w:ind w:left="0" w:right="43"/>
              <w:rPr>
                <w:sz w:val="14"/>
              </w:rPr>
            </w:pPr>
            <w:bookmarkStart w:name="_bookmark2030" w:id="2032"/>
            <w:bookmarkEnd w:id="2032"/>
            <w:r>
              <w:rPr/>
            </w:r>
            <w:hyperlink w:history="true" w:anchor="_bookmark1891">
              <w:r>
                <w:rPr>
                  <w:color w:val="005DA1"/>
                  <w:spacing w:val="-2"/>
                  <w:sz w:val="14"/>
                  <w:u w:val="single" w:color="005DA1"/>
                </w:rPr>
                <w:t>1345</w:t>
              </w:r>
            </w:hyperlink>
            <w:r>
              <w:rPr>
                <w:spacing w:val="-2"/>
                <w:sz w:val="14"/>
              </w:rPr>
              <w:t>.</w:t>
            </w:r>
          </w:p>
        </w:tc>
        <w:tc>
          <w:tcPr>
            <w:tcW w:w="8621" w:type="dxa"/>
          </w:tcPr>
          <w:p>
            <w:pPr>
              <w:pStyle w:val="TableParagraph"/>
              <w:spacing w:before="114"/>
              <w:jc w:val="left"/>
              <w:rPr>
                <w:sz w:val="20"/>
              </w:rPr>
            </w:pPr>
            <w:r>
              <w:rPr>
                <w:rFonts w:ascii="Arial"/>
                <w:i/>
                <w:sz w:val="20"/>
              </w:rPr>
              <w:t>[1986] 1 Q.B. 644</w:t>
            </w:r>
            <w:r>
              <w:rPr>
                <w:rFonts w:ascii="Arial"/>
                <w:i/>
                <w:spacing w:val="-1"/>
                <w:sz w:val="20"/>
              </w:rPr>
              <w:t> </w:t>
            </w:r>
            <w:r>
              <w:rPr>
                <w:sz w:val="20"/>
              </w:rPr>
              <w:t>at 683. This point had been agreed by the </w:t>
            </w:r>
            <w:r>
              <w:rPr>
                <w:spacing w:val="-2"/>
                <w:sz w:val="20"/>
              </w:rPr>
              <w:t>parties.</w:t>
            </w:r>
          </w:p>
        </w:tc>
      </w:tr>
      <w:tr>
        <w:trPr>
          <w:trHeight w:val="344" w:hRule="atLeast"/>
        </w:trPr>
        <w:tc>
          <w:tcPr>
            <w:tcW w:w="496" w:type="dxa"/>
          </w:tcPr>
          <w:p>
            <w:pPr>
              <w:pStyle w:val="TableParagraph"/>
              <w:ind w:left="0" w:right="43"/>
              <w:rPr>
                <w:sz w:val="14"/>
              </w:rPr>
            </w:pPr>
            <w:bookmarkStart w:name="_bookmark2031" w:id="2033"/>
            <w:bookmarkEnd w:id="2033"/>
            <w:r>
              <w:rPr/>
            </w:r>
            <w:hyperlink w:history="true" w:anchor="_bookmark1892">
              <w:r>
                <w:rPr>
                  <w:color w:val="005DA1"/>
                  <w:spacing w:val="-2"/>
                  <w:sz w:val="14"/>
                  <w:u w:val="single" w:color="005DA1"/>
                </w:rPr>
                <w:t>1346</w:t>
              </w:r>
            </w:hyperlink>
            <w:r>
              <w:rPr>
                <w:spacing w:val="-2"/>
                <w:sz w:val="14"/>
              </w:rPr>
              <w:t>.</w:t>
            </w:r>
          </w:p>
        </w:tc>
        <w:tc>
          <w:tcPr>
            <w:tcW w:w="8621" w:type="dxa"/>
          </w:tcPr>
          <w:p>
            <w:pPr>
              <w:pStyle w:val="TableParagraph"/>
              <w:spacing w:line="210" w:lineRule="exact" w:before="114"/>
              <w:jc w:val="left"/>
              <w:rPr>
                <w:sz w:val="20"/>
              </w:rPr>
            </w:pPr>
            <w:r>
              <w:rPr>
                <w:rFonts w:ascii="Arial"/>
                <w:i/>
                <w:sz w:val="20"/>
              </w:rPr>
              <w:t>[1986]</w:t>
            </w:r>
            <w:r>
              <w:rPr>
                <w:rFonts w:ascii="Arial"/>
                <w:i/>
                <w:spacing w:val="-2"/>
                <w:sz w:val="20"/>
              </w:rPr>
              <w:t> </w:t>
            </w:r>
            <w:r>
              <w:rPr>
                <w:rFonts w:ascii="Arial"/>
                <w:i/>
                <w:sz w:val="20"/>
              </w:rPr>
              <w:t>1 Q.B. </w:t>
            </w:r>
            <w:r>
              <w:rPr>
                <w:rFonts w:ascii="Arial"/>
                <w:i/>
                <w:spacing w:val="-4"/>
                <w:sz w:val="20"/>
              </w:rPr>
              <w:t>644</w:t>
            </w:r>
            <w:r>
              <w:rPr>
                <w:spacing w:val="-4"/>
                <w:sz w:val="20"/>
              </w:rPr>
              <w:t>.</w:t>
            </w:r>
          </w:p>
        </w:tc>
      </w:tr>
    </w:tbl>
    <w:p>
      <w:pPr>
        <w:pStyle w:val="TableParagraph"/>
        <w:spacing w:after="0" w:line="210" w:lineRule="exact"/>
        <w:jc w:val="left"/>
        <w:rPr>
          <w:sz w:val="20"/>
        </w:rPr>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1893">
        <w:r>
          <w:rPr>
            <w:color w:val="005DA1"/>
            <w:position w:val="5"/>
            <w:sz w:val="14"/>
            <w:u w:val="single" w:color="005DA1"/>
          </w:rPr>
          <w:t>1347</w:t>
        </w:r>
      </w:hyperlink>
      <w:r>
        <w:rPr>
          <w:position w:val="5"/>
          <w:sz w:val="14"/>
        </w:rPr>
        <w:t>.</w:t>
      </w:r>
      <w:r>
        <w:rPr>
          <w:spacing w:val="80"/>
          <w:position w:val="5"/>
          <w:sz w:val="14"/>
        </w:rPr>
        <w:t> </w:t>
      </w:r>
      <w:r>
        <w:rPr/>
        <w:t>See McGregor on Damages, 19th edn (2014), Ch.8; Cartwright (1996) 55 C.L.J. 488 and see Cane n.1241, at pp.145–147, for a discussion of the different treatment in tort and contract of damages for “lost chances”.</w:t>
      </w:r>
    </w:p>
    <w:p>
      <w:pPr>
        <w:pStyle w:val="BodyText"/>
        <w:spacing w:before="9"/>
      </w:pPr>
    </w:p>
    <w:p>
      <w:pPr>
        <w:spacing w:line="235" w:lineRule="auto" w:before="0"/>
        <w:ind w:left="705" w:right="167" w:hanging="541"/>
        <w:jc w:val="both"/>
        <w:rPr>
          <w:sz w:val="20"/>
        </w:rPr>
      </w:pPr>
      <w:bookmarkStart w:name="_bookmark2032" w:id="2034"/>
      <w:bookmarkEnd w:id="2034"/>
      <w:r>
        <w:rPr/>
      </w:r>
      <w:hyperlink w:history="true" w:anchor="_bookmark1894">
        <w:r>
          <w:rPr>
            <w:color w:val="005DA1"/>
            <w:position w:val="5"/>
            <w:sz w:val="14"/>
            <w:u w:val="single" w:color="005DA1"/>
          </w:rPr>
          <w:t>1348</w:t>
        </w:r>
      </w:hyperlink>
      <w:r>
        <w:rPr>
          <w:position w:val="5"/>
          <w:sz w:val="14"/>
        </w:rPr>
        <w:t>.</w:t>
      </w:r>
      <w:r>
        <w:rPr>
          <w:spacing w:val="40"/>
          <w:position w:val="5"/>
          <w:sz w:val="14"/>
        </w:rPr>
        <w:t>  </w:t>
      </w:r>
      <w:r>
        <w:rPr>
          <w:sz w:val="20"/>
        </w:rPr>
        <w:t>See below, paras 26-107 et seq. which includes discussion of the significance for remoteness</w:t>
      </w:r>
      <w:r>
        <w:rPr>
          <w:spacing w:val="80"/>
          <w:sz w:val="20"/>
        </w:rPr>
        <w:t> </w:t>
      </w:r>
      <w:r>
        <w:rPr>
          <w:sz w:val="20"/>
        </w:rPr>
        <w:t>of damage in contract of the defendant’s “assumption of responsibility” for a particular kind </w:t>
      </w:r>
      <w:r>
        <w:rPr>
          <w:sz w:val="20"/>
        </w:rPr>
        <w:t>of loss after </w:t>
      </w:r>
      <w:r>
        <w:rPr>
          <w:rFonts w:ascii="Arial" w:hAnsi="Arial"/>
          <w:i/>
          <w:sz w:val="20"/>
        </w:rPr>
        <w:t>Transfield Shipping Inc v Mercator Shipping Inc (The Achilleas) [2008] UKHL 48, [2009] 1 A.C. 61</w:t>
      </w:r>
      <w:r>
        <w:rPr>
          <w:sz w:val="20"/>
        </w:rPr>
        <w:t>.</w:t>
      </w:r>
    </w:p>
    <w:p>
      <w:pPr>
        <w:pStyle w:val="BodyText"/>
        <w:spacing w:before="8"/>
      </w:pPr>
    </w:p>
    <w:p>
      <w:pPr>
        <w:spacing w:line="235" w:lineRule="auto" w:before="1"/>
        <w:ind w:left="705" w:right="0" w:hanging="541"/>
        <w:jc w:val="left"/>
        <w:rPr>
          <w:sz w:val="20"/>
        </w:rPr>
      </w:pPr>
      <w:bookmarkStart w:name="_bookmark2033" w:id="2035"/>
      <w:bookmarkEnd w:id="2035"/>
      <w:r>
        <w:rPr/>
      </w:r>
      <w:hyperlink w:history="true" w:anchor="_bookmark1895">
        <w:r>
          <w:rPr>
            <w:color w:val="005DA1"/>
            <w:position w:val="5"/>
            <w:sz w:val="14"/>
            <w:u w:val="single" w:color="005DA1"/>
          </w:rPr>
          <w:t>1349</w:t>
        </w:r>
      </w:hyperlink>
      <w:r>
        <w:rPr>
          <w:position w:val="5"/>
          <w:sz w:val="14"/>
        </w:rPr>
        <w:t>.</w:t>
      </w:r>
      <w:r>
        <w:rPr>
          <w:spacing w:val="40"/>
          <w:position w:val="5"/>
          <w:sz w:val="14"/>
        </w:rPr>
        <w:t>  </w:t>
      </w:r>
      <w:r>
        <w:rPr>
          <w:rFonts w:ascii="Arial"/>
          <w:i/>
          <w:sz w:val="20"/>
        </w:rPr>
        <w:t>Overseas</w:t>
      </w:r>
      <w:r>
        <w:rPr>
          <w:rFonts w:ascii="Arial"/>
          <w:i/>
          <w:spacing w:val="22"/>
          <w:sz w:val="20"/>
        </w:rPr>
        <w:t> </w:t>
      </w:r>
      <w:r>
        <w:rPr>
          <w:rFonts w:ascii="Arial"/>
          <w:i/>
          <w:sz w:val="20"/>
        </w:rPr>
        <w:t>Tankship</w:t>
      </w:r>
      <w:r>
        <w:rPr>
          <w:rFonts w:ascii="Arial"/>
          <w:i/>
          <w:spacing w:val="22"/>
          <w:sz w:val="20"/>
        </w:rPr>
        <w:t> </w:t>
      </w:r>
      <w:r>
        <w:rPr>
          <w:rFonts w:ascii="Arial"/>
          <w:i/>
          <w:sz w:val="20"/>
        </w:rPr>
        <w:t>(UK)</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Morts</w:t>
      </w:r>
      <w:r>
        <w:rPr>
          <w:rFonts w:ascii="Arial"/>
          <w:i/>
          <w:spacing w:val="22"/>
          <w:sz w:val="20"/>
        </w:rPr>
        <w:t> </w:t>
      </w:r>
      <w:r>
        <w:rPr>
          <w:rFonts w:ascii="Arial"/>
          <w:i/>
          <w:sz w:val="20"/>
        </w:rPr>
        <w:t>Dock</w:t>
      </w:r>
      <w:r>
        <w:rPr>
          <w:rFonts w:ascii="Arial"/>
          <w:i/>
          <w:spacing w:val="22"/>
          <w:sz w:val="20"/>
        </w:rPr>
        <w:t> </w:t>
      </w:r>
      <w:r>
        <w:rPr>
          <w:rFonts w:ascii="Arial"/>
          <w:i/>
          <w:sz w:val="20"/>
        </w:rPr>
        <w:t>&amp;</w:t>
      </w:r>
      <w:r>
        <w:rPr>
          <w:rFonts w:ascii="Arial"/>
          <w:i/>
          <w:spacing w:val="22"/>
          <w:sz w:val="20"/>
        </w:rPr>
        <w:t> </w:t>
      </w:r>
      <w:r>
        <w:rPr>
          <w:rFonts w:ascii="Arial"/>
          <w:i/>
          <w:sz w:val="20"/>
        </w:rPr>
        <w:t>Engineering</w:t>
      </w:r>
      <w:r>
        <w:rPr>
          <w:rFonts w:ascii="Arial"/>
          <w:i/>
          <w:spacing w:val="22"/>
          <w:sz w:val="20"/>
        </w:rPr>
        <w:t> </w:t>
      </w:r>
      <w:r>
        <w:rPr>
          <w:rFonts w:ascii="Arial"/>
          <w:i/>
          <w:sz w:val="20"/>
        </w:rPr>
        <w:t>Co</w:t>
      </w:r>
      <w:r>
        <w:rPr>
          <w:rFonts w:ascii="Arial"/>
          <w:i/>
          <w:spacing w:val="22"/>
          <w:sz w:val="20"/>
        </w:rPr>
        <w:t> </w:t>
      </w:r>
      <w:r>
        <w:rPr>
          <w:rFonts w:ascii="Arial"/>
          <w:i/>
          <w:sz w:val="20"/>
        </w:rPr>
        <w:t>Ltd,</w:t>
      </w:r>
      <w:r>
        <w:rPr>
          <w:rFonts w:ascii="Arial"/>
          <w:i/>
          <w:spacing w:val="22"/>
          <w:sz w:val="20"/>
        </w:rPr>
        <w:t> </w:t>
      </w:r>
      <w:r>
        <w:rPr>
          <w:rFonts w:ascii="Arial"/>
          <w:i/>
          <w:sz w:val="20"/>
        </w:rPr>
        <w:t>The</w:t>
      </w:r>
      <w:r>
        <w:rPr>
          <w:rFonts w:ascii="Arial"/>
          <w:i/>
          <w:spacing w:val="22"/>
          <w:sz w:val="20"/>
        </w:rPr>
        <w:t> </w:t>
      </w:r>
      <w:r>
        <w:rPr>
          <w:rFonts w:ascii="Arial"/>
          <w:i/>
          <w:sz w:val="20"/>
        </w:rPr>
        <w:t>Wagon</w:t>
      </w:r>
      <w:r>
        <w:rPr>
          <w:rFonts w:ascii="Arial"/>
          <w:i/>
          <w:spacing w:val="22"/>
          <w:sz w:val="20"/>
        </w:rPr>
        <w:t> </w:t>
      </w:r>
      <w:r>
        <w:rPr>
          <w:rFonts w:ascii="Arial"/>
          <w:i/>
          <w:sz w:val="20"/>
        </w:rPr>
        <w:t>Mound</w:t>
      </w:r>
      <w:r>
        <w:rPr>
          <w:rFonts w:ascii="Arial"/>
          <w:i/>
          <w:spacing w:val="22"/>
          <w:sz w:val="20"/>
        </w:rPr>
        <w:t> </w:t>
      </w:r>
      <w:r>
        <w:rPr>
          <w:rFonts w:ascii="Arial"/>
          <w:i/>
          <w:sz w:val="20"/>
        </w:rPr>
        <w:t>(No.1) [1961] A.C. 388</w:t>
      </w:r>
      <w:r>
        <w:rPr>
          <w:sz w:val="20"/>
        </w:rPr>
        <w:t>.</w:t>
      </w:r>
    </w:p>
    <w:p>
      <w:pPr>
        <w:pStyle w:val="BodyText"/>
        <w:spacing w:before="9"/>
      </w:pPr>
    </w:p>
    <w:p>
      <w:pPr>
        <w:spacing w:line="235" w:lineRule="auto" w:before="0"/>
        <w:ind w:left="705" w:right="167" w:hanging="541"/>
        <w:jc w:val="both"/>
        <w:rPr>
          <w:sz w:val="20"/>
        </w:rPr>
      </w:pPr>
      <w:bookmarkStart w:name="_bookmark2034" w:id="2036"/>
      <w:bookmarkEnd w:id="2036"/>
      <w:r>
        <w:rPr/>
      </w:r>
      <w:hyperlink w:history="true" w:anchor="_bookmark1896">
        <w:r>
          <w:rPr>
            <w:color w:val="005DA1"/>
            <w:position w:val="5"/>
            <w:sz w:val="14"/>
            <w:u w:val="single" w:color="005DA1"/>
          </w:rPr>
          <w:t>1350</w:t>
        </w:r>
      </w:hyperlink>
      <w:r>
        <w:rPr>
          <w:position w:val="5"/>
          <w:sz w:val="14"/>
        </w:rPr>
        <w:t>.</w:t>
      </w:r>
      <w:r>
        <w:rPr>
          <w:spacing w:val="80"/>
          <w:position w:val="5"/>
          <w:sz w:val="14"/>
        </w:rPr>
        <w:t> </w:t>
      </w:r>
      <w:r>
        <w:rPr>
          <w:rFonts w:ascii="Arial"/>
          <w:i/>
          <w:sz w:val="20"/>
        </w:rPr>
        <w:t>H.</w:t>
      </w:r>
      <w:r>
        <w:rPr>
          <w:rFonts w:ascii="Arial"/>
          <w:i/>
          <w:spacing w:val="40"/>
          <w:sz w:val="20"/>
        </w:rPr>
        <w:t> </w:t>
      </w:r>
      <w:r>
        <w:rPr>
          <w:rFonts w:ascii="Arial"/>
          <w:i/>
          <w:sz w:val="20"/>
        </w:rPr>
        <w:t>Parsons</w:t>
      </w:r>
      <w:r>
        <w:rPr>
          <w:rFonts w:ascii="Arial"/>
          <w:i/>
          <w:spacing w:val="40"/>
          <w:sz w:val="20"/>
        </w:rPr>
        <w:t> </w:t>
      </w:r>
      <w:r>
        <w:rPr>
          <w:rFonts w:ascii="Arial"/>
          <w:i/>
          <w:sz w:val="20"/>
        </w:rPr>
        <w:t>(Livestock)</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Uttley</w:t>
      </w:r>
      <w:r>
        <w:rPr>
          <w:rFonts w:ascii="Arial"/>
          <w:i/>
          <w:spacing w:val="40"/>
          <w:sz w:val="20"/>
        </w:rPr>
        <w:t> </w:t>
      </w:r>
      <w:r>
        <w:rPr>
          <w:rFonts w:ascii="Arial"/>
          <w:i/>
          <w:sz w:val="20"/>
        </w:rPr>
        <w:t>Ingham</w:t>
      </w:r>
      <w:r>
        <w:rPr>
          <w:rFonts w:ascii="Arial"/>
          <w:i/>
          <w:spacing w:val="40"/>
          <w:sz w:val="20"/>
        </w:rPr>
        <w:t> </w:t>
      </w:r>
      <w:r>
        <w:rPr>
          <w:rFonts w:ascii="Arial"/>
          <w:i/>
          <w:sz w:val="20"/>
        </w:rPr>
        <w:t>&amp;</w:t>
      </w:r>
      <w:r>
        <w:rPr>
          <w:rFonts w:ascii="Arial"/>
          <w:i/>
          <w:spacing w:val="40"/>
          <w:sz w:val="20"/>
        </w:rPr>
        <w:t> </w:t>
      </w:r>
      <w:r>
        <w:rPr>
          <w:rFonts w:ascii="Arial"/>
          <w:i/>
          <w:sz w:val="20"/>
        </w:rPr>
        <w:t>Co</w:t>
      </w:r>
      <w:r>
        <w:rPr>
          <w:rFonts w:ascii="Arial"/>
          <w:i/>
          <w:spacing w:val="40"/>
          <w:sz w:val="20"/>
        </w:rPr>
        <w:t> </w:t>
      </w:r>
      <w:r>
        <w:rPr>
          <w:rFonts w:ascii="Arial"/>
          <w:i/>
          <w:sz w:val="20"/>
        </w:rPr>
        <w:t>Ltd</w:t>
      </w:r>
      <w:r>
        <w:rPr>
          <w:rFonts w:ascii="Arial"/>
          <w:i/>
          <w:spacing w:val="40"/>
          <w:sz w:val="20"/>
        </w:rPr>
        <w:t> </w:t>
      </w:r>
      <w:r>
        <w:rPr>
          <w:rFonts w:ascii="Arial"/>
          <w:i/>
          <w:sz w:val="20"/>
        </w:rPr>
        <w:t>[1978]</w:t>
      </w:r>
      <w:r>
        <w:rPr>
          <w:rFonts w:ascii="Arial"/>
          <w:i/>
          <w:spacing w:val="40"/>
          <w:sz w:val="20"/>
        </w:rPr>
        <w:t> </w:t>
      </w:r>
      <w:r>
        <w:rPr>
          <w:rFonts w:ascii="Arial"/>
          <w:i/>
          <w:sz w:val="20"/>
        </w:rPr>
        <w:t>Q.B.</w:t>
      </w:r>
      <w:r>
        <w:rPr>
          <w:rFonts w:ascii="Arial"/>
          <w:i/>
          <w:spacing w:val="40"/>
          <w:sz w:val="20"/>
        </w:rPr>
        <w:t> </w:t>
      </w:r>
      <w:r>
        <w:rPr>
          <w:rFonts w:ascii="Arial"/>
          <w:i/>
          <w:sz w:val="20"/>
        </w:rPr>
        <w:t>791,</w:t>
      </w:r>
      <w:r>
        <w:rPr>
          <w:rFonts w:ascii="Arial"/>
          <w:i/>
          <w:spacing w:val="40"/>
          <w:sz w:val="20"/>
        </w:rPr>
        <w:t> </w:t>
      </w:r>
      <w:r>
        <w:rPr>
          <w:rFonts w:ascii="Arial"/>
          <w:i/>
          <w:sz w:val="20"/>
        </w:rPr>
        <w:t>807</w:t>
      </w:r>
      <w:r>
        <w:rPr>
          <w:sz w:val="20"/>
        </w:rPr>
        <w:t>.</w:t>
      </w:r>
      <w:r>
        <w:rPr>
          <w:spacing w:val="40"/>
          <w:sz w:val="20"/>
        </w:rPr>
        <w:t> </w:t>
      </w:r>
      <w:r>
        <w:rPr>
          <w:sz w:val="20"/>
        </w:rPr>
        <w:t>See</w:t>
      </w:r>
      <w:r>
        <w:rPr>
          <w:spacing w:val="40"/>
          <w:sz w:val="20"/>
        </w:rPr>
        <w:t> </w:t>
      </w:r>
      <w:r>
        <w:rPr>
          <w:sz w:val="20"/>
        </w:rPr>
        <w:t>similarly </w:t>
      </w:r>
      <w:r>
        <w:rPr>
          <w:rFonts w:ascii="Arial"/>
          <w:i/>
          <w:sz w:val="20"/>
        </w:rPr>
        <w:t>Banque Bruxelles Lambert SA v Eagle Star Insurance Co Ltd [1995] Q.B. 375, 405</w:t>
      </w:r>
      <w:r>
        <w:rPr>
          <w:sz w:val="20"/>
        </w:rPr>
        <w:t>, per Sir Thomas Bingham M.R. (though the decision of the Court of Appeal was reversed on other grounds sub nom. </w:t>
      </w:r>
      <w:r>
        <w:rPr>
          <w:rFonts w:ascii="Arial"/>
          <w:i/>
          <w:sz w:val="20"/>
        </w:rPr>
        <w:t>South Australia Asset Management Corp v York Montague Ltd [1997] </w:t>
      </w:r>
      <w:r>
        <w:rPr>
          <w:rFonts w:ascii="Arial"/>
          <w:i/>
          <w:sz w:val="20"/>
        </w:rPr>
        <w:t>A.C. </w:t>
      </w:r>
      <w:r>
        <w:rPr>
          <w:rFonts w:ascii="Arial"/>
          <w:i/>
          <w:spacing w:val="-2"/>
          <w:sz w:val="20"/>
        </w:rPr>
        <w:t>191</w:t>
      </w:r>
      <w:r>
        <w:rPr>
          <w:spacing w:val="-2"/>
          <w:sz w:val="20"/>
        </w:rPr>
        <w:t>).</w:t>
      </w:r>
    </w:p>
    <w:p>
      <w:pPr>
        <w:pStyle w:val="BodyText"/>
        <w:spacing w:before="11"/>
      </w:pPr>
    </w:p>
    <w:p>
      <w:pPr>
        <w:spacing w:line="137" w:lineRule="exact" w:before="0"/>
        <w:ind w:left="165" w:right="0" w:firstLine="0"/>
        <w:jc w:val="left"/>
        <w:rPr>
          <w:sz w:val="14"/>
        </w:rPr>
      </w:pPr>
      <w:bookmarkStart w:name="_bookmark2035" w:id="2037"/>
      <w:bookmarkEnd w:id="2037"/>
      <w:r>
        <w:rPr/>
      </w:r>
      <w:hyperlink w:history="true" w:anchor="_bookmark1896">
        <w:r>
          <w:rPr>
            <w:color w:val="005DA1"/>
            <w:spacing w:val="-2"/>
            <w:sz w:val="14"/>
            <w:u w:val="single" w:color="005DA1"/>
          </w:rPr>
          <w:t>1351</w:t>
        </w:r>
      </w:hyperlink>
      <w:r>
        <w:rPr>
          <w:spacing w:val="-2"/>
          <w:sz w:val="14"/>
        </w:rPr>
        <w:t>.</w:t>
      </w:r>
    </w:p>
    <w:p>
      <w:pPr>
        <w:spacing w:line="203" w:lineRule="exact" w:before="0"/>
        <w:ind w:left="875" w:right="0" w:firstLine="0"/>
        <w:jc w:val="left"/>
        <w:rPr>
          <w:rFonts w:ascii="Arial" w:hAnsi="Arial"/>
          <w:i/>
          <w:sz w:val="20"/>
        </w:rPr>
      </w:pPr>
      <w:r>
        <w:rPr>
          <w:rFonts w:ascii="Arial" w:hAnsi="Arial"/>
          <w:i/>
          <w:sz w:val="20"/>
        </w:rPr>
        <w:drawing>
          <wp:anchor distT="0" distB="0" distL="0" distR="0" allowOverlap="1" layoutInCell="1" locked="0" behindDoc="0" simplePos="0" relativeHeight="15838208">
            <wp:simplePos x="0" y="0"/>
            <wp:positionH relativeFrom="page">
              <wp:posOffset>1257846</wp:posOffset>
            </wp:positionH>
            <wp:positionV relativeFrom="paragraph">
              <wp:posOffset>13097</wp:posOffset>
            </wp:positionV>
            <wp:extent cx="107988" cy="107988"/>
            <wp:effectExtent l="0" t="0" r="0" b="0"/>
            <wp:wrapNone/>
            <wp:docPr id="529" name="Image 529"/>
            <wp:cNvGraphicFramePr>
              <a:graphicFrameLocks/>
            </wp:cNvGraphicFramePr>
            <a:graphic>
              <a:graphicData uri="http://schemas.openxmlformats.org/drawingml/2006/picture">
                <pic:pic>
                  <pic:nvPicPr>
                    <pic:cNvPr id="529" name="Image 52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Koufos</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C.</w:t>
      </w:r>
      <w:r>
        <w:rPr>
          <w:rFonts w:ascii="Arial" w:hAnsi="Arial"/>
          <w:i/>
          <w:spacing w:val="21"/>
          <w:sz w:val="20"/>
        </w:rPr>
        <w:t> </w:t>
      </w:r>
      <w:r>
        <w:rPr>
          <w:rFonts w:ascii="Arial" w:hAnsi="Arial"/>
          <w:i/>
          <w:sz w:val="20"/>
        </w:rPr>
        <w:t>Czarnikow</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[1969]</w:t>
      </w:r>
      <w:r>
        <w:rPr>
          <w:rFonts w:ascii="Arial" w:hAnsi="Arial"/>
          <w:i/>
          <w:spacing w:val="21"/>
          <w:sz w:val="20"/>
        </w:rPr>
        <w:t> </w:t>
      </w:r>
      <w:r>
        <w:rPr>
          <w:rFonts w:ascii="Arial" w:hAnsi="Arial"/>
          <w:i/>
          <w:sz w:val="20"/>
        </w:rPr>
        <w:t>1</w:t>
      </w:r>
      <w:r>
        <w:rPr>
          <w:rFonts w:ascii="Arial" w:hAnsi="Arial"/>
          <w:i/>
          <w:spacing w:val="21"/>
          <w:sz w:val="20"/>
        </w:rPr>
        <w:t> </w:t>
      </w:r>
      <w:r>
        <w:rPr>
          <w:rFonts w:ascii="Arial" w:hAnsi="Arial"/>
          <w:i/>
          <w:sz w:val="20"/>
        </w:rPr>
        <w:t>A.C.</w:t>
      </w:r>
      <w:r>
        <w:rPr>
          <w:rFonts w:ascii="Arial" w:hAnsi="Arial"/>
          <w:i/>
          <w:spacing w:val="21"/>
          <w:sz w:val="20"/>
        </w:rPr>
        <w:t> </w:t>
      </w:r>
      <w:r>
        <w:rPr>
          <w:rFonts w:ascii="Arial" w:hAnsi="Arial"/>
          <w:i/>
          <w:sz w:val="20"/>
        </w:rPr>
        <w:t>350,</w:t>
      </w:r>
      <w:r>
        <w:rPr>
          <w:rFonts w:ascii="Arial" w:hAnsi="Arial"/>
          <w:i/>
          <w:spacing w:val="21"/>
          <w:sz w:val="20"/>
        </w:rPr>
        <w:t> </w:t>
      </w:r>
      <w:r>
        <w:rPr>
          <w:rFonts w:ascii="Arial" w:hAnsi="Arial"/>
          <w:i/>
          <w:sz w:val="20"/>
        </w:rPr>
        <w:t>385–386,</w:t>
      </w:r>
      <w:r>
        <w:rPr>
          <w:rFonts w:ascii="Arial" w:hAnsi="Arial"/>
          <w:i/>
          <w:spacing w:val="21"/>
          <w:sz w:val="20"/>
        </w:rPr>
        <w:t> </w:t>
      </w:r>
      <w:r>
        <w:rPr>
          <w:rFonts w:ascii="Arial" w:hAnsi="Arial"/>
          <w:i/>
          <w:sz w:val="20"/>
        </w:rPr>
        <w:t>422–423</w:t>
      </w:r>
      <w:r>
        <w:rPr>
          <w:rFonts w:ascii="Arial" w:hAnsi="Arial"/>
          <w:i/>
          <w:spacing w:val="20"/>
          <w:sz w:val="20"/>
        </w:rPr>
        <w:t> </w:t>
      </w:r>
      <w:r>
        <w:rPr>
          <w:sz w:val="20"/>
        </w:rPr>
        <w:t>and</w:t>
      </w:r>
      <w:r>
        <w:rPr>
          <w:spacing w:val="21"/>
          <w:sz w:val="20"/>
        </w:rPr>
        <w:t> </w:t>
      </w:r>
      <w:r>
        <w:rPr>
          <w:sz w:val="20"/>
        </w:rPr>
        <w:t>cf.</w:t>
      </w:r>
      <w:r>
        <w:rPr>
          <w:spacing w:val="21"/>
          <w:sz w:val="20"/>
        </w:rPr>
        <w:t> </w:t>
      </w:r>
      <w:r>
        <w:rPr>
          <w:sz w:val="20"/>
        </w:rPr>
        <w:t>at</w:t>
      </w:r>
      <w:r>
        <w:rPr>
          <w:spacing w:val="21"/>
          <w:sz w:val="20"/>
        </w:rPr>
        <w:t> </w:t>
      </w:r>
      <w:r>
        <w:rPr>
          <w:sz w:val="20"/>
        </w:rPr>
        <w:t>413;</w:t>
      </w:r>
      <w:r>
        <w:rPr>
          <w:spacing w:val="21"/>
          <w:sz w:val="20"/>
        </w:rPr>
        <w:t> </w:t>
      </w:r>
      <w:r>
        <w:rPr>
          <w:rFonts w:ascii="Arial" w:hAnsi="Arial"/>
          <w:i/>
          <w:spacing w:val="-2"/>
          <w:sz w:val="20"/>
        </w:rPr>
        <w:t>Wellesley</w:t>
      </w:r>
    </w:p>
    <w:p>
      <w:pPr>
        <w:spacing w:line="235" w:lineRule="auto" w:before="2"/>
        <w:ind w:left="705" w:right="0" w:firstLine="0"/>
        <w:jc w:val="left"/>
        <w:rPr>
          <w:sz w:val="20"/>
        </w:rPr>
      </w:pPr>
      <w:r>
        <w:rPr>
          <w:rFonts w:ascii="Arial"/>
          <w:i/>
          <w:sz w:val="20"/>
        </w:rPr>
        <w:t>Partners</w:t>
      </w:r>
      <w:r>
        <w:rPr>
          <w:rFonts w:ascii="Arial"/>
          <w:i/>
          <w:spacing w:val="-2"/>
          <w:sz w:val="20"/>
        </w:rPr>
        <w:t> </w:t>
      </w:r>
      <w:r>
        <w:rPr>
          <w:rFonts w:ascii="Arial"/>
          <w:i/>
          <w:sz w:val="20"/>
        </w:rPr>
        <w:t>LLP</w:t>
      </w:r>
      <w:r>
        <w:rPr>
          <w:rFonts w:ascii="Arial"/>
          <w:i/>
          <w:spacing w:val="-2"/>
          <w:sz w:val="20"/>
        </w:rPr>
        <w:t> </w:t>
      </w:r>
      <w:r>
        <w:rPr>
          <w:rFonts w:ascii="Arial"/>
          <w:i/>
          <w:sz w:val="20"/>
        </w:rPr>
        <w:t>v</w:t>
      </w:r>
      <w:r>
        <w:rPr>
          <w:rFonts w:ascii="Arial"/>
          <w:i/>
          <w:spacing w:val="-2"/>
          <w:sz w:val="20"/>
        </w:rPr>
        <w:t> </w:t>
      </w:r>
      <w:r>
        <w:rPr>
          <w:rFonts w:ascii="Arial"/>
          <w:i/>
          <w:sz w:val="20"/>
        </w:rPr>
        <w:t>Withers</w:t>
      </w:r>
      <w:r>
        <w:rPr>
          <w:rFonts w:ascii="Arial"/>
          <w:i/>
          <w:spacing w:val="-2"/>
          <w:sz w:val="20"/>
        </w:rPr>
        <w:t> </w:t>
      </w:r>
      <w:r>
        <w:rPr>
          <w:rFonts w:ascii="Arial"/>
          <w:i/>
          <w:sz w:val="20"/>
        </w:rPr>
        <w:t>LLP</w:t>
      </w:r>
      <w:r>
        <w:rPr>
          <w:rFonts w:ascii="Arial"/>
          <w:i/>
          <w:spacing w:val="-2"/>
          <w:sz w:val="20"/>
        </w:rPr>
        <w:t> </w:t>
      </w:r>
      <w:r>
        <w:rPr>
          <w:rFonts w:ascii="Arial"/>
          <w:i/>
          <w:sz w:val="20"/>
        </w:rPr>
        <w:t>[2015]</w:t>
      </w:r>
      <w:r>
        <w:rPr>
          <w:rFonts w:ascii="Arial"/>
          <w:i/>
          <w:spacing w:val="-2"/>
          <w:sz w:val="20"/>
        </w:rPr>
        <w:t> </w:t>
      </w:r>
      <w:r>
        <w:rPr>
          <w:rFonts w:ascii="Arial"/>
          <w:i/>
          <w:sz w:val="20"/>
        </w:rPr>
        <w:t>EWCA</w:t>
      </w:r>
      <w:r>
        <w:rPr>
          <w:rFonts w:ascii="Arial"/>
          <w:i/>
          <w:spacing w:val="-2"/>
          <w:sz w:val="20"/>
        </w:rPr>
        <w:t> </w:t>
      </w:r>
      <w:r>
        <w:rPr>
          <w:rFonts w:ascii="Arial"/>
          <w:i/>
          <w:sz w:val="20"/>
        </w:rPr>
        <w:t>Civ</w:t>
      </w:r>
      <w:r>
        <w:rPr>
          <w:rFonts w:ascii="Arial"/>
          <w:i/>
          <w:spacing w:val="-2"/>
          <w:sz w:val="20"/>
        </w:rPr>
        <w:t> </w:t>
      </w:r>
      <w:r>
        <w:rPr>
          <w:rFonts w:ascii="Arial"/>
          <w:i/>
          <w:sz w:val="20"/>
        </w:rPr>
        <w:t>1146,</w:t>
      </w:r>
      <w:r>
        <w:rPr>
          <w:rFonts w:ascii="Arial"/>
          <w:i/>
          <w:spacing w:val="-2"/>
          <w:sz w:val="20"/>
        </w:rPr>
        <w:t> </w:t>
      </w:r>
      <w:r>
        <w:rPr>
          <w:rFonts w:ascii="Arial"/>
          <w:i/>
          <w:sz w:val="20"/>
        </w:rPr>
        <w:t>[2016]</w:t>
      </w:r>
      <w:r>
        <w:rPr>
          <w:rFonts w:ascii="Arial"/>
          <w:i/>
          <w:spacing w:val="-2"/>
          <w:sz w:val="20"/>
        </w:rPr>
        <w:t> </w:t>
      </w:r>
      <w:r>
        <w:rPr>
          <w:rFonts w:ascii="Arial"/>
          <w:i/>
          <w:sz w:val="20"/>
        </w:rPr>
        <w:t>2</w:t>
      </w:r>
      <w:r>
        <w:rPr>
          <w:rFonts w:ascii="Arial"/>
          <w:i/>
          <w:spacing w:val="-2"/>
          <w:sz w:val="20"/>
        </w:rPr>
        <w:t> </w:t>
      </w:r>
      <w:r>
        <w:rPr>
          <w:rFonts w:ascii="Arial"/>
          <w:i/>
          <w:sz w:val="20"/>
        </w:rPr>
        <w:t>W.L.R.</w:t>
      </w:r>
      <w:r>
        <w:rPr>
          <w:rFonts w:ascii="Arial"/>
          <w:i/>
          <w:spacing w:val="-2"/>
          <w:sz w:val="20"/>
        </w:rPr>
        <w:t> </w:t>
      </w:r>
      <w:r>
        <w:rPr>
          <w:rFonts w:ascii="Arial"/>
          <w:i/>
          <w:sz w:val="20"/>
        </w:rPr>
        <w:t>1351</w:t>
      </w:r>
      <w:r>
        <w:rPr>
          <w:rFonts w:ascii="Arial"/>
          <w:i/>
          <w:spacing w:val="-3"/>
          <w:sz w:val="20"/>
        </w:rPr>
        <w:t> </w:t>
      </w:r>
      <w:r>
        <w:rPr>
          <w:sz w:val="20"/>
        </w:rPr>
        <w:t>at</w:t>
      </w:r>
      <w:r>
        <w:rPr>
          <w:spacing w:val="-2"/>
          <w:sz w:val="20"/>
        </w:rPr>
        <w:t> </w:t>
      </w:r>
      <w:r>
        <w:rPr>
          <w:sz w:val="20"/>
        </w:rPr>
        <w:t>[74]</w:t>
      </w:r>
      <w:r>
        <w:rPr>
          <w:spacing w:val="-2"/>
          <w:sz w:val="20"/>
        </w:rPr>
        <w:t> </w:t>
      </w:r>
      <w:r>
        <w:rPr>
          <w:sz w:val="20"/>
        </w:rPr>
        <w:t>and</w:t>
      </w:r>
      <w:r>
        <w:rPr>
          <w:spacing w:val="-2"/>
          <w:sz w:val="20"/>
        </w:rPr>
        <w:t> </w:t>
      </w:r>
      <w:r>
        <w:rPr>
          <w:sz w:val="20"/>
        </w:rPr>
        <w:t>[146]</w:t>
      </w:r>
      <w:r>
        <w:rPr>
          <w:spacing w:val="-2"/>
          <w:sz w:val="20"/>
        </w:rPr>
        <w:t> </w:t>
      </w:r>
      <w:r>
        <w:rPr>
          <w:sz w:val="20"/>
        </w:rPr>
        <w:t>and see below, para.26-115.</w:t>
      </w:r>
    </w:p>
    <w:p>
      <w:pPr>
        <w:pStyle w:val="BodyText"/>
        <w:spacing w:before="5"/>
      </w:pPr>
    </w:p>
    <w:p>
      <w:pPr>
        <w:spacing w:before="0"/>
        <w:ind w:left="165" w:right="0" w:firstLine="0"/>
        <w:jc w:val="left"/>
        <w:rPr>
          <w:sz w:val="20"/>
        </w:rPr>
      </w:pPr>
      <w:bookmarkStart w:name="_bookmark2036" w:id="2038"/>
      <w:bookmarkEnd w:id="2038"/>
      <w:r>
        <w:rPr/>
      </w:r>
      <w:hyperlink w:history="true" w:anchor="_bookmark1897">
        <w:r>
          <w:rPr>
            <w:color w:val="005DA1"/>
            <w:position w:val="5"/>
            <w:sz w:val="14"/>
            <w:u w:val="single" w:color="005DA1"/>
          </w:rPr>
          <w:t>1352</w:t>
        </w:r>
      </w:hyperlink>
      <w:r>
        <w:rPr>
          <w:position w:val="5"/>
          <w:sz w:val="14"/>
        </w:rPr>
        <w:t>.</w:t>
      </w:r>
      <w:r>
        <w:rPr>
          <w:spacing w:val="55"/>
          <w:position w:val="5"/>
          <w:sz w:val="14"/>
        </w:rPr>
        <w:t>  </w:t>
      </w:r>
      <w:r>
        <w:rPr>
          <w:sz w:val="20"/>
        </w:rPr>
        <w:t>See</w:t>
      </w:r>
      <w:r>
        <w:rPr>
          <w:spacing w:val="1"/>
          <w:sz w:val="20"/>
        </w:rPr>
        <w:t> </w:t>
      </w:r>
      <w:r>
        <w:rPr>
          <w:sz w:val="20"/>
        </w:rPr>
        <w:t>Harris, Campbell and Halson,</w:t>
      </w:r>
      <w:r>
        <w:rPr>
          <w:spacing w:val="-1"/>
          <w:sz w:val="20"/>
        </w:rPr>
        <w:t> </w:t>
      </w:r>
      <w:r>
        <w:rPr>
          <w:rFonts w:ascii="Arial"/>
          <w:i/>
          <w:sz w:val="20"/>
        </w:rPr>
        <w:t>Remedies</w:t>
      </w:r>
      <w:r>
        <w:rPr>
          <w:rFonts w:ascii="Arial"/>
          <w:i/>
          <w:spacing w:val="-1"/>
          <w:sz w:val="20"/>
        </w:rPr>
        <w:t> </w:t>
      </w:r>
      <w:r>
        <w:rPr>
          <w:rFonts w:ascii="Arial"/>
          <w:i/>
          <w:sz w:val="20"/>
        </w:rPr>
        <w:t>in Contract and Tort</w:t>
      </w:r>
      <w:r>
        <w:rPr>
          <w:sz w:val="20"/>
        </w:rPr>
        <w:t>, 2nd edn (2002), pp.331-</w:t>
      </w:r>
      <w:r>
        <w:rPr>
          <w:spacing w:val="-4"/>
          <w:sz w:val="20"/>
        </w:rPr>
        <w:t>333.</w:t>
      </w:r>
    </w:p>
    <w:p>
      <w:pPr>
        <w:pStyle w:val="BodyText"/>
        <w:spacing w:before="5"/>
      </w:pPr>
    </w:p>
    <w:p>
      <w:pPr>
        <w:spacing w:before="0"/>
        <w:ind w:left="165" w:right="0" w:firstLine="0"/>
        <w:jc w:val="left"/>
        <w:rPr>
          <w:sz w:val="20"/>
        </w:rPr>
      </w:pPr>
      <w:bookmarkStart w:name="_bookmark2037" w:id="2039"/>
      <w:bookmarkEnd w:id="2039"/>
      <w:r>
        <w:rPr/>
      </w:r>
      <w:hyperlink w:history="true" w:anchor="_bookmark1898">
        <w:r>
          <w:rPr>
            <w:color w:val="005DA1"/>
            <w:position w:val="5"/>
            <w:sz w:val="14"/>
            <w:u w:val="single" w:color="005DA1"/>
          </w:rPr>
          <w:t>1353</w:t>
        </w:r>
      </w:hyperlink>
      <w:r>
        <w:rPr>
          <w:position w:val="5"/>
          <w:sz w:val="14"/>
        </w:rPr>
        <w:t>.</w:t>
      </w:r>
      <w:r>
        <w:rPr>
          <w:spacing w:val="55"/>
          <w:position w:val="5"/>
          <w:sz w:val="14"/>
        </w:rPr>
        <w:t>  </w:t>
      </w:r>
      <w:r>
        <w:rPr>
          <w:rFonts w:ascii="Arial"/>
          <w:i/>
          <w:sz w:val="20"/>
        </w:rPr>
        <w:t>[1978]</w:t>
      </w:r>
      <w:r>
        <w:rPr>
          <w:rFonts w:ascii="Arial"/>
          <w:i/>
          <w:spacing w:val="1"/>
          <w:sz w:val="20"/>
        </w:rPr>
        <w:t> </w:t>
      </w:r>
      <w:r>
        <w:rPr>
          <w:rFonts w:ascii="Arial"/>
          <w:i/>
          <w:sz w:val="20"/>
        </w:rPr>
        <w:t>Q.B. </w:t>
      </w:r>
      <w:r>
        <w:rPr>
          <w:rFonts w:ascii="Arial"/>
          <w:i/>
          <w:spacing w:val="-4"/>
          <w:sz w:val="20"/>
        </w:rPr>
        <w:t>791</w:t>
      </w:r>
      <w:r>
        <w:rPr>
          <w:spacing w:val="-4"/>
          <w:sz w:val="20"/>
        </w:rPr>
        <w:t>.</w:t>
      </w:r>
    </w:p>
    <w:p>
      <w:pPr>
        <w:pStyle w:val="BodyText"/>
        <w:spacing w:before="9"/>
      </w:pPr>
    </w:p>
    <w:p>
      <w:pPr>
        <w:pStyle w:val="BodyText"/>
        <w:spacing w:line="235" w:lineRule="auto"/>
        <w:ind w:left="705" w:right="167" w:hanging="541"/>
        <w:jc w:val="both"/>
      </w:pPr>
      <w:bookmarkStart w:name="_bookmark2038" w:id="2040"/>
      <w:bookmarkEnd w:id="2040"/>
      <w:r>
        <w:rPr/>
      </w:r>
      <w:hyperlink w:history="true" w:anchor="_bookmark1899">
        <w:r>
          <w:rPr>
            <w:color w:val="005DA1"/>
            <w:position w:val="5"/>
            <w:sz w:val="14"/>
            <w:u w:val="single" w:color="005DA1"/>
          </w:rPr>
          <w:t>1354</w:t>
        </w:r>
      </w:hyperlink>
      <w:r>
        <w:rPr>
          <w:position w:val="5"/>
          <w:sz w:val="14"/>
        </w:rPr>
        <w:t>.</w:t>
      </w:r>
      <w:r>
        <w:rPr>
          <w:spacing w:val="80"/>
          <w:position w:val="5"/>
          <w:sz w:val="14"/>
        </w:rPr>
        <w:t> </w:t>
      </w:r>
      <w:r>
        <w:rPr>
          <w:rFonts w:ascii="Arial" w:hAnsi="Arial"/>
          <w:i/>
        </w:rPr>
        <w:t>[1978] Q.B. 791 </w:t>
      </w:r>
      <w:r>
        <w:rPr/>
        <w:t>at 806–807. Lord Denning, M.R. agreed with the result of the majority, but justified it by drawing a distinction between claims for physical damage and ones for economic loss: at 802–804. For further discussion of this decision, see Burrows, </w:t>
      </w:r>
      <w:r>
        <w:rPr>
          <w:rFonts w:ascii="Arial" w:hAnsi="Arial"/>
          <w:i/>
        </w:rPr>
        <w:t>Remedies for Torts </w:t>
      </w:r>
      <w:r>
        <w:rPr>
          <w:rFonts w:ascii="Arial" w:hAnsi="Arial"/>
          <w:i/>
        </w:rPr>
        <w:t>and Breach of Contract</w:t>
      </w:r>
      <w:r>
        <w:rPr/>
        <w:t>, 3rd edn (2004), pp.88 et seq.; Cane above, n.1241 at pp.146–147; McGregor on Damages, 19th edn (2014), para.22-009. cf. </w:t>
      </w:r>
      <w:r>
        <w:rPr>
          <w:rFonts w:ascii="Arial" w:hAnsi="Arial"/>
          <w:i/>
        </w:rPr>
        <w:t>Galoo Ltd v Bright Grahame Murray [1994] 1 W.L.R. 1360, 1369 </w:t>
      </w:r>
      <w:r>
        <w:rPr/>
        <w:t>where Glidewell L.J. adopted an approach to causation which he considered applicable to a claim for breach of contract and to one in “tort in a situation analogous to a breach of contract”.</w:t>
      </w:r>
    </w:p>
    <w:p>
      <w:pPr>
        <w:pStyle w:val="BodyText"/>
        <w:spacing w:before="7"/>
      </w:pPr>
    </w:p>
    <w:p>
      <w:pPr>
        <w:spacing w:line="235" w:lineRule="auto" w:before="0"/>
        <w:ind w:left="705" w:right="167" w:hanging="541"/>
        <w:jc w:val="both"/>
        <w:rPr>
          <w:sz w:val="20"/>
        </w:rPr>
      </w:pPr>
      <w:bookmarkStart w:name="_bookmark2039" w:id="2041"/>
      <w:bookmarkEnd w:id="2041"/>
      <w:r>
        <w:rPr/>
      </w:r>
      <w:hyperlink w:history="true" w:anchor="_bookmark1900">
        <w:r>
          <w:rPr>
            <w:color w:val="005DA1"/>
            <w:position w:val="5"/>
            <w:sz w:val="14"/>
            <w:u w:val="single" w:color="005DA1"/>
          </w:rPr>
          <w:t>1355</w:t>
        </w:r>
      </w:hyperlink>
      <w:r>
        <w:rPr>
          <w:position w:val="5"/>
          <w:sz w:val="14"/>
        </w:rPr>
        <w:t>.</w:t>
      </w:r>
      <w:r>
        <w:rPr>
          <w:spacing w:val="80"/>
          <w:position w:val="5"/>
          <w:sz w:val="14"/>
        </w:rPr>
        <w:t> </w:t>
      </w:r>
      <w:r>
        <w:rPr>
          <w:rFonts w:ascii="Arial"/>
          <w:i/>
          <w:sz w:val="20"/>
        </w:rPr>
        <w:t>[2010] EWHC 1878 (TCC), [2010] B.L.R. 537 </w:t>
      </w:r>
      <w:r>
        <w:rPr>
          <w:sz w:val="20"/>
        </w:rPr>
        <w:t>(preliminary issue as to duty of care); </w:t>
      </w:r>
      <w:r>
        <w:rPr>
          <w:rFonts w:ascii="Arial"/>
          <w:i/>
          <w:sz w:val="20"/>
        </w:rPr>
        <w:t>Linklaters Business Services v Sir Robert McAlpine Ltd [2010] EWHC 2931 (TCC), 133 Con. L.R. </w:t>
      </w:r>
      <w:r>
        <w:rPr>
          <w:rFonts w:ascii="Arial"/>
          <w:i/>
          <w:sz w:val="20"/>
        </w:rPr>
        <w:t>211 </w:t>
      </w:r>
      <w:r>
        <w:rPr>
          <w:sz w:val="20"/>
        </w:rPr>
        <w:t>(trial), Akenhead J.</w:t>
      </w:r>
    </w:p>
    <w:p>
      <w:pPr>
        <w:pStyle w:val="BodyText"/>
        <w:spacing w:before="9"/>
      </w:pPr>
    </w:p>
    <w:p>
      <w:pPr>
        <w:spacing w:line="235" w:lineRule="auto" w:before="0"/>
        <w:ind w:left="705" w:right="168" w:hanging="541"/>
        <w:jc w:val="left"/>
        <w:rPr>
          <w:sz w:val="20"/>
        </w:rPr>
      </w:pPr>
      <w:bookmarkStart w:name="_bookmark2040" w:id="2042"/>
      <w:bookmarkEnd w:id="2042"/>
      <w:r>
        <w:rPr/>
      </w:r>
      <w:hyperlink w:history="true" w:anchor="_bookmark1901">
        <w:r>
          <w:rPr>
            <w:color w:val="005DA1"/>
            <w:position w:val="5"/>
            <w:sz w:val="14"/>
            <w:u w:val="single" w:color="005DA1"/>
          </w:rPr>
          <w:t>1356</w:t>
        </w:r>
      </w:hyperlink>
      <w:r>
        <w:rPr>
          <w:position w:val="5"/>
          <w:sz w:val="14"/>
        </w:rPr>
        <w:t>.</w:t>
      </w:r>
      <w:r>
        <w:rPr>
          <w:spacing w:val="54"/>
          <w:position w:val="5"/>
          <w:sz w:val="14"/>
        </w:rPr>
        <w:t>  </w:t>
      </w:r>
      <w:r>
        <w:rPr>
          <w:sz w:val="20"/>
        </w:rPr>
        <w:t>Applying</w:t>
      </w:r>
      <w:r>
        <w:rPr>
          <w:spacing w:val="71"/>
          <w:sz w:val="20"/>
        </w:rPr>
        <w:t> </w:t>
      </w:r>
      <w:r>
        <w:rPr>
          <w:rFonts w:ascii="Arial"/>
          <w:i/>
          <w:sz w:val="20"/>
        </w:rPr>
        <w:t>Henderson</w:t>
      </w:r>
      <w:r>
        <w:rPr>
          <w:rFonts w:ascii="Arial"/>
          <w:i/>
          <w:spacing w:val="72"/>
          <w:sz w:val="20"/>
        </w:rPr>
        <w:t> </w:t>
      </w:r>
      <w:r>
        <w:rPr>
          <w:rFonts w:ascii="Arial"/>
          <w:i/>
          <w:sz w:val="20"/>
        </w:rPr>
        <w:t>v</w:t>
      </w:r>
      <w:r>
        <w:rPr>
          <w:rFonts w:ascii="Arial"/>
          <w:i/>
          <w:spacing w:val="72"/>
          <w:sz w:val="20"/>
        </w:rPr>
        <w:t> </w:t>
      </w:r>
      <w:r>
        <w:rPr>
          <w:rFonts w:ascii="Arial"/>
          <w:i/>
          <w:sz w:val="20"/>
        </w:rPr>
        <w:t>Merrett</w:t>
      </w:r>
      <w:r>
        <w:rPr>
          <w:rFonts w:ascii="Arial"/>
          <w:i/>
          <w:spacing w:val="72"/>
          <w:sz w:val="20"/>
        </w:rPr>
        <w:t> </w:t>
      </w:r>
      <w:r>
        <w:rPr>
          <w:rFonts w:ascii="Arial"/>
          <w:i/>
          <w:sz w:val="20"/>
        </w:rPr>
        <w:t>Syndicates</w:t>
      </w:r>
      <w:r>
        <w:rPr>
          <w:rFonts w:ascii="Arial"/>
          <w:i/>
          <w:spacing w:val="72"/>
          <w:sz w:val="20"/>
        </w:rPr>
        <w:t> </w:t>
      </w:r>
      <w:r>
        <w:rPr>
          <w:rFonts w:ascii="Arial"/>
          <w:i/>
          <w:sz w:val="20"/>
        </w:rPr>
        <w:t>Ltd</w:t>
      </w:r>
      <w:r>
        <w:rPr>
          <w:rFonts w:ascii="Arial"/>
          <w:i/>
          <w:spacing w:val="72"/>
          <w:sz w:val="20"/>
        </w:rPr>
        <w:t> </w:t>
      </w:r>
      <w:r>
        <w:rPr>
          <w:rFonts w:ascii="Arial"/>
          <w:i/>
          <w:sz w:val="20"/>
        </w:rPr>
        <w:t>[1995]</w:t>
      </w:r>
      <w:r>
        <w:rPr>
          <w:rFonts w:ascii="Arial"/>
          <w:i/>
          <w:spacing w:val="72"/>
          <w:sz w:val="20"/>
        </w:rPr>
        <w:t> </w:t>
      </w:r>
      <w:r>
        <w:rPr>
          <w:rFonts w:ascii="Arial"/>
          <w:i/>
          <w:sz w:val="20"/>
        </w:rPr>
        <w:t>2</w:t>
      </w:r>
      <w:r>
        <w:rPr>
          <w:rFonts w:ascii="Arial"/>
          <w:i/>
          <w:spacing w:val="72"/>
          <w:sz w:val="20"/>
        </w:rPr>
        <w:t> </w:t>
      </w:r>
      <w:r>
        <w:rPr>
          <w:rFonts w:ascii="Arial"/>
          <w:i/>
          <w:sz w:val="20"/>
        </w:rPr>
        <w:t>A.C.</w:t>
      </w:r>
      <w:r>
        <w:rPr>
          <w:rFonts w:ascii="Arial"/>
          <w:i/>
          <w:spacing w:val="72"/>
          <w:sz w:val="20"/>
        </w:rPr>
        <w:t> </w:t>
      </w:r>
      <w:r>
        <w:rPr>
          <w:rFonts w:ascii="Arial"/>
          <w:i/>
          <w:sz w:val="20"/>
        </w:rPr>
        <w:t>145</w:t>
      </w:r>
      <w:r>
        <w:rPr>
          <w:rFonts w:ascii="Arial"/>
          <w:i/>
          <w:spacing w:val="71"/>
          <w:sz w:val="20"/>
        </w:rPr>
        <w:t> </w:t>
      </w:r>
      <w:r>
        <w:rPr>
          <w:sz w:val="20"/>
        </w:rPr>
        <w:t>on</w:t>
      </w:r>
      <w:r>
        <w:rPr>
          <w:spacing w:val="72"/>
          <w:sz w:val="20"/>
        </w:rPr>
        <w:t> </w:t>
      </w:r>
      <w:r>
        <w:rPr>
          <w:sz w:val="20"/>
        </w:rPr>
        <w:t>which</w:t>
      </w:r>
      <w:r>
        <w:rPr>
          <w:spacing w:val="72"/>
          <w:sz w:val="20"/>
        </w:rPr>
        <w:t> </w:t>
      </w:r>
      <w:r>
        <w:rPr>
          <w:sz w:val="20"/>
        </w:rPr>
        <w:t>see</w:t>
      </w:r>
      <w:r>
        <w:rPr>
          <w:spacing w:val="72"/>
          <w:sz w:val="20"/>
        </w:rPr>
        <w:t> </w:t>
      </w:r>
      <w:r>
        <w:rPr>
          <w:sz w:val="20"/>
        </w:rPr>
        <w:t>above, </w:t>
      </w:r>
      <w:r>
        <w:rPr>
          <w:spacing w:val="-2"/>
          <w:sz w:val="20"/>
        </w:rPr>
        <w:t>para.1-167.</w:t>
      </w:r>
    </w:p>
    <w:p>
      <w:pPr>
        <w:pStyle w:val="BodyText"/>
        <w:spacing w:before="5"/>
      </w:pPr>
    </w:p>
    <w:p>
      <w:pPr>
        <w:spacing w:before="0"/>
        <w:ind w:left="165" w:right="0" w:firstLine="0"/>
        <w:jc w:val="left"/>
        <w:rPr>
          <w:sz w:val="20"/>
        </w:rPr>
      </w:pPr>
      <w:bookmarkStart w:name="_bookmark2041" w:id="2043"/>
      <w:bookmarkEnd w:id="2043"/>
      <w:r>
        <w:rPr/>
      </w:r>
      <w:hyperlink w:history="true" w:anchor="_bookmark1902">
        <w:r>
          <w:rPr>
            <w:color w:val="005DA1"/>
            <w:position w:val="5"/>
            <w:sz w:val="14"/>
            <w:u w:val="single" w:color="005DA1"/>
          </w:rPr>
          <w:t>1357</w:t>
        </w:r>
      </w:hyperlink>
      <w:r>
        <w:rPr>
          <w:position w:val="5"/>
          <w:sz w:val="14"/>
        </w:rPr>
        <w:t>.</w:t>
      </w:r>
      <w:r>
        <w:rPr>
          <w:spacing w:val="55"/>
          <w:position w:val="5"/>
          <w:sz w:val="14"/>
        </w:rPr>
        <w:t>  </w:t>
      </w:r>
      <w:r>
        <w:rPr>
          <w:rFonts w:ascii="Arial"/>
          <w:i/>
          <w:sz w:val="20"/>
        </w:rPr>
        <w:t>[2010]</w:t>
      </w:r>
      <w:r>
        <w:rPr>
          <w:rFonts w:ascii="Arial"/>
          <w:i/>
          <w:spacing w:val="1"/>
          <w:sz w:val="20"/>
        </w:rPr>
        <w:t> </w:t>
      </w:r>
      <w:r>
        <w:rPr>
          <w:rFonts w:ascii="Arial"/>
          <w:i/>
          <w:sz w:val="20"/>
        </w:rPr>
        <w:t>EWHC 1878 (TCC)</w:t>
      </w:r>
      <w:r>
        <w:rPr>
          <w:rFonts w:ascii="Arial"/>
          <w:i/>
          <w:spacing w:val="-1"/>
          <w:sz w:val="20"/>
        </w:rPr>
        <w:t> </w:t>
      </w:r>
      <w:r>
        <w:rPr>
          <w:sz w:val="20"/>
        </w:rPr>
        <w:t>at </w:t>
      </w:r>
      <w:r>
        <w:rPr>
          <w:spacing w:val="-2"/>
          <w:sz w:val="20"/>
        </w:rPr>
        <w:t>[14].</w:t>
      </w:r>
    </w:p>
    <w:p>
      <w:pPr>
        <w:pStyle w:val="BodyText"/>
        <w:spacing w:before="5"/>
      </w:pPr>
    </w:p>
    <w:p>
      <w:pPr>
        <w:spacing w:before="0"/>
        <w:ind w:left="165" w:right="0" w:firstLine="0"/>
        <w:jc w:val="left"/>
        <w:rPr>
          <w:sz w:val="20"/>
        </w:rPr>
      </w:pPr>
      <w:bookmarkStart w:name="_bookmark2042" w:id="2044"/>
      <w:bookmarkEnd w:id="2044"/>
      <w:r>
        <w:rPr/>
      </w:r>
      <w:hyperlink w:history="true" w:anchor="_bookmark1903">
        <w:r>
          <w:rPr>
            <w:color w:val="005DA1"/>
            <w:position w:val="5"/>
            <w:sz w:val="14"/>
            <w:u w:val="single" w:color="005DA1"/>
          </w:rPr>
          <w:t>1358</w:t>
        </w:r>
      </w:hyperlink>
      <w:r>
        <w:rPr>
          <w:position w:val="5"/>
          <w:sz w:val="14"/>
        </w:rPr>
        <w:t>.</w:t>
      </w:r>
      <w:r>
        <w:rPr>
          <w:spacing w:val="55"/>
          <w:position w:val="5"/>
          <w:sz w:val="14"/>
        </w:rPr>
        <w:t>  </w:t>
      </w:r>
      <w:r>
        <w:rPr>
          <w:rFonts w:ascii="Arial" w:hAnsi="Arial"/>
          <w:i/>
          <w:sz w:val="20"/>
        </w:rPr>
        <w:t>[1996]</w:t>
      </w:r>
      <w:r>
        <w:rPr>
          <w:rFonts w:ascii="Arial" w:hAnsi="Arial"/>
          <w:i/>
          <w:spacing w:val="1"/>
          <w:sz w:val="20"/>
        </w:rPr>
        <w:t> </w:t>
      </w:r>
      <w:r>
        <w:rPr>
          <w:rFonts w:ascii="Arial" w:hAnsi="Arial"/>
          <w:i/>
          <w:sz w:val="20"/>
        </w:rPr>
        <w:t>UKHL 10, [1997] A.C. 191</w:t>
      </w:r>
      <w:r>
        <w:rPr>
          <w:rFonts w:ascii="Arial" w:hAnsi="Arial"/>
          <w:i/>
          <w:spacing w:val="-1"/>
          <w:sz w:val="20"/>
        </w:rPr>
        <w:t> </w:t>
      </w:r>
      <w:r>
        <w:rPr>
          <w:sz w:val="20"/>
        </w:rPr>
        <w:t>at [8], [9] and </w:t>
      </w:r>
      <w:r>
        <w:rPr>
          <w:spacing w:val="-2"/>
          <w:sz w:val="20"/>
        </w:rPr>
        <w:t>[14]–[15].</w:t>
      </w:r>
    </w:p>
    <w:p>
      <w:pPr>
        <w:pStyle w:val="BodyText"/>
        <w:spacing w:before="9"/>
      </w:pPr>
    </w:p>
    <w:p>
      <w:pPr>
        <w:spacing w:line="235" w:lineRule="auto" w:before="0"/>
        <w:ind w:left="705" w:right="167" w:hanging="541"/>
        <w:jc w:val="both"/>
        <w:rPr>
          <w:sz w:val="20"/>
        </w:rPr>
      </w:pPr>
      <w:bookmarkStart w:name="_bookmark2043" w:id="2045"/>
      <w:bookmarkEnd w:id="2045"/>
      <w:r>
        <w:rPr/>
      </w:r>
      <w:hyperlink w:history="true" w:anchor="_bookmark1904">
        <w:r>
          <w:rPr>
            <w:color w:val="005DA1"/>
            <w:position w:val="5"/>
            <w:sz w:val="14"/>
            <w:u w:val="single" w:color="005DA1"/>
          </w:rPr>
          <w:t>1359</w:t>
        </w:r>
      </w:hyperlink>
      <w:r>
        <w:rPr>
          <w:position w:val="5"/>
          <w:sz w:val="14"/>
        </w:rPr>
        <w:t>.</w:t>
      </w:r>
      <w:r>
        <w:rPr>
          <w:spacing w:val="80"/>
          <w:w w:val="150"/>
          <w:position w:val="5"/>
          <w:sz w:val="14"/>
        </w:rPr>
        <w:t> </w:t>
      </w:r>
      <w:r>
        <w:rPr>
          <w:rFonts w:ascii="Arial"/>
          <w:i/>
          <w:sz w:val="20"/>
        </w:rPr>
        <w:t>Transfield Shipping Inc v Mercator Shipping Inc (The Achilleas) [2008] UKHL 48, [2009] 1 A.C. 61 at [22]; [2010] EWHC 1878 (TCC) </w:t>
      </w:r>
      <w:r>
        <w:rPr>
          <w:sz w:val="20"/>
        </w:rPr>
        <w:t>at [16]. On the wider significance of this decision </w:t>
      </w:r>
      <w:r>
        <w:rPr>
          <w:sz w:val="20"/>
        </w:rPr>
        <w:t>see below, paras 26-126 et seq. and cf. above, para.1-190A.</w:t>
      </w:r>
    </w:p>
    <w:p>
      <w:pPr>
        <w:pStyle w:val="BodyText"/>
        <w:spacing w:before="5"/>
      </w:pPr>
    </w:p>
    <w:p>
      <w:pPr>
        <w:spacing w:before="0"/>
        <w:ind w:left="165" w:right="0" w:firstLine="0"/>
        <w:jc w:val="left"/>
        <w:rPr>
          <w:sz w:val="20"/>
        </w:rPr>
      </w:pPr>
      <w:bookmarkStart w:name="_bookmark2044" w:id="2046"/>
      <w:bookmarkEnd w:id="2046"/>
      <w:r>
        <w:rPr/>
      </w:r>
      <w:hyperlink w:history="true" w:anchor="_bookmark1905">
        <w:r>
          <w:rPr>
            <w:color w:val="005DA1"/>
            <w:position w:val="5"/>
            <w:sz w:val="14"/>
            <w:u w:val="single" w:color="005DA1"/>
          </w:rPr>
          <w:t>1360</w:t>
        </w:r>
      </w:hyperlink>
      <w:r>
        <w:rPr>
          <w:position w:val="5"/>
          <w:sz w:val="14"/>
        </w:rPr>
        <w:t>.</w:t>
      </w:r>
      <w:r>
        <w:rPr>
          <w:spacing w:val="55"/>
          <w:position w:val="5"/>
          <w:sz w:val="14"/>
        </w:rPr>
        <w:t>  </w:t>
      </w:r>
      <w:r>
        <w:rPr>
          <w:rFonts w:ascii="Arial"/>
          <w:i/>
          <w:sz w:val="20"/>
        </w:rPr>
        <w:t>[2010]</w:t>
      </w:r>
      <w:r>
        <w:rPr>
          <w:rFonts w:ascii="Arial"/>
          <w:i/>
          <w:spacing w:val="1"/>
          <w:sz w:val="20"/>
        </w:rPr>
        <w:t> </w:t>
      </w:r>
      <w:r>
        <w:rPr>
          <w:rFonts w:ascii="Arial"/>
          <w:i/>
          <w:sz w:val="20"/>
        </w:rPr>
        <w:t>EWHC 1878 (TCC)</w:t>
      </w:r>
      <w:r>
        <w:rPr>
          <w:rFonts w:ascii="Arial"/>
          <w:i/>
          <w:spacing w:val="-1"/>
          <w:sz w:val="20"/>
        </w:rPr>
        <w:t> </w:t>
      </w:r>
      <w:r>
        <w:rPr>
          <w:sz w:val="20"/>
        </w:rPr>
        <w:t>at [16] </w:t>
      </w:r>
      <w:r>
        <w:rPr>
          <w:rFonts w:ascii="Arial"/>
          <w:i/>
          <w:sz w:val="20"/>
        </w:rPr>
        <w:t>in </w:t>
      </w:r>
      <w:r>
        <w:rPr>
          <w:rFonts w:ascii="Arial"/>
          <w:i/>
          <w:spacing w:val="-2"/>
          <w:sz w:val="20"/>
        </w:rPr>
        <w:t>fine</w:t>
      </w:r>
      <w:r>
        <w:rPr>
          <w:spacing w:val="-2"/>
          <w:sz w:val="20"/>
        </w:rPr>
        <w:t>.</w:t>
      </w:r>
    </w:p>
    <w:p>
      <w:pPr>
        <w:pStyle w:val="BodyText"/>
        <w:spacing w:before="5"/>
      </w:pPr>
    </w:p>
    <w:p>
      <w:pPr>
        <w:spacing w:before="0"/>
        <w:ind w:left="165" w:right="0" w:firstLine="0"/>
        <w:jc w:val="left"/>
        <w:rPr>
          <w:sz w:val="20"/>
        </w:rPr>
      </w:pPr>
      <w:bookmarkStart w:name="_bookmark2045" w:id="2047"/>
      <w:bookmarkEnd w:id="2047"/>
      <w:r>
        <w:rPr/>
      </w:r>
      <w:hyperlink w:history="true" w:anchor="_bookmark1906">
        <w:r>
          <w:rPr>
            <w:color w:val="005DA1"/>
            <w:position w:val="5"/>
            <w:sz w:val="14"/>
            <w:u w:val="single" w:color="005DA1"/>
          </w:rPr>
          <w:t>1361</w:t>
        </w:r>
      </w:hyperlink>
      <w:r>
        <w:rPr>
          <w:position w:val="5"/>
          <w:sz w:val="14"/>
        </w:rPr>
        <w:t>.</w:t>
      </w:r>
      <w:r>
        <w:rPr>
          <w:spacing w:val="55"/>
          <w:position w:val="5"/>
          <w:sz w:val="14"/>
        </w:rPr>
        <w:t>  </w:t>
      </w:r>
      <w:r>
        <w:rPr>
          <w:rFonts w:ascii="Arial"/>
          <w:i/>
          <w:sz w:val="20"/>
        </w:rPr>
        <w:t>[2010]</w:t>
      </w:r>
      <w:r>
        <w:rPr>
          <w:rFonts w:ascii="Arial"/>
          <w:i/>
          <w:spacing w:val="1"/>
          <w:sz w:val="20"/>
        </w:rPr>
        <w:t> </w:t>
      </w:r>
      <w:r>
        <w:rPr>
          <w:rFonts w:ascii="Arial"/>
          <w:i/>
          <w:sz w:val="20"/>
        </w:rPr>
        <w:t>EWHC 1878 (TCC)</w:t>
      </w:r>
      <w:r>
        <w:rPr>
          <w:rFonts w:ascii="Arial"/>
          <w:i/>
          <w:spacing w:val="-1"/>
          <w:sz w:val="20"/>
        </w:rPr>
        <w:t> </w:t>
      </w:r>
      <w:r>
        <w:rPr>
          <w:sz w:val="20"/>
        </w:rPr>
        <w:t>[23] and </w:t>
      </w:r>
      <w:r>
        <w:rPr>
          <w:spacing w:val="-2"/>
          <w:sz w:val="20"/>
        </w:rPr>
        <w:t>[24].</w:t>
      </w:r>
    </w:p>
    <w:p>
      <w:pPr>
        <w:pStyle w:val="BodyText"/>
        <w:spacing w:before="9"/>
      </w:pPr>
    </w:p>
    <w:p>
      <w:pPr>
        <w:spacing w:line="235" w:lineRule="auto" w:before="0"/>
        <w:ind w:left="705" w:right="168" w:hanging="541"/>
        <w:jc w:val="both"/>
        <w:rPr>
          <w:sz w:val="20"/>
        </w:rPr>
      </w:pPr>
      <w:bookmarkStart w:name="_bookmark2046" w:id="2048"/>
      <w:bookmarkEnd w:id="2048"/>
      <w:r>
        <w:rPr/>
      </w:r>
      <w:hyperlink w:history="true" w:anchor="_bookmark1907">
        <w:r>
          <w:rPr>
            <w:color w:val="005DA1"/>
            <w:position w:val="5"/>
            <w:sz w:val="14"/>
            <w:u w:val="single" w:color="005DA1"/>
          </w:rPr>
          <w:t>1362</w:t>
        </w:r>
      </w:hyperlink>
      <w:r>
        <w:rPr>
          <w:position w:val="5"/>
          <w:sz w:val="14"/>
        </w:rPr>
        <w:t>.</w:t>
      </w:r>
      <w:r>
        <w:rPr>
          <w:spacing w:val="80"/>
          <w:position w:val="5"/>
          <w:sz w:val="14"/>
        </w:rPr>
        <w:t> </w:t>
      </w:r>
      <w:r>
        <w:rPr>
          <w:rFonts w:ascii="Arial"/>
          <w:i/>
          <w:sz w:val="20"/>
        </w:rPr>
        <w:t>[2010] EWHC 1878 (TCC) </w:t>
      </w:r>
      <w:r>
        <w:rPr>
          <w:sz w:val="20"/>
        </w:rPr>
        <w:t>at [23] and [25]. At trial, Akenhead J. found that A was not in any material breach of duty: </w:t>
      </w:r>
      <w:r>
        <w:rPr>
          <w:rFonts w:ascii="Arial"/>
          <w:i/>
          <w:sz w:val="20"/>
        </w:rPr>
        <w:t>Linklaters Business Services v Sir Robert McAlpine Ltd [2010] </w:t>
      </w:r>
      <w:r>
        <w:rPr>
          <w:rFonts w:ascii="Arial"/>
          <w:i/>
          <w:sz w:val="20"/>
        </w:rPr>
        <w:t>EWHC 2931 (TCC), 133 Con. L.R. 211 </w:t>
      </w:r>
      <w:r>
        <w:rPr>
          <w:sz w:val="20"/>
        </w:rPr>
        <w:t>at [106].</w:t>
      </w:r>
    </w:p>
    <w:p>
      <w:pPr>
        <w:pStyle w:val="BodyText"/>
        <w:spacing w:before="9"/>
      </w:pPr>
    </w:p>
    <w:p>
      <w:pPr>
        <w:spacing w:line="235" w:lineRule="auto" w:before="0"/>
        <w:ind w:left="705" w:right="0" w:hanging="541"/>
        <w:jc w:val="left"/>
        <w:rPr>
          <w:rFonts w:ascii="Arial"/>
          <w:i/>
          <w:sz w:val="20"/>
        </w:rPr>
      </w:pPr>
      <w:bookmarkStart w:name="_bookmark2047" w:id="2049"/>
      <w:bookmarkEnd w:id="2049"/>
      <w:r>
        <w:rPr/>
      </w:r>
      <w:hyperlink w:history="true" w:anchor="_bookmark1908">
        <w:r>
          <w:rPr>
            <w:color w:val="005DA1"/>
            <w:position w:val="5"/>
            <w:sz w:val="14"/>
            <w:u w:val="single" w:color="005DA1"/>
          </w:rPr>
          <w:t>1363</w:t>
        </w:r>
      </w:hyperlink>
      <w:r>
        <w:rPr>
          <w:position w:val="5"/>
          <w:sz w:val="14"/>
        </w:rPr>
        <w:t>.</w:t>
      </w:r>
      <w:r>
        <w:rPr>
          <w:spacing w:val="40"/>
          <w:position w:val="5"/>
          <w:sz w:val="14"/>
        </w:rPr>
        <w:t>  </w:t>
      </w:r>
      <w:r>
        <w:rPr>
          <w:rFonts w:ascii="Arial"/>
          <w:i/>
          <w:sz w:val="20"/>
        </w:rPr>
        <w:t>[2014]</w:t>
      </w:r>
      <w:r>
        <w:rPr>
          <w:rFonts w:ascii="Arial"/>
          <w:i/>
          <w:spacing w:val="23"/>
          <w:sz w:val="20"/>
        </w:rPr>
        <w:t> </w:t>
      </w:r>
      <w:r>
        <w:rPr>
          <w:rFonts w:ascii="Arial"/>
          <w:i/>
          <w:sz w:val="20"/>
        </w:rPr>
        <w:t>EWCA</w:t>
      </w:r>
      <w:r>
        <w:rPr>
          <w:rFonts w:ascii="Arial"/>
          <w:i/>
          <w:spacing w:val="23"/>
          <w:sz w:val="20"/>
        </w:rPr>
        <w:t> </w:t>
      </w:r>
      <w:r>
        <w:rPr>
          <w:rFonts w:ascii="Arial"/>
          <w:i/>
          <w:sz w:val="20"/>
        </w:rPr>
        <w:t>Civ</w:t>
      </w:r>
      <w:r>
        <w:rPr>
          <w:rFonts w:ascii="Arial"/>
          <w:i/>
          <w:spacing w:val="23"/>
          <w:sz w:val="20"/>
        </w:rPr>
        <w:t> </w:t>
      </w:r>
      <w:r>
        <w:rPr>
          <w:rFonts w:ascii="Arial"/>
          <w:i/>
          <w:sz w:val="20"/>
        </w:rPr>
        <w:t>1512,</w:t>
      </w:r>
      <w:r>
        <w:rPr>
          <w:rFonts w:ascii="Arial"/>
          <w:i/>
          <w:spacing w:val="23"/>
          <w:sz w:val="20"/>
        </w:rPr>
        <w:t> </w:t>
      </w:r>
      <w:r>
        <w:rPr>
          <w:rFonts w:ascii="Arial"/>
          <w:i/>
          <w:sz w:val="20"/>
        </w:rPr>
        <w:t>[2015]</w:t>
      </w:r>
      <w:r>
        <w:rPr>
          <w:rFonts w:ascii="Arial"/>
          <w:i/>
          <w:spacing w:val="23"/>
          <w:sz w:val="20"/>
        </w:rPr>
        <w:t> </w:t>
      </w:r>
      <w:r>
        <w:rPr>
          <w:rFonts w:ascii="Arial"/>
          <w:i/>
          <w:sz w:val="20"/>
        </w:rPr>
        <w:t>I.R.L.R.</w:t>
      </w:r>
      <w:r>
        <w:rPr>
          <w:rFonts w:ascii="Arial"/>
          <w:i/>
          <w:spacing w:val="23"/>
          <w:sz w:val="20"/>
        </w:rPr>
        <w:t> </w:t>
      </w:r>
      <w:r>
        <w:rPr>
          <w:rFonts w:ascii="Arial"/>
          <w:i/>
          <w:sz w:val="20"/>
        </w:rPr>
        <w:t>112</w:t>
      </w:r>
      <w:r>
        <w:rPr>
          <w:rFonts w:ascii="Arial"/>
          <w:i/>
          <w:spacing w:val="23"/>
          <w:sz w:val="20"/>
        </w:rPr>
        <w:t> </w:t>
      </w:r>
      <w:r>
        <w:rPr>
          <w:sz w:val="20"/>
        </w:rPr>
        <w:t>at</w:t>
      </w:r>
      <w:r>
        <w:rPr>
          <w:spacing w:val="23"/>
          <w:sz w:val="20"/>
        </w:rPr>
        <w:t> </w:t>
      </w:r>
      <w:r>
        <w:rPr>
          <w:sz w:val="20"/>
        </w:rPr>
        <w:t>[119]</w:t>
      </w:r>
      <w:r>
        <w:rPr>
          <w:spacing w:val="23"/>
          <w:sz w:val="20"/>
        </w:rPr>
        <w:t> </w:t>
      </w:r>
      <w:r>
        <w:rPr>
          <w:sz w:val="20"/>
        </w:rPr>
        <w:t>n.8</w:t>
      </w:r>
      <w:r>
        <w:rPr>
          <w:spacing w:val="23"/>
          <w:sz w:val="20"/>
        </w:rPr>
        <w:t> </w:t>
      </w:r>
      <w:r>
        <w:rPr>
          <w:sz w:val="20"/>
        </w:rPr>
        <w:t>per</w:t>
      </w:r>
      <w:r>
        <w:rPr>
          <w:spacing w:val="23"/>
          <w:sz w:val="20"/>
        </w:rPr>
        <w:t> </w:t>
      </w:r>
      <w:r>
        <w:rPr>
          <w:sz w:val="20"/>
        </w:rPr>
        <w:t>Underhill</w:t>
      </w:r>
      <w:r>
        <w:rPr>
          <w:spacing w:val="23"/>
          <w:sz w:val="20"/>
        </w:rPr>
        <w:t> </w:t>
      </w:r>
      <w:r>
        <w:rPr>
          <w:sz w:val="20"/>
        </w:rPr>
        <w:t>L.J.</w:t>
      </w:r>
      <w:r>
        <w:rPr>
          <w:spacing w:val="23"/>
          <w:sz w:val="20"/>
        </w:rPr>
        <w:t> </w:t>
      </w:r>
      <w:r>
        <w:rPr>
          <w:sz w:val="20"/>
        </w:rPr>
        <w:t>(with</w:t>
      </w:r>
      <w:r>
        <w:rPr>
          <w:spacing w:val="23"/>
          <w:sz w:val="20"/>
        </w:rPr>
        <w:t> </w:t>
      </w:r>
      <w:r>
        <w:rPr>
          <w:sz w:val="20"/>
        </w:rPr>
        <w:t>whom</w:t>
      </w:r>
      <w:r>
        <w:rPr>
          <w:spacing w:val="23"/>
          <w:sz w:val="20"/>
        </w:rPr>
        <w:t> </w:t>
      </w:r>
      <w:r>
        <w:rPr>
          <w:sz w:val="20"/>
        </w:rPr>
        <w:t>Davis and</w:t>
      </w:r>
      <w:r>
        <w:rPr>
          <w:spacing w:val="1"/>
          <w:sz w:val="20"/>
        </w:rPr>
        <w:t> </w:t>
      </w:r>
      <w:r>
        <w:rPr>
          <w:sz w:val="20"/>
        </w:rPr>
        <w:t>Patten</w:t>
      </w:r>
      <w:r>
        <w:rPr>
          <w:spacing w:val="1"/>
          <w:sz w:val="20"/>
        </w:rPr>
        <w:t> </w:t>
      </w:r>
      <w:r>
        <w:rPr>
          <w:sz w:val="20"/>
        </w:rPr>
        <w:t>L.JJ</w:t>
      </w:r>
      <w:r>
        <w:rPr>
          <w:spacing w:val="1"/>
          <w:sz w:val="20"/>
        </w:rPr>
        <w:t> </w:t>
      </w:r>
      <w:r>
        <w:rPr>
          <w:sz w:val="20"/>
        </w:rPr>
        <w:t>agreed)</w:t>
      </w:r>
      <w:r>
        <w:rPr>
          <w:spacing w:val="1"/>
          <w:sz w:val="20"/>
        </w:rPr>
        <w:t> </w:t>
      </w:r>
      <w:r>
        <w:rPr>
          <w:sz w:val="20"/>
        </w:rPr>
        <w:t>and</w:t>
      </w:r>
      <w:r>
        <w:rPr>
          <w:spacing w:val="1"/>
          <w:sz w:val="20"/>
        </w:rPr>
        <w:t> </w:t>
      </w:r>
      <w:r>
        <w:rPr>
          <w:sz w:val="20"/>
        </w:rPr>
        <w:t>rejecting</w:t>
      </w:r>
      <w:r>
        <w:rPr>
          <w:spacing w:val="1"/>
          <w:sz w:val="20"/>
        </w:rPr>
        <w:t> </w:t>
      </w:r>
      <w:r>
        <w:rPr>
          <w:sz w:val="20"/>
        </w:rPr>
        <w:t>the</w:t>
      </w:r>
      <w:r>
        <w:rPr>
          <w:spacing w:val="1"/>
          <w:sz w:val="20"/>
        </w:rPr>
        <w:t> </w:t>
      </w:r>
      <w:r>
        <w:rPr>
          <w:sz w:val="20"/>
        </w:rPr>
        <w:t>position</w:t>
      </w:r>
      <w:r>
        <w:rPr>
          <w:spacing w:val="1"/>
          <w:sz w:val="20"/>
        </w:rPr>
        <w:t> </w:t>
      </w:r>
      <w:r>
        <w:rPr>
          <w:sz w:val="20"/>
        </w:rPr>
        <w:t>adopted</w:t>
      </w:r>
      <w:r>
        <w:rPr>
          <w:spacing w:val="1"/>
          <w:sz w:val="20"/>
        </w:rPr>
        <w:t> </w:t>
      </w:r>
      <w:r>
        <w:rPr>
          <w:sz w:val="20"/>
        </w:rPr>
        <w:t>by</w:t>
      </w:r>
      <w:r>
        <w:rPr>
          <w:spacing w:val="1"/>
          <w:sz w:val="20"/>
        </w:rPr>
        <w:t> </w:t>
      </w:r>
      <w:r>
        <w:rPr>
          <w:sz w:val="20"/>
        </w:rPr>
        <w:t>Burrows, </w:t>
      </w:r>
      <w:r>
        <w:rPr>
          <w:rFonts w:ascii="Arial"/>
          <w:i/>
          <w:sz w:val="20"/>
        </w:rPr>
        <w:t>Remedies</w:t>
      </w:r>
      <w:r>
        <w:rPr>
          <w:rFonts w:ascii="Arial"/>
          <w:i/>
          <w:spacing w:val="1"/>
          <w:sz w:val="20"/>
        </w:rPr>
        <w:t> </w:t>
      </w:r>
      <w:r>
        <w:rPr>
          <w:rFonts w:ascii="Arial"/>
          <w:i/>
          <w:sz w:val="20"/>
        </w:rPr>
        <w:t>for</w:t>
      </w:r>
      <w:r>
        <w:rPr>
          <w:rFonts w:ascii="Arial"/>
          <w:i/>
          <w:spacing w:val="1"/>
          <w:sz w:val="20"/>
        </w:rPr>
        <w:t> </w:t>
      </w:r>
      <w:r>
        <w:rPr>
          <w:rFonts w:ascii="Arial"/>
          <w:i/>
          <w:sz w:val="20"/>
        </w:rPr>
        <w:t>Torts</w:t>
      </w:r>
      <w:r>
        <w:rPr>
          <w:rFonts w:ascii="Arial"/>
          <w:i/>
          <w:spacing w:val="1"/>
          <w:sz w:val="20"/>
        </w:rPr>
        <w:t> </w:t>
      </w:r>
      <w:r>
        <w:rPr>
          <w:rFonts w:ascii="Arial"/>
          <w:i/>
          <w:spacing w:val="-5"/>
          <w:sz w:val="20"/>
        </w:rPr>
        <w:t>and</w:t>
      </w:r>
    </w:p>
    <w:p>
      <w:pPr>
        <w:spacing w:after="0" w:line="235" w:lineRule="auto"/>
        <w:jc w:val="left"/>
        <w:rPr>
          <w:rFonts w:ascii="Arial"/>
          <w:i/>
          <w:sz w:val="20"/>
        </w:rPr>
        <w:sectPr>
          <w:pgSz w:w="11900" w:h="16840"/>
          <w:pgMar w:header="971" w:footer="0" w:top="1300" w:bottom="280" w:left="1275" w:right="1275"/>
        </w:sectPr>
      </w:pPr>
    </w:p>
    <w:p>
      <w:pPr>
        <w:pStyle w:val="BodyText"/>
        <w:spacing w:line="235" w:lineRule="auto" w:before="110"/>
        <w:ind w:left="705" w:right="167"/>
      </w:pPr>
      <w:r>
        <w:rPr>
          <w:rFonts w:ascii="Arial"/>
          <w:i/>
        </w:rPr>
        <w:t>Breach</w:t>
      </w:r>
      <w:r>
        <w:rPr>
          <w:rFonts w:ascii="Arial"/>
          <w:i/>
          <w:spacing w:val="40"/>
        </w:rPr>
        <w:t> </w:t>
      </w:r>
      <w:r>
        <w:rPr>
          <w:rFonts w:ascii="Arial"/>
          <w:i/>
        </w:rPr>
        <w:t>of</w:t>
      </w:r>
      <w:r>
        <w:rPr>
          <w:rFonts w:ascii="Arial"/>
          <w:i/>
          <w:spacing w:val="40"/>
        </w:rPr>
        <w:t> </w:t>
      </w:r>
      <w:r>
        <w:rPr>
          <w:rFonts w:ascii="Arial"/>
          <w:i/>
        </w:rPr>
        <w:t>Contract</w:t>
      </w:r>
      <w:r>
        <w:rPr/>
        <w:t>,</w:t>
      </w:r>
      <w:r>
        <w:rPr>
          <w:spacing w:val="40"/>
        </w:rPr>
        <w:t> </w:t>
      </w:r>
      <w:r>
        <w:rPr/>
        <w:t>3rd</w:t>
      </w:r>
      <w:r>
        <w:rPr>
          <w:spacing w:val="40"/>
        </w:rPr>
        <w:t> </w:t>
      </w:r>
      <w:r>
        <w:rPr/>
        <w:t>edn</w:t>
      </w:r>
      <w:r>
        <w:rPr>
          <w:spacing w:val="40"/>
        </w:rPr>
        <w:t> </w:t>
      </w:r>
      <w:r>
        <w:rPr/>
        <w:t>(2004)</w:t>
      </w:r>
      <w:r>
        <w:rPr>
          <w:spacing w:val="40"/>
        </w:rPr>
        <w:t> </w:t>
      </w:r>
      <w:r>
        <w:rPr/>
        <w:t>and</w:t>
      </w:r>
      <w:r>
        <w:rPr>
          <w:spacing w:val="40"/>
        </w:rPr>
        <w:t> </w:t>
      </w:r>
      <w:r>
        <w:rPr/>
        <w:t>suggested</w:t>
      </w:r>
      <w:r>
        <w:rPr>
          <w:spacing w:val="40"/>
        </w:rPr>
        <w:t> </w:t>
      </w:r>
      <w:r>
        <w:rPr/>
        <w:t>by</w:t>
      </w:r>
      <w:r>
        <w:rPr>
          <w:spacing w:val="40"/>
        </w:rPr>
        <w:t> </w:t>
      </w:r>
      <w:r>
        <w:rPr/>
        <w:t>McGregor</w:t>
      </w:r>
      <w:r>
        <w:rPr>
          <w:spacing w:val="40"/>
        </w:rPr>
        <w:t> </w:t>
      </w:r>
      <w:r>
        <w:rPr/>
        <w:t>on</w:t>
      </w:r>
      <w:r>
        <w:rPr>
          <w:spacing w:val="40"/>
        </w:rPr>
        <w:t> </w:t>
      </w:r>
      <w:r>
        <w:rPr/>
        <w:t>Damages</w:t>
      </w:r>
      <w:r>
        <w:rPr>
          <w:spacing w:val="40"/>
        </w:rPr>
        <w:t> </w:t>
      </w:r>
      <w:r>
        <w:rPr/>
        <w:t>at</w:t>
      </w:r>
      <w:r>
        <w:rPr>
          <w:spacing w:val="40"/>
        </w:rPr>
        <w:t> </w:t>
      </w:r>
      <w:r>
        <w:rPr/>
        <w:t>n.1265, </w:t>
      </w:r>
      <w:r>
        <w:rPr>
          <w:spacing w:val="-2"/>
        </w:rPr>
        <w:t>para.22-009.</w:t>
      </w:r>
    </w:p>
    <w:p>
      <w:pPr>
        <w:pStyle w:val="BodyText"/>
        <w:spacing w:before="9"/>
      </w:pPr>
    </w:p>
    <w:p>
      <w:pPr>
        <w:spacing w:line="235" w:lineRule="auto" w:before="0"/>
        <w:ind w:left="705" w:right="0" w:hanging="541"/>
        <w:jc w:val="left"/>
        <w:rPr>
          <w:sz w:val="20"/>
        </w:rPr>
      </w:pPr>
      <w:bookmarkStart w:name="_bookmark2048" w:id="2050"/>
      <w:bookmarkEnd w:id="2050"/>
      <w:r>
        <w:rPr/>
      </w:r>
      <w:hyperlink w:history="true" w:anchor="_bookmark1909">
        <w:r>
          <w:rPr>
            <w:color w:val="005DA1"/>
            <w:position w:val="5"/>
            <w:sz w:val="14"/>
            <w:u w:val="single" w:color="005DA1"/>
          </w:rPr>
          <w:t>1364</w:t>
        </w:r>
      </w:hyperlink>
      <w:r>
        <w:rPr>
          <w:position w:val="5"/>
          <w:sz w:val="14"/>
        </w:rPr>
        <w:t>.</w:t>
      </w:r>
      <w:r>
        <w:rPr>
          <w:spacing w:val="40"/>
          <w:position w:val="5"/>
          <w:sz w:val="14"/>
        </w:rPr>
        <w:t>  </w:t>
      </w:r>
      <w:r>
        <w:rPr>
          <w:rFonts w:ascii="Arial"/>
          <w:i/>
          <w:sz w:val="20"/>
        </w:rPr>
        <w:t>[2014]</w:t>
      </w:r>
      <w:r>
        <w:rPr>
          <w:rFonts w:ascii="Arial"/>
          <w:i/>
          <w:spacing w:val="26"/>
          <w:sz w:val="20"/>
        </w:rPr>
        <w:t> </w:t>
      </w:r>
      <w:r>
        <w:rPr>
          <w:rFonts w:ascii="Arial"/>
          <w:i/>
          <w:sz w:val="20"/>
        </w:rPr>
        <w:t>EWCA</w:t>
      </w:r>
      <w:r>
        <w:rPr>
          <w:rFonts w:ascii="Arial"/>
          <w:i/>
          <w:spacing w:val="26"/>
          <w:sz w:val="20"/>
        </w:rPr>
        <w:t> </w:t>
      </w:r>
      <w:r>
        <w:rPr>
          <w:rFonts w:ascii="Arial"/>
          <w:i/>
          <w:sz w:val="20"/>
        </w:rPr>
        <w:t>Civ</w:t>
      </w:r>
      <w:r>
        <w:rPr>
          <w:rFonts w:ascii="Arial"/>
          <w:i/>
          <w:spacing w:val="26"/>
          <w:sz w:val="20"/>
        </w:rPr>
        <w:t> </w:t>
      </w:r>
      <w:r>
        <w:rPr>
          <w:rFonts w:ascii="Arial"/>
          <w:i/>
          <w:sz w:val="20"/>
        </w:rPr>
        <w:t>1512</w:t>
      </w:r>
      <w:r>
        <w:rPr>
          <w:rFonts w:ascii="Arial"/>
          <w:i/>
          <w:spacing w:val="26"/>
          <w:sz w:val="20"/>
        </w:rPr>
        <w:t> </w:t>
      </w:r>
      <w:r>
        <w:rPr>
          <w:sz w:val="20"/>
        </w:rPr>
        <w:t>at</w:t>
      </w:r>
      <w:r>
        <w:rPr>
          <w:spacing w:val="26"/>
          <w:sz w:val="20"/>
        </w:rPr>
        <w:t> </w:t>
      </w:r>
      <w:r>
        <w:rPr>
          <w:sz w:val="20"/>
        </w:rPr>
        <w:t>[119]</w:t>
      </w:r>
      <w:r>
        <w:rPr>
          <w:spacing w:val="26"/>
          <w:sz w:val="20"/>
        </w:rPr>
        <w:t> </w:t>
      </w:r>
      <w:r>
        <w:rPr>
          <w:sz w:val="20"/>
        </w:rPr>
        <w:t>per</w:t>
      </w:r>
      <w:r>
        <w:rPr>
          <w:spacing w:val="26"/>
          <w:sz w:val="20"/>
        </w:rPr>
        <w:t> </w:t>
      </w:r>
      <w:r>
        <w:rPr>
          <w:sz w:val="20"/>
        </w:rPr>
        <w:t>Underhill</w:t>
      </w:r>
      <w:r>
        <w:rPr>
          <w:spacing w:val="26"/>
          <w:sz w:val="20"/>
        </w:rPr>
        <w:t> </w:t>
      </w:r>
      <w:r>
        <w:rPr>
          <w:sz w:val="20"/>
        </w:rPr>
        <w:t>L.J.</w:t>
      </w:r>
      <w:r>
        <w:rPr>
          <w:spacing w:val="26"/>
          <w:sz w:val="20"/>
        </w:rPr>
        <w:t> </w:t>
      </w:r>
      <w:r>
        <w:rPr>
          <w:sz w:val="20"/>
        </w:rPr>
        <w:t>and</w:t>
      </w:r>
      <w:r>
        <w:rPr>
          <w:spacing w:val="26"/>
          <w:sz w:val="20"/>
        </w:rPr>
        <w:t> </w:t>
      </w:r>
      <w:r>
        <w:rPr>
          <w:sz w:val="20"/>
        </w:rPr>
        <w:t>cf.</w:t>
      </w:r>
      <w:r>
        <w:rPr>
          <w:spacing w:val="26"/>
          <w:sz w:val="20"/>
        </w:rPr>
        <w:t> </w:t>
      </w:r>
      <w:r>
        <w:rPr>
          <w:rFonts w:ascii="Arial"/>
          <w:i/>
          <w:sz w:val="20"/>
        </w:rPr>
        <w:t>Greenway</w:t>
      </w:r>
      <w:r>
        <w:rPr>
          <w:rFonts w:ascii="Arial"/>
          <w:i/>
          <w:spacing w:val="26"/>
          <w:sz w:val="20"/>
        </w:rPr>
        <w:t> </w:t>
      </w:r>
      <w:r>
        <w:rPr>
          <w:rFonts w:ascii="Arial"/>
          <w:i/>
          <w:sz w:val="20"/>
        </w:rPr>
        <w:t>v</w:t>
      </w:r>
      <w:r>
        <w:rPr>
          <w:rFonts w:ascii="Arial"/>
          <w:i/>
          <w:spacing w:val="26"/>
          <w:sz w:val="20"/>
        </w:rPr>
        <w:t> </w:t>
      </w:r>
      <w:r>
        <w:rPr>
          <w:rFonts w:ascii="Arial"/>
          <w:i/>
          <w:sz w:val="20"/>
        </w:rPr>
        <w:t>Johnson</w:t>
      </w:r>
      <w:r>
        <w:rPr>
          <w:rFonts w:ascii="Arial"/>
          <w:i/>
          <w:spacing w:val="26"/>
          <w:sz w:val="20"/>
        </w:rPr>
        <w:t> </w:t>
      </w:r>
      <w:r>
        <w:rPr>
          <w:rFonts w:ascii="Arial"/>
          <w:i/>
          <w:sz w:val="20"/>
        </w:rPr>
        <w:t>Matthey</w:t>
      </w:r>
      <w:r>
        <w:rPr>
          <w:rFonts w:ascii="Arial"/>
          <w:i/>
          <w:spacing w:val="26"/>
          <w:sz w:val="20"/>
        </w:rPr>
        <w:t> </w:t>
      </w:r>
      <w:r>
        <w:rPr>
          <w:rFonts w:ascii="Arial"/>
          <w:i/>
          <w:sz w:val="20"/>
        </w:rPr>
        <w:t>Plc [2016] EWCA Civ 408, [2016] 1 W.L.R. 4487 </w:t>
      </w:r>
      <w:r>
        <w:rPr>
          <w:sz w:val="20"/>
        </w:rPr>
        <w:t>(above, para.1-190A).</w:t>
      </w:r>
    </w:p>
    <w:p>
      <w:pPr>
        <w:pStyle w:val="BodyText"/>
        <w:spacing w:before="6"/>
      </w:pPr>
    </w:p>
    <w:p>
      <w:pPr>
        <w:spacing w:before="0"/>
        <w:ind w:left="165" w:right="0" w:firstLine="0"/>
        <w:jc w:val="left"/>
        <w:rPr>
          <w:sz w:val="20"/>
        </w:rPr>
      </w:pPr>
      <w:bookmarkStart w:name="_bookmark2049" w:id="2051"/>
      <w:bookmarkEnd w:id="2051"/>
      <w:r>
        <w:rPr/>
      </w:r>
      <w:hyperlink w:history="true" w:anchor="_bookmark1910">
        <w:r>
          <w:rPr>
            <w:color w:val="005DA1"/>
            <w:position w:val="5"/>
            <w:sz w:val="14"/>
            <w:u w:val="single" w:color="005DA1"/>
          </w:rPr>
          <w:t>1365</w:t>
        </w:r>
      </w:hyperlink>
      <w:r>
        <w:rPr>
          <w:position w:val="5"/>
          <w:sz w:val="14"/>
        </w:rPr>
        <w:t>.</w:t>
      </w:r>
      <w:r>
        <w:rPr>
          <w:spacing w:val="55"/>
          <w:position w:val="5"/>
          <w:sz w:val="14"/>
        </w:rPr>
        <w:t>  </w:t>
      </w:r>
      <w:r>
        <w:rPr>
          <w:rFonts w:ascii="Arial"/>
          <w:i/>
          <w:sz w:val="20"/>
        </w:rPr>
        <w:t>[2014]</w:t>
      </w:r>
      <w:r>
        <w:rPr>
          <w:rFonts w:ascii="Arial"/>
          <w:i/>
          <w:spacing w:val="1"/>
          <w:sz w:val="20"/>
        </w:rPr>
        <w:t> </w:t>
      </w:r>
      <w:r>
        <w:rPr>
          <w:rFonts w:ascii="Arial"/>
          <w:i/>
          <w:sz w:val="20"/>
        </w:rPr>
        <w:t>EWCA Civ 1512</w:t>
      </w:r>
      <w:r>
        <w:rPr>
          <w:rFonts w:ascii="Arial"/>
          <w:i/>
          <w:spacing w:val="-1"/>
          <w:sz w:val="20"/>
        </w:rPr>
        <w:t> </w:t>
      </w:r>
      <w:r>
        <w:rPr>
          <w:sz w:val="20"/>
        </w:rPr>
        <w:t>at [119] per Underhill </w:t>
      </w:r>
      <w:r>
        <w:rPr>
          <w:spacing w:val="-4"/>
          <w:sz w:val="20"/>
        </w:rPr>
        <w:t>L.J.</w:t>
      </w:r>
    </w:p>
    <w:p>
      <w:pPr>
        <w:pStyle w:val="BodyText"/>
        <w:spacing w:before="125"/>
      </w:pPr>
    </w:p>
    <w:p>
      <w:pPr>
        <w:spacing w:before="0"/>
        <w:ind w:left="165" w:right="0" w:firstLine="0"/>
        <w:jc w:val="left"/>
        <w:rPr>
          <w:sz w:val="20"/>
        </w:rPr>
      </w:pPr>
      <w:bookmarkStart w:name="_bookmark2050" w:id="2052"/>
      <w:bookmarkEnd w:id="2052"/>
      <w:r>
        <w:rPr/>
      </w:r>
      <w:hyperlink w:history="true" w:anchor="_bookmark1911">
        <w:r>
          <w:rPr>
            <w:color w:val="005DA1"/>
            <w:sz w:val="20"/>
            <w:u w:val="single" w:color="005DA1"/>
            <w:vertAlign w:val="superscript"/>
          </w:rPr>
          <w:t>1366</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530" name="Image 530"/>
            <wp:cNvGraphicFramePr>
              <a:graphicFrameLocks/>
            </wp:cNvGraphicFramePr>
            <a:graphic>
              <a:graphicData uri="http://schemas.openxmlformats.org/drawingml/2006/picture">
                <pic:pic>
                  <pic:nvPicPr>
                    <pic:cNvPr id="530" name="Image 53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2"/>
          <w:sz w:val="20"/>
          <w:vertAlign w:val="baseline"/>
        </w:rPr>
        <w:t> </w:t>
      </w:r>
      <w:r>
        <w:rPr>
          <w:rFonts w:ascii="Arial"/>
          <w:i/>
          <w:sz w:val="20"/>
          <w:vertAlign w:val="baseline"/>
        </w:rPr>
        <w:t>1146,</w:t>
      </w:r>
      <w:r>
        <w:rPr>
          <w:rFonts w:ascii="Arial"/>
          <w:i/>
          <w:spacing w:val="2"/>
          <w:sz w:val="20"/>
          <w:vertAlign w:val="baseline"/>
        </w:rPr>
        <w:t> </w:t>
      </w:r>
      <w:r>
        <w:rPr>
          <w:rFonts w:ascii="Arial"/>
          <w:i/>
          <w:sz w:val="20"/>
          <w:vertAlign w:val="baseline"/>
        </w:rPr>
        <w:t>[2016]</w:t>
      </w:r>
      <w:r>
        <w:rPr>
          <w:rFonts w:ascii="Arial"/>
          <w:i/>
          <w:spacing w:val="3"/>
          <w:sz w:val="20"/>
          <w:vertAlign w:val="baseline"/>
        </w:rPr>
        <w:t> </w:t>
      </w:r>
      <w:r>
        <w:rPr>
          <w:rFonts w:ascii="Arial"/>
          <w:i/>
          <w:sz w:val="20"/>
          <w:vertAlign w:val="baseline"/>
        </w:rPr>
        <w:t>2</w:t>
      </w:r>
      <w:r>
        <w:rPr>
          <w:rFonts w:ascii="Arial"/>
          <w:i/>
          <w:spacing w:val="2"/>
          <w:sz w:val="20"/>
          <w:vertAlign w:val="baseline"/>
        </w:rPr>
        <w:t> </w:t>
      </w:r>
      <w:r>
        <w:rPr>
          <w:rFonts w:ascii="Arial"/>
          <w:i/>
          <w:sz w:val="20"/>
          <w:vertAlign w:val="baseline"/>
        </w:rPr>
        <w:t>W.L.R.</w:t>
      </w:r>
      <w:r>
        <w:rPr>
          <w:rFonts w:ascii="Arial"/>
          <w:i/>
          <w:spacing w:val="2"/>
          <w:sz w:val="20"/>
          <w:vertAlign w:val="baseline"/>
        </w:rPr>
        <w:t> </w:t>
      </w:r>
      <w:r>
        <w:rPr>
          <w:rFonts w:ascii="Arial"/>
          <w:i/>
          <w:spacing w:val="-2"/>
          <w:sz w:val="20"/>
          <w:vertAlign w:val="baseline"/>
        </w:rPr>
        <w:t>1351</w:t>
      </w:r>
      <w:r>
        <w:rPr>
          <w:spacing w:val="-2"/>
          <w:sz w:val="20"/>
          <w:vertAlign w:val="baseline"/>
        </w:rPr>
        <w:t>.</w:t>
      </w:r>
    </w:p>
    <w:p>
      <w:pPr>
        <w:pStyle w:val="BodyText"/>
        <w:spacing w:before="129"/>
      </w:pPr>
    </w:p>
    <w:p>
      <w:pPr>
        <w:pStyle w:val="BodyText"/>
        <w:spacing w:line="235" w:lineRule="auto"/>
        <w:ind w:left="705" w:right="168" w:hanging="541"/>
        <w:jc w:val="both"/>
      </w:pPr>
      <w:bookmarkStart w:name="_bookmark2051" w:id="2053"/>
      <w:bookmarkEnd w:id="2053"/>
      <w:r>
        <w:rPr/>
      </w:r>
      <w:hyperlink w:history="true" w:anchor="_bookmark1912">
        <w:r>
          <w:rPr>
            <w:color w:val="005DA1"/>
            <w:u w:val="single" w:color="005DA1"/>
            <w:vertAlign w:val="superscript"/>
          </w:rPr>
          <w:t>1367</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531" name="Image 531"/>
            <wp:cNvGraphicFramePr>
              <a:graphicFrameLocks/>
            </wp:cNvGraphicFramePr>
            <a:graphic>
              <a:graphicData uri="http://schemas.openxmlformats.org/drawingml/2006/picture">
                <pic:pic>
                  <pic:nvPicPr>
                    <pic:cNvPr id="531" name="Image 53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The Court of Appeal in </w:t>
      </w:r>
      <w:r>
        <w:rPr>
          <w:rFonts w:ascii="Arial"/>
          <w:i/>
          <w:vertAlign w:val="baseline"/>
        </w:rPr>
        <w:t>Yapp </w:t>
      </w:r>
      <w:r>
        <w:rPr>
          <w:vertAlign w:val="baseline"/>
        </w:rPr>
        <w:t>consisted of Underhill, Davis and Patten L.JJ; the Court of</w:t>
      </w:r>
      <w:r>
        <w:rPr>
          <w:spacing w:val="80"/>
          <w:vertAlign w:val="baseline"/>
        </w:rPr>
        <w:t> </w:t>
      </w:r>
      <w:r>
        <w:rPr>
          <w:vertAlign w:val="baseline"/>
        </w:rPr>
        <w:t>Appeal in </w:t>
      </w:r>
      <w:r>
        <w:rPr>
          <w:rFonts w:ascii="Arial"/>
          <w:i/>
          <w:vertAlign w:val="baseline"/>
        </w:rPr>
        <w:t>Wellesley Partners LLP </w:t>
      </w:r>
      <w:r>
        <w:rPr>
          <w:vertAlign w:val="baseline"/>
        </w:rPr>
        <w:t>consisted of Longmore and Floyd L.JJ. and Roth J.</w:t>
      </w:r>
    </w:p>
    <w:p>
      <w:pPr>
        <w:pStyle w:val="BodyText"/>
        <w:spacing w:before="125"/>
      </w:pPr>
    </w:p>
    <w:p>
      <w:pPr>
        <w:spacing w:before="0"/>
        <w:ind w:left="165" w:right="0" w:firstLine="0"/>
        <w:jc w:val="left"/>
        <w:rPr>
          <w:sz w:val="20"/>
        </w:rPr>
      </w:pPr>
      <w:bookmarkStart w:name="_bookmark2052" w:id="2054"/>
      <w:bookmarkEnd w:id="2054"/>
      <w:r>
        <w:rPr/>
      </w:r>
      <w:hyperlink w:history="true" w:anchor="_bookmark1913">
        <w:r>
          <w:rPr>
            <w:color w:val="005DA1"/>
            <w:sz w:val="20"/>
            <w:u w:val="single" w:color="005DA1"/>
            <w:vertAlign w:val="superscript"/>
          </w:rPr>
          <w:t>1368</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532" name="Image 532"/>
            <wp:cNvGraphicFramePr>
              <a:graphicFrameLocks/>
            </wp:cNvGraphicFramePr>
            <a:graphic>
              <a:graphicData uri="http://schemas.openxmlformats.org/drawingml/2006/picture">
                <pic:pic>
                  <pic:nvPicPr>
                    <pic:cNvPr id="532" name="Image 53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[2014]</w:t>
      </w:r>
      <w:r>
        <w:rPr>
          <w:rFonts w:ascii="Arial"/>
          <w:i/>
          <w:spacing w:val="3"/>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1"/>
          <w:sz w:val="20"/>
          <w:vertAlign w:val="baseline"/>
        </w:rPr>
        <w:t> </w:t>
      </w:r>
      <w:r>
        <w:rPr>
          <w:rFonts w:ascii="Arial"/>
          <w:i/>
          <w:sz w:val="20"/>
          <w:vertAlign w:val="baseline"/>
        </w:rPr>
        <w:t>1512,</w:t>
      </w:r>
      <w:r>
        <w:rPr>
          <w:rFonts w:ascii="Arial"/>
          <w:i/>
          <w:spacing w:val="2"/>
          <w:sz w:val="20"/>
          <w:vertAlign w:val="baseline"/>
        </w:rPr>
        <w:t> </w:t>
      </w:r>
      <w:r>
        <w:rPr>
          <w:rFonts w:ascii="Arial"/>
          <w:i/>
          <w:sz w:val="20"/>
          <w:vertAlign w:val="baseline"/>
        </w:rPr>
        <w:t>[2015]</w:t>
      </w:r>
      <w:r>
        <w:rPr>
          <w:rFonts w:ascii="Arial"/>
          <w:i/>
          <w:spacing w:val="2"/>
          <w:sz w:val="20"/>
          <w:vertAlign w:val="baseline"/>
        </w:rPr>
        <w:t> </w:t>
      </w:r>
      <w:r>
        <w:rPr>
          <w:rFonts w:ascii="Arial"/>
          <w:i/>
          <w:sz w:val="20"/>
          <w:vertAlign w:val="baseline"/>
        </w:rPr>
        <w:t>I.R.L.R.</w:t>
      </w:r>
      <w:r>
        <w:rPr>
          <w:rFonts w:ascii="Arial"/>
          <w:i/>
          <w:spacing w:val="1"/>
          <w:sz w:val="20"/>
          <w:vertAlign w:val="baseline"/>
        </w:rPr>
        <w:t> </w:t>
      </w:r>
      <w:r>
        <w:rPr>
          <w:rFonts w:ascii="Arial"/>
          <w:i/>
          <w:sz w:val="20"/>
          <w:vertAlign w:val="baseline"/>
        </w:rPr>
        <w:t>112</w:t>
      </w:r>
      <w:r>
        <w:rPr>
          <w:rFonts w:ascii="Arial"/>
          <w:i/>
          <w:spacing w:val="1"/>
          <w:sz w:val="20"/>
          <w:vertAlign w:val="baseline"/>
        </w:rPr>
        <w:t> </w:t>
      </w:r>
      <w:r>
        <w:rPr>
          <w:sz w:val="20"/>
          <w:vertAlign w:val="baseline"/>
        </w:rPr>
        <w:t>(discussed</w:t>
      </w:r>
      <w:r>
        <w:rPr>
          <w:spacing w:val="1"/>
          <w:sz w:val="20"/>
          <w:vertAlign w:val="baseline"/>
        </w:rPr>
        <w:t> </w:t>
      </w:r>
      <w:r>
        <w:rPr>
          <w:sz w:val="20"/>
          <w:vertAlign w:val="baseline"/>
        </w:rPr>
        <w:t>in</w:t>
      </w:r>
      <w:r>
        <w:rPr>
          <w:spacing w:val="2"/>
          <w:sz w:val="20"/>
          <w:vertAlign w:val="baseline"/>
        </w:rPr>
        <w:t> </w:t>
      </w:r>
      <w:r>
        <w:rPr>
          <w:sz w:val="20"/>
          <w:vertAlign w:val="baseline"/>
        </w:rPr>
        <w:t>Vol.I,</w:t>
      </w:r>
      <w:r>
        <w:rPr>
          <w:spacing w:val="2"/>
          <w:sz w:val="20"/>
          <w:vertAlign w:val="baseline"/>
        </w:rPr>
        <w:t> </w:t>
      </w:r>
      <w:r>
        <w:rPr>
          <w:sz w:val="20"/>
          <w:vertAlign w:val="baseline"/>
        </w:rPr>
        <w:t>para.1-</w:t>
      </w:r>
      <w:r>
        <w:rPr>
          <w:spacing w:val="-2"/>
          <w:sz w:val="20"/>
          <w:vertAlign w:val="baseline"/>
        </w:rPr>
        <w:t>195).</w:t>
      </w:r>
    </w:p>
    <w:p>
      <w:pPr>
        <w:pStyle w:val="BodyText"/>
        <w:spacing w:before="125"/>
      </w:pPr>
    </w:p>
    <w:p>
      <w:pPr>
        <w:spacing w:before="0"/>
        <w:ind w:left="165" w:right="0" w:firstLine="0"/>
        <w:jc w:val="left"/>
        <w:rPr>
          <w:sz w:val="20"/>
        </w:rPr>
      </w:pPr>
      <w:bookmarkStart w:name="_bookmark2053" w:id="2055"/>
      <w:bookmarkEnd w:id="2055"/>
      <w:r>
        <w:rPr/>
      </w:r>
      <w:hyperlink w:history="true" w:anchor="_bookmark1914">
        <w:r>
          <w:rPr>
            <w:color w:val="005DA1"/>
            <w:sz w:val="20"/>
            <w:u w:val="single" w:color="005DA1"/>
            <w:vertAlign w:val="superscript"/>
          </w:rPr>
          <w:t>1369</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533" name="Image 533"/>
            <wp:cNvGraphicFramePr>
              <a:graphicFrameLocks/>
            </wp:cNvGraphicFramePr>
            <a:graphic>
              <a:graphicData uri="http://schemas.openxmlformats.org/drawingml/2006/picture">
                <pic:pic>
                  <pic:nvPicPr>
                    <pic:cNvPr id="533" name="Image 53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[2015]</w:t>
      </w:r>
      <w:r>
        <w:rPr>
          <w:rFonts w:ascii="Arial" w:hAnsi="Arial"/>
          <w:i/>
          <w:spacing w:val="1"/>
          <w:sz w:val="20"/>
          <w:vertAlign w:val="baseline"/>
        </w:rPr>
        <w:t> </w:t>
      </w:r>
      <w:r>
        <w:rPr>
          <w:rFonts w:ascii="Arial" w:hAnsi="Arial"/>
          <w:i/>
          <w:sz w:val="20"/>
          <w:vertAlign w:val="baseline"/>
        </w:rPr>
        <w:t>EWCA</w:t>
      </w:r>
      <w:r>
        <w:rPr>
          <w:rFonts w:ascii="Arial" w:hAnsi="Arial"/>
          <w:i/>
          <w:spacing w:val="1"/>
          <w:sz w:val="20"/>
          <w:vertAlign w:val="baseline"/>
        </w:rPr>
        <w:t> </w:t>
      </w:r>
      <w:r>
        <w:rPr>
          <w:rFonts w:ascii="Arial" w:hAnsi="Arial"/>
          <w:i/>
          <w:sz w:val="20"/>
          <w:vertAlign w:val="baseline"/>
        </w:rPr>
        <w:t>Civ</w:t>
      </w:r>
      <w:r>
        <w:rPr>
          <w:rFonts w:ascii="Arial" w:hAnsi="Arial"/>
          <w:i/>
          <w:spacing w:val="1"/>
          <w:sz w:val="20"/>
          <w:vertAlign w:val="baseline"/>
        </w:rPr>
        <w:t> </w:t>
      </w:r>
      <w:r>
        <w:rPr>
          <w:rFonts w:ascii="Arial" w:hAnsi="Arial"/>
          <w:i/>
          <w:sz w:val="20"/>
          <w:vertAlign w:val="baseline"/>
        </w:rPr>
        <w:t>1146 </w:t>
      </w:r>
      <w:r>
        <w:rPr>
          <w:sz w:val="20"/>
          <w:vertAlign w:val="baseline"/>
        </w:rPr>
        <w:t>at</w:t>
      </w:r>
      <w:r>
        <w:rPr>
          <w:spacing w:val="1"/>
          <w:sz w:val="20"/>
          <w:vertAlign w:val="baseline"/>
        </w:rPr>
        <w:t> </w:t>
      </w:r>
      <w:r>
        <w:rPr>
          <w:sz w:val="20"/>
          <w:vertAlign w:val="baseline"/>
        </w:rPr>
        <w:t>[41],</w:t>
      </w:r>
      <w:r>
        <w:rPr>
          <w:spacing w:val="1"/>
          <w:sz w:val="20"/>
          <w:vertAlign w:val="baseline"/>
        </w:rPr>
        <w:t> </w:t>
      </w:r>
      <w:r>
        <w:rPr>
          <w:sz w:val="20"/>
          <w:vertAlign w:val="baseline"/>
        </w:rPr>
        <w:t>[54]</w:t>
      </w:r>
      <w:r>
        <w:rPr>
          <w:spacing w:val="2"/>
          <w:sz w:val="20"/>
          <w:vertAlign w:val="baseline"/>
        </w:rPr>
        <w:t> </w:t>
      </w:r>
      <w:r>
        <w:rPr>
          <w:sz w:val="20"/>
          <w:vertAlign w:val="baseline"/>
        </w:rPr>
        <w:t>and</w:t>
      </w:r>
      <w:r>
        <w:rPr>
          <w:spacing w:val="1"/>
          <w:sz w:val="20"/>
          <w:vertAlign w:val="baseline"/>
        </w:rPr>
        <w:t> </w:t>
      </w:r>
      <w:r>
        <w:rPr>
          <w:sz w:val="20"/>
          <w:vertAlign w:val="baseline"/>
        </w:rPr>
        <w:t>[58]–[59]</w:t>
      </w:r>
      <w:r>
        <w:rPr>
          <w:spacing w:val="1"/>
          <w:sz w:val="20"/>
          <w:vertAlign w:val="baseline"/>
        </w:rPr>
        <w:t> </w:t>
      </w:r>
      <w:r>
        <w:rPr>
          <w:sz w:val="20"/>
          <w:vertAlign w:val="baseline"/>
        </w:rPr>
        <w:t>(decision</w:t>
      </w:r>
      <w:r>
        <w:rPr>
          <w:spacing w:val="1"/>
          <w:sz w:val="20"/>
          <w:vertAlign w:val="baseline"/>
        </w:rPr>
        <w:t> </w:t>
      </w:r>
      <w:r>
        <w:rPr>
          <w:sz w:val="20"/>
          <w:vertAlign w:val="baseline"/>
        </w:rPr>
        <w:t>at</w:t>
      </w:r>
      <w:r>
        <w:rPr>
          <w:spacing w:val="1"/>
          <w:sz w:val="20"/>
          <w:vertAlign w:val="baseline"/>
        </w:rPr>
        <w:t> </w:t>
      </w:r>
      <w:r>
        <w:rPr>
          <w:sz w:val="20"/>
          <w:vertAlign w:val="baseline"/>
        </w:rPr>
        <w:t>trial</w:t>
      </w:r>
      <w:r>
        <w:rPr>
          <w:spacing w:val="1"/>
          <w:sz w:val="20"/>
          <w:vertAlign w:val="baseline"/>
        </w:rPr>
        <w:t> </w:t>
      </w:r>
      <w:r>
        <w:rPr>
          <w:sz w:val="20"/>
          <w:vertAlign w:val="baseline"/>
        </w:rPr>
        <w:t>not</w:t>
      </w:r>
      <w:r>
        <w:rPr>
          <w:spacing w:val="1"/>
          <w:sz w:val="20"/>
          <w:vertAlign w:val="baseline"/>
        </w:rPr>
        <w:t> </w:t>
      </w:r>
      <w:r>
        <w:rPr>
          <w:sz w:val="20"/>
          <w:vertAlign w:val="baseline"/>
        </w:rPr>
        <w:t>appealed</w:t>
      </w:r>
      <w:r>
        <w:rPr>
          <w:spacing w:val="1"/>
          <w:sz w:val="20"/>
          <w:vertAlign w:val="baseline"/>
        </w:rPr>
        <w:t> </w:t>
      </w:r>
      <w:r>
        <w:rPr>
          <w:sz w:val="20"/>
          <w:vertAlign w:val="baseline"/>
        </w:rPr>
        <w:t>on</w:t>
      </w:r>
      <w:r>
        <w:rPr>
          <w:spacing w:val="2"/>
          <w:sz w:val="20"/>
          <w:vertAlign w:val="baseline"/>
        </w:rPr>
        <w:t> </w:t>
      </w:r>
      <w:r>
        <w:rPr>
          <w:sz w:val="20"/>
          <w:vertAlign w:val="baseline"/>
        </w:rPr>
        <w:t>this</w:t>
      </w:r>
      <w:r>
        <w:rPr>
          <w:spacing w:val="1"/>
          <w:sz w:val="20"/>
          <w:vertAlign w:val="baseline"/>
        </w:rPr>
        <w:t> </w:t>
      </w:r>
      <w:r>
        <w:rPr>
          <w:spacing w:val="-2"/>
          <w:sz w:val="20"/>
          <w:vertAlign w:val="baseline"/>
        </w:rPr>
        <w:t>point).</w:t>
      </w:r>
    </w:p>
    <w:p>
      <w:pPr>
        <w:pStyle w:val="BodyText"/>
        <w:spacing w:before="129"/>
      </w:pPr>
    </w:p>
    <w:p>
      <w:pPr>
        <w:spacing w:line="235" w:lineRule="auto" w:before="0"/>
        <w:ind w:left="705" w:right="167" w:hanging="541"/>
        <w:jc w:val="both"/>
        <w:rPr>
          <w:sz w:val="20"/>
        </w:rPr>
      </w:pPr>
      <w:bookmarkStart w:name="_bookmark2054" w:id="2056"/>
      <w:bookmarkEnd w:id="2056"/>
      <w:r>
        <w:rPr/>
      </w:r>
      <w:hyperlink w:history="true" w:anchor="_bookmark1915">
        <w:r>
          <w:rPr>
            <w:color w:val="005DA1"/>
            <w:sz w:val="20"/>
            <w:u w:val="single" w:color="005DA1"/>
            <w:vertAlign w:val="superscript"/>
          </w:rPr>
          <w:t>1370</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534" name="Image 534"/>
            <wp:cNvGraphicFramePr>
              <a:graphicFrameLocks/>
            </wp:cNvGraphicFramePr>
            <a:graphic>
              <a:graphicData uri="http://schemas.openxmlformats.org/drawingml/2006/picture">
                <pic:pic>
                  <pic:nvPicPr>
                    <pic:cNvPr id="534" name="Image 53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[2015] EWCA Civ 1146 </w:t>
      </w:r>
      <w:r>
        <w:rPr>
          <w:sz w:val="20"/>
          <w:vertAlign w:val="baseline"/>
        </w:rPr>
        <w:t>at [68] per Floyd L.J. and see also at [75], explicitly approving </w:t>
      </w:r>
      <w:r>
        <w:rPr>
          <w:sz w:val="20"/>
          <w:vertAlign w:val="baseline"/>
        </w:rPr>
        <w:t>the position proposed by McGregor on Damages at n.1265, para.22–009 that was rejected by the CA</w:t>
      </w:r>
      <w:r>
        <w:rPr>
          <w:spacing w:val="11"/>
          <w:sz w:val="20"/>
          <w:vertAlign w:val="baseline"/>
        </w:rPr>
        <w:t> </w:t>
      </w:r>
      <w:r>
        <w:rPr>
          <w:sz w:val="20"/>
          <w:vertAlign w:val="baseline"/>
        </w:rPr>
        <w:t>in</w:t>
      </w:r>
      <w:r>
        <w:rPr>
          <w:spacing w:val="11"/>
          <w:sz w:val="20"/>
          <w:vertAlign w:val="baseline"/>
        </w:rPr>
        <w:t> </w:t>
      </w:r>
      <w:r>
        <w:rPr>
          <w:rFonts w:ascii="Arial" w:hAnsi="Arial"/>
          <w:i/>
          <w:sz w:val="20"/>
          <w:vertAlign w:val="baseline"/>
        </w:rPr>
        <w:t>Yapp</w:t>
      </w:r>
      <w:r>
        <w:rPr>
          <w:rFonts w:ascii="Arial" w:hAnsi="Arial"/>
          <w:i/>
          <w:spacing w:val="11"/>
          <w:sz w:val="20"/>
          <w:vertAlign w:val="baseline"/>
        </w:rPr>
        <w:t> </w:t>
      </w:r>
      <w:r>
        <w:rPr>
          <w:rFonts w:ascii="Arial" w:hAnsi="Arial"/>
          <w:i/>
          <w:sz w:val="20"/>
          <w:vertAlign w:val="baseline"/>
        </w:rPr>
        <w:t>[2014]</w:t>
      </w:r>
      <w:r>
        <w:rPr>
          <w:rFonts w:ascii="Arial" w:hAnsi="Arial"/>
          <w:i/>
          <w:spacing w:val="11"/>
          <w:sz w:val="20"/>
          <w:vertAlign w:val="baseline"/>
        </w:rPr>
        <w:t> </w:t>
      </w:r>
      <w:r>
        <w:rPr>
          <w:rFonts w:ascii="Arial" w:hAnsi="Arial"/>
          <w:i/>
          <w:sz w:val="20"/>
          <w:vertAlign w:val="baseline"/>
        </w:rPr>
        <w:t>EWCA</w:t>
      </w:r>
      <w:r>
        <w:rPr>
          <w:rFonts w:ascii="Arial" w:hAnsi="Arial"/>
          <w:i/>
          <w:spacing w:val="11"/>
          <w:sz w:val="20"/>
          <w:vertAlign w:val="baseline"/>
        </w:rPr>
        <w:t> </w:t>
      </w:r>
      <w:r>
        <w:rPr>
          <w:rFonts w:ascii="Arial" w:hAnsi="Arial"/>
          <w:i/>
          <w:sz w:val="20"/>
          <w:vertAlign w:val="baseline"/>
        </w:rPr>
        <w:t>Civ</w:t>
      </w:r>
      <w:r>
        <w:rPr>
          <w:rFonts w:ascii="Arial" w:hAnsi="Arial"/>
          <w:i/>
          <w:spacing w:val="11"/>
          <w:sz w:val="20"/>
          <w:vertAlign w:val="baseline"/>
        </w:rPr>
        <w:t> </w:t>
      </w:r>
      <w:r>
        <w:rPr>
          <w:rFonts w:ascii="Arial" w:hAnsi="Arial"/>
          <w:i/>
          <w:sz w:val="20"/>
          <w:vertAlign w:val="baseline"/>
        </w:rPr>
        <w:t>1512,</w:t>
      </w:r>
      <w:r>
        <w:rPr>
          <w:rFonts w:ascii="Arial" w:hAnsi="Arial"/>
          <w:i/>
          <w:spacing w:val="11"/>
          <w:sz w:val="20"/>
          <w:vertAlign w:val="baseline"/>
        </w:rPr>
        <w:t> </w:t>
      </w:r>
      <w:r>
        <w:rPr>
          <w:rFonts w:ascii="Arial" w:hAnsi="Arial"/>
          <w:i/>
          <w:sz w:val="20"/>
          <w:vertAlign w:val="baseline"/>
        </w:rPr>
        <w:t>[2015]</w:t>
      </w:r>
      <w:r>
        <w:rPr>
          <w:rFonts w:ascii="Arial" w:hAnsi="Arial"/>
          <w:i/>
          <w:spacing w:val="11"/>
          <w:sz w:val="20"/>
          <w:vertAlign w:val="baseline"/>
        </w:rPr>
        <w:t> </w:t>
      </w:r>
      <w:r>
        <w:rPr>
          <w:rFonts w:ascii="Arial" w:hAnsi="Arial"/>
          <w:i/>
          <w:sz w:val="20"/>
          <w:vertAlign w:val="baseline"/>
        </w:rPr>
        <w:t>I.R.L.R.</w:t>
      </w:r>
      <w:r>
        <w:rPr>
          <w:rFonts w:ascii="Arial" w:hAnsi="Arial"/>
          <w:i/>
          <w:spacing w:val="11"/>
          <w:sz w:val="20"/>
          <w:vertAlign w:val="baseline"/>
        </w:rPr>
        <w:t> </w:t>
      </w:r>
      <w:r>
        <w:rPr>
          <w:rFonts w:ascii="Arial" w:hAnsi="Arial"/>
          <w:i/>
          <w:sz w:val="20"/>
          <w:vertAlign w:val="baseline"/>
        </w:rPr>
        <w:t>112</w:t>
      </w:r>
      <w:r>
        <w:rPr>
          <w:rFonts w:ascii="Arial" w:hAnsi="Arial"/>
          <w:i/>
          <w:spacing w:val="11"/>
          <w:sz w:val="20"/>
          <w:vertAlign w:val="baseline"/>
        </w:rPr>
        <w:t> </w:t>
      </w:r>
      <w:r>
        <w:rPr>
          <w:sz w:val="20"/>
          <w:vertAlign w:val="baseline"/>
        </w:rPr>
        <w:t>at</w:t>
      </w:r>
      <w:r>
        <w:rPr>
          <w:spacing w:val="11"/>
          <w:sz w:val="20"/>
          <w:vertAlign w:val="baseline"/>
        </w:rPr>
        <w:t> </w:t>
      </w:r>
      <w:r>
        <w:rPr>
          <w:sz w:val="20"/>
          <w:vertAlign w:val="baseline"/>
        </w:rPr>
        <w:t>[119]</w:t>
      </w:r>
      <w:r>
        <w:rPr>
          <w:spacing w:val="11"/>
          <w:sz w:val="20"/>
          <w:vertAlign w:val="baseline"/>
        </w:rPr>
        <w:t> </w:t>
      </w:r>
      <w:r>
        <w:rPr>
          <w:sz w:val="20"/>
          <w:vertAlign w:val="baseline"/>
        </w:rPr>
        <w:t>n.8</w:t>
      </w:r>
      <w:r>
        <w:rPr>
          <w:spacing w:val="11"/>
          <w:sz w:val="20"/>
          <w:vertAlign w:val="baseline"/>
        </w:rPr>
        <w:t> </w:t>
      </w:r>
      <w:r>
        <w:rPr>
          <w:sz w:val="20"/>
          <w:vertAlign w:val="baseline"/>
        </w:rPr>
        <w:t>and</w:t>
      </w:r>
      <w:r>
        <w:rPr>
          <w:spacing w:val="11"/>
          <w:sz w:val="20"/>
          <w:vertAlign w:val="baseline"/>
        </w:rPr>
        <w:t> </w:t>
      </w:r>
      <w:r>
        <w:rPr>
          <w:sz w:val="20"/>
          <w:vertAlign w:val="baseline"/>
        </w:rPr>
        <w:t>at</w:t>
      </w:r>
      <w:r>
        <w:rPr>
          <w:spacing w:val="11"/>
          <w:sz w:val="20"/>
          <w:vertAlign w:val="baseline"/>
        </w:rPr>
        <w:t> </w:t>
      </w:r>
      <w:r>
        <w:rPr>
          <w:sz w:val="20"/>
          <w:vertAlign w:val="baseline"/>
        </w:rPr>
        <w:t>[80].</w:t>
      </w:r>
      <w:r>
        <w:rPr>
          <w:spacing w:val="11"/>
          <w:sz w:val="20"/>
          <w:vertAlign w:val="baseline"/>
        </w:rPr>
        <w:t> </w:t>
      </w:r>
      <w:r>
        <w:rPr>
          <w:sz w:val="20"/>
          <w:vertAlign w:val="baseline"/>
        </w:rPr>
        <w:t>See</w:t>
      </w:r>
      <w:r>
        <w:rPr>
          <w:spacing w:val="11"/>
          <w:sz w:val="20"/>
          <w:vertAlign w:val="baseline"/>
        </w:rPr>
        <w:t> </w:t>
      </w:r>
      <w:r>
        <w:rPr>
          <w:spacing w:val="-2"/>
          <w:sz w:val="20"/>
          <w:vertAlign w:val="baseline"/>
        </w:rPr>
        <w:t>similarly,</w:t>
      </w:r>
    </w:p>
    <w:p>
      <w:pPr>
        <w:spacing w:line="223" w:lineRule="exact" w:before="0"/>
        <w:ind w:left="705" w:right="0" w:firstLine="0"/>
        <w:jc w:val="both"/>
        <w:rPr>
          <w:sz w:val="20"/>
        </w:rPr>
      </w:pPr>
      <w:r>
        <w:rPr>
          <w:sz w:val="20"/>
        </w:rPr>
        <w:t>at</w:t>
      </w:r>
      <w:r>
        <w:rPr>
          <w:spacing w:val="31"/>
          <w:sz w:val="20"/>
        </w:rPr>
        <w:t> </w:t>
      </w:r>
      <w:r>
        <w:rPr>
          <w:sz w:val="20"/>
        </w:rPr>
        <w:t>[151]</w:t>
      </w:r>
      <w:r>
        <w:rPr>
          <w:spacing w:val="31"/>
          <w:sz w:val="20"/>
        </w:rPr>
        <w:t> </w:t>
      </w:r>
      <w:r>
        <w:rPr>
          <w:sz w:val="20"/>
        </w:rPr>
        <w:t>(approving</w:t>
      </w:r>
      <w:r>
        <w:rPr>
          <w:spacing w:val="31"/>
          <w:sz w:val="20"/>
        </w:rPr>
        <w:t> </w:t>
      </w:r>
      <w:r>
        <w:rPr>
          <w:sz w:val="20"/>
        </w:rPr>
        <w:t>the</w:t>
      </w:r>
      <w:r>
        <w:rPr>
          <w:spacing w:val="31"/>
          <w:sz w:val="20"/>
        </w:rPr>
        <w:t> </w:t>
      </w:r>
      <w:r>
        <w:rPr>
          <w:sz w:val="20"/>
        </w:rPr>
        <w:t>view</w:t>
      </w:r>
      <w:r>
        <w:rPr>
          <w:spacing w:val="31"/>
          <w:sz w:val="20"/>
        </w:rPr>
        <w:t> </w:t>
      </w:r>
      <w:r>
        <w:rPr>
          <w:sz w:val="20"/>
        </w:rPr>
        <w:t>of</w:t>
      </w:r>
      <w:r>
        <w:rPr>
          <w:spacing w:val="31"/>
          <w:sz w:val="20"/>
        </w:rPr>
        <w:t> </w:t>
      </w:r>
      <w:r>
        <w:rPr>
          <w:sz w:val="20"/>
        </w:rPr>
        <w:t>Burrows,</w:t>
      </w:r>
      <w:r>
        <w:rPr>
          <w:spacing w:val="31"/>
          <w:sz w:val="20"/>
        </w:rPr>
        <w:t> </w:t>
      </w:r>
      <w:r>
        <w:rPr>
          <w:rFonts w:ascii="Arial"/>
          <w:i/>
          <w:sz w:val="20"/>
        </w:rPr>
        <w:t>Commercial</w:t>
      </w:r>
      <w:r>
        <w:rPr>
          <w:rFonts w:ascii="Arial"/>
          <w:i/>
          <w:spacing w:val="31"/>
          <w:sz w:val="20"/>
        </w:rPr>
        <w:t> </w:t>
      </w:r>
      <w:r>
        <w:rPr>
          <w:rFonts w:ascii="Arial"/>
          <w:i/>
          <w:sz w:val="20"/>
        </w:rPr>
        <w:t>Remedies</w:t>
      </w:r>
      <w:r>
        <w:rPr>
          <w:rFonts w:ascii="Arial"/>
          <w:i/>
          <w:spacing w:val="31"/>
          <w:sz w:val="20"/>
        </w:rPr>
        <w:t> </w:t>
      </w:r>
      <w:r>
        <w:rPr>
          <w:sz w:val="20"/>
        </w:rPr>
        <w:t>(2003)</w:t>
      </w:r>
      <w:r>
        <w:rPr>
          <w:spacing w:val="31"/>
          <w:sz w:val="20"/>
        </w:rPr>
        <w:t> </w:t>
      </w:r>
      <w:r>
        <w:rPr>
          <w:sz w:val="20"/>
        </w:rPr>
        <w:t>27</w:t>
      </w:r>
      <w:r>
        <w:rPr>
          <w:spacing w:val="31"/>
          <w:sz w:val="20"/>
        </w:rPr>
        <w:t> </w:t>
      </w:r>
      <w:r>
        <w:rPr>
          <w:sz w:val="20"/>
        </w:rPr>
        <w:t>at</w:t>
      </w:r>
      <w:r>
        <w:rPr>
          <w:spacing w:val="31"/>
          <w:sz w:val="20"/>
        </w:rPr>
        <w:t> </w:t>
      </w:r>
      <w:r>
        <w:rPr>
          <w:sz w:val="20"/>
        </w:rPr>
        <w:t>35),</w:t>
      </w:r>
      <w:r>
        <w:rPr>
          <w:spacing w:val="31"/>
          <w:sz w:val="20"/>
        </w:rPr>
        <w:t> </w:t>
      </w:r>
      <w:r>
        <w:rPr>
          <w:sz w:val="20"/>
        </w:rPr>
        <w:t>[157]</w:t>
      </w:r>
      <w:r>
        <w:rPr>
          <w:spacing w:val="31"/>
          <w:sz w:val="20"/>
        </w:rPr>
        <w:t> </w:t>
      </w:r>
      <w:r>
        <w:rPr>
          <w:spacing w:val="-5"/>
          <w:sz w:val="20"/>
        </w:rPr>
        <w:t>and</w:t>
      </w:r>
    </w:p>
    <w:p>
      <w:pPr>
        <w:pStyle w:val="BodyText"/>
        <w:spacing w:line="227" w:lineRule="exact"/>
        <w:ind w:left="705"/>
        <w:jc w:val="both"/>
      </w:pPr>
      <w:r>
        <w:rPr/>
        <w:t>[163] (Roth J.); [183]–[186] (Longmore </w:t>
      </w:r>
      <w:r>
        <w:rPr>
          <w:spacing w:val="-2"/>
        </w:rPr>
        <w:t>L.J.).</w:t>
      </w:r>
    </w:p>
    <w:p>
      <w:pPr>
        <w:pStyle w:val="BodyText"/>
        <w:spacing w:before="129"/>
      </w:pPr>
    </w:p>
    <w:p>
      <w:pPr>
        <w:spacing w:line="235" w:lineRule="auto" w:before="0"/>
        <w:ind w:left="705" w:right="167" w:hanging="541"/>
        <w:jc w:val="both"/>
        <w:rPr>
          <w:rFonts w:ascii="Arial"/>
          <w:i/>
          <w:sz w:val="20"/>
        </w:rPr>
      </w:pPr>
      <w:bookmarkStart w:name="_bookmark2055" w:id="2057"/>
      <w:bookmarkEnd w:id="2057"/>
      <w:r>
        <w:rPr/>
      </w:r>
      <w:hyperlink w:history="true" w:anchor="_bookmark1916">
        <w:r>
          <w:rPr>
            <w:color w:val="005DA1"/>
            <w:sz w:val="20"/>
            <w:u w:val="single" w:color="005DA1"/>
            <w:vertAlign w:val="superscript"/>
          </w:rPr>
          <w:t>1371</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535" name="Image 535"/>
            <wp:cNvGraphicFramePr>
              <a:graphicFrameLocks/>
            </wp:cNvGraphicFramePr>
            <a:graphic>
              <a:graphicData uri="http://schemas.openxmlformats.org/drawingml/2006/picture">
                <pic:pic>
                  <pic:nvPicPr>
                    <pic:cNvPr id="535" name="Image 53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Transfield Shipping Inc v Mercator Shipping Inc (The Achilleas) [2009] 1 A.C. 61</w:t>
      </w:r>
      <w:r>
        <w:rPr>
          <w:sz w:val="20"/>
          <w:vertAlign w:val="baseline"/>
        </w:rPr>
        <w:t>. In this respect, the CA in </w:t>
      </w:r>
      <w:r>
        <w:rPr>
          <w:rFonts w:ascii="Arial"/>
          <w:i/>
          <w:sz w:val="20"/>
          <w:vertAlign w:val="baseline"/>
        </w:rPr>
        <w:t>Wellesley Partners LLP </w:t>
      </w:r>
      <w:r>
        <w:rPr>
          <w:sz w:val="20"/>
          <w:vertAlign w:val="baseline"/>
        </w:rPr>
        <w:t>adopted a similar approach to Akenhead J. in </w:t>
      </w:r>
      <w:r>
        <w:rPr>
          <w:rFonts w:ascii="Arial"/>
          <w:i/>
          <w:sz w:val="20"/>
          <w:vertAlign w:val="baseline"/>
        </w:rPr>
        <w:t>How Engineering Services Ltd v Southern Insulation (Medway) Ltd [2010] EWHC 1878 (TCC), </w:t>
      </w:r>
      <w:r>
        <w:rPr>
          <w:rFonts w:ascii="Arial"/>
          <w:i/>
          <w:spacing w:val="-2"/>
          <w:sz w:val="20"/>
          <w:vertAlign w:val="baseline"/>
        </w:rPr>
        <w:t>[2010]</w:t>
      </w:r>
    </w:p>
    <w:p>
      <w:pPr>
        <w:pStyle w:val="BodyText"/>
        <w:spacing w:line="235" w:lineRule="auto"/>
        <w:ind w:left="705" w:right="167"/>
        <w:jc w:val="both"/>
      </w:pPr>
      <w:r>
        <w:rPr>
          <w:rFonts w:ascii="Arial"/>
          <w:i/>
        </w:rPr>
        <w:t>B.L.R.</w:t>
      </w:r>
      <w:r>
        <w:rPr>
          <w:rFonts w:ascii="Arial"/>
          <w:i/>
          <w:spacing w:val="-2"/>
        </w:rPr>
        <w:t> </w:t>
      </w:r>
      <w:r>
        <w:rPr>
          <w:rFonts w:ascii="Arial"/>
          <w:i/>
        </w:rPr>
        <w:t>537</w:t>
      </w:r>
      <w:r>
        <w:rPr>
          <w:rFonts w:ascii="Arial"/>
          <w:i/>
          <w:spacing w:val="-2"/>
        </w:rPr>
        <w:t> </w:t>
      </w:r>
      <w:r>
        <w:rPr/>
        <w:t>(noted</w:t>
      </w:r>
      <w:r>
        <w:rPr>
          <w:spacing w:val="-2"/>
        </w:rPr>
        <w:t> </w:t>
      </w:r>
      <w:r>
        <w:rPr/>
        <w:t>in</w:t>
      </w:r>
      <w:r>
        <w:rPr>
          <w:spacing w:val="-2"/>
        </w:rPr>
        <w:t> </w:t>
      </w:r>
      <w:r>
        <w:rPr/>
        <w:t>the</w:t>
      </w:r>
      <w:r>
        <w:rPr>
          <w:spacing w:val="-2"/>
        </w:rPr>
        <w:t> </w:t>
      </w:r>
      <w:r>
        <w:rPr/>
        <w:t>Vol.I,</w:t>
      </w:r>
      <w:r>
        <w:rPr>
          <w:spacing w:val="-2"/>
        </w:rPr>
        <w:t> </w:t>
      </w:r>
      <w:r>
        <w:rPr/>
        <w:t>para.1-195),</w:t>
      </w:r>
      <w:r>
        <w:rPr>
          <w:spacing w:val="-2"/>
        </w:rPr>
        <w:t> </w:t>
      </w:r>
      <w:r>
        <w:rPr/>
        <w:t>though</w:t>
      </w:r>
      <w:r>
        <w:rPr>
          <w:spacing w:val="-2"/>
        </w:rPr>
        <w:t> </w:t>
      </w:r>
      <w:r>
        <w:rPr/>
        <w:t>the</w:t>
      </w:r>
      <w:r>
        <w:rPr>
          <w:spacing w:val="-2"/>
        </w:rPr>
        <w:t> </w:t>
      </w:r>
      <w:r>
        <w:rPr/>
        <w:t>earlier</w:t>
      </w:r>
      <w:r>
        <w:rPr>
          <w:spacing w:val="-2"/>
        </w:rPr>
        <w:t> </w:t>
      </w:r>
      <w:r>
        <w:rPr/>
        <w:t>decision</w:t>
      </w:r>
      <w:r>
        <w:rPr>
          <w:spacing w:val="-2"/>
        </w:rPr>
        <w:t> </w:t>
      </w:r>
      <w:r>
        <w:rPr/>
        <w:t>was</w:t>
      </w:r>
      <w:r>
        <w:rPr>
          <w:spacing w:val="-2"/>
        </w:rPr>
        <w:t> </w:t>
      </w:r>
      <w:r>
        <w:rPr/>
        <w:t>not</w:t>
      </w:r>
      <w:r>
        <w:rPr>
          <w:spacing w:val="-2"/>
        </w:rPr>
        <w:t> </w:t>
      </w:r>
      <w:r>
        <w:rPr/>
        <w:t>discussed</w:t>
      </w:r>
      <w:r>
        <w:rPr>
          <w:spacing w:val="-2"/>
        </w:rPr>
        <w:t> </w:t>
      </w:r>
      <w:r>
        <w:rPr/>
        <w:t>by</w:t>
      </w:r>
      <w:r>
        <w:rPr>
          <w:spacing w:val="-2"/>
        </w:rPr>
        <w:t> </w:t>
      </w:r>
      <w:r>
        <w:rPr/>
        <w:t>the </w:t>
      </w:r>
      <w:r>
        <w:rPr>
          <w:spacing w:val="-4"/>
        </w:rPr>
        <w:t>CA.</w:t>
      </w:r>
    </w:p>
    <w:p>
      <w:pPr>
        <w:pStyle w:val="BodyText"/>
        <w:spacing w:before="124"/>
      </w:pPr>
    </w:p>
    <w:p>
      <w:pPr>
        <w:spacing w:line="227" w:lineRule="exact" w:before="0"/>
        <w:ind w:left="165" w:right="0" w:firstLine="0"/>
        <w:jc w:val="left"/>
        <w:rPr>
          <w:sz w:val="20"/>
        </w:rPr>
      </w:pPr>
      <w:bookmarkStart w:name="_bookmark2056" w:id="2058"/>
      <w:bookmarkEnd w:id="2058"/>
      <w:r>
        <w:rPr/>
      </w:r>
      <w:hyperlink w:history="true" w:anchor="_bookmark1917">
        <w:r>
          <w:rPr>
            <w:color w:val="005DA1"/>
            <w:sz w:val="20"/>
            <w:u w:val="single" w:color="005DA1"/>
            <w:vertAlign w:val="superscript"/>
          </w:rPr>
          <w:t>1372</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536" name="Image 536"/>
            <wp:cNvGraphicFramePr>
              <a:graphicFrameLocks/>
            </wp:cNvGraphicFramePr>
            <a:graphic>
              <a:graphicData uri="http://schemas.openxmlformats.org/drawingml/2006/picture">
                <pic:pic>
                  <pic:nvPicPr>
                    <pic:cNvPr id="536" name="Image 53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[1995]</w:t>
      </w:r>
      <w:r>
        <w:rPr>
          <w:rFonts w:ascii="Arial" w:hAnsi="Arial"/>
          <w:i/>
          <w:spacing w:val="19"/>
          <w:sz w:val="20"/>
          <w:vertAlign w:val="baseline"/>
        </w:rPr>
        <w:t> </w:t>
      </w:r>
      <w:r>
        <w:rPr>
          <w:rFonts w:ascii="Arial" w:hAnsi="Arial"/>
          <w:i/>
          <w:sz w:val="20"/>
          <w:vertAlign w:val="baseline"/>
        </w:rPr>
        <w:t>2</w:t>
      </w:r>
      <w:r>
        <w:rPr>
          <w:rFonts w:ascii="Arial" w:hAnsi="Arial"/>
          <w:i/>
          <w:spacing w:val="18"/>
          <w:sz w:val="20"/>
          <w:vertAlign w:val="baseline"/>
        </w:rPr>
        <w:t> </w:t>
      </w:r>
      <w:r>
        <w:rPr>
          <w:rFonts w:ascii="Arial" w:hAnsi="Arial"/>
          <w:i/>
          <w:sz w:val="20"/>
          <w:vertAlign w:val="baseline"/>
        </w:rPr>
        <w:t>A.C.</w:t>
      </w:r>
      <w:r>
        <w:rPr>
          <w:rFonts w:ascii="Arial" w:hAnsi="Arial"/>
          <w:i/>
          <w:spacing w:val="18"/>
          <w:sz w:val="20"/>
          <w:vertAlign w:val="baseline"/>
        </w:rPr>
        <w:t> </w:t>
      </w:r>
      <w:r>
        <w:rPr>
          <w:rFonts w:ascii="Arial" w:hAnsi="Arial"/>
          <w:i/>
          <w:sz w:val="20"/>
          <w:vertAlign w:val="baseline"/>
        </w:rPr>
        <w:t>145</w:t>
      </w:r>
      <w:r>
        <w:rPr>
          <w:sz w:val="20"/>
          <w:vertAlign w:val="baseline"/>
        </w:rPr>
        <w:t>.</w:t>
      </w:r>
      <w:r>
        <w:rPr>
          <w:spacing w:val="18"/>
          <w:sz w:val="20"/>
          <w:vertAlign w:val="baseline"/>
        </w:rPr>
        <w:t> </w:t>
      </w:r>
      <w:r>
        <w:rPr>
          <w:sz w:val="20"/>
          <w:vertAlign w:val="baseline"/>
        </w:rPr>
        <w:t>See</w:t>
      </w:r>
      <w:r>
        <w:rPr>
          <w:spacing w:val="18"/>
          <w:sz w:val="20"/>
          <w:vertAlign w:val="baseline"/>
        </w:rPr>
        <w:t> </w:t>
      </w:r>
      <w:r>
        <w:rPr>
          <w:rFonts w:ascii="Arial" w:hAnsi="Arial"/>
          <w:i/>
          <w:sz w:val="20"/>
          <w:vertAlign w:val="baseline"/>
        </w:rPr>
        <w:t>[2015]</w:t>
      </w:r>
      <w:r>
        <w:rPr>
          <w:rFonts w:ascii="Arial" w:hAnsi="Arial"/>
          <w:i/>
          <w:spacing w:val="19"/>
          <w:sz w:val="20"/>
          <w:vertAlign w:val="baseline"/>
        </w:rPr>
        <w:t> </w:t>
      </w:r>
      <w:r>
        <w:rPr>
          <w:rFonts w:ascii="Arial" w:hAnsi="Arial"/>
          <w:i/>
          <w:sz w:val="20"/>
          <w:vertAlign w:val="baseline"/>
        </w:rPr>
        <w:t>EWCA</w:t>
      </w:r>
      <w:r>
        <w:rPr>
          <w:rFonts w:ascii="Arial" w:hAnsi="Arial"/>
          <w:i/>
          <w:spacing w:val="18"/>
          <w:sz w:val="20"/>
          <w:vertAlign w:val="baseline"/>
        </w:rPr>
        <w:t> </w:t>
      </w:r>
      <w:r>
        <w:rPr>
          <w:rFonts w:ascii="Arial" w:hAnsi="Arial"/>
          <w:i/>
          <w:sz w:val="20"/>
          <w:vertAlign w:val="baseline"/>
        </w:rPr>
        <w:t>Civ</w:t>
      </w:r>
      <w:r>
        <w:rPr>
          <w:rFonts w:ascii="Arial" w:hAnsi="Arial"/>
          <w:i/>
          <w:spacing w:val="18"/>
          <w:sz w:val="20"/>
          <w:vertAlign w:val="baseline"/>
        </w:rPr>
        <w:t> </w:t>
      </w:r>
      <w:r>
        <w:rPr>
          <w:rFonts w:ascii="Arial" w:hAnsi="Arial"/>
          <w:i/>
          <w:sz w:val="20"/>
          <w:vertAlign w:val="baseline"/>
        </w:rPr>
        <w:t>1146</w:t>
      </w:r>
      <w:r>
        <w:rPr>
          <w:rFonts w:ascii="Arial" w:hAnsi="Arial"/>
          <w:i/>
          <w:spacing w:val="18"/>
          <w:sz w:val="20"/>
          <w:vertAlign w:val="baseline"/>
        </w:rPr>
        <w:t> </w:t>
      </w:r>
      <w:r>
        <w:rPr>
          <w:sz w:val="20"/>
          <w:vertAlign w:val="baseline"/>
        </w:rPr>
        <w:t>at</w:t>
      </w:r>
      <w:r>
        <w:rPr>
          <w:spacing w:val="18"/>
          <w:sz w:val="20"/>
          <w:vertAlign w:val="baseline"/>
        </w:rPr>
        <w:t> </w:t>
      </w:r>
      <w:r>
        <w:rPr>
          <w:sz w:val="20"/>
          <w:vertAlign w:val="baseline"/>
        </w:rPr>
        <w:t>[69],</w:t>
      </w:r>
      <w:r>
        <w:rPr>
          <w:spacing w:val="18"/>
          <w:sz w:val="20"/>
          <w:vertAlign w:val="baseline"/>
        </w:rPr>
        <w:t> </w:t>
      </w:r>
      <w:r>
        <w:rPr>
          <w:sz w:val="20"/>
          <w:vertAlign w:val="baseline"/>
        </w:rPr>
        <w:t>[74],</w:t>
      </w:r>
      <w:r>
        <w:rPr>
          <w:spacing w:val="18"/>
          <w:sz w:val="20"/>
          <w:vertAlign w:val="baseline"/>
        </w:rPr>
        <w:t> </w:t>
      </w:r>
      <w:r>
        <w:rPr>
          <w:sz w:val="20"/>
          <w:vertAlign w:val="baseline"/>
        </w:rPr>
        <w:t>[80]–[83]</w:t>
      </w:r>
      <w:r>
        <w:rPr>
          <w:spacing w:val="18"/>
          <w:sz w:val="20"/>
          <w:vertAlign w:val="baseline"/>
        </w:rPr>
        <w:t> </w:t>
      </w:r>
      <w:r>
        <w:rPr>
          <w:sz w:val="20"/>
          <w:vertAlign w:val="baseline"/>
        </w:rPr>
        <w:t>(Floyd</w:t>
      </w:r>
      <w:r>
        <w:rPr>
          <w:spacing w:val="18"/>
          <w:sz w:val="20"/>
          <w:vertAlign w:val="baseline"/>
        </w:rPr>
        <w:t> </w:t>
      </w:r>
      <w:r>
        <w:rPr>
          <w:sz w:val="20"/>
          <w:vertAlign w:val="baseline"/>
        </w:rPr>
        <w:t>L.J.)</w:t>
      </w:r>
      <w:r>
        <w:rPr>
          <w:spacing w:val="19"/>
          <w:sz w:val="20"/>
          <w:vertAlign w:val="baseline"/>
        </w:rPr>
        <w:t> </w:t>
      </w:r>
      <w:r>
        <w:rPr>
          <w:sz w:val="20"/>
          <w:vertAlign w:val="baseline"/>
        </w:rPr>
        <w:t>and</w:t>
      </w:r>
      <w:r>
        <w:rPr>
          <w:spacing w:val="18"/>
          <w:sz w:val="20"/>
          <w:vertAlign w:val="baseline"/>
        </w:rPr>
        <w:t> </w:t>
      </w:r>
      <w:r>
        <w:rPr>
          <w:spacing w:val="-2"/>
          <w:sz w:val="20"/>
          <w:vertAlign w:val="baseline"/>
        </w:rPr>
        <w:t>[155]</w:t>
      </w:r>
    </w:p>
    <w:p>
      <w:pPr>
        <w:spacing w:line="235" w:lineRule="auto" w:before="2"/>
        <w:ind w:left="705" w:right="167" w:firstLine="0"/>
        <w:jc w:val="both"/>
        <w:rPr>
          <w:sz w:val="20"/>
        </w:rPr>
      </w:pPr>
      <w:r>
        <w:rPr>
          <w:sz w:val="20"/>
        </w:rPr>
        <w:t>(Roth J.). In this respect, the CA in </w:t>
      </w:r>
      <w:r>
        <w:rPr>
          <w:rFonts w:ascii="Arial"/>
          <w:i/>
          <w:sz w:val="20"/>
        </w:rPr>
        <w:t>Wellesley Partners LLP </w:t>
      </w:r>
      <w:r>
        <w:rPr>
          <w:sz w:val="20"/>
        </w:rPr>
        <w:t>adopted a similar approach to Akenhead J. in </w:t>
      </w:r>
      <w:r>
        <w:rPr>
          <w:rFonts w:ascii="Arial"/>
          <w:i/>
          <w:sz w:val="20"/>
        </w:rPr>
        <w:t>How Engineering Services Ltd v Southern Insulation (Medway) Ltd [2010] EWHC 1878 (TCC), [2010] B.L.R. 537 </w:t>
      </w:r>
      <w:r>
        <w:rPr>
          <w:sz w:val="20"/>
        </w:rPr>
        <w:t>(noted in the Vol.I, para.1-195), though the </w:t>
      </w:r>
      <w:r>
        <w:rPr>
          <w:sz w:val="20"/>
        </w:rPr>
        <w:t>earlier decision was not discussed.</w:t>
      </w:r>
    </w:p>
    <w:p>
      <w:pPr>
        <w:pStyle w:val="BodyText"/>
        <w:spacing w:before="124"/>
      </w:pPr>
    </w:p>
    <w:p>
      <w:pPr>
        <w:spacing w:before="0"/>
        <w:ind w:left="165" w:right="0" w:firstLine="0"/>
        <w:jc w:val="left"/>
        <w:rPr>
          <w:sz w:val="20"/>
        </w:rPr>
      </w:pPr>
      <w:bookmarkStart w:name="_bookmark2057" w:id="2059"/>
      <w:bookmarkEnd w:id="2059"/>
      <w:r>
        <w:rPr/>
      </w:r>
      <w:hyperlink w:history="true" w:anchor="_bookmark1918">
        <w:r>
          <w:rPr>
            <w:color w:val="005DA1"/>
            <w:sz w:val="20"/>
            <w:u w:val="single" w:color="005DA1"/>
            <w:vertAlign w:val="superscript"/>
          </w:rPr>
          <w:t>1373</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537" name="Image 537"/>
            <wp:cNvGraphicFramePr>
              <a:graphicFrameLocks/>
            </wp:cNvGraphicFramePr>
            <a:graphic>
              <a:graphicData uri="http://schemas.openxmlformats.org/drawingml/2006/picture">
                <pic:pic>
                  <pic:nvPicPr>
                    <pic:cNvPr id="537" name="Image 53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[2015]</w:t>
      </w:r>
      <w:r>
        <w:rPr>
          <w:rFonts w:ascii="Arial" w:hAnsi="Arial"/>
          <w:i/>
          <w:spacing w:val="1"/>
          <w:sz w:val="20"/>
          <w:vertAlign w:val="baseline"/>
        </w:rPr>
        <w:t> </w:t>
      </w:r>
      <w:r>
        <w:rPr>
          <w:rFonts w:ascii="Arial" w:hAnsi="Arial"/>
          <w:i/>
          <w:sz w:val="20"/>
          <w:vertAlign w:val="baseline"/>
        </w:rPr>
        <w:t>EWCA</w:t>
      </w:r>
      <w:r>
        <w:rPr>
          <w:rFonts w:ascii="Arial" w:hAnsi="Arial"/>
          <w:i/>
          <w:spacing w:val="2"/>
          <w:sz w:val="20"/>
          <w:vertAlign w:val="baseline"/>
        </w:rPr>
        <w:t> </w:t>
      </w:r>
      <w:r>
        <w:rPr>
          <w:rFonts w:ascii="Arial" w:hAnsi="Arial"/>
          <w:i/>
          <w:sz w:val="20"/>
          <w:vertAlign w:val="baseline"/>
        </w:rPr>
        <w:t>Civ</w:t>
      </w:r>
      <w:r>
        <w:rPr>
          <w:rFonts w:ascii="Arial" w:hAnsi="Arial"/>
          <w:i/>
          <w:spacing w:val="1"/>
          <w:sz w:val="20"/>
          <w:vertAlign w:val="baseline"/>
        </w:rPr>
        <w:t> </w:t>
      </w:r>
      <w:r>
        <w:rPr>
          <w:rFonts w:ascii="Arial" w:hAnsi="Arial"/>
          <w:i/>
          <w:sz w:val="20"/>
          <w:vertAlign w:val="baseline"/>
        </w:rPr>
        <w:t>1146 </w:t>
      </w:r>
      <w:r>
        <w:rPr>
          <w:sz w:val="20"/>
          <w:vertAlign w:val="baseline"/>
        </w:rPr>
        <w:t>at</w:t>
      </w:r>
      <w:r>
        <w:rPr>
          <w:spacing w:val="1"/>
          <w:sz w:val="20"/>
          <w:vertAlign w:val="baseline"/>
        </w:rPr>
        <w:t> </w:t>
      </w:r>
      <w:r>
        <w:rPr>
          <w:sz w:val="20"/>
          <w:vertAlign w:val="baseline"/>
        </w:rPr>
        <w:t>[81]–[89]</w:t>
      </w:r>
      <w:r>
        <w:rPr>
          <w:spacing w:val="2"/>
          <w:sz w:val="20"/>
          <w:vertAlign w:val="baseline"/>
        </w:rPr>
        <w:t> </w:t>
      </w:r>
      <w:r>
        <w:rPr>
          <w:sz w:val="20"/>
          <w:vertAlign w:val="baseline"/>
        </w:rPr>
        <w:t>(Floyd</w:t>
      </w:r>
      <w:r>
        <w:rPr>
          <w:spacing w:val="1"/>
          <w:sz w:val="20"/>
          <w:vertAlign w:val="baseline"/>
        </w:rPr>
        <w:t> </w:t>
      </w:r>
      <w:r>
        <w:rPr>
          <w:sz w:val="20"/>
          <w:vertAlign w:val="baseline"/>
        </w:rPr>
        <w:t>L.J.);</w:t>
      </w:r>
      <w:r>
        <w:rPr>
          <w:spacing w:val="1"/>
          <w:sz w:val="20"/>
          <w:vertAlign w:val="baseline"/>
        </w:rPr>
        <w:t> </w:t>
      </w:r>
      <w:r>
        <w:rPr>
          <w:sz w:val="20"/>
          <w:vertAlign w:val="baseline"/>
        </w:rPr>
        <w:t>[179]</w:t>
      </w:r>
      <w:r>
        <w:rPr>
          <w:spacing w:val="1"/>
          <w:sz w:val="20"/>
          <w:vertAlign w:val="baseline"/>
        </w:rPr>
        <w:t> </w:t>
      </w:r>
      <w:r>
        <w:rPr>
          <w:sz w:val="20"/>
          <w:vertAlign w:val="baseline"/>
        </w:rPr>
        <w:t>(Roth</w:t>
      </w:r>
      <w:r>
        <w:rPr>
          <w:spacing w:val="2"/>
          <w:sz w:val="20"/>
          <w:vertAlign w:val="baseline"/>
        </w:rPr>
        <w:t> </w:t>
      </w:r>
      <w:r>
        <w:rPr>
          <w:sz w:val="20"/>
          <w:vertAlign w:val="baseline"/>
        </w:rPr>
        <w:t>L.J.)</w:t>
      </w:r>
      <w:r>
        <w:rPr>
          <w:spacing w:val="1"/>
          <w:sz w:val="20"/>
          <w:vertAlign w:val="baseline"/>
        </w:rPr>
        <w:t> </w:t>
      </w:r>
      <w:r>
        <w:rPr>
          <w:sz w:val="20"/>
          <w:vertAlign w:val="baseline"/>
        </w:rPr>
        <w:t>and</w:t>
      </w:r>
      <w:r>
        <w:rPr>
          <w:spacing w:val="1"/>
          <w:sz w:val="20"/>
          <w:vertAlign w:val="baseline"/>
        </w:rPr>
        <w:t> </w:t>
      </w:r>
      <w:r>
        <w:rPr>
          <w:sz w:val="20"/>
          <w:vertAlign w:val="baseline"/>
        </w:rPr>
        <w:t>[188]</w:t>
      </w:r>
      <w:r>
        <w:rPr>
          <w:spacing w:val="1"/>
          <w:sz w:val="20"/>
          <w:vertAlign w:val="baseline"/>
        </w:rPr>
        <w:t> </w:t>
      </w:r>
      <w:r>
        <w:rPr>
          <w:sz w:val="20"/>
          <w:vertAlign w:val="baseline"/>
        </w:rPr>
        <w:t>(Longmore</w:t>
      </w:r>
      <w:r>
        <w:rPr>
          <w:spacing w:val="2"/>
          <w:sz w:val="20"/>
          <w:vertAlign w:val="baseline"/>
        </w:rPr>
        <w:t> </w:t>
      </w:r>
      <w:r>
        <w:rPr>
          <w:spacing w:val="-2"/>
          <w:sz w:val="20"/>
          <w:vertAlign w:val="baseline"/>
        </w:rPr>
        <w:t>L.J.).</w:t>
      </w:r>
    </w:p>
    <w:p>
      <w:pPr>
        <w:pStyle w:val="BodyText"/>
        <w:spacing w:before="125"/>
      </w:pPr>
    </w:p>
    <w:p>
      <w:pPr>
        <w:spacing w:before="0"/>
        <w:ind w:left="165" w:right="0" w:firstLine="0"/>
        <w:jc w:val="left"/>
        <w:rPr>
          <w:sz w:val="20"/>
        </w:rPr>
      </w:pPr>
      <w:bookmarkStart w:name="_bookmark2058" w:id="2060"/>
      <w:bookmarkEnd w:id="2060"/>
      <w:r>
        <w:rPr/>
      </w:r>
      <w:hyperlink w:history="true" w:anchor="_bookmark1919">
        <w:r>
          <w:rPr>
            <w:color w:val="005DA1"/>
            <w:sz w:val="20"/>
            <w:u w:val="single" w:color="005DA1"/>
            <w:vertAlign w:val="superscript"/>
          </w:rPr>
          <w:t>1374</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538" name="Image 538"/>
            <wp:cNvGraphicFramePr>
              <a:graphicFrameLocks/>
            </wp:cNvGraphicFramePr>
            <a:graphic>
              <a:graphicData uri="http://schemas.openxmlformats.org/drawingml/2006/picture">
                <pic:pic>
                  <pic:nvPicPr>
                    <pic:cNvPr id="538" name="Image 53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[2014]</w:t>
      </w:r>
      <w:r>
        <w:rPr>
          <w:rFonts w:ascii="Arial"/>
          <w:i/>
          <w:spacing w:val="3"/>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2"/>
          <w:sz w:val="20"/>
          <w:vertAlign w:val="baseline"/>
        </w:rPr>
        <w:t> </w:t>
      </w:r>
      <w:r>
        <w:rPr>
          <w:rFonts w:ascii="Arial"/>
          <w:i/>
          <w:sz w:val="20"/>
          <w:vertAlign w:val="baseline"/>
        </w:rPr>
        <w:t>1512</w:t>
      </w:r>
      <w:r>
        <w:rPr>
          <w:rFonts w:ascii="Arial"/>
          <w:i/>
          <w:spacing w:val="1"/>
          <w:sz w:val="20"/>
          <w:vertAlign w:val="baseline"/>
        </w:rPr>
        <w:t> </w:t>
      </w:r>
      <w:r>
        <w:rPr>
          <w:sz w:val="20"/>
          <w:vertAlign w:val="baseline"/>
        </w:rPr>
        <w:t>and</w:t>
      </w:r>
      <w:r>
        <w:rPr>
          <w:spacing w:val="3"/>
          <w:sz w:val="20"/>
          <w:vertAlign w:val="baseline"/>
        </w:rPr>
        <w:t> </w:t>
      </w:r>
      <w:r>
        <w:rPr>
          <w:sz w:val="20"/>
          <w:vertAlign w:val="baseline"/>
        </w:rPr>
        <w:t>see</w:t>
      </w:r>
      <w:r>
        <w:rPr>
          <w:spacing w:val="2"/>
          <w:sz w:val="20"/>
          <w:vertAlign w:val="baseline"/>
        </w:rPr>
        <w:t> </w:t>
      </w:r>
      <w:r>
        <w:rPr>
          <w:sz w:val="20"/>
          <w:vertAlign w:val="baseline"/>
        </w:rPr>
        <w:t>Vol.I,</w:t>
      </w:r>
      <w:r>
        <w:rPr>
          <w:spacing w:val="2"/>
          <w:sz w:val="20"/>
          <w:vertAlign w:val="baseline"/>
        </w:rPr>
        <w:t> </w:t>
      </w:r>
      <w:r>
        <w:rPr>
          <w:sz w:val="20"/>
          <w:vertAlign w:val="baseline"/>
        </w:rPr>
        <w:t>para.1-</w:t>
      </w:r>
      <w:r>
        <w:rPr>
          <w:spacing w:val="-4"/>
          <w:sz w:val="20"/>
          <w:vertAlign w:val="baseline"/>
        </w:rPr>
        <w:t>195.</w:t>
      </w:r>
    </w:p>
    <w:p>
      <w:pPr>
        <w:pStyle w:val="BodyText"/>
        <w:spacing w:before="129"/>
      </w:pPr>
    </w:p>
    <w:p>
      <w:pPr>
        <w:pStyle w:val="BodyText"/>
        <w:spacing w:line="235" w:lineRule="auto"/>
        <w:ind w:left="705" w:right="167" w:hanging="541"/>
        <w:jc w:val="both"/>
      </w:pPr>
      <w:bookmarkStart w:name="_bookmark2059" w:id="2061"/>
      <w:bookmarkEnd w:id="2061"/>
      <w:r>
        <w:rPr/>
      </w:r>
      <w:hyperlink w:history="true" w:anchor="_bookmark1920">
        <w:r>
          <w:rPr>
            <w:color w:val="005DA1"/>
            <w:u w:val="single" w:color="005DA1"/>
            <w:vertAlign w:val="superscript"/>
          </w:rPr>
          <w:t>1375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539" name="Image 539"/>
            <wp:cNvGraphicFramePr>
              <a:graphicFrameLocks/>
            </wp:cNvGraphicFramePr>
            <a:graphic>
              <a:graphicData uri="http://schemas.openxmlformats.org/drawingml/2006/picture">
                <pic:pic>
                  <pic:nvPicPr>
                    <pic:cNvPr id="539" name="Image 53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In </w:t>
      </w:r>
      <w:r>
        <w:rPr>
          <w:rFonts w:ascii="Arial" w:hAnsi="Arial"/>
          <w:i/>
          <w:vertAlign w:val="baseline"/>
        </w:rPr>
        <w:t>Yapp </w:t>
      </w:r>
      <w:r>
        <w:rPr>
          <w:vertAlign w:val="baseline"/>
        </w:rPr>
        <w:t>the CA held that the claimant’s depressive illness was not reasonably foreseeable under</w:t>
      </w:r>
      <w:r>
        <w:rPr>
          <w:spacing w:val="-2"/>
          <w:vertAlign w:val="baseline"/>
        </w:rPr>
        <w:t> </w:t>
      </w:r>
      <w:r>
        <w:rPr>
          <w:vertAlign w:val="baseline"/>
        </w:rPr>
        <w:t>the</w:t>
      </w:r>
      <w:r>
        <w:rPr>
          <w:spacing w:val="-2"/>
          <w:vertAlign w:val="baseline"/>
        </w:rPr>
        <w:t> </w:t>
      </w:r>
      <w:r>
        <w:rPr>
          <w:rFonts w:ascii="Arial" w:hAnsi="Arial"/>
          <w:i/>
          <w:vertAlign w:val="baseline"/>
        </w:rPr>
        <w:t>tort</w:t>
      </w:r>
      <w:r>
        <w:rPr>
          <w:rFonts w:ascii="Arial" w:hAnsi="Arial"/>
          <w:i/>
          <w:spacing w:val="-2"/>
          <w:vertAlign w:val="baseline"/>
        </w:rPr>
        <w:t> </w:t>
      </w:r>
      <w:r>
        <w:rPr>
          <w:vertAlign w:val="baseline"/>
        </w:rPr>
        <w:t>test</w:t>
      </w:r>
      <w:r>
        <w:rPr>
          <w:spacing w:val="-2"/>
          <w:vertAlign w:val="baseline"/>
        </w:rPr>
        <w:t> </w:t>
      </w:r>
      <w:r>
        <w:rPr>
          <w:vertAlign w:val="baseline"/>
        </w:rPr>
        <w:t>(seen</w:t>
      </w:r>
      <w:r>
        <w:rPr>
          <w:spacing w:val="-2"/>
          <w:vertAlign w:val="baseline"/>
        </w:rPr>
        <w:t> </w:t>
      </w:r>
      <w:r>
        <w:rPr>
          <w:vertAlign w:val="baseline"/>
        </w:rPr>
        <w:t>as</w:t>
      </w:r>
      <w:r>
        <w:rPr>
          <w:spacing w:val="-2"/>
          <w:vertAlign w:val="baseline"/>
        </w:rPr>
        <w:t> </w:t>
      </w:r>
      <w:r>
        <w:rPr>
          <w:vertAlign w:val="baseline"/>
        </w:rPr>
        <w:t>more</w:t>
      </w:r>
      <w:r>
        <w:rPr>
          <w:spacing w:val="-2"/>
          <w:vertAlign w:val="baseline"/>
        </w:rPr>
        <w:t> </w:t>
      </w:r>
      <w:r>
        <w:rPr>
          <w:vertAlign w:val="baseline"/>
        </w:rPr>
        <w:t>favourable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and</w:t>
      </w:r>
      <w:r>
        <w:rPr>
          <w:spacing w:val="-2"/>
          <w:vertAlign w:val="baseline"/>
        </w:rPr>
        <w:t> </w:t>
      </w:r>
      <w:r>
        <w:rPr>
          <w:vertAlign w:val="baseline"/>
        </w:rPr>
        <w:t>therefore</w:t>
      </w:r>
      <w:r>
        <w:rPr>
          <w:spacing w:val="-2"/>
          <w:vertAlign w:val="baseline"/>
        </w:rPr>
        <w:t> </w:t>
      </w:r>
      <w:r>
        <w:rPr>
          <w:vertAlign w:val="baseline"/>
        </w:rPr>
        <w:t>was</w:t>
      </w:r>
      <w:r>
        <w:rPr>
          <w:spacing w:val="-2"/>
          <w:vertAlign w:val="baseline"/>
        </w:rPr>
        <w:t> </w:t>
      </w:r>
      <w:r>
        <w:rPr>
          <w:vertAlign w:val="baseline"/>
        </w:rPr>
        <w:t>also</w:t>
      </w:r>
      <w:r>
        <w:rPr>
          <w:spacing w:val="-2"/>
          <w:vertAlign w:val="baseline"/>
        </w:rPr>
        <w:t> </w:t>
      </w:r>
      <w:r>
        <w:rPr>
          <w:vertAlign w:val="baseline"/>
        </w:rPr>
        <w:t>too</w:t>
      </w:r>
      <w:r>
        <w:rPr>
          <w:spacing w:val="-2"/>
          <w:vertAlign w:val="baseline"/>
        </w:rPr>
        <w:t> </w:t>
      </w:r>
      <w:r>
        <w:rPr>
          <w:vertAlign w:val="baseline"/>
        </w:rPr>
        <w:t>remote in his claim for breach of contract: </w:t>
      </w:r>
      <w:r>
        <w:rPr>
          <w:rFonts w:ascii="Arial" w:hAnsi="Arial"/>
          <w:i/>
          <w:vertAlign w:val="baseline"/>
        </w:rPr>
        <w:t>[2014] EWCA Civ 1512 </w:t>
      </w:r>
      <w:r>
        <w:rPr>
          <w:vertAlign w:val="baseline"/>
        </w:rPr>
        <w:t>at [121]–[124], [133]. In </w:t>
      </w:r>
      <w:r>
        <w:rPr>
          <w:rFonts w:ascii="Arial" w:hAnsi="Arial"/>
          <w:i/>
          <w:vertAlign w:val="baseline"/>
        </w:rPr>
        <w:t>Wellesley Partners LLP </w:t>
      </w:r>
      <w:r>
        <w:rPr>
          <w:vertAlign w:val="baseline"/>
        </w:rPr>
        <w:t>the partnerships losses were held not too remote under the contract test thereby leading to the CA affirming the result at trial which had held them not too remote under the tort test: </w:t>
      </w:r>
      <w:r>
        <w:rPr>
          <w:rFonts w:ascii="Arial" w:hAnsi="Arial"/>
          <w:i/>
          <w:vertAlign w:val="baseline"/>
        </w:rPr>
        <w:t>[2015] EWCA Civ 1146 </w:t>
      </w:r>
      <w:r>
        <w:rPr>
          <w:vertAlign w:val="baseline"/>
        </w:rPr>
        <w:t>at [81] (Floyd L.J.); [179] (Roth L.J.) and [188] (Longmore L.J.).</w:t>
      </w:r>
    </w:p>
    <w:p>
      <w:pPr>
        <w:pStyle w:val="BodyText"/>
        <w:spacing w:before="124"/>
      </w:pPr>
    </w:p>
    <w:p>
      <w:pPr>
        <w:spacing w:before="0"/>
        <w:ind w:left="165" w:right="0" w:firstLine="0"/>
        <w:jc w:val="left"/>
        <w:rPr>
          <w:sz w:val="20"/>
        </w:rPr>
      </w:pPr>
      <w:bookmarkStart w:name="_bookmark2060" w:id="2062"/>
      <w:bookmarkEnd w:id="2062"/>
      <w:r>
        <w:rPr/>
      </w:r>
      <w:hyperlink w:history="true" w:anchor="_bookmark1921">
        <w:r>
          <w:rPr>
            <w:color w:val="005DA1"/>
            <w:sz w:val="20"/>
            <w:u w:val="single" w:color="005DA1"/>
            <w:vertAlign w:val="superscript"/>
          </w:rPr>
          <w:t>1376</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540" name="Image 540"/>
            <wp:cNvGraphicFramePr>
              <a:graphicFrameLocks/>
            </wp:cNvGraphicFramePr>
            <a:graphic>
              <a:graphicData uri="http://schemas.openxmlformats.org/drawingml/2006/picture">
                <pic:pic>
                  <pic:nvPicPr>
                    <pic:cNvPr id="540" name="Image 54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[2014]</w:t>
      </w:r>
      <w:r>
        <w:rPr>
          <w:rFonts w:ascii="Arial"/>
          <w:i/>
          <w:spacing w:val="3"/>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2"/>
          <w:sz w:val="20"/>
          <w:vertAlign w:val="baseline"/>
        </w:rPr>
        <w:t> </w:t>
      </w:r>
      <w:r>
        <w:rPr>
          <w:rFonts w:ascii="Arial"/>
          <w:i/>
          <w:sz w:val="20"/>
          <w:vertAlign w:val="baseline"/>
        </w:rPr>
        <w:t>1512</w:t>
      </w:r>
      <w:r>
        <w:rPr>
          <w:rFonts w:ascii="Arial"/>
          <w:i/>
          <w:spacing w:val="1"/>
          <w:sz w:val="20"/>
          <w:vertAlign w:val="baseline"/>
        </w:rPr>
        <w:t> </w:t>
      </w:r>
      <w:r>
        <w:rPr>
          <w:sz w:val="20"/>
          <w:vertAlign w:val="baseline"/>
        </w:rPr>
        <w:t>at</w:t>
      </w:r>
      <w:r>
        <w:rPr>
          <w:spacing w:val="3"/>
          <w:sz w:val="20"/>
          <w:vertAlign w:val="baseline"/>
        </w:rPr>
        <w:t> </w:t>
      </w:r>
      <w:r>
        <w:rPr>
          <w:sz w:val="20"/>
          <w:vertAlign w:val="baseline"/>
        </w:rPr>
        <w:t>[60]</w:t>
      </w:r>
      <w:r>
        <w:rPr>
          <w:spacing w:val="2"/>
          <w:sz w:val="20"/>
          <w:vertAlign w:val="baseline"/>
        </w:rPr>
        <w:t> </w:t>
      </w:r>
      <w:r>
        <w:rPr>
          <w:sz w:val="20"/>
          <w:vertAlign w:val="baseline"/>
        </w:rPr>
        <w:t>and</w:t>
      </w:r>
      <w:r>
        <w:rPr>
          <w:spacing w:val="2"/>
          <w:sz w:val="20"/>
          <w:vertAlign w:val="baseline"/>
        </w:rPr>
        <w:t> </w:t>
      </w:r>
      <w:r>
        <w:rPr>
          <w:spacing w:val="-2"/>
          <w:sz w:val="20"/>
          <w:vertAlign w:val="baseline"/>
        </w:rPr>
        <w:t>[67].</w:t>
      </w:r>
    </w:p>
    <w:p>
      <w:pPr>
        <w:pStyle w:val="BodyText"/>
        <w:spacing w:before="125"/>
      </w:pPr>
    </w:p>
    <w:p>
      <w:pPr>
        <w:spacing w:before="0"/>
        <w:ind w:left="165" w:right="0" w:firstLine="0"/>
        <w:jc w:val="left"/>
        <w:rPr>
          <w:sz w:val="20"/>
        </w:rPr>
      </w:pPr>
      <w:bookmarkStart w:name="_bookmark2061" w:id="2063"/>
      <w:bookmarkEnd w:id="2063"/>
      <w:r>
        <w:rPr/>
      </w:r>
      <w:hyperlink w:history="true" w:anchor="_bookmark1922">
        <w:r>
          <w:rPr>
            <w:color w:val="005DA1"/>
            <w:sz w:val="20"/>
            <w:u w:val="single" w:color="005DA1"/>
            <w:vertAlign w:val="superscript"/>
          </w:rPr>
          <w:t>1377</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541" name="Image 541"/>
            <wp:cNvGraphicFramePr>
              <a:graphicFrameLocks/>
            </wp:cNvGraphicFramePr>
            <a:graphic>
              <a:graphicData uri="http://schemas.openxmlformats.org/drawingml/2006/picture">
                <pic:pic>
                  <pic:nvPicPr>
                    <pic:cNvPr id="541" name="Image 54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[2014]</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1512</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[119].</w:t>
      </w:r>
    </w:p>
    <w:p>
      <w:pPr>
        <w:pStyle w:val="BodyText"/>
        <w:spacing w:before="129"/>
      </w:pPr>
    </w:p>
    <w:p>
      <w:pPr>
        <w:pStyle w:val="BodyText"/>
        <w:spacing w:line="235" w:lineRule="auto"/>
        <w:ind w:left="705" w:right="167" w:hanging="541"/>
        <w:jc w:val="both"/>
      </w:pPr>
      <w:bookmarkStart w:name="_bookmark2062" w:id="2064"/>
      <w:bookmarkEnd w:id="2064"/>
      <w:r>
        <w:rPr/>
      </w:r>
      <w:hyperlink w:history="true" w:anchor="_bookmark1923">
        <w:r>
          <w:rPr>
            <w:color w:val="005DA1"/>
            <w:u w:val="single" w:color="005DA1"/>
            <w:vertAlign w:val="superscript"/>
          </w:rPr>
          <w:t>1378</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542" name="Image 542"/>
            <wp:cNvGraphicFramePr>
              <a:graphicFrameLocks/>
            </wp:cNvGraphicFramePr>
            <a:graphic>
              <a:graphicData uri="http://schemas.openxmlformats.org/drawingml/2006/picture">
                <pic:pic>
                  <pic:nvPicPr>
                    <pic:cNvPr id="542" name="Image 54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[2014] EWCA Civ 1512 </w:t>
      </w:r>
      <w:r>
        <w:rPr>
          <w:vertAlign w:val="baseline"/>
        </w:rPr>
        <w:t>at [42]–[43]. The CA also referred to breach of the implied term of mutual trust and confidence, but this was not seen as paralleled with any breach of duty at common law.</w:t>
      </w:r>
    </w:p>
    <w:p>
      <w:pPr>
        <w:pStyle w:val="BodyText"/>
        <w:spacing w:after="0" w:line="235" w:lineRule="auto"/>
        <w:jc w:val="both"/>
        <w:sectPr>
          <w:pgSz w:w="11900" w:h="16840"/>
          <w:pgMar w:header="971" w:footer="0" w:top="1300" w:bottom="280" w:left="1275" w:right="1275"/>
        </w:sectPr>
      </w:pPr>
    </w:p>
    <w:p>
      <w:pPr>
        <w:pStyle w:val="BodyText"/>
        <w:spacing w:before="56"/>
      </w:pPr>
    </w:p>
    <w:p>
      <w:pPr>
        <w:spacing w:before="0"/>
        <w:ind w:left="165" w:right="0" w:firstLine="0"/>
        <w:jc w:val="left"/>
        <w:rPr>
          <w:sz w:val="20"/>
        </w:rPr>
      </w:pPr>
      <w:hyperlink w:history="true" w:anchor="_bookmark1924">
        <w:r>
          <w:rPr>
            <w:color w:val="005DA1"/>
            <w:sz w:val="20"/>
            <w:u w:val="single" w:color="005DA1"/>
            <w:vertAlign w:val="superscript"/>
          </w:rPr>
          <w:t>1379</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543" name="Image 543"/>
            <wp:cNvGraphicFramePr>
              <a:graphicFrameLocks/>
            </wp:cNvGraphicFramePr>
            <a:graphic>
              <a:graphicData uri="http://schemas.openxmlformats.org/drawingml/2006/picture">
                <pic:pic>
                  <pic:nvPicPr>
                    <pic:cNvPr id="543" name="Image 54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2"/>
          <w:sz w:val="20"/>
          <w:vertAlign w:val="baseline"/>
        </w:rPr>
        <w:t> </w:t>
      </w:r>
      <w:r>
        <w:rPr>
          <w:rFonts w:ascii="Arial"/>
          <w:i/>
          <w:sz w:val="20"/>
          <w:vertAlign w:val="baseline"/>
        </w:rPr>
        <w:t>1146</w:t>
      </w:r>
      <w:r>
        <w:rPr>
          <w:rFonts w:ascii="Arial"/>
          <w:i/>
          <w:spacing w:val="1"/>
          <w:sz w:val="20"/>
          <w:vertAlign w:val="baseline"/>
        </w:rPr>
        <w:t> </w:t>
      </w:r>
      <w:r>
        <w:rPr>
          <w:sz w:val="20"/>
          <w:vertAlign w:val="baseline"/>
        </w:rPr>
        <w:t>at</w:t>
      </w:r>
      <w:r>
        <w:rPr>
          <w:spacing w:val="3"/>
          <w:sz w:val="20"/>
          <w:vertAlign w:val="baseline"/>
        </w:rPr>
        <w:t> </w:t>
      </w:r>
      <w:r>
        <w:rPr>
          <w:sz w:val="20"/>
          <w:vertAlign w:val="baseline"/>
        </w:rPr>
        <w:t>[80]</w:t>
      </w:r>
      <w:r>
        <w:rPr>
          <w:spacing w:val="2"/>
          <w:sz w:val="20"/>
          <w:vertAlign w:val="baseline"/>
        </w:rPr>
        <w:t> </w:t>
      </w:r>
      <w:r>
        <w:rPr>
          <w:sz w:val="20"/>
          <w:vertAlign w:val="baseline"/>
        </w:rPr>
        <w:t>and</w:t>
      </w:r>
      <w:r>
        <w:rPr>
          <w:spacing w:val="2"/>
          <w:sz w:val="20"/>
          <w:vertAlign w:val="baseline"/>
        </w:rPr>
        <w:t> </w:t>
      </w:r>
      <w:r>
        <w:rPr>
          <w:spacing w:val="-2"/>
          <w:sz w:val="20"/>
          <w:vertAlign w:val="baseline"/>
        </w:rPr>
        <w:t>[151].</w:t>
      </w:r>
    </w:p>
    <w:p>
      <w:pPr>
        <w:pStyle w:val="BodyText"/>
        <w:spacing w:before="125"/>
      </w:pPr>
    </w:p>
    <w:p>
      <w:pPr>
        <w:spacing w:before="1"/>
        <w:ind w:left="165" w:right="0" w:firstLine="0"/>
        <w:jc w:val="left"/>
        <w:rPr>
          <w:sz w:val="20"/>
        </w:rPr>
      </w:pPr>
      <w:bookmarkStart w:name="_bookmark2063" w:id="2065"/>
      <w:bookmarkEnd w:id="2065"/>
      <w:r>
        <w:rPr/>
      </w:r>
      <w:hyperlink w:history="true" w:anchor="_bookmark1925">
        <w:r>
          <w:rPr>
            <w:color w:val="005DA1"/>
            <w:sz w:val="20"/>
            <w:u w:val="single" w:color="005DA1"/>
            <w:vertAlign w:val="superscript"/>
          </w:rPr>
          <w:t>1380</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544" name="Image 544"/>
            <wp:cNvGraphicFramePr>
              <a:graphicFrameLocks/>
            </wp:cNvGraphicFramePr>
            <a:graphic>
              <a:graphicData uri="http://schemas.openxmlformats.org/drawingml/2006/picture">
                <pic:pic>
                  <pic:nvPicPr>
                    <pic:cNvPr id="544" name="Image 54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[1978]</w:t>
      </w:r>
      <w:r>
        <w:rPr>
          <w:rFonts w:ascii="Arial" w:hAnsi="Arial"/>
          <w:i/>
          <w:spacing w:val="2"/>
          <w:sz w:val="20"/>
          <w:vertAlign w:val="baseline"/>
        </w:rPr>
        <w:t> </w:t>
      </w:r>
      <w:r>
        <w:rPr>
          <w:rFonts w:ascii="Arial" w:hAnsi="Arial"/>
          <w:i/>
          <w:sz w:val="20"/>
          <w:vertAlign w:val="baseline"/>
        </w:rPr>
        <w:t>Q.B.</w:t>
      </w:r>
      <w:r>
        <w:rPr>
          <w:rFonts w:ascii="Arial" w:hAnsi="Arial"/>
          <w:i/>
          <w:spacing w:val="1"/>
          <w:sz w:val="20"/>
          <w:vertAlign w:val="baseline"/>
        </w:rPr>
        <w:t> </w:t>
      </w:r>
      <w:r>
        <w:rPr>
          <w:rFonts w:ascii="Arial" w:hAnsi="Arial"/>
          <w:i/>
          <w:sz w:val="20"/>
          <w:vertAlign w:val="baseline"/>
        </w:rPr>
        <w:t>791</w:t>
      </w:r>
      <w:r>
        <w:rPr>
          <w:rFonts w:ascii="Arial" w:hAnsi="Arial"/>
          <w:i/>
          <w:spacing w:val="1"/>
          <w:sz w:val="20"/>
          <w:vertAlign w:val="baseline"/>
        </w:rPr>
        <w:t> </w:t>
      </w:r>
      <w:r>
        <w:rPr>
          <w:sz w:val="20"/>
          <w:vertAlign w:val="baseline"/>
        </w:rPr>
        <w:t>at</w:t>
      </w:r>
      <w:r>
        <w:rPr>
          <w:spacing w:val="2"/>
          <w:sz w:val="20"/>
          <w:vertAlign w:val="baseline"/>
        </w:rPr>
        <w:t> </w:t>
      </w:r>
      <w:r>
        <w:rPr>
          <w:sz w:val="20"/>
          <w:vertAlign w:val="baseline"/>
        </w:rPr>
        <w:t>802–804</w:t>
      </w:r>
      <w:r>
        <w:rPr>
          <w:spacing w:val="2"/>
          <w:sz w:val="20"/>
          <w:vertAlign w:val="baseline"/>
        </w:rPr>
        <w:t> </w:t>
      </w:r>
      <w:r>
        <w:rPr>
          <w:sz w:val="20"/>
          <w:vertAlign w:val="baseline"/>
        </w:rPr>
        <w:t>noted</w:t>
      </w:r>
      <w:r>
        <w:rPr>
          <w:spacing w:val="1"/>
          <w:sz w:val="20"/>
          <w:vertAlign w:val="baseline"/>
        </w:rPr>
        <w:t> </w:t>
      </w:r>
      <w:r>
        <w:rPr>
          <w:sz w:val="20"/>
          <w:vertAlign w:val="baseline"/>
        </w:rPr>
        <w:t>in</w:t>
      </w:r>
      <w:r>
        <w:rPr>
          <w:spacing w:val="2"/>
          <w:sz w:val="20"/>
          <w:vertAlign w:val="baseline"/>
        </w:rPr>
        <w:t> </w:t>
      </w:r>
      <w:r>
        <w:rPr>
          <w:sz w:val="20"/>
          <w:vertAlign w:val="baseline"/>
        </w:rPr>
        <w:t>Vol.I,</w:t>
      </w:r>
      <w:r>
        <w:rPr>
          <w:spacing w:val="2"/>
          <w:sz w:val="20"/>
          <w:vertAlign w:val="baseline"/>
        </w:rPr>
        <w:t> </w:t>
      </w:r>
      <w:r>
        <w:rPr>
          <w:sz w:val="20"/>
          <w:vertAlign w:val="baseline"/>
        </w:rPr>
        <w:t>para.1-195</w:t>
      </w:r>
      <w:r>
        <w:rPr>
          <w:spacing w:val="2"/>
          <w:sz w:val="20"/>
          <w:vertAlign w:val="baseline"/>
        </w:rPr>
        <w:t> </w:t>
      </w:r>
      <w:r>
        <w:rPr>
          <w:spacing w:val="-2"/>
          <w:sz w:val="20"/>
          <w:vertAlign w:val="baseline"/>
        </w:rPr>
        <w:t>n.1265.</w:t>
      </w:r>
    </w:p>
    <w:p>
      <w:pPr>
        <w:pStyle w:val="BodyText"/>
        <w:spacing w:before="124"/>
      </w:pPr>
    </w:p>
    <w:p>
      <w:pPr>
        <w:spacing w:before="1"/>
        <w:ind w:left="165" w:right="0" w:firstLine="0"/>
        <w:jc w:val="left"/>
        <w:rPr>
          <w:sz w:val="20"/>
        </w:rPr>
      </w:pPr>
      <w:bookmarkStart w:name="_bookmark2064" w:id="2066"/>
      <w:bookmarkEnd w:id="2066"/>
      <w:r>
        <w:rPr/>
      </w:r>
      <w:hyperlink w:history="true" w:anchor="_bookmark1926">
        <w:r>
          <w:rPr>
            <w:color w:val="005DA1"/>
            <w:sz w:val="20"/>
            <w:u w:val="single" w:color="005DA1"/>
            <w:vertAlign w:val="superscript"/>
          </w:rPr>
          <w:t>1381</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545" name="Image 545"/>
            <wp:cNvGraphicFramePr>
              <a:graphicFrameLocks/>
            </wp:cNvGraphicFramePr>
            <a:graphic>
              <a:graphicData uri="http://schemas.openxmlformats.org/drawingml/2006/picture">
                <pic:pic>
                  <pic:nvPicPr>
                    <pic:cNvPr id="545" name="Image 54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1146</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[68].</w:t>
      </w:r>
    </w:p>
    <w:p>
      <w:pPr>
        <w:pStyle w:val="BodyText"/>
        <w:spacing w:before="128"/>
      </w:pPr>
    </w:p>
    <w:p>
      <w:pPr>
        <w:pStyle w:val="BodyText"/>
        <w:spacing w:line="235" w:lineRule="auto"/>
        <w:ind w:left="705" w:right="167" w:hanging="541"/>
        <w:jc w:val="both"/>
      </w:pPr>
      <w:bookmarkStart w:name="_bookmark2065" w:id="2067"/>
      <w:bookmarkEnd w:id="2067"/>
      <w:r>
        <w:rPr/>
      </w:r>
      <w:hyperlink w:history="true" w:anchor="_bookmark1927">
        <w:r>
          <w:rPr>
            <w:color w:val="005DA1"/>
            <w:u w:val="single" w:color="005DA1"/>
            <w:vertAlign w:val="superscript"/>
          </w:rPr>
          <w:t>1382</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546" name="Image 546"/>
            <wp:cNvGraphicFramePr>
              <a:graphicFrameLocks/>
            </wp:cNvGraphicFramePr>
            <a:graphic>
              <a:graphicData uri="http://schemas.openxmlformats.org/drawingml/2006/picture">
                <pic:pic>
                  <pic:nvPicPr>
                    <pic:cNvPr id="546" name="Image 54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cf. the discussion in Main Work, Vol.I, paras 1-188—1-190 on the question whether one party to a contract can be held to have “assumed responsibility” to the other contracting party under the </w:t>
      </w:r>
      <w:r>
        <w:rPr>
          <w:rFonts w:ascii="Arial" w:hAnsi="Arial"/>
          <w:i/>
          <w:vertAlign w:val="baseline"/>
        </w:rPr>
        <w:t>Hedley Byrne </w:t>
      </w:r>
      <w:r>
        <w:rPr>
          <w:vertAlign w:val="baseline"/>
        </w:rPr>
        <w:t>principle even where the contract contained no express or implied term as </w:t>
      </w:r>
      <w:r>
        <w:rPr>
          <w:vertAlign w:val="baseline"/>
        </w:rPr>
        <w:t>to the</w:t>
      </w:r>
      <w:r>
        <w:rPr>
          <w:spacing w:val="40"/>
          <w:vertAlign w:val="baseline"/>
        </w:rPr>
        <w:t> </w:t>
      </w:r>
      <w:r>
        <w:rPr>
          <w:vertAlign w:val="baseline"/>
        </w:rPr>
        <w:t>claimed</w:t>
      </w:r>
      <w:r>
        <w:rPr>
          <w:spacing w:val="40"/>
          <w:vertAlign w:val="baseline"/>
        </w:rPr>
        <w:t> </w:t>
      </w:r>
      <w:r>
        <w:rPr>
          <w:vertAlign w:val="baseline"/>
        </w:rPr>
        <w:t>subject-matter</w:t>
      </w:r>
      <w:r>
        <w:rPr>
          <w:spacing w:val="40"/>
          <w:vertAlign w:val="baseline"/>
        </w:rPr>
        <w:t> </w:t>
      </w:r>
      <w:r>
        <w:rPr>
          <w:vertAlign w:val="baseline"/>
        </w:rPr>
        <w:t>of</w:t>
      </w:r>
      <w:r>
        <w:rPr>
          <w:spacing w:val="40"/>
          <w:vertAlign w:val="baseline"/>
        </w:rPr>
        <w:t> </w:t>
      </w:r>
      <w:r>
        <w:rPr>
          <w:vertAlign w:val="baseline"/>
        </w:rPr>
        <w:t>such</w:t>
      </w:r>
      <w:r>
        <w:rPr>
          <w:spacing w:val="40"/>
          <w:vertAlign w:val="baseline"/>
        </w:rPr>
        <w:t> </w:t>
      </w:r>
      <w:r>
        <w:rPr>
          <w:vertAlign w:val="baseline"/>
        </w:rPr>
        <w:t>an</w:t>
      </w:r>
      <w:r>
        <w:rPr>
          <w:spacing w:val="40"/>
          <w:vertAlign w:val="baseline"/>
        </w:rPr>
        <w:t> </w:t>
      </w:r>
      <w:r>
        <w:rPr>
          <w:vertAlign w:val="baseline"/>
        </w:rPr>
        <w:t>assumption</w:t>
      </w:r>
      <w:r>
        <w:rPr>
          <w:spacing w:val="40"/>
          <w:vertAlign w:val="baseline"/>
        </w:rPr>
        <w:t> </w:t>
      </w:r>
      <w:r>
        <w:rPr>
          <w:vertAlign w:val="baseline"/>
        </w:rPr>
        <w:t>of</w:t>
      </w:r>
      <w:r>
        <w:rPr>
          <w:spacing w:val="40"/>
          <w:vertAlign w:val="baseline"/>
        </w:rPr>
        <w:t> </w:t>
      </w:r>
      <w:r>
        <w:rPr>
          <w:vertAlign w:val="baseline"/>
        </w:rPr>
        <w:t>responsibility.</w:t>
      </w:r>
      <w:r>
        <w:rPr>
          <w:spacing w:val="40"/>
          <w:vertAlign w:val="baseline"/>
        </w:rPr>
        <w:t> </w:t>
      </w:r>
      <w:r>
        <w:rPr>
          <w:vertAlign w:val="baseline"/>
        </w:rPr>
        <w:t>See</w:t>
      </w:r>
      <w:r>
        <w:rPr>
          <w:spacing w:val="40"/>
          <w:vertAlign w:val="baseline"/>
        </w:rPr>
        <w:t> </w:t>
      </w:r>
      <w:r>
        <w:rPr>
          <w:vertAlign w:val="baseline"/>
        </w:rPr>
        <w:t>also</w:t>
      </w:r>
      <w:r>
        <w:rPr>
          <w:spacing w:val="40"/>
          <w:vertAlign w:val="baseline"/>
        </w:rPr>
        <w:t> </w:t>
      </w:r>
      <w:r>
        <w:rPr>
          <w:vertAlign w:val="baseline"/>
        </w:rPr>
        <w:t>Vol.I,</w:t>
      </w:r>
      <w:r>
        <w:rPr>
          <w:spacing w:val="40"/>
          <w:vertAlign w:val="baseline"/>
        </w:rPr>
        <w:t> </w:t>
      </w:r>
      <w:r>
        <w:rPr>
          <w:vertAlign w:val="baseline"/>
        </w:rPr>
        <w:t>paras</w:t>
      </w:r>
      <w:r>
        <w:rPr>
          <w:spacing w:val="40"/>
          <w:vertAlign w:val="baseline"/>
        </w:rPr>
        <w:t> </w:t>
      </w:r>
      <w:r>
        <w:rPr>
          <w:vertAlign w:val="baseline"/>
        </w:rPr>
        <w:t>1-169—1-172 on assumption of responsibility under </w:t>
      </w:r>
      <w:r>
        <w:rPr>
          <w:rFonts w:ascii="Arial" w:hAnsi="Arial"/>
          <w:i/>
          <w:vertAlign w:val="baseline"/>
        </w:rPr>
        <w:t>Hedley Byrne </w:t>
      </w:r>
      <w:r>
        <w:rPr>
          <w:vertAlign w:val="baseline"/>
        </w:rPr>
        <w:t>more generally.</w:t>
      </w:r>
    </w:p>
    <w:p>
      <w:pPr>
        <w:pStyle w:val="BodyText"/>
        <w:spacing w:before="128"/>
      </w:pPr>
    </w:p>
    <w:p>
      <w:pPr>
        <w:spacing w:line="235" w:lineRule="auto" w:before="0"/>
        <w:ind w:left="705" w:right="167" w:hanging="541"/>
        <w:jc w:val="both"/>
        <w:rPr>
          <w:sz w:val="20"/>
        </w:rPr>
      </w:pPr>
      <w:bookmarkStart w:name="_bookmark2066" w:id="2068"/>
      <w:bookmarkEnd w:id="2068"/>
      <w:r>
        <w:rPr/>
      </w:r>
      <w:hyperlink w:history="true" w:anchor="_bookmark1928">
        <w:r>
          <w:rPr>
            <w:color w:val="005DA1"/>
            <w:sz w:val="20"/>
            <w:u w:val="single" w:color="005DA1"/>
            <w:vertAlign w:val="superscript"/>
          </w:rPr>
          <w:t>1383</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547" name="Image 547"/>
            <wp:cNvGraphicFramePr>
              <a:graphicFrameLocks/>
            </wp:cNvGraphicFramePr>
            <a:graphic>
              <a:graphicData uri="http://schemas.openxmlformats.org/drawingml/2006/picture">
                <pic:pic>
                  <pic:nvPicPr>
                    <pic:cNvPr id="547" name="Image 54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Peel, </w:t>
      </w:r>
      <w:r>
        <w:rPr>
          <w:rFonts w:ascii="Arial" w:hAnsi="Arial"/>
          <w:i/>
          <w:sz w:val="20"/>
          <w:vertAlign w:val="baseline"/>
        </w:rPr>
        <w:t>Treitel on The Law of Contract</w:t>
      </w:r>
      <w:r>
        <w:rPr>
          <w:sz w:val="20"/>
          <w:vertAlign w:val="baseline"/>
        </w:rPr>
        <w:t>, 14th edn (2015) para.20–112 and see </w:t>
      </w:r>
      <w:r>
        <w:rPr>
          <w:sz w:val="20"/>
          <w:vertAlign w:val="baseline"/>
        </w:rPr>
        <w:t>similarly</w:t>
      </w:r>
      <w:r>
        <w:rPr>
          <w:spacing w:val="80"/>
          <w:sz w:val="20"/>
          <w:vertAlign w:val="baseline"/>
        </w:rPr>
        <w:t> </w:t>
      </w:r>
      <w:r>
        <w:rPr>
          <w:sz w:val="20"/>
          <w:vertAlign w:val="baseline"/>
        </w:rPr>
        <w:t>McGregor on Damages 19th edn (2014) para.22–009.</w:t>
      </w:r>
    </w:p>
    <w:p>
      <w:pPr>
        <w:pStyle w:val="BodyText"/>
        <w:spacing w:before="126"/>
      </w:pPr>
    </w:p>
    <w:p>
      <w:pPr>
        <w:spacing w:before="0"/>
        <w:ind w:left="165" w:right="0" w:firstLine="0"/>
        <w:jc w:val="left"/>
        <w:rPr>
          <w:sz w:val="20"/>
        </w:rPr>
      </w:pPr>
      <w:bookmarkStart w:name="_bookmark2067" w:id="2069"/>
      <w:bookmarkEnd w:id="2069"/>
      <w:r>
        <w:rPr/>
      </w:r>
      <w:hyperlink w:history="true" w:anchor="_bookmark1929">
        <w:r>
          <w:rPr>
            <w:color w:val="005DA1"/>
            <w:sz w:val="20"/>
            <w:u w:val="single" w:color="005DA1"/>
            <w:vertAlign w:val="superscript"/>
          </w:rPr>
          <w:t>1384</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548" name="Image 548"/>
            <wp:cNvGraphicFramePr>
              <a:graphicFrameLocks/>
            </wp:cNvGraphicFramePr>
            <a:graphic>
              <a:graphicData uri="http://schemas.openxmlformats.org/drawingml/2006/picture">
                <pic:pic>
                  <pic:nvPicPr>
                    <pic:cNvPr id="548" name="Image 54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2"/>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1308,</w:t>
      </w:r>
      <w:r>
        <w:rPr>
          <w:rFonts w:ascii="Arial"/>
          <w:i/>
          <w:spacing w:val="2"/>
          <w:sz w:val="20"/>
          <w:vertAlign w:val="baseline"/>
        </w:rPr>
        <w:t> </w:t>
      </w:r>
      <w:r>
        <w:rPr>
          <w:rFonts w:ascii="Arial"/>
          <w:i/>
          <w:sz w:val="20"/>
          <w:vertAlign w:val="baseline"/>
        </w:rPr>
        <w:t>[2017]</w:t>
      </w:r>
      <w:r>
        <w:rPr>
          <w:rFonts w:ascii="Arial"/>
          <w:i/>
          <w:spacing w:val="2"/>
          <w:sz w:val="20"/>
          <w:vertAlign w:val="baseline"/>
        </w:rPr>
        <w:t> </w:t>
      </w:r>
      <w:r>
        <w:rPr>
          <w:rFonts w:ascii="Arial"/>
          <w:i/>
          <w:sz w:val="20"/>
          <w:vertAlign w:val="baseline"/>
        </w:rPr>
        <w:t>P.N.L.R.</w:t>
      </w:r>
      <w:r>
        <w:rPr>
          <w:rFonts w:ascii="Arial"/>
          <w:i/>
          <w:spacing w:val="3"/>
          <w:sz w:val="20"/>
          <w:vertAlign w:val="baseline"/>
        </w:rPr>
        <w:t> </w:t>
      </w:r>
      <w:r>
        <w:rPr>
          <w:rFonts w:ascii="Arial"/>
          <w:i/>
          <w:spacing w:val="-5"/>
          <w:sz w:val="20"/>
          <w:vertAlign w:val="baseline"/>
        </w:rPr>
        <w:t>16</w:t>
      </w:r>
      <w:r>
        <w:rPr>
          <w:spacing w:val="-5"/>
          <w:sz w:val="20"/>
          <w:vertAlign w:val="baseline"/>
        </w:rPr>
        <w:t>.</w:t>
      </w:r>
    </w:p>
    <w:p>
      <w:pPr>
        <w:pStyle w:val="BodyText"/>
        <w:spacing w:before="125"/>
      </w:pPr>
    </w:p>
    <w:p>
      <w:pPr>
        <w:spacing w:before="0"/>
        <w:ind w:left="165" w:right="0" w:firstLine="0"/>
        <w:jc w:val="left"/>
        <w:rPr>
          <w:sz w:val="20"/>
        </w:rPr>
      </w:pPr>
      <w:bookmarkStart w:name="_bookmark2068" w:id="2070"/>
      <w:bookmarkEnd w:id="2070"/>
      <w:r>
        <w:rPr/>
      </w:r>
      <w:hyperlink w:history="true" w:anchor="_bookmark1930">
        <w:r>
          <w:rPr>
            <w:color w:val="005DA1"/>
            <w:sz w:val="20"/>
            <w:u w:val="single" w:color="005DA1"/>
            <w:vertAlign w:val="superscript"/>
          </w:rPr>
          <w:t>1385</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549" name="Image 549"/>
            <wp:cNvGraphicFramePr>
              <a:graphicFrameLocks/>
            </wp:cNvGraphicFramePr>
            <a:graphic>
              <a:graphicData uri="http://schemas.openxmlformats.org/drawingml/2006/picture">
                <pic:pic>
                  <pic:nvPicPr>
                    <pic:cNvPr id="549" name="Image 54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2"/>
          <w:sz w:val="20"/>
          <w:vertAlign w:val="baseline"/>
        </w:rPr>
        <w:t> </w:t>
      </w:r>
      <w:r>
        <w:rPr>
          <w:rFonts w:ascii="Arial"/>
          <w:i/>
          <w:sz w:val="20"/>
          <w:vertAlign w:val="baseline"/>
        </w:rPr>
        <w:t>EWCA</w:t>
      </w:r>
      <w:r>
        <w:rPr>
          <w:rFonts w:ascii="Arial"/>
          <w:i/>
          <w:spacing w:val="1"/>
          <w:sz w:val="20"/>
          <w:vertAlign w:val="baseline"/>
        </w:rPr>
        <w:t> </w:t>
      </w:r>
      <w:r>
        <w:rPr>
          <w:rFonts w:ascii="Arial"/>
          <w:i/>
          <w:sz w:val="20"/>
          <w:vertAlign w:val="baseline"/>
        </w:rPr>
        <w:t>Civ</w:t>
      </w:r>
      <w:r>
        <w:rPr>
          <w:rFonts w:ascii="Arial"/>
          <w:i/>
          <w:spacing w:val="1"/>
          <w:sz w:val="20"/>
          <w:vertAlign w:val="baseline"/>
        </w:rPr>
        <w:t> </w:t>
      </w:r>
      <w:r>
        <w:rPr>
          <w:rFonts w:ascii="Arial"/>
          <w:i/>
          <w:sz w:val="20"/>
          <w:vertAlign w:val="baseline"/>
        </w:rPr>
        <w:t>1308</w:t>
      </w:r>
      <w:r>
        <w:rPr>
          <w:rFonts w:ascii="Arial"/>
          <w:i/>
          <w:spacing w:val="1"/>
          <w:sz w:val="20"/>
          <w:vertAlign w:val="baseline"/>
        </w:rPr>
        <w:t> </w:t>
      </w:r>
      <w:r>
        <w:rPr>
          <w:sz w:val="20"/>
          <w:vertAlign w:val="baseline"/>
        </w:rPr>
        <w:t>at</w:t>
      </w:r>
      <w:r>
        <w:rPr>
          <w:spacing w:val="1"/>
          <w:sz w:val="20"/>
          <w:vertAlign w:val="baseline"/>
        </w:rPr>
        <w:t> </w:t>
      </w:r>
      <w:r>
        <w:rPr>
          <w:sz w:val="20"/>
          <w:vertAlign w:val="baseline"/>
        </w:rPr>
        <w:t>[60]</w:t>
      </w:r>
      <w:r>
        <w:rPr>
          <w:spacing w:val="1"/>
          <w:sz w:val="20"/>
          <w:vertAlign w:val="baseline"/>
        </w:rPr>
        <w:t> </w:t>
      </w:r>
      <w:r>
        <w:rPr>
          <w:sz w:val="20"/>
          <w:vertAlign w:val="baseline"/>
        </w:rPr>
        <w:t>per</w:t>
      </w:r>
      <w:r>
        <w:rPr>
          <w:spacing w:val="2"/>
          <w:sz w:val="20"/>
          <w:vertAlign w:val="baseline"/>
        </w:rPr>
        <w:t> </w:t>
      </w:r>
      <w:r>
        <w:rPr>
          <w:sz w:val="20"/>
          <w:vertAlign w:val="baseline"/>
        </w:rPr>
        <w:t>Jackson</w:t>
      </w:r>
      <w:r>
        <w:rPr>
          <w:spacing w:val="1"/>
          <w:sz w:val="20"/>
          <w:vertAlign w:val="baseline"/>
        </w:rPr>
        <w:t> </w:t>
      </w:r>
      <w:r>
        <w:rPr>
          <w:sz w:val="20"/>
          <w:vertAlign w:val="baseline"/>
        </w:rPr>
        <w:t>L.J.</w:t>
      </w:r>
      <w:r>
        <w:rPr>
          <w:spacing w:val="1"/>
          <w:sz w:val="20"/>
          <w:vertAlign w:val="baseline"/>
        </w:rPr>
        <w:t> </w:t>
      </w:r>
      <w:r>
        <w:rPr>
          <w:sz w:val="20"/>
          <w:vertAlign w:val="baseline"/>
        </w:rPr>
        <w:t>(with</w:t>
      </w:r>
      <w:r>
        <w:rPr>
          <w:spacing w:val="2"/>
          <w:sz w:val="20"/>
          <w:vertAlign w:val="baseline"/>
        </w:rPr>
        <w:t> </w:t>
      </w:r>
      <w:r>
        <w:rPr>
          <w:sz w:val="20"/>
          <w:vertAlign w:val="baseline"/>
        </w:rPr>
        <w:t>whom</w:t>
      </w:r>
      <w:r>
        <w:rPr>
          <w:spacing w:val="1"/>
          <w:sz w:val="20"/>
          <w:vertAlign w:val="baseline"/>
        </w:rPr>
        <w:t> </w:t>
      </w:r>
      <w:r>
        <w:rPr>
          <w:sz w:val="20"/>
          <w:vertAlign w:val="baseline"/>
        </w:rPr>
        <w:t>Patten</w:t>
      </w:r>
      <w:r>
        <w:rPr>
          <w:spacing w:val="1"/>
          <w:sz w:val="20"/>
          <w:vertAlign w:val="baseline"/>
        </w:rPr>
        <w:t> </w:t>
      </w:r>
      <w:r>
        <w:rPr>
          <w:sz w:val="20"/>
          <w:vertAlign w:val="baseline"/>
        </w:rPr>
        <w:t>L.J.</w:t>
      </w:r>
      <w:r>
        <w:rPr>
          <w:spacing w:val="2"/>
          <w:sz w:val="20"/>
          <w:vertAlign w:val="baseline"/>
        </w:rPr>
        <w:t> </w:t>
      </w:r>
      <w:r>
        <w:rPr>
          <w:spacing w:val="-2"/>
          <w:sz w:val="20"/>
          <w:vertAlign w:val="baseline"/>
        </w:rPr>
        <w:t>agreed).</w:t>
      </w:r>
    </w:p>
    <w:p>
      <w:pPr>
        <w:pStyle w:val="BodyText"/>
        <w:spacing w:before="125"/>
      </w:pPr>
    </w:p>
    <w:p>
      <w:pPr>
        <w:spacing w:before="0"/>
        <w:ind w:left="165" w:right="0" w:firstLine="0"/>
        <w:jc w:val="left"/>
        <w:rPr>
          <w:sz w:val="20"/>
        </w:rPr>
      </w:pPr>
      <w:bookmarkStart w:name="_bookmark2069" w:id="2071"/>
      <w:bookmarkEnd w:id="2071"/>
      <w:r>
        <w:rPr/>
      </w:r>
      <w:hyperlink w:history="true" w:anchor="_bookmark1931">
        <w:r>
          <w:rPr>
            <w:color w:val="005DA1"/>
            <w:sz w:val="20"/>
            <w:u w:val="single" w:color="005DA1"/>
            <w:vertAlign w:val="superscript"/>
          </w:rPr>
          <w:t>1386</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550" name="Image 550"/>
            <wp:cNvGraphicFramePr>
              <a:graphicFrameLocks/>
            </wp:cNvGraphicFramePr>
            <a:graphic>
              <a:graphicData uri="http://schemas.openxmlformats.org/drawingml/2006/picture">
                <pic:pic>
                  <pic:nvPicPr>
                    <pic:cNvPr id="550" name="Image 55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[2014]</w:t>
      </w:r>
      <w:r>
        <w:rPr>
          <w:rFonts w:ascii="Arial"/>
          <w:i/>
          <w:spacing w:val="2"/>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1"/>
          <w:sz w:val="20"/>
          <w:vertAlign w:val="baseline"/>
        </w:rPr>
        <w:t> </w:t>
      </w:r>
      <w:r>
        <w:rPr>
          <w:rFonts w:ascii="Arial"/>
          <w:i/>
          <w:sz w:val="20"/>
          <w:vertAlign w:val="baseline"/>
        </w:rPr>
        <w:t>1512,</w:t>
      </w:r>
      <w:r>
        <w:rPr>
          <w:rFonts w:ascii="Arial"/>
          <w:i/>
          <w:spacing w:val="1"/>
          <w:sz w:val="20"/>
          <w:vertAlign w:val="baseline"/>
        </w:rPr>
        <w:t> </w:t>
      </w:r>
      <w:r>
        <w:rPr>
          <w:rFonts w:ascii="Arial"/>
          <w:i/>
          <w:sz w:val="20"/>
          <w:vertAlign w:val="baseline"/>
        </w:rPr>
        <w:t>[2015]</w:t>
      </w:r>
      <w:r>
        <w:rPr>
          <w:rFonts w:ascii="Arial"/>
          <w:i/>
          <w:spacing w:val="2"/>
          <w:sz w:val="20"/>
          <w:vertAlign w:val="baseline"/>
        </w:rPr>
        <w:t> </w:t>
      </w:r>
      <w:r>
        <w:rPr>
          <w:rFonts w:ascii="Arial"/>
          <w:i/>
          <w:sz w:val="20"/>
          <w:vertAlign w:val="baseline"/>
        </w:rPr>
        <w:t>I.R.L.R.</w:t>
      </w:r>
      <w:r>
        <w:rPr>
          <w:rFonts w:ascii="Arial"/>
          <w:i/>
          <w:spacing w:val="1"/>
          <w:sz w:val="20"/>
          <w:vertAlign w:val="baseline"/>
        </w:rPr>
        <w:t> </w:t>
      </w:r>
      <w:r>
        <w:rPr>
          <w:rFonts w:ascii="Arial"/>
          <w:i/>
          <w:sz w:val="20"/>
          <w:vertAlign w:val="baseline"/>
        </w:rPr>
        <w:t>112</w:t>
      </w:r>
      <w:r>
        <w:rPr>
          <w:rFonts w:ascii="Arial"/>
          <w:i/>
          <w:spacing w:val="1"/>
          <w:sz w:val="20"/>
          <w:vertAlign w:val="baseline"/>
        </w:rPr>
        <w:t> </w:t>
      </w:r>
      <w:r>
        <w:rPr>
          <w:sz w:val="20"/>
          <w:vertAlign w:val="baseline"/>
        </w:rPr>
        <w:t>and</w:t>
      </w:r>
      <w:r>
        <w:rPr>
          <w:spacing w:val="1"/>
          <w:sz w:val="20"/>
          <w:vertAlign w:val="baseline"/>
        </w:rPr>
        <w:t> </w:t>
      </w:r>
      <w:r>
        <w:rPr>
          <w:sz w:val="20"/>
          <w:vertAlign w:val="baseline"/>
        </w:rPr>
        <w:t>see</w:t>
      </w:r>
      <w:r>
        <w:rPr>
          <w:spacing w:val="1"/>
          <w:sz w:val="20"/>
          <w:vertAlign w:val="baseline"/>
        </w:rPr>
        <w:t> </w:t>
      </w:r>
      <w:r>
        <w:rPr>
          <w:sz w:val="20"/>
          <w:vertAlign w:val="baseline"/>
        </w:rPr>
        <w:t>Main</w:t>
      </w:r>
      <w:r>
        <w:rPr>
          <w:spacing w:val="2"/>
          <w:sz w:val="20"/>
          <w:vertAlign w:val="baseline"/>
        </w:rPr>
        <w:t> </w:t>
      </w:r>
      <w:r>
        <w:rPr>
          <w:sz w:val="20"/>
          <w:vertAlign w:val="baseline"/>
        </w:rPr>
        <w:t>Work,</w:t>
      </w:r>
      <w:r>
        <w:rPr>
          <w:spacing w:val="1"/>
          <w:sz w:val="20"/>
          <w:vertAlign w:val="baseline"/>
        </w:rPr>
        <w:t> </w:t>
      </w:r>
      <w:r>
        <w:rPr>
          <w:sz w:val="20"/>
          <w:vertAlign w:val="baseline"/>
        </w:rPr>
        <w:t>Vol.I,</w:t>
      </w:r>
      <w:r>
        <w:rPr>
          <w:spacing w:val="2"/>
          <w:sz w:val="20"/>
          <w:vertAlign w:val="baseline"/>
        </w:rPr>
        <w:t> </w:t>
      </w:r>
      <w:r>
        <w:rPr>
          <w:sz w:val="20"/>
          <w:vertAlign w:val="baseline"/>
        </w:rPr>
        <w:t>para.1-</w:t>
      </w:r>
      <w:r>
        <w:rPr>
          <w:spacing w:val="-4"/>
          <w:sz w:val="20"/>
          <w:vertAlign w:val="baseline"/>
        </w:rPr>
        <w:t>196.</w:t>
      </w:r>
    </w:p>
    <w:p>
      <w:pPr>
        <w:pStyle w:val="BodyText"/>
        <w:spacing w:before="129"/>
      </w:pPr>
    </w:p>
    <w:p>
      <w:pPr>
        <w:spacing w:line="235" w:lineRule="auto" w:before="0"/>
        <w:ind w:left="705" w:right="167" w:hanging="541"/>
        <w:jc w:val="both"/>
        <w:rPr>
          <w:sz w:val="20"/>
        </w:rPr>
      </w:pPr>
      <w:bookmarkStart w:name="_bookmark2070" w:id="2072"/>
      <w:bookmarkEnd w:id="2072"/>
      <w:r>
        <w:rPr/>
      </w:r>
      <w:hyperlink w:history="true" w:anchor="_bookmark1932">
        <w:r>
          <w:rPr>
            <w:color w:val="005DA1"/>
            <w:sz w:val="20"/>
            <w:u w:val="single" w:color="005DA1"/>
            <w:vertAlign w:val="superscript"/>
          </w:rPr>
          <w:t>1387</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551" name="Image 551"/>
            <wp:cNvGraphicFramePr>
              <a:graphicFrameLocks/>
            </wp:cNvGraphicFramePr>
            <a:graphic>
              <a:graphicData uri="http://schemas.openxmlformats.org/drawingml/2006/picture">
                <pic:pic>
                  <pic:nvPicPr>
                    <pic:cNvPr id="551" name="Image 55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[2016] EWCA Civ 1308 </w:t>
      </w:r>
      <w:r>
        <w:rPr>
          <w:sz w:val="20"/>
          <w:vertAlign w:val="baseline"/>
        </w:rPr>
        <w:t>at [65] and [66]. The CA further held that this loss was outside the scope of the solicitor’s duty to advise about the possibility of including an exclusive jurisdiction clause: at [73]–[74]. On the importance of scope of duty in relation to a solicitor’s liability for negligence see </w:t>
      </w:r>
      <w:r>
        <w:rPr>
          <w:rFonts w:ascii="Arial" w:hAnsi="Arial"/>
          <w:i/>
          <w:sz w:val="20"/>
          <w:vertAlign w:val="baseline"/>
        </w:rPr>
        <w:t>Hughes-Holland v BPE Solicitors [2017] UKSC 21, [2017] 2 W.L.R. 1029</w:t>
      </w:r>
      <w:r>
        <w:rPr>
          <w:sz w:val="20"/>
          <w:vertAlign w:val="baseline"/>
        </w:rPr>
        <w:t>.</w:t>
      </w:r>
    </w:p>
    <w:p>
      <w:pPr>
        <w:pStyle w:val="BodyText"/>
        <w:spacing w:before="124"/>
      </w:pPr>
    </w:p>
    <w:p>
      <w:pPr>
        <w:spacing w:before="1"/>
        <w:ind w:left="165" w:right="0" w:firstLine="0"/>
        <w:jc w:val="left"/>
        <w:rPr>
          <w:sz w:val="20"/>
        </w:rPr>
      </w:pPr>
      <w:bookmarkStart w:name="_bookmark2071" w:id="2073"/>
      <w:bookmarkEnd w:id="2073"/>
      <w:r>
        <w:rPr/>
      </w:r>
      <w:hyperlink w:history="true" w:anchor="_bookmark1933">
        <w:r>
          <w:rPr>
            <w:color w:val="005DA1"/>
            <w:sz w:val="20"/>
            <w:u w:val="single" w:color="005DA1"/>
            <w:vertAlign w:val="superscript"/>
          </w:rPr>
          <w:t>1388</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552" name="Image 552"/>
            <wp:cNvGraphicFramePr>
              <a:graphicFrameLocks/>
            </wp:cNvGraphicFramePr>
            <a:graphic>
              <a:graphicData uri="http://schemas.openxmlformats.org/drawingml/2006/picture">
                <pic:pic>
                  <pic:nvPicPr>
                    <pic:cNvPr id="552" name="Image 55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2"/>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2"/>
          <w:sz w:val="20"/>
          <w:vertAlign w:val="baseline"/>
        </w:rPr>
        <w:t> </w:t>
      </w:r>
      <w:r>
        <w:rPr>
          <w:rFonts w:ascii="Arial"/>
          <w:i/>
          <w:sz w:val="20"/>
          <w:vertAlign w:val="baseline"/>
        </w:rPr>
        <w:t>1308</w:t>
      </w:r>
      <w:r>
        <w:rPr>
          <w:rFonts w:ascii="Arial"/>
          <w:i/>
          <w:spacing w:val="1"/>
          <w:sz w:val="20"/>
          <w:vertAlign w:val="baseline"/>
        </w:rPr>
        <w:t> </w:t>
      </w:r>
      <w:r>
        <w:rPr>
          <w:sz w:val="20"/>
          <w:vertAlign w:val="baseline"/>
        </w:rPr>
        <w:t>at</w:t>
      </w:r>
      <w:r>
        <w:rPr>
          <w:spacing w:val="2"/>
          <w:sz w:val="20"/>
          <w:vertAlign w:val="baseline"/>
        </w:rPr>
        <w:t> </w:t>
      </w:r>
      <w:r>
        <w:rPr>
          <w:sz w:val="20"/>
          <w:vertAlign w:val="baseline"/>
        </w:rPr>
        <w:t>[63]</w:t>
      </w:r>
      <w:r>
        <w:rPr>
          <w:spacing w:val="2"/>
          <w:sz w:val="20"/>
          <w:vertAlign w:val="baseline"/>
        </w:rPr>
        <w:t> </w:t>
      </w:r>
      <w:r>
        <w:rPr>
          <w:sz w:val="20"/>
          <w:vertAlign w:val="baseline"/>
        </w:rPr>
        <w:t>per</w:t>
      </w:r>
      <w:r>
        <w:rPr>
          <w:spacing w:val="2"/>
          <w:sz w:val="20"/>
          <w:vertAlign w:val="baseline"/>
        </w:rPr>
        <w:t> </w:t>
      </w:r>
      <w:r>
        <w:rPr>
          <w:sz w:val="20"/>
          <w:vertAlign w:val="baseline"/>
        </w:rPr>
        <w:t>Jackson</w:t>
      </w:r>
      <w:r>
        <w:rPr>
          <w:spacing w:val="2"/>
          <w:sz w:val="20"/>
          <w:vertAlign w:val="baseline"/>
        </w:rPr>
        <w:t> </w:t>
      </w:r>
      <w:r>
        <w:rPr>
          <w:spacing w:val="-4"/>
          <w:sz w:val="20"/>
          <w:vertAlign w:val="baseline"/>
        </w:rPr>
        <w:t>L.J.</w:t>
      </w:r>
    </w:p>
    <w:p>
      <w:pPr>
        <w:pStyle w:val="BodyText"/>
        <w:spacing w:before="1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344" w:hRule="atLeast"/>
        </w:trPr>
        <w:tc>
          <w:tcPr>
            <w:tcW w:w="496" w:type="dxa"/>
          </w:tcPr>
          <w:p>
            <w:pPr>
              <w:pStyle w:val="TableParagraph"/>
              <w:spacing w:before="0"/>
              <w:ind w:left="0" w:right="43"/>
              <w:rPr>
                <w:sz w:val="14"/>
              </w:rPr>
            </w:pPr>
            <w:bookmarkStart w:name="_bookmark2072" w:id="2074"/>
            <w:bookmarkEnd w:id="2074"/>
            <w:r>
              <w:rPr/>
            </w:r>
            <w:hyperlink w:history="true" w:anchor="_bookmark1934">
              <w:r>
                <w:rPr>
                  <w:color w:val="005DA1"/>
                  <w:spacing w:val="-2"/>
                  <w:sz w:val="14"/>
                  <w:u w:val="single" w:color="005DA1"/>
                </w:rPr>
                <w:t>1389</w:t>
              </w:r>
            </w:hyperlink>
            <w:r>
              <w:rPr>
                <w:spacing w:val="-2"/>
                <w:sz w:val="14"/>
              </w:rPr>
              <w:t>.</w:t>
            </w:r>
          </w:p>
        </w:tc>
        <w:tc>
          <w:tcPr>
            <w:tcW w:w="8621" w:type="dxa"/>
          </w:tcPr>
          <w:p>
            <w:pPr>
              <w:pStyle w:val="TableParagraph"/>
              <w:spacing w:line="223" w:lineRule="exact" w:before="0"/>
              <w:jc w:val="left"/>
              <w:rPr>
                <w:sz w:val="20"/>
              </w:rPr>
            </w:pPr>
            <w:r>
              <w:rPr>
                <w:rFonts w:ascii="Arial"/>
                <w:i/>
                <w:sz w:val="20"/>
              </w:rPr>
              <w:t>The Wagon Mound (No.1) [1961] A.C. </w:t>
            </w:r>
            <w:r>
              <w:rPr>
                <w:rFonts w:ascii="Arial"/>
                <w:i/>
                <w:spacing w:val="-4"/>
                <w:sz w:val="20"/>
              </w:rPr>
              <w:t>388</w:t>
            </w:r>
            <w:r>
              <w:rPr>
                <w:spacing w:val="-4"/>
                <w:sz w:val="20"/>
              </w:rPr>
              <w:t>.</w:t>
            </w:r>
          </w:p>
        </w:tc>
      </w:tr>
      <w:tr>
        <w:trPr>
          <w:trHeight w:val="465" w:hRule="atLeast"/>
        </w:trPr>
        <w:tc>
          <w:tcPr>
            <w:tcW w:w="496" w:type="dxa"/>
          </w:tcPr>
          <w:p>
            <w:pPr>
              <w:pStyle w:val="TableParagraph"/>
              <w:ind w:left="0" w:right="43"/>
              <w:rPr>
                <w:sz w:val="14"/>
              </w:rPr>
            </w:pPr>
            <w:bookmarkStart w:name="_bookmark2073" w:id="2075"/>
            <w:bookmarkEnd w:id="2075"/>
            <w:r>
              <w:rPr/>
            </w:r>
            <w:hyperlink w:history="true" w:anchor="_bookmark1935">
              <w:r>
                <w:rPr>
                  <w:color w:val="005DA1"/>
                  <w:spacing w:val="-2"/>
                  <w:sz w:val="14"/>
                  <w:u w:val="single" w:color="005DA1"/>
                </w:rPr>
                <w:t>1390</w:t>
              </w:r>
            </w:hyperlink>
            <w:r>
              <w:rPr>
                <w:spacing w:val="-2"/>
                <w:sz w:val="14"/>
              </w:rPr>
              <w:t>.</w:t>
            </w:r>
          </w:p>
        </w:tc>
        <w:tc>
          <w:tcPr>
            <w:tcW w:w="8621" w:type="dxa"/>
          </w:tcPr>
          <w:p>
            <w:pPr>
              <w:pStyle w:val="TableParagraph"/>
              <w:spacing w:before="114"/>
              <w:jc w:val="left"/>
              <w:rPr>
                <w:sz w:val="20"/>
              </w:rPr>
            </w:pPr>
            <w:r>
              <w:rPr>
                <w:rFonts w:ascii="Arial"/>
                <w:i/>
                <w:sz w:val="20"/>
              </w:rPr>
              <w:t>Doyle v Olby (Ironmongers) Ltd [1969] 2 Q.B. </w:t>
            </w:r>
            <w:r>
              <w:rPr>
                <w:rFonts w:ascii="Arial"/>
                <w:i/>
                <w:spacing w:val="-4"/>
                <w:sz w:val="20"/>
              </w:rPr>
              <w:t>158</w:t>
            </w:r>
            <w:r>
              <w:rPr>
                <w:spacing w:val="-4"/>
                <w:sz w:val="20"/>
              </w:rPr>
              <w:t>.</w:t>
            </w:r>
          </w:p>
        </w:tc>
      </w:tr>
      <w:tr>
        <w:trPr>
          <w:trHeight w:val="465" w:hRule="atLeast"/>
        </w:trPr>
        <w:tc>
          <w:tcPr>
            <w:tcW w:w="496" w:type="dxa"/>
          </w:tcPr>
          <w:p>
            <w:pPr>
              <w:pStyle w:val="TableParagraph"/>
              <w:ind w:left="0" w:right="43"/>
              <w:rPr>
                <w:sz w:val="14"/>
              </w:rPr>
            </w:pPr>
            <w:bookmarkStart w:name="_bookmark2074" w:id="2076"/>
            <w:bookmarkEnd w:id="2076"/>
            <w:r>
              <w:rPr/>
            </w:r>
            <w:hyperlink w:history="true" w:anchor="_bookmark1936">
              <w:r>
                <w:rPr>
                  <w:color w:val="005DA1"/>
                  <w:spacing w:val="-2"/>
                  <w:sz w:val="14"/>
                  <w:u w:val="single" w:color="005DA1"/>
                </w:rPr>
                <w:t>1391</w:t>
              </w:r>
            </w:hyperlink>
            <w:r>
              <w:rPr>
                <w:spacing w:val="-2"/>
                <w:sz w:val="14"/>
              </w:rPr>
              <w:t>.</w:t>
            </w:r>
          </w:p>
        </w:tc>
        <w:tc>
          <w:tcPr>
            <w:tcW w:w="8621" w:type="dxa"/>
          </w:tcPr>
          <w:p>
            <w:pPr>
              <w:pStyle w:val="TableParagraph"/>
              <w:spacing w:before="114"/>
              <w:jc w:val="left"/>
              <w:rPr>
                <w:sz w:val="20"/>
              </w:rPr>
            </w:pPr>
            <w:r>
              <w:rPr>
                <w:rFonts w:ascii="Arial" w:hAnsi="Arial"/>
                <w:i/>
                <w:sz w:val="20"/>
              </w:rPr>
              <w:t>Royscott</w:t>
            </w:r>
            <w:r>
              <w:rPr>
                <w:rFonts w:ascii="Arial" w:hAnsi="Arial"/>
                <w:i/>
                <w:spacing w:val="-1"/>
                <w:sz w:val="20"/>
              </w:rPr>
              <w:t> </w:t>
            </w:r>
            <w:r>
              <w:rPr>
                <w:rFonts w:ascii="Arial" w:hAnsi="Arial"/>
                <w:i/>
                <w:sz w:val="20"/>
              </w:rPr>
              <w:t>Trust Ltd v Rogerson [1991] 2 Q.B. 297</w:t>
            </w:r>
            <w:r>
              <w:rPr>
                <w:sz w:val="20"/>
              </w:rPr>
              <w:t>; and see below, paras 7-077—7-</w:t>
            </w:r>
            <w:r>
              <w:rPr>
                <w:spacing w:val="-4"/>
                <w:sz w:val="20"/>
              </w:rPr>
              <w:t>078.</w:t>
            </w:r>
          </w:p>
        </w:tc>
      </w:tr>
      <w:tr>
        <w:trPr>
          <w:trHeight w:val="465" w:hRule="atLeast"/>
        </w:trPr>
        <w:tc>
          <w:tcPr>
            <w:tcW w:w="496" w:type="dxa"/>
          </w:tcPr>
          <w:p>
            <w:pPr>
              <w:pStyle w:val="TableParagraph"/>
              <w:ind w:left="0" w:right="43"/>
              <w:rPr>
                <w:sz w:val="14"/>
              </w:rPr>
            </w:pPr>
            <w:bookmarkStart w:name="_bookmark2075" w:id="2077"/>
            <w:bookmarkEnd w:id="2077"/>
            <w:r>
              <w:rPr/>
            </w:r>
            <w:hyperlink w:history="true" w:anchor="_bookmark1937">
              <w:r>
                <w:rPr>
                  <w:color w:val="005DA1"/>
                  <w:spacing w:val="-2"/>
                  <w:sz w:val="14"/>
                  <w:u w:val="single" w:color="005DA1"/>
                </w:rPr>
                <w:t>1392</w:t>
              </w:r>
            </w:hyperlink>
            <w:r>
              <w:rPr>
                <w:spacing w:val="-2"/>
                <w:sz w:val="14"/>
              </w:rPr>
              <w:t>.</w:t>
            </w:r>
          </w:p>
        </w:tc>
        <w:tc>
          <w:tcPr>
            <w:tcW w:w="8621" w:type="dxa"/>
          </w:tcPr>
          <w:p>
            <w:pPr>
              <w:pStyle w:val="TableParagraph"/>
              <w:spacing w:before="114"/>
              <w:jc w:val="left"/>
              <w:rPr>
                <w:sz w:val="20"/>
              </w:rPr>
            </w:pPr>
            <w:r>
              <w:rPr>
                <w:sz w:val="20"/>
              </w:rPr>
              <w:t>See above, para.1-</w:t>
            </w:r>
            <w:r>
              <w:rPr>
                <w:spacing w:val="-4"/>
                <w:sz w:val="20"/>
              </w:rPr>
              <w:t>161.</w:t>
            </w:r>
          </w:p>
        </w:tc>
      </w:tr>
      <w:tr>
        <w:trPr>
          <w:trHeight w:val="465" w:hRule="atLeast"/>
        </w:trPr>
        <w:tc>
          <w:tcPr>
            <w:tcW w:w="496" w:type="dxa"/>
          </w:tcPr>
          <w:p>
            <w:pPr>
              <w:pStyle w:val="TableParagraph"/>
              <w:ind w:left="0" w:right="43"/>
              <w:rPr>
                <w:sz w:val="14"/>
              </w:rPr>
            </w:pPr>
            <w:bookmarkStart w:name="_bookmark2076" w:id="2078"/>
            <w:bookmarkEnd w:id="2078"/>
            <w:r>
              <w:rPr/>
            </w:r>
            <w:hyperlink w:history="true" w:anchor="_bookmark1938">
              <w:r>
                <w:rPr>
                  <w:color w:val="005DA1"/>
                  <w:spacing w:val="-2"/>
                  <w:sz w:val="14"/>
                  <w:u w:val="single" w:color="005DA1"/>
                </w:rPr>
                <w:t>1393</w:t>
              </w:r>
            </w:hyperlink>
            <w:r>
              <w:rPr>
                <w:spacing w:val="-2"/>
                <w:sz w:val="14"/>
              </w:rPr>
              <w:t>.</w:t>
            </w:r>
          </w:p>
        </w:tc>
        <w:tc>
          <w:tcPr>
            <w:tcW w:w="8621" w:type="dxa"/>
          </w:tcPr>
          <w:p>
            <w:pPr>
              <w:pStyle w:val="TableParagraph"/>
              <w:spacing w:before="114"/>
              <w:jc w:val="left"/>
              <w:rPr>
                <w:sz w:val="20"/>
              </w:rPr>
            </w:pPr>
            <w:r>
              <w:rPr>
                <w:rFonts w:ascii="Arial"/>
                <w:i/>
                <w:sz w:val="20"/>
              </w:rPr>
              <w:t>Royscott Trust Ltd v Rogerson [1991] 2 Q.B. 297</w:t>
            </w:r>
            <w:r>
              <w:rPr>
                <w:rFonts w:ascii="Arial"/>
                <w:i/>
                <w:spacing w:val="-1"/>
                <w:sz w:val="20"/>
              </w:rPr>
              <w:t> </w:t>
            </w:r>
            <w:r>
              <w:rPr>
                <w:sz w:val="20"/>
              </w:rPr>
              <w:t>at 307, per Balcombe </w:t>
            </w:r>
            <w:r>
              <w:rPr>
                <w:spacing w:val="-4"/>
                <w:sz w:val="20"/>
              </w:rPr>
              <w:t>L.J.</w:t>
            </w:r>
          </w:p>
        </w:tc>
      </w:tr>
      <w:tr>
        <w:trPr>
          <w:trHeight w:val="915" w:hRule="atLeast"/>
        </w:trPr>
        <w:tc>
          <w:tcPr>
            <w:tcW w:w="496" w:type="dxa"/>
          </w:tcPr>
          <w:p>
            <w:pPr>
              <w:pStyle w:val="TableParagraph"/>
              <w:ind w:left="0" w:right="43"/>
              <w:rPr>
                <w:sz w:val="14"/>
              </w:rPr>
            </w:pPr>
            <w:bookmarkStart w:name="_bookmark2077" w:id="2079"/>
            <w:bookmarkEnd w:id="2079"/>
            <w:r>
              <w:rPr/>
            </w:r>
            <w:hyperlink w:history="true" w:anchor="_bookmark1939">
              <w:r>
                <w:rPr>
                  <w:color w:val="005DA1"/>
                  <w:spacing w:val="-2"/>
                  <w:sz w:val="14"/>
                  <w:u w:val="single" w:color="005DA1"/>
                </w:rPr>
                <w:t>1394</w:t>
              </w:r>
            </w:hyperlink>
            <w:r>
              <w:rPr>
                <w:spacing w:val="-2"/>
                <w:sz w:val="14"/>
              </w:rPr>
              <w:t>.</w:t>
            </w:r>
          </w:p>
        </w:tc>
        <w:tc>
          <w:tcPr>
            <w:tcW w:w="8621" w:type="dxa"/>
          </w:tcPr>
          <w:p>
            <w:pPr>
              <w:pStyle w:val="TableParagraph"/>
              <w:spacing w:line="235" w:lineRule="auto" w:before="118"/>
              <w:ind w:right="49"/>
              <w:jc w:val="both"/>
              <w:rPr>
                <w:sz w:val="20"/>
              </w:rPr>
            </w:pPr>
            <w:r>
              <w:rPr>
                <w:sz w:val="20"/>
              </w:rPr>
              <w:t>Consumer</w:t>
            </w:r>
            <w:r>
              <w:rPr>
                <w:spacing w:val="-3"/>
                <w:sz w:val="20"/>
              </w:rPr>
              <w:t> </w:t>
            </w:r>
            <w:r>
              <w:rPr>
                <w:sz w:val="20"/>
              </w:rPr>
              <w:t>Protection</w:t>
            </w:r>
            <w:r>
              <w:rPr>
                <w:spacing w:val="-3"/>
                <w:sz w:val="20"/>
              </w:rPr>
              <w:t> </w:t>
            </w:r>
            <w:r>
              <w:rPr>
                <w:sz w:val="20"/>
              </w:rPr>
              <w:t>from</w:t>
            </w:r>
            <w:r>
              <w:rPr>
                <w:spacing w:val="-3"/>
                <w:sz w:val="20"/>
              </w:rPr>
              <w:t> </w:t>
            </w:r>
            <w:r>
              <w:rPr>
                <w:sz w:val="20"/>
              </w:rPr>
              <w:t>Unfair</w:t>
            </w:r>
            <w:r>
              <w:rPr>
                <w:spacing w:val="-3"/>
                <w:sz w:val="20"/>
              </w:rPr>
              <w:t> </w:t>
            </w:r>
            <w:r>
              <w:rPr>
                <w:sz w:val="20"/>
              </w:rPr>
              <w:t>Trading</w:t>
            </w:r>
            <w:r>
              <w:rPr>
                <w:spacing w:val="-3"/>
                <w:sz w:val="20"/>
              </w:rPr>
              <w:t> </w:t>
            </w:r>
            <w:r>
              <w:rPr>
                <w:sz w:val="20"/>
              </w:rPr>
              <w:t>Regulations</w:t>
            </w:r>
            <w:r>
              <w:rPr>
                <w:spacing w:val="-3"/>
                <w:sz w:val="20"/>
              </w:rPr>
              <w:t> </w:t>
            </w:r>
            <w:r>
              <w:rPr>
                <w:sz w:val="20"/>
              </w:rPr>
              <w:t>2008</w:t>
            </w:r>
            <w:r>
              <w:rPr>
                <w:spacing w:val="-3"/>
                <w:sz w:val="20"/>
              </w:rPr>
              <w:t> </w:t>
            </w:r>
            <w:r>
              <w:rPr>
                <w:sz w:val="20"/>
              </w:rPr>
              <w:t>(SI</w:t>
            </w:r>
            <w:r>
              <w:rPr>
                <w:spacing w:val="-3"/>
                <w:sz w:val="20"/>
              </w:rPr>
              <w:t> </w:t>
            </w:r>
            <w:r>
              <w:rPr>
                <w:sz w:val="20"/>
              </w:rPr>
              <w:t>2008/1277)</w:t>
            </w:r>
            <w:r>
              <w:rPr>
                <w:spacing w:val="-3"/>
                <w:sz w:val="20"/>
              </w:rPr>
              <w:t> </w:t>
            </w:r>
            <w:r>
              <w:rPr>
                <w:sz w:val="20"/>
              </w:rPr>
              <w:t>(as</w:t>
            </w:r>
            <w:r>
              <w:rPr>
                <w:spacing w:val="-3"/>
                <w:sz w:val="20"/>
              </w:rPr>
              <w:t> </w:t>
            </w:r>
            <w:r>
              <w:rPr>
                <w:sz w:val="20"/>
              </w:rPr>
              <w:t>amended</w:t>
            </w:r>
            <w:r>
              <w:rPr>
                <w:spacing w:val="-3"/>
                <w:sz w:val="20"/>
              </w:rPr>
              <w:t> </w:t>
            </w:r>
            <w:r>
              <w:rPr>
                <w:sz w:val="20"/>
              </w:rPr>
              <w:t>by</w:t>
            </w:r>
            <w:r>
              <w:rPr>
                <w:spacing w:val="-3"/>
                <w:sz w:val="20"/>
              </w:rPr>
              <w:t> </w:t>
            </w:r>
            <w:r>
              <w:rPr>
                <w:sz w:val="20"/>
              </w:rPr>
              <w:t>the Consumer Protection (Amendment) Regulations 2014 (SI 2014/870) reg.27J(4) on which see Vol.II, para.38-185.</w:t>
            </w:r>
          </w:p>
        </w:tc>
      </w:tr>
      <w:tr>
        <w:trPr>
          <w:trHeight w:val="465" w:hRule="atLeast"/>
        </w:trPr>
        <w:tc>
          <w:tcPr>
            <w:tcW w:w="496" w:type="dxa"/>
          </w:tcPr>
          <w:p>
            <w:pPr>
              <w:pStyle w:val="TableParagraph"/>
              <w:ind w:left="0" w:right="43"/>
              <w:rPr>
                <w:sz w:val="14"/>
              </w:rPr>
            </w:pPr>
            <w:bookmarkStart w:name="_bookmark2078" w:id="2080"/>
            <w:bookmarkEnd w:id="2080"/>
            <w:r>
              <w:rPr/>
            </w:r>
            <w:hyperlink w:history="true" w:anchor="_bookmark1940">
              <w:r>
                <w:rPr>
                  <w:color w:val="005DA1"/>
                  <w:spacing w:val="-2"/>
                  <w:sz w:val="14"/>
                  <w:u w:val="single" w:color="005DA1"/>
                </w:rPr>
                <w:t>1395</w:t>
              </w:r>
            </w:hyperlink>
            <w:r>
              <w:rPr>
                <w:spacing w:val="-2"/>
                <w:sz w:val="14"/>
              </w:rPr>
              <w:t>.</w:t>
            </w:r>
          </w:p>
        </w:tc>
        <w:tc>
          <w:tcPr>
            <w:tcW w:w="8621" w:type="dxa"/>
          </w:tcPr>
          <w:p>
            <w:pPr>
              <w:pStyle w:val="TableParagraph"/>
              <w:spacing w:before="114"/>
              <w:jc w:val="left"/>
              <w:rPr>
                <w:sz w:val="20"/>
              </w:rPr>
            </w:pPr>
            <w:r>
              <w:rPr>
                <w:rFonts w:ascii="Arial"/>
                <w:i/>
                <w:sz w:val="20"/>
              </w:rPr>
              <w:t>[1989]</w:t>
            </w:r>
            <w:r>
              <w:rPr>
                <w:rFonts w:ascii="Arial"/>
                <w:i/>
                <w:spacing w:val="-2"/>
                <w:sz w:val="20"/>
              </w:rPr>
              <w:t> </w:t>
            </w:r>
            <w:r>
              <w:rPr>
                <w:rFonts w:ascii="Arial"/>
                <w:i/>
                <w:sz w:val="20"/>
              </w:rPr>
              <w:t>A.C. 852, </w:t>
            </w:r>
            <w:r>
              <w:rPr>
                <w:rFonts w:ascii="Arial"/>
                <w:i/>
                <w:spacing w:val="-4"/>
                <w:sz w:val="20"/>
              </w:rPr>
              <w:t>858</w:t>
            </w:r>
            <w:r>
              <w:rPr>
                <w:spacing w:val="-4"/>
                <w:sz w:val="20"/>
              </w:rPr>
              <w:t>.</w:t>
            </w:r>
          </w:p>
        </w:tc>
      </w:tr>
      <w:tr>
        <w:trPr>
          <w:trHeight w:val="465" w:hRule="atLeast"/>
        </w:trPr>
        <w:tc>
          <w:tcPr>
            <w:tcW w:w="496" w:type="dxa"/>
          </w:tcPr>
          <w:p>
            <w:pPr>
              <w:pStyle w:val="TableParagraph"/>
              <w:ind w:left="0" w:right="43"/>
              <w:rPr>
                <w:sz w:val="14"/>
              </w:rPr>
            </w:pPr>
            <w:bookmarkStart w:name="_bookmark2079" w:id="2081"/>
            <w:bookmarkEnd w:id="2081"/>
            <w:r>
              <w:rPr/>
            </w:r>
            <w:hyperlink w:history="true" w:anchor="_bookmark1941">
              <w:r>
                <w:rPr>
                  <w:color w:val="005DA1"/>
                  <w:spacing w:val="-2"/>
                  <w:sz w:val="14"/>
                  <w:u w:val="single" w:color="005DA1"/>
                </w:rPr>
                <w:t>1396</w:t>
              </w:r>
            </w:hyperlink>
            <w:r>
              <w:rPr>
                <w:spacing w:val="-2"/>
                <w:sz w:val="14"/>
              </w:rPr>
              <w:t>.</w:t>
            </w:r>
          </w:p>
        </w:tc>
        <w:tc>
          <w:tcPr>
            <w:tcW w:w="8621" w:type="dxa"/>
          </w:tcPr>
          <w:p>
            <w:pPr>
              <w:pStyle w:val="TableParagraph"/>
              <w:spacing w:before="114"/>
              <w:jc w:val="left"/>
              <w:rPr>
                <w:sz w:val="20"/>
              </w:rPr>
            </w:pPr>
            <w:r>
              <w:rPr>
                <w:rFonts w:ascii="Arial"/>
                <w:i/>
                <w:sz w:val="20"/>
              </w:rPr>
              <w:t>[1978] Q.B. </w:t>
            </w:r>
            <w:r>
              <w:rPr>
                <w:rFonts w:ascii="Arial"/>
                <w:i/>
                <w:spacing w:val="-4"/>
                <w:sz w:val="20"/>
              </w:rPr>
              <w:t>791</w:t>
            </w:r>
            <w:r>
              <w:rPr>
                <w:spacing w:val="-4"/>
                <w:sz w:val="20"/>
              </w:rPr>
              <w:t>.</w:t>
            </w:r>
          </w:p>
        </w:tc>
      </w:tr>
      <w:tr>
        <w:trPr>
          <w:trHeight w:val="1365" w:hRule="atLeast"/>
        </w:trPr>
        <w:tc>
          <w:tcPr>
            <w:tcW w:w="496" w:type="dxa"/>
          </w:tcPr>
          <w:p>
            <w:pPr>
              <w:pStyle w:val="TableParagraph"/>
              <w:ind w:left="0" w:right="43"/>
              <w:rPr>
                <w:sz w:val="14"/>
              </w:rPr>
            </w:pPr>
            <w:bookmarkStart w:name="_bookmark2080" w:id="2082"/>
            <w:bookmarkEnd w:id="2082"/>
            <w:r>
              <w:rPr/>
            </w:r>
            <w:hyperlink w:history="true" w:anchor="_bookmark1942">
              <w:r>
                <w:rPr>
                  <w:color w:val="005DA1"/>
                  <w:spacing w:val="-2"/>
                  <w:sz w:val="14"/>
                  <w:u w:val="single" w:color="005DA1"/>
                </w:rPr>
                <w:t>1397</w:t>
              </w:r>
            </w:hyperlink>
            <w:r>
              <w:rPr>
                <w:spacing w:val="-2"/>
                <w:sz w:val="14"/>
              </w:rPr>
              <w:t>.</w:t>
            </w:r>
          </w:p>
        </w:tc>
        <w:tc>
          <w:tcPr>
            <w:tcW w:w="8621" w:type="dxa"/>
          </w:tcPr>
          <w:p>
            <w:pPr>
              <w:pStyle w:val="TableParagraph"/>
              <w:spacing w:line="235" w:lineRule="auto" w:before="118"/>
              <w:ind w:right="50"/>
              <w:jc w:val="both"/>
              <w:rPr>
                <w:sz w:val="20"/>
              </w:rPr>
            </w:pPr>
            <w:r>
              <w:rPr>
                <w:sz w:val="20"/>
              </w:rPr>
              <w:t>And see </w:t>
            </w:r>
            <w:r>
              <w:rPr>
                <w:rFonts w:ascii="Arial" w:hAnsi="Arial"/>
                <w:i/>
                <w:sz w:val="20"/>
              </w:rPr>
              <w:t>Gran Gelato Ltd v Richcliff (Group) Ltd [1992] Ch. 560</w:t>
            </w:r>
            <w:r>
              <w:rPr>
                <w:sz w:val="20"/>
              </w:rPr>
              <w:t>; </w:t>
            </w:r>
            <w:r>
              <w:rPr>
                <w:rFonts w:ascii="Arial" w:hAnsi="Arial"/>
                <w:i/>
                <w:sz w:val="20"/>
              </w:rPr>
              <w:t>Youell v Bland Welch &amp; Co Ltd (No.2) [1990] 2 Lloyd’s Rep. 431</w:t>
            </w:r>
            <w:r>
              <w:rPr>
                <w:sz w:val="20"/>
              </w:rPr>
              <w:t>; </w:t>
            </w:r>
            <w:r>
              <w:rPr>
                <w:rFonts w:ascii="Arial" w:hAnsi="Arial"/>
                <w:i/>
                <w:sz w:val="20"/>
              </w:rPr>
              <w:t>Barclays Bank Plc v Fairclough Building Ltd [1995] Q.B. 214</w:t>
            </w:r>
            <w:r>
              <w:rPr>
                <w:sz w:val="20"/>
              </w:rPr>
              <w:t>; </w:t>
            </w:r>
            <w:r>
              <w:rPr>
                <w:rFonts w:ascii="Arial" w:hAnsi="Arial"/>
                <w:i/>
                <w:sz w:val="20"/>
              </w:rPr>
              <w:t>Barclays Bank Plc v Fairclough Building Ltd (No.2) [1995] I.R.L.R. 605</w:t>
            </w:r>
            <w:r>
              <w:rPr>
                <w:sz w:val="20"/>
              </w:rPr>
              <w:t>; </w:t>
            </w:r>
            <w:r>
              <w:rPr>
                <w:rFonts w:ascii="Arial" w:hAnsi="Arial"/>
                <w:i/>
                <w:sz w:val="20"/>
              </w:rPr>
              <w:t>UCB Bank Plc </w:t>
            </w:r>
            <w:r>
              <w:rPr>
                <w:rFonts w:ascii="Arial" w:hAnsi="Arial"/>
                <w:i/>
                <w:sz w:val="20"/>
              </w:rPr>
              <w:t>v Hepherd Winstandley &amp; Pugh [1999] Lloyd’s Rep. P.N. 963</w:t>
            </w:r>
            <w:r>
              <w:rPr>
                <w:sz w:val="20"/>
              </w:rPr>
              <w:t>; </w:t>
            </w:r>
            <w:r>
              <w:rPr>
                <w:rFonts w:ascii="Arial" w:hAnsi="Arial"/>
                <w:i/>
                <w:sz w:val="20"/>
              </w:rPr>
              <w:t>Trebor Bassett Holdings Ltd v ADT Fire and Security Plc [2012] EWCA Civ 1158, [2012] B.L.R. 441 </w:t>
            </w:r>
            <w:r>
              <w:rPr>
                <w:sz w:val="20"/>
              </w:rPr>
              <w:t>and see below, para.26-077.</w:t>
            </w:r>
          </w:p>
        </w:tc>
      </w:tr>
      <w:tr>
        <w:trPr>
          <w:trHeight w:val="465" w:hRule="atLeast"/>
        </w:trPr>
        <w:tc>
          <w:tcPr>
            <w:tcW w:w="496" w:type="dxa"/>
          </w:tcPr>
          <w:p>
            <w:pPr>
              <w:pStyle w:val="TableParagraph"/>
              <w:ind w:left="0" w:right="43"/>
              <w:rPr>
                <w:sz w:val="14"/>
              </w:rPr>
            </w:pPr>
            <w:bookmarkStart w:name="_bookmark2081" w:id="2083"/>
            <w:bookmarkEnd w:id="2083"/>
            <w:r>
              <w:rPr/>
            </w:r>
            <w:hyperlink w:history="true" w:anchor="_bookmark1943">
              <w:r>
                <w:rPr>
                  <w:color w:val="005DA1"/>
                  <w:spacing w:val="-2"/>
                  <w:sz w:val="14"/>
                  <w:u w:val="single" w:color="005DA1"/>
                </w:rPr>
                <w:t>1398</w:t>
              </w:r>
            </w:hyperlink>
            <w:r>
              <w:rPr>
                <w:spacing w:val="-2"/>
                <w:sz w:val="14"/>
              </w:rPr>
              <w:t>.</w:t>
            </w:r>
          </w:p>
        </w:tc>
        <w:tc>
          <w:tcPr>
            <w:tcW w:w="8621" w:type="dxa"/>
          </w:tcPr>
          <w:p>
            <w:pPr>
              <w:pStyle w:val="TableParagraph"/>
              <w:spacing w:before="114"/>
              <w:jc w:val="left"/>
              <w:rPr>
                <w:sz w:val="20"/>
              </w:rPr>
            </w:pPr>
            <w:r>
              <w:rPr>
                <w:rFonts w:ascii="Arial"/>
                <w:i/>
                <w:sz w:val="20"/>
              </w:rPr>
              <w:t>Barclays</w:t>
            </w:r>
            <w:r>
              <w:rPr>
                <w:rFonts w:ascii="Arial"/>
                <w:i/>
                <w:spacing w:val="-1"/>
                <w:sz w:val="20"/>
              </w:rPr>
              <w:t> </w:t>
            </w:r>
            <w:r>
              <w:rPr>
                <w:rFonts w:ascii="Arial"/>
                <w:i/>
                <w:sz w:val="20"/>
              </w:rPr>
              <w:t>Bank Plc v Fairclough Building Ltd (No.2) [1995] I.R.L.R. 605</w:t>
            </w:r>
            <w:r>
              <w:rPr>
                <w:sz w:val="20"/>
              </w:rPr>
              <w:t>, above, para.1-</w:t>
            </w:r>
            <w:r>
              <w:rPr>
                <w:spacing w:val="-4"/>
                <w:sz w:val="20"/>
              </w:rPr>
              <w:t>172.</w:t>
            </w:r>
          </w:p>
        </w:tc>
      </w:tr>
      <w:tr>
        <w:trPr>
          <w:trHeight w:val="344" w:hRule="atLeast"/>
        </w:trPr>
        <w:tc>
          <w:tcPr>
            <w:tcW w:w="496" w:type="dxa"/>
          </w:tcPr>
          <w:p>
            <w:pPr>
              <w:pStyle w:val="TableParagraph"/>
              <w:ind w:left="0" w:right="43"/>
              <w:rPr>
                <w:sz w:val="14"/>
              </w:rPr>
            </w:pPr>
            <w:bookmarkStart w:name="_bookmark2082" w:id="2084"/>
            <w:bookmarkEnd w:id="2084"/>
            <w:r>
              <w:rPr/>
            </w:r>
            <w:hyperlink w:history="true" w:anchor="_bookmark1944">
              <w:r>
                <w:rPr>
                  <w:color w:val="005DA1"/>
                  <w:spacing w:val="-2"/>
                  <w:sz w:val="14"/>
                  <w:u w:val="single" w:color="005DA1"/>
                </w:rPr>
                <w:t>1399</w:t>
              </w:r>
            </w:hyperlink>
            <w:r>
              <w:rPr>
                <w:spacing w:val="-2"/>
                <w:sz w:val="14"/>
              </w:rPr>
              <w:t>.</w:t>
            </w:r>
          </w:p>
        </w:tc>
        <w:tc>
          <w:tcPr>
            <w:tcW w:w="8621" w:type="dxa"/>
          </w:tcPr>
          <w:p>
            <w:pPr>
              <w:pStyle w:val="TableParagraph"/>
              <w:spacing w:line="210" w:lineRule="exact" w:before="114"/>
              <w:jc w:val="left"/>
              <w:rPr>
                <w:sz w:val="20"/>
              </w:rPr>
            </w:pPr>
            <w:r>
              <w:rPr>
                <w:sz w:val="20"/>
              </w:rPr>
              <w:t>In</w:t>
            </w:r>
            <w:r>
              <w:rPr>
                <w:spacing w:val="20"/>
                <w:sz w:val="20"/>
              </w:rPr>
              <w:t> </w:t>
            </w:r>
            <w:r>
              <w:rPr>
                <w:sz w:val="20"/>
              </w:rPr>
              <w:t>particular,</w:t>
            </w:r>
            <w:r>
              <w:rPr>
                <w:spacing w:val="20"/>
                <w:sz w:val="20"/>
              </w:rPr>
              <w:t> </w:t>
            </w:r>
            <w:r>
              <w:rPr>
                <w:sz w:val="20"/>
              </w:rPr>
              <w:t>in</w:t>
            </w:r>
            <w:r>
              <w:rPr>
                <w:spacing w:val="20"/>
                <w:sz w:val="20"/>
              </w:rPr>
              <w:t> </w:t>
            </w:r>
            <w:r>
              <w:rPr>
                <w:sz w:val="20"/>
              </w:rPr>
              <w:t>principle,</w:t>
            </w:r>
            <w:r>
              <w:rPr>
                <w:spacing w:val="20"/>
                <w:sz w:val="20"/>
              </w:rPr>
              <w:t> </w:t>
            </w:r>
            <w:r>
              <w:rPr>
                <w:sz w:val="20"/>
              </w:rPr>
              <w:t>accrual</w:t>
            </w:r>
            <w:r>
              <w:rPr>
                <w:spacing w:val="20"/>
                <w:sz w:val="20"/>
              </w:rPr>
              <w:t> </w:t>
            </w:r>
            <w:r>
              <w:rPr>
                <w:sz w:val="20"/>
              </w:rPr>
              <w:t>of</w:t>
            </w:r>
            <w:r>
              <w:rPr>
                <w:spacing w:val="20"/>
                <w:sz w:val="20"/>
              </w:rPr>
              <w:t> </w:t>
            </w:r>
            <w:r>
              <w:rPr>
                <w:sz w:val="20"/>
              </w:rPr>
              <w:t>actions</w:t>
            </w:r>
            <w:r>
              <w:rPr>
                <w:spacing w:val="20"/>
                <w:sz w:val="20"/>
              </w:rPr>
              <w:t> </w:t>
            </w:r>
            <w:r>
              <w:rPr>
                <w:sz w:val="20"/>
              </w:rPr>
              <w:t>for</w:t>
            </w:r>
            <w:r>
              <w:rPr>
                <w:spacing w:val="20"/>
                <w:sz w:val="20"/>
              </w:rPr>
              <w:t> </w:t>
            </w:r>
            <w:r>
              <w:rPr>
                <w:sz w:val="20"/>
              </w:rPr>
              <w:t>breach</w:t>
            </w:r>
            <w:r>
              <w:rPr>
                <w:spacing w:val="20"/>
                <w:sz w:val="20"/>
              </w:rPr>
              <w:t> </w:t>
            </w:r>
            <w:r>
              <w:rPr>
                <w:sz w:val="20"/>
              </w:rPr>
              <w:t>of</w:t>
            </w:r>
            <w:r>
              <w:rPr>
                <w:spacing w:val="20"/>
                <w:sz w:val="20"/>
              </w:rPr>
              <w:t> </w:t>
            </w:r>
            <w:r>
              <w:rPr>
                <w:sz w:val="20"/>
              </w:rPr>
              <w:t>contract</w:t>
            </w:r>
            <w:r>
              <w:rPr>
                <w:spacing w:val="20"/>
                <w:sz w:val="20"/>
              </w:rPr>
              <w:t> </w:t>
            </w:r>
            <w:r>
              <w:rPr>
                <w:sz w:val="20"/>
              </w:rPr>
              <w:t>occurs</w:t>
            </w:r>
            <w:r>
              <w:rPr>
                <w:spacing w:val="20"/>
                <w:sz w:val="20"/>
              </w:rPr>
              <w:t> </w:t>
            </w:r>
            <w:r>
              <w:rPr>
                <w:sz w:val="20"/>
              </w:rPr>
              <w:t>on</w:t>
            </w:r>
            <w:r>
              <w:rPr>
                <w:spacing w:val="20"/>
                <w:sz w:val="20"/>
              </w:rPr>
              <w:t> </w:t>
            </w:r>
            <w:r>
              <w:rPr>
                <w:sz w:val="20"/>
              </w:rPr>
              <w:t>breach,</w:t>
            </w:r>
            <w:r>
              <w:rPr>
                <w:spacing w:val="20"/>
                <w:sz w:val="20"/>
              </w:rPr>
              <w:t> </w:t>
            </w:r>
            <w:r>
              <w:rPr>
                <w:spacing w:val="-2"/>
                <w:sz w:val="20"/>
              </w:rPr>
              <w:t>whereas</w:t>
            </w:r>
          </w:p>
        </w:tc>
      </w:tr>
    </w:tbl>
    <w:p>
      <w:pPr>
        <w:pStyle w:val="TableParagraph"/>
        <w:spacing w:after="0" w:line="210" w:lineRule="exact"/>
        <w:jc w:val="left"/>
        <w:rPr>
          <w:sz w:val="20"/>
        </w:rPr>
        <w:sectPr>
          <w:pgSz w:w="11900" w:h="16840"/>
          <w:pgMar w:header="971" w:footer="0" w:top="1300" w:bottom="280" w:left="1275" w:right="1275"/>
        </w:sectPr>
      </w:pPr>
    </w:p>
    <w:p>
      <w:pPr>
        <w:spacing w:line="235" w:lineRule="auto" w:before="170"/>
        <w:ind w:left="705" w:right="167" w:firstLine="0"/>
        <w:jc w:val="both"/>
        <w:rPr>
          <w:rFonts w:ascii="Arial" w:hAnsi="Arial"/>
          <w:i/>
          <w:sz w:val="20"/>
        </w:rPr>
      </w:pPr>
      <w:r>
        <w:rPr>
          <w:sz w:val="20"/>
        </w:rPr>
        <w:t>accrual for actions in tort occurs when the damage is suffered. The latter rule has caused not inconsiderable difficulty in cases for negligently caused economic loss: see </w:t>
      </w:r>
      <w:r>
        <w:rPr>
          <w:rFonts w:ascii="Arial" w:hAnsi="Arial"/>
          <w:i/>
          <w:sz w:val="20"/>
        </w:rPr>
        <w:t>D.W. Moore &amp; </w:t>
      </w:r>
      <w:r>
        <w:rPr>
          <w:rFonts w:ascii="Arial" w:hAnsi="Arial"/>
          <w:i/>
          <w:sz w:val="20"/>
        </w:rPr>
        <w:t>Co Ltd v Ferrier [1988] 1 W.L.R. 267, 279–280</w:t>
      </w:r>
      <w:r>
        <w:rPr>
          <w:sz w:val="20"/>
        </w:rPr>
        <w:t>; </w:t>
      </w:r>
      <w:r>
        <w:rPr>
          <w:rFonts w:ascii="Arial" w:hAnsi="Arial"/>
          <w:i/>
          <w:sz w:val="20"/>
        </w:rPr>
        <w:t>Iron Trades Mutual Insurance Co Ltd v J.K. Buckenham Ltd [1990] 1 All E.R. 808</w:t>
      </w:r>
      <w:r>
        <w:rPr>
          <w:sz w:val="20"/>
        </w:rPr>
        <w:t>; </w:t>
      </w:r>
      <w:r>
        <w:rPr>
          <w:rFonts w:ascii="Arial" w:hAnsi="Arial"/>
          <w:i/>
          <w:sz w:val="20"/>
        </w:rPr>
        <w:t>Bell v Peter Browne &amp; Co [1990] 2 Q.B. 495</w:t>
      </w:r>
      <w:r>
        <w:rPr>
          <w:sz w:val="20"/>
        </w:rPr>
        <w:t>; </w:t>
      </w:r>
      <w:r>
        <w:rPr>
          <w:rFonts w:ascii="Arial" w:hAnsi="Arial"/>
          <w:i/>
          <w:sz w:val="20"/>
        </w:rPr>
        <w:t>F.G.</w:t>
      </w:r>
      <w:r>
        <w:rPr>
          <w:rFonts w:ascii="Arial" w:hAnsi="Arial"/>
          <w:i/>
          <w:spacing w:val="40"/>
          <w:sz w:val="20"/>
        </w:rPr>
        <w:t> </w:t>
      </w:r>
      <w:r>
        <w:rPr>
          <w:rFonts w:ascii="Arial" w:hAnsi="Arial"/>
          <w:i/>
          <w:sz w:val="20"/>
        </w:rPr>
        <w:t>Whitley &amp; Sons &amp; Co Ltd v Thomas Bickerton (1993) 07 E.G. 100</w:t>
      </w:r>
      <w:r>
        <w:rPr>
          <w:sz w:val="20"/>
        </w:rPr>
        <w:t>; </w:t>
      </w:r>
      <w:r>
        <w:rPr>
          <w:rFonts w:ascii="Arial" w:hAnsi="Arial"/>
          <w:i/>
          <w:sz w:val="20"/>
        </w:rPr>
        <w:t>Knapp v Ecclesiastical Insurance Group [1997] All E.R. (D) 44 (Oct)</w:t>
      </w:r>
      <w:r>
        <w:rPr>
          <w:sz w:val="20"/>
        </w:rPr>
        <w:t>; </w:t>
      </w:r>
      <w:r>
        <w:rPr>
          <w:rFonts w:ascii="Arial" w:hAnsi="Arial"/>
          <w:i/>
          <w:sz w:val="20"/>
        </w:rPr>
        <w:t>McCarroll v Statham Gill Davies [2003] EWCA</w:t>
      </w:r>
      <w:r>
        <w:rPr>
          <w:rFonts w:ascii="Arial" w:hAnsi="Arial"/>
          <w:i/>
          <w:spacing w:val="40"/>
          <w:sz w:val="20"/>
        </w:rPr>
        <w:t> </w:t>
      </w:r>
      <w:r>
        <w:rPr>
          <w:rFonts w:ascii="Arial" w:hAnsi="Arial"/>
          <w:i/>
          <w:sz w:val="20"/>
        </w:rPr>
        <w:t>Civ 425, [2003] P.N.L.R. 25</w:t>
      </w:r>
      <w:r>
        <w:rPr>
          <w:sz w:val="20"/>
        </w:rPr>
        <w:t>; </w:t>
      </w:r>
      <w:r>
        <w:rPr>
          <w:rFonts w:ascii="Arial" w:hAnsi="Arial"/>
          <w:i/>
          <w:sz w:val="20"/>
        </w:rPr>
        <w:t>Watkins v Jones Maidment Wilson [2008] EWCA Civ 134, 118</w:t>
      </w:r>
      <w:r>
        <w:rPr>
          <w:rFonts w:ascii="Arial" w:hAnsi="Arial"/>
          <w:i/>
          <w:spacing w:val="40"/>
          <w:sz w:val="20"/>
        </w:rPr>
        <w:t> </w:t>
      </w:r>
      <w:r>
        <w:rPr>
          <w:rFonts w:ascii="Arial" w:hAnsi="Arial"/>
          <w:i/>
          <w:sz w:val="20"/>
        </w:rPr>
        <w:t>Con. L.R. 1</w:t>
      </w:r>
      <w:r>
        <w:rPr>
          <w:sz w:val="20"/>
        </w:rPr>
        <w:t>; </w:t>
      </w:r>
      <w:r>
        <w:rPr>
          <w:rFonts w:ascii="Arial" w:hAnsi="Arial"/>
          <w:i/>
          <w:sz w:val="20"/>
        </w:rPr>
        <w:t>Shore v Sedgwick Financial Services Ltd [2008] EWCA Civ 863, [2009] Bus. L.R. 42</w:t>
      </w:r>
      <w:r>
        <w:rPr>
          <w:sz w:val="20"/>
        </w:rPr>
        <w:t>; </w:t>
      </w:r>
      <w:r>
        <w:rPr>
          <w:rFonts w:ascii="Arial" w:hAnsi="Arial"/>
          <w:i/>
          <w:sz w:val="20"/>
        </w:rPr>
        <w:t>Axa Insurance Ltd v Akther &amp; Darby Solicitors [2009] EWCA Civ 1166, [2010] 1 W.L.R. 1662</w:t>
      </w:r>
      <w:r>
        <w:rPr>
          <w:sz w:val="20"/>
        </w:rPr>
        <w:t>; and </w:t>
      </w:r>
      <w:r>
        <w:rPr>
          <w:rFonts w:ascii="Arial" w:hAnsi="Arial"/>
          <w:i/>
          <w:sz w:val="20"/>
        </w:rPr>
        <w:t>Pegasus Management Holdings SCA v Ernst &amp; Young [2010] EWCA Civ 181, [2010] 3</w:t>
      </w:r>
      <w:r>
        <w:rPr>
          <w:rFonts w:ascii="Arial" w:hAnsi="Arial"/>
          <w:i/>
          <w:spacing w:val="24"/>
          <w:sz w:val="20"/>
        </w:rPr>
        <w:t> </w:t>
      </w:r>
      <w:r>
        <w:rPr>
          <w:rFonts w:ascii="Arial" w:hAnsi="Arial"/>
          <w:i/>
          <w:sz w:val="20"/>
        </w:rPr>
        <w:t>All</w:t>
      </w:r>
      <w:r>
        <w:rPr>
          <w:rFonts w:ascii="Arial" w:hAnsi="Arial"/>
          <w:i/>
          <w:spacing w:val="25"/>
          <w:sz w:val="20"/>
        </w:rPr>
        <w:t> </w:t>
      </w:r>
      <w:r>
        <w:rPr>
          <w:rFonts w:ascii="Arial" w:hAnsi="Arial"/>
          <w:i/>
          <w:sz w:val="20"/>
        </w:rPr>
        <w:t>E.R.</w:t>
      </w:r>
      <w:r>
        <w:rPr>
          <w:rFonts w:ascii="Arial" w:hAnsi="Arial"/>
          <w:i/>
          <w:spacing w:val="25"/>
          <w:sz w:val="20"/>
        </w:rPr>
        <w:t> </w:t>
      </w:r>
      <w:r>
        <w:rPr>
          <w:rFonts w:ascii="Arial" w:hAnsi="Arial"/>
          <w:i/>
          <w:sz w:val="20"/>
        </w:rPr>
        <w:t>297</w:t>
      </w:r>
      <w:r>
        <w:rPr>
          <w:sz w:val="20"/>
        </w:rPr>
        <w:t>.</w:t>
      </w:r>
      <w:r>
        <w:rPr>
          <w:spacing w:val="25"/>
          <w:sz w:val="20"/>
        </w:rPr>
        <w:t> </w:t>
      </w:r>
      <w:r>
        <w:rPr>
          <w:sz w:val="20"/>
        </w:rPr>
        <w:t>cf.</w:t>
      </w:r>
      <w:r>
        <w:rPr>
          <w:spacing w:val="26"/>
          <w:sz w:val="20"/>
        </w:rPr>
        <w:t> </w:t>
      </w:r>
      <w:r>
        <w:rPr>
          <w:rFonts w:ascii="Arial" w:hAnsi="Arial"/>
          <w:i/>
          <w:sz w:val="20"/>
        </w:rPr>
        <w:t>Nykredit</w:t>
      </w:r>
      <w:r>
        <w:rPr>
          <w:rFonts w:ascii="Arial" w:hAnsi="Arial"/>
          <w:i/>
          <w:spacing w:val="25"/>
          <w:sz w:val="20"/>
        </w:rPr>
        <w:t> </w:t>
      </w:r>
      <w:r>
        <w:rPr>
          <w:rFonts w:ascii="Arial" w:hAnsi="Arial"/>
          <w:i/>
          <w:sz w:val="20"/>
        </w:rPr>
        <w:t>Mortgage</w:t>
      </w:r>
      <w:r>
        <w:rPr>
          <w:rFonts w:ascii="Arial" w:hAnsi="Arial"/>
          <w:i/>
          <w:spacing w:val="25"/>
          <w:sz w:val="20"/>
        </w:rPr>
        <w:t> </w:t>
      </w:r>
      <w:r>
        <w:rPr>
          <w:rFonts w:ascii="Arial" w:hAnsi="Arial"/>
          <w:i/>
          <w:sz w:val="20"/>
        </w:rPr>
        <w:t>Bank</w:t>
      </w:r>
      <w:r>
        <w:rPr>
          <w:rFonts w:ascii="Arial" w:hAnsi="Arial"/>
          <w:i/>
          <w:spacing w:val="25"/>
          <w:sz w:val="20"/>
        </w:rPr>
        <w:t> </w:t>
      </w:r>
      <w:r>
        <w:rPr>
          <w:rFonts w:ascii="Arial" w:hAnsi="Arial"/>
          <w:i/>
          <w:sz w:val="20"/>
        </w:rPr>
        <w:t>Plc</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Edward</w:t>
      </w:r>
      <w:r>
        <w:rPr>
          <w:rFonts w:ascii="Arial" w:hAnsi="Arial"/>
          <w:i/>
          <w:spacing w:val="25"/>
          <w:sz w:val="20"/>
        </w:rPr>
        <w:t> </w:t>
      </w:r>
      <w:r>
        <w:rPr>
          <w:rFonts w:ascii="Arial" w:hAnsi="Arial"/>
          <w:i/>
          <w:sz w:val="20"/>
        </w:rPr>
        <w:t>Erdman</w:t>
      </w:r>
      <w:r>
        <w:rPr>
          <w:rFonts w:ascii="Arial" w:hAnsi="Arial"/>
          <w:i/>
          <w:spacing w:val="25"/>
          <w:sz w:val="20"/>
        </w:rPr>
        <w:t> </w:t>
      </w:r>
      <w:r>
        <w:rPr>
          <w:rFonts w:ascii="Arial" w:hAnsi="Arial"/>
          <w:i/>
          <w:sz w:val="20"/>
        </w:rPr>
        <w:t>Group</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(No.2)</w:t>
      </w:r>
      <w:r>
        <w:rPr>
          <w:rFonts w:ascii="Arial" w:hAnsi="Arial"/>
          <w:i/>
          <w:spacing w:val="25"/>
          <w:sz w:val="20"/>
        </w:rPr>
        <w:t> </w:t>
      </w:r>
      <w:r>
        <w:rPr>
          <w:rFonts w:ascii="Arial" w:hAnsi="Arial"/>
          <w:i/>
          <w:sz w:val="20"/>
        </w:rPr>
        <w:t>[1997]</w:t>
      </w:r>
      <w:r>
        <w:rPr>
          <w:rFonts w:ascii="Arial" w:hAnsi="Arial"/>
          <w:i/>
          <w:spacing w:val="25"/>
          <w:sz w:val="20"/>
        </w:rPr>
        <w:t> </w:t>
      </w:r>
      <w:r>
        <w:rPr>
          <w:rFonts w:ascii="Arial" w:hAnsi="Arial"/>
          <w:i/>
          <w:spacing w:val="-10"/>
          <w:sz w:val="20"/>
        </w:rPr>
        <w:t>1</w:t>
      </w:r>
    </w:p>
    <w:p>
      <w:pPr>
        <w:spacing w:line="235" w:lineRule="auto" w:before="0"/>
        <w:ind w:left="705" w:right="168" w:firstLine="0"/>
        <w:jc w:val="both"/>
        <w:rPr>
          <w:sz w:val="20"/>
        </w:rPr>
      </w:pPr>
      <w:r>
        <w:rPr>
          <w:rFonts w:ascii="Arial"/>
          <w:i/>
          <w:sz w:val="20"/>
        </w:rPr>
        <w:t>W.L.R. 1627</w:t>
      </w:r>
      <w:r>
        <w:rPr>
          <w:sz w:val="20"/>
        </w:rPr>
        <w:t>; </w:t>
      </w:r>
      <w:r>
        <w:rPr>
          <w:rFonts w:ascii="Arial"/>
          <w:i/>
          <w:sz w:val="20"/>
        </w:rPr>
        <w:t>Law Society v Sephton &amp; Co [2006] 2 A.C. 543</w:t>
      </w:r>
      <w:r>
        <w:rPr>
          <w:sz w:val="20"/>
        </w:rPr>
        <w:t>. The general approach of the English courts has not been followed by the H.C. Aus.: </w:t>
      </w:r>
      <w:r>
        <w:rPr>
          <w:rFonts w:ascii="Arial"/>
          <w:i/>
          <w:sz w:val="20"/>
        </w:rPr>
        <w:t>Wardley Australia Ltd v State </w:t>
      </w:r>
      <w:r>
        <w:rPr>
          <w:rFonts w:ascii="Arial"/>
          <w:i/>
          <w:sz w:val="20"/>
        </w:rPr>
        <w:t>of</w:t>
      </w:r>
      <w:r>
        <w:rPr>
          <w:rFonts w:ascii="Arial"/>
          <w:i/>
          <w:spacing w:val="40"/>
          <w:sz w:val="20"/>
        </w:rPr>
        <w:t> </w:t>
      </w:r>
      <w:r>
        <w:rPr>
          <w:rFonts w:ascii="Arial"/>
          <w:i/>
          <w:sz w:val="20"/>
        </w:rPr>
        <w:t>Western Australia (1992) 175 CLR 514 </w:t>
      </w:r>
      <w:r>
        <w:rPr>
          <w:sz w:val="20"/>
        </w:rPr>
        <w:t>and see above, para.1-152.</w:t>
      </w:r>
    </w:p>
    <w:p>
      <w:pPr>
        <w:pStyle w:val="BodyText"/>
        <w:spacing w:before="5"/>
      </w:pPr>
    </w:p>
    <w:p>
      <w:pPr>
        <w:spacing w:line="235" w:lineRule="auto" w:before="0"/>
        <w:ind w:left="705" w:right="167" w:hanging="541"/>
        <w:jc w:val="both"/>
        <w:rPr>
          <w:sz w:val="20"/>
        </w:rPr>
      </w:pPr>
      <w:bookmarkStart w:name="_bookmark2083" w:id="2085"/>
      <w:bookmarkEnd w:id="2085"/>
      <w:r>
        <w:rPr/>
      </w:r>
      <w:hyperlink w:history="true" w:anchor="_bookmark1945">
        <w:r>
          <w:rPr>
            <w:color w:val="005DA1"/>
            <w:position w:val="5"/>
            <w:sz w:val="14"/>
            <w:u w:val="single" w:color="005DA1"/>
          </w:rPr>
          <w:t>1400</w:t>
        </w:r>
      </w:hyperlink>
      <w:r>
        <w:rPr>
          <w:position w:val="5"/>
          <w:sz w:val="14"/>
        </w:rPr>
        <w:t>.</w:t>
      </w:r>
      <w:r>
        <w:rPr>
          <w:spacing w:val="80"/>
          <w:w w:val="150"/>
          <w:position w:val="5"/>
          <w:sz w:val="14"/>
        </w:rPr>
        <w:t> </w:t>
      </w:r>
      <w:r>
        <w:rPr>
          <w:rFonts w:ascii="Arial" w:hAnsi="Arial"/>
          <w:i/>
          <w:sz w:val="20"/>
        </w:rPr>
        <w:t>[1995] 2 A.C. 145</w:t>
      </w:r>
      <w:r>
        <w:rPr>
          <w:sz w:val="20"/>
        </w:rPr>
        <w:t>. In </w:t>
      </w:r>
      <w:r>
        <w:rPr>
          <w:rFonts w:ascii="Arial" w:hAnsi="Arial"/>
          <w:i/>
          <w:sz w:val="20"/>
        </w:rPr>
        <w:t>Midland Bank Trust Co Ltd v Hett, Stubbs &amp; Kemp [1979] Ch. 384</w:t>
      </w:r>
      <w:r>
        <w:rPr>
          <w:sz w:val="20"/>
        </w:rPr>
        <w:t>, it was held that a claim in tort could exist even if the claim in contract was statute-barred, though the contract claim still existed on the facts. In </w:t>
      </w:r>
      <w:r>
        <w:rPr>
          <w:rFonts w:ascii="Arial" w:hAnsi="Arial"/>
          <w:i/>
          <w:sz w:val="20"/>
        </w:rPr>
        <w:t>Pirelli General Cable Works Ltd v Oscar Faber &amp; Partners [1983] 2 A.C. 1</w:t>
      </w:r>
      <w:r>
        <w:rPr>
          <w:sz w:val="20"/>
        </w:rPr>
        <w:t>, a case in which the plaintiff’s claim in contract was statute-barred, </w:t>
      </w:r>
      <w:r>
        <w:rPr>
          <w:sz w:val="20"/>
        </w:rPr>
        <w:t>the House of Lords had to decide when a claim in tort accrued, on the plaintiff’s suffering of the damage or on its discovery: </w:t>
      </w:r>
      <w:r>
        <w:rPr>
          <w:rFonts w:ascii="Arial" w:hAnsi="Arial"/>
          <w:i/>
          <w:sz w:val="20"/>
        </w:rPr>
        <w:t>[1983] 2 A.C. 1 </w:t>
      </w:r>
      <w:r>
        <w:rPr>
          <w:sz w:val="20"/>
        </w:rPr>
        <w:t>at 12. This discussion would have been pointless if the expiry of the contractual limitation period had been thought to have prevented any concurrent claim in tort even if the latter’s limitation period had not expired.</w:t>
      </w:r>
    </w:p>
    <w:p>
      <w:pPr>
        <w:pStyle w:val="BodyText"/>
        <w:spacing w:before="7"/>
      </w:pPr>
    </w:p>
    <w:p>
      <w:pPr>
        <w:spacing w:line="235" w:lineRule="auto" w:before="0"/>
        <w:ind w:left="705" w:right="168" w:hanging="541"/>
        <w:jc w:val="left"/>
        <w:rPr>
          <w:sz w:val="20"/>
        </w:rPr>
      </w:pPr>
      <w:bookmarkStart w:name="_bookmark2084" w:id="2086"/>
      <w:bookmarkEnd w:id="2086"/>
      <w:r>
        <w:rPr/>
      </w:r>
      <w:hyperlink w:history="true" w:anchor="_bookmark1946">
        <w:r>
          <w:rPr>
            <w:color w:val="005DA1"/>
            <w:position w:val="5"/>
            <w:sz w:val="14"/>
            <w:u w:val="single" w:color="005DA1"/>
          </w:rPr>
          <w:t>1401</w:t>
        </w:r>
      </w:hyperlink>
      <w:r>
        <w:rPr>
          <w:position w:val="5"/>
          <w:sz w:val="14"/>
        </w:rPr>
        <w:t>.</w:t>
      </w:r>
      <w:r>
        <w:rPr>
          <w:spacing w:val="40"/>
          <w:position w:val="5"/>
          <w:sz w:val="14"/>
        </w:rPr>
        <w:t>  </w:t>
      </w:r>
      <w:r>
        <w:rPr>
          <w:rFonts w:ascii="Arial"/>
          <w:i/>
          <w:sz w:val="20"/>
        </w:rPr>
        <w:t>Pirelli General Cable Works Ltd v Oscar Faber &amp; Partners [1983] 2 A.C. 1 </w:t>
      </w:r>
      <w:r>
        <w:rPr>
          <w:sz w:val="20"/>
        </w:rPr>
        <w:t>at 19 and see above </w:t>
      </w:r>
      <w:r>
        <w:rPr>
          <w:spacing w:val="-2"/>
          <w:sz w:val="20"/>
        </w:rPr>
        <w:t>para.1-152.</w:t>
      </w:r>
    </w:p>
    <w:p>
      <w:pPr>
        <w:pStyle w:val="BodyText"/>
        <w:spacing w:before="5"/>
      </w:pPr>
    </w:p>
    <w:p>
      <w:pPr>
        <w:pStyle w:val="BodyText"/>
        <w:ind w:left="165"/>
      </w:pPr>
      <w:bookmarkStart w:name="_bookmark2085" w:id="2087"/>
      <w:bookmarkEnd w:id="2087"/>
      <w:r>
        <w:rPr/>
      </w:r>
      <w:hyperlink w:history="true" w:anchor="_bookmark1947">
        <w:r>
          <w:rPr>
            <w:color w:val="005DA1"/>
            <w:position w:val="5"/>
            <w:sz w:val="14"/>
            <w:u w:val="single" w:color="005DA1"/>
          </w:rPr>
          <w:t>1402</w:t>
        </w:r>
      </w:hyperlink>
      <w:r>
        <w:rPr>
          <w:position w:val="5"/>
          <w:sz w:val="14"/>
        </w:rPr>
        <w:t>.</w:t>
      </w:r>
      <w:r>
        <w:rPr>
          <w:spacing w:val="55"/>
          <w:position w:val="5"/>
          <w:sz w:val="14"/>
        </w:rPr>
        <w:t>  </w:t>
      </w:r>
      <w:r>
        <w:rPr/>
        <w:t>i.e.</w:t>
      </w:r>
      <w:r>
        <w:rPr>
          <w:spacing w:val="1"/>
        </w:rPr>
        <w:t> </w:t>
      </w:r>
      <w:r>
        <w:rPr/>
        <w:t>apart from the question whether the claim is statute-</w:t>
      </w:r>
      <w:r>
        <w:rPr>
          <w:spacing w:val="-2"/>
        </w:rPr>
        <w:t>barred.</w:t>
      </w:r>
    </w:p>
    <w:p>
      <w:pPr>
        <w:pStyle w:val="BodyText"/>
        <w:spacing w:before="9"/>
      </w:pPr>
    </w:p>
    <w:p>
      <w:pPr>
        <w:spacing w:line="235" w:lineRule="auto" w:before="0"/>
        <w:ind w:left="705" w:right="168" w:hanging="541"/>
        <w:jc w:val="both"/>
        <w:rPr>
          <w:rFonts w:ascii="Arial" w:hAnsi="Arial"/>
          <w:i/>
          <w:sz w:val="20"/>
        </w:rPr>
      </w:pPr>
      <w:bookmarkStart w:name="_bookmark2086" w:id="2088"/>
      <w:bookmarkEnd w:id="2088"/>
      <w:r>
        <w:rPr/>
      </w:r>
      <w:hyperlink w:history="true" w:anchor="_bookmark1948">
        <w:r>
          <w:rPr>
            <w:color w:val="005DA1"/>
            <w:position w:val="5"/>
            <w:sz w:val="14"/>
            <w:u w:val="single" w:color="005DA1"/>
          </w:rPr>
          <w:t>1403</w:t>
        </w:r>
      </w:hyperlink>
      <w:r>
        <w:rPr>
          <w:position w:val="5"/>
          <w:sz w:val="14"/>
        </w:rPr>
        <w:t>.</w:t>
      </w:r>
      <w:r>
        <w:rPr>
          <w:spacing w:val="80"/>
          <w:w w:val="150"/>
          <w:position w:val="5"/>
          <w:sz w:val="14"/>
        </w:rPr>
        <w:t> </w:t>
      </w:r>
      <w:r>
        <w:rPr>
          <w:sz w:val="20"/>
        </w:rPr>
        <w:t>See </w:t>
      </w:r>
      <w:r>
        <w:rPr>
          <w:rFonts w:ascii="Arial" w:hAnsi="Arial"/>
          <w:i/>
          <w:sz w:val="20"/>
        </w:rPr>
        <w:t>D.W. Moore &amp; Co Ltd v Ferrier [1988] 1 W.L.R. 267, 280</w:t>
      </w:r>
      <w:r>
        <w:rPr>
          <w:sz w:val="20"/>
        </w:rPr>
        <w:t>; </w:t>
      </w:r>
      <w:r>
        <w:rPr>
          <w:rFonts w:ascii="Arial" w:hAnsi="Arial"/>
          <w:i/>
          <w:sz w:val="20"/>
        </w:rPr>
        <w:t>Iron Trades Mutual Insurance Co Ltd</w:t>
      </w:r>
      <w:r>
        <w:rPr>
          <w:rFonts w:ascii="Arial" w:hAnsi="Arial"/>
          <w:i/>
          <w:spacing w:val="13"/>
          <w:sz w:val="20"/>
        </w:rPr>
        <w:t> </w:t>
      </w:r>
      <w:r>
        <w:rPr>
          <w:rFonts w:ascii="Arial" w:hAnsi="Arial"/>
          <w:i/>
          <w:sz w:val="20"/>
        </w:rPr>
        <w:t>v</w:t>
      </w:r>
      <w:r>
        <w:rPr>
          <w:rFonts w:ascii="Arial" w:hAnsi="Arial"/>
          <w:i/>
          <w:spacing w:val="14"/>
          <w:sz w:val="20"/>
        </w:rPr>
        <w:t> </w:t>
      </w:r>
      <w:r>
        <w:rPr>
          <w:rFonts w:ascii="Arial" w:hAnsi="Arial"/>
          <w:i/>
          <w:sz w:val="20"/>
        </w:rPr>
        <w:t>J.K.</w:t>
      </w:r>
      <w:r>
        <w:rPr>
          <w:rFonts w:ascii="Arial" w:hAnsi="Arial"/>
          <w:i/>
          <w:spacing w:val="14"/>
          <w:sz w:val="20"/>
        </w:rPr>
        <w:t> </w:t>
      </w:r>
      <w:r>
        <w:rPr>
          <w:rFonts w:ascii="Arial" w:hAnsi="Arial"/>
          <w:i/>
          <w:sz w:val="20"/>
        </w:rPr>
        <w:t>Buckenham</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[1990]</w:t>
      </w:r>
      <w:r>
        <w:rPr>
          <w:rFonts w:ascii="Arial" w:hAnsi="Arial"/>
          <w:i/>
          <w:spacing w:val="14"/>
          <w:sz w:val="20"/>
        </w:rPr>
        <w:t> </w:t>
      </w:r>
      <w:r>
        <w:rPr>
          <w:rFonts w:ascii="Arial" w:hAnsi="Arial"/>
          <w:i/>
          <w:sz w:val="20"/>
        </w:rPr>
        <w:t>1</w:t>
      </w:r>
      <w:r>
        <w:rPr>
          <w:rFonts w:ascii="Arial" w:hAnsi="Arial"/>
          <w:i/>
          <w:spacing w:val="14"/>
          <w:sz w:val="20"/>
        </w:rPr>
        <w:t> </w:t>
      </w:r>
      <w:r>
        <w:rPr>
          <w:rFonts w:ascii="Arial" w:hAnsi="Arial"/>
          <w:i/>
          <w:sz w:val="20"/>
        </w:rPr>
        <w:t>All</w:t>
      </w:r>
      <w:r>
        <w:rPr>
          <w:rFonts w:ascii="Arial" w:hAnsi="Arial"/>
          <w:i/>
          <w:spacing w:val="14"/>
          <w:sz w:val="20"/>
        </w:rPr>
        <w:t> </w:t>
      </w:r>
      <w:r>
        <w:rPr>
          <w:rFonts w:ascii="Arial" w:hAnsi="Arial"/>
          <w:i/>
          <w:sz w:val="20"/>
        </w:rPr>
        <w:t>E.R.</w:t>
      </w:r>
      <w:r>
        <w:rPr>
          <w:rFonts w:ascii="Arial" w:hAnsi="Arial"/>
          <w:i/>
          <w:spacing w:val="14"/>
          <w:sz w:val="20"/>
        </w:rPr>
        <w:t> </w:t>
      </w:r>
      <w:r>
        <w:rPr>
          <w:rFonts w:ascii="Arial" w:hAnsi="Arial"/>
          <w:i/>
          <w:sz w:val="20"/>
        </w:rPr>
        <w:t>808,</w:t>
      </w:r>
      <w:r>
        <w:rPr>
          <w:rFonts w:ascii="Arial" w:hAnsi="Arial"/>
          <w:i/>
          <w:spacing w:val="14"/>
          <w:sz w:val="20"/>
        </w:rPr>
        <w:t> </w:t>
      </w:r>
      <w:r>
        <w:rPr>
          <w:rFonts w:ascii="Arial" w:hAnsi="Arial"/>
          <w:i/>
          <w:sz w:val="20"/>
        </w:rPr>
        <w:t>820–821</w:t>
      </w:r>
      <w:r>
        <w:rPr>
          <w:sz w:val="20"/>
        </w:rPr>
        <w:t>;</w:t>
      </w:r>
      <w:r>
        <w:rPr>
          <w:spacing w:val="15"/>
          <w:sz w:val="20"/>
        </w:rPr>
        <w:t> </w:t>
      </w:r>
      <w:r>
        <w:rPr>
          <w:rFonts w:ascii="Arial" w:hAnsi="Arial"/>
          <w:i/>
          <w:sz w:val="20"/>
        </w:rPr>
        <w:t>Bell</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Peter</w:t>
      </w:r>
      <w:r>
        <w:rPr>
          <w:rFonts w:ascii="Arial" w:hAnsi="Arial"/>
          <w:i/>
          <w:spacing w:val="14"/>
          <w:sz w:val="20"/>
        </w:rPr>
        <w:t> </w:t>
      </w:r>
      <w:r>
        <w:rPr>
          <w:rFonts w:ascii="Arial" w:hAnsi="Arial"/>
          <w:i/>
          <w:sz w:val="20"/>
        </w:rPr>
        <w:t>Browne</w:t>
      </w:r>
      <w:r>
        <w:rPr>
          <w:rFonts w:ascii="Arial" w:hAnsi="Arial"/>
          <w:i/>
          <w:spacing w:val="14"/>
          <w:sz w:val="20"/>
        </w:rPr>
        <w:t> </w:t>
      </w:r>
      <w:r>
        <w:rPr>
          <w:rFonts w:ascii="Arial" w:hAnsi="Arial"/>
          <w:i/>
          <w:sz w:val="20"/>
        </w:rPr>
        <w:t>&amp;</w:t>
      </w:r>
      <w:r>
        <w:rPr>
          <w:rFonts w:ascii="Arial" w:hAnsi="Arial"/>
          <w:i/>
          <w:spacing w:val="14"/>
          <w:sz w:val="20"/>
        </w:rPr>
        <w:t> </w:t>
      </w:r>
      <w:r>
        <w:rPr>
          <w:rFonts w:ascii="Arial" w:hAnsi="Arial"/>
          <w:i/>
          <w:sz w:val="20"/>
        </w:rPr>
        <w:t>Co</w:t>
      </w:r>
      <w:r>
        <w:rPr>
          <w:rFonts w:ascii="Arial" w:hAnsi="Arial"/>
          <w:i/>
          <w:spacing w:val="14"/>
          <w:sz w:val="20"/>
        </w:rPr>
        <w:t> </w:t>
      </w:r>
      <w:r>
        <w:rPr>
          <w:rFonts w:ascii="Arial" w:hAnsi="Arial"/>
          <w:i/>
          <w:sz w:val="20"/>
        </w:rPr>
        <w:t>[1990]</w:t>
      </w:r>
      <w:r>
        <w:rPr>
          <w:rFonts w:ascii="Arial" w:hAnsi="Arial"/>
          <w:i/>
          <w:spacing w:val="14"/>
          <w:sz w:val="20"/>
        </w:rPr>
        <w:t> </w:t>
      </w:r>
      <w:r>
        <w:rPr>
          <w:rFonts w:ascii="Arial" w:hAnsi="Arial"/>
          <w:i/>
          <w:spacing w:val="-10"/>
          <w:sz w:val="20"/>
        </w:rPr>
        <w:t>2</w:t>
      </w:r>
    </w:p>
    <w:p>
      <w:pPr>
        <w:spacing w:line="235" w:lineRule="auto" w:before="0"/>
        <w:ind w:left="705" w:right="168" w:firstLine="0"/>
        <w:jc w:val="both"/>
        <w:rPr>
          <w:sz w:val="20"/>
        </w:rPr>
      </w:pPr>
      <w:r>
        <w:rPr>
          <w:rFonts w:ascii="Arial" w:hAnsi="Arial"/>
          <w:i/>
          <w:sz w:val="20"/>
        </w:rPr>
        <w:t>Q.B. 495, 501-504</w:t>
      </w:r>
      <w:r>
        <w:rPr>
          <w:sz w:val="20"/>
        </w:rPr>
        <w:t>; </w:t>
      </w:r>
      <w:r>
        <w:rPr>
          <w:rFonts w:ascii="Arial" w:hAnsi="Arial"/>
          <w:i/>
          <w:sz w:val="20"/>
        </w:rPr>
        <w:t>Lee v Thompson [1989] 40 E.G. 89</w:t>
      </w:r>
      <w:r>
        <w:rPr>
          <w:sz w:val="20"/>
        </w:rPr>
        <w:t>; </w:t>
      </w:r>
      <w:r>
        <w:rPr>
          <w:rFonts w:ascii="Arial" w:hAnsi="Arial"/>
          <w:i/>
          <w:sz w:val="20"/>
        </w:rPr>
        <w:t>Havenledge Ltd v Graeme John </w:t>
      </w:r>
      <w:r>
        <w:rPr>
          <w:rFonts w:ascii="Arial" w:hAnsi="Arial"/>
          <w:i/>
          <w:sz w:val="20"/>
        </w:rPr>
        <w:t>&amp; Partners [2001] Lloyd’s Rep. P.N. 223 </w:t>
      </w:r>
      <w:r>
        <w:rPr>
          <w:sz w:val="20"/>
        </w:rPr>
        <w:t>at [35] et seq. cf. </w:t>
      </w:r>
      <w:r>
        <w:rPr>
          <w:rFonts w:ascii="Arial" w:hAnsi="Arial"/>
          <w:i/>
          <w:sz w:val="20"/>
        </w:rPr>
        <w:t>Forster v Outred &amp; Co [1982] 1 W.L.R. 86</w:t>
      </w:r>
      <w:r>
        <w:rPr>
          <w:sz w:val="20"/>
        </w:rPr>
        <w:t>; </w:t>
      </w:r>
      <w:r>
        <w:rPr>
          <w:rFonts w:ascii="Arial" w:hAnsi="Arial"/>
          <w:i/>
          <w:sz w:val="20"/>
        </w:rPr>
        <w:t>F.G. Whitley &amp; Sons Co Ltd v Thomas Bickerton (1993) 07 E.G. 100 </w:t>
      </w:r>
      <w:r>
        <w:rPr>
          <w:sz w:val="20"/>
        </w:rPr>
        <w:t>at 108 and see Cane above, n.1241, at pp.134–136.</w:t>
      </w:r>
    </w:p>
    <w:p>
      <w:pPr>
        <w:pStyle w:val="BodyText"/>
        <w:spacing w:before="4"/>
      </w:pPr>
    </w:p>
    <w:p>
      <w:pPr>
        <w:spacing w:line="227" w:lineRule="exact" w:before="0"/>
        <w:ind w:left="165" w:right="0" w:firstLine="0"/>
        <w:jc w:val="left"/>
        <w:rPr>
          <w:rFonts w:ascii="Arial"/>
          <w:i/>
          <w:sz w:val="20"/>
        </w:rPr>
      </w:pPr>
      <w:bookmarkStart w:name="_bookmark2087" w:id="2089"/>
      <w:bookmarkEnd w:id="2089"/>
      <w:r>
        <w:rPr/>
      </w:r>
      <w:hyperlink w:history="true" w:anchor="_bookmark1949">
        <w:r>
          <w:rPr>
            <w:color w:val="005DA1"/>
            <w:position w:val="5"/>
            <w:sz w:val="14"/>
            <w:u w:val="single" w:color="005DA1"/>
          </w:rPr>
          <w:t>1404</w:t>
        </w:r>
      </w:hyperlink>
      <w:r>
        <w:rPr>
          <w:position w:val="5"/>
          <w:sz w:val="14"/>
        </w:rPr>
        <w:t>.</w:t>
      </w:r>
      <w:r>
        <w:rPr>
          <w:spacing w:val="55"/>
          <w:position w:val="5"/>
          <w:sz w:val="14"/>
        </w:rPr>
        <w:t>  </w:t>
      </w:r>
      <w:r>
        <w:rPr>
          <w:sz w:val="20"/>
        </w:rPr>
        <w:t>Limitation</w:t>
      </w:r>
      <w:r>
        <w:rPr>
          <w:spacing w:val="8"/>
          <w:sz w:val="20"/>
        </w:rPr>
        <w:t> </w:t>
      </w:r>
      <w:r>
        <w:rPr>
          <w:sz w:val="20"/>
        </w:rPr>
        <w:t>Act</w:t>
      </w:r>
      <w:r>
        <w:rPr>
          <w:spacing w:val="7"/>
          <w:sz w:val="20"/>
        </w:rPr>
        <w:t> </w:t>
      </w:r>
      <w:r>
        <w:rPr>
          <w:sz w:val="20"/>
        </w:rPr>
        <w:t>1980</w:t>
      </w:r>
      <w:r>
        <w:rPr>
          <w:spacing w:val="7"/>
          <w:sz w:val="20"/>
        </w:rPr>
        <w:t> </w:t>
      </w:r>
      <w:r>
        <w:rPr>
          <w:sz w:val="20"/>
        </w:rPr>
        <w:t>s.14A;</w:t>
      </w:r>
      <w:r>
        <w:rPr>
          <w:spacing w:val="7"/>
          <w:sz w:val="20"/>
        </w:rPr>
        <w:t> </w:t>
      </w:r>
      <w:r>
        <w:rPr>
          <w:rFonts w:ascii="Arial"/>
          <w:i/>
          <w:sz w:val="20"/>
        </w:rPr>
        <w:t>Iron</w:t>
      </w:r>
      <w:r>
        <w:rPr>
          <w:rFonts w:ascii="Arial"/>
          <w:i/>
          <w:spacing w:val="7"/>
          <w:sz w:val="20"/>
        </w:rPr>
        <w:t> </w:t>
      </w:r>
      <w:r>
        <w:rPr>
          <w:rFonts w:ascii="Arial"/>
          <w:i/>
          <w:sz w:val="20"/>
        </w:rPr>
        <w:t>Trades</w:t>
      </w:r>
      <w:r>
        <w:rPr>
          <w:rFonts w:ascii="Arial"/>
          <w:i/>
          <w:spacing w:val="7"/>
          <w:sz w:val="20"/>
        </w:rPr>
        <w:t> </w:t>
      </w:r>
      <w:r>
        <w:rPr>
          <w:rFonts w:ascii="Arial"/>
          <w:i/>
          <w:sz w:val="20"/>
        </w:rPr>
        <w:t>Mutual</w:t>
      </w:r>
      <w:r>
        <w:rPr>
          <w:rFonts w:ascii="Arial"/>
          <w:i/>
          <w:spacing w:val="7"/>
          <w:sz w:val="20"/>
        </w:rPr>
        <w:t> </w:t>
      </w:r>
      <w:r>
        <w:rPr>
          <w:rFonts w:ascii="Arial"/>
          <w:i/>
          <w:sz w:val="20"/>
        </w:rPr>
        <w:t>Insurance</w:t>
      </w:r>
      <w:r>
        <w:rPr>
          <w:rFonts w:ascii="Arial"/>
          <w:i/>
          <w:spacing w:val="7"/>
          <w:sz w:val="20"/>
        </w:rPr>
        <w:t> </w:t>
      </w:r>
      <w:r>
        <w:rPr>
          <w:rFonts w:ascii="Arial"/>
          <w:i/>
          <w:sz w:val="20"/>
        </w:rPr>
        <w:t>Co</w:t>
      </w:r>
      <w:r>
        <w:rPr>
          <w:rFonts w:ascii="Arial"/>
          <w:i/>
          <w:spacing w:val="7"/>
          <w:sz w:val="20"/>
        </w:rPr>
        <w:t> </w:t>
      </w:r>
      <w:r>
        <w:rPr>
          <w:rFonts w:ascii="Arial"/>
          <w:i/>
          <w:sz w:val="20"/>
        </w:rPr>
        <w:t>Ltd</w:t>
      </w:r>
      <w:r>
        <w:rPr>
          <w:rFonts w:ascii="Arial"/>
          <w:i/>
          <w:spacing w:val="7"/>
          <w:sz w:val="20"/>
        </w:rPr>
        <w:t> </w:t>
      </w:r>
      <w:r>
        <w:rPr>
          <w:rFonts w:ascii="Arial"/>
          <w:i/>
          <w:sz w:val="20"/>
        </w:rPr>
        <w:t>v</w:t>
      </w:r>
      <w:r>
        <w:rPr>
          <w:rFonts w:ascii="Arial"/>
          <w:i/>
          <w:spacing w:val="7"/>
          <w:sz w:val="20"/>
        </w:rPr>
        <w:t> </w:t>
      </w:r>
      <w:r>
        <w:rPr>
          <w:rFonts w:ascii="Arial"/>
          <w:i/>
          <w:sz w:val="20"/>
        </w:rPr>
        <w:t>J.K.</w:t>
      </w:r>
      <w:r>
        <w:rPr>
          <w:rFonts w:ascii="Arial"/>
          <w:i/>
          <w:spacing w:val="7"/>
          <w:sz w:val="20"/>
        </w:rPr>
        <w:t> </w:t>
      </w:r>
      <w:r>
        <w:rPr>
          <w:rFonts w:ascii="Arial"/>
          <w:i/>
          <w:sz w:val="20"/>
        </w:rPr>
        <w:t>Buckenham</w:t>
      </w:r>
      <w:r>
        <w:rPr>
          <w:rFonts w:ascii="Arial"/>
          <w:i/>
          <w:spacing w:val="7"/>
          <w:sz w:val="20"/>
        </w:rPr>
        <w:t> </w:t>
      </w:r>
      <w:r>
        <w:rPr>
          <w:rFonts w:ascii="Arial"/>
          <w:i/>
          <w:sz w:val="20"/>
        </w:rPr>
        <w:t>[1990]</w:t>
      </w:r>
      <w:r>
        <w:rPr>
          <w:rFonts w:ascii="Arial"/>
          <w:i/>
          <w:spacing w:val="7"/>
          <w:sz w:val="20"/>
        </w:rPr>
        <w:t> </w:t>
      </w:r>
      <w:r>
        <w:rPr>
          <w:rFonts w:ascii="Arial"/>
          <w:i/>
          <w:sz w:val="20"/>
        </w:rPr>
        <w:t>1</w:t>
      </w:r>
      <w:r>
        <w:rPr>
          <w:rFonts w:ascii="Arial"/>
          <w:i/>
          <w:spacing w:val="7"/>
          <w:sz w:val="20"/>
        </w:rPr>
        <w:t> </w:t>
      </w:r>
      <w:r>
        <w:rPr>
          <w:rFonts w:ascii="Arial"/>
          <w:i/>
          <w:spacing w:val="-5"/>
          <w:sz w:val="20"/>
        </w:rPr>
        <w:t>All</w:t>
      </w:r>
    </w:p>
    <w:p>
      <w:pPr>
        <w:spacing w:line="227" w:lineRule="exact" w:before="0"/>
        <w:ind w:left="705" w:right="0" w:firstLine="0"/>
        <w:jc w:val="left"/>
        <w:rPr>
          <w:sz w:val="20"/>
        </w:rPr>
      </w:pPr>
      <w:r>
        <w:rPr>
          <w:rFonts w:ascii="Arial"/>
          <w:i/>
          <w:sz w:val="20"/>
        </w:rPr>
        <w:t>E.R.</w:t>
      </w:r>
      <w:r>
        <w:rPr>
          <w:rFonts w:ascii="Arial"/>
          <w:i/>
          <w:spacing w:val="-3"/>
          <w:sz w:val="20"/>
        </w:rPr>
        <w:t> </w:t>
      </w:r>
      <w:r>
        <w:rPr>
          <w:rFonts w:ascii="Arial"/>
          <w:i/>
          <w:sz w:val="20"/>
        </w:rPr>
        <w:t>808</w:t>
      </w:r>
      <w:r>
        <w:rPr>
          <w:sz w:val="20"/>
        </w:rPr>
        <w:t>, see above, para.1-</w:t>
      </w:r>
      <w:r>
        <w:rPr>
          <w:spacing w:val="-4"/>
          <w:sz w:val="20"/>
        </w:rPr>
        <w:t>152.</w:t>
      </w:r>
    </w:p>
    <w:p>
      <w:pPr>
        <w:pStyle w:val="BodyText"/>
        <w:spacing w:before="5"/>
      </w:pPr>
    </w:p>
    <w:p>
      <w:pPr>
        <w:spacing w:line="227" w:lineRule="exact" w:before="0"/>
        <w:ind w:left="165" w:right="0" w:firstLine="0"/>
        <w:jc w:val="left"/>
        <w:rPr>
          <w:rFonts w:ascii="Arial"/>
          <w:i/>
          <w:sz w:val="20"/>
        </w:rPr>
      </w:pPr>
      <w:bookmarkStart w:name="_bookmark2088" w:id="2090"/>
      <w:bookmarkEnd w:id="2090"/>
      <w:r>
        <w:rPr/>
      </w:r>
      <w:hyperlink w:history="true" w:anchor="_bookmark1950">
        <w:r>
          <w:rPr>
            <w:color w:val="005DA1"/>
            <w:position w:val="5"/>
            <w:sz w:val="14"/>
            <w:u w:val="single" w:color="005DA1"/>
          </w:rPr>
          <w:t>1405</w:t>
        </w:r>
      </w:hyperlink>
      <w:r>
        <w:rPr>
          <w:position w:val="5"/>
          <w:sz w:val="14"/>
        </w:rPr>
        <w:t>.</w:t>
      </w:r>
      <w:r>
        <w:rPr>
          <w:spacing w:val="55"/>
          <w:position w:val="5"/>
          <w:sz w:val="14"/>
        </w:rPr>
        <w:t>  </w:t>
      </w:r>
      <w:r>
        <w:rPr>
          <w:rFonts w:ascii="Arial"/>
          <w:i/>
          <w:sz w:val="20"/>
        </w:rPr>
        <w:t>Matthews</w:t>
      </w:r>
      <w:r>
        <w:rPr>
          <w:rFonts w:ascii="Arial"/>
          <w:i/>
          <w:spacing w:val="26"/>
          <w:sz w:val="20"/>
        </w:rPr>
        <w:t> </w:t>
      </w:r>
      <w:r>
        <w:rPr>
          <w:rFonts w:ascii="Arial"/>
          <w:i/>
          <w:sz w:val="20"/>
        </w:rPr>
        <w:t>v</w:t>
      </w:r>
      <w:r>
        <w:rPr>
          <w:rFonts w:ascii="Arial"/>
          <w:i/>
          <w:spacing w:val="25"/>
          <w:sz w:val="20"/>
        </w:rPr>
        <w:t> </w:t>
      </w:r>
      <w:r>
        <w:rPr>
          <w:rFonts w:ascii="Arial"/>
          <w:i/>
          <w:sz w:val="20"/>
        </w:rPr>
        <w:t>Kuwait</w:t>
      </w:r>
      <w:r>
        <w:rPr>
          <w:rFonts w:ascii="Arial"/>
          <w:i/>
          <w:spacing w:val="25"/>
          <w:sz w:val="20"/>
        </w:rPr>
        <w:t> </w:t>
      </w:r>
      <w:r>
        <w:rPr>
          <w:rFonts w:ascii="Arial"/>
          <w:i/>
          <w:sz w:val="20"/>
        </w:rPr>
        <w:t>Bechtel</w:t>
      </w:r>
      <w:r>
        <w:rPr>
          <w:rFonts w:ascii="Arial"/>
          <w:i/>
          <w:spacing w:val="25"/>
          <w:sz w:val="20"/>
        </w:rPr>
        <w:t> </w:t>
      </w:r>
      <w:r>
        <w:rPr>
          <w:rFonts w:ascii="Arial"/>
          <w:i/>
          <w:sz w:val="20"/>
        </w:rPr>
        <w:t>Corp</w:t>
      </w:r>
      <w:r>
        <w:rPr>
          <w:rFonts w:ascii="Arial"/>
          <w:i/>
          <w:spacing w:val="25"/>
          <w:sz w:val="20"/>
        </w:rPr>
        <w:t> </w:t>
      </w:r>
      <w:r>
        <w:rPr>
          <w:rFonts w:ascii="Arial"/>
          <w:i/>
          <w:sz w:val="20"/>
        </w:rPr>
        <w:t>[1959]</w:t>
      </w:r>
      <w:r>
        <w:rPr>
          <w:rFonts w:ascii="Arial"/>
          <w:i/>
          <w:spacing w:val="25"/>
          <w:sz w:val="20"/>
        </w:rPr>
        <w:t> </w:t>
      </w:r>
      <w:r>
        <w:rPr>
          <w:rFonts w:ascii="Arial"/>
          <w:i/>
          <w:sz w:val="20"/>
        </w:rPr>
        <w:t>2</w:t>
      </w:r>
      <w:r>
        <w:rPr>
          <w:rFonts w:ascii="Arial"/>
          <w:i/>
          <w:spacing w:val="25"/>
          <w:sz w:val="20"/>
        </w:rPr>
        <w:t> </w:t>
      </w:r>
      <w:r>
        <w:rPr>
          <w:rFonts w:ascii="Arial"/>
          <w:i/>
          <w:sz w:val="20"/>
        </w:rPr>
        <w:t>Q.B.</w:t>
      </w:r>
      <w:r>
        <w:rPr>
          <w:rFonts w:ascii="Arial"/>
          <w:i/>
          <w:spacing w:val="24"/>
          <w:sz w:val="20"/>
        </w:rPr>
        <w:t> </w:t>
      </w:r>
      <w:r>
        <w:rPr>
          <w:rFonts w:ascii="Arial"/>
          <w:i/>
          <w:sz w:val="20"/>
        </w:rPr>
        <w:t>57</w:t>
      </w:r>
      <w:r>
        <w:rPr>
          <w:sz w:val="20"/>
        </w:rPr>
        <w:t>;</w:t>
      </w:r>
      <w:r>
        <w:rPr>
          <w:spacing w:val="25"/>
          <w:sz w:val="20"/>
        </w:rPr>
        <w:t> </w:t>
      </w:r>
      <w:r>
        <w:rPr>
          <w:rFonts w:ascii="Arial"/>
          <w:i/>
          <w:sz w:val="20"/>
        </w:rPr>
        <w:t>Coupland</w:t>
      </w:r>
      <w:r>
        <w:rPr>
          <w:rFonts w:ascii="Arial"/>
          <w:i/>
          <w:spacing w:val="25"/>
          <w:sz w:val="20"/>
        </w:rPr>
        <w:t> </w:t>
      </w:r>
      <w:r>
        <w:rPr>
          <w:rFonts w:ascii="Arial"/>
          <w:i/>
          <w:sz w:val="20"/>
        </w:rPr>
        <w:t>v</w:t>
      </w:r>
      <w:r>
        <w:rPr>
          <w:rFonts w:ascii="Arial"/>
          <w:i/>
          <w:spacing w:val="25"/>
          <w:sz w:val="20"/>
        </w:rPr>
        <w:t> </w:t>
      </w:r>
      <w:r>
        <w:rPr>
          <w:rFonts w:ascii="Arial"/>
          <w:i/>
          <w:sz w:val="20"/>
        </w:rPr>
        <w:t>Arabian</w:t>
      </w:r>
      <w:r>
        <w:rPr>
          <w:rFonts w:ascii="Arial"/>
          <w:i/>
          <w:spacing w:val="25"/>
          <w:sz w:val="20"/>
        </w:rPr>
        <w:t> </w:t>
      </w:r>
      <w:r>
        <w:rPr>
          <w:rFonts w:ascii="Arial"/>
          <w:i/>
          <w:sz w:val="20"/>
        </w:rPr>
        <w:t>Gulf</w:t>
      </w:r>
      <w:r>
        <w:rPr>
          <w:rFonts w:ascii="Arial"/>
          <w:i/>
          <w:spacing w:val="25"/>
          <w:sz w:val="20"/>
        </w:rPr>
        <w:t> </w:t>
      </w:r>
      <w:r>
        <w:rPr>
          <w:rFonts w:ascii="Arial"/>
          <w:i/>
          <w:sz w:val="20"/>
        </w:rPr>
        <w:t>Oil</w:t>
      </w:r>
      <w:r>
        <w:rPr>
          <w:rFonts w:ascii="Arial"/>
          <w:i/>
          <w:spacing w:val="25"/>
          <w:sz w:val="20"/>
        </w:rPr>
        <w:t> </w:t>
      </w:r>
      <w:r>
        <w:rPr>
          <w:rFonts w:ascii="Arial"/>
          <w:i/>
          <w:sz w:val="20"/>
        </w:rPr>
        <w:t>Co</w:t>
      </w:r>
      <w:r>
        <w:rPr>
          <w:rFonts w:ascii="Arial"/>
          <w:i/>
          <w:spacing w:val="25"/>
          <w:sz w:val="20"/>
        </w:rPr>
        <w:t> </w:t>
      </w:r>
      <w:r>
        <w:rPr>
          <w:rFonts w:ascii="Arial"/>
          <w:i/>
          <w:sz w:val="20"/>
        </w:rPr>
        <w:t>[1983]</w:t>
      </w:r>
      <w:r>
        <w:rPr>
          <w:rFonts w:ascii="Arial"/>
          <w:i/>
          <w:spacing w:val="25"/>
          <w:sz w:val="20"/>
        </w:rPr>
        <w:t> </w:t>
      </w:r>
      <w:r>
        <w:rPr>
          <w:rFonts w:ascii="Arial"/>
          <w:i/>
          <w:spacing w:val="-10"/>
          <w:sz w:val="20"/>
        </w:rPr>
        <w:t>1</w:t>
      </w:r>
    </w:p>
    <w:p>
      <w:pPr>
        <w:pStyle w:val="BodyText"/>
        <w:spacing w:line="235" w:lineRule="auto" w:before="1"/>
        <w:ind w:left="705"/>
      </w:pPr>
      <w:r>
        <w:rPr>
          <w:rFonts w:ascii="Arial"/>
          <w:i/>
        </w:rPr>
        <w:t>W.L.R.</w:t>
      </w:r>
      <w:r>
        <w:rPr>
          <w:rFonts w:ascii="Arial"/>
          <w:i/>
          <w:spacing w:val="-1"/>
        </w:rPr>
        <w:t> </w:t>
      </w:r>
      <w:r>
        <w:rPr>
          <w:rFonts w:ascii="Arial"/>
          <w:i/>
        </w:rPr>
        <w:t>1136</w:t>
      </w:r>
      <w:r>
        <w:rPr>
          <w:rFonts w:ascii="Arial"/>
          <w:i/>
          <w:spacing w:val="-1"/>
        </w:rPr>
        <w:t> </w:t>
      </w:r>
      <w:r>
        <w:rPr/>
        <w:t>and</w:t>
      </w:r>
      <w:r>
        <w:rPr>
          <w:spacing w:val="-1"/>
        </w:rPr>
        <w:t> </w:t>
      </w:r>
      <w:r>
        <w:rPr/>
        <w:t>see</w:t>
      </w:r>
      <w:r>
        <w:rPr>
          <w:spacing w:val="-1"/>
        </w:rPr>
        <w:t> </w:t>
      </w:r>
      <w:r>
        <w:rPr/>
        <w:t>Dicey</w:t>
      </w:r>
      <w:r>
        <w:rPr>
          <w:spacing w:val="-1"/>
        </w:rPr>
        <w:t> </w:t>
      </w:r>
      <w:r>
        <w:rPr/>
        <w:t>and</w:t>
      </w:r>
      <w:r>
        <w:rPr>
          <w:spacing w:val="-1"/>
        </w:rPr>
        <w:t> </w:t>
      </w:r>
      <w:r>
        <w:rPr/>
        <w:t>Morris</w:t>
      </w:r>
      <w:r>
        <w:rPr>
          <w:spacing w:val="-1"/>
        </w:rPr>
        <w:t> </w:t>
      </w:r>
      <w:r>
        <w:rPr/>
        <w:t>on</w:t>
      </w:r>
      <w:r>
        <w:rPr>
          <w:spacing w:val="-1"/>
        </w:rPr>
        <w:t> </w:t>
      </w:r>
      <w:r>
        <w:rPr/>
        <w:t>The</w:t>
      </w:r>
      <w:r>
        <w:rPr>
          <w:spacing w:val="-1"/>
        </w:rPr>
        <w:t> </w:t>
      </w:r>
      <w:r>
        <w:rPr/>
        <w:t>Conflict</w:t>
      </w:r>
      <w:r>
        <w:rPr>
          <w:spacing w:val="-1"/>
        </w:rPr>
        <w:t> </w:t>
      </w:r>
      <w:r>
        <w:rPr/>
        <w:t>of</w:t>
      </w:r>
      <w:r>
        <w:rPr>
          <w:spacing w:val="-1"/>
        </w:rPr>
        <w:t> </w:t>
      </w:r>
      <w:r>
        <w:rPr/>
        <w:t>Laws,</w:t>
      </w:r>
      <w:r>
        <w:rPr>
          <w:spacing w:val="-1"/>
        </w:rPr>
        <w:t> </w:t>
      </w:r>
      <w:r>
        <w:rPr/>
        <w:t>11th</w:t>
      </w:r>
      <w:r>
        <w:rPr>
          <w:spacing w:val="-1"/>
        </w:rPr>
        <w:t> </w:t>
      </w:r>
      <w:r>
        <w:rPr/>
        <w:t>edn</w:t>
      </w:r>
      <w:r>
        <w:rPr>
          <w:spacing w:val="-1"/>
        </w:rPr>
        <w:t> </w:t>
      </w:r>
      <w:r>
        <w:rPr/>
        <w:t>(1987),</w:t>
      </w:r>
      <w:r>
        <w:rPr>
          <w:spacing w:val="-1"/>
        </w:rPr>
        <w:t> </w:t>
      </w:r>
      <w:r>
        <w:rPr/>
        <w:t>Vol.1,</w:t>
      </w:r>
      <w:r>
        <w:rPr>
          <w:spacing w:val="-1"/>
        </w:rPr>
        <w:t> </w:t>
      </w:r>
      <w:r>
        <w:rPr/>
        <w:t>pp.328, 329, 345.</w:t>
      </w:r>
    </w:p>
    <w:p>
      <w:pPr>
        <w:pStyle w:val="BodyText"/>
        <w:spacing w:before="10"/>
      </w:pPr>
    </w:p>
    <w:p>
      <w:pPr>
        <w:pStyle w:val="BodyText"/>
        <w:spacing w:line="235" w:lineRule="auto"/>
        <w:ind w:left="705" w:right="167" w:hanging="541"/>
        <w:jc w:val="both"/>
      </w:pPr>
      <w:bookmarkStart w:name="_bookmark2089" w:id="2091"/>
      <w:bookmarkEnd w:id="2091"/>
      <w:r>
        <w:rPr/>
      </w:r>
      <w:hyperlink w:history="true" w:anchor="_bookmark1951">
        <w:r>
          <w:rPr>
            <w:color w:val="005DA1"/>
            <w:position w:val="5"/>
            <w:sz w:val="14"/>
            <w:u w:val="single" w:color="005DA1"/>
          </w:rPr>
          <w:t>1406</w:t>
        </w:r>
      </w:hyperlink>
      <w:r>
        <w:rPr>
          <w:position w:val="5"/>
          <w:sz w:val="14"/>
        </w:rPr>
        <w:t>.</w:t>
      </w:r>
      <w:r>
        <w:rPr>
          <w:spacing w:val="80"/>
          <w:position w:val="5"/>
          <w:sz w:val="14"/>
        </w:rPr>
        <w:t> </w:t>
      </w:r>
      <w:r>
        <w:rPr/>
        <w:t>[2014] O.J. L351/1 arts 7(1) and 7(2) (in force on January 10, 2015) replacing </w:t>
      </w:r>
      <w:r>
        <w:rPr/>
        <w:t>Regulation 44/2001 on jurisdiction and the enforcement of judgments in civil and commercial matters (“Brussels I Regulation”) arts 5(1) and 5(3), which itself replaced the Brussels Convention on Jurisdiction and the Enforcement of Judgments in Civil and Commercial Matters 1968. For the law under the Brussels I Regulation see Dicey, Morris and Collins on The Conflict of Laws, 15th edn (2014), Ch.11.</w:t>
      </w:r>
    </w:p>
    <w:p>
      <w:pPr>
        <w:pStyle w:val="BodyText"/>
        <w:spacing w:before="7"/>
      </w:pPr>
    </w:p>
    <w:p>
      <w:pPr>
        <w:spacing w:line="235" w:lineRule="auto" w:before="0"/>
        <w:ind w:left="705" w:right="0" w:hanging="541"/>
        <w:jc w:val="left"/>
        <w:rPr>
          <w:sz w:val="20"/>
        </w:rPr>
      </w:pPr>
      <w:bookmarkStart w:name="_bookmark2090" w:id="2092"/>
      <w:bookmarkEnd w:id="2092"/>
      <w:r>
        <w:rPr/>
      </w:r>
      <w:hyperlink w:history="true" w:anchor="_bookmark1952">
        <w:r>
          <w:rPr>
            <w:color w:val="005DA1"/>
            <w:position w:val="5"/>
            <w:sz w:val="14"/>
            <w:u w:val="single" w:color="005DA1"/>
          </w:rPr>
          <w:t>1407</w:t>
        </w:r>
      </w:hyperlink>
      <w:r>
        <w:rPr>
          <w:position w:val="5"/>
          <w:sz w:val="14"/>
        </w:rPr>
        <w:t>.</w:t>
      </w:r>
      <w:r>
        <w:rPr>
          <w:spacing w:val="40"/>
          <w:position w:val="5"/>
          <w:sz w:val="14"/>
        </w:rPr>
        <w:t>  </w:t>
      </w:r>
      <w:r>
        <w:rPr>
          <w:rFonts w:ascii="Arial" w:hAnsi="Arial"/>
          <w:i/>
          <w:sz w:val="20"/>
        </w:rPr>
        <w:t>Kalfelis</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Schröder</w:t>
      </w:r>
      <w:r>
        <w:rPr>
          <w:rFonts w:ascii="Arial" w:hAnsi="Arial"/>
          <w:i/>
          <w:spacing w:val="28"/>
          <w:sz w:val="20"/>
        </w:rPr>
        <w:t> </w:t>
      </w:r>
      <w:r>
        <w:rPr>
          <w:rFonts w:ascii="Arial" w:hAnsi="Arial"/>
          <w:i/>
          <w:sz w:val="20"/>
        </w:rPr>
        <w:t>(189/87)</w:t>
      </w:r>
      <w:r>
        <w:rPr>
          <w:rFonts w:ascii="Arial" w:hAnsi="Arial"/>
          <w:i/>
          <w:spacing w:val="28"/>
          <w:sz w:val="20"/>
        </w:rPr>
        <w:t> </w:t>
      </w:r>
      <w:r>
        <w:rPr>
          <w:rFonts w:ascii="Arial" w:hAnsi="Arial"/>
          <w:i/>
          <w:sz w:val="20"/>
        </w:rPr>
        <w:t>[1988]</w:t>
      </w:r>
      <w:r>
        <w:rPr>
          <w:rFonts w:ascii="Arial" w:hAnsi="Arial"/>
          <w:i/>
          <w:spacing w:val="28"/>
          <w:sz w:val="20"/>
        </w:rPr>
        <w:t> </w:t>
      </w:r>
      <w:r>
        <w:rPr>
          <w:rFonts w:ascii="Arial" w:hAnsi="Arial"/>
          <w:i/>
          <w:sz w:val="20"/>
        </w:rPr>
        <w:t>E.C.R.</w:t>
      </w:r>
      <w:r>
        <w:rPr>
          <w:rFonts w:ascii="Arial" w:hAnsi="Arial"/>
          <w:i/>
          <w:spacing w:val="28"/>
          <w:sz w:val="20"/>
        </w:rPr>
        <w:t> </w:t>
      </w:r>
      <w:r>
        <w:rPr>
          <w:rFonts w:ascii="Arial" w:hAnsi="Arial"/>
          <w:i/>
          <w:sz w:val="20"/>
        </w:rPr>
        <w:t>5565,</w:t>
      </w:r>
      <w:r>
        <w:rPr>
          <w:rFonts w:ascii="Arial" w:hAnsi="Arial"/>
          <w:i/>
          <w:spacing w:val="28"/>
          <w:sz w:val="20"/>
        </w:rPr>
        <w:t> </w:t>
      </w:r>
      <w:r>
        <w:rPr>
          <w:rFonts w:ascii="Arial" w:hAnsi="Arial"/>
          <w:i/>
          <w:sz w:val="20"/>
        </w:rPr>
        <w:t>5577</w:t>
      </w:r>
      <w:r>
        <w:rPr>
          <w:rFonts w:ascii="Arial" w:hAnsi="Arial"/>
          <w:i/>
          <w:spacing w:val="28"/>
          <w:sz w:val="20"/>
        </w:rPr>
        <w:t> </w:t>
      </w:r>
      <w:r>
        <w:rPr>
          <w:rFonts w:ascii="Arial" w:hAnsi="Arial"/>
          <w:i/>
          <w:sz w:val="20"/>
        </w:rPr>
        <w:t>(A.G.</w:t>
      </w:r>
      <w:r>
        <w:rPr>
          <w:rFonts w:ascii="Arial" w:hAnsi="Arial"/>
          <w:i/>
          <w:spacing w:val="28"/>
          <w:sz w:val="20"/>
        </w:rPr>
        <w:t> </w:t>
      </w:r>
      <w:r>
        <w:rPr>
          <w:rFonts w:ascii="Arial" w:hAnsi="Arial"/>
          <w:i/>
          <w:sz w:val="20"/>
        </w:rPr>
        <w:t>Darmon),</w:t>
      </w:r>
      <w:r>
        <w:rPr>
          <w:rFonts w:ascii="Arial" w:hAnsi="Arial"/>
          <w:i/>
          <w:spacing w:val="28"/>
          <w:sz w:val="20"/>
        </w:rPr>
        <w:t> </w:t>
      </w:r>
      <w:r>
        <w:rPr>
          <w:rFonts w:ascii="Arial" w:hAnsi="Arial"/>
          <w:i/>
          <w:sz w:val="20"/>
        </w:rPr>
        <w:t>5585</w:t>
      </w:r>
      <w:r>
        <w:rPr>
          <w:rFonts w:ascii="Arial" w:hAnsi="Arial"/>
          <w:i/>
          <w:spacing w:val="27"/>
          <w:sz w:val="20"/>
        </w:rPr>
        <w:t> </w:t>
      </w:r>
      <w:r>
        <w:rPr>
          <w:sz w:val="20"/>
        </w:rPr>
        <w:t>and</w:t>
      </w:r>
      <w:r>
        <w:rPr>
          <w:spacing w:val="28"/>
          <w:sz w:val="20"/>
        </w:rPr>
        <w:t> </w:t>
      </w:r>
      <w:r>
        <w:rPr>
          <w:sz w:val="20"/>
        </w:rPr>
        <w:t>see</w:t>
      </w:r>
      <w:r>
        <w:rPr>
          <w:spacing w:val="28"/>
          <w:sz w:val="20"/>
        </w:rPr>
        <w:t> </w:t>
      </w:r>
      <w:r>
        <w:rPr>
          <w:sz w:val="20"/>
        </w:rPr>
        <w:t>Dicey, Morris and Collins on the Conflict of Laws, 14th edn (2006), paras 11-284, 11-299.</w:t>
      </w:r>
    </w:p>
    <w:p>
      <w:pPr>
        <w:pStyle w:val="BodyText"/>
        <w:spacing w:before="10"/>
      </w:pPr>
    </w:p>
    <w:p>
      <w:pPr>
        <w:spacing w:line="235" w:lineRule="auto" w:before="0"/>
        <w:ind w:left="705" w:right="167" w:hanging="541"/>
        <w:jc w:val="both"/>
        <w:rPr>
          <w:sz w:val="20"/>
        </w:rPr>
      </w:pPr>
      <w:bookmarkStart w:name="_bookmark2091" w:id="2093"/>
      <w:bookmarkEnd w:id="2093"/>
      <w:r>
        <w:rPr/>
      </w:r>
      <w:hyperlink w:history="true" w:anchor="_bookmark1953">
        <w:r>
          <w:rPr>
            <w:color w:val="005DA1"/>
            <w:position w:val="5"/>
            <w:sz w:val="14"/>
            <w:u w:val="single" w:color="005DA1"/>
          </w:rPr>
          <w:t>1408</w:t>
        </w:r>
      </w:hyperlink>
      <w:r>
        <w:rPr>
          <w:position w:val="5"/>
          <w:sz w:val="14"/>
        </w:rPr>
        <w:t>.</w:t>
      </w:r>
      <w:r>
        <w:rPr>
          <w:spacing w:val="40"/>
          <w:position w:val="5"/>
          <w:sz w:val="14"/>
        </w:rPr>
        <w:t> </w:t>
      </w:r>
      <w:r>
        <w:rPr>
          <w:rFonts w:ascii="Arial" w:hAnsi="Arial"/>
          <w:i/>
          <w:sz w:val="20"/>
        </w:rPr>
        <w:t>Case 814/79 Netherlands State v Rüffer [1980] E.C.R. 3807, 3832-3833, 3836</w:t>
      </w:r>
      <w:r>
        <w:rPr>
          <w:sz w:val="20"/>
        </w:rPr>
        <w:t>; </w:t>
      </w:r>
      <w:r>
        <w:rPr>
          <w:rFonts w:ascii="Arial" w:hAnsi="Arial"/>
          <w:i/>
          <w:sz w:val="20"/>
        </w:rPr>
        <w:t>Kalfelis v Schröder (C-189/87) [1998] E.C.R. 5565</w:t>
      </w:r>
      <w:r>
        <w:rPr>
          <w:sz w:val="20"/>
        </w:rPr>
        <w:t>; </w:t>
      </w:r>
      <w:r>
        <w:rPr>
          <w:rFonts w:ascii="Arial" w:hAnsi="Arial"/>
          <w:i/>
          <w:sz w:val="20"/>
        </w:rPr>
        <w:t>Jakob Handte &amp; Co GmbH v Société Traitements Mécanochimiques des Surfaces (TMCS) (C-26/91) [1993] I.L.Pr. 5</w:t>
      </w:r>
      <w:r>
        <w:rPr>
          <w:sz w:val="20"/>
        </w:rPr>
        <w:t>; </w:t>
      </w:r>
      <w:r>
        <w:rPr>
          <w:rFonts w:ascii="Arial" w:hAnsi="Arial"/>
          <w:i/>
          <w:sz w:val="20"/>
        </w:rPr>
        <w:t>eDate Advertising </w:t>
      </w:r>
      <w:r>
        <w:rPr>
          <w:rFonts w:ascii="Arial" w:hAnsi="Arial"/>
          <w:i/>
          <w:sz w:val="20"/>
        </w:rPr>
        <w:t>and Martinez (C-161/10) October 25, 2011 </w:t>
      </w:r>
      <w:r>
        <w:rPr>
          <w:sz w:val="20"/>
        </w:rPr>
        <w:t>at para.38; </w:t>
      </w:r>
      <w:r>
        <w:rPr>
          <w:rFonts w:ascii="Arial" w:hAnsi="Arial"/>
          <w:i/>
          <w:sz w:val="20"/>
        </w:rPr>
        <w:t>ÖFAB, Östergötlands Fastigheter AB v Koot (C-147/12) July 18, 2013 </w:t>
      </w:r>
      <w:r>
        <w:rPr>
          <w:sz w:val="20"/>
        </w:rPr>
        <w:t>at para.27 and see Dicey and Morris and Collins, 15th edn (2014), paras 11-268—11-272, 11-285.</w:t>
      </w:r>
    </w:p>
    <w:p>
      <w:pPr>
        <w:pStyle w:val="BodyText"/>
        <w:spacing w:before="4"/>
      </w:pPr>
    </w:p>
    <w:p>
      <w:pPr>
        <w:spacing w:before="0"/>
        <w:ind w:left="165" w:right="0" w:firstLine="0"/>
        <w:jc w:val="left"/>
        <w:rPr>
          <w:sz w:val="20"/>
        </w:rPr>
      </w:pPr>
      <w:bookmarkStart w:name="_bookmark2092" w:id="2094"/>
      <w:bookmarkEnd w:id="2094"/>
      <w:r>
        <w:rPr/>
      </w:r>
      <w:hyperlink w:history="true" w:anchor="_bookmark1954">
        <w:r>
          <w:rPr>
            <w:color w:val="005DA1"/>
            <w:position w:val="5"/>
            <w:sz w:val="14"/>
            <w:u w:val="single" w:color="005DA1"/>
          </w:rPr>
          <w:t>1409</w:t>
        </w:r>
      </w:hyperlink>
      <w:r>
        <w:rPr>
          <w:position w:val="5"/>
          <w:sz w:val="14"/>
        </w:rPr>
        <w:t>.</w:t>
      </w:r>
      <w:r>
        <w:rPr>
          <w:spacing w:val="55"/>
          <w:position w:val="5"/>
          <w:sz w:val="14"/>
        </w:rPr>
        <w:t>  </w:t>
      </w:r>
      <w:r>
        <w:rPr>
          <w:rFonts w:ascii="Arial"/>
          <w:i/>
          <w:sz w:val="20"/>
        </w:rPr>
        <w:t>[1998]</w:t>
      </w:r>
      <w:r>
        <w:rPr>
          <w:rFonts w:ascii="Arial"/>
          <w:i/>
          <w:spacing w:val="1"/>
          <w:sz w:val="20"/>
        </w:rPr>
        <w:t> </w:t>
      </w:r>
      <w:r>
        <w:rPr>
          <w:rFonts w:ascii="Arial"/>
          <w:i/>
          <w:sz w:val="20"/>
        </w:rPr>
        <w:t>Q.B. </w:t>
      </w:r>
      <w:r>
        <w:rPr>
          <w:rFonts w:ascii="Arial"/>
          <w:i/>
          <w:spacing w:val="-5"/>
          <w:sz w:val="20"/>
        </w:rPr>
        <w:t>54</w:t>
      </w:r>
      <w:r>
        <w:rPr>
          <w:spacing w:val="-5"/>
          <w:sz w:val="20"/>
        </w:rPr>
        <w:t>.</w:t>
      </w:r>
    </w:p>
    <w:p>
      <w:pPr>
        <w:spacing w:after="0"/>
        <w:jc w:val="left"/>
        <w:rPr>
          <w:sz w:val="20"/>
        </w:rPr>
        <w:sectPr>
          <w:pgSz w:w="11900" w:h="16840"/>
          <w:pgMar w:header="971" w:footer="0" w:top="1300" w:bottom="280" w:left="1275" w:right="1275"/>
        </w:sectPr>
      </w:pPr>
    </w:p>
    <w:p>
      <w:pPr>
        <w:spacing w:line="235" w:lineRule="auto" w:before="170"/>
        <w:ind w:left="705" w:right="0" w:hanging="541"/>
        <w:jc w:val="left"/>
        <w:rPr>
          <w:sz w:val="20"/>
        </w:rPr>
      </w:pPr>
      <w:hyperlink w:history="true" w:anchor="_bookmark1955">
        <w:r>
          <w:rPr>
            <w:color w:val="005DA1"/>
            <w:position w:val="5"/>
            <w:sz w:val="14"/>
            <w:u w:val="single" w:color="005DA1"/>
          </w:rPr>
          <w:t>1410</w:t>
        </w:r>
      </w:hyperlink>
      <w:r>
        <w:rPr>
          <w:position w:val="5"/>
          <w:sz w:val="14"/>
        </w:rPr>
        <w:t>.</w:t>
      </w:r>
      <w:r>
        <w:rPr>
          <w:spacing w:val="40"/>
          <w:position w:val="5"/>
          <w:sz w:val="14"/>
        </w:rPr>
        <w:t>  </w:t>
      </w:r>
      <w:r>
        <w:rPr>
          <w:rFonts w:ascii="Arial" w:hAnsi="Arial"/>
          <w:i/>
          <w:sz w:val="20"/>
        </w:rPr>
        <w:t>Kalfelis</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Schröder</w:t>
      </w:r>
      <w:r>
        <w:rPr>
          <w:rFonts w:ascii="Arial" w:hAnsi="Arial"/>
          <w:i/>
          <w:spacing w:val="36"/>
          <w:sz w:val="20"/>
        </w:rPr>
        <w:t> </w:t>
      </w:r>
      <w:r>
        <w:rPr>
          <w:rFonts w:ascii="Arial" w:hAnsi="Arial"/>
          <w:i/>
          <w:sz w:val="20"/>
        </w:rPr>
        <w:t>(189/87)</w:t>
      </w:r>
      <w:r>
        <w:rPr>
          <w:rFonts w:ascii="Arial" w:hAnsi="Arial"/>
          <w:i/>
          <w:spacing w:val="36"/>
          <w:sz w:val="20"/>
        </w:rPr>
        <w:t> </w:t>
      </w:r>
      <w:r>
        <w:rPr>
          <w:rFonts w:ascii="Arial" w:hAnsi="Arial"/>
          <w:i/>
          <w:sz w:val="20"/>
        </w:rPr>
        <w:t>[1988]</w:t>
      </w:r>
      <w:r>
        <w:rPr>
          <w:rFonts w:ascii="Arial" w:hAnsi="Arial"/>
          <w:i/>
          <w:spacing w:val="36"/>
          <w:sz w:val="20"/>
        </w:rPr>
        <w:t> </w:t>
      </w:r>
      <w:r>
        <w:rPr>
          <w:rFonts w:ascii="Arial" w:hAnsi="Arial"/>
          <w:i/>
          <w:sz w:val="20"/>
        </w:rPr>
        <w:t>E.C.R.</w:t>
      </w:r>
      <w:r>
        <w:rPr>
          <w:rFonts w:ascii="Arial" w:hAnsi="Arial"/>
          <w:i/>
          <w:spacing w:val="36"/>
          <w:sz w:val="20"/>
        </w:rPr>
        <w:t> </w:t>
      </w:r>
      <w:r>
        <w:rPr>
          <w:rFonts w:ascii="Arial" w:hAnsi="Arial"/>
          <w:i/>
          <w:sz w:val="20"/>
        </w:rPr>
        <w:t>5565</w:t>
      </w:r>
      <w:r>
        <w:rPr>
          <w:sz w:val="20"/>
        </w:rPr>
        <w:t>.</w:t>
      </w:r>
      <w:r>
        <w:rPr>
          <w:spacing w:val="36"/>
          <w:sz w:val="20"/>
        </w:rPr>
        <w:t> </w:t>
      </w:r>
      <w:r>
        <w:rPr>
          <w:sz w:val="20"/>
        </w:rPr>
        <w:t>The</w:t>
      </w:r>
      <w:r>
        <w:rPr>
          <w:spacing w:val="36"/>
          <w:sz w:val="20"/>
        </w:rPr>
        <w:t> </w:t>
      </w:r>
      <w:r>
        <w:rPr>
          <w:sz w:val="20"/>
        </w:rPr>
        <w:t>equivalent</w:t>
      </w:r>
      <w:r>
        <w:rPr>
          <w:spacing w:val="36"/>
          <w:sz w:val="20"/>
        </w:rPr>
        <w:t> </w:t>
      </w:r>
      <w:r>
        <w:rPr>
          <w:sz w:val="20"/>
        </w:rPr>
        <w:t>provision</w:t>
      </w:r>
      <w:r>
        <w:rPr>
          <w:spacing w:val="36"/>
          <w:sz w:val="20"/>
        </w:rPr>
        <w:t> </w:t>
      </w:r>
      <w:r>
        <w:rPr>
          <w:sz w:val="20"/>
        </w:rPr>
        <w:t>of</w:t>
      </w:r>
      <w:r>
        <w:rPr>
          <w:spacing w:val="36"/>
          <w:sz w:val="20"/>
        </w:rPr>
        <w:t> </w:t>
      </w:r>
      <w:r>
        <w:rPr>
          <w:sz w:val="20"/>
        </w:rPr>
        <w:t>art.5(1)</w:t>
      </w:r>
      <w:r>
        <w:rPr>
          <w:spacing w:val="36"/>
          <w:sz w:val="20"/>
        </w:rPr>
        <w:t> </w:t>
      </w:r>
      <w:r>
        <w:rPr>
          <w:sz w:val="20"/>
        </w:rPr>
        <w:t>in</w:t>
      </w:r>
      <w:r>
        <w:rPr>
          <w:spacing w:val="36"/>
          <w:sz w:val="20"/>
        </w:rPr>
        <w:t> </w:t>
      </w:r>
      <w:r>
        <w:rPr>
          <w:sz w:val="20"/>
        </w:rPr>
        <w:t>the Brussels Convention is art.7(1) of the Brussels Ibis Regulation.</w:t>
      </w:r>
    </w:p>
    <w:p>
      <w:pPr>
        <w:pStyle w:val="BodyText"/>
        <w:spacing w:before="9"/>
      </w:pPr>
    </w:p>
    <w:p>
      <w:pPr>
        <w:spacing w:line="235" w:lineRule="auto" w:before="0"/>
        <w:ind w:left="705" w:right="168" w:hanging="541"/>
        <w:jc w:val="left"/>
        <w:rPr>
          <w:sz w:val="20"/>
        </w:rPr>
      </w:pPr>
      <w:bookmarkStart w:name="_bookmark2093" w:id="2095"/>
      <w:bookmarkEnd w:id="2095"/>
      <w:r>
        <w:rPr/>
      </w:r>
      <w:hyperlink w:history="true" w:anchor="_bookmark1956">
        <w:r>
          <w:rPr>
            <w:color w:val="005DA1"/>
            <w:position w:val="5"/>
            <w:sz w:val="14"/>
            <w:u w:val="single" w:color="005DA1"/>
          </w:rPr>
          <w:t>1411</w:t>
        </w:r>
      </w:hyperlink>
      <w:r>
        <w:rPr>
          <w:position w:val="5"/>
          <w:sz w:val="14"/>
        </w:rPr>
        <w:t>.</w:t>
      </w:r>
      <w:r>
        <w:rPr>
          <w:spacing w:val="40"/>
          <w:position w:val="5"/>
          <w:sz w:val="14"/>
        </w:rPr>
        <w:t>  </w:t>
      </w:r>
      <w:r>
        <w:rPr>
          <w:rFonts w:ascii="Arial" w:hAnsi="Arial"/>
          <w:i/>
          <w:sz w:val="20"/>
        </w:rPr>
        <w:t>[1988] E.C.R. 5565 </w:t>
      </w:r>
      <w:r>
        <w:rPr>
          <w:sz w:val="20"/>
        </w:rPr>
        <w:t>at [5585] and see </w:t>
      </w:r>
      <w:r>
        <w:rPr>
          <w:rFonts w:ascii="Arial" w:hAnsi="Arial"/>
          <w:i/>
          <w:sz w:val="20"/>
        </w:rPr>
        <w:t>ÖFAB, Östergötlands Fastigheter AB v Koot (C-147/12)</w:t>
      </w:r>
      <w:r>
        <w:rPr>
          <w:rFonts w:ascii="Arial" w:hAnsi="Arial"/>
          <w:i/>
          <w:spacing w:val="40"/>
          <w:sz w:val="20"/>
        </w:rPr>
        <w:t> </w:t>
      </w:r>
      <w:r>
        <w:rPr>
          <w:rFonts w:ascii="Arial" w:hAnsi="Arial"/>
          <w:i/>
          <w:sz w:val="20"/>
        </w:rPr>
        <w:t>July 18, 2013 </w:t>
      </w:r>
      <w:r>
        <w:rPr>
          <w:sz w:val="20"/>
        </w:rPr>
        <w:t>at para.32.</w:t>
      </w:r>
    </w:p>
    <w:p>
      <w:pPr>
        <w:pStyle w:val="BodyText"/>
        <w:spacing w:before="6"/>
      </w:pPr>
    </w:p>
    <w:p>
      <w:pPr>
        <w:spacing w:before="0"/>
        <w:ind w:left="165" w:right="0" w:firstLine="0"/>
        <w:jc w:val="left"/>
        <w:rPr>
          <w:sz w:val="20"/>
        </w:rPr>
      </w:pPr>
      <w:bookmarkStart w:name="_bookmark2094" w:id="2096"/>
      <w:bookmarkEnd w:id="2096"/>
      <w:r>
        <w:rPr/>
      </w:r>
      <w:hyperlink w:history="true" w:anchor="_bookmark1957">
        <w:r>
          <w:rPr>
            <w:color w:val="005DA1"/>
            <w:position w:val="5"/>
            <w:sz w:val="14"/>
            <w:u w:val="single" w:color="005DA1"/>
          </w:rPr>
          <w:t>1412</w:t>
        </w:r>
      </w:hyperlink>
      <w:r>
        <w:rPr>
          <w:position w:val="5"/>
          <w:sz w:val="14"/>
        </w:rPr>
        <w:t>.</w:t>
      </w:r>
      <w:r>
        <w:rPr>
          <w:spacing w:val="55"/>
          <w:position w:val="5"/>
          <w:sz w:val="14"/>
        </w:rPr>
        <w:t>  </w:t>
      </w:r>
      <w:r>
        <w:rPr>
          <w:rFonts w:ascii="Arial"/>
          <w:i/>
          <w:sz w:val="20"/>
        </w:rPr>
        <w:t>[1998]</w:t>
      </w:r>
      <w:r>
        <w:rPr>
          <w:rFonts w:ascii="Arial"/>
          <w:i/>
          <w:spacing w:val="1"/>
          <w:sz w:val="20"/>
        </w:rPr>
        <w:t> </w:t>
      </w:r>
      <w:r>
        <w:rPr>
          <w:rFonts w:ascii="Arial"/>
          <w:i/>
          <w:sz w:val="20"/>
        </w:rPr>
        <w:t>Q.B. 54, </w:t>
      </w:r>
      <w:r>
        <w:rPr>
          <w:rFonts w:ascii="Arial"/>
          <w:i/>
          <w:spacing w:val="-5"/>
          <w:sz w:val="20"/>
        </w:rPr>
        <w:t>63</w:t>
      </w:r>
      <w:r>
        <w:rPr>
          <w:spacing w:val="-5"/>
          <w:sz w:val="20"/>
        </w:rPr>
        <w:t>.</w:t>
      </w:r>
    </w:p>
    <w:p>
      <w:pPr>
        <w:pStyle w:val="BodyText"/>
        <w:spacing w:before="9"/>
      </w:pPr>
    </w:p>
    <w:p>
      <w:pPr>
        <w:spacing w:line="235" w:lineRule="auto" w:before="0"/>
        <w:ind w:left="705" w:right="167" w:hanging="541"/>
        <w:jc w:val="both"/>
        <w:rPr>
          <w:sz w:val="20"/>
        </w:rPr>
      </w:pPr>
      <w:bookmarkStart w:name="_bookmark2095" w:id="2097"/>
      <w:bookmarkEnd w:id="2097"/>
      <w:r>
        <w:rPr/>
      </w:r>
      <w:hyperlink w:history="true" w:anchor="_bookmark1958">
        <w:r>
          <w:rPr>
            <w:color w:val="005DA1"/>
            <w:position w:val="5"/>
            <w:sz w:val="14"/>
            <w:u w:val="single" w:color="005DA1"/>
          </w:rPr>
          <w:t>1413</w:t>
        </w:r>
      </w:hyperlink>
      <w:r>
        <w:rPr>
          <w:position w:val="5"/>
          <w:sz w:val="14"/>
        </w:rPr>
        <w:t>.</w:t>
      </w:r>
      <w:r>
        <w:rPr>
          <w:spacing w:val="80"/>
          <w:w w:val="150"/>
          <w:position w:val="5"/>
          <w:sz w:val="14"/>
        </w:rPr>
        <w:t> </w:t>
      </w:r>
      <w:r>
        <w:rPr>
          <w:sz w:val="20"/>
        </w:rPr>
        <w:t>The</w:t>
      </w:r>
      <w:r>
        <w:rPr>
          <w:spacing w:val="-2"/>
          <w:sz w:val="20"/>
        </w:rPr>
        <w:t> </w:t>
      </w:r>
      <w:r>
        <w:rPr>
          <w:sz w:val="20"/>
        </w:rPr>
        <w:t>decision</w:t>
      </w:r>
      <w:r>
        <w:rPr>
          <w:spacing w:val="-2"/>
          <w:sz w:val="20"/>
        </w:rPr>
        <w:t> </w:t>
      </w:r>
      <w:r>
        <w:rPr>
          <w:sz w:val="20"/>
        </w:rPr>
        <w:t>of</w:t>
      </w:r>
      <w:r>
        <w:rPr>
          <w:spacing w:val="-2"/>
          <w:sz w:val="20"/>
        </w:rPr>
        <w:t> </w:t>
      </w:r>
      <w:r>
        <w:rPr>
          <w:sz w:val="20"/>
        </w:rPr>
        <w:t>the</w:t>
      </w:r>
      <w:r>
        <w:rPr>
          <w:spacing w:val="-2"/>
          <w:sz w:val="20"/>
        </w:rPr>
        <w:t> </w:t>
      </w:r>
      <w:r>
        <w:rPr>
          <w:sz w:val="20"/>
        </w:rPr>
        <w:t>Court</w:t>
      </w:r>
      <w:r>
        <w:rPr>
          <w:spacing w:val="-2"/>
          <w:sz w:val="20"/>
        </w:rPr>
        <w:t> </w:t>
      </w:r>
      <w:r>
        <w:rPr>
          <w:sz w:val="20"/>
        </w:rPr>
        <w:t>of</w:t>
      </w:r>
      <w:r>
        <w:rPr>
          <w:spacing w:val="-2"/>
          <w:sz w:val="20"/>
        </w:rPr>
        <w:t> </w:t>
      </w:r>
      <w:r>
        <w:rPr>
          <w:sz w:val="20"/>
        </w:rPr>
        <w:t>Appeal</w:t>
      </w:r>
      <w:r>
        <w:rPr>
          <w:spacing w:val="-2"/>
          <w:sz w:val="20"/>
        </w:rPr>
        <w:t> </w:t>
      </w:r>
      <w:r>
        <w:rPr>
          <w:sz w:val="20"/>
        </w:rPr>
        <w:t>in</w:t>
      </w:r>
      <w:r>
        <w:rPr>
          <w:spacing w:val="-3"/>
          <w:sz w:val="20"/>
        </w:rPr>
        <w:t> </w:t>
      </w:r>
      <w:r>
        <w:rPr>
          <w:rFonts w:ascii="Arial" w:hAnsi="Arial"/>
          <w:i/>
          <w:sz w:val="20"/>
        </w:rPr>
        <w:t>Source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TUV</w:t>
      </w:r>
      <w:r>
        <w:rPr>
          <w:rFonts w:ascii="Arial" w:hAnsi="Arial"/>
          <w:i/>
          <w:spacing w:val="-2"/>
          <w:sz w:val="20"/>
        </w:rPr>
        <w:t> </w:t>
      </w:r>
      <w:r>
        <w:rPr>
          <w:rFonts w:ascii="Arial" w:hAnsi="Arial"/>
          <w:i/>
          <w:sz w:val="20"/>
        </w:rPr>
        <w:t>Rheinland</w:t>
      </w:r>
      <w:r>
        <w:rPr>
          <w:rFonts w:ascii="Arial" w:hAnsi="Arial"/>
          <w:i/>
          <w:spacing w:val="-2"/>
          <w:sz w:val="20"/>
        </w:rPr>
        <w:t> </w:t>
      </w:r>
      <w:r>
        <w:rPr>
          <w:rFonts w:ascii="Arial" w:hAnsi="Arial"/>
          <w:i/>
          <w:sz w:val="20"/>
        </w:rPr>
        <w:t>Holding</w:t>
      </w:r>
      <w:r>
        <w:rPr>
          <w:rFonts w:ascii="Arial" w:hAnsi="Arial"/>
          <w:i/>
          <w:spacing w:val="-2"/>
          <w:sz w:val="20"/>
        </w:rPr>
        <w:t> </w:t>
      </w:r>
      <w:r>
        <w:rPr>
          <w:rFonts w:ascii="Arial" w:hAnsi="Arial"/>
          <w:i/>
          <w:sz w:val="20"/>
        </w:rPr>
        <w:t>A.G.</w:t>
      </w:r>
      <w:r>
        <w:rPr>
          <w:rFonts w:ascii="Arial" w:hAnsi="Arial"/>
          <w:i/>
          <w:spacing w:val="-2"/>
          <w:sz w:val="20"/>
        </w:rPr>
        <w:t> </w:t>
      </w:r>
      <w:r>
        <w:rPr>
          <w:rFonts w:ascii="Arial" w:hAnsi="Arial"/>
          <w:i/>
          <w:sz w:val="20"/>
        </w:rPr>
        <w:t>[1998]</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54 </w:t>
      </w:r>
      <w:r>
        <w:rPr>
          <w:sz w:val="20"/>
        </w:rPr>
        <w:t>was held to represent the law by Dicey, Morris and Collins on the Conflict of Laws, 14th edn (2006), para.11-299 (the point is not addressed in the 15th edn) but its authority was doubted</w:t>
      </w:r>
      <w:r>
        <w:rPr>
          <w:spacing w:val="40"/>
          <w:sz w:val="20"/>
        </w:rPr>
        <w:t> </w:t>
      </w:r>
      <w:r>
        <w:rPr>
          <w:sz w:val="20"/>
        </w:rPr>
        <w:t>by Tuckey J. in </w:t>
      </w:r>
      <w:r>
        <w:rPr>
          <w:rFonts w:ascii="Arial" w:hAnsi="Arial"/>
          <w:i/>
          <w:sz w:val="20"/>
        </w:rPr>
        <w:t>Raiffeisen Zentralbank Osterreich Aktiengesellschaft v National Bank of Greece SA [1999] 1 Lloyd’s Rep. 408, 411 </w:t>
      </w:r>
      <w:r>
        <w:rPr>
          <w:sz w:val="20"/>
        </w:rPr>
        <w:t>on the basis that its wide approach to art.5(1) is inconsistent with the restrictive approach taken by the HL in </w:t>
      </w:r>
      <w:r>
        <w:rPr>
          <w:rFonts w:ascii="Arial" w:hAnsi="Arial"/>
          <w:i/>
          <w:sz w:val="20"/>
        </w:rPr>
        <w:t>Kleinwort Benson Ltd v Glasgow City Council [1999] 1 A.C. 153</w:t>
      </w:r>
      <w:r>
        <w:rPr>
          <w:sz w:val="20"/>
        </w:rPr>
        <w:t>. See also </w:t>
      </w:r>
      <w:r>
        <w:rPr>
          <w:rFonts w:ascii="Arial" w:hAnsi="Arial"/>
          <w:i/>
          <w:sz w:val="20"/>
        </w:rPr>
        <w:t>Domicrest Ltd v Swiss Bank Corp [1999] Q.B. 548, 561</w:t>
      </w:r>
      <w:r>
        <w:rPr>
          <w:sz w:val="20"/>
        </w:rPr>
        <w:t>; </w:t>
      </w:r>
      <w:r>
        <w:rPr>
          <w:rFonts w:ascii="Arial" w:hAnsi="Arial"/>
          <w:i/>
          <w:sz w:val="20"/>
        </w:rPr>
        <w:t>William Grant &amp; Sons International Ltd v Marie Brizard Espana Sa [1998] S.C. 536</w:t>
      </w:r>
      <w:r>
        <w:rPr>
          <w:sz w:val="20"/>
        </w:rPr>
        <w:t>.</w:t>
      </w:r>
    </w:p>
    <w:p>
      <w:pPr>
        <w:pStyle w:val="BodyText"/>
        <w:spacing w:before="10"/>
      </w:pPr>
    </w:p>
    <w:p>
      <w:pPr>
        <w:spacing w:line="137" w:lineRule="exact" w:before="0"/>
        <w:ind w:left="165" w:right="0" w:firstLine="0"/>
        <w:jc w:val="left"/>
        <w:rPr>
          <w:sz w:val="14"/>
        </w:rPr>
      </w:pPr>
      <w:bookmarkStart w:name="_bookmark2096" w:id="2098"/>
      <w:bookmarkEnd w:id="2098"/>
      <w:r>
        <w:rPr/>
      </w:r>
      <w:hyperlink w:history="true" w:anchor="_bookmark1959">
        <w:r>
          <w:rPr>
            <w:color w:val="005DA1"/>
            <w:spacing w:val="-2"/>
            <w:sz w:val="14"/>
            <w:u w:val="single" w:color="005DA1"/>
          </w:rPr>
          <w:t>1414</w:t>
        </w:r>
      </w:hyperlink>
      <w:r>
        <w:rPr>
          <w:spacing w:val="-2"/>
          <w:sz w:val="14"/>
        </w:rPr>
        <w:t>.</w:t>
      </w:r>
    </w:p>
    <w:p>
      <w:pPr>
        <w:spacing w:line="206" w:lineRule="exact" w:before="0"/>
        <w:ind w:left="875" w:right="0" w:firstLine="0"/>
        <w:jc w:val="both"/>
        <w:rPr>
          <w:sz w:val="20"/>
        </w:rPr>
      </w:pPr>
      <w:r>
        <w:rPr>
          <w:sz w:val="20"/>
        </w:rPr>
        <w:drawing>
          <wp:anchor distT="0" distB="0" distL="0" distR="0" allowOverlap="1" layoutInCell="1" locked="0" behindDoc="0" simplePos="0" relativeHeight="15838720">
            <wp:simplePos x="0" y="0"/>
            <wp:positionH relativeFrom="page">
              <wp:posOffset>1257846</wp:posOffset>
            </wp:positionH>
            <wp:positionV relativeFrom="paragraph">
              <wp:posOffset>12958</wp:posOffset>
            </wp:positionV>
            <wp:extent cx="107988" cy="107988"/>
            <wp:effectExtent l="0" t="0" r="0" b="0"/>
            <wp:wrapNone/>
            <wp:docPr id="553" name="Image 553"/>
            <wp:cNvGraphicFramePr>
              <a:graphicFrameLocks/>
            </wp:cNvGraphicFramePr>
            <a:graphic>
              <a:graphicData uri="http://schemas.openxmlformats.org/drawingml/2006/picture">
                <pic:pic>
                  <pic:nvPicPr>
                    <pic:cNvPr id="553" name="Image 55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C-189/87 [1988] E.C.R. 5565</w:t>
      </w:r>
      <w:r>
        <w:rPr>
          <w:rFonts w:ascii="Arial"/>
          <w:i/>
          <w:spacing w:val="-1"/>
          <w:sz w:val="20"/>
        </w:rPr>
        <w:t> </w:t>
      </w:r>
      <w:r>
        <w:rPr>
          <w:sz w:val="20"/>
        </w:rPr>
        <w:t>at </w:t>
      </w:r>
      <w:r>
        <w:rPr>
          <w:spacing w:val="-2"/>
          <w:sz w:val="20"/>
        </w:rPr>
        <w:t>para.17.</w:t>
      </w:r>
    </w:p>
    <w:p>
      <w:pPr>
        <w:pStyle w:val="BodyText"/>
        <w:spacing w:before="12"/>
      </w:pPr>
    </w:p>
    <w:p>
      <w:pPr>
        <w:spacing w:line="137" w:lineRule="exact" w:before="0"/>
        <w:ind w:left="165" w:right="0" w:firstLine="0"/>
        <w:jc w:val="left"/>
        <w:rPr>
          <w:sz w:val="14"/>
        </w:rPr>
      </w:pPr>
      <w:bookmarkStart w:name="_bookmark2097" w:id="2099"/>
      <w:bookmarkEnd w:id="2099"/>
      <w:r>
        <w:rPr/>
      </w:r>
      <w:hyperlink w:history="true" w:anchor="_bookmark1960">
        <w:r>
          <w:rPr>
            <w:color w:val="005DA1"/>
            <w:spacing w:val="-2"/>
            <w:sz w:val="14"/>
            <w:u w:val="single" w:color="005DA1"/>
          </w:rPr>
          <w:t>1415</w:t>
        </w:r>
      </w:hyperlink>
      <w:r>
        <w:rPr>
          <w:spacing w:val="-2"/>
          <w:sz w:val="14"/>
        </w:rPr>
        <w:t>.</w:t>
      </w:r>
    </w:p>
    <w:p>
      <w:pPr>
        <w:spacing w:line="203" w:lineRule="exact" w:before="0"/>
        <w:ind w:left="875" w:right="0" w:firstLine="0"/>
        <w:jc w:val="both"/>
        <w:rPr>
          <w:sz w:val="20"/>
        </w:rPr>
      </w:pPr>
      <w:r>
        <w:rPr>
          <w:sz w:val="20"/>
        </w:rPr>
        <w:drawing>
          <wp:anchor distT="0" distB="0" distL="0" distR="0" allowOverlap="1" layoutInCell="1" locked="0" behindDoc="0" simplePos="0" relativeHeight="15839232">
            <wp:simplePos x="0" y="0"/>
            <wp:positionH relativeFrom="page">
              <wp:posOffset>1257846</wp:posOffset>
            </wp:positionH>
            <wp:positionV relativeFrom="paragraph">
              <wp:posOffset>13109</wp:posOffset>
            </wp:positionV>
            <wp:extent cx="107988" cy="107988"/>
            <wp:effectExtent l="0" t="0" r="0" b="0"/>
            <wp:wrapNone/>
            <wp:docPr id="554" name="Image 554"/>
            <wp:cNvGraphicFramePr>
              <a:graphicFrameLocks/>
            </wp:cNvGraphicFramePr>
            <a:graphic>
              <a:graphicData uri="http://schemas.openxmlformats.org/drawingml/2006/picture">
                <pic:pic>
                  <pic:nvPicPr>
                    <pic:cNvPr id="554" name="Image 55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Brogsitter</w:t>
      </w:r>
      <w:r>
        <w:rPr>
          <w:rFonts w:ascii="Arial"/>
          <w:i/>
          <w:spacing w:val="3"/>
          <w:sz w:val="20"/>
        </w:rPr>
        <w:t> </w:t>
      </w:r>
      <w:r>
        <w:rPr>
          <w:rFonts w:ascii="Arial"/>
          <w:i/>
          <w:sz w:val="20"/>
        </w:rPr>
        <w:t>v</w:t>
      </w:r>
      <w:r>
        <w:rPr>
          <w:rFonts w:ascii="Arial"/>
          <w:i/>
          <w:spacing w:val="3"/>
          <w:sz w:val="20"/>
        </w:rPr>
        <w:t> </w:t>
      </w:r>
      <w:r>
        <w:rPr>
          <w:rFonts w:ascii="Arial"/>
          <w:i/>
          <w:sz w:val="20"/>
        </w:rPr>
        <w:t>Fabrication</w:t>
      </w:r>
      <w:r>
        <w:rPr>
          <w:rFonts w:ascii="Arial"/>
          <w:i/>
          <w:spacing w:val="3"/>
          <w:sz w:val="20"/>
        </w:rPr>
        <w:t> </w:t>
      </w:r>
      <w:r>
        <w:rPr>
          <w:rFonts w:ascii="Arial"/>
          <w:i/>
          <w:sz w:val="20"/>
        </w:rPr>
        <w:t>de</w:t>
      </w:r>
      <w:r>
        <w:rPr>
          <w:rFonts w:ascii="Arial"/>
          <w:i/>
          <w:spacing w:val="3"/>
          <w:sz w:val="20"/>
        </w:rPr>
        <w:t> </w:t>
      </w:r>
      <w:r>
        <w:rPr>
          <w:rFonts w:ascii="Arial"/>
          <w:i/>
          <w:sz w:val="20"/>
        </w:rPr>
        <w:t>Montres</w:t>
      </w:r>
      <w:r>
        <w:rPr>
          <w:rFonts w:ascii="Arial"/>
          <w:i/>
          <w:spacing w:val="3"/>
          <w:sz w:val="20"/>
        </w:rPr>
        <w:t> </w:t>
      </w:r>
      <w:r>
        <w:rPr>
          <w:rFonts w:ascii="Arial"/>
          <w:i/>
          <w:sz w:val="20"/>
        </w:rPr>
        <w:t>Normandes</w:t>
      </w:r>
      <w:r>
        <w:rPr>
          <w:rFonts w:ascii="Arial"/>
          <w:i/>
          <w:spacing w:val="3"/>
          <w:sz w:val="20"/>
        </w:rPr>
        <w:t> </w:t>
      </w:r>
      <w:r>
        <w:rPr>
          <w:rFonts w:ascii="Arial"/>
          <w:i/>
          <w:sz w:val="20"/>
        </w:rPr>
        <w:t>EURL</w:t>
      </w:r>
      <w:r>
        <w:rPr>
          <w:rFonts w:ascii="Arial"/>
          <w:i/>
          <w:spacing w:val="3"/>
          <w:sz w:val="20"/>
        </w:rPr>
        <w:t> </w:t>
      </w:r>
      <w:r>
        <w:rPr>
          <w:rFonts w:ascii="Arial"/>
          <w:i/>
          <w:sz w:val="20"/>
        </w:rPr>
        <w:t>(C-548/12)</w:t>
      </w:r>
      <w:r>
        <w:rPr>
          <w:rFonts w:ascii="Arial"/>
          <w:i/>
          <w:spacing w:val="3"/>
          <w:sz w:val="20"/>
        </w:rPr>
        <w:t> </w:t>
      </w:r>
      <w:r>
        <w:rPr>
          <w:rFonts w:ascii="Arial"/>
          <w:i/>
          <w:sz w:val="20"/>
        </w:rPr>
        <w:t>March</w:t>
      </w:r>
      <w:r>
        <w:rPr>
          <w:rFonts w:ascii="Arial"/>
          <w:i/>
          <w:spacing w:val="3"/>
          <w:sz w:val="20"/>
        </w:rPr>
        <w:t> </w:t>
      </w:r>
      <w:r>
        <w:rPr>
          <w:rFonts w:ascii="Arial"/>
          <w:i/>
          <w:sz w:val="20"/>
        </w:rPr>
        <w:t>13,</w:t>
      </w:r>
      <w:r>
        <w:rPr>
          <w:rFonts w:ascii="Arial"/>
          <w:i/>
          <w:spacing w:val="3"/>
          <w:sz w:val="20"/>
        </w:rPr>
        <w:t> </w:t>
      </w:r>
      <w:r>
        <w:rPr>
          <w:rFonts w:ascii="Arial"/>
          <w:i/>
          <w:sz w:val="20"/>
        </w:rPr>
        <w:t>2014</w:t>
      </w:r>
      <w:r>
        <w:rPr>
          <w:rFonts w:ascii="Arial"/>
          <w:i/>
          <w:spacing w:val="2"/>
          <w:sz w:val="20"/>
        </w:rPr>
        <w:t> </w:t>
      </w:r>
      <w:r>
        <w:rPr>
          <w:sz w:val="20"/>
        </w:rPr>
        <w:t>at</w:t>
      </w:r>
      <w:r>
        <w:rPr>
          <w:spacing w:val="3"/>
          <w:sz w:val="20"/>
        </w:rPr>
        <w:t> </w:t>
      </w:r>
      <w:r>
        <w:rPr>
          <w:spacing w:val="-2"/>
          <w:sz w:val="20"/>
        </w:rPr>
        <w:t>para.20;</w:t>
      </w:r>
    </w:p>
    <w:p>
      <w:pPr>
        <w:spacing w:line="235" w:lineRule="auto" w:before="2"/>
        <w:ind w:left="705" w:right="167" w:firstLine="0"/>
        <w:jc w:val="both"/>
        <w:rPr>
          <w:sz w:val="20"/>
        </w:rPr>
      </w:pPr>
      <w:r>
        <w:rPr>
          <w:rFonts w:ascii="Arial" w:hAnsi="Arial"/>
          <w:i/>
          <w:sz w:val="20"/>
        </w:rPr>
        <w:t>ERGO Insurance SE v If P&amp;C Insurance AS (Joined Cases C-359/14 and C-475/14) January 21, 2016 </w:t>
      </w:r>
      <w:r>
        <w:rPr>
          <w:sz w:val="20"/>
        </w:rPr>
        <w:t>paras 43–45; </w:t>
      </w:r>
      <w:r>
        <w:rPr>
          <w:rFonts w:ascii="Arial" w:hAnsi="Arial"/>
          <w:i/>
          <w:sz w:val="20"/>
        </w:rPr>
        <w:t>Kolassa v Barclays Bank Plc (C-375/13) January 28, 2015 </w:t>
      </w:r>
      <w:r>
        <w:rPr>
          <w:sz w:val="20"/>
        </w:rPr>
        <w:t>at para.44; </w:t>
      </w:r>
      <w:r>
        <w:rPr>
          <w:rFonts w:ascii="Arial" w:hAnsi="Arial"/>
          <w:i/>
          <w:sz w:val="20"/>
        </w:rPr>
        <w:t>Granarolo SpA v Ambrosi Emmi France SA (C-196/15) July 14, 2016 </w:t>
      </w:r>
      <w:r>
        <w:rPr>
          <w:sz w:val="20"/>
        </w:rPr>
        <w:t>at para.20.</w:t>
      </w:r>
    </w:p>
    <w:p>
      <w:pPr>
        <w:pStyle w:val="BodyText"/>
        <w:spacing w:before="12"/>
      </w:pPr>
    </w:p>
    <w:p>
      <w:pPr>
        <w:spacing w:line="137" w:lineRule="exact" w:before="0"/>
        <w:ind w:left="165" w:right="0" w:firstLine="0"/>
        <w:jc w:val="left"/>
        <w:rPr>
          <w:sz w:val="14"/>
        </w:rPr>
      </w:pPr>
      <w:bookmarkStart w:name="_bookmark2098" w:id="2100"/>
      <w:bookmarkEnd w:id="2100"/>
      <w:r>
        <w:rPr/>
      </w:r>
      <w:hyperlink w:history="true" w:anchor="_bookmark1961">
        <w:r>
          <w:rPr>
            <w:color w:val="005DA1"/>
            <w:spacing w:val="-2"/>
            <w:sz w:val="14"/>
            <w:u w:val="single" w:color="005DA1"/>
          </w:rPr>
          <w:t>1416</w:t>
        </w:r>
      </w:hyperlink>
      <w:r>
        <w:rPr>
          <w:spacing w:val="-2"/>
          <w:sz w:val="14"/>
        </w:rPr>
        <w:t>.</w:t>
      </w:r>
    </w:p>
    <w:p>
      <w:pPr>
        <w:spacing w:line="206" w:lineRule="exact" w:before="0"/>
        <w:ind w:left="875" w:right="0" w:firstLine="0"/>
        <w:jc w:val="both"/>
        <w:rPr>
          <w:sz w:val="20"/>
        </w:rPr>
      </w:pPr>
      <w:r>
        <w:rPr>
          <w:sz w:val="20"/>
        </w:rPr>
        <w:drawing>
          <wp:anchor distT="0" distB="0" distL="0" distR="0" allowOverlap="1" layoutInCell="1" locked="0" behindDoc="0" simplePos="0" relativeHeight="15839744">
            <wp:simplePos x="0" y="0"/>
            <wp:positionH relativeFrom="page">
              <wp:posOffset>1257846</wp:posOffset>
            </wp:positionH>
            <wp:positionV relativeFrom="paragraph">
              <wp:posOffset>12847</wp:posOffset>
            </wp:positionV>
            <wp:extent cx="107988" cy="107988"/>
            <wp:effectExtent l="0" t="0" r="0" b="0"/>
            <wp:wrapNone/>
            <wp:docPr id="555" name="Image 555"/>
            <wp:cNvGraphicFramePr>
              <a:graphicFrameLocks/>
            </wp:cNvGraphicFramePr>
            <a:graphic>
              <a:graphicData uri="http://schemas.openxmlformats.org/drawingml/2006/picture">
                <pic:pic>
                  <pic:nvPicPr>
                    <pic:cNvPr id="555" name="Image 55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Granarolo SpA v Ambrosi Emmi France SA (C-196/15) July 14, 2016</w:t>
      </w:r>
      <w:r>
        <w:rPr>
          <w:rFonts w:ascii="Arial"/>
          <w:i/>
          <w:spacing w:val="-1"/>
          <w:sz w:val="20"/>
        </w:rPr>
        <w:t> </w:t>
      </w:r>
      <w:r>
        <w:rPr>
          <w:sz w:val="20"/>
        </w:rPr>
        <w:t>at </w:t>
      </w:r>
      <w:r>
        <w:rPr>
          <w:spacing w:val="-2"/>
          <w:sz w:val="20"/>
        </w:rPr>
        <w:t>para.28.</w:t>
      </w:r>
    </w:p>
    <w:p>
      <w:pPr>
        <w:pStyle w:val="BodyText"/>
        <w:spacing w:before="11"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569" w:hRule="atLeast"/>
        </w:trPr>
        <w:tc>
          <w:tcPr>
            <w:tcW w:w="496" w:type="dxa"/>
          </w:tcPr>
          <w:p>
            <w:pPr>
              <w:pStyle w:val="TableParagraph"/>
              <w:spacing w:before="0"/>
              <w:ind w:left="0" w:right="43"/>
              <w:rPr>
                <w:sz w:val="14"/>
              </w:rPr>
            </w:pPr>
            <w:bookmarkStart w:name="_bookmark2099" w:id="2101"/>
            <w:bookmarkEnd w:id="2101"/>
            <w:r>
              <w:rPr/>
            </w:r>
            <w:hyperlink w:history="true" w:anchor="_bookmark1962">
              <w:r>
                <w:rPr>
                  <w:color w:val="005DA1"/>
                  <w:spacing w:val="-2"/>
                  <w:sz w:val="14"/>
                  <w:u w:val="single" w:color="005DA1"/>
                </w:rPr>
                <w:t>1417</w:t>
              </w:r>
            </w:hyperlink>
            <w:r>
              <w:rPr>
                <w:spacing w:val="-2"/>
                <w:sz w:val="14"/>
              </w:rPr>
              <w:t>.</w:t>
            </w:r>
          </w:p>
        </w:tc>
        <w:tc>
          <w:tcPr>
            <w:tcW w:w="8621" w:type="dxa"/>
          </w:tcPr>
          <w:p>
            <w:pPr>
              <w:pStyle w:val="TableParagraph"/>
              <w:spacing w:line="235" w:lineRule="auto" w:before="0"/>
              <w:jc w:val="left"/>
              <w:rPr>
                <w:sz w:val="20"/>
              </w:rPr>
            </w:pPr>
            <w:r>
              <w:rPr>
                <w:sz w:val="20"/>
              </w:rPr>
              <w:t>Introduced</w:t>
            </w:r>
            <w:r>
              <w:rPr>
                <w:spacing w:val="35"/>
                <w:sz w:val="20"/>
              </w:rPr>
              <w:t> </w:t>
            </w:r>
            <w:r>
              <w:rPr>
                <w:sz w:val="20"/>
              </w:rPr>
              <w:t>into</w:t>
            </w:r>
            <w:r>
              <w:rPr>
                <w:spacing w:val="35"/>
                <w:sz w:val="20"/>
              </w:rPr>
              <w:t> </w:t>
            </w:r>
            <w:r>
              <w:rPr>
                <w:sz w:val="20"/>
              </w:rPr>
              <w:t>English</w:t>
            </w:r>
            <w:r>
              <w:rPr>
                <w:spacing w:val="35"/>
                <w:sz w:val="20"/>
              </w:rPr>
              <w:t> </w:t>
            </w:r>
            <w:r>
              <w:rPr>
                <w:sz w:val="20"/>
              </w:rPr>
              <w:t>law</w:t>
            </w:r>
            <w:r>
              <w:rPr>
                <w:spacing w:val="35"/>
                <w:sz w:val="20"/>
              </w:rPr>
              <w:t> </w:t>
            </w:r>
            <w:r>
              <w:rPr>
                <w:sz w:val="20"/>
              </w:rPr>
              <w:t>by</w:t>
            </w:r>
            <w:r>
              <w:rPr>
                <w:spacing w:val="35"/>
                <w:sz w:val="20"/>
              </w:rPr>
              <w:t> </w:t>
            </w:r>
            <w:r>
              <w:rPr>
                <w:sz w:val="20"/>
              </w:rPr>
              <w:t>the</w:t>
            </w:r>
            <w:r>
              <w:rPr>
                <w:spacing w:val="35"/>
                <w:sz w:val="20"/>
              </w:rPr>
              <w:t> </w:t>
            </w:r>
            <w:r>
              <w:rPr>
                <w:sz w:val="20"/>
              </w:rPr>
              <w:t>Contracts</w:t>
            </w:r>
            <w:r>
              <w:rPr>
                <w:spacing w:val="35"/>
                <w:sz w:val="20"/>
              </w:rPr>
              <w:t> </w:t>
            </w:r>
            <w:r>
              <w:rPr>
                <w:sz w:val="20"/>
              </w:rPr>
              <w:t>(Applicable</w:t>
            </w:r>
            <w:r>
              <w:rPr>
                <w:spacing w:val="35"/>
                <w:sz w:val="20"/>
              </w:rPr>
              <w:t> </w:t>
            </w:r>
            <w:r>
              <w:rPr>
                <w:sz w:val="20"/>
              </w:rPr>
              <w:t>Law)</w:t>
            </w:r>
            <w:r>
              <w:rPr>
                <w:spacing w:val="35"/>
                <w:sz w:val="20"/>
              </w:rPr>
              <w:t> </w:t>
            </w:r>
            <w:r>
              <w:rPr>
                <w:sz w:val="20"/>
              </w:rPr>
              <w:t>Act</w:t>
            </w:r>
            <w:r>
              <w:rPr>
                <w:spacing w:val="35"/>
                <w:sz w:val="20"/>
              </w:rPr>
              <w:t> </w:t>
            </w:r>
            <w:r>
              <w:rPr>
                <w:sz w:val="20"/>
              </w:rPr>
              <w:t>1990</w:t>
            </w:r>
            <w:r>
              <w:rPr>
                <w:spacing w:val="35"/>
                <w:sz w:val="20"/>
              </w:rPr>
              <w:t> </w:t>
            </w:r>
            <w:r>
              <w:rPr>
                <w:sz w:val="20"/>
              </w:rPr>
              <w:t>and</w:t>
            </w:r>
            <w:r>
              <w:rPr>
                <w:spacing w:val="35"/>
                <w:sz w:val="20"/>
              </w:rPr>
              <w:t> </w:t>
            </w:r>
            <w:r>
              <w:rPr>
                <w:sz w:val="20"/>
              </w:rPr>
              <w:t>see</w:t>
            </w:r>
            <w:r>
              <w:rPr>
                <w:spacing w:val="35"/>
                <w:sz w:val="20"/>
              </w:rPr>
              <w:t> </w:t>
            </w:r>
            <w:r>
              <w:rPr>
                <w:sz w:val="20"/>
              </w:rPr>
              <w:t>generally, below, paras 30-017 et seq.</w:t>
            </w:r>
          </w:p>
        </w:tc>
      </w:tr>
      <w:tr>
        <w:trPr>
          <w:trHeight w:val="690" w:hRule="atLeast"/>
        </w:trPr>
        <w:tc>
          <w:tcPr>
            <w:tcW w:w="496" w:type="dxa"/>
          </w:tcPr>
          <w:p>
            <w:pPr>
              <w:pStyle w:val="TableParagraph"/>
              <w:ind w:left="0" w:right="43"/>
              <w:rPr>
                <w:sz w:val="14"/>
              </w:rPr>
            </w:pPr>
            <w:bookmarkStart w:name="_bookmark2100" w:id="2102"/>
            <w:bookmarkEnd w:id="2102"/>
            <w:r>
              <w:rPr/>
            </w:r>
            <w:hyperlink w:history="true" w:anchor="_bookmark1963">
              <w:r>
                <w:rPr>
                  <w:color w:val="005DA1"/>
                  <w:spacing w:val="-2"/>
                  <w:sz w:val="14"/>
                  <w:u w:val="single" w:color="005DA1"/>
                </w:rPr>
                <w:t>1418</w:t>
              </w:r>
            </w:hyperlink>
            <w:r>
              <w:rPr>
                <w:spacing w:val="-2"/>
                <w:sz w:val="14"/>
              </w:rPr>
              <w:t>.</w:t>
            </w:r>
          </w:p>
        </w:tc>
        <w:tc>
          <w:tcPr>
            <w:tcW w:w="8621" w:type="dxa"/>
          </w:tcPr>
          <w:p>
            <w:pPr>
              <w:pStyle w:val="TableParagraph"/>
              <w:spacing w:line="227" w:lineRule="exact" w:before="114"/>
              <w:jc w:val="left"/>
              <w:rPr>
                <w:sz w:val="20"/>
              </w:rPr>
            </w:pPr>
            <w:r>
              <w:rPr>
                <w:rFonts w:ascii="Arial"/>
                <w:i/>
                <w:sz w:val="20"/>
              </w:rPr>
              <w:t>Base</w:t>
            </w:r>
            <w:r>
              <w:rPr>
                <w:rFonts w:ascii="Arial"/>
                <w:i/>
                <w:spacing w:val="4"/>
                <w:sz w:val="20"/>
              </w:rPr>
              <w:t> </w:t>
            </w:r>
            <w:r>
              <w:rPr>
                <w:rFonts w:ascii="Arial"/>
                <w:i/>
                <w:sz w:val="20"/>
              </w:rPr>
              <w:t>Metal</w:t>
            </w:r>
            <w:r>
              <w:rPr>
                <w:rFonts w:ascii="Arial"/>
                <w:i/>
                <w:spacing w:val="4"/>
                <w:sz w:val="20"/>
              </w:rPr>
              <w:t> </w:t>
            </w:r>
            <w:r>
              <w:rPr>
                <w:rFonts w:ascii="Arial"/>
                <w:i/>
                <w:sz w:val="20"/>
              </w:rPr>
              <w:t>Trading</w:t>
            </w:r>
            <w:r>
              <w:rPr>
                <w:rFonts w:ascii="Arial"/>
                <w:i/>
                <w:spacing w:val="4"/>
                <w:sz w:val="20"/>
              </w:rPr>
              <w:t> </w:t>
            </w:r>
            <w:r>
              <w:rPr>
                <w:rFonts w:ascii="Arial"/>
                <w:i/>
                <w:sz w:val="20"/>
              </w:rPr>
              <w:t>Ltd</w:t>
            </w:r>
            <w:r>
              <w:rPr>
                <w:rFonts w:ascii="Arial"/>
                <w:i/>
                <w:spacing w:val="4"/>
                <w:sz w:val="20"/>
              </w:rPr>
              <w:t> </w:t>
            </w:r>
            <w:r>
              <w:rPr>
                <w:rFonts w:ascii="Arial"/>
                <w:i/>
                <w:sz w:val="20"/>
              </w:rPr>
              <w:t>v</w:t>
            </w:r>
            <w:r>
              <w:rPr>
                <w:rFonts w:ascii="Arial"/>
                <w:i/>
                <w:spacing w:val="4"/>
                <w:sz w:val="20"/>
              </w:rPr>
              <w:t> </w:t>
            </w:r>
            <w:r>
              <w:rPr>
                <w:rFonts w:ascii="Arial"/>
                <w:i/>
                <w:sz w:val="20"/>
              </w:rPr>
              <w:t>Shamurin</w:t>
            </w:r>
            <w:r>
              <w:rPr>
                <w:rFonts w:ascii="Arial"/>
                <w:i/>
                <w:spacing w:val="4"/>
                <w:sz w:val="20"/>
              </w:rPr>
              <w:t> </w:t>
            </w:r>
            <w:r>
              <w:rPr>
                <w:rFonts w:ascii="Arial"/>
                <w:i/>
                <w:sz w:val="20"/>
              </w:rPr>
              <w:t>[2004]</w:t>
            </w:r>
            <w:r>
              <w:rPr>
                <w:rFonts w:ascii="Arial"/>
                <w:i/>
                <w:spacing w:val="4"/>
                <w:sz w:val="20"/>
              </w:rPr>
              <w:t> </w:t>
            </w:r>
            <w:r>
              <w:rPr>
                <w:rFonts w:ascii="Arial"/>
                <w:i/>
                <w:sz w:val="20"/>
              </w:rPr>
              <w:t>EWCA</w:t>
            </w:r>
            <w:r>
              <w:rPr>
                <w:rFonts w:ascii="Arial"/>
                <w:i/>
                <w:spacing w:val="4"/>
                <w:sz w:val="20"/>
              </w:rPr>
              <w:t> </w:t>
            </w:r>
            <w:r>
              <w:rPr>
                <w:rFonts w:ascii="Arial"/>
                <w:i/>
                <w:sz w:val="20"/>
              </w:rPr>
              <w:t>Civ</w:t>
            </w:r>
            <w:r>
              <w:rPr>
                <w:rFonts w:ascii="Arial"/>
                <w:i/>
                <w:spacing w:val="4"/>
                <w:sz w:val="20"/>
              </w:rPr>
              <w:t> </w:t>
            </w:r>
            <w:r>
              <w:rPr>
                <w:rFonts w:ascii="Arial"/>
                <w:i/>
                <w:sz w:val="20"/>
              </w:rPr>
              <w:t>1316,</w:t>
            </w:r>
            <w:r>
              <w:rPr>
                <w:rFonts w:ascii="Arial"/>
                <w:i/>
                <w:spacing w:val="4"/>
                <w:sz w:val="20"/>
              </w:rPr>
              <w:t> </w:t>
            </w:r>
            <w:r>
              <w:rPr>
                <w:rFonts w:ascii="Arial"/>
                <w:i/>
                <w:sz w:val="20"/>
              </w:rPr>
              <w:t>[2005]</w:t>
            </w:r>
            <w:r>
              <w:rPr>
                <w:rFonts w:ascii="Arial"/>
                <w:i/>
                <w:spacing w:val="4"/>
                <w:sz w:val="20"/>
              </w:rPr>
              <w:t> </w:t>
            </w:r>
            <w:r>
              <w:rPr>
                <w:rFonts w:ascii="Arial"/>
                <w:i/>
                <w:sz w:val="20"/>
              </w:rPr>
              <w:t>1</w:t>
            </w:r>
            <w:r>
              <w:rPr>
                <w:rFonts w:ascii="Arial"/>
                <w:i/>
                <w:spacing w:val="4"/>
                <w:sz w:val="20"/>
              </w:rPr>
              <w:t> </w:t>
            </w:r>
            <w:r>
              <w:rPr>
                <w:rFonts w:ascii="Arial"/>
                <w:i/>
                <w:sz w:val="20"/>
              </w:rPr>
              <w:t>W.L.R.</w:t>
            </w:r>
            <w:r>
              <w:rPr>
                <w:rFonts w:ascii="Arial"/>
                <w:i/>
                <w:spacing w:val="4"/>
                <w:sz w:val="20"/>
              </w:rPr>
              <w:t> </w:t>
            </w:r>
            <w:r>
              <w:rPr>
                <w:rFonts w:ascii="Arial"/>
                <w:i/>
                <w:sz w:val="20"/>
              </w:rPr>
              <w:t>1157</w:t>
            </w:r>
            <w:r>
              <w:rPr>
                <w:rFonts w:ascii="Arial"/>
                <w:i/>
                <w:spacing w:val="3"/>
                <w:sz w:val="20"/>
              </w:rPr>
              <w:t> </w:t>
            </w:r>
            <w:r>
              <w:rPr>
                <w:sz w:val="20"/>
              </w:rPr>
              <w:t>especially</w:t>
            </w:r>
            <w:r>
              <w:rPr>
                <w:spacing w:val="4"/>
                <w:sz w:val="20"/>
              </w:rPr>
              <w:t> </w:t>
            </w:r>
            <w:r>
              <w:rPr>
                <w:spacing w:val="-5"/>
                <w:sz w:val="20"/>
              </w:rPr>
              <w:t>at</w:t>
            </w:r>
          </w:p>
          <w:p>
            <w:pPr>
              <w:pStyle w:val="TableParagraph"/>
              <w:spacing w:line="227" w:lineRule="exact" w:before="0"/>
              <w:jc w:val="left"/>
              <w:rPr>
                <w:sz w:val="20"/>
              </w:rPr>
            </w:pPr>
            <w:r>
              <w:rPr>
                <w:sz w:val="20"/>
              </w:rPr>
              <w:t>[33] and see below, para.30-</w:t>
            </w:r>
            <w:r>
              <w:rPr>
                <w:spacing w:val="-4"/>
                <w:sz w:val="20"/>
              </w:rPr>
              <w:t>031.</w:t>
            </w:r>
          </w:p>
        </w:tc>
      </w:tr>
      <w:tr>
        <w:trPr>
          <w:trHeight w:val="690" w:hRule="atLeast"/>
        </w:trPr>
        <w:tc>
          <w:tcPr>
            <w:tcW w:w="496" w:type="dxa"/>
          </w:tcPr>
          <w:p>
            <w:pPr>
              <w:pStyle w:val="TableParagraph"/>
              <w:ind w:left="0" w:right="43"/>
              <w:rPr>
                <w:sz w:val="14"/>
              </w:rPr>
            </w:pPr>
            <w:bookmarkStart w:name="_bookmark2101" w:id="2103"/>
            <w:bookmarkEnd w:id="2103"/>
            <w:r>
              <w:rPr/>
            </w:r>
            <w:hyperlink w:history="true" w:anchor="_bookmark1964">
              <w:r>
                <w:rPr>
                  <w:color w:val="005DA1"/>
                  <w:spacing w:val="-2"/>
                  <w:sz w:val="14"/>
                  <w:u w:val="single" w:color="005DA1"/>
                </w:rPr>
                <w:t>1419</w:t>
              </w:r>
            </w:hyperlink>
            <w:r>
              <w:rPr>
                <w:spacing w:val="-2"/>
                <w:sz w:val="14"/>
              </w:rPr>
              <w:t>.</w:t>
            </w:r>
          </w:p>
        </w:tc>
        <w:tc>
          <w:tcPr>
            <w:tcW w:w="8621" w:type="dxa"/>
          </w:tcPr>
          <w:p>
            <w:pPr>
              <w:pStyle w:val="TableParagraph"/>
              <w:spacing w:line="235" w:lineRule="auto" w:before="118"/>
              <w:jc w:val="left"/>
              <w:rPr>
                <w:sz w:val="20"/>
              </w:rPr>
            </w:pPr>
            <w:r>
              <w:rPr>
                <w:sz w:val="20"/>
              </w:rPr>
              <w:t>Regulation 864/2007 [2007] O.J. L199/40 and see Dicey, Morris and Collins on the Conflict </w:t>
            </w:r>
            <w:r>
              <w:rPr>
                <w:sz w:val="20"/>
              </w:rPr>
              <w:t>of Laws 15th edn (2014), Ch.35.</w:t>
            </w:r>
          </w:p>
        </w:tc>
      </w:tr>
      <w:tr>
        <w:trPr>
          <w:trHeight w:val="569" w:hRule="atLeast"/>
        </w:trPr>
        <w:tc>
          <w:tcPr>
            <w:tcW w:w="496" w:type="dxa"/>
          </w:tcPr>
          <w:p>
            <w:pPr>
              <w:pStyle w:val="TableParagraph"/>
              <w:ind w:left="0" w:right="43"/>
              <w:rPr>
                <w:sz w:val="14"/>
              </w:rPr>
            </w:pPr>
            <w:bookmarkStart w:name="_bookmark2102" w:id="2104"/>
            <w:bookmarkEnd w:id="2104"/>
            <w:r>
              <w:rPr/>
            </w:r>
            <w:hyperlink w:history="true" w:anchor="_bookmark1965">
              <w:r>
                <w:rPr>
                  <w:color w:val="005DA1"/>
                  <w:spacing w:val="-2"/>
                  <w:sz w:val="14"/>
                  <w:u w:val="single" w:color="005DA1"/>
                </w:rPr>
                <w:t>1420</w:t>
              </w:r>
            </w:hyperlink>
            <w:r>
              <w:rPr>
                <w:spacing w:val="-2"/>
                <w:sz w:val="14"/>
              </w:rPr>
              <w:t>.</w:t>
            </w:r>
          </w:p>
        </w:tc>
        <w:tc>
          <w:tcPr>
            <w:tcW w:w="8621" w:type="dxa"/>
          </w:tcPr>
          <w:p>
            <w:pPr>
              <w:pStyle w:val="TableParagraph"/>
              <w:spacing w:line="226" w:lineRule="exact" w:before="97"/>
              <w:jc w:val="left"/>
              <w:rPr>
                <w:sz w:val="20"/>
              </w:rPr>
            </w:pPr>
            <w:r>
              <w:rPr>
                <w:sz w:val="20"/>
              </w:rPr>
              <w:t>[2008] O.J. L177/6. On which see below, paras 30-129 et seq. and Dicey, Morris and Collins on the Conflict of Laws, 15th edn (2014) paras 32-011 et seq.</w:t>
            </w:r>
          </w:p>
        </w:tc>
      </w:tr>
    </w:tbl>
    <w:p>
      <w:pPr>
        <w:pStyle w:val="BodyText"/>
        <w:spacing w:before="12"/>
      </w:pPr>
    </w:p>
    <w:p>
      <w:pPr>
        <w:spacing w:line="137" w:lineRule="exact" w:before="0"/>
        <w:ind w:left="165" w:right="0" w:firstLine="0"/>
        <w:jc w:val="left"/>
        <w:rPr>
          <w:sz w:val="14"/>
        </w:rPr>
      </w:pPr>
      <w:bookmarkStart w:name="_bookmark2103" w:id="2105"/>
      <w:bookmarkEnd w:id="2105"/>
      <w:r>
        <w:rPr/>
      </w:r>
      <w:hyperlink w:history="true" w:anchor="_bookmark1966">
        <w:r>
          <w:rPr>
            <w:color w:val="005DA1"/>
            <w:spacing w:val="-2"/>
            <w:sz w:val="14"/>
            <w:u w:val="single" w:color="005DA1"/>
          </w:rPr>
          <w:t>1421</w:t>
        </w:r>
      </w:hyperlink>
      <w:r>
        <w:rPr>
          <w:spacing w:val="-2"/>
          <w:sz w:val="14"/>
        </w:rPr>
        <w:t>.</w:t>
      </w:r>
    </w:p>
    <w:p>
      <w:pPr>
        <w:spacing w:line="203" w:lineRule="exact" w:before="0"/>
        <w:ind w:left="875" w:right="0" w:firstLine="0"/>
        <w:jc w:val="both"/>
        <w:rPr>
          <w:rFonts w:ascii="Arial"/>
          <w:i/>
          <w:sz w:val="20"/>
        </w:rPr>
      </w:pPr>
      <w:r>
        <w:rPr>
          <w:rFonts w:ascii="Arial"/>
          <w:i/>
          <w:sz w:val="20"/>
        </w:rPr>
        <w:drawing>
          <wp:anchor distT="0" distB="0" distL="0" distR="0" allowOverlap="1" layoutInCell="1" locked="0" behindDoc="0" simplePos="0" relativeHeight="15840256">
            <wp:simplePos x="0" y="0"/>
            <wp:positionH relativeFrom="page">
              <wp:posOffset>1257846</wp:posOffset>
            </wp:positionH>
            <wp:positionV relativeFrom="paragraph">
              <wp:posOffset>13068</wp:posOffset>
            </wp:positionV>
            <wp:extent cx="107988" cy="107988"/>
            <wp:effectExtent l="0" t="0" r="0" b="0"/>
            <wp:wrapNone/>
            <wp:docPr id="556" name="Image 556"/>
            <wp:cNvGraphicFramePr>
              <a:graphicFrameLocks/>
            </wp:cNvGraphicFramePr>
            <a:graphic>
              <a:graphicData uri="http://schemas.openxmlformats.org/drawingml/2006/picture">
                <pic:pic>
                  <pic:nvPicPr>
                    <pic:cNvPr id="556" name="Image 55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ERGO</w:t>
      </w:r>
      <w:r>
        <w:rPr>
          <w:rFonts w:ascii="Arial"/>
          <w:i/>
          <w:spacing w:val="7"/>
          <w:sz w:val="20"/>
        </w:rPr>
        <w:t> </w:t>
      </w:r>
      <w:r>
        <w:rPr>
          <w:rFonts w:ascii="Arial"/>
          <w:i/>
          <w:sz w:val="20"/>
        </w:rPr>
        <w:t>Insurance</w:t>
      </w:r>
      <w:r>
        <w:rPr>
          <w:rFonts w:ascii="Arial"/>
          <w:i/>
          <w:spacing w:val="7"/>
          <w:sz w:val="20"/>
        </w:rPr>
        <w:t> </w:t>
      </w:r>
      <w:r>
        <w:rPr>
          <w:rFonts w:ascii="Arial"/>
          <w:i/>
          <w:sz w:val="20"/>
        </w:rPr>
        <w:t>SE</w:t>
      </w:r>
      <w:r>
        <w:rPr>
          <w:rFonts w:ascii="Arial"/>
          <w:i/>
          <w:spacing w:val="7"/>
          <w:sz w:val="20"/>
        </w:rPr>
        <w:t> </w:t>
      </w:r>
      <w:r>
        <w:rPr>
          <w:rFonts w:ascii="Arial"/>
          <w:i/>
          <w:sz w:val="20"/>
        </w:rPr>
        <w:t>v</w:t>
      </w:r>
      <w:r>
        <w:rPr>
          <w:rFonts w:ascii="Arial"/>
          <w:i/>
          <w:spacing w:val="7"/>
          <w:sz w:val="20"/>
        </w:rPr>
        <w:t> </w:t>
      </w:r>
      <w:r>
        <w:rPr>
          <w:rFonts w:ascii="Arial"/>
          <w:i/>
          <w:sz w:val="20"/>
        </w:rPr>
        <w:t>If</w:t>
      </w:r>
      <w:r>
        <w:rPr>
          <w:rFonts w:ascii="Arial"/>
          <w:i/>
          <w:spacing w:val="7"/>
          <w:sz w:val="20"/>
        </w:rPr>
        <w:t> </w:t>
      </w:r>
      <w:r>
        <w:rPr>
          <w:rFonts w:ascii="Arial"/>
          <w:i/>
          <w:sz w:val="20"/>
        </w:rPr>
        <w:t>P&amp;C</w:t>
      </w:r>
      <w:r>
        <w:rPr>
          <w:rFonts w:ascii="Arial"/>
          <w:i/>
          <w:spacing w:val="7"/>
          <w:sz w:val="20"/>
        </w:rPr>
        <w:t> </w:t>
      </w:r>
      <w:r>
        <w:rPr>
          <w:rFonts w:ascii="Arial"/>
          <w:i/>
          <w:sz w:val="20"/>
        </w:rPr>
        <w:t>Insurance</w:t>
      </w:r>
      <w:r>
        <w:rPr>
          <w:rFonts w:ascii="Arial"/>
          <w:i/>
          <w:spacing w:val="7"/>
          <w:sz w:val="20"/>
        </w:rPr>
        <w:t> </w:t>
      </w:r>
      <w:r>
        <w:rPr>
          <w:rFonts w:ascii="Arial"/>
          <w:i/>
          <w:sz w:val="20"/>
        </w:rPr>
        <w:t>AS</w:t>
      </w:r>
      <w:r>
        <w:rPr>
          <w:rFonts w:ascii="Arial"/>
          <w:i/>
          <w:spacing w:val="7"/>
          <w:sz w:val="20"/>
        </w:rPr>
        <w:t> </w:t>
      </w:r>
      <w:r>
        <w:rPr>
          <w:rFonts w:ascii="Arial"/>
          <w:i/>
          <w:sz w:val="20"/>
        </w:rPr>
        <w:t>(Joined</w:t>
      </w:r>
      <w:r>
        <w:rPr>
          <w:rFonts w:ascii="Arial"/>
          <w:i/>
          <w:spacing w:val="7"/>
          <w:sz w:val="20"/>
        </w:rPr>
        <w:t> </w:t>
      </w:r>
      <w:r>
        <w:rPr>
          <w:rFonts w:ascii="Arial"/>
          <w:i/>
          <w:sz w:val="20"/>
        </w:rPr>
        <w:t>Cases</w:t>
      </w:r>
      <w:r>
        <w:rPr>
          <w:rFonts w:ascii="Arial"/>
          <w:i/>
          <w:spacing w:val="7"/>
          <w:sz w:val="20"/>
        </w:rPr>
        <w:t> </w:t>
      </w:r>
      <w:r>
        <w:rPr>
          <w:rFonts w:ascii="Arial"/>
          <w:i/>
          <w:sz w:val="20"/>
        </w:rPr>
        <w:t>C-359/14</w:t>
      </w:r>
      <w:r>
        <w:rPr>
          <w:rFonts w:ascii="Arial"/>
          <w:i/>
          <w:spacing w:val="7"/>
          <w:sz w:val="20"/>
        </w:rPr>
        <w:t> </w:t>
      </w:r>
      <w:r>
        <w:rPr>
          <w:rFonts w:ascii="Arial"/>
          <w:i/>
          <w:sz w:val="20"/>
        </w:rPr>
        <w:t>and</w:t>
      </w:r>
      <w:r>
        <w:rPr>
          <w:rFonts w:ascii="Arial"/>
          <w:i/>
          <w:spacing w:val="7"/>
          <w:sz w:val="20"/>
        </w:rPr>
        <w:t> </w:t>
      </w:r>
      <w:r>
        <w:rPr>
          <w:rFonts w:ascii="Arial"/>
          <w:i/>
          <w:sz w:val="20"/>
        </w:rPr>
        <w:t>C-475/14)</w:t>
      </w:r>
      <w:r>
        <w:rPr>
          <w:rFonts w:ascii="Arial"/>
          <w:i/>
          <w:spacing w:val="7"/>
          <w:sz w:val="20"/>
        </w:rPr>
        <w:t> </w:t>
      </w:r>
      <w:r>
        <w:rPr>
          <w:rFonts w:ascii="Arial"/>
          <w:i/>
          <w:spacing w:val="-2"/>
          <w:sz w:val="20"/>
        </w:rPr>
        <w:t>January</w:t>
      </w:r>
    </w:p>
    <w:p>
      <w:pPr>
        <w:spacing w:line="235" w:lineRule="auto" w:before="2"/>
        <w:ind w:left="705" w:right="167" w:firstLine="0"/>
        <w:jc w:val="both"/>
        <w:rPr>
          <w:rFonts w:ascii="Arial" w:hAnsi="Arial"/>
          <w:i/>
          <w:sz w:val="20"/>
        </w:rPr>
      </w:pPr>
      <w:r>
        <w:rPr>
          <w:rFonts w:ascii="Arial" w:hAnsi="Arial"/>
          <w:i/>
          <w:sz w:val="20"/>
        </w:rPr>
        <w:t>21, 2016 </w:t>
      </w:r>
      <w:r>
        <w:rPr>
          <w:sz w:val="20"/>
        </w:rPr>
        <w:t>paras 43–45; </w:t>
      </w:r>
      <w:r>
        <w:rPr>
          <w:rFonts w:ascii="Arial" w:hAnsi="Arial"/>
          <w:i/>
          <w:sz w:val="20"/>
        </w:rPr>
        <w:t>Verein für Konsumenteninformation v Amazon EU Sàrl (C-191/15) </w:t>
      </w:r>
      <w:r>
        <w:rPr>
          <w:rFonts w:ascii="Arial" w:hAnsi="Arial"/>
          <w:i/>
          <w:sz w:val="20"/>
        </w:rPr>
        <w:t>July 28,</w:t>
      </w:r>
      <w:r>
        <w:rPr>
          <w:rFonts w:ascii="Arial" w:hAnsi="Arial"/>
          <w:i/>
          <w:spacing w:val="34"/>
          <w:sz w:val="20"/>
        </w:rPr>
        <w:t> </w:t>
      </w:r>
      <w:r>
        <w:rPr>
          <w:rFonts w:ascii="Arial" w:hAnsi="Arial"/>
          <w:i/>
          <w:sz w:val="20"/>
        </w:rPr>
        <w:t>2016</w:t>
      </w:r>
      <w:r>
        <w:rPr>
          <w:rFonts w:ascii="Arial" w:hAnsi="Arial"/>
          <w:i/>
          <w:spacing w:val="34"/>
          <w:sz w:val="20"/>
        </w:rPr>
        <w:t> </w:t>
      </w:r>
      <w:r>
        <w:rPr>
          <w:sz w:val="20"/>
        </w:rPr>
        <w:t>paras</w:t>
      </w:r>
      <w:r>
        <w:rPr>
          <w:spacing w:val="34"/>
          <w:sz w:val="20"/>
        </w:rPr>
        <w:t> </w:t>
      </w:r>
      <w:r>
        <w:rPr>
          <w:sz w:val="20"/>
        </w:rPr>
        <w:t>36–53</w:t>
      </w:r>
      <w:r>
        <w:rPr>
          <w:spacing w:val="34"/>
          <w:sz w:val="20"/>
        </w:rPr>
        <w:t> </w:t>
      </w:r>
      <w:r>
        <w:rPr>
          <w:sz w:val="20"/>
        </w:rPr>
        <w:t>and</w:t>
      </w:r>
      <w:r>
        <w:rPr>
          <w:spacing w:val="34"/>
          <w:sz w:val="20"/>
        </w:rPr>
        <w:t> </w:t>
      </w:r>
      <w:r>
        <w:rPr>
          <w:sz w:val="20"/>
        </w:rPr>
        <w:t>58.</w:t>
      </w:r>
      <w:r>
        <w:rPr>
          <w:spacing w:val="34"/>
          <w:sz w:val="20"/>
        </w:rPr>
        <w:t> </w:t>
      </w:r>
      <w:r>
        <w:rPr>
          <w:sz w:val="20"/>
        </w:rPr>
        <w:t>See</w:t>
      </w:r>
      <w:r>
        <w:rPr>
          <w:spacing w:val="34"/>
          <w:sz w:val="20"/>
        </w:rPr>
        <w:t> </w:t>
      </w:r>
      <w:r>
        <w:rPr>
          <w:sz w:val="20"/>
        </w:rPr>
        <w:t>also</w:t>
      </w:r>
      <w:r>
        <w:rPr>
          <w:spacing w:val="34"/>
          <w:sz w:val="20"/>
        </w:rPr>
        <w:t> </w:t>
      </w:r>
      <w:r>
        <w:rPr>
          <w:rFonts w:ascii="Arial" w:hAnsi="Arial"/>
          <w:i/>
          <w:sz w:val="20"/>
        </w:rPr>
        <w:t>Committeri</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Club</w:t>
      </w:r>
      <w:r>
        <w:rPr>
          <w:rFonts w:ascii="Arial" w:hAnsi="Arial"/>
          <w:i/>
          <w:spacing w:val="34"/>
          <w:sz w:val="20"/>
        </w:rPr>
        <w:t> </w:t>
      </w:r>
      <w:r>
        <w:rPr>
          <w:rFonts w:ascii="Arial" w:hAnsi="Arial"/>
          <w:i/>
          <w:sz w:val="20"/>
        </w:rPr>
        <w:t>Mediterranee</w:t>
      </w:r>
      <w:r>
        <w:rPr>
          <w:rFonts w:ascii="Arial" w:hAnsi="Arial"/>
          <w:i/>
          <w:spacing w:val="34"/>
          <w:sz w:val="20"/>
        </w:rPr>
        <w:t> </w:t>
      </w:r>
      <w:r>
        <w:rPr>
          <w:rFonts w:ascii="Arial" w:hAnsi="Arial"/>
          <w:i/>
          <w:sz w:val="20"/>
        </w:rPr>
        <w:t>SA</w:t>
      </w:r>
      <w:r>
        <w:rPr>
          <w:rFonts w:ascii="Arial" w:hAnsi="Arial"/>
          <w:i/>
          <w:spacing w:val="34"/>
          <w:sz w:val="20"/>
        </w:rPr>
        <w:t> </w:t>
      </w:r>
      <w:r>
        <w:rPr>
          <w:rFonts w:ascii="Arial" w:hAnsi="Arial"/>
          <w:i/>
          <w:sz w:val="20"/>
        </w:rPr>
        <w:t>[2016]</w:t>
      </w:r>
      <w:r>
        <w:rPr>
          <w:rFonts w:ascii="Arial" w:hAnsi="Arial"/>
          <w:i/>
          <w:spacing w:val="34"/>
          <w:sz w:val="20"/>
        </w:rPr>
        <w:t> </w:t>
      </w:r>
      <w:r>
        <w:rPr>
          <w:rFonts w:ascii="Arial" w:hAnsi="Arial"/>
          <w:i/>
          <w:spacing w:val="-4"/>
          <w:sz w:val="20"/>
        </w:rPr>
        <w:t>EWHC</w:t>
      </w:r>
    </w:p>
    <w:p>
      <w:pPr>
        <w:spacing w:line="225" w:lineRule="exact" w:before="0"/>
        <w:ind w:left="705" w:right="0" w:firstLine="0"/>
        <w:jc w:val="both"/>
        <w:rPr>
          <w:sz w:val="20"/>
        </w:rPr>
      </w:pPr>
      <w:r>
        <w:rPr>
          <w:rFonts w:ascii="Arial" w:hAnsi="Arial"/>
          <w:i/>
          <w:sz w:val="20"/>
        </w:rPr>
        <w:t>1510 (QB)</w:t>
      </w:r>
      <w:r>
        <w:rPr>
          <w:rFonts w:ascii="Arial" w:hAnsi="Arial"/>
          <w:i/>
          <w:spacing w:val="-1"/>
          <w:sz w:val="20"/>
        </w:rPr>
        <w:t> </w:t>
      </w:r>
      <w:r>
        <w:rPr>
          <w:sz w:val="20"/>
        </w:rPr>
        <w:t>at [49]–[53]. Below, para.30-</w:t>
      </w:r>
      <w:r>
        <w:rPr>
          <w:spacing w:val="-4"/>
          <w:sz w:val="20"/>
        </w:rPr>
        <w:t>150.</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7. - The Relationship between Contract and </w:t>
      </w:r>
      <w:r>
        <w:rPr>
          <w:rFonts w:ascii="Arial"/>
          <w:b/>
          <w:spacing w:val="-4"/>
          <w:sz w:val="24"/>
        </w:rPr>
        <w:t>Tort</w:t>
      </w:r>
    </w:p>
    <w:p>
      <w:pPr>
        <w:spacing w:before="194"/>
        <w:ind w:left="1658" w:right="0" w:firstLine="0"/>
        <w:jc w:val="left"/>
        <w:rPr>
          <w:rFonts w:ascii="Arial"/>
          <w:b/>
          <w:sz w:val="24"/>
        </w:rPr>
      </w:pPr>
      <w:r>
        <w:rPr>
          <w:rFonts w:ascii="Arial"/>
          <w:b/>
          <w:sz w:val="24"/>
        </w:rPr>
        <w:t>(d) - The Influence of Contract on Tort beyond </w:t>
      </w:r>
      <w:r>
        <w:rPr>
          <w:rFonts w:ascii="Arial"/>
          <w:b/>
          <w:spacing w:val="-2"/>
          <w:sz w:val="24"/>
        </w:rPr>
        <w:t>Privity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Introduction</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201</w:t>
      </w:r>
    </w:p>
    <w:p>
      <w:pPr>
        <w:pStyle w:val="BodyText"/>
        <w:spacing w:line="235" w:lineRule="auto" w:before="202"/>
        <w:ind w:left="164" w:right="168"/>
        <w:jc w:val="both"/>
      </w:pPr>
      <w:r>
        <w:rPr/>
        <w:t>One of the most basic characteristics of liability in tort is that it can exist in the absence of </w:t>
      </w:r>
      <w:r>
        <w:rPr/>
        <w:t>any </w:t>
      </w:r>
      <w:bookmarkStart w:name="_bookmark2104" w:id="2106"/>
      <w:bookmarkEnd w:id="2106"/>
      <w:r>
        <w:rPr/>
        <w:t>contractual</w:t>
      </w:r>
      <w:r>
        <w:rPr/>
        <w:t> relationship existing between the parties: there is in general no need for any voluntary element on the part of someone on whom duties or liabilities in tort are imposed. </w:t>
      </w:r>
      <w:r>
        <w:rPr>
          <w:color w:val="005DA1"/>
          <w:u w:val="single" w:color="005DA1"/>
          <w:vertAlign w:val="superscript"/>
        </w:rPr>
        <w:t>1422</w:t>
      </w:r>
      <w:r>
        <w:rPr>
          <w:color w:val="005DA1"/>
          <w:vertAlign w:val="baseline"/>
        </w:rPr>
        <w:t> </w:t>
      </w:r>
      <w:r>
        <w:rPr>
          <w:vertAlign w:val="baseline"/>
        </w:rPr>
        <w:t>However, a contract may affect liabilities in tort beyond its parties either positively or negatively. Positively, in </w:t>
      </w:r>
      <w:bookmarkStart w:name="_bookmark2105" w:id="2107"/>
      <w:bookmarkEnd w:id="2107"/>
      <w:r>
        <w:rPr>
          <w:vertAlign w:val="baseline"/>
        </w:rPr>
        <w:t>certain</w:t>
      </w:r>
      <w:r>
        <w:rPr>
          <w:vertAlign w:val="baseline"/>
        </w:rPr>
        <w:t> circumstances someone not party to a contract, C, may be liable in tort for behaviour which induces breach of B’s contract with A (the tort of inducing breach of contract) </w:t>
      </w:r>
      <w:r>
        <w:rPr>
          <w:color w:val="005DA1"/>
          <w:u w:val="single" w:color="005DA1"/>
          <w:vertAlign w:val="superscript"/>
        </w:rPr>
        <w:t>1423</w:t>
      </w:r>
      <w:r>
        <w:rPr>
          <w:color w:val="005DA1"/>
          <w:vertAlign w:val="baseline"/>
        </w:rPr>
        <w:t> </w:t>
      </w:r>
      <w:r>
        <w:rPr>
          <w:vertAlign w:val="baseline"/>
        </w:rPr>
        <w:t>and, secondly, A </w:t>
      </w:r>
      <w:bookmarkStart w:name="_bookmark2106" w:id="2108"/>
      <w:bookmarkEnd w:id="2108"/>
      <w:r>
        <w:rPr>
          <w:vertAlign w:val="baseline"/>
        </w:rPr>
        <w:t>may</w:t>
      </w:r>
      <w:r>
        <w:rPr>
          <w:vertAlign w:val="baseline"/>
        </w:rPr>
        <w:t> be liable to C for threatening B that he will break his contract with B (so-called “three-party” intimidation). </w:t>
      </w:r>
      <w:r>
        <w:rPr>
          <w:color w:val="005DA1"/>
          <w:u w:val="single" w:color="005DA1"/>
          <w:vertAlign w:val="superscript"/>
        </w:rPr>
        <w:t>1424</w:t>
      </w:r>
      <w:r>
        <w:rPr>
          <w:color w:val="005DA1"/>
          <w:vertAlign w:val="baseline"/>
        </w:rPr>
        <w:t> </w:t>
      </w:r>
      <w:r>
        <w:rPr>
          <w:vertAlign w:val="baseline"/>
        </w:rPr>
        <w:t>A contract may have a negative effect on torts involving third parties in two ways. First, in certain circumstances the fact that A and B are parties to a contract has sometimes been seen as a reason for refusing to impose or for modifying any liability in tort in A to C. This idea, long derided as the “privity of contract fallacy”, enjoyed during the later 1980s and early 1990s a resurgence of judicial popularity in the context of liability for pure economic loss in the tort of </w:t>
      </w:r>
      <w:bookmarkStart w:name="_bookmark2107" w:id="2109"/>
      <w:bookmarkEnd w:id="2109"/>
      <w:r>
        <w:rPr>
          <w:vertAlign w:val="baseline"/>
        </w:rPr>
        <w:t>negligence,</w:t>
      </w:r>
      <w:r>
        <w:rPr>
          <w:vertAlign w:val="baseline"/>
        </w:rPr>
        <w:t> and to a much lesser extent, in the context of liability in the same tort for damage to property. </w:t>
      </w:r>
      <w:r>
        <w:rPr>
          <w:color w:val="005DA1"/>
          <w:u w:val="single" w:color="005DA1"/>
          <w:vertAlign w:val="superscript"/>
        </w:rPr>
        <w:t>1425</w:t>
      </w:r>
      <w:r>
        <w:rPr>
          <w:color w:val="005DA1"/>
          <w:vertAlign w:val="baseline"/>
        </w:rPr>
        <w:t> </w:t>
      </w:r>
      <w:r>
        <w:rPr>
          <w:vertAlign w:val="baseline"/>
        </w:rPr>
        <w:t>However, since 1994 the courts have taken rather different approaches to these questions, in general corralling liability in negligence for pure economic loss within the doctrine of “assumption of responsibility” and treating the disruption of contractual arrangements as a possible reason of policy for refusing to accept a novel duty of care. Secondly, the existence of a contract between A and B may be a reason for refusing to impose liability on C to either A or B, depending on the terms of the contract between A and B. This issue arises clearly in the context of the question whether A and B can by contract ensure that a third party, C, enjoys the benefit of an exemption clause so as to be protected from liability to A or B, whether or not C is in privity of contract with that person. These situations will be examined in turn.</w:t>
      </w:r>
    </w:p>
    <w:p>
      <w:pPr>
        <w:pStyle w:val="BodyText"/>
      </w:pPr>
    </w:p>
    <w:p>
      <w:pPr>
        <w:pStyle w:val="BodyText"/>
        <w:spacing w:before="30"/>
      </w:pPr>
    </w:p>
    <w:p>
      <w:pPr>
        <w:spacing w:before="1"/>
        <w:ind w:left="165" w:right="0" w:firstLine="0"/>
        <w:jc w:val="left"/>
        <w:rPr>
          <w:rFonts w:ascii="Arial"/>
          <w:b/>
          <w:sz w:val="18"/>
        </w:rPr>
      </w:pPr>
      <w:r>
        <w:rPr>
          <w:rFonts w:ascii="Arial"/>
          <w:b/>
          <w:sz w:val="18"/>
        </w:rPr>
        <w:t>The tort of inducing breach of </w:t>
      </w:r>
      <w:r>
        <w:rPr>
          <w:rFonts w:ascii="Arial"/>
          <w:b/>
          <w:spacing w:val="-2"/>
          <w:sz w:val="18"/>
        </w:rPr>
        <w:t>contract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202</w:t>
      </w:r>
    </w:p>
    <w:p>
      <w:pPr>
        <w:pStyle w:val="BodyText"/>
        <w:spacing w:line="235" w:lineRule="auto" w:before="202"/>
        <w:ind w:left="165" w:right="167"/>
        <w:jc w:val="both"/>
      </w:pPr>
      <w:bookmarkStart w:name="_bookmark2108" w:id="2110"/>
      <w:bookmarkEnd w:id="2110"/>
      <w:r>
        <w:rPr/>
      </w:r>
      <w:bookmarkStart w:name="_bookmark2109" w:id="2111"/>
      <w:bookmarkEnd w:id="2111"/>
      <w:r>
        <w:rPr/>
      </w:r>
      <w:r>
        <w:rPr/>
        <w:t>It was clearly established by </w:t>
      </w:r>
      <w:r>
        <w:rPr>
          <w:rFonts w:ascii="Arial" w:hAnsi="Arial"/>
          <w:i/>
        </w:rPr>
        <w:t>Lumley v Gye </w:t>
      </w:r>
      <w:r>
        <w:rPr>
          <w:color w:val="005DA1"/>
          <w:u w:val="single" w:color="005DA1"/>
          <w:vertAlign w:val="superscript"/>
        </w:rPr>
        <w:t>1426</w:t>
      </w:r>
      <w:r>
        <w:rPr>
          <w:color w:val="005DA1"/>
          <w:vertAlign w:val="baseline"/>
        </w:rPr>
        <w:t> </w:t>
      </w:r>
      <w:r>
        <w:rPr>
          <w:vertAlign w:val="baseline"/>
        </w:rPr>
        <w:t>in 1853 that if A intentionally induces B to break her </w:t>
      </w:r>
      <w:bookmarkStart w:name="_bookmark2110" w:id="2112"/>
      <w:bookmarkEnd w:id="2112"/>
      <w:r>
        <w:rPr>
          <w:vertAlign w:val="baseline"/>
        </w:rPr>
        <w:t>contract</w:t>
      </w:r>
      <w:r>
        <w:rPr>
          <w:spacing w:val="-2"/>
          <w:vertAlign w:val="baseline"/>
        </w:rPr>
        <w:t> </w:t>
      </w:r>
      <w:r>
        <w:rPr>
          <w:vertAlign w:val="baseline"/>
        </w:rPr>
        <w:t>with</w:t>
      </w:r>
      <w:r>
        <w:rPr>
          <w:spacing w:val="-2"/>
          <w:vertAlign w:val="baseline"/>
        </w:rPr>
        <w:t> </w:t>
      </w:r>
      <w:r>
        <w:rPr>
          <w:vertAlign w:val="baseline"/>
        </w:rPr>
        <w:t>C,</w:t>
      </w:r>
      <w:r>
        <w:rPr>
          <w:spacing w:val="-2"/>
          <w:vertAlign w:val="baseline"/>
        </w:rPr>
        <w:t> </w:t>
      </w:r>
      <w:r>
        <w:rPr>
          <w:color w:val="005DA1"/>
          <w:u w:val="single" w:color="005DA1"/>
          <w:vertAlign w:val="superscript"/>
        </w:rPr>
        <w:t>1427</w:t>
      </w:r>
      <w:r>
        <w:rPr>
          <w:color w:val="005DA1"/>
          <w:spacing w:val="-2"/>
          <w:vertAlign w:val="baseline"/>
        </w:rPr>
        <w:t> </w:t>
      </w:r>
      <w:r>
        <w:rPr>
          <w:vertAlign w:val="baseline"/>
        </w:rPr>
        <w:t>then</w:t>
      </w:r>
      <w:r>
        <w:rPr>
          <w:spacing w:val="-2"/>
          <w:vertAlign w:val="baseline"/>
        </w:rPr>
        <w:t> </w:t>
      </w:r>
      <w:r>
        <w:rPr>
          <w:vertAlign w:val="baseline"/>
        </w:rPr>
        <w:t>A</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liable</w:t>
      </w:r>
      <w:r>
        <w:rPr>
          <w:spacing w:val="-2"/>
          <w:vertAlign w:val="baseline"/>
        </w:rPr>
        <w:t> </w:t>
      </w:r>
      <w:r>
        <w:rPr>
          <w:vertAlign w:val="baseline"/>
        </w:rPr>
        <w:t>in</w:t>
      </w:r>
      <w:r>
        <w:rPr>
          <w:spacing w:val="-2"/>
          <w:vertAlign w:val="baseline"/>
        </w:rPr>
        <w:t> </w:t>
      </w:r>
      <w:r>
        <w:rPr>
          <w:vertAlign w:val="baseline"/>
        </w:rPr>
        <w:t>damages</w:t>
      </w:r>
      <w:r>
        <w:rPr>
          <w:spacing w:val="-2"/>
          <w:vertAlign w:val="baseline"/>
        </w:rPr>
        <w:t> </w:t>
      </w:r>
      <w:r>
        <w:rPr>
          <w:vertAlign w:val="baseline"/>
        </w:rPr>
        <w:t>for</w:t>
      </w:r>
      <w:r>
        <w:rPr>
          <w:spacing w:val="-2"/>
          <w:vertAlign w:val="baseline"/>
        </w:rPr>
        <w:t> </w:t>
      </w:r>
      <w:r>
        <w:rPr>
          <w:vertAlign w:val="baseline"/>
        </w:rPr>
        <w:t>any</w:t>
      </w:r>
      <w:r>
        <w:rPr>
          <w:spacing w:val="-2"/>
          <w:vertAlign w:val="baseline"/>
        </w:rPr>
        <w:t> </w:t>
      </w:r>
      <w:r>
        <w:rPr>
          <w:vertAlign w:val="baseline"/>
        </w:rPr>
        <w:t>harmful</w:t>
      </w:r>
      <w:r>
        <w:rPr>
          <w:spacing w:val="-2"/>
          <w:vertAlign w:val="baseline"/>
        </w:rPr>
        <w:t> </w:t>
      </w:r>
      <w:r>
        <w:rPr>
          <w:vertAlign w:val="baseline"/>
        </w:rPr>
        <w:t>consequences</w:t>
      </w:r>
      <w:r>
        <w:rPr>
          <w:spacing w:val="-2"/>
          <w:vertAlign w:val="baseline"/>
        </w:rPr>
        <w:t> </w:t>
      </w:r>
      <w:r>
        <w:rPr>
          <w:vertAlign w:val="baseline"/>
        </w:rPr>
        <w:t>that</w:t>
      </w:r>
      <w:r>
        <w:rPr>
          <w:spacing w:val="-2"/>
          <w:vertAlign w:val="baseline"/>
        </w:rPr>
        <w:t> </w:t>
      </w:r>
      <w:r>
        <w:rPr>
          <w:vertAlign w:val="baseline"/>
        </w:rPr>
        <w:t>this</w:t>
      </w:r>
      <w:r>
        <w:rPr>
          <w:spacing w:val="-2"/>
          <w:vertAlign w:val="baseline"/>
        </w:rPr>
        <w:t> </w:t>
      </w:r>
      <w:r>
        <w:rPr>
          <w:vertAlign w:val="baseline"/>
        </w:rPr>
        <w:t>causes</w:t>
      </w:r>
      <w:r>
        <w:rPr>
          <w:spacing w:val="-2"/>
          <w:vertAlign w:val="baseline"/>
        </w:rPr>
        <w:t> </w:t>
      </w:r>
      <w:r>
        <w:rPr>
          <w:vertAlign w:val="baseline"/>
        </w:rPr>
        <w:t>C </w:t>
      </w:r>
      <w:r>
        <w:rPr>
          <w:color w:val="005DA1"/>
          <w:u w:val="single" w:color="005DA1"/>
          <w:vertAlign w:val="superscript"/>
        </w:rPr>
        <w:t>1428</w:t>
      </w:r>
      <w:r>
        <w:rPr>
          <w:color w:val="005DA1"/>
          <w:vertAlign w:val="baseline"/>
        </w:rPr>
        <w:t> </w:t>
      </w:r>
      <w:r>
        <w:rPr>
          <w:vertAlign w:val="baseline"/>
        </w:rPr>
        <w:t>or restrained by injunction from continuing to prejudice C’s contractual rights in this way. </w:t>
      </w:r>
      <w:r>
        <w:rPr>
          <w:color w:val="005DA1"/>
          <w:u w:val="single" w:color="005DA1"/>
          <w:vertAlign w:val="superscript"/>
        </w:rPr>
        <w:t>1429</w:t>
      </w:r>
      <w:r>
        <w:rPr>
          <w:color w:val="005DA1"/>
          <w:vertAlign w:val="baseline"/>
        </w:rPr>
        <w:t> </w:t>
      </w:r>
      <w:r>
        <w:rPr>
          <w:vertAlign w:val="baseline"/>
        </w:rPr>
        <w:t>The courts accept that in this way C may be able to recover more damages against A than he would be </w:t>
      </w:r>
      <w:bookmarkStart w:name="_bookmark2111" w:id="2113"/>
      <w:bookmarkEnd w:id="2113"/>
      <w:r>
        <w:rPr>
          <w:vertAlign w:val="baseline"/>
        </w:rPr>
        <w:t>able</w:t>
      </w:r>
      <w:r>
        <w:rPr>
          <w:vertAlign w:val="baseline"/>
        </w:rPr>
        <w:t> to against B, this being seen as a reason for imposing the liability in tort, rather than for </w:t>
      </w:r>
      <w:r>
        <w:rPr>
          <w:vertAlign w:val="baseline"/>
        </w:rPr>
        <w:t>denying it.</w:t>
      </w:r>
      <w:r>
        <w:rPr>
          <w:spacing w:val="-2"/>
          <w:vertAlign w:val="baseline"/>
        </w:rPr>
        <w:t> </w:t>
      </w:r>
      <w:r>
        <w:rPr>
          <w:color w:val="005DA1"/>
          <w:u w:val="single" w:color="005DA1"/>
          <w:vertAlign w:val="superscript"/>
        </w:rPr>
        <w:t>1430</w:t>
      </w:r>
      <w:r>
        <w:rPr>
          <w:color w:val="005DA1"/>
          <w:spacing w:val="-2"/>
          <w:vertAlign w:val="baseline"/>
        </w:rPr>
        <w:t> </w:t>
      </w:r>
      <w:r>
        <w:rPr>
          <w:vertAlign w:val="baseline"/>
        </w:rPr>
        <w:t>While</w:t>
      </w:r>
      <w:r>
        <w:rPr>
          <w:spacing w:val="-2"/>
          <w:vertAlign w:val="baseline"/>
        </w:rPr>
        <w:t> </w:t>
      </w:r>
      <w:r>
        <w:rPr>
          <w:vertAlign w:val="baseline"/>
        </w:rPr>
        <w:t>at</w:t>
      </w:r>
      <w:r>
        <w:rPr>
          <w:spacing w:val="-2"/>
          <w:vertAlign w:val="baseline"/>
        </w:rPr>
        <w:t> </w:t>
      </w:r>
      <w:r>
        <w:rPr>
          <w:vertAlign w:val="baseline"/>
        </w:rPr>
        <w:t>one</w:t>
      </w:r>
      <w:r>
        <w:rPr>
          <w:spacing w:val="-2"/>
          <w:vertAlign w:val="baseline"/>
        </w:rPr>
        <w:t> </w:t>
      </w:r>
      <w:r>
        <w:rPr>
          <w:vertAlign w:val="baseline"/>
        </w:rPr>
        <w:t>time</w:t>
      </w:r>
      <w:r>
        <w:rPr>
          <w:spacing w:val="-2"/>
          <w:vertAlign w:val="baseline"/>
        </w:rPr>
        <w:t> </w:t>
      </w:r>
      <w:r>
        <w:rPr>
          <w:vertAlign w:val="baseline"/>
        </w:rPr>
        <w:t>this</w:t>
      </w:r>
      <w:r>
        <w:rPr>
          <w:spacing w:val="-2"/>
          <w:vertAlign w:val="baseline"/>
        </w:rPr>
        <w:t> </w:t>
      </w:r>
      <w:r>
        <w:rPr>
          <w:vertAlign w:val="baseline"/>
        </w:rPr>
        <w:t>liability</w:t>
      </w:r>
      <w:r>
        <w:rPr>
          <w:spacing w:val="-2"/>
          <w:vertAlign w:val="baseline"/>
        </w:rPr>
        <w:t> </w:t>
      </w:r>
      <w:r>
        <w:rPr>
          <w:vertAlign w:val="baseline"/>
        </w:rPr>
        <w:t>in</w:t>
      </w:r>
      <w:r>
        <w:rPr>
          <w:spacing w:val="-2"/>
          <w:vertAlign w:val="baseline"/>
        </w:rPr>
        <w:t> </w:t>
      </w:r>
      <w:r>
        <w:rPr>
          <w:vertAlign w:val="baseline"/>
        </w:rPr>
        <w:t>tort</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to</w:t>
      </w:r>
      <w:r>
        <w:rPr>
          <w:spacing w:val="-2"/>
          <w:vertAlign w:val="baseline"/>
        </w:rPr>
        <w:t> </w:t>
      </w:r>
      <w:r>
        <w:rPr>
          <w:vertAlign w:val="baseline"/>
        </w:rPr>
        <w:t>extend</w:t>
      </w:r>
      <w:r>
        <w:rPr>
          <w:spacing w:val="-2"/>
          <w:vertAlign w:val="baseline"/>
        </w:rPr>
        <w:t> </w:t>
      </w:r>
      <w:r>
        <w:rPr>
          <w:vertAlign w:val="baseline"/>
        </w:rPr>
        <w:t>to</w:t>
      </w:r>
      <w:r>
        <w:rPr>
          <w:spacing w:val="-2"/>
          <w:vertAlign w:val="baseline"/>
        </w:rPr>
        <w:t> </w:t>
      </w:r>
      <w:r>
        <w:rPr>
          <w:vertAlign w:val="baseline"/>
        </w:rPr>
        <w:t>cases</w:t>
      </w:r>
      <w:r>
        <w:rPr>
          <w:spacing w:val="-2"/>
          <w:vertAlign w:val="baseline"/>
        </w:rPr>
        <w:t> </w:t>
      </w:r>
      <w:r>
        <w:rPr>
          <w:vertAlign w:val="baseline"/>
        </w:rPr>
        <w:t>where</w:t>
      </w:r>
      <w:r>
        <w:rPr>
          <w:spacing w:val="-2"/>
          <w:vertAlign w:val="baseline"/>
        </w:rPr>
        <w:t> </w:t>
      </w:r>
      <w:r>
        <w:rPr>
          <w:vertAlign w:val="baseline"/>
        </w:rPr>
        <w:t>A’s</w:t>
      </w:r>
      <w:r>
        <w:rPr>
          <w:spacing w:val="-2"/>
          <w:vertAlign w:val="baseline"/>
        </w:rPr>
        <w:t> </w:t>
      </w:r>
      <w:r>
        <w:rPr>
          <w:vertAlign w:val="baseline"/>
        </w:rPr>
        <w:t>interference</w:t>
      </w:r>
      <w:r>
        <w:rPr>
          <w:spacing w:val="-2"/>
          <w:vertAlign w:val="baseline"/>
        </w:rPr>
        <w:t> </w:t>
      </w:r>
      <w:r>
        <w:rPr>
          <w:vertAlign w:val="baseline"/>
        </w:rPr>
        <w:t>with</w:t>
      </w:r>
      <w:r>
        <w:rPr>
          <w:spacing w:val="-2"/>
          <w:vertAlign w:val="baseline"/>
        </w:rPr>
        <w:t> </w:t>
      </w:r>
      <w:r>
        <w:rPr>
          <w:vertAlign w:val="baseline"/>
        </w:rPr>
        <w:t>C’s rights does not constitute a breach of contract by reason, for example, of the presence of a force </w:t>
      </w:r>
      <w:bookmarkStart w:name="_bookmark2112" w:id="2114"/>
      <w:bookmarkEnd w:id="2114"/>
      <w:r>
        <w:rPr>
          <w:vertAlign w:val="baseline"/>
        </w:rPr>
        <w:t>majeure</w:t>
      </w:r>
      <w:r>
        <w:rPr>
          <w:vertAlign w:val="baseline"/>
        </w:rPr>
        <w:t> clause, the House of Lords has since held that it may not arise in the absence of a breach of contract: the tort liability is accessory to the breach of contract. </w:t>
      </w:r>
      <w:r>
        <w:rPr>
          <w:color w:val="005DA1"/>
          <w:u w:val="single" w:color="005DA1"/>
          <w:vertAlign w:val="superscript"/>
        </w:rPr>
        <w:t>1431</w:t>
      </w:r>
      <w:r>
        <w:rPr>
          <w:color w:val="005DA1"/>
          <w:vertAlign w:val="baseline"/>
        </w:rPr>
        <w:t> </w:t>
      </w:r>
      <w:r>
        <w:rPr>
          <w:vertAlign w:val="baseline"/>
        </w:rPr>
        <w:t>Moreover, liability under this tort does not extend to interference with remedies arising out of a broken contract. Thus, where A has received</w:t>
      </w:r>
      <w:r>
        <w:rPr>
          <w:spacing w:val="36"/>
          <w:vertAlign w:val="baseline"/>
        </w:rPr>
        <w:t> </w:t>
      </w:r>
      <w:r>
        <w:rPr>
          <w:vertAlign w:val="baseline"/>
        </w:rPr>
        <w:t>shares</w:t>
      </w:r>
      <w:r>
        <w:rPr>
          <w:spacing w:val="36"/>
          <w:vertAlign w:val="baseline"/>
        </w:rPr>
        <w:t> </w:t>
      </w:r>
      <w:r>
        <w:rPr>
          <w:vertAlign w:val="baseline"/>
        </w:rPr>
        <w:t>from</w:t>
      </w:r>
      <w:r>
        <w:rPr>
          <w:spacing w:val="36"/>
          <w:vertAlign w:val="baseline"/>
        </w:rPr>
        <w:t> </w:t>
      </w:r>
      <w:r>
        <w:rPr>
          <w:vertAlign w:val="baseline"/>
        </w:rPr>
        <w:t>B</w:t>
      </w:r>
      <w:r>
        <w:rPr>
          <w:spacing w:val="36"/>
          <w:vertAlign w:val="baseline"/>
        </w:rPr>
        <w:t> </w:t>
      </w:r>
      <w:r>
        <w:rPr>
          <w:vertAlign w:val="baseline"/>
        </w:rPr>
        <w:t>in</w:t>
      </w:r>
      <w:r>
        <w:rPr>
          <w:spacing w:val="36"/>
          <w:vertAlign w:val="baseline"/>
        </w:rPr>
        <w:t> </w:t>
      </w:r>
      <w:r>
        <w:rPr>
          <w:vertAlign w:val="baseline"/>
        </w:rPr>
        <w:t>breach</w:t>
      </w:r>
      <w:r>
        <w:rPr>
          <w:spacing w:val="36"/>
          <w:vertAlign w:val="baseline"/>
        </w:rPr>
        <w:t> </w:t>
      </w:r>
      <w:r>
        <w:rPr>
          <w:vertAlign w:val="baseline"/>
        </w:rPr>
        <w:t>of</w:t>
      </w:r>
      <w:r>
        <w:rPr>
          <w:spacing w:val="36"/>
          <w:vertAlign w:val="baseline"/>
        </w:rPr>
        <w:t> </w:t>
      </w:r>
      <w:r>
        <w:rPr>
          <w:vertAlign w:val="baseline"/>
        </w:rPr>
        <w:t>B’s</w:t>
      </w:r>
      <w:r>
        <w:rPr>
          <w:spacing w:val="36"/>
          <w:vertAlign w:val="baseline"/>
        </w:rPr>
        <w:t> </w:t>
      </w:r>
      <w:r>
        <w:rPr>
          <w:vertAlign w:val="baseline"/>
        </w:rPr>
        <w:t>contractual</w:t>
      </w:r>
      <w:r>
        <w:rPr>
          <w:spacing w:val="36"/>
          <w:vertAlign w:val="baseline"/>
        </w:rPr>
        <w:t> </w:t>
      </w:r>
      <w:r>
        <w:rPr>
          <w:vertAlign w:val="baseline"/>
        </w:rPr>
        <w:t>obligations</w:t>
      </w:r>
      <w:r>
        <w:rPr>
          <w:spacing w:val="36"/>
          <w:vertAlign w:val="baseline"/>
        </w:rPr>
        <w:t> </w:t>
      </w:r>
      <w:r>
        <w:rPr>
          <w:vertAlign w:val="baseline"/>
        </w:rPr>
        <w:t>to</w:t>
      </w:r>
      <w:r>
        <w:rPr>
          <w:spacing w:val="36"/>
          <w:vertAlign w:val="baseline"/>
        </w:rPr>
        <w:t> </w:t>
      </w:r>
      <w:r>
        <w:rPr>
          <w:vertAlign w:val="baseline"/>
        </w:rPr>
        <w:t>C,</w:t>
      </w:r>
      <w:r>
        <w:rPr>
          <w:spacing w:val="36"/>
          <w:vertAlign w:val="baseline"/>
        </w:rPr>
        <w:t> </w:t>
      </w:r>
      <w:r>
        <w:rPr>
          <w:vertAlign w:val="baseline"/>
        </w:rPr>
        <w:t>while</w:t>
      </w:r>
      <w:r>
        <w:rPr>
          <w:spacing w:val="36"/>
          <w:vertAlign w:val="baseline"/>
        </w:rPr>
        <w:t> </w:t>
      </w:r>
      <w:r>
        <w:rPr>
          <w:vertAlign w:val="baseline"/>
        </w:rPr>
        <w:t>A</w:t>
      </w:r>
      <w:r>
        <w:rPr>
          <w:spacing w:val="36"/>
          <w:vertAlign w:val="baseline"/>
        </w:rPr>
        <w:t> </w:t>
      </w:r>
      <w:r>
        <w:rPr>
          <w:vertAlign w:val="baseline"/>
        </w:rPr>
        <w:t>may</w:t>
      </w:r>
      <w:r>
        <w:rPr>
          <w:spacing w:val="36"/>
          <w:vertAlign w:val="baseline"/>
        </w:rPr>
        <w:t> </w:t>
      </w:r>
      <w:r>
        <w:rPr>
          <w:vertAlign w:val="baseline"/>
        </w:rPr>
        <w:t>be</w:t>
      </w:r>
      <w:r>
        <w:rPr>
          <w:spacing w:val="36"/>
          <w:vertAlign w:val="baseline"/>
        </w:rPr>
        <w:t> </w:t>
      </w:r>
      <w:r>
        <w:rPr>
          <w:vertAlign w:val="baseline"/>
        </w:rPr>
        <w:t>ordered</w:t>
      </w:r>
      <w:r>
        <w:rPr>
          <w:spacing w:val="36"/>
          <w:vertAlign w:val="baseline"/>
        </w:rPr>
        <w:t> </w:t>
      </w:r>
      <w:r>
        <w:rPr>
          <w:spacing w:val="-5"/>
          <w:vertAlign w:val="baseline"/>
        </w:rPr>
        <w:t>to</w:t>
      </w:r>
    </w:p>
    <w:p>
      <w:pPr>
        <w:pStyle w:val="BodyText"/>
        <w:spacing w:after="0" w:line="235" w:lineRule="auto"/>
        <w:jc w:val="both"/>
        <w:sectPr>
          <w:headerReference w:type="default" r:id="rId48"/>
          <w:pgSz w:w="11900" w:h="16840"/>
          <w:pgMar w:header="971" w:footer="0" w:top="1300" w:bottom="280" w:left="1275" w:right="1275"/>
          <w:pgNumType w:start="1"/>
        </w:sectPr>
      </w:pPr>
    </w:p>
    <w:p>
      <w:pPr>
        <w:pStyle w:val="BodyText"/>
        <w:spacing w:line="235" w:lineRule="auto" w:before="110"/>
        <w:ind w:left="165" w:right="167"/>
        <w:jc w:val="both"/>
      </w:pPr>
      <w:bookmarkStart w:name="_bookmark2113" w:id="2115"/>
      <w:bookmarkEnd w:id="2115"/>
      <w:r>
        <w:rPr/>
      </w:r>
      <w:r>
        <w:rPr/>
        <w:t>retransfer the shares to B and may be restrained by injunction from retransferring them to D, it is no tort in A to retransfer them nor in D to receive them. </w:t>
      </w:r>
      <w:r>
        <w:rPr>
          <w:color w:val="005DA1"/>
          <w:u w:val="single" w:color="005DA1"/>
          <w:vertAlign w:val="superscript"/>
        </w:rPr>
        <w:t>1432</w:t>
      </w:r>
    </w:p>
    <w:p>
      <w:pPr>
        <w:pStyle w:val="BodyText"/>
      </w:pPr>
    </w:p>
    <w:p>
      <w:pPr>
        <w:pStyle w:val="BodyText"/>
        <w:spacing w:before="38"/>
      </w:pPr>
    </w:p>
    <w:p>
      <w:pPr>
        <w:spacing w:before="0"/>
        <w:ind w:left="164" w:right="0" w:firstLine="0"/>
        <w:jc w:val="both"/>
        <w:rPr>
          <w:rFonts w:ascii="Arial" w:hAnsi="Arial"/>
          <w:b/>
          <w:sz w:val="18"/>
        </w:rPr>
      </w:pPr>
      <w:r>
        <w:rPr>
          <w:rFonts w:ascii="Arial" w:hAnsi="Arial"/>
          <w:b/>
          <w:sz w:val="18"/>
        </w:rPr>
        <w:t>The tort of causing loss by unlawful means: “three-party </w:t>
      </w:r>
      <w:r>
        <w:rPr>
          <w:rFonts w:ascii="Arial" w:hAnsi="Arial"/>
          <w:b/>
          <w:spacing w:val="-2"/>
          <w:sz w:val="18"/>
        </w:rPr>
        <w:t>intimidation”</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203</w:t>
      </w:r>
    </w:p>
    <w:p>
      <w:pPr>
        <w:pStyle w:val="BodyText"/>
        <w:spacing w:line="235" w:lineRule="auto" w:before="203"/>
        <w:ind w:left="164" w:right="167"/>
        <w:jc w:val="both"/>
      </w:pPr>
      <w:bookmarkStart w:name="_bookmark2114" w:id="2116"/>
      <w:bookmarkEnd w:id="2116"/>
      <w:r>
        <w:rPr/>
      </w:r>
      <w:r>
        <w:rPr/>
        <w:t>The tort of causing loss by unlawful means is committed, inter alia, </w:t>
      </w:r>
      <w:r>
        <w:rPr>
          <w:color w:val="005DA1"/>
          <w:u w:val="single" w:color="005DA1"/>
          <w:vertAlign w:val="superscript"/>
        </w:rPr>
        <w:t>1433</w:t>
      </w:r>
      <w:r>
        <w:rPr>
          <w:color w:val="005DA1"/>
          <w:vertAlign w:val="baseline"/>
        </w:rPr>
        <w:t> </w:t>
      </w:r>
      <w:r>
        <w:rPr>
          <w:vertAlign w:val="baseline"/>
        </w:rPr>
        <w:t>where A threatens B that he will commit an act, or use means, unlawful as against B, as a result of which B does or refrains </w:t>
      </w:r>
      <w:r>
        <w:rPr>
          <w:vertAlign w:val="baseline"/>
        </w:rPr>
        <w:t>from </w:t>
      </w:r>
      <w:bookmarkStart w:name="_bookmark2115" w:id="2117"/>
      <w:bookmarkEnd w:id="2117"/>
      <w:r>
        <w:rPr>
          <w:vertAlign w:val="baseline"/>
        </w:rPr>
        <w:t>doing</w:t>
      </w:r>
      <w:r>
        <w:rPr>
          <w:vertAlign w:val="baseline"/>
        </w:rPr>
        <w:t> some act which he is entitled to do, thereby causing damage to C, an instance of tortious</w:t>
      </w:r>
      <w:r>
        <w:rPr>
          <w:spacing w:val="40"/>
          <w:vertAlign w:val="baseline"/>
        </w:rPr>
        <w:t> </w:t>
      </w:r>
      <w:r>
        <w:rPr>
          <w:vertAlign w:val="baseline"/>
        </w:rPr>
        <w:t>liability often called “three-party intimidation”. </w:t>
      </w:r>
      <w:r>
        <w:rPr>
          <w:color w:val="005DA1"/>
          <w:u w:val="single" w:color="005DA1"/>
          <w:vertAlign w:val="superscript"/>
        </w:rPr>
        <w:t>1434</w:t>
      </w:r>
      <w:r>
        <w:rPr>
          <w:color w:val="005DA1"/>
          <w:vertAlign w:val="baseline"/>
        </w:rPr>
        <w:t> </w:t>
      </w:r>
      <w:r>
        <w:rPr>
          <w:vertAlign w:val="baseline"/>
        </w:rPr>
        <w:t>In </w:t>
      </w:r>
      <w:r>
        <w:rPr>
          <w:rFonts w:ascii="Arial" w:hAnsi="Arial"/>
          <w:i/>
          <w:vertAlign w:val="baseline"/>
        </w:rPr>
        <w:t>Rookes v Barnard</w:t>
      </w:r>
      <w:r>
        <w:rPr>
          <w:vertAlign w:val="baseline"/>
        </w:rPr>
        <w:t>, </w:t>
      </w:r>
      <w:r>
        <w:rPr>
          <w:color w:val="005DA1"/>
          <w:u w:val="single" w:color="005DA1"/>
          <w:vertAlign w:val="superscript"/>
        </w:rPr>
        <w:t>1435</w:t>
      </w:r>
      <w:r>
        <w:rPr>
          <w:color w:val="005DA1"/>
          <w:vertAlign w:val="baseline"/>
        </w:rPr>
        <w:t> </w:t>
      </w:r>
      <w:r>
        <w:rPr>
          <w:vertAlign w:val="baseline"/>
        </w:rPr>
        <w:t>the House of Lords </w:t>
      </w:r>
      <w:bookmarkStart w:name="_bookmark2116" w:id="2118"/>
      <w:bookmarkEnd w:id="2118"/>
      <w:r>
        <w:rPr>
          <w:vertAlign w:val="baseline"/>
        </w:rPr>
        <w:t>recognised</w:t>
      </w:r>
      <w:r>
        <w:rPr>
          <w:vertAlign w:val="baseline"/>
        </w:rPr>
        <w:t> the existence of this liability in tort and further held that a threatened breach of contract by A can constitute unlawful means for this purpose. </w:t>
      </w:r>
      <w:r>
        <w:rPr>
          <w:color w:val="005DA1"/>
          <w:u w:val="single" w:color="005DA1"/>
          <w:vertAlign w:val="superscript"/>
        </w:rPr>
        <w:t>1436</w:t>
      </w:r>
      <w:r>
        <w:rPr>
          <w:color w:val="005DA1"/>
          <w:vertAlign w:val="baseline"/>
        </w:rPr>
        <w:t> </w:t>
      </w:r>
      <w:r>
        <w:rPr>
          <w:vertAlign w:val="baseline"/>
        </w:rPr>
        <w:t>In the Court of Appeal the view had been </w:t>
      </w:r>
      <w:bookmarkStart w:name="_bookmark2117" w:id="2119"/>
      <w:bookmarkEnd w:id="2119"/>
      <w:r>
        <w:rPr>
          <w:vertAlign w:val="baseline"/>
        </w:rPr>
        <w:t>expressed</w:t>
      </w:r>
      <w:r>
        <w:rPr>
          <w:vertAlign w:val="baseline"/>
        </w:rPr>
        <w:t> that to extend the tort to threats of breach of contract “would overturn or outflank some elementary principles of contract law”, </w:t>
      </w:r>
      <w:r>
        <w:rPr>
          <w:color w:val="005DA1"/>
          <w:u w:val="single" w:color="005DA1"/>
          <w:vertAlign w:val="superscript"/>
        </w:rPr>
        <w:t>1437</w:t>
      </w:r>
      <w:r>
        <w:rPr>
          <w:color w:val="005DA1"/>
          <w:vertAlign w:val="baseline"/>
        </w:rPr>
        <w:t> </w:t>
      </w:r>
      <w:r>
        <w:rPr>
          <w:vertAlign w:val="baseline"/>
        </w:rPr>
        <w:t>notably, privity of contract. </w:t>
      </w:r>
      <w:r>
        <w:rPr>
          <w:color w:val="005DA1"/>
          <w:u w:val="single" w:color="005DA1"/>
          <w:vertAlign w:val="superscript"/>
        </w:rPr>
        <w:t>1438</w:t>
      </w:r>
      <w:r>
        <w:rPr>
          <w:color w:val="005DA1"/>
          <w:vertAlign w:val="baseline"/>
        </w:rPr>
        <w:t> </w:t>
      </w:r>
      <w:r>
        <w:rPr>
          <w:vertAlign w:val="baseline"/>
        </w:rPr>
        <w:t>However, for the House of </w:t>
      </w:r>
      <w:bookmarkStart w:name="_bookmark2118" w:id="2120"/>
      <w:bookmarkEnd w:id="2120"/>
      <w:r>
        <w:rPr>
          <w:vertAlign w:val="baseline"/>
        </w:rPr>
        <w:t>Lords</w:t>
      </w:r>
      <w:r>
        <w:rPr>
          <w:vertAlign w:val="baseline"/>
        </w:rPr>
        <w:t> the two causes of action (for breach of contract and for the “tort of intimidation”) were “quite independent”,</w:t>
      </w:r>
      <w:r>
        <w:rPr>
          <w:spacing w:val="-4"/>
          <w:vertAlign w:val="baseline"/>
        </w:rPr>
        <w:t> </w:t>
      </w:r>
      <w:r>
        <w:rPr>
          <w:color w:val="005DA1"/>
          <w:u w:val="single" w:color="005DA1"/>
          <w:vertAlign w:val="superscript"/>
        </w:rPr>
        <w:t>1439</w:t>
      </w:r>
      <w:r>
        <w:rPr>
          <w:color w:val="005DA1"/>
          <w:spacing w:val="-4"/>
          <w:vertAlign w:val="baseline"/>
        </w:rPr>
        <w:t> </w:t>
      </w:r>
      <w:r>
        <w:rPr>
          <w:vertAlign w:val="baseline"/>
        </w:rPr>
        <w:t>“the</w:t>
      </w:r>
      <w:r>
        <w:rPr>
          <w:spacing w:val="-4"/>
          <w:vertAlign w:val="baseline"/>
        </w:rPr>
        <w:t> </w:t>
      </w:r>
      <w:r>
        <w:rPr>
          <w:vertAlign w:val="baseline"/>
        </w:rPr>
        <w:t>vice</w:t>
      </w:r>
      <w:r>
        <w:rPr>
          <w:spacing w:val="-4"/>
          <w:vertAlign w:val="baseline"/>
        </w:rPr>
        <w:t> </w:t>
      </w:r>
      <w:r>
        <w:rPr>
          <w:vertAlign w:val="baseline"/>
        </w:rPr>
        <w:t>of</w:t>
      </w:r>
      <w:r>
        <w:rPr>
          <w:spacing w:val="-4"/>
          <w:vertAlign w:val="baseline"/>
        </w:rPr>
        <w:t> </w:t>
      </w:r>
      <w:r>
        <w:rPr>
          <w:vertAlign w:val="baseline"/>
        </w:rPr>
        <w:t>[C’s]</w:t>
      </w:r>
      <w:r>
        <w:rPr>
          <w:spacing w:val="-4"/>
          <w:vertAlign w:val="baseline"/>
        </w:rPr>
        <w:t> </w:t>
      </w:r>
      <w:r>
        <w:rPr>
          <w:vertAlign w:val="baseline"/>
        </w:rPr>
        <w:t>argument</w:t>
      </w:r>
      <w:r>
        <w:rPr>
          <w:spacing w:val="-4"/>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threat</w:t>
      </w:r>
      <w:r>
        <w:rPr>
          <w:spacing w:val="-4"/>
          <w:vertAlign w:val="baseline"/>
        </w:rPr>
        <w:t> </w:t>
      </w:r>
      <w:r>
        <w:rPr>
          <w:vertAlign w:val="baseline"/>
        </w:rPr>
        <w:t>to</w:t>
      </w:r>
      <w:r>
        <w:rPr>
          <w:spacing w:val="-4"/>
          <w:vertAlign w:val="baseline"/>
        </w:rPr>
        <w:t> </w:t>
      </w:r>
      <w:r>
        <w:rPr>
          <w:vertAlign w:val="baseline"/>
        </w:rPr>
        <w:t>break</w:t>
      </w:r>
      <w:r>
        <w:rPr>
          <w:spacing w:val="-4"/>
          <w:vertAlign w:val="baseline"/>
        </w:rPr>
        <w:t> </w:t>
      </w:r>
      <w:r>
        <w:rPr>
          <w:vertAlign w:val="baseline"/>
        </w:rPr>
        <w:t>and</w:t>
      </w:r>
      <w:r>
        <w:rPr>
          <w:spacing w:val="-4"/>
          <w:vertAlign w:val="baseline"/>
        </w:rPr>
        <w:t> </w:t>
      </w:r>
      <w:r>
        <w:rPr>
          <w:vertAlign w:val="baseline"/>
        </w:rPr>
        <w:t>not</w:t>
      </w:r>
      <w:r>
        <w:rPr>
          <w:spacing w:val="-4"/>
          <w:vertAlign w:val="baseline"/>
        </w:rPr>
        <w:t> </w:t>
      </w:r>
      <w:r>
        <w:rPr>
          <w:vertAlign w:val="baseline"/>
        </w:rPr>
        <w:t>the</w:t>
      </w:r>
      <w:r>
        <w:rPr>
          <w:spacing w:val="-4"/>
          <w:vertAlign w:val="baseline"/>
        </w:rPr>
        <w:t> </w:t>
      </w:r>
      <w:r>
        <w:rPr>
          <w:vertAlign w:val="baseline"/>
        </w:rPr>
        <w:t>breach</w:t>
      </w:r>
      <w:r>
        <w:rPr>
          <w:spacing w:val="-4"/>
          <w:vertAlign w:val="baseline"/>
        </w:rPr>
        <w:t> </w:t>
      </w:r>
      <w:r>
        <w:rPr>
          <w:vertAlign w:val="baseline"/>
        </w:rPr>
        <w:t>itself”.</w:t>
      </w:r>
      <w:r>
        <w:rPr>
          <w:spacing w:val="-5"/>
          <w:vertAlign w:val="baseline"/>
        </w:rPr>
        <w:t> </w:t>
      </w:r>
      <w:r>
        <w:rPr>
          <w:color w:val="005DA1"/>
          <w:u w:val="single" w:color="005DA1"/>
          <w:vertAlign w:val="superscript"/>
        </w:rPr>
        <w:t>1440</w:t>
      </w:r>
      <w:r>
        <w:rPr>
          <w:color w:val="005DA1"/>
          <w:spacing w:val="-4"/>
          <w:vertAlign w:val="baseline"/>
        </w:rPr>
        <w:t> </w:t>
      </w:r>
      <w:r>
        <w:rPr>
          <w:vertAlign w:val="baseline"/>
        </w:rPr>
        <w:t>Thus, </w:t>
      </w:r>
      <w:bookmarkStart w:name="_bookmark2119" w:id="2121"/>
      <w:bookmarkEnd w:id="2121"/>
      <w:r>
        <w:rPr>
          <w:vertAlign w:val="baseline"/>
        </w:rPr>
        <w:t>it</w:t>
      </w:r>
      <w:r>
        <w:rPr>
          <w:vertAlign w:val="baseline"/>
        </w:rPr>
        <w:t> is the independence of liability in tort which allows its extension into what had previously been an exclusively contractual domain. </w:t>
      </w:r>
      <w:r>
        <w:rPr>
          <w:color w:val="005DA1"/>
          <w:u w:val="single" w:color="005DA1"/>
          <w:vertAlign w:val="superscript"/>
        </w:rPr>
        <w:t>1441</w:t>
      </w:r>
    </w:p>
    <w:p>
      <w:pPr>
        <w:pStyle w:val="BodyText"/>
      </w:pPr>
    </w:p>
    <w:p>
      <w:pPr>
        <w:pStyle w:val="BodyText"/>
        <w:spacing w:before="34"/>
      </w:pPr>
    </w:p>
    <w:p>
      <w:pPr>
        <w:spacing w:before="0"/>
        <w:ind w:left="165" w:right="0" w:firstLine="0"/>
        <w:jc w:val="left"/>
        <w:rPr>
          <w:rFonts w:ascii="Arial" w:hAnsi="Arial"/>
          <w:b/>
          <w:sz w:val="18"/>
        </w:rPr>
      </w:pPr>
      <w:r>
        <w:rPr>
          <w:rFonts w:ascii="Arial" w:hAnsi="Arial"/>
          <w:b/>
          <w:sz w:val="18"/>
        </w:rPr>
        <w:t>A contractor’s liability beyond privity and independent </w:t>
      </w:r>
      <w:r>
        <w:rPr>
          <w:rFonts w:ascii="Arial" w:hAnsi="Arial"/>
          <w:b/>
          <w:spacing w:val="-2"/>
          <w:sz w:val="18"/>
        </w:rPr>
        <w:t>torts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204</w:t>
      </w:r>
    </w:p>
    <w:p>
      <w:pPr>
        <w:pStyle w:val="BodyText"/>
        <w:spacing w:line="235" w:lineRule="auto" w:before="202"/>
        <w:ind w:left="165" w:right="167"/>
        <w:jc w:val="both"/>
      </w:pPr>
      <w:r>
        <w:rPr/>
        <w:t>At common law, in principle privity of contract prevents any breach by A of a term of a contract </w:t>
      </w:r>
      <w:r>
        <w:rPr/>
        <w:t>made with B from giving rise to any contractual liability in A to C, a third party to the contract. This position has been qualified significantly by the Contract (Rights of Third Parties) Act 1999, which allows</w:t>
      </w:r>
      <w:r>
        <w:rPr>
          <w:spacing w:val="40"/>
        </w:rPr>
        <w:t> </w:t>
      </w:r>
      <w:bookmarkStart w:name="_bookmark2120" w:id="2122"/>
      <w:bookmarkEnd w:id="2122"/>
      <w:r>
        <w:rPr/>
        <w:t>parties</w:t>
      </w:r>
      <w:r>
        <w:rPr/>
        <w:t> to a contract to create rights in third parties (not being party to the contract) in certain </w:t>
      </w:r>
      <w:bookmarkStart w:name="_bookmark2121" w:id="2123"/>
      <w:bookmarkEnd w:id="2123"/>
      <w:r>
        <w:rPr/>
        <w:t>circumstances.</w:t>
      </w:r>
      <w:r>
        <w:rPr/>
        <w:t> </w:t>
      </w:r>
      <w:r>
        <w:rPr>
          <w:color w:val="005DA1"/>
          <w:u w:val="single" w:color="005DA1"/>
          <w:vertAlign w:val="superscript"/>
        </w:rPr>
        <w:t>1442</w:t>
      </w:r>
      <w:r>
        <w:rPr>
          <w:color w:val="005DA1"/>
          <w:vertAlign w:val="baseline"/>
        </w:rPr>
        <w:t> </w:t>
      </w:r>
      <w:r>
        <w:rPr>
          <w:vertAlign w:val="baseline"/>
        </w:rPr>
        <w:t>But can C sue A in tort instead? First, it is clear that the mere breach of a contract by A does not in itself give rise to liability in tort to C. As Pollock stated in 1887 </w:t>
      </w:r>
      <w:r>
        <w:rPr>
          <w:color w:val="005DA1"/>
          <w:u w:val="single" w:color="005DA1"/>
          <w:vertAlign w:val="superscript"/>
        </w:rPr>
        <w:t>1443</w:t>
      </w:r>
      <w:r>
        <w:rPr>
          <w:vertAlign w:val="baseline"/>
        </w:rPr>
        <w:t>:</w:t>
      </w:r>
    </w:p>
    <w:p>
      <w:pPr>
        <w:pStyle w:val="BodyText"/>
      </w:pPr>
    </w:p>
    <w:p>
      <w:pPr>
        <w:pStyle w:val="BodyText"/>
        <w:spacing w:before="124"/>
      </w:pPr>
    </w:p>
    <w:p>
      <w:pPr>
        <w:pStyle w:val="BodyText"/>
        <w:spacing w:line="235" w:lineRule="auto" w:before="1"/>
        <w:ind w:left="1245" w:right="167"/>
        <w:jc w:val="both"/>
      </w:pPr>
      <w:r>
        <w:rPr/>
        <w:t>“… there is a certain tendency to hold that facts which constitute a contract cannot </w:t>
      </w:r>
      <w:r>
        <w:rPr/>
        <w:t>have </w:t>
      </w:r>
      <w:bookmarkStart w:name="_bookmark2122" w:id="2124"/>
      <w:bookmarkEnd w:id="2124"/>
      <w:r>
        <w:rPr/>
        <w:t>any</w:t>
      </w:r>
      <w:r>
        <w:rPr/>
        <w:t> other legal effect. We think we have shown that such is not really the law … the authorities commonly relied on for this proposition </w:t>
      </w:r>
      <w:r>
        <w:rPr>
          <w:color w:val="005DA1"/>
          <w:u w:val="single" w:color="005DA1"/>
          <w:vertAlign w:val="superscript"/>
        </w:rPr>
        <w:t>1444</w:t>
      </w:r>
      <w:r>
        <w:rPr>
          <w:color w:val="005DA1"/>
          <w:vertAlign w:val="baseline"/>
        </w:rPr>
        <w:t> </w:t>
      </w:r>
      <w:r>
        <w:rPr>
          <w:vertAlign w:val="baseline"/>
        </w:rPr>
        <w:t>really prove something different and much more rational, namely that if A breaks his contract with B … that is not of itself sufficient to make A liable to C, a stranger to the contract, for consequential damage.”</w:t>
      </w:r>
    </w:p>
    <w:p>
      <w:pPr>
        <w:pStyle w:val="BodyText"/>
        <w:spacing w:before="114"/>
      </w:pPr>
    </w:p>
    <w:p>
      <w:pPr>
        <w:pStyle w:val="BodyText"/>
        <w:spacing w:line="235" w:lineRule="auto"/>
        <w:ind w:left="164" w:right="167"/>
        <w:jc w:val="both"/>
      </w:pPr>
      <w:r>
        <w:rPr/>
        <w:t>Secondly,</w:t>
      </w:r>
      <w:r>
        <w:rPr>
          <w:spacing w:val="-1"/>
        </w:rPr>
        <w:t> </w:t>
      </w:r>
      <w:r>
        <w:rPr/>
        <w:t>therefore,</w:t>
      </w:r>
      <w:r>
        <w:rPr>
          <w:spacing w:val="-1"/>
        </w:rPr>
        <w:t> </w:t>
      </w:r>
      <w:r>
        <w:rPr/>
        <w:t>where</w:t>
      </w:r>
      <w:r>
        <w:rPr>
          <w:spacing w:val="-1"/>
        </w:rPr>
        <w:t> </w:t>
      </w:r>
      <w:r>
        <w:rPr/>
        <w:t>the</w:t>
      </w:r>
      <w:r>
        <w:rPr>
          <w:spacing w:val="-1"/>
        </w:rPr>
        <w:t> </w:t>
      </w:r>
      <w:r>
        <w:rPr/>
        <w:t>facts</w:t>
      </w:r>
      <w:r>
        <w:rPr>
          <w:spacing w:val="-1"/>
        </w:rPr>
        <w:t> </w:t>
      </w:r>
      <w:r>
        <w:rPr/>
        <w:t>which</w:t>
      </w:r>
      <w:r>
        <w:rPr>
          <w:spacing w:val="-1"/>
        </w:rPr>
        <w:t> </w:t>
      </w:r>
      <w:r>
        <w:rPr/>
        <w:t>constitute</w:t>
      </w:r>
      <w:r>
        <w:rPr>
          <w:spacing w:val="-1"/>
        </w:rPr>
        <w:t> </w:t>
      </w:r>
      <w:r>
        <w:rPr/>
        <w:t>a</w:t>
      </w:r>
      <w:r>
        <w:rPr>
          <w:spacing w:val="-1"/>
        </w:rPr>
        <w:t> </w:t>
      </w:r>
      <w:r>
        <w:rPr/>
        <w:t>breach</w:t>
      </w:r>
      <w:r>
        <w:rPr>
          <w:spacing w:val="-1"/>
        </w:rPr>
        <w:t> </w:t>
      </w:r>
      <w:r>
        <w:rPr/>
        <w:t>of</w:t>
      </w:r>
      <w:r>
        <w:rPr>
          <w:spacing w:val="-1"/>
        </w:rPr>
        <w:t> </w:t>
      </w:r>
      <w:r>
        <w:rPr/>
        <w:t>contract</w:t>
      </w:r>
      <w:r>
        <w:rPr>
          <w:spacing w:val="-1"/>
        </w:rPr>
        <w:t> </w:t>
      </w:r>
      <w:r>
        <w:rPr/>
        <w:t>in</w:t>
      </w:r>
      <w:r>
        <w:rPr>
          <w:spacing w:val="-1"/>
        </w:rPr>
        <w:t> </w:t>
      </w:r>
      <w:r>
        <w:rPr/>
        <w:t>A</w:t>
      </w:r>
      <w:r>
        <w:rPr>
          <w:spacing w:val="-1"/>
        </w:rPr>
        <w:t> </w:t>
      </w:r>
      <w:r>
        <w:rPr/>
        <w:t>to</w:t>
      </w:r>
      <w:r>
        <w:rPr>
          <w:spacing w:val="-1"/>
        </w:rPr>
        <w:t> </w:t>
      </w:r>
      <w:r>
        <w:rPr/>
        <w:t>B</w:t>
      </w:r>
      <w:r>
        <w:rPr>
          <w:spacing w:val="-1"/>
        </w:rPr>
        <w:t> </w:t>
      </w:r>
      <w:r>
        <w:rPr/>
        <w:t>also</w:t>
      </w:r>
      <w:r>
        <w:rPr>
          <w:spacing w:val="-1"/>
        </w:rPr>
        <w:t> </w:t>
      </w:r>
      <w:r>
        <w:rPr/>
        <w:t>constitute</w:t>
      </w:r>
      <w:r>
        <w:rPr>
          <w:spacing w:val="-1"/>
        </w:rPr>
        <w:t> </w:t>
      </w:r>
      <w:r>
        <w:rPr/>
        <w:t>the </w:t>
      </w:r>
      <w:bookmarkStart w:name="_bookmark2123" w:id="2125"/>
      <w:bookmarkEnd w:id="2125"/>
      <w:r>
        <w:rPr/>
        <w:t>grounds</w:t>
      </w:r>
      <w:r>
        <w:rPr/>
        <w:t> of an </w:t>
      </w:r>
      <w:r>
        <w:rPr>
          <w:rFonts w:ascii="Arial"/>
          <w:i/>
        </w:rPr>
        <w:t>independent </w:t>
      </w:r>
      <w:r>
        <w:rPr/>
        <w:t>liability in tort in A to C, the existence of that contract does not in itself </w:t>
      </w:r>
      <w:bookmarkStart w:name="_bookmark2124" w:id="2126"/>
      <w:bookmarkEnd w:id="2126"/>
      <w:r>
        <w:rPr/>
        <w:t>prevent</w:t>
      </w:r>
      <w:r>
        <w:rPr>
          <w:spacing w:val="-1"/>
        </w:rPr>
        <w:t> </w:t>
      </w:r>
      <w:r>
        <w:rPr/>
        <w:t>liability</w:t>
      </w:r>
      <w:r>
        <w:rPr>
          <w:spacing w:val="-1"/>
        </w:rPr>
        <w:t> </w:t>
      </w:r>
      <w:r>
        <w:rPr/>
        <w:t>in</w:t>
      </w:r>
      <w:r>
        <w:rPr>
          <w:spacing w:val="-1"/>
        </w:rPr>
        <w:t> </w:t>
      </w:r>
      <w:r>
        <w:rPr/>
        <w:t>A</w:t>
      </w:r>
      <w:r>
        <w:rPr>
          <w:spacing w:val="-1"/>
        </w:rPr>
        <w:t> </w:t>
      </w:r>
      <w:r>
        <w:rPr/>
        <w:t>to</w:t>
      </w:r>
      <w:r>
        <w:rPr>
          <w:spacing w:val="-1"/>
        </w:rPr>
        <w:t> </w:t>
      </w:r>
      <w:r>
        <w:rPr/>
        <w:t>C.</w:t>
      </w:r>
      <w:r>
        <w:rPr>
          <w:spacing w:val="-1"/>
        </w:rPr>
        <w:t> </w:t>
      </w:r>
      <w:r>
        <w:rPr>
          <w:color w:val="005DA1"/>
          <w:u w:val="single" w:color="005DA1"/>
          <w:vertAlign w:val="superscript"/>
        </w:rPr>
        <w:t>1445</w:t>
      </w:r>
      <w:r>
        <w:rPr>
          <w:color w:val="005DA1"/>
          <w:spacing w:val="-1"/>
          <w:vertAlign w:val="baseline"/>
        </w:rPr>
        <w:t> </w:t>
      </w:r>
      <w:r>
        <w:rPr>
          <w:vertAlign w:val="baseline"/>
        </w:rPr>
        <w:t>Thus,</w:t>
      </w:r>
      <w:r>
        <w:rPr>
          <w:spacing w:val="-1"/>
          <w:vertAlign w:val="baseline"/>
        </w:rPr>
        <w:t> </w:t>
      </w:r>
      <w:r>
        <w:rPr>
          <w:vertAlign w:val="baseline"/>
        </w:rPr>
        <w:t>as</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seen,</w:t>
      </w:r>
      <w:r>
        <w:rPr>
          <w:spacing w:val="-1"/>
          <w:vertAlign w:val="baseline"/>
        </w:rPr>
        <w:t> </w:t>
      </w:r>
      <w:r>
        <w:rPr>
          <w:vertAlign w:val="baseline"/>
        </w:rPr>
        <w:t>where</w:t>
      </w:r>
      <w:r>
        <w:rPr>
          <w:spacing w:val="-1"/>
          <w:vertAlign w:val="baseline"/>
        </w:rPr>
        <w:t> </w:t>
      </w:r>
      <w:r>
        <w:rPr>
          <w:vertAlign w:val="baseline"/>
        </w:rPr>
        <w:t>A</w:t>
      </w:r>
      <w:r>
        <w:rPr>
          <w:spacing w:val="-1"/>
          <w:vertAlign w:val="baseline"/>
        </w:rPr>
        <w:t> </w:t>
      </w:r>
      <w:r>
        <w:rPr>
          <w:rFonts w:ascii="Arial"/>
          <w:i/>
          <w:vertAlign w:val="baseline"/>
        </w:rPr>
        <w:t>threatens</w:t>
      </w:r>
      <w:r>
        <w:rPr>
          <w:rFonts w:ascii="Arial"/>
          <w:i/>
          <w:spacing w:val="-1"/>
          <w:vertAlign w:val="baseline"/>
        </w:rPr>
        <w:t> </w:t>
      </w:r>
      <w:r>
        <w:rPr>
          <w:vertAlign w:val="baseline"/>
        </w:rPr>
        <w:t>to</w:t>
      </w:r>
      <w:r>
        <w:rPr>
          <w:spacing w:val="-1"/>
          <w:vertAlign w:val="baseline"/>
        </w:rPr>
        <w:t> </w:t>
      </w:r>
      <w:r>
        <w:rPr>
          <w:vertAlign w:val="baseline"/>
        </w:rPr>
        <w:t>break</w:t>
      </w:r>
      <w:r>
        <w:rPr>
          <w:spacing w:val="-1"/>
          <w:vertAlign w:val="baseline"/>
        </w:rPr>
        <w:t> </w:t>
      </w:r>
      <w:r>
        <w:rPr>
          <w:vertAlign w:val="baseline"/>
        </w:rPr>
        <w:t>his</w:t>
      </w:r>
      <w:r>
        <w:rPr>
          <w:spacing w:val="-1"/>
          <w:vertAlign w:val="baseline"/>
        </w:rPr>
        <w:t> </w:t>
      </w:r>
      <w:r>
        <w:rPr>
          <w:vertAlign w:val="baseline"/>
        </w:rPr>
        <w:t>contract</w:t>
      </w:r>
      <w:r>
        <w:rPr>
          <w:spacing w:val="-1"/>
          <w:vertAlign w:val="baseline"/>
        </w:rPr>
        <w:t> </w:t>
      </w:r>
      <w:r>
        <w:rPr>
          <w:vertAlign w:val="baseline"/>
        </w:rPr>
        <w:t>with</w:t>
      </w:r>
      <w:r>
        <w:rPr>
          <w:spacing w:val="-1"/>
          <w:vertAlign w:val="baseline"/>
        </w:rPr>
        <w:t> </w:t>
      </w:r>
      <w:r>
        <w:rPr>
          <w:vertAlign w:val="baseline"/>
        </w:rPr>
        <w:t>B, </w:t>
      </w:r>
      <w:bookmarkStart w:name="_bookmark2125" w:id="2127"/>
      <w:bookmarkEnd w:id="2127"/>
      <w:r>
        <w:rPr>
          <w:vertAlign w:val="baseline"/>
        </w:rPr>
        <w:t>this</w:t>
      </w:r>
      <w:r>
        <w:rPr>
          <w:vertAlign w:val="baseline"/>
        </w:rPr>
        <w:t> may give rise to an action in C in the tort of causing loss by unlawful means </w:t>
      </w:r>
      <w:r>
        <w:rPr>
          <w:color w:val="005DA1"/>
          <w:u w:val="single" w:color="005DA1"/>
          <w:vertAlign w:val="superscript"/>
        </w:rPr>
        <w:t>1446</w:t>
      </w:r>
      <w:r>
        <w:rPr>
          <w:color w:val="005DA1"/>
          <w:vertAlign w:val="baseline"/>
        </w:rPr>
        <w:t> </w:t>
      </w:r>
      <w:r>
        <w:rPr>
          <w:vertAlign w:val="baseline"/>
        </w:rPr>
        <w:t>and this tort </w:t>
      </w:r>
      <w:r>
        <w:rPr>
          <w:vertAlign w:val="baseline"/>
        </w:rPr>
        <w:t>may also apply to cases of actual as opposed to threatened breach of contract. </w:t>
      </w:r>
      <w:r>
        <w:rPr>
          <w:color w:val="005DA1"/>
          <w:u w:val="single" w:color="005DA1"/>
          <w:vertAlign w:val="superscript"/>
        </w:rPr>
        <w:t>1447</w:t>
      </w:r>
      <w:r>
        <w:rPr>
          <w:color w:val="005DA1"/>
          <w:vertAlign w:val="baseline"/>
        </w:rPr>
        <w:t> </w:t>
      </w:r>
      <w:r>
        <w:rPr>
          <w:vertAlign w:val="baseline"/>
        </w:rPr>
        <w:t>Similarly, where a tenant,</w:t>
      </w:r>
      <w:r>
        <w:rPr>
          <w:spacing w:val="-2"/>
          <w:vertAlign w:val="baseline"/>
        </w:rPr>
        <w:t> </w:t>
      </w:r>
      <w:r>
        <w:rPr>
          <w:vertAlign w:val="baseline"/>
        </w:rPr>
        <w:t>A,</w:t>
      </w:r>
      <w:r>
        <w:rPr>
          <w:spacing w:val="-2"/>
          <w:vertAlign w:val="baseline"/>
        </w:rPr>
        <w:t> </w:t>
      </w:r>
      <w:r>
        <w:rPr>
          <w:vertAlign w:val="baseline"/>
        </w:rPr>
        <w:t>commits</w:t>
      </w:r>
      <w:r>
        <w:rPr>
          <w:spacing w:val="-2"/>
          <w:vertAlign w:val="baseline"/>
        </w:rPr>
        <w:t> </w:t>
      </w:r>
      <w:r>
        <w:rPr>
          <w:vertAlign w:val="baseline"/>
        </w:rPr>
        <w:t>an</w:t>
      </w:r>
      <w:r>
        <w:rPr>
          <w:spacing w:val="-2"/>
          <w:vertAlign w:val="baseline"/>
        </w:rPr>
        <w:t> </w:t>
      </w:r>
      <w:r>
        <w:rPr>
          <w:vertAlign w:val="baseline"/>
        </w:rPr>
        <w:t>act</w:t>
      </w:r>
      <w:r>
        <w:rPr>
          <w:spacing w:val="-2"/>
          <w:vertAlign w:val="baseline"/>
        </w:rPr>
        <w:t> </w:t>
      </w:r>
      <w:r>
        <w:rPr>
          <w:vertAlign w:val="baseline"/>
        </w:rPr>
        <w:t>which</w:t>
      </w:r>
      <w:r>
        <w:rPr>
          <w:spacing w:val="-2"/>
          <w:vertAlign w:val="baseline"/>
        </w:rPr>
        <w:t> </w:t>
      </w:r>
      <w:r>
        <w:rPr>
          <w:vertAlign w:val="baseline"/>
        </w:rPr>
        <w:t>constitutes</w:t>
      </w:r>
      <w:r>
        <w:rPr>
          <w:spacing w:val="-2"/>
          <w:vertAlign w:val="baseline"/>
        </w:rPr>
        <w:t> </w:t>
      </w:r>
      <w:r>
        <w:rPr>
          <w:vertAlign w:val="baseline"/>
        </w:rPr>
        <w:t>a</w:t>
      </w:r>
      <w:r>
        <w:rPr>
          <w:spacing w:val="-2"/>
          <w:vertAlign w:val="baseline"/>
        </w:rPr>
        <w:t> </w:t>
      </w:r>
      <w:r>
        <w:rPr>
          <w:vertAlign w:val="baseline"/>
        </w:rPr>
        <w:t>breach</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terms</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lease</w:t>
      </w:r>
      <w:r>
        <w:rPr>
          <w:spacing w:val="-2"/>
          <w:vertAlign w:val="baseline"/>
        </w:rPr>
        <w:t> </w:t>
      </w:r>
      <w:r>
        <w:rPr>
          <w:vertAlign w:val="baseline"/>
        </w:rPr>
        <w:t>with</w:t>
      </w:r>
      <w:r>
        <w:rPr>
          <w:spacing w:val="-2"/>
          <w:vertAlign w:val="baseline"/>
        </w:rPr>
        <w:t> </w:t>
      </w:r>
      <w:r>
        <w:rPr>
          <w:vertAlign w:val="baseline"/>
        </w:rPr>
        <w:t>his</w:t>
      </w:r>
      <w:r>
        <w:rPr>
          <w:spacing w:val="-2"/>
          <w:vertAlign w:val="baseline"/>
        </w:rPr>
        <w:t> </w:t>
      </w:r>
      <w:r>
        <w:rPr>
          <w:vertAlign w:val="baseline"/>
        </w:rPr>
        <w:t>landlord,</w:t>
      </w:r>
      <w:r>
        <w:rPr>
          <w:spacing w:val="-2"/>
          <w:vertAlign w:val="baseline"/>
        </w:rPr>
        <w:t> </w:t>
      </w:r>
      <w:r>
        <w:rPr>
          <w:vertAlign w:val="baseline"/>
        </w:rPr>
        <w:t>B,</w:t>
      </w:r>
      <w:r>
        <w:rPr>
          <w:spacing w:val="-2"/>
          <w:vertAlign w:val="baseline"/>
        </w:rPr>
        <w:t> </w:t>
      </w:r>
      <w:r>
        <w:rPr>
          <w:vertAlign w:val="baseline"/>
        </w:rPr>
        <w:t>this </w:t>
      </w:r>
      <w:bookmarkStart w:name="_bookmark2126" w:id="2128"/>
      <w:bookmarkEnd w:id="2128"/>
      <w:r>
        <w:rPr>
          <w:vertAlign w:val="baseline"/>
        </w:rPr>
        <w:t>does</w:t>
      </w:r>
      <w:r>
        <w:rPr>
          <w:vertAlign w:val="baseline"/>
        </w:rPr>
        <w:t> not prevent his neighbour, C, from suing A in private nuisance for any harm which he suffers as a result as long as the conditions for the existence of that tort are fulfilled. </w:t>
      </w:r>
      <w:r>
        <w:rPr>
          <w:color w:val="005DA1"/>
          <w:u w:val="single" w:color="005DA1"/>
          <w:vertAlign w:val="superscript"/>
        </w:rPr>
        <w:t>1448</w:t>
      </w:r>
    </w:p>
    <w:p>
      <w:pPr>
        <w:pStyle w:val="BodyText"/>
      </w:pPr>
    </w:p>
    <w:p>
      <w:pPr>
        <w:pStyle w:val="BodyText"/>
        <w:spacing w:before="124"/>
      </w:pPr>
    </w:p>
    <w:p>
      <w:pPr>
        <w:pStyle w:val="BodyText"/>
        <w:spacing w:line="235" w:lineRule="auto"/>
        <w:ind w:left="1244" w:right="167"/>
        <w:jc w:val="both"/>
      </w:pPr>
      <w:r>
        <w:rPr/>
        <w:t>“If it is the tenant who has undertaken the repair [</w:t>
      </w:r>
      <w:r>
        <w:rPr>
          <w:rFonts w:ascii="Arial" w:hAnsi="Arial"/>
          <w:i/>
        </w:rPr>
        <w:t>sc</w:t>
      </w:r>
      <w:r>
        <w:rPr/>
        <w:t>. of the premises], of course he </w:t>
      </w:r>
      <w:r>
        <w:rPr/>
        <w:t>is liable, but his liability is based on the fact that he is the occupier of the premises; any </w:t>
      </w:r>
      <w:bookmarkStart w:name="_bookmark2127" w:id="2129"/>
      <w:bookmarkEnd w:id="2129"/>
      <w:r>
        <w:rPr/>
        <w:t>additional</w:t>
      </w:r>
      <w:r>
        <w:rPr/>
        <w:t> obligation which he may have undertaken by contract with the landlord cannot affect his liability in tort to third parties.” </w:t>
      </w:r>
      <w:r>
        <w:rPr>
          <w:color w:val="005DA1"/>
          <w:u w:val="single" w:color="005DA1"/>
          <w:vertAlign w:val="superscript"/>
        </w:rPr>
        <w:t>1449</w:t>
      </w:r>
    </w:p>
    <w:p>
      <w:pPr>
        <w:pStyle w:val="BodyText"/>
        <w:spacing w:before="115"/>
      </w:pPr>
    </w:p>
    <w:p>
      <w:pPr>
        <w:pStyle w:val="BodyText"/>
        <w:spacing w:line="235" w:lineRule="auto"/>
        <w:ind w:left="165" w:right="167"/>
        <w:jc w:val="both"/>
      </w:pPr>
      <w:bookmarkStart w:name="_bookmark2128" w:id="2130"/>
      <w:bookmarkEnd w:id="2130"/>
      <w:r>
        <w:rPr/>
      </w:r>
      <w:r>
        <w:rPr/>
        <w:t>On the other hand, where the landlord has undertaken to the tenant to repair, he can be liable in </w:t>
      </w:r>
      <w:bookmarkStart w:name="_bookmark2129" w:id="2131"/>
      <w:bookmarkEnd w:id="2131"/>
      <w:r>
        <w:rPr/>
        <w:t>nuisance</w:t>
      </w:r>
      <w:r>
        <w:rPr/>
        <w:t> to a third party based on the control which this gives him despite not being an occupier </w:t>
      </w:r>
      <w:r>
        <w:rPr>
          <w:color w:val="005DA1"/>
          <w:u w:val="single" w:color="005DA1"/>
          <w:vertAlign w:val="superscript"/>
        </w:rPr>
        <w:t>1450</w:t>
      </w:r>
      <w:r>
        <w:rPr>
          <w:color w:val="005DA1"/>
          <w:vertAlign w:val="baseline"/>
        </w:rPr>
        <w:t> </w:t>
      </w:r>
      <w:r>
        <w:rPr>
          <w:vertAlign w:val="baseline"/>
        </w:rPr>
        <w:t>in</w:t>
      </w:r>
      <w:r>
        <w:rPr>
          <w:spacing w:val="32"/>
          <w:vertAlign w:val="baseline"/>
        </w:rPr>
        <w:t> </w:t>
      </w:r>
      <w:r>
        <w:rPr>
          <w:vertAlign w:val="baseline"/>
        </w:rPr>
        <w:t>addition</w:t>
      </w:r>
      <w:r>
        <w:rPr>
          <w:spacing w:val="32"/>
          <w:vertAlign w:val="baseline"/>
        </w:rPr>
        <w:t> </w:t>
      </w:r>
      <w:r>
        <w:rPr>
          <w:vertAlign w:val="baseline"/>
        </w:rPr>
        <w:t>to</w:t>
      </w:r>
      <w:r>
        <w:rPr>
          <w:spacing w:val="33"/>
          <w:vertAlign w:val="baseline"/>
        </w:rPr>
        <w:t> </w:t>
      </w:r>
      <w:r>
        <w:rPr>
          <w:vertAlign w:val="baseline"/>
        </w:rPr>
        <w:t>his</w:t>
      </w:r>
      <w:r>
        <w:rPr>
          <w:spacing w:val="32"/>
          <w:vertAlign w:val="baseline"/>
        </w:rPr>
        <w:t> </w:t>
      </w:r>
      <w:r>
        <w:rPr>
          <w:vertAlign w:val="baseline"/>
        </w:rPr>
        <w:t>liability</w:t>
      </w:r>
      <w:r>
        <w:rPr>
          <w:spacing w:val="33"/>
          <w:vertAlign w:val="baseline"/>
        </w:rPr>
        <w:t> </w:t>
      </w:r>
      <w:r>
        <w:rPr>
          <w:vertAlign w:val="baseline"/>
        </w:rPr>
        <w:t>to</w:t>
      </w:r>
      <w:r>
        <w:rPr>
          <w:spacing w:val="32"/>
          <w:vertAlign w:val="baseline"/>
        </w:rPr>
        <w:t> </w:t>
      </w:r>
      <w:r>
        <w:rPr>
          <w:vertAlign w:val="baseline"/>
        </w:rPr>
        <w:t>the</w:t>
      </w:r>
      <w:r>
        <w:rPr>
          <w:spacing w:val="33"/>
          <w:vertAlign w:val="baseline"/>
        </w:rPr>
        <w:t> </w:t>
      </w:r>
      <w:r>
        <w:rPr>
          <w:vertAlign w:val="baseline"/>
        </w:rPr>
        <w:t>tenant.</w:t>
      </w:r>
      <w:r>
        <w:rPr>
          <w:spacing w:val="31"/>
          <w:vertAlign w:val="baseline"/>
        </w:rPr>
        <w:t> </w:t>
      </w:r>
      <w:r>
        <w:rPr>
          <w:color w:val="005DA1"/>
          <w:u w:val="single" w:color="005DA1"/>
          <w:vertAlign w:val="superscript"/>
        </w:rPr>
        <w:t>1451</w:t>
      </w:r>
      <w:r>
        <w:rPr>
          <w:color w:val="005DA1"/>
          <w:spacing w:val="33"/>
          <w:vertAlign w:val="baseline"/>
        </w:rPr>
        <w:t> </w:t>
      </w:r>
      <w:r>
        <w:rPr>
          <w:vertAlign w:val="baseline"/>
        </w:rPr>
        <w:t>Finally,</w:t>
      </w:r>
      <w:r>
        <w:rPr>
          <w:spacing w:val="32"/>
          <w:vertAlign w:val="baseline"/>
        </w:rPr>
        <w:t> </w:t>
      </w:r>
      <w:r>
        <w:rPr>
          <w:vertAlign w:val="baseline"/>
        </w:rPr>
        <w:t>where</w:t>
      </w:r>
      <w:r>
        <w:rPr>
          <w:spacing w:val="33"/>
          <w:vertAlign w:val="baseline"/>
        </w:rPr>
        <w:t> </w:t>
      </w:r>
      <w:r>
        <w:rPr>
          <w:vertAlign w:val="baseline"/>
        </w:rPr>
        <w:t>an</w:t>
      </w:r>
      <w:r>
        <w:rPr>
          <w:spacing w:val="32"/>
          <w:vertAlign w:val="baseline"/>
        </w:rPr>
        <w:t> </w:t>
      </w:r>
      <w:r>
        <w:rPr>
          <w:vertAlign w:val="baseline"/>
        </w:rPr>
        <w:t>agent</w:t>
      </w:r>
      <w:r>
        <w:rPr>
          <w:spacing w:val="32"/>
          <w:vertAlign w:val="baseline"/>
        </w:rPr>
        <w:t> </w:t>
      </w:r>
      <w:r>
        <w:rPr>
          <w:vertAlign w:val="baseline"/>
        </w:rPr>
        <w:t>publishes</w:t>
      </w:r>
      <w:r>
        <w:rPr>
          <w:spacing w:val="33"/>
          <w:vertAlign w:val="baseline"/>
        </w:rPr>
        <w:t> </w:t>
      </w:r>
      <w:r>
        <w:rPr>
          <w:vertAlign w:val="baseline"/>
        </w:rPr>
        <w:t>defamatory</w:t>
      </w:r>
      <w:r>
        <w:rPr>
          <w:spacing w:val="32"/>
          <w:vertAlign w:val="baseline"/>
        </w:rPr>
        <w:t> </w:t>
      </w:r>
      <w:r>
        <w:rPr>
          <w:spacing w:val="-2"/>
          <w:vertAlign w:val="baseline"/>
        </w:rPr>
        <w:t>material</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2130" w:id="2132"/>
      <w:bookmarkEnd w:id="2132"/>
      <w:r>
        <w:rPr/>
      </w:r>
      <w:r>
        <w:rPr/>
        <w:t>concerning the claimant, the fact that this publication also constitutes a breach of his contract </w:t>
      </w:r>
      <w:bookmarkStart w:name="_bookmark2131" w:id="2133"/>
      <w:bookmarkEnd w:id="2133"/>
      <w:r>
        <w:rPr/>
        <w:t>actionable</w:t>
      </w:r>
      <w:r>
        <w:rPr/>
        <w:t> at the suit of his principal </w:t>
      </w:r>
      <w:r>
        <w:rPr>
          <w:color w:val="005DA1"/>
          <w:u w:val="single" w:color="005DA1"/>
          <w:vertAlign w:val="superscript"/>
        </w:rPr>
        <w:t>1452</w:t>
      </w:r>
      <w:r>
        <w:rPr>
          <w:color w:val="005DA1"/>
          <w:vertAlign w:val="baseline"/>
        </w:rPr>
        <w:t> </w:t>
      </w:r>
      <w:r>
        <w:rPr>
          <w:vertAlign w:val="baseline"/>
        </w:rPr>
        <w:t>does not prevent the claimant from suing the agent in the </w:t>
      </w:r>
      <w:r>
        <w:rPr>
          <w:vertAlign w:val="baseline"/>
        </w:rPr>
        <w:t>tort of defamation. </w:t>
      </w:r>
      <w:r>
        <w:rPr>
          <w:color w:val="005DA1"/>
          <w:u w:val="single" w:color="005DA1"/>
          <w:vertAlign w:val="superscript"/>
        </w:rPr>
        <w:t>1453</w:t>
      </w:r>
    </w:p>
    <w:p>
      <w:pPr>
        <w:pStyle w:val="BodyText"/>
      </w:pPr>
    </w:p>
    <w:p>
      <w:pPr>
        <w:pStyle w:val="BodyText"/>
        <w:spacing w:before="38"/>
      </w:pPr>
    </w:p>
    <w:p>
      <w:pPr>
        <w:spacing w:before="0"/>
        <w:ind w:left="165" w:right="0" w:firstLine="0"/>
        <w:jc w:val="left"/>
        <w:rPr>
          <w:rFonts w:ascii="Arial"/>
          <w:b/>
          <w:sz w:val="18"/>
        </w:rPr>
      </w:pPr>
      <w:bookmarkStart w:name="_bookmark2132" w:id="2134"/>
      <w:bookmarkEnd w:id="2134"/>
      <w:r>
        <w:rPr/>
      </w:r>
      <w:r>
        <w:rPr>
          <w:rFonts w:ascii="Arial"/>
          <w:b/>
          <w:sz w:val="18"/>
        </w:rPr>
        <w:t>Privity of contract and the tort of negligence </w:t>
      </w:r>
      <w:r>
        <w:rPr>
          <w:rFonts w:ascii="Arial"/>
          <w:b/>
          <w:color w:val="005DA1"/>
          <w:spacing w:val="-4"/>
          <w:sz w:val="18"/>
          <w:u w:val="single" w:color="005DA1"/>
          <w:vertAlign w:val="superscript"/>
        </w:rPr>
        <w:t>1454</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205</w:t>
      </w:r>
    </w:p>
    <w:p>
      <w:pPr>
        <w:pStyle w:val="BodyText"/>
        <w:spacing w:line="235" w:lineRule="auto" w:before="203"/>
        <w:ind w:left="165" w:right="167"/>
        <w:jc w:val="both"/>
      </w:pPr>
      <w:r>
        <w:rPr/>
        <w:t>At two stages in the development of the tort of negligence, it has been argued that A’s breach of </w:t>
      </w:r>
      <w:bookmarkStart w:name="_bookmark2133" w:id="2135"/>
      <w:bookmarkEnd w:id="2135"/>
      <w:r>
        <w:rPr/>
        <w:t>contract</w:t>
      </w:r>
      <w:r>
        <w:rPr>
          <w:spacing w:val="7"/>
        </w:rPr>
        <w:t> </w:t>
      </w:r>
      <w:r>
        <w:rPr/>
        <w:t>to</w:t>
      </w:r>
      <w:r>
        <w:rPr>
          <w:spacing w:val="7"/>
        </w:rPr>
        <w:t> </w:t>
      </w:r>
      <w:r>
        <w:rPr/>
        <w:t>B</w:t>
      </w:r>
      <w:r>
        <w:rPr>
          <w:spacing w:val="7"/>
        </w:rPr>
        <w:t> </w:t>
      </w:r>
      <w:r>
        <w:rPr/>
        <w:t>should</w:t>
      </w:r>
      <w:r>
        <w:rPr>
          <w:spacing w:val="7"/>
        </w:rPr>
        <w:t> </w:t>
      </w:r>
      <w:r>
        <w:rPr/>
        <w:t>not</w:t>
      </w:r>
      <w:r>
        <w:rPr>
          <w:spacing w:val="7"/>
        </w:rPr>
        <w:t> </w:t>
      </w:r>
      <w:r>
        <w:rPr/>
        <w:t>be</w:t>
      </w:r>
      <w:r>
        <w:rPr>
          <w:spacing w:val="7"/>
        </w:rPr>
        <w:t> </w:t>
      </w:r>
      <w:r>
        <w:rPr/>
        <w:t>considered</w:t>
      </w:r>
      <w:r>
        <w:rPr>
          <w:spacing w:val="7"/>
        </w:rPr>
        <w:t> </w:t>
      </w:r>
      <w:r>
        <w:rPr/>
        <w:t>capable</w:t>
      </w:r>
      <w:r>
        <w:rPr>
          <w:spacing w:val="7"/>
        </w:rPr>
        <w:t> </w:t>
      </w:r>
      <w:r>
        <w:rPr/>
        <w:t>of</w:t>
      </w:r>
      <w:r>
        <w:rPr>
          <w:spacing w:val="7"/>
        </w:rPr>
        <w:t> </w:t>
      </w:r>
      <w:r>
        <w:rPr/>
        <w:t>giving</w:t>
      </w:r>
      <w:r>
        <w:rPr>
          <w:spacing w:val="7"/>
        </w:rPr>
        <w:t> </w:t>
      </w:r>
      <w:r>
        <w:rPr/>
        <w:t>rise</w:t>
      </w:r>
      <w:r>
        <w:rPr>
          <w:spacing w:val="7"/>
        </w:rPr>
        <w:t> </w:t>
      </w:r>
      <w:r>
        <w:rPr/>
        <w:t>to</w:t>
      </w:r>
      <w:r>
        <w:rPr>
          <w:spacing w:val="7"/>
        </w:rPr>
        <w:t> </w:t>
      </w:r>
      <w:r>
        <w:rPr/>
        <w:t>liability</w:t>
      </w:r>
      <w:r>
        <w:rPr>
          <w:spacing w:val="7"/>
        </w:rPr>
        <w:t> </w:t>
      </w:r>
      <w:r>
        <w:rPr/>
        <w:t>in</w:t>
      </w:r>
      <w:r>
        <w:rPr>
          <w:spacing w:val="7"/>
        </w:rPr>
        <w:t> </w:t>
      </w:r>
      <w:r>
        <w:rPr/>
        <w:t>this</w:t>
      </w:r>
      <w:r>
        <w:rPr>
          <w:spacing w:val="7"/>
        </w:rPr>
        <w:t> </w:t>
      </w:r>
      <w:r>
        <w:rPr/>
        <w:t>tort</w:t>
      </w:r>
      <w:r>
        <w:rPr>
          <w:spacing w:val="7"/>
        </w:rPr>
        <w:t> </w:t>
      </w:r>
      <w:r>
        <w:rPr/>
        <w:t>for</w:t>
      </w:r>
      <w:r>
        <w:rPr>
          <w:spacing w:val="7"/>
        </w:rPr>
        <w:t> </w:t>
      </w:r>
      <w:r>
        <w:rPr/>
        <w:t>harm</w:t>
      </w:r>
      <w:r>
        <w:rPr>
          <w:spacing w:val="7"/>
        </w:rPr>
        <w:t> </w:t>
      </w:r>
      <w:r>
        <w:rPr/>
        <w:t>caused</w:t>
      </w:r>
      <w:r>
        <w:rPr>
          <w:spacing w:val="7"/>
        </w:rPr>
        <w:t> </w:t>
      </w:r>
      <w:r>
        <w:rPr>
          <w:spacing w:val="-5"/>
        </w:rPr>
        <w:t>to</w:t>
      </w:r>
    </w:p>
    <w:p>
      <w:pPr>
        <w:pStyle w:val="BodyText"/>
        <w:spacing w:line="235" w:lineRule="auto"/>
        <w:ind w:left="165" w:right="167"/>
        <w:jc w:val="both"/>
      </w:pPr>
      <w:r>
        <w:rPr/>
        <w:t>C. The leading nineteenth-century authority was </w:t>
      </w:r>
      <w:r>
        <w:rPr>
          <w:rFonts w:ascii="Arial" w:hAnsi="Arial"/>
          <w:i/>
        </w:rPr>
        <w:t>Winterbottom v Wright</w:t>
      </w:r>
      <w:r>
        <w:rPr/>
        <w:t>, </w:t>
      </w:r>
      <w:r>
        <w:rPr>
          <w:color w:val="005DA1"/>
          <w:u w:val="single" w:color="005DA1"/>
          <w:vertAlign w:val="superscript"/>
        </w:rPr>
        <w:t>1455</w:t>
      </w:r>
      <w:r>
        <w:rPr>
          <w:color w:val="005DA1"/>
          <w:vertAlign w:val="baseline"/>
        </w:rPr>
        <w:t> </w:t>
      </w:r>
      <w:r>
        <w:rPr>
          <w:vertAlign w:val="baseline"/>
        </w:rPr>
        <w:t>in which the plaintiff </w:t>
      </w:r>
      <w:r>
        <w:rPr>
          <w:vertAlign w:val="baseline"/>
        </w:rPr>
        <w:t>was employed to drive a mail-coach by one Atkinson, who had been engaged to carry mail by the Postmaster-General. The latter had hired a coach from the defendant, who had undertaken to him</w:t>
      </w:r>
      <w:r>
        <w:rPr>
          <w:spacing w:val="40"/>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kept</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fit,</w:t>
      </w:r>
      <w:r>
        <w:rPr>
          <w:spacing w:val="-1"/>
          <w:vertAlign w:val="baseline"/>
        </w:rPr>
        <w:t> </w:t>
      </w:r>
      <w:r>
        <w:rPr>
          <w:vertAlign w:val="baseline"/>
        </w:rPr>
        <w:t>proper,</w:t>
      </w:r>
      <w:r>
        <w:rPr>
          <w:spacing w:val="-1"/>
          <w:vertAlign w:val="baseline"/>
        </w:rPr>
        <w:t> </w:t>
      </w:r>
      <w:r>
        <w:rPr>
          <w:vertAlign w:val="baseline"/>
        </w:rPr>
        <w:t>safe</w:t>
      </w:r>
      <w:r>
        <w:rPr>
          <w:spacing w:val="-1"/>
          <w:vertAlign w:val="baseline"/>
        </w:rPr>
        <w:t> </w:t>
      </w:r>
      <w:r>
        <w:rPr>
          <w:vertAlign w:val="baseline"/>
        </w:rPr>
        <w:t>and</w:t>
      </w:r>
      <w:r>
        <w:rPr>
          <w:spacing w:val="-1"/>
          <w:vertAlign w:val="baseline"/>
        </w:rPr>
        <w:t> </w:t>
      </w:r>
      <w:r>
        <w:rPr>
          <w:vertAlign w:val="baseline"/>
        </w:rPr>
        <w:t>secure</w:t>
      </w:r>
      <w:r>
        <w:rPr>
          <w:spacing w:val="-1"/>
          <w:vertAlign w:val="baseline"/>
        </w:rPr>
        <w:t> </w:t>
      </w:r>
      <w:r>
        <w:rPr>
          <w:vertAlign w:val="baseline"/>
        </w:rPr>
        <w:t>state.</w:t>
      </w:r>
      <w:r>
        <w:rPr>
          <w:spacing w:val="-1"/>
          <w:vertAlign w:val="baseline"/>
        </w:rPr>
        <w:t> </w:t>
      </w:r>
      <w:r>
        <w:rPr>
          <w:vertAlign w:val="baseline"/>
        </w:rPr>
        <w:t>The</w:t>
      </w:r>
      <w:r>
        <w:rPr>
          <w:spacing w:val="-1"/>
          <w:vertAlign w:val="baseline"/>
        </w:rPr>
        <w:t> </w:t>
      </w:r>
      <w:r>
        <w:rPr>
          <w:vertAlign w:val="baseline"/>
        </w:rPr>
        <w:t>plaintiff’s</w:t>
      </w:r>
      <w:r>
        <w:rPr>
          <w:spacing w:val="-1"/>
          <w:vertAlign w:val="baseline"/>
        </w:rPr>
        <w:t> </w:t>
      </w:r>
      <w:r>
        <w:rPr>
          <w:vertAlign w:val="baseline"/>
        </w:rPr>
        <w:t>claim</w:t>
      </w:r>
      <w:r>
        <w:rPr>
          <w:spacing w:val="-1"/>
          <w:vertAlign w:val="baseline"/>
        </w:rPr>
        <w:t> </w:t>
      </w:r>
      <w:r>
        <w:rPr>
          <w:vertAlign w:val="baseline"/>
        </w:rPr>
        <w:t>for</w:t>
      </w:r>
      <w:r>
        <w:rPr>
          <w:spacing w:val="-1"/>
          <w:vertAlign w:val="baseline"/>
        </w:rPr>
        <w:t> </w:t>
      </w:r>
      <w:r>
        <w:rPr>
          <w:vertAlign w:val="baseline"/>
        </w:rPr>
        <w:t>damages</w:t>
      </w:r>
      <w:r>
        <w:rPr>
          <w:spacing w:val="-1"/>
          <w:vertAlign w:val="baseline"/>
        </w:rPr>
        <w:t> </w:t>
      </w:r>
      <w:r>
        <w:rPr>
          <w:vertAlign w:val="baseline"/>
        </w:rPr>
        <w:t>in</w:t>
      </w:r>
      <w:r>
        <w:rPr>
          <w:spacing w:val="-1"/>
          <w:vertAlign w:val="baseline"/>
        </w:rPr>
        <w:t> </w:t>
      </w:r>
      <w:r>
        <w:rPr>
          <w:vertAlign w:val="baseline"/>
        </w:rPr>
        <w:t>respect of injuries suffered when the coach broke down on a journey owing to its dangerous state was rejected by the court, which accepted the defendant’s contention that:</w:t>
      </w:r>
    </w:p>
    <w:p>
      <w:pPr>
        <w:pStyle w:val="BodyText"/>
      </w:pPr>
    </w:p>
    <w:p>
      <w:pPr>
        <w:pStyle w:val="BodyText"/>
        <w:spacing w:before="123"/>
      </w:pPr>
    </w:p>
    <w:p>
      <w:pPr>
        <w:pStyle w:val="BodyText"/>
        <w:spacing w:line="235" w:lineRule="auto"/>
        <w:ind w:left="1245" w:right="167"/>
        <w:jc w:val="both"/>
      </w:pPr>
      <w:r>
        <w:rPr/>
        <w:t>“… wherever a wrong arises merely out of the breach of a contract … whether the form in </w:t>
      </w:r>
      <w:bookmarkStart w:name="_bookmark2134" w:id="2136"/>
      <w:bookmarkEnd w:id="2136"/>
      <w:r>
        <w:rPr/>
        <w:t>which</w:t>
      </w:r>
      <w:r>
        <w:rPr/>
        <w:t> the action is conceived be ex contractu or ex delicto, the party who made the contract alone can sue.” </w:t>
      </w:r>
      <w:r>
        <w:rPr>
          <w:color w:val="005DA1"/>
          <w:u w:val="single" w:color="005DA1"/>
          <w:vertAlign w:val="superscript"/>
        </w:rPr>
        <w:t>1456</w:t>
      </w:r>
    </w:p>
    <w:p>
      <w:pPr>
        <w:pStyle w:val="BodyText"/>
        <w:spacing w:before="112"/>
      </w:pPr>
    </w:p>
    <w:p>
      <w:pPr>
        <w:spacing w:line="227" w:lineRule="exact" w:before="0"/>
        <w:ind w:left="165" w:right="0" w:firstLine="0"/>
        <w:jc w:val="both"/>
        <w:rPr>
          <w:sz w:val="20"/>
        </w:rPr>
      </w:pPr>
      <w:bookmarkStart w:name="_bookmark2135" w:id="2137"/>
      <w:bookmarkEnd w:id="2137"/>
      <w:r>
        <w:rPr/>
      </w:r>
      <w:r>
        <w:rPr>
          <w:sz w:val="20"/>
        </w:rPr>
        <w:t>However,</w:t>
      </w:r>
      <w:r>
        <w:rPr>
          <w:spacing w:val="5"/>
          <w:sz w:val="20"/>
        </w:rPr>
        <w:t> </w:t>
      </w:r>
      <w:r>
        <w:rPr>
          <w:sz w:val="20"/>
        </w:rPr>
        <w:t>this</w:t>
      </w:r>
      <w:r>
        <w:rPr>
          <w:spacing w:val="6"/>
          <w:sz w:val="20"/>
        </w:rPr>
        <w:t> </w:t>
      </w:r>
      <w:r>
        <w:rPr>
          <w:sz w:val="20"/>
        </w:rPr>
        <w:t>approach</w:t>
      </w:r>
      <w:r>
        <w:rPr>
          <w:spacing w:val="5"/>
          <w:sz w:val="20"/>
        </w:rPr>
        <w:t> </w:t>
      </w:r>
      <w:r>
        <w:rPr>
          <w:color w:val="005DA1"/>
          <w:sz w:val="20"/>
          <w:u w:val="single" w:color="005DA1"/>
          <w:vertAlign w:val="superscript"/>
        </w:rPr>
        <w:t>1457</w:t>
      </w:r>
      <w:r>
        <w:rPr>
          <w:color w:val="005DA1"/>
          <w:spacing w:val="6"/>
          <w:sz w:val="20"/>
          <w:vertAlign w:val="baseline"/>
        </w:rPr>
        <w:t> </w:t>
      </w:r>
      <w:r>
        <w:rPr>
          <w:sz w:val="20"/>
          <w:vertAlign w:val="baseline"/>
        </w:rPr>
        <w:t>was</w:t>
      </w:r>
      <w:r>
        <w:rPr>
          <w:spacing w:val="5"/>
          <w:sz w:val="20"/>
          <w:vertAlign w:val="baseline"/>
        </w:rPr>
        <w:t> </w:t>
      </w:r>
      <w:r>
        <w:rPr>
          <w:sz w:val="20"/>
          <w:vertAlign w:val="baseline"/>
        </w:rPr>
        <w:t>of</w:t>
      </w:r>
      <w:r>
        <w:rPr>
          <w:spacing w:val="6"/>
          <w:sz w:val="20"/>
          <w:vertAlign w:val="baseline"/>
        </w:rPr>
        <w:t> </w:t>
      </w:r>
      <w:r>
        <w:rPr>
          <w:sz w:val="20"/>
          <w:vertAlign w:val="baseline"/>
        </w:rPr>
        <w:t>course</w:t>
      </w:r>
      <w:r>
        <w:rPr>
          <w:spacing w:val="5"/>
          <w:sz w:val="20"/>
          <w:vertAlign w:val="baseline"/>
        </w:rPr>
        <w:t> </w:t>
      </w:r>
      <w:r>
        <w:rPr>
          <w:sz w:val="20"/>
          <w:vertAlign w:val="baseline"/>
        </w:rPr>
        <w:t>rejected</w:t>
      </w:r>
      <w:r>
        <w:rPr>
          <w:spacing w:val="6"/>
          <w:sz w:val="20"/>
          <w:vertAlign w:val="baseline"/>
        </w:rPr>
        <w:t> </w:t>
      </w:r>
      <w:r>
        <w:rPr>
          <w:sz w:val="20"/>
          <w:vertAlign w:val="baseline"/>
        </w:rPr>
        <w:t>by</w:t>
      </w:r>
      <w:r>
        <w:rPr>
          <w:spacing w:val="5"/>
          <w:sz w:val="20"/>
          <w:vertAlign w:val="baseline"/>
        </w:rPr>
        <w:t> </w:t>
      </w:r>
      <w:r>
        <w:rPr>
          <w:sz w:val="20"/>
          <w:vertAlign w:val="baseline"/>
        </w:rPr>
        <w:t>the</w:t>
      </w:r>
      <w:r>
        <w:rPr>
          <w:spacing w:val="6"/>
          <w:sz w:val="20"/>
          <w:vertAlign w:val="baseline"/>
        </w:rPr>
        <w:t> </w:t>
      </w:r>
      <w:r>
        <w:rPr>
          <w:sz w:val="20"/>
          <w:vertAlign w:val="baseline"/>
        </w:rPr>
        <w:t>House</w:t>
      </w:r>
      <w:r>
        <w:rPr>
          <w:spacing w:val="6"/>
          <w:sz w:val="20"/>
          <w:vertAlign w:val="baseline"/>
        </w:rPr>
        <w:t> </w:t>
      </w:r>
      <w:r>
        <w:rPr>
          <w:sz w:val="20"/>
          <w:vertAlign w:val="baseline"/>
        </w:rPr>
        <w:t>of</w:t>
      </w:r>
      <w:r>
        <w:rPr>
          <w:spacing w:val="5"/>
          <w:sz w:val="20"/>
          <w:vertAlign w:val="baseline"/>
        </w:rPr>
        <w:t> </w:t>
      </w:r>
      <w:r>
        <w:rPr>
          <w:sz w:val="20"/>
          <w:vertAlign w:val="baseline"/>
        </w:rPr>
        <w:t>Lords</w:t>
      </w:r>
      <w:r>
        <w:rPr>
          <w:spacing w:val="6"/>
          <w:sz w:val="20"/>
          <w:vertAlign w:val="baseline"/>
        </w:rPr>
        <w:t> </w:t>
      </w:r>
      <w:r>
        <w:rPr>
          <w:sz w:val="20"/>
          <w:vertAlign w:val="baseline"/>
        </w:rPr>
        <w:t>in</w:t>
      </w:r>
      <w:r>
        <w:rPr>
          <w:spacing w:val="4"/>
          <w:sz w:val="20"/>
          <w:vertAlign w:val="baseline"/>
        </w:rPr>
        <w:t> </w:t>
      </w:r>
      <w:r>
        <w:rPr>
          <w:rFonts w:ascii="Arial"/>
          <w:i/>
          <w:sz w:val="20"/>
          <w:vertAlign w:val="baseline"/>
        </w:rPr>
        <w:t>Donoghue</w:t>
      </w:r>
      <w:r>
        <w:rPr>
          <w:rFonts w:ascii="Arial"/>
          <w:i/>
          <w:spacing w:val="6"/>
          <w:sz w:val="20"/>
          <w:vertAlign w:val="baseline"/>
        </w:rPr>
        <w:t> </w:t>
      </w:r>
      <w:r>
        <w:rPr>
          <w:rFonts w:ascii="Arial"/>
          <w:i/>
          <w:sz w:val="20"/>
          <w:vertAlign w:val="baseline"/>
        </w:rPr>
        <w:t>v</w:t>
      </w:r>
      <w:r>
        <w:rPr>
          <w:rFonts w:ascii="Arial"/>
          <w:i/>
          <w:spacing w:val="5"/>
          <w:sz w:val="20"/>
          <w:vertAlign w:val="baseline"/>
        </w:rPr>
        <w:t> </w:t>
      </w:r>
      <w:r>
        <w:rPr>
          <w:rFonts w:ascii="Arial"/>
          <w:i/>
          <w:spacing w:val="-2"/>
          <w:sz w:val="20"/>
          <w:vertAlign w:val="baseline"/>
        </w:rPr>
        <w:t>Stevenson</w:t>
      </w:r>
      <w:r>
        <w:rPr>
          <w:spacing w:val="-2"/>
          <w:sz w:val="20"/>
          <w:vertAlign w:val="baseline"/>
        </w:rPr>
        <w:t>.</w:t>
      </w:r>
    </w:p>
    <w:p>
      <w:pPr>
        <w:pStyle w:val="BodyText"/>
        <w:spacing w:line="227" w:lineRule="exact"/>
        <w:ind w:left="165"/>
        <w:jc w:val="both"/>
      </w:pPr>
      <w:r>
        <w:rPr>
          <w:color w:val="005DA1"/>
          <w:u w:val="single" w:color="005DA1"/>
          <w:vertAlign w:val="superscript"/>
        </w:rPr>
        <w:t>1458</w:t>
      </w:r>
      <w:r>
        <w:rPr>
          <w:color w:val="005DA1"/>
          <w:spacing w:val="-6"/>
          <w:vertAlign w:val="baseline"/>
        </w:rPr>
        <w:t> </w:t>
      </w:r>
      <w:r>
        <w:rPr>
          <w:vertAlign w:val="baseline"/>
        </w:rPr>
        <w:t>As</w:t>
      </w:r>
      <w:r>
        <w:rPr>
          <w:spacing w:val="-5"/>
          <w:vertAlign w:val="baseline"/>
        </w:rPr>
        <w:t> </w:t>
      </w:r>
      <w:r>
        <w:rPr>
          <w:vertAlign w:val="baseline"/>
        </w:rPr>
        <w:t>Lord</w:t>
      </w:r>
      <w:r>
        <w:rPr>
          <w:spacing w:val="-4"/>
          <w:vertAlign w:val="baseline"/>
        </w:rPr>
        <w:t> </w:t>
      </w:r>
      <w:r>
        <w:rPr>
          <w:vertAlign w:val="baseline"/>
        </w:rPr>
        <w:t>Macmillan</w:t>
      </w:r>
      <w:r>
        <w:rPr>
          <w:spacing w:val="-5"/>
          <w:vertAlign w:val="baseline"/>
        </w:rPr>
        <w:t> </w:t>
      </w:r>
      <w:r>
        <w:rPr>
          <w:vertAlign w:val="baseline"/>
        </w:rPr>
        <w:t>put</w:t>
      </w:r>
      <w:r>
        <w:rPr>
          <w:spacing w:val="-5"/>
          <w:vertAlign w:val="baseline"/>
        </w:rPr>
        <w:t> it:</w:t>
      </w:r>
    </w:p>
    <w:p>
      <w:pPr>
        <w:pStyle w:val="BodyText"/>
      </w:pPr>
    </w:p>
    <w:p>
      <w:pPr>
        <w:pStyle w:val="BodyText"/>
        <w:spacing w:before="126"/>
      </w:pPr>
    </w:p>
    <w:p>
      <w:pPr>
        <w:pStyle w:val="BodyText"/>
        <w:spacing w:line="235" w:lineRule="auto"/>
        <w:ind w:left="1245" w:right="167"/>
        <w:jc w:val="both"/>
      </w:pPr>
      <w:bookmarkStart w:name="_bookmark2136" w:id="2138"/>
      <w:bookmarkEnd w:id="2138"/>
      <w:r>
        <w:rPr/>
      </w:r>
      <w:r>
        <w:rPr/>
        <w:t>“… there is no reason why the same set of facts should not give one person a right of action in contract and another person a right of action in tort.” </w:t>
      </w:r>
      <w:r>
        <w:rPr>
          <w:color w:val="005DA1"/>
          <w:u w:val="single" w:color="005DA1"/>
          <w:vertAlign w:val="superscript"/>
        </w:rPr>
        <w:t>1459</w:t>
      </w:r>
    </w:p>
    <w:p>
      <w:pPr>
        <w:pStyle w:val="BodyText"/>
        <w:spacing w:before="112"/>
      </w:pPr>
    </w:p>
    <w:p>
      <w:pPr>
        <w:spacing w:before="0"/>
        <w:ind w:left="165" w:right="0" w:firstLine="0"/>
        <w:jc w:val="both"/>
        <w:rPr>
          <w:sz w:val="20"/>
        </w:rPr>
      </w:pPr>
      <w:bookmarkStart w:name="_bookmark2137" w:id="2139"/>
      <w:bookmarkEnd w:id="2139"/>
      <w:r>
        <w:rPr/>
      </w:r>
      <w:r>
        <w:rPr>
          <w:sz w:val="20"/>
        </w:rPr>
        <w:t>The</w:t>
      </w:r>
      <w:r>
        <w:rPr>
          <w:spacing w:val="-2"/>
          <w:sz w:val="20"/>
        </w:rPr>
        <w:t> </w:t>
      </w:r>
      <w:r>
        <w:rPr>
          <w:sz w:val="20"/>
        </w:rPr>
        <w:t>approach</w:t>
      </w:r>
      <w:r>
        <w:rPr>
          <w:spacing w:val="-1"/>
          <w:sz w:val="20"/>
        </w:rPr>
        <w:t> </w:t>
      </w:r>
      <w:r>
        <w:rPr>
          <w:sz w:val="20"/>
        </w:rPr>
        <w:t>in</w:t>
      </w:r>
      <w:r>
        <w:rPr>
          <w:spacing w:val="-3"/>
          <w:sz w:val="20"/>
        </w:rPr>
        <w:t> </w:t>
      </w:r>
      <w:r>
        <w:rPr>
          <w:rFonts w:ascii="Arial" w:hAnsi="Arial"/>
          <w:i/>
          <w:sz w:val="20"/>
        </w:rPr>
        <w:t>Winterbottom</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Wright</w:t>
      </w:r>
      <w:r>
        <w:rPr>
          <w:rFonts w:ascii="Arial" w:hAnsi="Arial"/>
          <w:i/>
          <w:spacing w:val="-3"/>
          <w:sz w:val="20"/>
        </w:rPr>
        <w:t> </w:t>
      </w:r>
      <w:r>
        <w:rPr>
          <w:color w:val="005DA1"/>
          <w:sz w:val="20"/>
          <w:u w:val="single" w:color="005DA1"/>
          <w:vertAlign w:val="superscript"/>
        </w:rPr>
        <w:t>1460</w:t>
      </w:r>
      <w:r>
        <w:rPr>
          <w:color w:val="005DA1"/>
          <w:spacing w:val="-2"/>
          <w:sz w:val="20"/>
          <w:vertAlign w:val="baseline"/>
        </w:rPr>
        <w:t> </w:t>
      </w:r>
      <w:r>
        <w:rPr>
          <w:sz w:val="20"/>
          <w:vertAlign w:val="baseline"/>
        </w:rPr>
        <w:t>came</w:t>
      </w:r>
      <w:r>
        <w:rPr>
          <w:spacing w:val="-1"/>
          <w:sz w:val="20"/>
          <w:vertAlign w:val="baseline"/>
        </w:rPr>
        <w:t> </w:t>
      </w:r>
      <w:r>
        <w:rPr>
          <w:sz w:val="20"/>
          <w:vertAlign w:val="baseline"/>
        </w:rPr>
        <w:t>to</w:t>
      </w:r>
      <w:r>
        <w:rPr>
          <w:spacing w:val="-2"/>
          <w:sz w:val="20"/>
          <w:vertAlign w:val="baseline"/>
        </w:rPr>
        <w:t> </w:t>
      </w:r>
      <w:r>
        <w:rPr>
          <w:sz w:val="20"/>
          <w:vertAlign w:val="baseline"/>
        </w:rPr>
        <w:t>be</w:t>
      </w:r>
      <w:r>
        <w:rPr>
          <w:spacing w:val="-1"/>
          <w:sz w:val="20"/>
          <w:vertAlign w:val="baseline"/>
        </w:rPr>
        <w:t> </w:t>
      </w:r>
      <w:r>
        <w:rPr>
          <w:sz w:val="20"/>
          <w:vertAlign w:val="baseline"/>
        </w:rPr>
        <w:t>derided</w:t>
      </w:r>
      <w:r>
        <w:rPr>
          <w:spacing w:val="-1"/>
          <w:sz w:val="20"/>
          <w:vertAlign w:val="baseline"/>
        </w:rPr>
        <w:t> </w:t>
      </w:r>
      <w:r>
        <w:rPr>
          <w:sz w:val="20"/>
          <w:vertAlign w:val="baseline"/>
        </w:rPr>
        <w:t>as</w:t>
      </w:r>
      <w:r>
        <w:rPr>
          <w:spacing w:val="-2"/>
          <w:sz w:val="20"/>
          <w:vertAlign w:val="baseline"/>
        </w:rPr>
        <w:t> </w:t>
      </w:r>
      <w:r>
        <w:rPr>
          <w:sz w:val="20"/>
          <w:vertAlign w:val="baseline"/>
        </w:rPr>
        <w:t>the</w:t>
      </w:r>
      <w:r>
        <w:rPr>
          <w:spacing w:val="-1"/>
          <w:sz w:val="20"/>
          <w:vertAlign w:val="baseline"/>
        </w:rPr>
        <w:t> </w:t>
      </w:r>
      <w:r>
        <w:rPr>
          <w:sz w:val="20"/>
          <w:vertAlign w:val="baseline"/>
        </w:rPr>
        <w:t>“privity</w:t>
      </w:r>
      <w:r>
        <w:rPr>
          <w:spacing w:val="-2"/>
          <w:sz w:val="20"/>
          <w:vertAlign w:val="baseline"/>
        </w:rPr>
        <w:t> </w:t>
      </w:r>
      <w:r>
        <w:rPr>
          <w:sz w:val="20"/>
          <w:vertAlign w:val="baseline"/>
        </w:rPr>
        <w:t>of</w:t>
      </w:r>
      <w:r>
        <w:rPr>
          <w:spacing w:val="-1"/>
          <w:sz w:val="20"/>
          <w:vertAlign w:val="baseline"/>
        </w:rPr>
        <w:t> </w:t>
      </w:r>
      <w:r>
        <w:rPr>
          <w:sz w:val="20"/>
          <w:vertAlign w:val="baseline"/>
        </w:rPr>
        <w:t>contract</w:t>
      </w:r>
      <w:r>
        <w:rPr>
          <w:spacing w:val="-1"/>
          <w:sz w:val="20"/>
          <w:vertAlign w:val="baseline"/>
        </w:rPr>
        <w:t> </w:t>
      </w:r>
      <w:r>
        <w:rPr>
          <w:sz w:val="20"/>
          <w:vertAlign w:val="baseline"/>
        </w:rPr>
        <w:t>fallacy”.</w:t>
      </w:r>
      <w:r>
        <w:rPr>
          <w:spacing w:val="-3"/>
          <w:sz w:val="20"/>
          <w:vertAlign w:val="baseline"/>
        </w:rPr>
        <w:t> </w:t>
      </w:r>
      <w:r>
        <w:rPr>
          <w:color w:val="005DA1"/>
          <w:spacing w:val="-4"/>
          <w:sz w:val="20"/>
          <w:u w:val="single" w:color="005DA1"/>
          <w:vertAlign w:val="superscript"/>
        </w:rPr>
        <w:t>1461</w:t>
      </w:r>
    </w:p>
    <w:p>
      <w:pPr>
        <w:pStyle w:val="BodyText"/>
      </w:pPr>
    </w:p>
    <w:p>
      <w:pPr>
        <w:pStyle w:val="BodyText"/>
        <w:spacing w:before="37"/>
      </w:pPr>
    </w:p>
    <w:p>
      <w:pPr>
        <w:spacing w:before="1"/>
        <w:ind w:left="165" w:right="0" w:firstLine="0"/>
        <w:jc w:val="left"/>
        <w:rPr>
          <w:rFonts w:ascii="Arial"/>
          <w:b/>
          <w:sz w:val="18"/>
        </w:rPr>
      </w:pPr>
      <w:r>
        <w:rPr>
          <w:rFonts w:ascii="Arial"/>
          <w:b/>
          <w:sz w:val="18"/>
        </w:rPr>
        <w:t>Liability for pure economic </w:t>
      </w:r>
      <w:r>
        <w:rPr>
          <w:rFonts w:ascii="Arial"/>
          <w:b/>
          <w:spacing w:val="-4"/>
          <w:sz w:val="18"/>
        </w:rPr>
        <w:t>loss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206</w:t>
      </w:r>
    </w:p>
    <w:p>
      <w:pPr>
        <w:pStyle w:val="BodyText"/>
        <w:spacing w:line="235" w:lineRule="auto" w:before="203"/>
        <w:ind w:left="165" w:right="167"/>
        <w:jc w:val="both"/>
      </w:pPr>
      <w:r>
        <w:rPr/>
        <w:t>While the courts were still willing to extend liability in the tort of negligence, the </w:t>
      </w:r>
      <w:r>
        <w:rPr/>
        <w:t>“contractual environment” of a claim in the tort of negligence was even considered a ground for the imposition of a </w:t>
      </w:r>
      <w:bookmarkStart w:name="_bookmark2138" w:id="2140"/>
      <w:bookmarkEnd w:id="2140"/>
      <w:r>
        <w:rPr/>
        <w:t>duty</w:t>
      </w:r>
      <w:r>
        <w:rPr/>
        <w:t> of care, rather than a reason for rejecting one. Thus, in </w:t>
      </w:r>
      <w:r>
        <w:rPr>
          <w:rFonts w:ascii="Arial" w:hAnsi="Arial"/>
          <w:i/>
        </w:rPr>
        <w:t>Hedley Byrne &amp; Co Ltd v Heller &amp; Partners</w:t>
      </w:r>
      <w:r>
        <w:rPr>
          <w:rFonts w:ascii="Arial" w:hAnsi="Arial"/>
          <w:i/>
          <w:spacing w:val="-3"/>
        </w:rPr>
        <w:t> </w:t>
      </w:r>
      <w:r>
        <w:rPr>
          <w:rFonts w:ascii="Arial" w:hAnsi="Arial"/>
          <w:i/>
        </w:rPr>
        <w:t>Ltd</w:t>
      </w:r>
      <w:r>
        <w:rPr>
          <w:rFonts w:ascii="Arial" w:hAnsi="Arial"/>
          <w:i/>
          <w:spacing w:val="-3"/>
        </w:rPr>
        <w:t> </w:t>
      </w:r>
      <w:r>
        <w:rPr>
          <w:color w:val="005DA1"/>
          <w:u w:val="single" w:color="005DA1"/>
          <w:vertAlign w:val="superscript"/>
        </w:rPr>
        <w:t>1462</w:t>
      </w:r>
      <w:r>
        <w:rPr>
          <w:color w:val="005DA1"/>
          <w:spacing w:val="-3"/>
          <w:vertAlign w:val="baseline"/>
        </w:rPr>
        <w:t> </w:t>
      </w:r>
      <w:r>
        <w:rPr>
          <w:vertAlign w:val="baseline"/>
        </w:rPr>
        <w:t>one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circumstances</w:t>
      </w:r>
      <w:r>
        <w:rPr>
          <w:spacing w:val="-3"/>
          <w:vertAlign w:val="baseline"/>
        </w:rPr>
        <w:t> </w:t>
      </w:r>
      <w:r>
        <w:rPr>
          <w:vertAlign w:val="baseline"/>
        </w:rPr>
        <w:t>on</w:t>
      </w:r>
      <w:r>
        <w:rPr>
          <w:spacing w:val="-3"/>
          <w:vertAlign w:val="baseline"/>
        </w:rPr>
        <w:t> </w:t>
      </w:r>
      <w:r>
        <w:rPr>
          <w:vertAlign w:val="baseline"/>
        </w:rPr>
        <w:t>which</w:t>
      </w:r>
      <w:r>
        <w:rPr>
          <w:spacing w:val="-3"/>
          <w:vertAlign w:val="baseline"/>
        </w:rPr>
        <w:t> </w:t>
      </w:r>
      <w:r>
        <w:rPr>
          <w:vertAlign w:val="baseline"/>
        </w:rPr>
        <w:t>the</w:t>
      </w:r>
      <w:r>
        <w:rPr>
          <w:spacing w:val="-3"/>
          <w:vertAlign w:val="baseline"/>
        </w:rPr>
        <w:t> </w:t>
      </w:r>
      <w:r>
        <w:rPr>
          <w:vertAlign w:val="baseline"/>
        </w:rPr>
        <w:t>House</w:t>
      </w:r>
      <w:r>
        <w:rPr>
          <w:spacing w:val="-3"/>
          <w:vertAlign w:val="baseline"/>
        </w:rPr>
        <w:t> </w:t>
      </w:r>
      <w:r>
        <w:rPr>
          <w:vertAlign w:val="baseline"/>
        </w:rPr>
        <w:t>of</w:t>
      </w:r>
      <w:r>
        <w:rPr>
          <w:spacing w:val="-3"/>
          <w:vertAlign w:val="baseline"/>
        </w:rPr>
        <w:t> </w:t>
      </w:r>
      <w:r>
        <w:rPr>
          <w:vertAlign w:val="baseline"/>
        </w:rPr>
        <w:t>Lords</w:t>
      </w:r>
      <w:r>
        <w:rPr>
          <w:spacing w:val="-3"/>
          <w:vertAlign w:val="baseline"/>
        </w:rPr>
        <w:t> </w:t>
      </w:r>
      <w:r>
        <w:rPr>
          <w:vertAlign w:val="baseline"/>
        </w:rPr>
        <w:t>relied</w:t>
      </w:r>
      <w:r>
        <w:rPr>
          <w:spacing w:val="-3"/>
          <w:vertAlign w:val="baseline"/>
        </w:rPr>
        <w:t> </w:t>
      </w:r>
      <w:r>
        <w:rPr>
          <w:vertAlign w:val="baseline"/>
        </w:rPr>
        <w:t>for</w:t>
      </w:r>
      <w:r>
        <w:rPr>
          <w:spacing w:val="-3"/>
          <w:vertAlign w:val="baseline"/>
        </w:rPr>
        <w:t> </w:t>
      </w:r>
      <w:r>
        <w:rPr>
          <w:vertAlign w:val="baseline"/>
        </w:rPr>
        <w:t>finding</w:t>
      </w:r>
      <w:r>
        <w:rPr>
          <w:spacing w:val="-3"/>
          <w:vertAlign w:val="baseline"/>
        </w:rPr>
        <w:t> </w:t>
      </w:r>
      <w:r>
        <w:rPr>
          <w:vertAlign w:val="baseline"/>
        </w:rPr>
        <w:t>the</w:t>
      </w:r>
      <w:r>
        <w:rPr>
          <w:spacing w:val="-3"/>
          <w:vertAlign w:val="baseline"/>
        </w:rPr>
        <w:t> </w:t>
      </w:r>
      <w:r>
        <w:rPr>
          <w:vertAlign w:val="baseline"/>
        </w:rPr>
        <w:t>existence </w:t>
      </w:r>
      <w:bookmarkStart w:name="_bookmark2139" w:id="2141"/>
      <w:bookmarkEnd w:id="2141"/>
      <w:r>
        <w:rPr>
          <w:vertAlign w:val="baseline"/>
        </w:rPr>
        <w:t>of</w:t>
      </w:r>
      <w:r>
        <w:rPr>
          <w:vertAlign w:val="baseline"/>
        </w:rPr>
        <w:t> a “special relationship” so as to give rise to liability for pure economic loss caused by a negligent misstatement was that the relationship of the parties was “equivalent to contract”. </w:t>
      </w:r>
      <w:r>
        <w:rPr>
          <w:color w:val="005DA1"/>
          <w:u w:val="single" w:color="005DA1"/>
          <w:vertAlign w:val="superscript"/>
        </w:rPr>
        <w:t>1463</w:t>
      </w:r>
      <w:r>
        <w:rPr>
          <w:color w:val="005DA1"/>
          <w:vertAlign w:val="baseline"/>
        </w:rPr>
        <w:t> </w:t>
      </w:r>
      <w:r>
        <w:rPr>
          <w:vertAlign w:val="baseline"/>
        </w:rPr>
        <w:t>While Lord </w:t>
      </w:r>
      <w:bookmarkStart w:name="_bookmark2140" w:id="2142"/>
      <w:bookmarkEnd w:id="2142"/>
      <w:r>
        <w:rPr>
          <w:vertAlign w:val="baseline"/>
        </w:rPr>
        <w:t>Devlin</w:t>
      </w:r>
      <w:r>
        <w:rPr>
          <w:vertAlign w:val="baseline"/>
        </w:rPr>
        <w:t> considered that the reason that the plaintiff’s claim could not be considered contractual was</w:t>
      </w:r>
      <w:r>
        <w:rPr>
          <w:spacing w:val="80"/>
          <w:vertAlign w:val="baseline"/>
        </w:rPr>
        <w:t> </w:t>
      </w:r>
      <w:bookmarkStart w:name="_bookmark2141" w:id="2143"/>
      <w:bookmarkEnd w:id="2143"/>
      <w:r>
        <w:rPr>
          <w:vertAlign w:val="baseline"/>
        </w:rPr>
        <w:t>the</w:t>
      </w:r>
      <w:r>
        <w:rPr>
          <w:vertAlign w:val="baseline"/>
        </w:rPr>
        <w:t> absence of consideration for the defendants’ undertaking, </w:t>
      </w:r>
      <w:r>
        <w:rPr>
          <w:color w:val="005DA1"/>
          <w:u w:val="single" w:color="005DA1"/>
          <w:vertAlign w:val="superscript"/>
        </w:rPr>
        <w:t>1464</w:t>
      </w:r>
      <w:r>
        <w:rPr>
          <w:color w:val="005DA1"/>
          <w:vertAlign w:val="baseline"/>
        </w:rPr>
        <w:t> </w:t>
      </w:r>
      <w:r>
        <w:rPr>
          <w:vertAlign w:val="baseline"/>
        </w:rPr>
        <w:t>on the facts there was also no obvious privity between the parties. </w:t>
      </w:r>
      <w:r>
        <w:rPr>
          <w:color w:val="005DA1"/>
          <w:u w:val="single" w:color="005DA1"/>
          <w:vertAlign w:val="superscript"/>
        </w:rPr>
        <w:t>1465</w:t>
      </w:r>
    </w:p>
    <w:p>
      <w:pPr>
        <w:pStyle w:val="BodyText"/>
      </w:pPr>
    </w:p>
    <w:p>
      <w:pPr>
        <w:pStyle w:val="BodyText"/>
        <w:spacing w:before="35"/>
      </w:pPr>
    </w:p>
    <w:p>
      <w:pPr>
        <w:spacing w:before="0"/>
        <w:ind w:left="165" w:right="0" w:firstLine="0"/>
        <w:jc w:val="left"/>
        <w:rPr>
          <w:rFonts w:ascii="Arial"/>
          <w:b/>
          <w:sz w:val="18"/>
        </w:rPr>
      </w:pPr>
      <w:r>
        <w:rPr>
          <w:rFonts w:ascii="Arial"/>
          <w:b/>
          <w:sz w:val="18"/>
        </w:rPr>
        <w:t>The Junior Books </w:t>
      </w:r>
      <w:r>
        <w:rPr>
          <w:rFonts w:ascii="Arial"/>
          <w:b/>
          <w:spacing w:val="-4"/>
          <w:sz w:val="18"/>
        </w:rPr>
        <w:t>case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207</w:t>
      </w:r>
    </w:p>
    <w:p>
      <w:pPr>
        <w:pStyle w:val="BodyText"/>
        <w:spacing w:line="235" w:lineRule="auto" w:before="203"/>
        <w:ind w:left="165" w:right="167"/>
        <w:jc w:val="both"/>
      </w:pPr>
      <w:bookmarkStart w:name="_bookmark2142" w:id="2144"/>
      <w:bookmarkEnd w:id="2144"/>
      <w:r>
        <w:rPr/>
      </w:r>
      <w:r>
        <w:rPr/>
        <w:t>The courts’ recognition of liability for negligently caused pure economic loss was taken one </w:t>
      </w:r>
      <w:r>
        <w:rPr/>
        <w:t>stage further</w:t>
      </w:r>
      <w:r>
        <w:rPr>
          <w:spacing w:val="-2"/>
        </w:rPr>
        <w:t> </w:t>
      </w:r>
      <w:r>
        <w:rPr/>
        <w:t>in</w:t>
      </w:r>
      <w:r>
        <w:rPr>
          <w:spacing w:val="-2"/>
        </w:rPr>
        <w:t> </w:t>
      </w:r>
      <w:r>
        <w:rPr/>
        <w:t>1982</w:t>
      </w:r>
      <w:r>
        <w:rPr>
          <w:spacing w:val="-2"/>
        </w:rPr>
        <w:t> </w:t>
      </w:r>
      <w:r>
        <w:rPr/>
        <w:t>by</w:t>
      </w:r>
      <w:r>
        <w:rPr>
          <w:spacing w:val="-2"/>
        </w:rPr>
        <w:t> </w:t>
      </w:r>
      <w:r>
        <w:rPr/>
        <w:t>the</w:t>
      </w:r>
      <w:r>
        <w:rPr>
          <w:spacing w:val="-2"/>
        </w:rPr>
        <w:t> </w:t>
      </w:r>
      <w:r>
        <w:rPr/>
        <w:t>decision</w:t>
      </w:r>
      <w:r>
        <w:rPr>
          <w:spacing w:val="-2"/>
        </w:rPr>
        <w:t> </w:t>
      </w:r>
      <w:r>
        <w:rPr/>
        <w:t>of</w:t>
      </w:r>
      <w:r>
        <w:rPr>
          <w:spacing w:val="-2"/>
        </w:rPr>
        <w:t> </w:t>
      </w:r>
      <w:r>
        <w:rPr/>
        <w:t>the</w:t>
      </w:r>
      <w:r>
        <w:rPr>
          <w:spacing w:val="-2"/>
        </w:rPr>
        <w:t> </w:t>
      </w:r>
      <w:r>
        <w:rPr/>
        <w:t>House</w:t>
      </w:r>
      <w:r>
        <w:rPr>
          <w:spacing w:val="-2"/>
        </w:rPr>
        <w:t> </w:t>
      </w:r>
      <w:r>
        <w:rPr/>
        <w:t>of</w:t>
      </w:r>
      <w:r>
        <w:rPr>
          <w:spacing w:val="-2"/>
        </w:rPr>
        <w:t> </w:t>
      </w:r>
      <w:r>
        <w:rPr/>
        <w:t>Lords</w:t>
      </w:r>
      <w:r>
        <w:rPr>
          <w:spacing w:val="-2"/>
        </w:rPr>
        <w:t> </w:t>
      </w:r>
      <w:r>
        <w:rPr/>
        <w:t>in</w:t>
      </w:r>
      <w:r>
        <w:rPr>
          <w:spacing w:val="-3"/>
        </w:rPr>
        <w:t> </w:t>
      </w:r>
      <w:r>
        <w:rPr>
          <w:rFonts w:ascii="Arial" w:hAnsi="Arial"/>
          <w:i/>
        </w:rPr>
        <w:t>Junior</w:t>
      </w:r>
      <w:r>
        <w:rPr>
          <w:rFonts w:ascii="Arial" w:hAnsi="Arial"/>
          <w:i/>
          <w:spacing w:val="-2"/>
        </w:rPr>
        <w:t> </w:t>
      </w:r>
      <w:r>
        <w:rPr>
          <w:rFonts w:ascii="Arial" w:hAnsi="Arial"/>
          <w:i/>
        </w:rPr>
        <w:t>Books</w:t>
      </w:r>
      <w:r>
        <w:rPr>
          <w:rFonts w:ascii="Arial" w:hAnsi="Arial"/>
          <w:i/>
          <w:spacing w:val="-2"/>
        </w:rPr>
        <w:t> </w:t>
      </w:r>
      <w:r>
        <w:rPr>
          <w:rFonts w:ascii="Arial" w:hAnsi="Arial"/>
          <w:i/>
        </w:rPr>
        <w:t>Ltd</w:t>
      </w:r>
      <w:r>
        <w:rPr>
          <w:rFonts w:ascii="Arial" w:hAnsi="Arial"/>
          <w:i/>
          <w:spacing w:val="-2"/>
        </w:rPr>
        <w:t> </w:t>
      </w:r>
      <w:r>
        <w:rPr>
          <w:rFonts w:ascii="Arial" w:hAnsi="Arial"/>
          <w:i/>
        </w:rPr>
        <w:t>v</w:t>
      </w:r>
      <w:r>
        <w:rPr>
          <w:rFonts w:ascii="Arial" w:hAnsi="Arial"/>
          <w:i/>
          <w:spacing w:val="-2"/>
        </w:rPr>
        <w:t> </w:t>
      </w:r>
      <w:r>
        <w:rPr>
          <w:rFonts w:ascii="Arial" w:hAnsi="Arial"/>
          <w:i/>
        </w:rPr>
        <w:t>Veitchi</w:t>
      </w:r>
      <w:r>
        <w:rPr>
          <w:rFonts w:ascii="Arial" w:hAnsi="Arial"/>
          <w:i/>
          <w:spacing w:val="-2"/>
        </w:rPr>
        <w:t> </w:t>
      </w:r>
      <w:r>
        <w:rPr>
          <w:rFonts w:ascii="Arial" w:hAnsi="Arial"/>
          <w:i/>
        </w:rPr>
        <w:t>Co</w:t>
      </w:r>
      <w:r>
        <w:rPr>
          <w:rFonts w:ascii="Arial" w:hAnsi="Arial"/>
          <w:i/>
          <w:spacing w:val="-2"/>
        </w:rPr>
        <w:t> </w:t>
      </w:r>
      <w:r>
        <w:rPr>
          <w:rFonts w:ascii="Arial" w:hAnsi="Arial"/>
          <w:i/>
        </w:rPr>
        <w:t>Ltd</w:t>
      </w:r>
      <w:r>
        <w:rPr/>
        <w:t>,</w:t>
      </w:r>
      <w:r>
        <w:rPr>
          <w:spacing w:val="-2"/>
        </w:rPr>
        <w:t> </w:t>
      </w:r>
      <w:r>
        <w:rPr>
          <w:color w:val="005DA1"/>
          <w:u w:val="single" w:color="005DA1"/>
          <w:vertAlign w:val="superscript"/>
        </w:rPr>
        <w:t>1466</w:t>
      </w:r>
      <w:r>
        <w:rPr>
          <w:color w:val="005DA1"/>
          <w:spacing w:val="-3"/>
          <w:vertAlign w:val="baseline"/>
        </w:rPr>
        <w:t> </w:t>
      </w:r>
      <w:r>
        <w:rPr>
          <w:vertAlign w:val="baseline"/>
        </w:rPr>
        <w:t>where</w:t>
      </w:r>
      <w:r>
        <w:rPr>
          <w:spacing w:val="-2"/>
          <w:vertAlign w:val="baseline"/>
        </w:rPr>
        <w:t> </w:t>
      </w:r>
      <w:r>
        <w:rPr>
          <w:vertAlign w:val="baseline"/>
        </w:rPr>
        <w:t>it </w:t>
      </w:r>
      <w:bookmarkStart w:name="_bookmark2143" w:id="2145"/>
      <w:bookmarkEnd w:id="2145"/>
      <w:r>
        <w:rPr>
          <w:vertAlign w:val="baseline"/>
        </w:rPr>
        <w:t>held</w:t>
      </w:r>
      <w:r>
        <w:rPr>
          <w:vertAlign w:val="baseline"/>
        </w:rPr>
        <w:t> that a specialist flooring sub-contractor who had built a defective but not dangerous floor could owe</w:t>
      </w:r>
      <w:r>
        <w:rPr>
          <w:spacing w:val="-3"/>
          <w:vertAlign w:val="baseline"/>
        </w:rPr>
        <w:t> </w:t>
      </w:r>
      <w:r>
        <w:rPr>
          <w:vertAlign w:val="baseline"/>
        </w:rPr>
        <w:t>a</w:t>
      </w:r>
      <w:r>
        <w:rPr>
          <w:spacing w:val="-3"/>
          <w:vertAlign w:val="baseline"/>
        </w:rPr>
        <w:t> </w:t>
      </w:r>
      <w:r>
        <w:rPr>
          <w:vertAlign w:val="baseline"/>
        </w:rPr>
        <w:t>duty</w:t>
      </w:r>
      <w:r>
        <w:rPr>
          <w:spacing w:val="-3"/>
          <w:vertAlign w:val="baseline"/>
        </w:rPr>
        <w:t> </w:t>
      </w:r>
      <w:r>
        <w:rPr>
          <w:vertAlign w:val="baseline"/>
        </w:rPr>
        <w:t>of</w:t>
      </w:r>
      <w:r>
        <w:rPr>
          <w:spacing w:val="-3"/>
          <w:vertAlign w:val="baseline"/>
        </w:rPr>
        <w:t> </w:t>
      </w:r>
      <w:r>
        <w:rPr>
          <w:vertAlign w:val="baseline"/>
        </w:rPr>
        <w:t>care</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owner</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building</w:t>
      </w:r>
      <w:r>
        <w:rPr>
          <w:spacing w:val="-3"/>
          <w:vertAlign w:val="baseline"/>
        </w:rPr>
        <w:t> </w:t>
      </w:r>
      <w:r>
        <w:rPr>
          <w:vertAlign w:val="baseline"/>
        </w:rPr>
        <w:t>who</w:t>
      </w:r>
      <w:r>
        <w:rPr>
          <w:spacing w:val="-3"/>
          <w:vertAlign w:val="baseline"/>
        </w:rPr>
        <w:t> </w:t>
      </w:r>
      <w:r>
        <w:rPr>
          <w:vertAlign w:val="baseline"/>
        </w:rPr>
        <w:t>had</w:t>
      </w:r>
      <w:r>
        <w:rPr>
          <w:spacing w:val="-3"/>
          <w:vertAlign w:val="baseline"/>
        </w:rPr>
        <w:t> </w:t>
      </w:r>
      <w:r>
        <w:rPr>
          <w:vertAlign w:val="baseline"/>
        </w:rPr>
        <w:t>to</w:t>
      </w:r>
      <w:r>
        <w:rPr>
          <w:spacing w:val="-3"/>
          <w:vertAlign w:val="baseline"/>
        </w:rPr>
        <w:t> </w:t>
      </w:r>
      <w:r>
        <w:rPr>
          <w:vertAlign w:val="baseline"/>
        </w:rPr>
        <w:t>replace</w:t>
      </w:r>
      <w:r>
        <w:rPr>
          <w:spacing w:val="-3"/>
          <w:vertAlign w:val="baseline"/>
        </w:rPr>
        <w:t> </w:t>
      </w:r>
      <w:r>
        <w:rPr>
          <w:vertAlign w:val="baseline"/>
        </w:rPr>
        <w:t>it</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result.</w:t>
      </w:r>
      <w:r>
        <w:rPr>
          <w:spacing w:val="-4"/>
          <w:vertAlign w:val="baseline"/>
        </w:rPr>
        <w:t> </w:t>
      </w:r>
      <w:r>
        <w:rPr>
          <w:color w:val="005DA1"/>
          <w:u w:val="single" w:color="005DA1"/>
          <w:vertAlign w:val="superscript"/>
        </w:rPr>
        <w:t>1467</w:t>
      </w:r>
      <w:r>
        <w:rPr>
          <w:color w:val="005DA1"/>
          <w:spacing w:val="-3"/>
          <w:vertAlign w:val="baseline"/>
        </w:rPr>
        <w:t> </w:t>
      </w:r>
      <w:r>
        <w:rPr>
          <w:vertAlign w:val="baseline"/>
        </w:rPr>
        <w:t>Clearly,</w:t>
      </w:r>
      <w:r>
        <w:rPr>
          <w:spacing w:val="-3"/>
          <w:vertAlign w:val="baseline"/>
        </w:rPr>
        <w:t> </w:t>
      </w:r>
      <w:r>
        <w:rPr>
          <w:vertAlign w:val="baseline"/>
        </w:rPr>
        <w:t>there</w:t>
      </w:r>
      <w:r>
        <w:rPr>
          <w:spacing w:val="-3"/>
          <w:vertAlign w:val="baseline"/>
        </w:rPr>
        <w:t> </w:t>
      </w:r>
      <w:r>
        <w:rPr>
          <w:vertAlign w:val="baseline"/>
        </w:rPr>
        <w:t>was no privity of contract between the parties, but the majority of their Lordships found that there was a “special</w:t>
      </w:r>
      <w:r>
        <w:rPr>
          <w:spacing w:val="9"/>
          <w:vertAlign w:val="baseline"/>
        </w:rPr>
        <w:t> </w:t>
      </w:r>
      <w:r>
        <w:rPr>
          <w:vertAlign w:val="baseline"/>
        </w:rPr>
        <w:t>relationship”</w:t>
      </w:r>
      <w:r>
        <w:rPr>
          <w:spacing w:val="9"/>
          <w:vertAlign w:val="baseline"/>
        </w:rPr>
        <w:t> </w:t>
      </w:r>
      <w:r>
        <w:rPr>
          <w:vertAlign w:val="baseline"/>
        </w:rPr>
        <w:t>between</w:t>
      </w:r>
      <w:r>
        <w:rPr>
          <w:spacing w:val="9"/>
          <w:vertAlign w:val="baseline"/>
        </w:rPr>
        <w:t> </w:t>
      </w:r>
      <w:r>
        <w:rPr>
          <w:vertAlign w:val="baseline"/>
        </w:rPr>
        <w:t>them,</w:t>
      </w:r>
      <w:r>
        <w:rPr>
          <w:spacing w:val="9"/>
          <w:vertAlign w:val="baseline"/>
        </w:rPr>
        <w:t> </w:t>
      </w:r>
      <w:r>
        <w:rPr>
          <w:vertAlign w:val="baseline"/>
        </w:rPr>
        <w:t>which</w:t>
      </w:r>
      <w:r>
        <w:rPr>
          <w:spacing w:val="9"/>
          <w:vertAlign w:val="baseline"/>
        </w:rPr>
        <w:t> </w:t>
      </w:r>
      <w:r>
        <w:rPr>
          <w:vertAlign w:val="baseline"/>
        </w:rPr>
        <w:t>again</w:t>
      </w:r>
      <w:r>
        <w:rPr>
          <w:spacing w:val="9"/>
          <w:vertAlign w:val="baseline"/>
        </w:rPr>
        <w:t> </w:t>
      </w:r>
      <w:r>
        <w:rPr>
          <w:vertAlign w:val="baseline"/>
        </w:rPr>
        <w:t>rested</w:t>
      </w:r>
      <w:r>
        <w:rPr>
          <w:spacing w:val="9"/>
          <w:vertAlign w:val="baseline"/>
        </w:rPr>
        <w:t> </w:t>
      </w:r>
      <w:r>
        <w:rPr>
          <w:vertAlign w:val="baseline"/>
        </w:rPr>
        <w:t>on</w:t>
      </w:r>
      <w:r>
        <w:rPr>
          <w:spacing w:val="9"/>
          <w:vertAlign w:val="baseline"/>
        </w:rPr>
        <w:t> </w:t>
      </w:r>
      <w:r>
        <w:rPr>
          <w:vertAlign w:val="baseline"/>
        </w:rPr>
        <w:t>a</w:t>
      </w:r>
      <w:r>
        <w:rPr>
          <w:spacing w:val="9"/>
          <w:vertAlign w:val="baseline"/>
        </w:rPr>
        <w:t> </w:t>
      </w:r>
      <w:r>
        <w:rPr>
          <w:vertAlign w:val="baseline"/>
        </w:rPr>
        <w:t>variety</w:t>
      </w:r>
      <w:r>
        <w:rPr>
          <w:spacing w:val="9"/>
          <w:vertAlign w:val="baseline"/>
        </w:rPr>
        <w:t> </w:t>
      </w:r>
      <w:r>
        <w:rPr>
          <w:vertAlign w:val="baseline"/>
        </w:rPr>
        <w:t>of</w:t>
      </w:r>
      <w:r>
        <w:rPr>
          <w:spacing w:val="9"/>
          <w:vertAlign w:val="baseline"/>
        </w:rPr>
        <w:t> </w:t>
      </w:r>
      <w:r>
        <w:rPr>
          <w:vertAlign w:val="baseline"/>
        </w:rPr>
        <w:t>factors,</w:t>
      </w:r>
      <w:r>
        <w:rPr>
          <w:spacing w:val="9"/>
          <w:vertAlign w:val="baseline"/>
        </w:rPr>
        <w:t> </w:t>
      </w:r>
      <w:r>
        <w:rPr>
          <w:vertAlign w:val="baseline"/>
        </w:rPr>
        <w:t>of</w:t>
      </w:r>
      <w:r>
        <w:rPr>
          <w:spacing w:val="9"/>
          <w:vertAlign w:val="baseline"/>
        </w:rPr>
        <w:t> </w:t>
      </w:r>
      <w:r>
        <w:rPr>
          <w:vertAlign w:val="baseline"/>
        </w:rPr>
        <w:t>which</w:t>
      </w:r>
      <w:r>
        <w:rPr>
          <w:spacing w:val="9"/>
          <w:vertAlign w:val="baseline"/>
        </w:rPr>
        <w:t> </w:t>
      </w:r>
      <w:r>
        <w:rPr>
          <w:vertAlign w:val="baseline"/>
        </w:rPr>
        <w:t>one</w:t>
      </w:r>
      <w:r>
        <w:rPr>
          <w:spacing w:val="9"/>
          <w:vertAlign w:val="baseline"/>
        </w:rPr>
        <w:t> </w:t>
      </w:r>
      <w:r>
        <w:rPr>
          <w:vertAlign w:val="baseline"/>
        </w:rPr>
        <w:t>was</w:t>
      </w:r>
      <w:r>
        <w:rPr>
          <w:spacing w:val="9"/>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2144" w:id="2146"/>
      <w:bookmarkEnd w:id="2146"/>
      <w:r>
        <w:rPr/>
      </w:r>
      <w:r>
        <w:rPr/>
        <w:t>fact</w:t>
      </w:r>
      <w:r>
        <w:rPr>
          <w:spacing w:val="-1"/>
        </w:rPr>
        <w:t> </w:t>
      </w:r>
      <w:r>
        <w:rPr/>
        <w:t>that</w:t>
      </w:r>
      <w:r>
        <w:rPr>
          <w:spacing w:val="-1"/>
        </w:rPr>
        <w:t> </w:t>
      </w:r>
      <w:r>
        <w:rPr/>
        <w:t>it</w:t>
      </w:r>
      <w:r>
        <w:rPr>
          <w:spacing w:val="-1"/>
        </w:rPr>
        <w:t> </w:t>
      </w:r>
      <w:r>
        <w:rPr/>
        <w:t>fell</w:t>
      </w:r>
      <w:r>
        <w:rPr>
          <w:spacing w:val="-1"/>
        </w:rPr>
        <w:t> </w:t>
      </w:r>
      <w:r>
        <w:rPr/>
        <w:t>“only</w:t>
      </w:r>
      <w:r>
        <w:rPr>
          <w:spacing w:val="-1"/>
        </w:rPr>
        <w:t> </w:t>
      </w:r>
      <w:r>
        <w:rPr/>
        <w:t>just</w:t>
      </w:r>
      <w:r>
        <w:rPr>
          <w:spacing w:val="-1"/>
        </w:rPr>
        <w:t> </w:t>
      </w:r>
      <w:r>
        <w:rPr/>
        <w:t>short</w:t>
      </w:r>
      <w:r>
        <w:rPr>
          <w:spacing w:val="-1"/>
        </w:rPr>
        <w:t> </w:t>
      </w:r>
      <w:r>
        <w:rPr/>
        <w:t>of</w:t>
      </w:r>
      <w:r>
        <w:rPr>
          <w:spacing w:val="-1"/>
        </w:rPr>
        <w:t> </w:t>
      </w:r>
      <w:r>
        <w:rPr/>
        <w:t>a</w:t>
      </w:r>
      <w:r>
        <w:rPr>
          <w:spacing w:val="-1"/>
        </w:rPr>
        <w:t> </w:t>
      </w:r>
      <w:r>
        <w:rPr/>
        <w:t>direct</w:t>
      </w:r>
      <w:r>
        <w:rPr>
          <w:spacing w:val="-1"/>
        </w:rPr>
        <w:t> </w:t>
      </w:r>
      <w:r>
        <w:rPr/>
        <w:t>contractual</w:t>
      </w:r>
      <w:r>
        <w:rPr>
          <w:spacing w:val="-1"/>
        </w:rPr>
        <w:t> </w:t>
      </w:r>
      <w:r>
        <w:rPr/>
        <w:t>relationship”.</w:t>
      </w:r>
      <w:r>
        <w:rPr>
          <w:spacing w:val="-1"/>
        </w:rPr>
        <w:t> </w:t>
      </w:r>
      <w:r>
        <w:rPr>
          <w:color w:val="005DA1"/>
          <w:u w:val="single" w:color="005DA1"/>
          <w:vertAlign w:val="superscript"/>
        </w:rPr>
        <w:t>1468</w:t>
      </w:r>
      <w:r>
        <w:rPr>
          <w:color w:val="005DA1"/>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time</w:t>
      </w:r>
      <w:r>
        <w:rPr>
          <w:spacing w:val="-1"/>
          <w:vertAlign w:val="baseline"/>
        </w:rPr>
        <w:t> </w:t>
      </w:r>
      <w:r>
        <w:rPr>
          <w:vertAlign w:val="baseline"/>
        </w:rPr>
        <w:t>of</w:t>
      </w:r>
      <w:r>
        <w:rPr>
          <w:spacing w:val="-1"/>
          <w:vertAlign w:val="baseline"/>
        </w:rPr>
        <w:t> </w:t>
      </w:r>
      <w:r>
        <w:rPr>
          <w:vertAlign w:val="baseline"/>
        </w:rPr>
        <w:t>its</w:t>
      </w:r>
      <w:r>
        <w:rPr>
          <w:spacing w:val="-1"/>
          <w:vertAlign w:val="baseline"/>
        </w:rPr>
        <w:t> </w:t>
      </w:r>
      <w:r>
        <w:rPr>
          <w:vertAlign w:val="baseline"/>
        </w:rPr>
        <w:t>decision,</w:t>
      </w:r>
      <w:r>
        <w:rPr>
          <w:spacing w:val="-1"/>
          <w:vertAlign w:val="baseline"/>
        </w:rPr>
        <w:t> </w:t>
      </w:r>
      <w:r>
        <w:rPr>
          <w:rFonts w:ascii="Arial" w:hAnsi="Arial"/>
          <w:i/>
          <w:vertAlign w:val="baseline"/>
        </w:rPr>
        <w:t>Junior Books </w:t>
      </w:r>
      <w:r>
        <w:rPr>
          <w:vertAlign w:val="baseline"/>
        </w:rPr>
        <w:t>appeared to mark a radical departure, for it allowed recovery of pure economic loss beyond privity of contract other than where it was consequential on the defendant’s negligent </w:t>
      </w:r>
      <w:r>
        <w:rPr>
          <w:vertAlign w:val="baseline"/>
        </w:rPr>
        <w:t>misstatement. </w:t>
      </w:r>
      <w:bookmarkStart w:name="_bookmark2145" w:id="2147"/>
      <w:bookmarkEnd w:id="2147"/>
      <w:r>
        <w:rPr>
          <w:vertAlign w:val="baseline"/>
        </w:rPr>
        <w:t>However,</w:t>
      </w:r>
      <w:r>
        <w:rPr>
          <w:vertAlign w:val="baseline"/>
        </w:rPr>
        <w:t> the fate of </w:t>
      </w:r>
      <w:r>
        <w:rPr>
          <w:rFonts w:ascii="Arial" w:hAnsi="Arial"/>
          <w:i/>
          <w:vertAlign w:val="baseline"/>
        </w:rPr>
        <w:t>Junior Books </w:t>
      </w:r>
      <w:r>
        <w:rPr>
          <w:vertAlign w:val="baseline"/>
        </w:rPr>
        <w:t>was not a happy one, its approach to liability for pure economic</w:t>
      </w:r>
      <w:r>
        <w:rPr>
          <w:spacing w:val="40"/>
          <w:vertAlign w:val="baseline"/>
        </w:rPr>
        <w:t> </w:t>
      </w:r>
      <w:bookmarkStart w:name="_bookmark2146" w:id="2148"/>
      <w:bookmarkEnd w:id="2148"/>
      <w:r>
        <w:rPr>
          <w:vertAlign w:val="baseline"/>
        </w:rPr>
        <w:t>loss</w:t>
      </w:r>
      <w:r>
        <w:rPr>
          <w:vertAlign w:val="baseline"/>
        </w:rPr>
        <w:t> not being followed by subsequent courts. </w:t>
      </w:r>
      <w:r>
        <w:rPr>
          <w:color w:val="005DA1"/>
          <w:u w:val="single" w:color="005DA1"/>
          <w:vertAlign w:val="superscript"/>
        </w:rPr>
        <w:t>1469</w:t>
      </w:r>
      <w:r>
        <w:rPr>
          <w:color w:val="005DA1"/>
          <w:vertAlign w:val="baseline"/>
        </w:rPr>
        <w:t> </w:t>
      </w:r>
      <w:r>
        <w:rPr>
          <w:vertAlign w:val="baseline"/>
        </w:rPr>
        <w:t>While the courts gave many reasons in the many cases</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recovery</w:t>
      </w:r>
      <w:r>
        <w:rPr>
          <w:spacing w:val="-2"/>
          <w:vertAlign w:val="baseline"/>
        </w:rPr>
        <w:t> </w:t>
      </w:r>
      <w:r>
        <w:rPr>
          <w:vertAlign w:val="baseline"/>
        </w:rPr>
        <w:t>for</w:t>
      </w:r>
      <w:r>
        <w:rPr>
          <w:spacing w:val="-2"/>
          <w:vertAlign w:val="baseline"/>
        </w:rPr>
        <w:t> </w:t>
      </w:r>
      <w:r>
        <w:rPr>
          <w:vertAlign w:val="baseline"/>
        </w:rPr>
        <w:t>pure</w:t>
      </w:r>
      <w:r>
        <w:rPr>
          <w:spacing w:val="-2"/>
          <w:vertAlign w:val="baseline"/>
        </w:rPr>
        <w:t> </w:t>
      </w:r>
      <w:r>
        <w:rPr>
          <w:vertAlign w:val="baseline"/>
        </w:rPr>
        <w:t>economic</w:t>
      </w:r>
      <w:r>
        <w:rPr>
          <w:spacing w:val="-2"/>
          <w:vertAlign w:val="baseline"/>
        </w:rPr>
        <w:t> </w:t>
      </w:r>
      <w:r>
        <w:rPr>
          <w:vertAlign w:val="baseline"/>
        </w:rPr>
        <w:t>loss</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tort</w:t>
      </w:r>
      <w:r>
        <w:rPr>
          <w:spacing w:val="-2"/>
          <w:vertAlign w:val="baseline"/>
        </w:rPr>
        <w:t> </w:t>
      </w:r>
      <w:r>
        <w:rPr>
          <w:vertAlign w:val="baseline"/>
        </w:rPr>
        <w:t>of</w:t>
      </w:r>
      <w:r>
        <w:rPr>
          <w:spacing w:val="-2"/>
          <w:vertAlign w:val="baseline"/>
        </w:rPr>
        <w:t> </w:t>
      </w:r>
      <w:r>
        <w:rPr>
          <w:vertAlign w:val="baseline"/>
        </w:rPr>
        <w:t>negligence</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denied,</w:t>
      </w:r>
      <w:r>
        <w:rPr>
          <w:spacing w:val="-4"/>
          <w:vertAlign w:val="baseline"/>
        </w:rPr>
        <w:t> </w:t>
      </w:r>
      <w:r>
        <w:rPr>
          <w:color w:val="005DA1"/>
          <w:u w:val="single" w:color="005DA1"/>
          <w:vertAlign w:val="superscript"/>
        </w:rPr>
        <w:t>1470</w:t>
      </w:r>
      <w:r>
        <w:rPr>
          <w:color w:val="005DA1"/>
          <w:spacing w:val="-2"/>
          <w:vertAlign w:val="baseline"/>
        </w:rPr>
        <w:t> </w:t>
      </w:r>
      <w:r>
        <w:rPr>
          <w:vertAlign w:val="baseline"/>
        </w:rPr>
        <w:t>in</w:t>
      </w:r>
      <w:r>
        <w:rPr>
          <w:spacing w:val="-2"/>
          <w:vertAlign w:val="baseline"/>
        </w:rPr>
        <w:t> </w:t>
      </w:r>
      <w:r>
        <w:rPr>
          <w:vertAlign w:val="baseline"/>
        </w:rPr>
        <w:t>some </w:t>
      </w:r>
      <w:bookmarkStart w:name="_bookmark2147" w:id="2149"/>
      <w:bookmarkEnd w:id="2149"/>
      <w:r>
        <w:rPr>
          <w:vertAlign w:val="baseline"/>
        </w:rPr>
        <w:t>cases</w:t>
      </w:r>
      <w:r>
        <w:rPr>
          <w:vertAlign w:val="baseline"/>
        </w:rPr>
        <w:t> the presence of a contract or contracts has proven particularly important. In </w:t>
      </w:r>
      <w:r>
        <w:rPr>
          <w:rFonts w:ascii="Arial" w:hAnsi="Arial"/>
          <w:i/>
          <w:vertAlign w:val="baseline"/>
        </w:rPr>
        <w:t>Junior Books </w:t>
      </w:r>
      <w:r>
        <w:rPr>
          <w:vertAlign w:val="baseline"/>
        </w:rPr>
        <w:t>itself, </w:t>
      </w:r>
      <w:bookmarkStart w:name="_bookmark2148" w:id="2150"/>
      <w:bookmarkEnd w:id="2150"/>
      <w:r>
        <w:rPr>
          <w:vertAlign w:val="baseline"/>
        </w:rPr>
        <w:t>Lord</w:t>
      </w:r>
      <w:r>
        <w:rPr>
          <w:vertAlign w:val="baseline"/>
        </w:rPr>
        <w:t> Roskill noted that any exclusion clause in the main contract </w:t>
      </w:r>
      <w:r>
        <w:rPr>
          <w:color w:val="005DA1"/>
          <w:u w:val="single" w:color="005DA1"/>
          <w:vertAlign w:val="superscript"/>
        </w:rPr>
        <w:t>1471</w:t>
      </w:r>
      <w:r>
        <w:rPr>
          <w:color w:val="005DA1"/>
          <w:vertAlign w:val="baseline"/>
        </w:rPr>
        <w:t> </w:t>
      </w:r>
      <w:r>
        <w:rPr>
          <w:vertAlign w:val="baseline"/>
        </w:rPr>
        <w:t>may exclude or modify the </w:t>
      </w:r>
      <w:bookmarkStart w:name="_bookmark2149" w:id="2151"/>
      <w:bookmarkEnd w:id="2151"/>
      <w:r>
        <w:rPr>
          <w:vertAlign w:val="baseline"/>
        </w:rPr>
        <w:t>liability</w:t>
      </w:r>
      <w:r>
        <w:rPr>
          <w:vertAlign w:val="baseline"/>
        </w:rPr>
        <w:t> in the sub-contractor directly to the building owner, </w:t>
      </w:r>
      <w:r>
        <w:rPr>
          <w:color w:val="005DA1"/>
          <w:u w:val="single" w:color="005DA1"/>
          <w:vertAlign w:val="superscript"/>
        </w:rPr>
        <w:t>1472</w:t>
      </w:r>
      <w:r>
        <w:rPr>
          <w:color w:val="005DA1"/>
          <w:vertAlign w:val="baseline"/>
        </w:rPr>
        <w:t> </w:t>
      </w:r>
      <w:r>
        <w:rPr>
          <w:vertAlign w:val="baseline"/>
        </w:rPr>
        <w:t>and Lord Fraser of Tullybelton considered that the terms of the subcontract may have a similar effect. </w:t>
      </w:r>
      <w:r>
        <w:rPr>
          <w:color w:val="005DA1"/>
          <w:u w:val="single" w:color="005DA1"/>
          <w:vertAlign w:val="superscript"/>
        </w:rPr>
        <w:t>1473</w:t>
      </w:r>
      <w:r>
        <w:rPr>
          <w:color w:val="005DA1"/>
          <w:vertAlign w:val="baseline"/>
        </w:rPr>
        <w:t> </w:t>
      </w:r>
      <w:r>
        <w:rPr>
          <w:vertAlign w:val="baseline"/>
        </w:rPr>
        <w:t>However, later courts considered the </w:t>
      </w:r>
      <w:r>
        <w:rPr>
          <w:rFonts w:ascii="Arial" w:hAnsi="Arial"/>
          <w:i/>
          <w:vertAlign w:val="baseline"/>
        </w:rPr>
        <w:t>possibility </w:t>
      </w:r>
      <w:r>
        <w:rPr>
          <w:vertAlign w:val="baseline"/>
        </w:rPr>
        <w:t>that the imposition of a duty of care will upset contractual standards or </w:t>
      </w:r>
      <w:bookmarkStart w:name="_bookmark2150" w:id="2152"/>
      <w:bookmarkEnd w:id="2152"/>
      <w:r>
        <w:rPr>
          <w:vertAlign w:val="baseline"/>
        </w:rPr>
        <w:t>allocations</w:t>
      </w:r>
      <w:r>
        <w:rPr>
          <w:vertAlign w:val="baseline"/>
        </w:rPr>
        <w:t> of risk as itself a reason for refusing to impose one, thereby preferring Lord Brandon’s approach in his dissenting speech in </w:t>
      </w:r>
      <w:r>
        <w:rPr>
          <w:rFonts w:ascii="Arial" w:hAnsi="Arial"/>
          <w:i/>
          <w:vertAlign w:val="baseline"/>
        </w:rPr>
        <w:t>Junior Books</w:t>
      </w:r>
      <w:r>
        <w:rPr>
          <w:vertAlign w:val="baseline"/>
        </w:rPr>
        <w:t>. </w:t>
      </w:r>
      <w:r>
        <w:rPr>
          <w:color w:val="005DA1"/>
          <w:u w:val="single" w:color="005DA1"/>
          <w:vertAlign w:val="superscript"/>
        </w:rPr>
        <w:t>1474</w:t>
      </w:r>
    </w:p>
    <w:p>
      <w:pPr>
        <w:pStyle w:val="BodyText"/>
      </w:pPr>
    </w:p>
    <w:p>
      <w:pPr>
        <w:pStyle w:val="BodyText"/>
        <w:spacing w:before="34"/>
      </w:pPr>
    </w:p>
    <w:p>
      <w:pPr>
        <w:spacing w:before="0"/>
        <w:ind w:left="164" w:right="0" w:firstLine="0"/>
        <w:jc w:val="both"/>
        <w:rPr>
          <w:rFonts w:ascii="Arial" w:hAnsi="Arial"/>
          <w:b/>
          <w:sz w:val="18"/>
        </w:rPr>
      </w:pPr>
      <w:r>
        <w:rPr>
          <w:rFonts w:ascii="Arial" w:hAnsi="Arial"/>
          <w:b/>
          <w:sz w:val="18"/>
        </w:rPr>
        <w:t>“Contractual structure” and liability in </w:t>
      </w:r>
      <w:r>
        <w:rPr>
          <w:rFonts w:ascii="Arial" w:hAnsi="Arial"/>
          <w:b/>
          <w:spacing w:val="-4"/>
          <w:sz w:val="18"/>
        </w:rPr>
        <w:t>tort</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208</w:t>
      </w:r>
    </w:p>
    <w:p>
      <w:pPr>
        <w:pStyle w:val="BodyText"/>
        <w:spacing w:line="235" w:lineRule="auto" w:before="203"/>
        <w:ind w:left="164" w:right="167"/>
        <w:jc w:val="both"/>
      </w:pPr>
      <w:r>
        <w:rPr/>
        <w:t>Thus, the existence of a “contractual structure” of which the parties to the litigation are members but </w:t>
      </w:r>
      <w:bookmarkStart w:name="_bookmark2151" w:id="2153"/>
      <w:bookmarkEnd w:id="2153"/>
      <w:r>
        <w:rPr/>
        <w:t>according</w:t>
      </w:r>
      <w:r>
        <w:rPr/>
        <w:t> to which they are not in privity of contract was relied on as a reason for refusing to </w:t>
      </w:r>
      <w:r>
        <w:rPr/>
        <w:t>impose liability for economic loss in the tort of negligence. For example, in </w:t>
      </w:r>
      <w:r>
        <w:rPr>
          <w:rFonts w:ascii="Arial" w:hAnsi="Arial"/>
          <w:i/>
        </w:rPr>
        <w:t>Balsamo v Medici </w:t>
      </w:r>
      <w:r>
        <w:rPr>
          <w:color w:val="005DA1"/>
          <w:u w:val="single" w:color="005DA1"/>
          <w:vertAlign w:val="superscript"/>
        </w:rPr>
        <w:t>1475</w:t>
      </w:r>
      <w:r>
        <w:rPr>
          <w:color w:val="005DA1"/>
          <w:vertAlign w:val="baseline"/>
        </w:rPr>
        <w:t> </w:t>
      </w:r>
      <w:r>
        <w:rPr>
          <w:vertAlign w:val="baseline"/>
        </w:rPr>
        <w:t>Walton J. </w:t>
      </w:r>
      <w:bookmarkStart w:name="_bookmark2152" w:id="2154"/>
      <w:bookmarkEnd w:id="2154"/>
      <w:r>
        <w:rPr>
          <w:vertAlign w:val="baseline"/>
        </w:rPr>
        <w:t>refused</w:t>
      </w:r>
      <w:r>
        <w:rPr>
          <w:vertAlign w:val="baseline"/>
        </w:rPr>
        <w:t> to allow a claim in the tort of negligence by a principal against an unauthorised sub-agent on </w:t>
      </w:r>
      <w:bookmarkStart w:name="_bookmark2153" w:id="2155"/>
      <w:bookmarkEnd w:id="2155"/>
      <w:r>
        <w:rPr>
          <w:vertAlign w:val="baseline"/>
        </w:rPr>
        <w:t>the</w:t>
      </w:r>
      <w:r>
        <w:rPr>
          <w:spacing w:val="-1"/>
          <w:vertAlign w:val="baseline"/>
        </w:rPr>
        <w:t> </w:t>
      </w:r>
      <w:r>
        <w:rPr>
          <w:vertAlign w:val="baseline"/>
        </w:rPr>
        <w:t>ground</w:t>
      </w:r>
      <w:r>
        <w:rPr>
          <w:spacing w:val="-1"/>
          <w:vertAlign w:val="baseline"/>
        </w:rPr>
        <w:t> </w:t>
      </w:r>
      <w:r>
        <w:rPr>
          <w:vertAlign w:val="baseline"/>
        </w:rPr>
        <w:t>that</w:t>
      </w:r>
      <w:r>
        <w:rPr>
          <w:spacing w:val="-1"/>
          <w:vertAlign w:val="baseline"/>
        </w:rPr>
        <w:t> </w:t>
      </w:r>
      <w:r>
        <w:rPr>
          <w:vertAlign w:val="baseline"/>
        </w:rPr>
        <w:t>otherwise</w:t>
      </w:r>
      <w:r>
        <w:rPr>
          <w:spacing w:val="-1"/>
          <w:vertAlign w:val="baseline"/>
        </w:rPr>
        <w:t> </w:t>
      </w:r>
      <w:r>
        <w:rPr>
          <w:vertAlign w:val="baseline"/>
        </w:rPr>
        <w:t>the</w:t>
      </w:r>
      <w:r>
        <w:rPr>
          <w:spacing w:val="-2"/>
          <w:vertAlign w:val="baseline"/>
        </w:rPr>
        <w:t> </w:t>
      </w:r>
      <w:r>
        <w:rPr>
          <w:rFonts w:ascii="Arial" w:hAnsi="Arial"/>
          <w:i/>
          <w:vertAlign w:val="baseline"/>
        </w:rPr>
        <w:t>Anns</w:t>
      </w:r>
      <w:r>
        <w:rPr>
          <w:rFonts w:ascii="Arial" w:hAnsi="Arial"/>
          <w:i/>
          <w:spacing w:val="-1"/>
          <w:vertAlign w:val="baseline"/>
        </w:rPr>
        <w:t> </w:t>
      </w:r>
      <w:r>
        <w:rPr>
          <w:vertAlign w:val="baseline"/>
        </w:rPr>
        <w:t>principle</w:t>
      </w:r>
      <w:r>
        <w:rPr>
          <w:spacing w:val="-1"/>
          <w:vertAlign w:val="baseline"/>
        </w:rPr>
        <w:t> </w:t>
      </w:r>
      <w:r>
        <w:rPr>
          <w:color w:val="005DA1"/>
          <w:u w:val="single" w:color="005DA1"/>
          <w:vertAlign w:val="superscript"/>
        </w:rPr>
        <w:t>1476</w:t>
      </w:r>
      <w:r>
        <w:rPr>
          <w:color w:val="005DA1"/>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tort</w:t>
      </w:r>
      <w:r>
        <w:rPr>
          <w:spacing w:val="-1"/>
          <w:vertAlign w:val="baseline"/>
        </w:rPr>
        <w:t> </w:t>
      </w:r>
      <w:r>
        <w:rPr>
          <w:vertAlign w:val="baseline"/>
        </w:rPr>
        <w:t>of</w:t>
      </w:r>
      <w:r>
        <w:rPr>
          <w:spacing w:val="-1"/>
          <w:vertAlign w:val="baseline"/>
        </w:rPr>
        <w:t> </w:t>
      </w:r>
      <w:r>
        <w:rPr>
          <w:vertAlign w:val="baseline"/>
        </w:rPr>
        <w:t>negligence</w:t>
      </w:r>
      <w:r>
        <w:rPr>
          <w:spacing w:val="-1"/>
          <w:vertAlign w:val="baseline"/>
        </w:rPr>
        <w:t> </w:t>
      </w:r>
      <w:r>
        <w:rPr>
          <w:vertAlign w:val="baseline"/>
        </w:rPr>
        <w:t>“will</w:t>
      </w:r>
      <w:r>
        <w:rPr>
          <w:spacing w:val="-1"/>
          <w:vertAlign w:val="baseline"/>
        </w:rPr>
        <w:t> </w:t>
      </w:r>
      <w:r>
        <w:rPr>
          <w:vertAlign w:val="baseline"/>
        </w:rPr>
        <w:t>come</w:t>
      </w:r>
      <w:r>
        <w:rPr>
          <w:spacing w:val="-1"/>
          <w:vertAlign w:val="baseline"/>
        </w:rPr>
        <w:t> </w:t>
      </w:r>
      <w:r>
        <w:rPr>
          <w:vertAlign w:val="baseline"/>
        </w:rPr>
        <w:t>perilously</w:t>
      </w:r>
      <w:r>
        <w:rPr>
          <w:spacing w:val="-1"/>
          <w:vertAlign w:val="baseline"/>
        </w:rPr>
        <w:t> </w:t>
      </w:r>
      <w:r>
        <w:rPr>
          <w:vertAlign w:val="baseline"/>
        </w:rPr>
        <w:t>close</w:t>
      </w:r>
      <w:r>
        <w:rPr>
          <w:spacing w:val="-1"/>
          <w:vertAlign w:val="baseline"/>
        </w:rPr>
        <w:t> </w:t>
      </w:r>
      <w:r>
        <w:rPr>
          <w:vertAlign w:val="baseline"/>
        </w:rPr>
        <w:t>to </w:t>
      </w:r>
      <w:bookmarkStart w:name="_bookmark2154" w:id="2156"/>
      <w:bookmarkEnd w:id="2156"/>
      <w:r>
        <w:rPr>
          <w:vertAlign w:val="baseline"/>
        </w:rPr>
        <w:t>abrogating</w:t>
      </w:r>
      <w:r>
        <w:rPr>
          <w:vertAlign w:val="baseline"/>
        </w:rPr>
        <w:t> completely the concept of privity of contract”. </w:t>
      </w:r>
      <w:r>
        <w:rPr>
          <w:color w:val="005DA1"/>
          <w:u w:val="single" w:color="005DA1"/>
          <w:vertAlign w:val="superscript"/>
        </w:rPr>
        <w:t>1477</w:t>
      </w:r>
      <w:r>
        <w:rPr>
          <w:color w:val="005DA1"/>
          <w:vertAlign w:val="baseline"/>
        </w:rPr>
        <w:t> </w:t>
      </w:r>
      <w:r>
        <w:rPr>
          <w:vertAlign w:val="baseline"/>
        </w:rPr>
        <w:t>In 1987 in </w:t>
      </w:r>
      <w:r>
        <w:rPr>
          <w:rFonts w:ascii="Arial" w:hAnsi="Arial"/>
          <w:i/>
          <w:vertAlign w:val="baseline"/>
        </w:rPr>
        <w:t>Simaan General Contracting Co v Pilkington Glass Ltd (No.2)</w:t>
      </w:r>
      <w:r>
        <w:rPr>
          <w:vertAlign w:val="baseline"/>
        </w:rPr>
        <w:t>, </w:t>
      </w:r>
      <w:r>
        <w:rPr>
          <w:color w:val="005DA1"/>
          <w:u w:val="single" w:color="005DA1"/>
          <w:vertAlign w:val="superscript"/>
        </w:rPr>
        <w:t>1478</w:t>
      </w:r>
      <w:r>
        <w:rPr>
          <w:color w:val="005DA1"/>
          <w:vertAlign w:val="baseline"/>
        </w:rPr>
        <w:t> </w:t>
      </w:r>
      <w:r>
        <w:rPr>
          <w:vertAlign w:val="baseline"/>
        </w:rPr>
        <w:t>there was a chain of contracts, consisting of a building owner (A), a main building contractor (B), a sub-contractor (C) and a manufacturer of glass which had been incorporated into a building (D). The glass had failed to come up to specification and B, who had settled with A, claimed damages in the tort of negligence against D for the economic loss which it had thereby been caused. The Court of Appeal rejected this claim. According to Bingham L.J.:</w:t>
      </w:r>
    </w:p>
    <w:p>
      <w:pPr>
        <w:pStyle w:val="BodyText"/>
      </w:pPr>
    </w:p>
    <w:p>
      <w:pPr>
        <w:pStyle w:val="BodyText"/>
        <w:spacing w:before="122"/>
      </w:pPr>
    </w:p>
    <w:p>
      <w:pPr>
        <w:pStyle w:val="BodyText"/>
        <w:spacing w:line="235" w:lineRule="auto"/>
        <w:ind w:left="1244" w:right="167"/>
        <w:jc w:val="both"/>
      </w:pPr>
      <w:r>
        <w:rPr/>
        <w:t>“Just as equity remedied the inadequacies of the common law, so has the law of torts filled gaps left by other causes of action where the interests of justice so required. I </w:t>
      </w:r>
      <w:r>
        <w:rPr/>
        <w:t>see</w:t>
      </w:r>
      <w:r>
        <w:rPr>
          <w:spacing w:val="40"/>
        </w:rPr>
        <w:t> </w:t>
      </w:r>
      <w:bookmarkStart w:name="_bookmark2155" w:id="2157"/>
      <w:bookmarkEnd w:id="2157"/>
      <w:r>
        <w:rPr/>
        <w:t>no</w:t>
      </w:r>
      <w:r>
        <w:rPr/>
        <w:t> such gap here, because there is no reason why the claims beginning with [A] should not be pursued down the contractual chain.” </w:t>
      </w:r>
      <w:r>
        <w:rPr>
          <w:color w:val="005DA1"/>
          <w:u w:val="single" w:color="005DA1"/>
          <w:vertAlign w:val="superscript"/>
        </w:rPr>
        <w:t>1479</w:t>
      </w:r>
    </w:p>
    <w:p>
      <w:pPr>
        <w:pStyle w:val="BodyText"/>
        <w:spacing w:before="116"/>
      </w:pPr>
    </w:p>
    <w:p>
      <w:pPr>
        <w:pStyle w:val="BodyText"/>
        <w:spacing w:line="235" w:lineRule="auto"/>
        <w:ind w:left="164" w:right="167"/>
        <w:jc w:val="both"/>
      </w:pPr>
      <w:bookmarkStart w:name="_bookmark2156" w:id="2158"/>
      <w:bookmarkEnd w:id="2158"/>
      <w:r>
        <w:rPr/>
      </w:r>
      <w:r>
        <w:rPr/>
        <w:t>Thus the courts treated the fact that A owes a duty under a contract to B to be an important factor in denying</w:t>
      </w:r>
      <w:r>
        <w:rPr>
          <w:spacing w:val="-3"/>
        </w:rPr>
        <w:t> </w:t>
      </w:r>
      <w:r>
        <w:rPr/>
        <w:t>liability</w:t>
      </w:r>
      <w:r>
        <w:rPr>
          <w:spacing w:val="-3"/>
        </w:rPr>
        <w:t> </w:t>
      </w:r>
      <w:r>
        <w:rPr/>
        <w:t>to</w:t>
      </w:r>
      <w:r>
        <w:rPr>
          <w:spacing w:val="-3"/>
        </w:rPr>
        <w:t> </w:t>
      </w:r>
      <w:r>
        <w:rPr/>
        <w:t>C</w:t>
      </w:r>
      <w:r>
        <w:rPr>
          <w:spacing w:val="-3"/>
        </w:rPr>
        <w:t> </w:t>
      </w:r>
      <w:r>
        <w:rPr/>
        <w:t>for</w:t>
      </w:r>
      <w:r>
        <w:rPr>
          <w:spacing w:val="-3"/>
        </w:rPr>
        <w:t> </w:t>
      </w:r>
      <w:r>
        <w:rPr/>
        <w:t>negligently</w:t>
      </w:r>
      <w:r>
        <w:rPr>
          <w:spacing w:val="-3"/>
        </w:rPr>
        <w:t> </w:t>
      </w:r>
      <w:r>
        <w:rPr/>
        <w:t>caused</w:t>
      </w:r>
      <w:r>
        <w:rPr>
          <w:spacing w:val="-3"/>
        </w:rPr>
        <w:t> </w:t>
      </w:r>
      <w:r>
        <w:rPr/>
        <w:t>pure</w:t>
      </w:r>
      <w:r>
        <w:rPr>
          <w:spacing w:val="-3"/>
        </w:rPr>
        <w:t> </w:t>
      </w:r>
      <w:r>
        <w:rPr/>
        <w:t>economic</w:t>
      </w:r>
      <w:r>
        <w:rPr>
          <w:spacing w:val="-3"/>
        </w:rPr>
        <w:t> </w:t>
      </w:r>
      <w:r>
        <w:rPr/>
        <w:t>loss</w:t>
      </w:r>
      <w:r>
        <w:rPr>
          <w:spacing w:val="-4"/>
        </w:rPr>
        <w:t> </w:t>
      </w:r>
      <w:r>
        <w:rPr>
          <w:color w:val="005DA1"/>
          <w:u w:val="single" w:color="005DA1"/>
          <w:vertAlign w:val="superscript"/>
        </w:rPr>
        <w:t>1480</w:t>
      </w:r>
      <w:r>
        <w:rPr>
          <w:color w:val="005DA1"/>
          <w:spacing w:val="-3"/>
          <w:vertAlign w:val="baseline"/>
        </w:rPr>
        <w:t> </w:t>
      </w:r>
      <w:r>
        <w:rPr>
          <w:vertAlign w:val="baseline"/>
        </w:rPr>
        <w:t>and</w:t>
      </w:r>
      <w:r>
        <w:rPr>
          <w:spacing w:val="-3"/>
          <w:vertAlign w:val="baseline"/>
        </w:rPr>
        <w:t> </w:t>
      </w:r>
      <w:r>
        <w:rPr>
          <w:vertAlign w:val="baseline"/>
        </w:rPr>
        <w:t>considered</w:t>
      </w:r>
      <w:r>
        <w:rPr>
          <w:spacing w:val="-3"/>
          <w:vertAlign w:val="baseline"/>
        </w:rPr>
        <w:t> </w:t>
      </w:r>
      <w:r>
        <w:rPr>
          <w:vertAlign w:val="baseline"/>
        </w:rPr>
        <w:t>that</w:t>
      </w:r>
      <w:r>
        <w:rPr>
          <w:spacing w:val="-3"/>
          <w:vertAlign w:val="baseline"/>
        </w:rPr>
        <w:t> </w:t>
      </w:r>
      <w:r>
        <w:rPr>
          <w:vertAlign w:val="baseline"/>
        </w:rPr>
        <w:t>where</w:t>
      </w:r>
      <w:r>
        <w:rPr>
          <w:spacing w:val="-3"/>
          <w:vertAlign w:val="baseline"/>
        </w:rPr>
        <w:t> </w:t>
      </w:r>
      <w:r>
        <w:rPr>
          <w:vertAlign w:val="baseline"/>
        </w:rPr>
        <w:t>B</w:t>
      </w:r>
      <w:r>
        <w:rPr>
          <w:spacing w:val="-3"/>
          <w:vertAlign w:val="baseline"/>
        </w:rPr>
        <w:t> </w:t>
      </w:r>
      <w:r>
        <w:rPr>
          <w:vertAlign w:val="baseline"/>
        </w:rPr>
        <w:t>owes </w:t>
      </w:r>
      <w:bookmarkStart w:name="_bookmark2157" w:id="2159"/>
      <w:bookmarkEnd w:id="2159"/>
      <w:r>
        <w:rPr>
          <w:vertAlign w:val="baseline"/>
        </w:rPr>
        <w:t>a</w:t>
      </w:r>
      <w:r>
        <w:rPr>
          <w:vertAlign w:val="baseline"/>
        </w:rPr>
        <w:t> contractual duty to C, there is no good reason for adding an additional duty of care in A for C’s benefit. </w:t>
      </w:r>
      <w:r>
        <w:rPr>
          <w:color w:val="005DA1"/>
          <w:u w:val="single" w:color="005DA1"/>
          <w:vertAlign w:val="superscript"/>
        </w:rPr>
        <w:t>1481</w:t>
      </w:r>
    </w:p>
    <w:p>
      <w:pPr>
        <w:pStyle w:val="BodyText"/>
        <w:spacing w:before="79"/>
      </w:pPr>
    </w:p>
    <w:p>
      <w:pPr>
        <w:spacing w:before="1"/>
        <w:ind w:left="165" w:right="0" w:firstLine="0"/>
        <w:jc w:val="left"/>
        <w:rPr>
          <w:rFonts w:ascii="Arial"/>
          <w:b/>
          <w:sz w:val="24"/>
        </w:rPr>
      </w:pPr>
      <w:r>
        <w:rPr>
          <w:rFonts w:ascii="Arial"/>
          <w:b/>
          <w:sz w:val="24"/>
        </w:rPr>
        <w:t>1-</w:t>
      </w:r>
      <w:r>
        <w:rPr>
          <w:rFonts w:ascii="Arial"/>
          <w:b/>
          <w:spacing w:val="-5"/>
          <w:sz w:val="24"/>
        </w:rPr>
        <w:t>209</w:t>
      </w:r>
    </w:p>
    <w:p>
      <w:pPr>
        <w:pStyle w:val="BodyText"/>
        <w:spacing w:line="235" w:lineRule="auto" w:before="202"/>
        <w:ind w:left="165" w:right="167"/>
        <w:jc w:val="both"/>
      </w:pPr>
      <w:r>
        <w:rPr/>
        <w:t>Nevertheless, at least in some situations the existence of a contractual duty in A to B was not </w:t>
      </w:r>
      <w:r>
        <w:rPr/>
        <w:t>allowed </w:t>
      </w:r>
      <w:bookmarkStart w:name="_bookmark2158" w:id="2160"/>
      <w:bookmarkEnd w:id="2160"/>
      <w:r>
        <w:rPr/>
        <w:t>to</w:t>
      </w:r>
      <w:r>
        <w:rPr>
          <w:spacing w:val="-1"/>
        </w:rPr>
        <w:t> </w:t>
      </w:r>
      <w:r>
        <w:rPr/>
        <w:t>rule</w:t>
      </w:r>
      <w:r>
        <w:rPr>
          <w:spacing w:val="-1"/>
        </w:rPr>
        <w:t> </w:t>
      </w:r>
      <w:r>
        <w:rPr/>
        <w:t>out</w:t>
      </w:r>
      <w:r>
        <w:rPr>
          <w:spacing w:val="-1"/>
        </w:rPr>
        <w:t> </w:t>
      </w:r>
      <w:r>
        <w:rPr/>
        <w:t>the</w:t>
      </w:r>
      <w:r>
        <w:rPr>
          <w:spacing w:val="-1"/>
        </w:rPr>
        <w:t> </w:t>
      </w:r>
      <w:r>
        <w:rPr/>
        <w:t>existence</w:t>
      </w:r>
      <w:r>
        <w:rPr>
          <w:spacing w:val="-1"/>
        </w:rPr>
        <w:t> </w:t>
      </w:r>
      <w:r>
        <w:rPr/>
        <w:t>of</w:t>
      </w:r>
      <w:r>
        <w:rPr>
          <w:spacing w:val="-1"/>
        </w:rPr>
        <w:t> </w:t>
      </w:r>
      <w:r>
        <w:rPr/>
        <w:t>a</w:t>
      </w:r>
      <w:r>
        <w:rPr>
          <w:spacing w:val="-1"/>
        </w:rPr>
        <w:t> </w:t>
      </w:r>
      <w:r>
        <w:rPr/>
        <w:t>duty</w:t>
      </w:r>
      <w:r>
        <w:rPr>
          <w:spacing w:val="-1"/>
        </w:rPr>
        <w:t> </w:t>
      </w:r>
      <w:r>
        <w:rPr/>
        <w:t>of</w:t>
      </w:r>
      <w:r>
        <w:rPr>
          <w:spacing w:val="-1"/>
        </w:rPr>
        <w:t> </w:t>
      </w:r>
      <w:r>
        <w:rPr/>
        <w:t>care</w:t>
      </w:r>
      <w:r>
        <w:rPr>
          <w:spacing w:val="-1"/>
        </w:rPr>
        <w:t> </w:t>
      </w:r>
      <w:r>
        <w:rPr/>
        <w:t>in</w:t>
      </w:r>
      <w:r>
        <w:rPr>
          <w:spacing w:val="-1"/>
        </w:rPr>
        <w:t> </w:t>
      </w:r>
      <w:r>
        <w:rPr/>
        <w:t>respect</w:t>
      </w:r>
      <w:r>
        <w:rPr>
          <w:spacing w:val="-1"/>
        </w:rPr>
        <w:t> </w:t>
      </w:r>
      <w:r>
        <w:rPr/>
        <w:t>of</w:t>
      </w:r>
      <w:r>
        <w:rPr>
          <w:spacing w:val="-1"/>
        </w:rPr>
        <w:t> </w:t>
      </w:r>
      <w:r>
        <w:rPr/>
        <w:t>pure</w:t>
      </w:r>
      <w:r>
        <w:rPr>
          <w:spacing w:val="-1"/>
        </w:rPr>
        <w:t> </w:t>
      </w:r>
      <w:r>
        <w:rPr/>
        <w:t>economic</w:t>
      </w:r>
      <w:r>
        <w:rPr>
          <w:spacing w:val="-1"/>
        </w:rPr>
        <w:t> </w:t>
      </w:r>
      <w:r>
        <w:rPr/>
        <w:t>loss</w:t>
      </w:r>
      <w:r>
        <w:rPr>
          <w:spacing w:val="-1"/>
        </w:rPr>
        <w:t> </w:t>
      </w:r>
      <w:r>
        <w:rPr/>
        <w:t>owed</w:t>
      </w:r>
      <w:r>
        <w:rPr>
          <w:spacing w:val="-1"/>
        </w:rPr>
        <w:t> </w:t>
      </w:r>
      <w:r>
        <w:rPr/>
        <w:t>by</w:t>
      </w:r>
      <w:r>
        <w:rPr>
          <w:spacing w:val="-1"/>
        </w:rPr>
        <w:t> </w:t>
      </w:r>
      <w:r>
        <w:rPr/>
        <w:t>A</w:t>
      </w:r>
      <w:r>
        <w:rPr>
          <w:spacing w:val="-1"/>
        </w:rPr>
        <w:t> </w:t>
      </w:r>
      <w:r>
        <w:rPr/>
        <w:t>to</w:t>
      </w:r>
      <w:r>
        <w:rPr>
          <w:spacing w:val="-1"/>
        </w:rPr>
        <w:t> </w:t>
      </w:r>
      <w:r>
        <w:rPr/>
        <w:t>C</w:t>
      </w:r>
      <w:r>
        <w:rPr>
          <w:spacing w:val="-1"/>
        </w:rPr>
        <w:t> </w:t>
      </w:r>
      <w:r>
        <w:rPr/>
        <w:t>concerning the same issue. This was the position in the decision of the House of Lords in </w:t>
      </w:r>
      <w:r>
        <w:rPr>
          <w:rFonts w:ascii="Arial" w:hAnsi="Arial"/>
          <w:i/>
        </w:rPr>
        <w:t>Smith v Eric S. Bush</w:t>
      </w:r>
      <w:r>
        <w:rPr/>
        <w:t>, </w:t>
      </w:r>
      <w:r>
        <w:rPr>
          <w:color w:val="005DA1"/>
          <w:u w:val="single" w:color="005DA1"/>
          <w:vertAlign w:val="superscript"/>
        </w:rPr>
        <w:t>1482</w:t>
      </w:r>
      <w:r>
        <w:rPr>
          <w:color w:val="005DA1"/>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a</w:t>
      </w:r>
      <w:r>
        <w:rPr>
          <w:spacing w:val="-2"/>
          <w:vertAlign w:val="baseline"/>
        </w:rPr>
        <w:t> </w:t>
      </w:r>
      <w:r>
        <w:rPr>
          <w:vertAlign w:val="baseline"/>
        </w:rPr>
        <w:t>valuer</w:t>
      </w:r>
      <w:r>
        <w:rPr>
          <w:spacing w:val="-2"/>
          <w:vertAlign w:val="baseline"/>
        </w:rPr>
        <w:t> </w:t>
      </w:r>
      <w:r>
        <w:rPr>
          <w:vertAlign w:val="baseline"/>
        </w:rPr>
        <w:t>had</w:t>
      </w:r>
      <w:r>
        <w:rPr>
          <w:spacing w:val="-2"/>
          <w:vertAlign w:val="baseline"/>
        </w:rPr>
        <w:t> </w:t>
      </w:r>
      <w:r>
        <w:rPr>
          <w:vertAlign w:val="baseline"/>
        </w:rPr>
        <w:t>been</w:t>
      </w:r>
      <w:r>
        <w:rPr>
          <w:spacing w:val="-2"/>
          <w:vertAlign w:val="baseline"/>
        </w:rPr>
        <w:t> </w:t>
      </w:r>
      <w:r>
        <w:rPr>
          <w:vertAlign w:val="baseline"/>
        </w:rPr>
        <w:t>engaged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mortgagee</w:t>
      </w:r>
      <w:r>
        <w:rPr>
          <w:spacing w:val="-2"/>
          <w:vertAlign w:val="baseline"/>
        </w:rPr>
        <w:t> </w:t>
      </w:r>
      <w:r>
        <w:rPr>
          <w:vertAlign w:val="baseline"/>
        </w:rPr>
        <w:t>to</w:t>
      </w:r>
      <w:r>
        <w:rPr>
          <w:spacing w:val="-2"/>
          <w:vertAlign w:val="baseline"/>
        </w:rPr>
        <w:t> </w:t>
      </w:r>
      <w:r>
        <w:rPr>
          <w:vertAlign w:val="baseline"/>
        </w:rPr>
        <w:t>report</w:t>
      </w:r>
      <w:r>
        <w:rPr>
          <w:spacing w:val="-2"/>
          <w:vertAlign w:val="baseline"/>
        </w:rPr>
        <w:t> </w:t>
      </w:r>
      <w:r>
        <w:rPr>
          <w:vertAlign w:val="baseline"/>
        </w:rPr>
        <w:t>on</w:t>
      </w:r>
      <w:r>
        <w:rPr>
          <w:spacing w:val="-2"/>
          <w:vertAlign w:val="baseline"/>
        </w:rPr>
        <w:t> </w:t>
      </w:r>
      <w:r>
        <w:rPr>
          <w:vertAlign w:val="baseline"/>
        </w:rPr>
        <w:t>a</w:t>
      </w:r>
      <w:r>
        <w:rPr>
          <w:spacing w:val="-2"/>
          <w:vertAlign w:val="baseline"/>
        </w:rPr>
        <w:t> </w:t>
      </w:r>
      <w:r>
        <w:rPr>
          <w:vertAlign w:val="baseline"/>
        </w:rPr>
        <w:t>property</w:t>
      </w:r>
      <w:r>
        <w:rPr>
          <w:spacing w:val="-2"/>
          <w:vertAlign w:val="baseline"/>
        </w:rPr>
        <w:t> </w:t>
      </w:r>
      <w:r>
        <w:rPr>
          <w:vertAlign w:val="baseline"/>
        </w:rPr>
        <w:t>of</w:t>
      </w:r>
      <w:r>
        <w:rPr>
          <w:spacing w:val="-2"/>
          <w:vertAlign w:val="baseline"/>
        </w:rPr>
        <w:t> </w:t>
      </w:r>
      <w:r>
        <w:rPr>
          <w:vertAlign w:val="baseline"/>
        </w:rPr>
        <w:t>modest</w:t>
      </w:r>
      <w:r>
        <w:rPr>
          <w:spacing w:val="-2"/>
          <w:vertAlign w:val="baseline"/>
        </w:rPr>
        <w:t> </w:t>
      </w:r>
      <w:r>
        <w:rPr>
          <w:vertAlign w:val="baseline"/>
        </w:rPr>
        <w:t>value</w:t>
      </w:r>
      <w:r>
        <w:rPr>
          <w:spacing w:val="-2"/>
          <w:vertAlign w:val="baseline"/>
        </w:rPr>
        <w:t> </w:t>
      </w:r>
      <w:r>
        <w:rPr>
          <w:vertAlign w:val="baseline"/>
        </w:rPr>
        <w:t>to</w:t>
      </w:r>
      <w:r>
        <w:rPr>
          <w:spacing w:val="-2"/>
          <w:vertAlign w:val="baseline"/>
        </w:rPr>
        <w:t> </w:t>
      </w:r>
      <w:r>
        <w:rPr>
          <w:vertAlign w:val="baseline"/>
        </w:rPr>
        <w:t>be bought by the plaintiff. The plaintiff bought the property in reliance on the report and suffered economic loss as a result. The House of Lords unanimously held that the valuer owed the plaintiff a duty of care in the circumstances, which included the fact that the valuer knew that the plaintiff would be told of their advice and that he would act in reliance on it. The House of Lords further held that a contractual disclaimer under which the valuer worked did not prevent the duty of care in tort from arising on the basis that it was incompatible with any “voluntary assumption of responsibility”, but was </w:t>
      </w:r>
      <w:bookmarkStart w:name="_bookmark2159" w:id="2161"/>
      <w:bookmarkEnd w:id="2161"/>
      <w:r>
        <w:rPr>
          <w:vertAlign w:val="baseline"/>
        </w:rPr>
        <w:t>to</w:t>
      </w:r>
      <w:r>
        <w:rPr>
          <w:spacing w:val="-1"/>
          <w:vertAlign w:val="baseline"/>
        </w:rPr>
        <w:t> </w:t>
      </w:r>
      <w:r>
        <w:rPr>
          <w:vertAlign w:val="baseline"/>
        </w:rPr>
        <w:t>be</w:t>
      </w:r>
      <w:r>
        <w:rPr>
          <w:spacing w:val="-1"/>
          <w:vertAlign w:val="baseline"/>
        </w:rPr>
        <w:t> </w:t>
      </w:r>
      <w:r>
        <w:rPr>
          <w:vertAlign w:val="baseline"/>
        </w:rPr>
        <w:t>treated</w:t>
      </w:r>
      <w:r>
        <w:rPr>
          <w:spacing w:val="-1"/>
          <w:vertAlign w:val="baseline"/>
        </w:rPr>
        <w:t> </w:t>
      </w:r>
      <w:r>
        <w:rPr>
          <w:vertAlign w:val="baseline"/>
        </w:rPr>
        <w:t>as</w:t>
      </w:r>
      <w:r>
        <w:rPr>
          <w:spacing w:val="-1"/>
          <w:vertAlign w:val="baseline"/>
        </w:rPr>
        <w:t> </w:t>
      </w:r>
      <w:r>
        <w:rPr>
          <w:vertAlign w:val="baseline"/>
        </w:rPr>
        <w:t>an</w:t>
      </w:r>
      <w:r>
        <w:rPr>
          <w:spacing w:val="-1"/>
          <w:vertAlign w:val="baseline"/>
        </w:rPr>
        <w:t> </w:t>
      </w:r>
      <w:r>
        <w:rPr>
          <w:vertAlign w:val="baseline"/>
        </w:rPr>
        <w:t>exemption</w:t>
      </w:r>
      <w:r>
        <w:rPr>
          <w:spacing w:val="-1"/>
          <w:vertAlign w:val="baseline"/>
        </w:rPr>
        <w:t> </w:t>
      </w:r>
      <w:r>
        <w:rPr>
          <w:vertAlign w:val="baseline"/>
        </w:rPr>
        <w:t>clause</w:t>
      </w:r>
      <w:r>
        <w:rPr>
          <w:spacing w:val="-1"/>
          <w:vertAlign w:val="baseline"/>
        </w:rPr>
        <w:t> </w:t>
      </w:r>
      <w:r>
        <w:rPr>
          <w:vertAlign w:val="baseline"/>
        </w:rPr>
        <w:t>and</w:t>
      </w:r>
      <w:r>
        <w:rPr>
          <w:spacing w:val="-1"/>
          <w:vertAlign w:val="baseline"/>
        </w:rPr>
        <w:t> </w:t>
      </w:r>
      <w:r>
        <w:rPr>
          <w:vertAlign w:val="baseline"/>
        </w:rPr>
        <w:t>subjected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reasonableness</w:t>
      </w:r>
      <w:r>
        <w:rPr>
          <w:spacing w:val="-1"/>
          <w:vertAlign w:val="baseline"/>
        </w:rPr>
        <w:t> </w:t>
      </w:r>
      <w:r>
        <w:rPr>
          <w:vertAlign w:val="baseline"/>
        </w:rPr>
        <w:t>test</w:t>
      </w:r>
      <w:r>
        <w:rPr>
          <w:spacing w:val="-1"/>
          <w:vertAlign w:val="baseline"/>
        </w:rPr>
        <w:t> </w:t>
      </w:r>
      <w:r>
        <w:rPr>
          <w:vertAlign w:val="baseline"/>
        </w:rPr>
        <w:t>imposed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Unfair Contract Terms Act 1977. </w:t>
      </w:r>
      <w:r>
        <w:rPr>
          <w:color w:val="005DA1"/>
          <w:u w:val="single" w:color="005DA1"/>
          <w:vertAlign w:val="superscript"/>
        </w:rPr>
        <w:t>1483</w:t>
      </w:r>
      <w:r>
        <w:rPr>
          <w:color w:val="005DA1"/>
          <w:vertAlign w:val="baseline"/>
        </w:rPr>
        <w:t> </w:t>
      </w:r>
      <w:r>
        <w:rPr>
          <w:vertAlign w:val="baseline"/>
        </w:rPr>
        <w:t>Moreover, Lord Griffiths disapproved the notion of “assumption of </w:t>
      </w:r>
      <w:bookmarkStart w:name="_bookmark2160" w:id="2162"/>
      <w:bookmarkEnd w:id="2162"/>
      <w:r>
        <w:rPr>
          <w:vertAlign w:val="baseline"/>
        </w:rPr>
        <w:t>responsibility”</w:t>
      </w:r>
      <w:r>
        <w:rPr>
          <w:vertAlign w:val="baseline"/>
        </w:rPr>
        <w:t> as a test for the imposition of a duty of care in the tort of negligence, considering it “not a helpful or realistic test of liability”. </w:t>
      </w:r>
      <w:r>
        <w:rPr>
          <w:color w:val="005DA1"/>
          <w:u w:val="single" w:color="005DA1"/>
          <w:vertAlign w:val="superscript"/>
        </w:rPr>
        <w:t>1484</w:t>
      </w:r>
    </w:p>
    <w:p>
      <w:pPr>
        <w:pStyle w:val="BodyText"/>
        <w:spacing w:after="0" w:line="235" w:lineRule="auto"/>
        <w:jc w:val="both"/>
        <w:sectPr>
          <w:pgSz w:w="11900" w:h="16840"/>
          <w:pgMar w:header="971" w:footer="0" w:top="1300" w:bottom="280" w:left="1275" w:right="1275"/>
        </w:sectPr>
      </w:pPr>
    </w:p>
    <w:p>
      <w:pPr>
        <w:pStyle w:val="BodyText"/>
        <w:spacing w:before="182"/>
        <w:rPr>
          <w:sz w:val="18"/>
        </w:rPr>
      </w:pPr>
    </w:p>
    <w:p>
      <w:pPr>
        <w:spacing w:before="0"/>
        <w:ind w:left="165" w:right="0" w:firstLine="0"/>
        <w:jc w:val="left"/>
        <w:rPr>
          <w:rFonts w:ascii="Arial"/>
          <w:b/>
          <w:sz w:val="18"/>
        </w:rPr>
      </w:pPr>
      <w:r>
        <w:rPr>
          <w:rFonts w:ascii="Arial"/>
          <w:b/>
          <w:sz w:val="18"/>
        </w:rPr>
        <w:t>Assumption of </w:t>
      </w:r>
      <w:r>
        <w:rPr>
          <w:rFonts w:ascii="Arial"/>
          <w:b/>
          <w:spacing w:val="-2"/>
          <w:sz w:val="18"/>
        </w:rPr>
        <w:t>responsibility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210</w:t>
      </w:r>
    </w:p>
    <w:p>
      <w:pPr>
        <w:pStyle w:val="BodyText"/>
        <w:spacing w:line="235" w:lineRule="auto" w:before="203"/>
        <w:ind w:left="165" w:right="167"/>
        <w:jc w:val="both"/>
      </w:pPr>
      <w:r>
        <w:rPr/>
        <w:t>However, since 1994 the House of Lords has taken a very different approach to the imposition </w:t>
      </w:r>
      <w:r>
        <w:rPr/>
        <w:t>of liability for pure economic loss in the tort of negligence and by so doing has allowed liability to be imposed on one party to a contract beyond privity. The basis on which it has tended to choose to rely for the imposition of liability has been an “assumption of responsibility” in the defendant to the </w:t>
      </w:r>
      <w:bookmarkStart w:name="_bookmark2161" w:id="2163"/>
      <w:bookmarkEnd w:id="2163"/>
      <w:r>
        <w:rPr/>
        <w:t>claimant,</w:t>
      </w:r>
      <w:r>
        <w:rPr/>
        <w:t> this idea being drawn from the Lords’ earlier decision in </w:t>
      </w:r>
      <w:r>
        <w:rPr>
          <w:rFonts w:ascii="Arial" w:hAnsi="Arial"/>
          <w:i/>
        </w:rPr>
        <w:t>Hedley Byrne &amp; Co Ltd v Heller &amp; Partners Ltd </w:t>
      </w:r>
      <w:r>
        <w:rPr>
          <w:color w:val="005DA1"/>
          <w:u w:val="single" w:color="005DA1"/>
          <w:vertAlign w:val="superscript"/>
        </w:rPr>
        <w:t>1485</w:t>
      </w:r>
      <w:r>
        <w:rPr>
          <w:color w:val="005DA1"/>
          <w:vertAlign w:val="baseline"/>
        </w:rPr>
        <w:t> </w:t>
      </w:r>
      <w:r>
        <w:rPr>
          <w:vertAlign w:val="baseline"/>
        </w:rPr>
        <w:t>but its application being extended beyond the context of negligent misstatement. </w:t>
      </w:r>
      <w:r>
        <w:rPr>
          <w:color w:val="005DA1"/>
          <w:u w:val="single" w:color="005DA1"/>
          <w:vertAlign w:val="superscript"/>
        </w:rPr>
        <w:t>1486</w:t>
      </w:r>
      <w:r>
        <w:rPr>
          <w:color w:val="005DA1"/>
          <w:vertAlign w:val="baseline"/>
        </w:rPr>
        <w:t> </w:t>
      </w:r>
      <w:r>
        <w:rPr>
          <w:vertAlign w:val="baseline"/>
        </w:rPr>
        <w:t>This “broad principle of </w:t>
      </w:r>
      <w:r>
        <w:rPr>
          <w:rFonts w:ascii="Arial" w:hAnsi="Arial"/>
          <w:i/>
          <w:vertAlign w:val="baseline"/>
        </w:rPr>
        <w:t>Hedley Byrne</w:t>
      </w:r>
      <w:r>
        <w:rPr>
          <w:vertAlign w:val="baseline"/>
        </w:rPr>
        <w:t>” or of “assumption of responsibility” has already been seen in </w:t>
      </w:r>
      <w:bookmarkStart w:name="_bookmark2162" w:id="2164"/>
      <w:bookmarkEnd w:id="2164"/>
      <w:r>
        <w:rPr>
          <w:vertAlign w:val="baseline"/>
        </w:rPr>
        <w:t>relation</w:t>
      </w:r>
      <w:r>
        <w:rPr>
          <w:vertAlign w:val="baseline"/>
        </w:rPr>
        <w:t> to liability in the tort of negligence between the parties to a contract, but now its impact</w:t>
      </w:r>
      <w:r>
        <w:rPr>
          <w:spacing w:val="40"/>
          <w:vertAlign w:val="baseline"/>
        </w:rPr>
        <w:t> </w:t>
      </w:r>
      <w:r>
        <w:rPr>
          <w:vertAlign w:val="baseline"/>
        </w:rPr>
        <w:t>beyond the parties will be assessed. In this respect, three cases are of particular importance. </w:t>
      </w:r>
      <w:r>
        <w:rPr>
          <w:color w:val="005DA1"/>
          <w:u w:val="single" w:color="005DA1"/>
          <w:vertAlign w:val="superscript"/>
        </w:rPr>
        <w:t>1487</w:t>
      </w:r>
    </w:p>
    <w:p>
      <w:pPr>
        <w:pStyle w:val="BodyText"/>
      </w:pPr>
    </w:p>
    <w:p>
      <w:pPr>
        <w:pStyle w:val="BodyText"/>
        <w:spacing w:before="35"/>
      </w:pPr>
    </w:p>
    <w:p>
      <w:pPr>
        <w:spacing w:before="0"/>
        <w:ind w:left="165" w:right="0" w:firstLine="0"/>
        <w:jc w:val="left"/>
        <w:rPr>
          <w:rFonts w:ascii="Arial"/>
          <w:b/>
          <w:sz w:val="18"/>
        </w:rPr>
      </w:pPr>
      <w:r>
        <w:rPr>
          <w:rFonts w:ascii="Arial"/>
          <w:b/>
          <w:sz w:val="18"/>
        </w:rPr>
        <w:t>Henderson v Merrett Syndicates </w:t>
      </w:r>
      <w:r>
        <w:rPr>
          <w:rFonts w:ascii="Arial"/>
          <w:b/>
          <w:spacing w:val="-5"/>
          <w:sz w:val="18"/>
        </w:rPr>
        <w:t>Ltd</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211</w:t>
      </w:r>
    </w:p>
    <w:p>
      <w:pPr>
        <w:pStyle w:val="BodyText"/>
        <w:spacing w:line="235" w:lineRule="auto" w:before="203"/>
        <w:ind w:left="165" w:right="167"/>
        <w:jc w:val="both"/>
      </w:pPr>
      <w:bookmarkStart w:name="_bookmark2163" w:id="2165"/>
      <w:bookmarkEnd w:id="2165"/>
      <w:r>
        <w:rPr/>
      </w:r>
      <w:r>
        <w:rPr/>
        <w:t>The first and most important is </w:t>
      </w:r>
      <w:r>
        <w:rPr>
          <w:rFonts w:ascii="Arial" w:hAnsi="Arial"/>
          <w:i/>
        </w:rPr>
        <w:t>Henderson v Merrett Syndicates Ltd</w:t>
      </w:r>
      <w:r>
        <w:rPr/>
        <w:t>. </w:t>
      </w:r>
      <w:r>
        <w:rPr>
          <w:color w:val="005DA1"/>
          <w:u w:val="single" w:color="005DA1"/>
          <w:vertAlign w:val="superscript"/>
        </w:rPr>
        <w:t>1488</w:t>
      </w:r>
      <w:r>
        <w:rPr>
          <w:color w:val="005DA1"/>
          <w:vertAlign w:val="baseline"/>
        </w:rPr>
        <w:t> </w:t>
      </w:r>
      <w:r>
        <w:rPr>
          <w:vertAlign w:val="baseline"/>
        </w:rPr>
        <w:t>This case concerned claims in the tort of negligence by various underwriting members of Lloyd’s (“Names”) against the underwriting agents who had acted for them. In the case of the “indirect Names”, with whom we </w:t>
      </w:r>
      <w:r>
        <w:rPr>
          <w:vertAlign w:val="baseline"/>
        </w:rPr>
        <w:t>are now concerned, they had entered agreements with underwriting agents, known as “members’</w:t>
      </w:r>
      <w:r>
        <w:rPr>
          <w:spacing w:val="40"/>
          <w:vertAlign w:val="baseline"/>
        </w:rPr>
        <w:t> </w:t>
      </w:r>
      <w:r>
        <w:rPr>
          <w:vertAlign w:val="baseline"/>
        </w:rPr>
        <w:t>agents”, who advised “Names”, inter alia, on their choice of syndicates and placed them on a syndicate once chosen, but who entrusted the placing of the insurance to others, “managing agents” for the syndicate which they had chosen. The claims of the “indirect Names” therefore bypassed two contracts: the first being the agency contract between themselves and the members’ agents and the second being the sub-agency contract between the members’ agents and the managing agents. Despite this, however, the House of Lords found no difficulty in finding a duty of care owed by the managing agents directly to the “indirect Names”. Lord Goff of Chieveley, who gave the leading speech and with whom Lords Keith of Kinkel, Browne-Wilkinson, Mustill and Nolan concurred, based this decision on a finding of an assumption of responsibility by the managing agents to the “indirect Names”, this being found in the managing agents’ agreement to undertake the commission for the indirect Names, coupled with the formers’ special skill. However, the wider significance of this</w:t>
      </w:r>
      <w:r>
        <w:rPr>
          <w:spacing w:val="40"/>
          <w:vertAlign w:val="baseline"/>
        </w:rPr>
        <w:t> </w:t>
      </w:r>
      <w:r>
        <w:rPr>
          <w:vertAlign w:val="baseline"/>
        </w:rPr>
        <w:t>decision was far from clear. Lord Goff:</w:t>
      </w:r>
    </w:p>
    <w:p>
      <w:pPr>
        <w:pStyle w:val="BodyText"/>
      </w:pPr>
    </w:p>
    <w:p>
      <w:pPr>
        <w:pStyle w:val="BodyText"/>
        <w:spacing w:before="120"/>
      </w:pPr>
    </w:p>
    <w:p>
      <w:pPr>
        <w:pStyle w:val="BodyText"/>
        <w:spacing w:line="235" w:lineRule="auto" w:before="1"/>
        <w:ind w:left="1245" w:right="167"/>
        <w:jc w:val="both"/>
      </w:pPr>
      <w:r>
        <w:rPr/>
        <w:t>“… strongly suspect[ed] that the situation …[was] most unusual; and that in many </w:t>
      </w:r>
      <w:r>
        <w:rPr/>
        <w:t>cases</w:t>
      </w:r>
      <w:r>
        <w:rPr>
          <w:spacing w:val="40"/>
        </w:rPr>
        <w:t> </w:t>
      </w:r>
      <w:r>
        <w:rPr/>
        <w:t>in which a contractual chain comparable to that in the present case is constructed it may </w:t>
      </w:r>
      <w:bookmarkStart w:name="_bookmark2164" w:id="2166"/>
      <w:bookmarkEnd w:id="2166"/>
      <w:r>
        <w:rPr/>
        <w:t>well</w:t>
      </w:r>
      <w:r>
        <w:rPr/>
        <w:t> prove to be inconsistent with an assumption of responsibility which has the effect of, so to speak, short circuiting the contractual structure so put in place by the parties.” </w:t>
      </w:r>
      <w:r>
        <w:rPr>
          <w:color w:val="005DA1"/>
          <w:u w:val="single" w:color="005DA1"/>
          <w:vertAlign w:val="superscript"/>
        </w:rPr>
        <w:t>1489</w:t>
      </w:r>
    </w:p>
    <w:p>
      <w:pPr>
        <w:pStyle w:val="BodyText"/>
        <w:spacing w:before="115"/>
      </w:pPr>
    </w:p>
    <w:p>
      <w:pPr>
        <w:pStyle w:val="BodyText"/>
        <w:spacing w:line="235" w:lineRule="auto"/>
        <w:ind w:left="164" w:right="167"/>
        <w:jc w:val="both"/>
      </w:pPr>
      <w:r>
        <w:rPr/>
        <w:t>With respect, no very clear indication was given as to what was special about the facts of </w:t>
      </w:r>
      <w:r>
        <w:rPr>
          <w:rFonts w:ascii="Arial" w:hAnsi="Arial"/>
          <w:i/>
        </w:rPr>
        <w:t>Henderson </w:t>
      </w:r>
      <w:r>
        <w:rPr/>
        <w:t>for this purpose: the managing agents had agreed to take on their commission and were aware of the position of their ultimate principals, but then so are many other sub-agents. Clearly, the context of the Lloyd’s insurance market may have played some part, but the precise nature of its role does not appear from the speeches. On the other hand, Lord Goff did see the case of a claim by a building owner against his sub-contractor in respect of a failure to conform to the required standard as an </w:t>
      </w:r>
      <w:bookmarkStart w:name="_bookmark2165" w:id="2167"/>
      <w:bookmarkEnd w:id="2167"/>
      <w:r>
        <w:rPr/>
        <w:t>example</w:t>
      </w:r>
      <w:r>
        <w:rPr/>
        <w:t> of where “ordinarily” such an assumption of responsibility would be inconsistent with a </w:t>
      </w:r>
      <w:bookmarkStart w:name="_bookmark2166" w:id="2168"/>
      <w:bookmarkEnd w:id="2168"/>
      <w:r>
        <w:rPr/>
        <w:t>contractual</w:t>
      </w:r>
      <w:r>
        <w:rPr/>
        <w:t> structure. </w:t>
      </w:r>
      <w:r>
        <w:rPr>
          <w:color w:val="005DA1"/>
          <w:u w:val="single" w:color="005DA1"/>
          <w:vertAlign w:val="superscript"/>
        </w:rPr>
        <w:t>1490</w:t>
      </w:r>
      <w:r>
        <w:rPr>
          <w:color w:val="005DA1"/>
          <w:vertAlign w:val="baseline"/>
        </w:rPr>
        <w:t> </w:t>
      </w:r>
      <w:r>
        <w:rPr>
          <w:vertAlign w:val="baseline"/>
        </w:rPr>
        <w:t>Clearly, then, it was not intended that any doubt should be thrown on the decision of the House in </w:t>
      </w:r>
      <w:r>
        <w:rPr>
          <w:rFonts w:ascii="Arial" w:hAnsi="Arial"/>
          <w:i/>
          <w:vertAlign w:val="baseline"/>
        </w:rPr>
        <w:t>Murphy v Brentwood DC</w:t>
      </w:r>
      <w:r>
        <w:rPr>
          <w:vertAlign w:val="baseline"/>
        </w:rPr>
        <w:t>. </w:t>
      </w:r>
      <w:r>
        <w:rPr>
          <w:color w:val="005DA1"/>
          <w:u w:val="single" w:color="005DA1"/>
          <w:vertAlign w:val="superscript"/>
        </w:rPr>
        <w:t>1491</w:t>
      </w:r>
    </w:p>
    <w:p>
      <w:pPr>
        <w:pStyle w:val="BodyText"/>
      </w:pPr>
    </w:p>
    <w:p>
      <w:pPr>
        <w:pStyle w:val="BodyText"/>
        <w:spacing w:before="35"/>
      </w:pPr>
    </w:p>
    <w:p>
      <w:pPr>
        <w:spacing w:before="0"/>
        <w:ind w:left="165" w:right="0" w:firstLine="0"/>
        <w:jc w:val="left"/>
        <w:rPr>
          <w:rFonts w:ascii="Arial"/>
          <w:b/>
          <w:sz w:val="18"/>
        </w:rPr>
      </w:pPr>
      <w:r>
        <w:rPr>
          <w:rFonts w:ascii="Arial"/>
          <w:b/>
          <w:sz w:val="18"/>
        </w:rPr>
        <w:t>White v </w:t>
      </w:r>
      <w:r>
        <w:rPr>
          <w:rFonts w:ascii="Arial"/>
          <w:b/>
          <w:spacing w:val="-2"/>
          <w:sz w:val="18"/>
        </w:rPr>
        <w:t>Jones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212</w:t>
      </w:r>
    </w:p>
    <w:p>
      <w:pPr>
        <w:pStyle w:val="BodyText"/>
        <w:spacing w:before="198"/>
        <w:ind w:left="165"/>
        <w:jc w:val="both"/>
      </w:pPr>
      <w:bookmarkStart w:name="_bookmark2167" w:id="2169"/>
      <w:bookmarkEnd w:id="2169"/>
      <w:r>
        <w:rPr/>
      </w:r>
      <w:r>
        <w:rPr/>
        <w:t>The</w:t>
      </w:r>
      <w:r>
        <w:rPr>
          <w:spacing w:val="14"/>
        </w:rPr>
        <w:t> </w:t>
      </w:r>
      <w:r>
        <w:rPr/>
        <w:t>second</w:t>
      </w:r>
      <w:r>
        <w:rPr>
          <w:spacing w:val="15"/>
        </w:rPr>
        <w:t> </w:t>
      </w:r>
      <w:r>
        <w:rPr/>
        <w:t>important</w:t>
      </w:r>
      <w:r>
        <w:rPr>
          <w:spacing w:val="14"/>
        </w:rPr>
        <w:t> </w:t>
      </w:r>
      <w:r>
        <w:rPr/>
        <w:t>decision</w:t>
      </w:r>
      <w:r>
        <w:rPr>
          <w:spacing w:val="15"/>
        </w:rPr>
        <w:t> </w:t>
      </w:r>
      <w:r>
        <w:rPr/>
        <w:t>is</w:t>
      </w:r>
      <w:r>
        <w:rPr>
          <w:spacing w:val="15"/>
        </w:rPr>
        <w:t> </w:t>
      </w:r>
      <w:r>
        <w:rPr>
          <w:rFonts w:ascii="Arial"/>
          <w:i/>
        </w:rPr>
        <w:t>White</w:t>
      </w:r>
      <w:r>
        <w:rPr>
          <w:rFonts w:ascii="Arial"/>
          <w:i/>
          <w:spacing w:val="14"/>
        </w:rPr>
        <w:t> </w:t>
      </w:r>
      <w:r>
        <w:rPr>
          <w:rFonts w:ascii="Arial"/>
          <w:i/>
        </w:rPr>
        <w:t>v</w:t>
      </w:r>
      <w:r>
        <w:rPr>
          <w:rFonts w:ascii="Arial"/>
          <w:i/>
          <w:spacing w:val="15"/>
        </w:rPr>
        <w:t> </w:t>
      </w:r>
      <w:r>
        <w:rPr>
          <w:rFonts w:ascii="Arial"/>
          <w:i/>
        </w:rPr>
        <w:t>Jones</w:t>
      </w:r>
      <w:r>
        <w:rPr/>
        <w:t>,</w:t>
      </w:r>
      <w:r>
        <w:rPr>
          <w:spacing w:val="15"/>
        </w:rPr>
        <w:t> </w:t>
      </w:r>
      <w:r>
        <w:rPr>
          <w:color w:val="005DA1"/>
          <w:u w:val="single" w:color="005DA1"/>
          <w:vertAlign w:val="superscript"/>
        </w:rPr>
        <w:t>1492</w:t>
      </w:r>
      <w:r>
        <w:rPr>
          <w:color w:val="005DA1"/>
          <w:spacing w:val="14"/>
          <w:vertAlign w:val="baseline"/>
        </w:rPr>
        <w:t> </w:t>
      </w:r>
      <w:r>
        <w:rPr>
          <w:vertAlign w:val="baseline"/>
        </w:rPr>
        <w:t>in</w:t>
      </w:r>
      <w:r>
        <w:rPr>
          <w:spacing w:val="15"/>
          <w:vertAlign w:val="baseline"/>
        </w:rPr>
        <w:t> </w:t>
      </w:r>
      <w:r>
        <w:rPr>
          <w:vertAlign w:val="baseline"/>
        </w:rPr>
        <w:t>which</w:t>
      </w:r>
      <w:r>
        <w:rPr>
          <w:spacing w:val="15"/>
          <w:vertAlign w:val="baseline"/>
        </w:rPr>
        <w:t> </w:t>
      </w:r>
      <w:r>
        <w:rPr>
          <w:vertAlign w:val="baseline"/>
        </w:rPr>
        <w:t>a</w:t>
      </w:r>
      <w:r>
        <w:rPr>
          <w:spacing w:val="14"/>
          <w:vertAlign w:val="baseline"/>
        </w:rPr>
        <w:t> </w:t>
      </w:r>
      <w:r>
        <w:rPr>
          <w:vertAlign w:val="baseline"/>
        </w:rPr>
        <w:t>majority</w:t>
      </w:r>
      <w:r>
        <w:rPr>
          <w:spacing w:val="15"/>
          <w:vertAlign w:val="baseline"/>
        </w:rPr>
        <w:t> </w:t>
      </w:r>
      <w:r>
        <w:rPr>
          <w:vertAlign w:val="baseline"/>
        </w:rPr>
        <w:t>of</w:t>
      </w:r>
      <w:r>
        <w:rPr>
          <w:spacing w:val="15"/>
          <w:vertAlign w:val="baseline"/>
        </w:rPr>
        <w:t> </w:t>
      </w:r>
      <w:r>
        <w:rPr>
          <w:vertAlign w:val="baseline"/>
        </w:rPr>
        <w:t>the</w:t>
      </w:r>
      <w:r>
        <w:rPr>
          <w:spacing w:val="14"/>
          <w:vertAlign w:val="baseline"/>
        </w:rPr>
        <w:t> </w:t>
      </w:r>
      <w:r>
        <w:rPr>
          <w:vertAlign w:val="baseline"/>
        </w:rPr>
        <w:t>House</w:t>
      </w:r>
      <w:r>
        <w:rPr>
          <w:spacing w:val="15"/>
          <w:vertAlign w:val="baseline"/>
        </w:rPr>
        <w:t> </w:t>
      </w:r>
      <w:r>
        <w:rPr>
          <w:vertAlign w:val="baseline"/>
        </w:rPr>
        <w:t>of</w:t>
      </w:r>
      <w:r>
        <w:rPr>
          <w:spacing w:val="15"/>
          <w:vertAlign w:val="baseline"/>
        </w:rPr>
        <w:t> </w:t>
      </w:r>
      <w:r>
        <w:rPr>
          <w:vertAlign w:val="baseline"/>
        </w:rPr>
        <w:t>Lords</w:t>
      </w:r>
      <w:r>
        <w:rPr>
          <w:spacing w:val="14"/>
          <w:vertAlign w:val="baseline"/>
        </w:rPr>
        <w:t> </w:t>
      </w:r>
      <w:r>
        <w:rPr>
          <w:spacing w:val="-4"/>
          <w:vertAlign w:val="baseline"/>
        </w:rPr>
        <w:t>held</w:t>
      </w:r>
    </w:p>
    <w:p>
      <w:pPr>
        <w:pStyle w:val="BodyText"/>
        <w:spacing w:after="0"/>
        <w:jc w:val="both"/>
        <w:sectPr>
          <w:pgSz w:w="11900" w:h="16840"/>
          <w:pgMar w:header="971" w:footer="0" w:top="1300" w:bottom="280" w:left="1275" w:right="1275"/>
        </w:sectPr>
      </w:pPr>
    </w:p>
    <w:p>
      <w:pPr>
        <w:pStyle w:val="BodyText"/>
        <w:spacing w:line="235" w:lineRule="auto" w:before="110"/>
        <w:ind w:left="164" w:right="167"/>
        <w:jc w:val="both"/>
      </w:pPr>
      <w:r>
        <w:rPr/>
        <w:t>that a solicitor who had negligently failed to execute a testament before the decease of the testator owed</w:t>
      </w:r>
      <w:r>
        <w:rPr>
          <w:spacing w:val="-1"/>
        </w:rPr>
        <w:t> </w:t>
      </w:r>
      <w:r>
        <w:rPr/>
        <w:t>a</w:t>
      </w:r>
      <w:r>
        <w:rPr>
          <w:spacing w:val="-1"/>
        </w:rPr>
        <w:t> </w:t>
      </w:r>
      <w:r>
        <w:rPr/>
        <w:t>duty</w:t>
      </w:r>
      <w:r>
        <w:rPr>
          <w:spacing w:val="-1"/>
        </w:rPr>
        <w:t> </w:t>
      </w:r>
      <w:r>
        <w:rPr/>
        <w:t>of</w:t>
      </w:r>
      <w:r>
        <w:rPr>
          <w:spacing w:val="-1"/>
        </w:rPr>
        <w:t> </w:t>
      </w:r>
      <w:r>
        <w:rPr/>
        <w:t>care</w:t>
      </w:r>
      <w:r>
        <w:rPr>
          <w:spacing w:val="-1"/>
        </w:rPr>
        <w:t> </w:t>
      </w:r>
      <w:r>
        <w:rPr/>
        <w:t>in</w:t>
      </w:r>
      <w:r>
        <w:rPr>
          <w:spacing w:val="-1"/>
        </w:rPr>
        <w:t> </w:t>
      </w:r>
      <w:r>
        <w:rPr/>
        <w:t>the</w:t>
      </w:r>
      <w:r>
        <w:rPr>
          <w:spacing w:val="-1"/>
        </w:rPr>
        <w:t> </w:t>
      </w:r>
      <w:r>
        <w:rPr/>
        <w:t>tort</w:t>
      </w:r>
      <w:r>
        <w:rPr>
          <w:spacing w:val="-1"/>
        </w:rPr>
        <w:t> </w:t>
      </w:r>
      <w:r>
        <w:rPr/>
        <w:t>of</w:t>
      </w:r>
      <w:r>
        <w:rPr>
          <w:spacing w:val="-1"/>
        </w:rPr>
        <w:t> </w:t>
      </w:r>
      <w:r>
        <w:rPr/>
        <w:t>negligence</w:t>
      </w:r>
      <w:r>
        <w:rPr>
          <w:spacing w:val="-1"/>
        </w:rPr>
        <w:t> </w:t>
      </w:r>
      <w:r>
        <w:rPr/>
        <w:t>to</w:t>
      </w:r>
      <w:r>
        <w:rPr>
          <w:spacing w:val="-1"/>
        </w:rPr>
        <w:t> </w:t>
      </w:r>
      <w:r>
        <w:rPr/>
        <w:t>the</w:t>
      </w:r>
      <w:r>
        <w:rPr>
          <w:spacing w:val="-1"/>
        </w:rPr>
        <w:t> </w:t>
      </w:r>
      <w:r>
        <w:rPr/>
        <w:t>would-be</w:t>
      </w:r>
      <w:r>
        <w:rPr>
          <w:spacing w:val="-1"/>
        </w:rPr>
        <w:t> </w:t>
      </w:r>
      <w:r>
        <w:rPr/>
        <w:t>legatee</w:t>
      </w:r>
      <w:r>
        <w:rPr>
          <w:spacing w:val="-1"/>
        </w:rPr>
        <w:t> </w:t>
      </w:r>
      <w:r>
        <w:rPr/>
        <w:t>under</w:t>
      </w:r>
      <w:r>
        <w:rPr>
          <w:spacing w:val="-1"/>
        </w:rPr>
        <w:t> </w:t>
      </w:r>
      <w:r>
        <w:rPr/>
        <w:t>that</w:t>
      </w:r>
      <w:r>
        <w:rPr>
          <w:spacing w:val="-1"/>
        </w:rPr>
        <w:t> </w:t>
      </w:r>
      <w:r>
        <w:rPr/>
        <w:t>testament.</w:t>
      </w:r>
      <w:r>
        <w:rPr>
          <w:spacing w:val="-1"/>
        </w:rPr>
        <w:t> </w:t>
      </w:r>
      <w:r>
        <w:rPr/>
        <w:t>The</w:t>
      </w:r>
      <w:r>
        <w:rPr>
          <w:spacing w:val="-1"/>
        </w:rPr>
        <w:t> </w:t>
      </w:r>
      <w:r>
        <w:rPr/>
        <w:t>House of Lords considered whether the legatee should be able to sue in contract, rather than in tort, the contract in question being between the testator and the defendant solicitor. While Lord Goff of </w:t>
      </w:r>
      <w:bookmarkStart w:name="_bookmark2168" w:id="2170"/>
      <w:bookmarkEnd w:id="2170"/>
      <w:r>
        <w:rPr/>
        <w:t>Chieveley</w:t>
      </w:r>
      <w:r>
        <w:rPr/>
        <w:t> considered this attractive, he thought that it “would be open to criticism as an illegitimate circumvention</w:t>
      </w:r>
      <w:r>
        <w:rPr>
          <w:spacing w:val="-4"/>
        </w:rPr>
        <w:t> </w:t>
      </w:r>
      <w:r>
        <w:rPr/>
        <w:t>of</w:t>
      </w:r>
      <w:r>
        <w:rPr>
          <w:spacing w:val="-4"/>
        </w:rPr>
        <w:t> </w:t>
      </w:r>
      <w:r>
        <w:rPr/>
        <w:t>[the]</w:t>
      </w:r>
      <w:r>
        <w:rPr>
          <w:spacing w:val="-4"/>
        </w:rPr>
        <w:t> </w:t>
      </w:r>
      <w:r>
        <w:rPr/>
        <w:t>longestablished</w:t>
      </w:r>
      <w:r>
        <w:rPr>
          <w:spacing w:val="-4"/>
        </w:rPr>
        <w:t> </w:t>
      </w:r>
      <w:r>
        <w:rPr/>
        <w:t>doctrines”</w:t>
      </w:r>
      <w:r>
        <w:rPr>
          <w:spacing w:val="-4"/>
        </w:rPr>
        <w:t> </w:t>
      </w:r>
      <w:r>
        <w:rPr/>
        <w:t>of</w:t>
      </w:r>
      <w:r>
        <w:rPr>
          <w:spacing w:val="-4"/>
        </w:rPr>
        <w:t> </w:t>
      </w:r>
      <w:r>
        <w:rPr/>
        <w:t>privity</w:t>
      </w:r>
      <w:r>
        <w:rPr>
          <w:spacing w:val="-4"/>
        </w:rPr>
        <w:t> </w:t>
      </w:r>
      <w:r>
        <w:rPr/>
        <w:t>and</w:t>
      </w:r>
      <w:r>
        <w:rPr>
          <w:spacing w:val="-4"/>
        </w:rPr>
        <w:t> </w:t>
      </w:r>
      <w:r>
        <w:rPr/>
        <w:t>consideration.</w:t>
      </w:r>
      <w:r>
        <w:rPr>
          <w:spacing w:val="-5"/>
        </w:rPr>
        <w:t> </w:t>
      </w:r>
      <w:r>
        <w:rPr>
          <w:color w:val="005DA1"/>
          <w:u w:val="single" w:color="005DA1"/>
          <w:vertAlign w:val="superscript"/>
        </w:rPr>
        <w:t>1493</w:t>
      </w:r>
      <w:r>
        <w:rPr>
          <w:color w:val="005DA1"/>
          <w:spacing w:val="-4"/>
          <w:vertAlign w:val="baseline"/>
        </w:rPr>
        <w:t> </w:t>
      </w:r>
      <w:r>
        <w:rPr>
          <w:vertAlign w:val="baseline"/>
        </w:rPr>
        <w:t>Instead,</w:t>
      </w:r>
      <w:r>
        <w:rPr>
          <w:spacing w:val="-4"/>
          <w:vertAlign w:val="baseline"/>
        </w:rPr>
        <w:t> </w:t>
      </w:r>
      <w:r>
        <w:rPr>
          <w:vertAlign w:val="baseline"/>
        </w:rPr>
        <w:t>he</w:t>
      </w:r>
      <w:r>
        <w:rPr>
          <w:spacing w:val="-4"/>
          <w:vertAlign w:val="baseline"/>
        </w:rPr>
        <w:t> </w:t>
      </w:r>
      <w:r>
        <w:rPr>
          <w:vertAlign w:val="baseline"/>
        </w:rPr>
        <w:t>preferred to</w:t>
      </w:r>
      <w:r>
        <w:rPr>
          <w:spacing w:val="-1"/>
          <w:vertAlign w:val="baseline"/>
        </w:rPr>
        <w:t> </w:t>
      </w:r>
      <w:r>
        <w:rPr>
          <w:vertAlign w:val="baseline"/>
        </w:rPr>
        <w:t>hold</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liable</w:t>
      </w:r>
      <w:r>
        <w:rPr>
          <w:spacing w:val="-1"/>
          <w:vertAlign w:val="baseline"/>
        </w:rPr>
        <w:t> </w:t>
      </w:r>
      <w:r>
        <w:rPr>
          <w:vertAlign w:val="baseline"/>
        </w:rPr>
        <w:t>in</w:t>
      </w:r>
      <w:r>
        <w:rPr>
          <w:spacing w:val="-1"/>
          <w:vertAlign w:val="baseline"/>
        </w:rPr>
        <w:t> </w:t>
      </w:r>
      <w:r>
        <w:rPr>
          <w:vertAlign w:val="baseline"/>
        </w:rPr>
        <w:t>tort</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basis</w:t>
      </w:r>
      <w:r>
        <w:rPr>
          <w:spacing w:val="-1"/>
          <w:vertAlign w:val="baseline"/>
        </w:rPr>
        <w:t> </w:t>
      </w:r>
      <w:r>
        <w:rPr>
          <w:vertAlign w:val="baseline"/>
        </w:rPr>
        <w:t>that</w:t>
      </w:r>
      <w:r>
        <w:rPr>
          <w:spacing w:val="-1"/>
          <w:vertAlign w:val="baseline"/>
        </w:rPr>
        <w:t> </w:t>
      </w:r>
      <w:r>
        <w:rPr>
          <w:vertAlign w:val="baseline"/>
        </w:rPr>
        <w:t>his</w:t>
      </w:r>
      <w:r>
        <w:rPr>
          <w:spacing w:val="-1"/>
          <w:vertAlign w:val="baseline"/>
        </w:rPr>
        <w:t> </w:t>
      </w:r>
      <w:r>
        <w:rPr>
          <w:vertAlign w:val="baseline"/>
        </w:rPr>
        <w:t>“assumption</w:t>
      </w:r>
      <w:r>
        <w:rPr>
          <w:spacing w:val="-1"/>
          <w:vertAlign w:val="baseline"/>
        </w:rPr>
        <w:t> </w:t>
      </w:r>
      <w:r>
        <w:rPr>
          <w:vertAlign w:val="baseline"/>
        </w:rPr>
        <w:t>of</w:t>
      </w:r>
      <w:r>
        <w:rPr>
          <w:spacing w:val="-1"/>
          <w:vertAlign w:val="baseline"/>
        </w:rPr>
        <w:t> </w:t>
      </w:r>
      <w:r>
        <w:rPr>
          <w:vertAlign w:val="baseline"/>
        </w:rPr>
        <w:t>responsibility</w:t>
      </w:r>
      <w:r>
        <w:rPr>
          <w:spacing w:val="-1"/>
          <w:vertAlign w:val="baseline"/>
        </w:rPr>
        <w:t> </w:t>
      </w:r>
      <w:r>
        <w:rPr>
          <w:vertAlign w:val="baseline"/>
        </w:rPr>
        <w:t>…</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held </w:t>
      </w:r>
      <w:bookmarkStart w:name="_bookmark2169" w:id="2171"/>
      <w:bookmarkEnd w:id="2171"/>
      <w:r>
        <w:rPr>
          <w:vertAlign w:val="baseline"/>
        </w:rPr>
        <w:t>in</w:t>
      </w:r>
      <w:r>
        <w:rPr>
          <w:vertAlign w:val="baseline"/>
        </w:rPr>
        <w:t> law to extend” to the plaintiff, though the contract between the testator and the solicitor remained significant in that its terms set the content of the duty of care in tort. </w:t>
      </w:r>
      <w:r>
        <w:rPr>
          <w:color w:val="005DA1"/>
          <w:u w:val="single" w:color="005DA1"/>
          <w:vertAlign w:val="superscript"/>
        </w:rPr>
        <w:t>1494</w:t>
      </w:r>
      <w:r>
        <w:rPr>
          <w:color w:val="005DA1"/>
          <w:vertAlign w:val="baseline"/>
        </w:rPr>
        <w:t> </w:t>
      </w:r>
      <w:r>
        <w:rPr>
          <w:vertAlign w:val="baseline"/>
        </w:rPr>
        <w:t>Lord Nolan also relied on the </w:t>
      </w:r>
      <w:bookmarkStart w:name="_bookmark2170" w:id="2172"/>
      <w:bookmarkEnd w:id="2172"/>
      <w:r>
        <w:rPr>
          <w:vertAlign w:val="baseline"/>
        </w:rPr>
        <w:t>defendant’s</w:t>
      </w:r>
      <w:r>
        <w:rPr>
          <w:vertAlign w:val="baseline"/>
        </w:rPr>
        <w:t> “assumption of responsibility”, though apparently seeing this as real rather than (as with Lord</w:t>
      </w:r>
      <w:r>
        <w:rPr>
          <w:spacing w:val="-2"/>
          <w:vertAlign w:val="baseline"/>
        </w:rPr>
        <w:t> </w:t>
      </w:r>
      <w:r>
        <w:rPr>
          <w:vertAlign w:val="baseline"/>
        </w:rPr>
        <w:t>Goff)</w:t>
      </w:r>
      <w:r>
        <w:rPr>
          <w:spacing w:val="-2"/>
          <w:vertAlign w:val="baseline"/>
        </w:rPr>
        <w:t> </w:t>
      </w:r>
      <w:r>
        <w:rPr>
          <w:vertAlign w:val="baseline"/>
        </w:rPr>
        <w:t>deemed.</w:t>
      </w:r>
      <w:r>
        <w:rPr>
          <w:spacing w:val="-2"/>
          <w:vertAlign w:val="baseline"/>
        </w:rPr>
        <w:t> </w:t>
      </w:r>
      <w:r>
        <w:rPr>
          <w:color w:val="005DA1"/>
          <w:u w:val="single" w:color="005DA1"/>
          <w:vertAlign w:val="superscript"/>
        </w:rPr>
        <w:t>1495</w:t>
      </w:r>
      <w:r>
        <w:rPr>
          <w:color w:val="005DA1"/>
          <w:spacing w:val="-2"/>
          <w:vertAlign w:val="baseline"/>
        </w:rPr>
        <w:t> </w:t>
      </w:r>
      <w:r>
        <w:rPr>
          <w:vertAlign w:val="baseline"/>
        </w:rPr>
        <w:t>Lord</w:t>
      </w:r>
      <w:r>
        <w:rPr>
          <w:spacing w:val="-2"/>
          <w:vertAlign w:val="baseline"/>
        </w:rPr>
        <w:t> </w:t>
      </w:r>
      <w:r>
        <w:rPr>
          <w:vertAlign w:val="baseline"/>
        </w:rPr>
        <w:t>Browne-Wilkinson</w:t>
      </w:r>
      <w:r>
        <w:rPr>
          <w:spacing w:val="-2"/>
          <w:vertAlign w:val="baseline"/>
        </w:rPr>
        <w:t> </w:t>
      </w:r>
      <w:r>
        <w:rPr>
          <w:vertAlign w:val="baseline"/>
        </w:rPr>
        <w:t>preferred</w:t>
      </w:r>
      <w:r>
        <w:rPr>
          <w:spacing w:val="-2"/>
          <w:vertAlign w:val="baseline"/>
        </w:rPr>
        <w:t> </w:t>
      </w:r>
      <w:r>
        <w:rPr>
          <w:vertAlign w:val="baseline"/>
        </w:rPr>
        <w:t>to</w:t>
      </w:r>
      <w:r>
        <w:rPr>
          <w:spacing w:val="-2"/>
          <w:vertAlign w:val="baseline"/>
        </w:rPr>
        <w:t> </w:t>
      </w:r>
      <w:r>
        <w:rPr>
          <w:vertAlign w:val="baseline"/>
        </w:rPr>
        <w:t>consider</w:t>
      </w:r>
      <w:r>
        <w:rPr>
          <w:spacing w:val="-2"/>
          <w:vertAlign w:val="baseline"/>
        </w:rPr>
        <w:t> </w:t>
      </w:r>
      <w:r>
        <w:rPr>
          <w:vertAlign w:val="baseline"/>
        </w:rPr>
        <w:t>the</w:t>
      </w:r>
      <w:r>
        <w:rPr>
          <w:spacing w:val="-2"/>
          <w:vertAlign w:val="baseline"/>
        </w:rPr>
        <w:t> </w:t>
      </w:r>
      <w:r>
        <w:rPr>
          <w:vertAlign w:val="baseline"/>
        </w:rPr>
        <w:t>facts</w:t>
      </w:r>
      <w:r>
        <w:rPr>
          <w:spacing w:val="-2"/>
          <w:vertAlign w:val="baseline"/>
        </w:rPr>
        <w:t> </w:t>
      </w:r>
      <w:r>
        <w:rPr>
          <w:vertAlign w:val="baseline"/>
        </w:rPr>
        <w:t>before</w:t>
      </w:r>
      <w:r>
        <w:rPr>
          <w:spacing w:val="-2"/>
          <w:vertAlign w:val="baseline"/>
        </w:rPr>
        <w:t> </w:t>
      </w:r>
      <w:r>
        <w:rPr>
          <w:vertAlign w:val="baseline"/>
        </w:rPr>
        <w:t>him</w:t>
      </w:r>
      <w:r>
        <w:rPr>
          <w:spacing w:val="-2"/>
          <w:vertAlign w:val="baseline"/>
        </w:rPr>
        <w:t> </w:t>
      </w:r>
      <w:r>
        <w:rPr>
          <w:vertAlign w:val="baseline"/>
        </w:rPr>
        <w:t>as</w:t>
      </w:r>
      <w:r>
        <w:rPr>
          <w:spacing w:val="-2"/>
          <w:vertAlign w:val="baseline"/>
        </w:rPr>
        <w:t> </w:t>
      </w:r>
      <w:r>
        <w:rPr>
          <w:vertAlign w:val="baseline"/>
        </w:rPr>
        <w:t>justifying </w:t>
      </w:r>
      <w:bookmarkStart w:name="_bookmark2171" w:id="2173"/>
      <w:bookmarkEnd w:id="2173"/>
      <w:r>
        <w:rPr>
          <w:vertAlign w:val="baseline"/>
        </w:rPr>
        <w:t>the</w:t>
      </w:r>
      <w:r>
        <w:rPr>
          <w:vertAlign w:val="baseline"/>
        </w:rPr>
        <w:t> imposition of a duty of care as a matter of “justice and reasonableness” as an “extension of the principle of assumption of responsibility”. </w:t>
      </w:r>
      <w:r>
        <w:rPr>
          <w:color w:val="005DA1"/>
          <w:u w:val="single" w:color="005DA1"/>
          <w:vertAlign w:val="superscript"/>
        </w:rPr>
        <w:t>1496</w:t>
      </w:r>
      <w:r>
        <w:rPr>
          <w:color w:val="005DA1"/>
          <w:vertAlign w:val="baseline"/>
        </w:rPr>
        <w:t> </w:t>
      </w:r>
      <w:r>
        <w:rPr>
          <w:vertAlign w:val="baseline"/>
        </w:rPr>
        <w:t>By contrast, Lords Mustill and Keith of Kinkel dissented, finding no special reason why a special exception should be made in the circumstances, the latter </w:t>
      </w:r>
      <w:bookmarkStart w:name="_bookmark2172" w:id="2174"/>
      <w:bookmarkEnd w:id="2174"/>
      <w:r>
        <w:rPr>
          <w:vertAlign w:val="baseline"/>
        </w:rPr>
        <w:t>expressing</w:t>
      </w:r>
      <w:r>
        <w:rPr>
          <w:vertAlign w:val="baseline"/>
        </w:rPr>
        <w:t> the view that the principle of privity of contract should not be circumvented by extending the law of tort. </w:t>
      </w:r>
      <w:r>
        <w:rPr>
          <w:color w:val="005DA1"/>
          <w:u w:val="single" w:color="005DA1"/>
          <w:vertAlign w:val="superscript"/>
        </w:rPr>
        <w:t>1497</w:t>
      </w:r>
      <w:r>
        <w:rPr>
          <w:color w:val="005DA1"/>
          <w:vertAlign w:val="baseline"/>
        </w:rPr>
        <w:t> </w:t>
      </w:r>
      <w:r>
        <w:rPr>
          <w:vertAlign w:val="baseline"/>
        </w:rPr>
        <w:t>This decision of the majority is clearly a remarkable example of the willingness of our judges to find legal justifications for the imposition of a duty where they find it necessary in the interests of justice and, as both their own and the minority’s speeches make clear, despite</w:t>
      </w:r>
      <w:r>
        <w:rPr>
          <w:spacing w:val="80"/>
          <w:vertAlign w:val="baseline"/>
        </w:rPr>
        <w:t> </w:t>
      </w:r>
      <w:r>
        <w:rPr>
          <w:vertAlign w:val="baseline"/>
        </w:rPr>
        <w:t>established principle, whether tortious or contractual. However, the speeches of their lordships in the </w:t>
      </w:r>
      <w:bookmarkStart w:name="_bookmark2173" w:id="2175"/>
      <w:bookmarkEnd w:id="2175"/>
      <w:r>
        <w:rPr>
          <w:vertAlign w:val="baseline"/>
        </w:rPr>
        <w:t>case</w:t>
      </w:r>
      <w:r>
        <w:rPr>
          <w:vertAlign w:val="baseline"/>
        </w:rPr>
        <w:t> itself and subsequent judicial discussions of it have made clear that the situation in </w:t>
      </w:r>
      <w:r>
        <w:rPr>
          <w:rFonts w:ascii="Arial" w:hAnsi="Arial"/>
          <w:i/>
          <w:vertAlign w:val="baseline"/>
        </w:rPr>
        <w:t>White v </w:t>
      </w:r>
      <w:bookmarkStart w:name="_bookmark2174" w:id="2176"/>
      <w:bookmarkEnd w:id="2176"/>
      <w:r>
        <w:rPr>
          <w:rFonts w:ascii="Arial" w:hAnsi="Arial"/>
          <w:i/>
          <w:vertAlign w:val="baseline"/>
        </w:rPr>
        <w:t>Jones</w:t>
      </w:r>
      <w:r>
        <w:rPr>
          <w:rFonts w:ascii="Arial" w:hAnsi="Arial"/>
          <w:i/>
          <w:vertAlign w:val="baseline"/>
        </w:rPr>
        <w:t> </w:t>
      </w:r>
      <w:r>
        <w:rPr>
          <w:vertAlign w:val="baseline"/>
        </w:rPr>
        <w:t>was exceptional </w:t>
      </w:r>
      <w:r>
        <w:rPr>
          <w:color w:val="005DA1"/>
          <w:u w:val="single" w:color="005DA1"/>
          <w:vertAlign w:val="superscript"/>
        </w:rPr>
        <w:t>1498</w:t>
      </w:r>
      <w:r>
        <w:rPr>
          <w:color w:val="005DA1"/>
          <w:vertAlign w:val="baseline"/>
        </w:rPr>
        <w:t> </w:t>
      </w:r>
      <w:r>
        <w:rPr>
          <w:vertAlign w:val="baseline"/>
        </w:rPr>
        <w:t>and the decision has not been as influential on subsequent judicial developments as has </w:t>
      </w:r>
      <w:r>
        <w:rPr>
          <w:rFonts w:ascii="Arial" w:hAnsi="Arial"/>
          <w:i/>
          <w:vertAlign w:val="baseline"/>
        </w:rPr>
        <w:t>Henderson v Merrett Syndicates Ltd</w:t>
      </w:r>
      <w:r>
        <w:rPr>
          <w:vertAlign w:val="baseline"/>
        </w:rPr>
        <w:t>. </w:t>
      </w:r>
      <w:r>
        <w:rPr>
          <w:color w:val="005DA1"/>
          <w:u w:val="single" w:color="005DA1"/>
          <w:vertAlign w:val="superscript"/>
        </w:rPr>
        <w:t>1499</w:t>
      </w:r>
    </w:p>
    <w:p>
      <w:pPr>
        <w:pStyle w:val="BodyText"/>
      </w:pPr>
    </w:p>
    <w:p>
      <w:pPr>
        <w:pStyle w:val="BodyText"/>
        <w:spacing w:before="30"/>
      </w:pPr>
    </w:p>
    <w:p>
      <w:pPr>
        <w:spacing w:before="1"/>
        <w:ind w:left="165" w:right="0" w:firstLine="0"/>
        <w:jc w:val="both"/>
        <w:rPr>
          <w:rFonts w:ascii="Arial"/>
          <w:b/>
          <w:sz w:val="18"/>
        </w:rPr>
      </w:pPr>
      <w:r>
        <w:rPr>
          <w:rFonts w:ascii="Arial"/>
          <w:b/>
          <w:sz w:val="18"/>
        </w:rPr>
        <w:t>Williams v Natural Life Health Foods Ltd and </w:t>
      </w:r>
      <w:r>
        <w:rPr>
          <w:rFonts w:ascii="Arial"/>
          <w:b/>
          <w:spacing w:val="-2"/>
          <w:sz w:val="18"/>
        </w:rPr>
        <w:t>Mistlin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213</w:t>
      </w:r>
    </w:p>
    <w:p>
      <w:pPr>
        <w:pStyle w:val="BodyText"/>
        <w:spacing w:line="235" w:lineRule="auto" w:before="202"/>
        <w:ind w:left="164" w:right="168"/>
        <w:jc w:val="both"/>
      </w:pPr>
      <w:r>
        <w:rPr/>
        <w:t>The</w:t>
      </w:r>
      <w:r>
        <w:rPr>
          <w:spacing w:val="-2"/>
        </w:rPr>
        <w:t> </w:t>
      </w:r>
      <w:r>
        <w:rPr/>
        <w:t>importance</w:t>
      </w:r>
      <w:r>
        <w:rPr>
          <w:spacing w:val="-2"/>
        </w:rPr>
        <w:t> </w:t>
      </w:r>
      <w:r>
        <w:rPr/>
        <w:t>of</w:t>
      </w:r>
      <w:r>
        <w:rPr>
          <w:spacing w:val="-2"/>
        </w:rPr>
        <w:t> </w:t>
      </w:r>
      <w:r>
        <w:rPr>
          <w:rFonts w:ascii="Arial" w:hAnsi="Arial"/>
          <w:i/>
        </w:rPr>
        <w:t>Henderson</w:t>
      </w:r>
      <w:r>
        <w:rPr>
          <w:rFonts w:ascii="Arial" w:hAnsi="Arial"/>
          <w:i/>
          <w:spacing w:val="-2"/>
        </w:rPr>
        <w:t> </w:t>
      </w:r>
      <w:r>
        <w:rPr>
          <w:rFonts w:ascii="Arial" w:hAnsi="Arial"/>
          <w:i/>
        </w:rPr>
        <w:t>v</w:t>
      </w:r>
      <w:r>
        <w:rPr>
          <w:rFonts w:ascii="Arial" w:hAnsi="Arial"/>
          <w:i/>
          <w:spacing w:val="-2"/>
        </w:rPr>
        <w:t> </w:t>
      </w:r>
      <w:r>
        <w:rPr>
          <w:rFonts w:ascii="Arial" w:hAnsi="Arial"/>
          <w:i/>
        </w:rPr>
        <w:t>Merrett</w:t>
      </w:r>
      <w:r>
        <w:rPr>
          <w:rFonts w:ascii="Arial" w:hAnsi="Arial"/>
          <w:i/>
          <w:spacing w:val="-2"/>
        </w:rPr>
        <w:t> </w:t>
      </w:r>
      <w:r>
        <w:rPr>
          <w:rFonts w:ascii="Arial" w:hAnsi="Arial"/>
          <w:i/>
        </w:rPr>
        <w:t>Syndicates</w:t>
      </w:r>
      <w:r>
        <w:rPr>
          <w:rFonts w:ascii="Arial" w:hAnsi="Arial"/>
          <w:i/>
          <w:spacing w:val="-2"/>
        </w:rPr>
        <w:t> </w:t>
      </w:r>
      <w:r>
        <w:rPr>
          <w:rFonts w:ascii="Arial" w:hAnsi="Arial"/>
          <w:i/>
        </w:rPr>
        <w:t>Ltd</w:t>
      </w:r>
      <w:r>
        <w:rPr/>
        <w:t>,</w:t>
      </w:r>
      <w:r>
        <w:rPr>
          <w:spacing w:val="-2"/>
        </w:rPr>
        <w:t> </w:t>
      </w:r>
      <w:r>
        <w:rPr/>
        <w:t>and</w:t>
      </w:r>
      <w:r>
        <w:rPr>
          <w:spacing w:val="-2"/>
        </w:rPr>
        <w:t> </w:t>
      </w:r>
      <w:r>
        <w:rPr/>
        <w:t>more</w:t>
      </w:r>
      <w:r>
        <w:rPr>
          <w:spacing w:val="-2"/>
        </w:rPr>
        <w:t> </w:t>
      </w:r>
      <w:r>
        <w:rPr/>
        <w:t>particularly,</w:t>
      </w:r>
      <w:r>
        <w:rPr>
          <w:spacing w:val="-2"/>
        </w:rPr>
        <w:t> </w:t>
      </w:r>
      <w:r>
        <w:rPr/>
        <w:t>the</w:t>
      </w:r>
      <w:r>
        <w:rPr>
          <w:spacing w:val="-2"/>
        </w:rPr>
        <w:t> </w:t>
      </w:r>
      <w:r>
        <w:rPr/>
        <w:t>significance</w:t>
      </w:r>
      <w:r>
        <w:rPr>
          <w:spacing w:val="-2"/>
        </w:rPr>
        <w:t> </w:t>
      </w:r>
      <w:r>
        <w:rPr/>
        <w:t>of</w:t>
      </w:r>
      <w:r>
        <w:rPr>
          <w:spacing w:val="-2"/>
        </w:rPr>
        <w:t> </w:t>
      </w:r>
      <w:r>
        <w:rPr/>
        <w:t>Lord </w:t>
      </w:r>
      <w:bookmarkStart w:name="_bookmark2175" w:id="2177"/>
      <w:bookmarkEnd w:id="2177"/>
      <w:r>
        <w:rPr/>
        <w:t>Goff’s</w:t>
      </w:r>
      <w:r>
        <w:rPr/>
        <w:t> exposition there of the principle of “assumption of responsibility” can be seen in the decision </w:t>
      </w:r>
      <w:r>
        <w:rPr/>
        <w:t>of the House of Lords in 1998 in </w:t>
      </w:r>
      <w:r>
        <w:rPr>
          <w:rFonts w:ascii="Arial" w:hAnsi="Arial"/>
          <w:i/>
        </w:rPr>
        <w:t>Williams v Natural Life Health Foods Ltd and Mistlin</w:t>
      </w:r>
      <w:r>
        <w:rPr/>
        <w:t>. </w:t>
      </w:r>
      <w:r>
        <w:rPr>
          <w:color w:val="005DA1"/>
          <w:u w:val="single" w:color="005DA1"/>
          <w:vertAlign w:val="superscript"/>
        </w:rPr>
        <w:t>1500</w:t>
      </w:r>
      <w:r>
        <w:rPr>
          <w:color w:val="005DA1"/>
          <w:vertAlign w:val="baseline"/>
        </w:rPr>
        <w:t> </w:t>
      </w:r>
      <w:r>
        <w:rPr>
          <w:vertAlign w:val="baseline"/>
        </w:rPr>
        <w:t>In that case, the second defendant, M, who had worked in the health food trade for several years, formed a company, the first defendant, to franchise the concept of health food shops. M was the company’s managing director and principal shareholder, having only two employees. The plaintiffs approached the company with the view to acquiring a franchise, dealing with one of the employees, but also relying on a brochure produced by the company which advertised M’s experience in the trade. The plaintiffs entered a franchise agreement with the company, but the turnover of the shop was substantially less than predicted by the company and they traded for only 18 months and at a loss. The question before the House of Lords was whether M owed the plaintiffs a duty of care so as to allow him to be liable personally in damages for the loss caused by their entering the contract of franchise. According to Lord Steyn, who gave judgment on behalf of the House, the governing principles for the case were to be found in the “extended </w:t>
      </w:r>
      <w:r>
        <w:rPr>
          <w:rFonts w:ascii="Arial" w:hAnsi="Arial"/>
          <w:i/>
          <w:vertAlign w:val="baseline"/>
        </w:rPr>
        <w:t>Hedley Byrne </w:t>
      </w:r>
      <w:r>
        <w:rPr>
          <w:vertAlign w:val="baseline"/>
        </w:rPr>
        <w:t>principle” to be found in Lord Goff’s speech in </w:t>
      </w:r>
      <w:r>
        <w:rPr>
          <w:rFonts w:ascii="Arial" w:hAnsi="Arial"/>
          <w:i/>
          <w:vertAlign w:val="baseline"/>
        </w:rPr>
        <w:t>Henderson v Merrett Syndicates Ltd</w:t>
      </w:r>
      <w:r>
        <w:rPr>
          <w:vertAlign w:val="baseline"/>
        </w:rPr>
        <w:t>, which Lord Steyn saw as a:</w:t>
      </w:r>
    </w:p>
    <w:p>
      <w:pPr>
        <w:pStyle w:val="BodyText"/>
      </w:pPr>
    </w:p>
    <w:p>
      <w:pPr>
        <w:pStyle w:val="BodyText"/>
        <w:spacing w:before="121"/>
      </w:pPr>
    </w:p>
    <w:p>
      <w:pPr>
        <w:pStyle w:val="BodyText"/>
        <w:spacing w:line="235" w:lineRule="auto" w:before="1"/>
        <w:ind w:left="1245" w:right="167"/>
        <w:jc w:val="both"/>
      </w:pPr>
      <w:r>
        <w:rPr/>
        <w:t>“… rationalisation or technique adopted by English law to provide a remedy for </w:t>
      </w:r>
      <w:r>
        <w:rPr/>
        <w:t>the </w:t>
      </w:r>
      <w:bookmarkStart w:name="_bookmark2176" w:id="2178"/>
      <w:bookmarkEnd w:id="2178"/>
      <w:r>
        <w:rPr/>
        <w:t>recovery</w:t>
      </w:r>
      <w:r>
        <w:rPr>
          <w:spacing w:val="-1"/>
        </w:rPr>
        <w:t> </w:t>
      </w:r>
      <w:r>
        <w:rPr/>
        <w:t>of</w:t>
      </w:r>
      <w:r>
        <w:rPr>
          <w:spacing w:val="-1"/>
        </w:rPr>
        <w:t> </w:t>
      </w:r>
      <w:r>
        <w:rPr/>
        <w:t>damages</w:t>
      </w:r>
      <w:r>
        <w:rPr>
          <w:spacing w:val="-1"/>
        </w:rPr>
        <w:t> </w:t>
      </w:r>
      <w:r>
        <w:rPr/>
        <w:t>in</w:t>
      </w:r>
      <w:r>
        <w:rPr>
          <w:spacing w:val="-1"/>
        </w:rPr>
        <w:t> </w:t>
      </w:r>
      <w:r>
        <w:rPr/>
        <w:t>respect</w:t>
      </w:r>
      <w:r>
        <w:rPr>
          <w:spacing w:val="-1"/>
        </w:rPr>
        <w:t> </w:t>
      </w:r>
      <w:r>
        <w:rPr/>
        <w:t>of</w:t>
      </w:r>
      <w:r>
        <w:rPr>
          <w:spacing w:val="-1"/>
        </w:rPr>
        <w:t> </w:t>
      </w:r>
      <w:r>
        <w:rPr/>
        <w:t>economic</w:t>
      </w:r>
      <w:r>
        <w:rPr>
          <w:spacing w:val="-1"/>
        </w:rPr>
        <w:t> </w:t>
      </w:r>
      <w:r>
        <w:rPr/>
        <w:t>loss</w:t>
      </w:r>
      <w:r>
        <w:rPr>
          <w:spacing w:val="-1"/>
        </w:rPr>
        <w:t> </w:t>
      </w:r>
      <w:r>
        <w:rPr/>
        <w:t>caused</w:t>
      </w:r>
      <w:r>
        <w:rPr>
          <w:spacing w:val="-1"/>
        </w:rPr>
        <w:t> </w:t>
      </w:r>
      <w:r>
        <w:rPr/>
        <w:t>by</w:t>
      </w:r>
      <w:r>
        <w:rPr>
          <w:spacing w:val="-1"/>
        </w:rPr>
        <w:t> </w:t>
      </w:r>
      <w:r>
        <w:rPr/>
        <w:t>the</w:t>
      </w:r>
      <w:r>
        <w:rPr>
          <w:spacing w:val="-1"/>
        </w:rPr>
        <w:t> </w:t>
      </w:r>
      <w:r>
        <w:rPr/>
        <w:t>negligent</w:t>
      </w:r>
      <w:r>
        <w:rPr>
          <w:spacing w:val="-1"/>
        </w:rPr>
        <w:t> </w:t>
      </w:r>
      <w:r>
        <w:rPr/>
        <w:t>performance</w:t>
      </w:r>
      <w:r>
        <w:rPr>
          <w:spacing w:val="-1"/>
        </w:rPr>
        <w:t> </w:t>
      </w:r>
      <w:r>
        <w:rPr/>
        <w:t>of services.” </w:t>
      </w:r>
      <w:r>
        <w:rPr>
          <w:color w:val="005DA1"/>
          <w:u w:val="single" w:color="005DA1"/>
          <w:vertAlign w:val="superscript"/>
        </w:rPr>
        <w:t>1501</w:t>
      </w:r>
    </w:p>
    <w:p>
      <w:pPr>
        <w:pStyle w:val="BodyText"/>
        <w:spacing w:before="115"/>
      </w:pPr>
    </w:p>
    <w:p>
      <w:pPr>
        <w:pStyle w:val="BodyText"/>
        <w:spacing w:line="235" w:lineRule="auto"/>
        <w:ind w:left="165" w:right="167"/>
        <w:jc w:val="both"/>
      </w:pPr>
      <w:r>
        <w:rPr/>
        <w:t>He noted that the test of “assumption of responsibility” is an objective one and this means that the primary focus of the courts should be on what was said or done by the defendant or on his behalf in dealings with the plaintiff. This meant that the question for the House was:</w:t>
      </w:r>
    </w:p>
    <w:p>
      <w:pPr>
        <w:pStyle w:val="BodyText"/>
      </w:pPr>
    </w:p>
    <w:p>
      <w:pPr>
        <w:pStyle w:val="BodyText"/>
        <w:spacing w:before="126"/>
      </w:pPr>
    </w:p>
    <w:p>
      <w:pPr>
        <w:pStyle w:val="BodyText"/>
        <w:spacing w:line="235" w:lineRule="auto"/>
        <w:ind w:left="1245" w:right="167"/>
        <w:jc w:val="both"/>
      </w:pPr>
      <w:r>
        <w:rPr/>
        <w:t>“… whether the director, or anybody on his behalf, conveyed directly or indirectly to the </w:t>
      </w:r>
      <w:bookmarkStart w:name="_bookmark2177" w:id="2179"/>
      <w:bookmarkEnd w:id="2179"/>
      <w:r>
        <w:rPr/>
        <w:t>prospective</w:t>
      </w:r>
      <w:r>
        <w:rPr/>
        <w:t> franchisees that the director assumed personal responsibility towards </w:t>
      </w:r>
      <w:r>
        <w:rPr/>
        <w:t>the prospective franchisees.” </w:t>
      </w:r>
      <w:r>
        <w:rPr>
          <w:color w:val="005DA1"/>
          <w:u w:val="single" w:color="005DA1"/>
          <w:vertAlign w:val="superscript"/>
        </w:rPr>
        <w:t>1502</w:t>
      </w:r>
    </w:p>
    <w:p>
      <w:pPr>
        <w:pStyle w:val="BodyText"/>
        <w:spacing w:before="112"/>
      </w:pPr>
    </w:p>
    <w:p>
      <w:pPr>
        <w:pStyle w:val="BodyText"/>
        <w:ind w:left="165"/>
        <w:jc w:val="both"/>
      </w:pPr>
      <w:r>
        <w:rPr/>
        <w:t>However,</w:t>
      </w:r>
      <w:r>
        <w:rPr>
          <w:spacing w:val="22"/>
        </w:rPr>
        <w:t> </w:t>
      </w:r>
      <w:r>
        <w:rPr/>
        <w:t>applying</w:t>
      </w:r>
      <w:r>
        <w:rPr>
          <w:spacing w:val="22"/>
        </w:rPr>
        <w:t> </w:t>
      </w:r>
      <w:r>
        <w:rPr/>
        <w:t>this</w:t>
      </w:r>
      <w:r>
        <w:rPr>
          <w:spacing w:val="22"/>
        </w:rPr>
        <w:t> </w:t>
      </w:r>
      <w:r>
        <w:rPr/>
        <w:t>principle</w:t>
      </w:r>
      <w:r>
        <w:rPr>
          <w:spacing w:val="22"/>
        </w:rPr>
        <w:t> </w:t>
      </w:r>
      <w:r>
        <w:rPr/>
        <w:t>to</w:t>
      </w:r>
      <w:r>
        <w:rPr>
          <w:spacing w:val="22"/>
        </w:rPr>
        <w:t> </w:t>
      </w:r>
      <w:r>
        <w:rPr/>
        <w:t>the</w:t>
      </w:r>
      <w:r>
        <w:rPr>
          <w:spacing w:val="22"/>
        </w:rPr>
        <w:t> </w:t>
      </w:r>
      <w:r>
        <w:rPr/>
        <w:t>facts,</w:t>
      </w:r>
      <w:r>
        <w:rPr>
          <w:spacing w:val="22"/>
        </w:rPr>
        <w:t> </w:t>
      </w:r>
      <w:r>
        <w:rPr/>
        <w:t>Lord</w:t>
      </w:r>
      <w:r>
        <w:rPr>
          <w:spacing w:val="22"/>
        </w:rPr>
        <w:t> </w:t>
      </w:r>
      <w:r>
        <w:rPr/>
        <w:t>Steyn</w:t>
      </w:r>
      <w:r>
        <w:rPr>
          <w:spacing w:val="22"/>
        </w:rPr>
        <w:t> </w:t>
      </w:r>
      <w:r>
        <w:rPr/>
        <w:t>held</w:t>
      </w:r>
      <w:r>
        <w:rPr>
          <w:spacing w:val="22"/>
        </w:rPr>
        <w:t> </w:t>
      </w:r>
      <w:r>
        <w:rPr/>
        <w:t>that</w:t>
      </w:r>
      <w:r>
        <w:rPr>
          <w:spacing w:val="22"/>
        </w:rPr>
        <w:t> </w:t>
      </w:r>
      <w:r>
        <w:rPr/>
        <w:t>there</w:t>
      </w:r>
      <w:r>
        <w:rPr>
          <w:spacing w:val="22"/>
        </w:rPr>
        <w:t> </w:t>
      </w:r>
      <w:r>
        <w:rPr/>
        <w:t>was</w:t>
      </w:r>
      <w:r>
        <w:rPr>
          <w:spacing w:val="22"/>
        </w:rPr>
        <w:t> </w:t>
      </w:r>
      <w:r>
        <w:rPr/>
        <w:t>not</w:t>
      </w:r>
      <w:r>
        <w:rPr>
          <w:spacing w:val="22"/>
        </w:rPr>
        <w:t> </w:t>
      </w:r>
      <w:r>
        <w:rPr/>
        <w:t>enough</w:t>
      </w:r>
      <w:r>
        <w:rPr>
          <w:spacing w:val="22"/>
        </w:rPr>
        <w:t> </w:t>
      </w:r>
      <w:r>
        <w:rPr/>
        <w:t>to</w:t>
      </w:r>
      <w:r>
        <w:rPr>
          <w:spacing w:val="22"/>
        </w:rPr>
        <w:t> </w:t>
      </w:r>
      <w:r>
        <w:rPr/>
        <w:t>show</w:t>
      </w:r>
      <w:r>
        <w:rPr>
          <w:spacing w:val="22"/>
        </w:rPr>
        <w:t> </w:t>
      </w:r>
      <w:r>
        <w:rPr>
          <w:spacing w:val="-10"/>
        </w:rPr>
        <w:t>a</w:t>
      </w:r>
    </w:p>
    <w:p>
      <w:pPr>
        <w:pStyle w:val="BodyText"/>
        <w:spacing w:after="0"/>
        <w:jc w:val="both"/>
        <w:sectPr>
          <w:pgSz w:w="11900" w:h="16840"/>
          <w:pgMar w:header="971" w:footer="0" w:top="1300" w:bottom="280" w:left="1275" w:right="1275"/>
        </w:sectPr>
      </w:pPr>
    </w:p>
    <w:p>
      <w:pPr>
        <w:pStyle w:val="BodyText"/>
        <w:spacing w:line="235" w:lineRule="auto" w:before="110"/>
        <w:ind w:left="165" w:right="167"/>
        <w:jc w:val="both"/>
      </w:pPr>
      <w:r>
        <w:rPr/>
        <w:t>personal assumption of responsibility in M to the plaintiffs: while the brochure produced by </w:t>
      </w:r>
      <w:r>
        <w:rPr/>
        <w:t>the </w:t>
      </w:r>
      <w:bookmarkStart w:name="_bookmark2178" w:id="2180"/>
      <w:bookmarkEnd w:id="2180"/>
      <w:r>
        <w:rPr/>
        <w:t>company</w:t>
      </w:r>
      <w:r>
        <w:rPr/>
        <w:t> made clear that its expertise came from M’s experience, in the absence of more and in particular of personal dealings with the plaintiffs, no duty of care arose. </w:t>
      </w:r>
      <w:r>
        <w:rPr>
          <w:color w:val="005DA1"/>
          <w:u w:val="single" w:color="005DA1"/>
          <w:vertAlign w:val="superscript"/>
        </w:rPr>
        <w:t>1503</w:t>
      </w:r>
    </w:p>
    <w:p>
      <w:pPr>
        <w:pStyle w:val="BodyText"/>
        <w:spacing w:before="80"/>
      </w:pPr>
    </w:p>
    <w:p>
      <w:pPr>
        <w:spacing w:before="1"/>
        <w:ind w:left="165" w:right="0" w:firstLine="0"/>
        <w:jc w:val="left"/>
        <w:rPr>
          <w:rFonts w:ascii="Arial"/>
          <w:b/>
          <w:sz w:val="24"/>
        </w:rPr>
      </w:pPr>
      <w:r>
        <w:rPr>
          <w:rFonts w:ascii="Arial"/>
          <w:b/>
          <w:sz w:val="24"/>
        </w:rPr>
        <w:t>1-</w:t>
      </w:r>
      <w:r>
        <w:rPr>
          <w:rFonts w:ascii="Arial"/>
          <w:b/>
          <w:spacing w:val="-5"/>
          <w:sz w:val="24"/>
        </w:rPr>
        <w:t>214</w:t>
      </w:r>
    </w:p>
    <w:p>
      <w:pPr>
        <w:pStyle w:val="BodyText"/>
        <w:spacing w:line="235" w:lineRule="auto" w:before="202"/>
        <w:ind w:left="164" w:right="167"/>
        <w:jc w:val="both"/>
      </w:pPr>
      <w:r>
        <w:rPr/>
        <w:t>Lord Steyn in </w:t>
      </w:r>
      <w:r>
        <w:rPr>
          <w:rFonts w:ascii="Arial" w:hAnsi="Arial"/>
          <w:i/>
        </w:rPr>
        <w:t>Williams v Natural Life Health Foods Ltd and Mistlin </w:t>
      </w:r>
      <w:r>
        <w:rPr/>
        <w:t>accepted the view expressed by Lord Goff in Henderson that once a court finds that a defendant has “accepted responsibility” </w:t>
      </w:r>
      <w:r>
        <w:rPr/>
        <w:t>towards </w:t>
      </w:r>
      <w:bookmarkStart w:name="_bookmark2179" w:id="2181"/>
      <w:bookmarkEnd w:id="2181"/>
      <w:r>
        <w:rPr/>
        <w:t>the</w:t>
      </w:r>
      <w:r>
        <w:rPr/>
        <w:t> claimant in the relevant sense, there is no need to investigate whether it is “just, fair and </w:t>
      </w:r>
      <w:bookmarkStart w:name="_bookmark2180" w:id="2182"/>
      <w:bookmarkEnd w:id="2182"/>
      <w:r>
        <w:rPr/>
        <w:t>reasonable”</w:t>
      </w:r>
      <w:r>
        <w:rPr/>
        <w:t> to impose liability for pure economic loss. </w:t>
      </w:r>
      <w:r>
        <w:rPr>
          <w:color w:val="005DA1"/>
          <w:u w:val="single" w:color="005DA1"/>
          <w:vertAlign w:val="superscript"/>
        </w:rPr>
        <w:t>1504</w:t>
      </w:r>
      <w:r>
        <w:rPr>
          <w:color w:val="005DA1"/>
          <w:vertAlign w:val="baseline"/>
        </w:rPr>
        <w:t> </w:t>
      </w:r>
      <w:r>
        <w:rPr>
          <w:vertAlign w:val="baseline"/>
        </w:rPr>
        <w:t>This aspect of Lord Goff’s views has already</w:t>
      </w:r>
      <w:r>
        <w:rPr>
          <w:spacing w:val="-3"/>
          <w:vertAlign w:val="baseline"/>
        </w:rPr>
        <w:t> </w:t>
      </w:r>
      <w:r>
        <w:rPr>
          <w:vertAlign w:val="baseline"/>
        </w:rPr>
        <w:t>been</w:t>
      </w:r>
      <w:r>
        <w:rPr>
          <w:spacing w:val="-3"/>
          <w:vertAlign w:val="baseline"/>
        </w:rPr>
        <w:t> </w:t>
      </w:r>
      <w:r>
        <w:rPr>
          <w:vertAlign w:val="baseline"/>
        </w:rPr>
        <w:t>discussed,</w:t>
      </w:r>
      <w:r>
        <w:rPr>
          <w:spacing w:val="-4"/>
          <w:vertAlign w:val="baseline"/>
        </w:rPr>
        <w:t> </w:t>
      </w:r>
      <w:r>
        <w:rPr>
          <w:color w:val="005DA1"/>
          <w:u w:val="single" w:color="005DA1"/>
          <w:vertAlign w:val="superscript"/>
        </w:rPr>
        <w:t>1505</w:t>
      </w:r>
      <w:r>
        <w:rPr>
          <w:color w:val="005DA1"/>
          <w:spacing w:val="-3"/>
          <w:vertAlign w:val="baseline"/>
        </w:rPr>
        <w:t> </w:t>
      </w:r>
      <w:r>
        <w:rPr>
          <w:vertAlign w:val="baseline"/>
        </w:rPr>
        <w:t>but</w:t>
      </w:r>
      <w:r>
        <w:rPr>
          <w:spacing w:val="-3"/>
          <w:vertAlign w:val="baseline"/>
        </w:rPr>
        <w:t> </w:t>
      </w:r>
      <w:r>
        <w:rPr>
          <w:vertAlign w:val="baseline"/>
        </w:rPr>
        <w:t>here</w:t>
      </w:r>
      <w:r>
        <w:rPr>
          <w:spacing w:val="-3"/>
          <w:vertAlign w:val="baseline"/>
        </w:rPr>
        <w:t> </w:t>
      </w:r>
      <w:r>
        <w:rPr>
          <w:vertAlign w:val="baseline"/>
        </w:rPr>
        <w:t>a</w:t>
      </w:r>
      <w:r>
        <w:rPr>
          <w:spacing w:val="-3"/>
          <w:vertAlign w:val="baseline"/>
        </w:rPr>
        <w:t> </w:t>
      </w:r>
      <w:r>
        <w:rPr>
          <w:vertAlign w:val="baseline"/>
        </w:rPr>
        <w:t>striking</w:t>
      </w:r>
      <w:r>
        <w:rPr>
          <w:spacing w:val="-3"/>
          <w:vertAlign w:val="baseline"/>
        </w:rPr>
        <w:t> </w:t>
      </w:r>
      <w:r>
        <w:rPr>
          <w:vertAlign w:val="baseline"/>
        </w:rPr>
        <w:t>contrast</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noted</w:t>
      </w:r>
      <w:r>
        <w:rPr>
          <w:spacing w:val="-3"/>
          <w:vertAlign w:val="baseline"/>
        </w:rPr>
        <w:t> </w:t>
      </w:r>
      <w:r>
        <w:rPr>
          <w:vertAlign w:val="baseline"/>
        </w:rPr>
        <w:t>with</w:t>
      </w:r>
      <w:r>
        <w:rPr>
          <w:spacing w:val="-3"/>
          <w:vertAlign w:val="baseline"/>
        </w:rPr>
        <w:t> </w:t>
      </w:r>
      <w:r>
        <w:rPr>
          <w:vertAlign w:val="baseline"/>
        </w:rPr>
        <w:t>Lord</w:t>
      </w:r>
      <w:r>
        <w:rPr>
          <w:spacing w:val="-3"/>
          <w:vertAlign w:val="baseline"/>
        </w:rPr>
        <w:t> </w:t>
      </w:r>
      <w:r>
        <w:rPr>
          <w:vertAlign w:val="baseline"/>
        </w:rPr>
        <w:t>Steyn’s</w:t>
      </w:r>
      <w:r>
        <w:rPr>
          <w:spacing w:val="-3"/>
          <w:vertAlign w:val="baseline"/>
        </w:rPr>
        <w:t> </w:t>
      </w:r>
      <w:r>
        <w:rPr>
          <w:vertAlign w:val="baseline"/>
        </w:rPr>
        <w:t>own</w:t>
      </w:r>
      <w:r>
        <w:rPr>
          <w:spacing w:val="-3"/>
          <w:vertAlign w:val="baseline"/>
        </w:rPr>
        <w:t> </w:t>
      </w:r>
      <w:r>
        <w:rPr>
          <w:vertAlign w:val="baseline"/>
        </w:rPr>
        <w:t>approach </w:t>
      </w:r>
      <w:bookmarkStart w:name="_bookmark2181" w:id="2183"/>
      <w:bookmarkEnd w:id="2183"/>
      <w:r>
        <w:rPr>
          <w:vertAlign w:val="baseline"/>
        </w:rPr>
        <w:t>to</w:t>
      </w:r>
      <w:r>
        <w:rPr>
          <w:vertAlign w:val="baseline"/>
        </w:rPr>
        <w:t> the imposition of a duty of care </w:t>
      </w:r>
      <w:r>
        <w:rPr>
          <w:rFonts w:ascii="Arial" w:hAnsi="Arial"/>
          <w:i/>
          <w:vertAlign w:val="baseline"/>
        </w:rPr>
        <w:t>not </w:t>
      </w:r>
      <w:r>
        <w:rPr>
          <w:vertAlign w:val="baseline"/>
        </w:rPr>
        <w:t>based on an “assumption of responsibility” taken earlier in </w:t>
      </w:r>
      <w:r>
        <w:rPr>
          <w:rFonts w:ascii="Arial" w:hAnsi="Arial"/>
          <w:i/>
          <w:vertAlign w:val="baseline"/>
        </w:rPr>
        <w:t>Marc Rich &amp; Co AG v Bishop Rock Marine Co</w:t>
      </w:r>
      <w:r>
        <w:rPr>
          <w:vertAlign w:val="baseline"/>
        </w:rPr>
        <w:t>. </w:t>
      </w:r>
      <w:r>
        <w:rPr>
          <w:color w:val="005DA1"/>
          <w:u w:val="single" w:color="005DA1"/>
          <w:vertAlign w:val="superscript"/>
        </w:rPr>
        <w:t>1506</w:t>
      </w:r>
      <w:r>
        <w:rPr>
          <w:color w:val="005DA1"/>
          <w:vertAlign w:val="baseline"/>
        </w:rPr>
        <w:t> </w:t>
      </w:r>
      <w:r>
        <w:rPr>
          <w:vertAlign w:val="baseline"/>
        </w:rPr>
        <w:t>In the latter case, the plaintiffs were cargo owners</w:t>
      </w:r>
      <w:r>
        <w:rPr>
          <w:spacing w:val="40"/>
          <w:vertAlign w:val="baseline"/>
        </w:rPr>
        <w:t> </w:t>
      </w:r>
      <w:r>
        <w:rPr>
          <w:vertAlign w:val="baseline"/>
        </w:rPr>
        <w:t>whose</w:t>
      </w:r>
      <w:r>
        <w:rPr>
          <w:spacing w:val="-2"/>
          <w:vertAlign w:val="baseline"/>
        </w:rPr>
        <w:t> </w:t>
      </w:r>
      <w:r>
        <w:rPr>
          <w:vertAlign w:val="baseline"/>
        </w:rPr>
        <w:t>property</w:t>
      </w:r>
      <w:r>
        <w:rPr>
          <w:spacing w:val="-2"/>
          <w:vertAlign w:val="baseline"/>
        </w:rPr>
        <w:t> </w:t>
      </w:r>
      <w:r>
        <w:rPr>
          <w:vertAlign w:val="baseline"/>
        </w:rPr>
        <w:t>was</w:t>
      </w:r>
      <w:r>
        <w:rPr>
          <w:spacing w:val="-2"/>
          <w:vertAlign w:val="baseline"/>
        </w:rPr>
        <w:t> </w:t>
      </w:r>
      <w:r>
        <w:rPr>
          <w:vertAlign w:val="baseline"/>
        </w:rPr>
        <w:t>lost</w:t>
      </w:r>
      <w:r>
        <w:rPr>
          <w:spacing w:val="-2"/>
          <w:vertAlign w:val="baseline"/>
        </w:rPr>
        <w:t> </w:t>
      </w:r>
      <w:r>
        <w:rPr>
          <w:vertAlign w:val="baseline"/>
        </w:rPr>
        <w:t>when</w:t>
      </w:r>
      <w:r>
        <w:rPr>
          <w:spacing w:val="-2"/>
          <w:vertAlign w:val="baseline"/>
        </w:rPr>
        <w:t> </w:t>
      </w:r>
      <w:r>
        <w:rPr>
          <w:vertAlign w:val="baseline"/>
        </w:rPr>
        <w:t>the</w:t>
      </w:r>
      <w:r>
        <w:rPr>
          <w:spacing w:val="-2"/>
          <w:vertAlign w:val="baseline"/>
        </w:rPr>
        <w:t> </w:t>
      </w:r>
      <w:r>
        <w:rPr>
          <w:vertAlign w:val="baseline"/>
        </w:rPr>
        <w:t>vessel</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carried</w:t>
      </w:r>
      <w:r>
        <w:rPr>
          <w:spacing w:val="-2"/>
          <w:vertAlign w:val="baseline"/>
        </w:rPr>
        <w:t> </w:t>
      </w:r>
      <w:r>
        <w:rPr>
          <w:vertAlign w:val="baseline"/>
        </w:rPr>
        <w:t>sank.</w:t>
      </w:r>
      <w:r>
        <w:rPr>
          <w:spacing w:val="-2"/>
          <w:vertAlign w:val="baseline"/>
        </w:rPr>
        <w:t> </w:t>
      </w:r>
      <w:r>
        <w:rPr>
          <w:vertAlign w:val="baseline"/>
        </w:rPr>
        <w:t>They</w:t>
      </w:r>
      <w:r>
        <w:rPr>
          <w:spacing w:val="-2"/>
          <w:vertAlign w:val="baseline"/>
        </w:rPr>
        <w:t> </w:t>
      </w:r>
      <w:r>
        <w:rPr>
          <w:vertAlign w:val="baseline"/>
        </w:rPr>
        <w:t>claimed</w:t>
      </w:r>
      <w:r>
        <w:rPr>
          <w:spacing w:val="-2"/>
          <w:vertAlign w:val="baseline"/>
        </w:rPr>
        <w:t> </w:t>
      </w:r>
      <w:r>
        <w:rPr>
          <w:vertAlign w:val="baseline"/>
        </w:rPr>
        <w:t>damages</w:t>
      </w:r>
      <w:r>
        <w:rPr>
          <w:spacing w:val="-2"/>
          <w:vertAlign w:val="baseline"/>
        </w:rPr>
        <w:t> </w:t>
      </w:r>
      <w:r>
        <w:rPr>
          <w:vertAlign w:val="baseline"/>
        </w:rPr>
        <w:t>against the shipowners on the basis that the sinking had been caused by the latters’ failure to act with due diligence in relation to the seaworthiness of the vessel at the beginning of the voyage, but they also </w:t>
      </w:r>
      <w:bookmarkStart w:name="_bookmark2182" w:id="2184"/>
      <w:bookmarkEnd w:id="2184"/>
      <w:r>
        <w:rPr>
          <w:vertAlign w:val="baseline"/>
        </w:rPr>
        <w:t>claimed</w:t>
      </w:r>
      <w:r>
        <w:rPr>
          <w:vertAlign w:val="baseline"/>
        </w:rPr>
        <w:t> damages from a classification society, one of whose surveyors had inspected the vessel </w:t>
      </w:r>
      <w:bookmarkStart w:name="_bookmark2183" w:id="2185"/>
      <w:bookmarkEnd w:id="2185"/>
      <w:r>
        <w:rPr>
          <w:vertAlign w:val="baseline"/>
        </w:rPr>
        <w:t>during</w:t>
      </w:r>
      <w:r>
        <w:rPr>
          <w:vertAlign w:val="baseline"/>
        </w:rPr>
        <w:t> its voyage and had recommended that its voyage should continue. Lord Steyn, </w:t>
      </w:r>
      <w:r>
        <w:rPr>
          <w:color w:val="005DA1"/>
          <w:u w:val="single" w:color="005DA1"/>
          <w:vertAlign w:val="superscript"/>
        </w:rPr>
        <w:t>1507</w:t>
      </w:r>
      <w:r>
        <w:rPr>
          <w:color w:val="005DA1"/>
          <w:vertAlign w:val="baseline"/>
        </w:rPr>
        <w:t> </w:t>
      </w:r>
      <w:r>
        <w:rPr>
          <w:vertAlign w:val="baseline"/>
        </w:rPr>
        <w:t>considered that since </w:t>
      </w:r>
      <w:r>
        <w:rPr>
          <w:rFonts w:ascii="Arial" w:hAnsi="Arial"/>
          <w:i/>
          <w:vertAlign w:val="baseline"/>
        </w:rPr>
        <w:t>Dorset Yacht Co Ltd v Home Office </w:t>
      </w:r>
      <w:r>
        <w:rPr>
          <w:color w:val="005DA1"/>
          <w:u w:val="single" w:color="005DA1"/>
          <w:vertAlign w:val="superscript"/>
        </w:rPr>
        <w:t>1508</w:t>
      </w:r>
      <w:r>
        <w:rPr>
          <w:color w:val="005DA1"/>
          <w:vertAlign w:val="baseline"/>
        </w:rPr>
        <w:t> </w:t>
      </w:r>
      <w:r>
        <w:rPr>
          <w:vertAlign w:val="baseline"/>
        </w:rPr>
        <w:t>it had been settled law that considerations of fairness, justice and reasonableness as well as the elements of foreseeability and proximity are relevant to the imposition of a duty of care in the tort of negligence, whatever the nature of the harm </w:t>
      </w:r>
      <w:bookmarkStart w:name="_bookmark2184" w:id="2186"/>
      <w:bookmarkEnd w:id="2186"/>
      <w:r>
        <w:rPr>
          <w:vertAlign w:val="baseline"/>
        </w:rPr>
        <w:t>sustained</w:t>
      </w:r>
      <w:r>
        <w:rPr>
          <w:vertAlign w:val="baseline"/>
        </w:rPr>
        <w:t> by the plaintiff and, therefore, including the situation where the plaintiff has sustained damage to property. </w:t>
      </w:r>
      <w:r>
        <w:rPr>
          <w:color w:val="005DA1"/>
          <w:u w:val="single" w:color="005DA1"/>
          <w:vertAlign w:val="superscript"/>
        </w:rPr>
        <w:t>1509</w:t>
      </w:r>
      <w:r>
        <w:rPr>
          <w:color w:val="005DA1"/>
          <w:vertAlign w:val="baseline"/>
        </w:rPr>
        <w:t> </w:t>
      </w:r>
      <w:r>
        <w:rPr>
          <w:vertAlign w:val="baseline"/>
        </w:rPr>
        <w:t>On the facts before the House in </w:t>
      </w:r>
      <w:r>
        <w:rPr>
          <w:rFonts w:ascii="Arial" w:hAnsi="Arial"/>
          <w:i/>
          <w:vertAlign w:val="baseline"/>
        </w:rPr>
        <w:t>Marc Rich</w:t>
      </w:r>
      <w:r>
        <w:rPr>
          <w:vertAlign w:val="baseline"/>
        </w:rPr>
        <w:t>, Lord Steyn considered that the property damage suffered by the cargo owners was only indirect as it was the shipowners rather than the classification society which were primary responsible for the vessel’s sailing in an seaworthy condition nor was there any direct contact between the plaintiffs and the classification society and </w:t>
      </w:r>
      <w:bookmarkStart w:name="_bookmark2185" w:id="2187"/>
      <w:bookmarkEnd w:id="2187"/>
      <w:r>
        <w:rPr>
          <w:vertAlign w:val="baseline"/>
        </w:rPr>
        <w:t>therefore</w:t>
      </w:r>
      <w:r>
        <w:rPr>
          <w:vertAlign w:val="baseline"/>
        </w:rPr>
        <w:t> no element of reliance so as to give rise to an assumption of responsibility in the sense explained</w:t>
      </w:r>
      <w:r>
        <w:rPr>
          <w:spacing w:val="-1"/>
          <w:vertAlign w:val="baseline"/>
        </w:rPr>
        <w:t> </w:t>
      </w:r>
      <w:r>
        <w:rPr>
          <w:vertAlign w:val="baseline"/>
        </w:rPr>
        <w:t>by</w:t>
      </w:r>
      <w:r>
        <w:rPr>
          <w:spacing w:val="-1"/>
          <w:vertAlign w:val="baseline"/>
        </w:rPr>
        <w:t> </w:t>
      </w:r>
      <w:r>
        <w:rPr>
          <w:vertAlign w:val="baseline"/>
        </w:rPr>
        <w:t>Lord</w:t>
      </w:r>
      <w:r>
        <w:rPr>
          <w:spacing w:val="-1"/>
          <w:vertAlign w:val="baseline"/>
        </w:rPr>
        <w:t> </w:t>
      </w:r>
      <w:r>
        <w:rPr>
          <w:vertAlign w:val="baseline"/>
        </w:rPr>
        <w:t>Goff</w:t>
      </w:r>
      <w:r>
        <w:rPr>
          <w:spacing w:val="-1"/>
          <w:vertAlign w:val="baseline"/>
        </w:rPr>
        <w:t> </w:t>
      </w:r>
      <w:r>
        <w:rPr>
          <w:vertAlign w:val="baseline"/>
        </w:rPr>
        <w:t>in</w:t>
      </w:r>
      <w:r>
        <w:rPr>
          <w:spacing w:val="-1"/>
          <w:vertAlign w:val="baseline"/>
        </w:rPr>
        <w:t> </w:t>
      </w:r>
      <w:r>
        <w:rPr>
          <w:rFonts w:ascii="Arial" w:hAnsi="Arial"/>
          <w:i/>
          <w:vertAlign w:val="baseline"/>
        </w:rPr>
        <w:t>Henderson</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Merrett</w:t>
      </w:r>
      <w:r>
        <w:rPr>
          <w:rFonts w:ascii="Arial" w:hAnsi="Arial"/>
          <w:i/>
          <w:spacing w:val="-1"/>
          <w:vertAlign w:val="baseline"/>
        </w:rPr>
        <w:t> </w:t>
      </w:r>
      <w:r>
        <w:rPr>
          <w:rFonts w:ascii="Arial" w:hAnsi="Arial"/>
          <w:i/>
          <w:vertAlign w:val="baseline"/>
        </w:rPr>
        <w:t>Syndicates</w:t>
      </w:r>
      <w:r>
        <w:rPr>
          <w:rFonts w:ascii="Arial" w:hAnsi="Arial"/>
          <w:i/>
          <w:spacing w:val="-1"/>
          <w:vertAlign w:val="baseline"/>
        </w:rPr>
        <w:t> </w:t>
      </w:r>
      <w:r>
        <w:rPr>
          <w:rFonts w:ascii="Arial" w:hAnsi="Arial"/>
          <w:i/>
          <w:vertAlign w:val="baseline"/>
        </w:rPr>
        <w:t>Ltd</w:t>
      </w:r>
      <w:r>
        <w:rPr>
          <w:vertAlign w:val="baseline"/>
        </w:rPr>
        <w:t>.</w:t>
      </w:r>
      <w:r>
        <w:rPr>
          <w:spacing w:val="-1"/>
          <w:vertAlign w:val="baseline"/>
        </w:rPr>
        <w:t> </w:t>
      </w:r>
      <w:r>
        <w:rPr>
          <w:color w:val="005DA1"/>
          <w:u w:val="single" w:color="005DA1"/>
          <w:vertAlign w:val="superscript"/>
        </w:rPr>
        <w:t>1510</w:t>
      </w:r>
      <w:r>
        <w:rPr>
          <w:color w:val="005DA1"/>
          <w:spacing w:val="-1"/>
          <w:vertAlign w:val="baseline"/>
        </w:rPr>
        <w:t> </w:t>
      </w:r>
      <w:r>
        <w:rPr>
          <w:vertAlign w:val="baseline"/>
        </w:rPr>
        <w:t>Even</w:t>
      </w:r>
      <w:r>
        <w:rPr>
          <w:spacing w:val="-1"/>
          <w:vertAlign w:val="baseline"/>
        </w:rPr>
        <w:t> </w:t>
      </w:r>
      <w:r>
        <w:rPr>
          <w:vertAlign w:val="baseline"/>
        </w:rPr>
        <w:t>so,</w:t>
      </w:r>
      <w:r>
        <w:rPr>
          <w:spacing w:val="-1"/>
          <w:vertAlign w:val="baseline"/>
        </w:rPr>
        <w:t> </w:t>
      </w:r>
      <w:r>
        <w:rPr>
          <w:vertAlign w:val="baseline"/>
        </w:rPr>
        <w:t>Lord</w:t>
      </w:r>
      <w:r>
        <w:rPr>
          <w:spacing w:val="-1"/>
          <w:vertAlign w:val="baseline"/>
        </w:rPr>
        <w:t> </w:t>
      </w:r>
      <w:r>
        <w:rPr>
          <w:vertAlign w:val="baseline"/>
        </w:rPr>
        <w:t>Steyn</w:t>
      </w:r>
      <w:r>
        <w:rPr>
          <w:spacing w:val="-1"/>
          <w:vertAlign w:val="baseline"/>
        </w:rPr>
        <w:t> </w:t>
      </w:r>
      <w:r>
        <w:rPr>
          <w:vertAlign w:val="baseline"/>
        </w:rPr>
        <w:t>was</w:t>
      </w:r>
      <w:r>
        <w:rPr>
          <w:spacing w:val="-1"/>
          <w:vertAlign w:val="baseline"/>
        </w:rPr>
        <w:t> </w:t>
      </w:r>
      <w:r>
        <w:rPr>
          <w:vertAlign w:val="baseline"/>
        </w:rPr>
        <w:t>prepared to</w:t>
      </w:r>
      <w:r>
        <w:rPr>
          <w:spacing w:val="-1"/>
          <w:vertAlign w:val="baseline"/>
        </w:rPr>
        <w:t> </w:t>
      </w:r>
      <w:r>
        <w:rPr>
          <w:vertAlign w:val="baseline"/>
        </w:rPr>
        <w:t>assume</w:t>
      </w:r>
      <w:r>
        <w:rPr>
          <w:spacing w:val="-1"/>
          <w:vertAlign w:val="baseline"/>
        </w:rPr>
        <w:t> </w:t>
      </w:r>
      <w:r>
        <w:rPr>
          <w:vertAlign w:val="baseline"/>
        </w:rPr>
        <w:t>that</w:t>
      </w:r>
      <w:r>
        <w:rPr>
          <w:spacing w:val="-1"/>
          <w:vertAlign w:val="baseline"/>
        </w:rPr>
        <w:t> </w:t>
      </w:r>
      <w:r>
        <w:rPr>
          <w:vertAlign w:val="baseline"/>
        </w:rPr>
        <w:t>there</w:t>
      </w:r>
      <w:r>
        <w:rPr>
          <w:spacing w:val="-1"/>
          <w:vertAlign w:val="baseline"/>
        </w:rPr>
        <w:t> </w:t>
      </w:r>
      <w:r>
        <w:rPr>
          <w:vertAlign w:val="baseline"/>
        </w:rPr>
        <w:t>was</w:t>
      </w:r>
      <w:r>
        <w:rPr>
          <w:spacing w:val="-1"/>
          <w:vertAlign w:val="baseline"/>
        </w:rPr>
        <w:t> </w:t>
      </w:r>
      <w:r>
        <w:rPr>
          <w:vertAlign w:val="baseline"/>
        </w:rPr>
        <w:t>sufficient</w:t>
      </w:r>
      <w:r>
        <w:rPr>
          <w:spacing w:val="-1"/>
          <w:vertAlign w:val="baseline"/>
        </w:rPr>
        <w:t> </w:t>
      </w:r>
      <w:r>
        <w:rPr>
          <w:vertAlign w:val="baseline"/>
        </w:rPr>
        <w:t>proximity</w:t>
      </w:r>
      <w:r>
        <w:rPr>
          <w:spacing w:val="-1"/>
          <w:vertAlign w:val="baseline"/>
        </w:rPr>
        <w:t> </w:t>
      </w:r>
      <w:r>
        <w:rPr>
          <w:vertAlign w:val="baseline"/>
        </w:rPr>
        <w:t>between</w:t>
      </w:r>
      <w:r>
        <w:rPr>
          <w:spacing w:val="-1"/>
          <w:vertAlign w:val="baseline"/>
        </w:rPr>
        <w:t> </w:t>
      </w:r>
      <w:r>
        <w:rPr>
          <w:vertAlign w:val="baseline"/>
        </w:rPr>
        <w:t>the</w:t>
      </w:r>
      <w:r>
        <w:rPr>
          <w:spacing w:val="-1"/>
          <w:vertAlign w:val="baseline"/>
        </w:rPr>
        <w:t> </w:t>
      </w:r>
      <w:r>
        <w:rPr>
          <w:vertAlign w:val="baseline"/>
        </w:rPr>
        <w:t>cargo</w:t>
      </w:r>
      <w:r>
        <w:rPr>
          <w:spacing w:val="-1"/>
          <w:vertAlign w:val="baseline"/>
        </w:rPr>
        <w:t> </w:t>
      </w:r>
      <w:r>
        <w:rPr>
          <w:vertAlign w:val="baseline"/>
        </w:rPr>
        <w:t>owners</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classification</w:t>
      </w:r>
      <w:r>
        <w:rPr>
          <w:spacing w:val="-1"/>
          <w:vertAlign w:val="baseline"/>
        </w:rPr>
        <w:t> </w:t>
      </w:r>
      <w:r>
        <w:rPr>
          <w:vertAlign w:val="baseline"/>
        </w:rPr>
        <w:t>society, but considered that it was not “fair, just and reasonable” to impose a duty of care. First, such a duty would outflank the bargain between the shipowners and the cargo-owners. He stated:</w:t>
      </w:r>
    </w:p>
    <w:p>
      <w:pPr>
        <w:pStyle w:val="BodyText"/>
      </w:pPr>
    </w:p>
    <w:p>
      <w:pPr>
        <w:pStyle w:val="BodyText"/>
        <w:spacing w:before="117"/>
      </w:pPr>
    </w:p>
    <w:p>
      <w:pPr>
        <w:pStyle w:val="BodyText"/>
        <w:spacing w:line="235" w:lineRule="auto"/>
        <w:ind w:left="1245" w:right="167"/>
        <w:jc w:val="both"/>
      </w:pPr>
      <w:r>
        <w:rPr/>
        <w:t>“The dealings between shipowners and cargo owners are based on a contractual structure,</w:t>
      </w:r>
      <w:r>
        <w:rPr>
          <w:spacing w:val="-2"/>
        </w:rPr>
        <w:t> </w:t>
      </w:r>
      <w:r>
        <w:rPr/>
        <w:t>the</w:t>
      </w:r>
      <w:r>
        <w:rPr>
          <w:spacing w:val="-2"/>
        </w:rPr>
        <w:t> </w:t>
      </w:r>
      <w:r>
        <w:rPr/>
        <w:t>Hague</w:t>
      </w:r>
      <w:r>
        <w:rPr>
          <w:spacing w:val="-2"/>
        </w:rPr>
        <w:t> </w:t>
      </w:r>
      <w:r>
        <w:rPr/>
        <w:t>Rules,</w:t>
      </w:r>
      <w:r>
        <w:rPr>
          <w:spacing w:val="-2"/>
        </w:rPr>
        <w:t> </w:t>
      </w:r>
      <w:r>
        <w:rPr/>
        <w:t>and</w:t>
      </w:r>
      <w:r>
        <w:rPr>
          <w:spacing w:val="-2"/>
        </w:rPr>
        <w:t> </w:t>
      </w:r>
      <w:r>
        <w:rPr/>
        <w:t>tonnage</w:t>
      </w:r>
      <w:r>
        <w:rPr>
          <w:spacing w:val="-2"/>
        </w:rPr>
        <w:t> </w:t>
      </w:r>
      <w:r>
        <w:rPr/>
        <w:t>limitation</w:t>
      </w:r>
      <w:r>
        <w:rPr>
          <w:spacing w:val="-2"/>
        </w:rPr>
        <w:t> </w:t>
      </w:r>
      <w:r>
        <w:rPr/>
        <w:t>on</w:t>
      </w:r>
      <w:r>
        <w:rPr>
          <w:spacing w:val="-2"/>
        </w:rPr>
        <w:t> </w:t>
      </w:r>
      <w:r>
        <w:rPr/>
        <w:t>which</w:t>
      </w:r>
      <w:r>
        <w:rPr>
          <w:spacing w:val="-2"/>
        </w:rPr>
        <w:t> </w:t>
      </w:r>
      <w:r>
        <w:rPr/>
        <w:t>the</w:t>
      </w:r>
      <w:r>
        <w:rPr>
          <w:spacing w:val="-2"/>
        </w:rPr>
        <w:t> </w:t>
      </w:r>
      <w:r>
        <w:rPr/>
        <w:t>insurance</w:t>
      </w:r>
      <w:r>
        <w:rPr>
          <w:spacing w:val="-2"/>
        </w:rPr>
        <w:t> </w:t>
      </w:r>
      <w:r>
        <w:rPr/>
        <w:t>of</w:t>
      </w:r>
      <w:r>
        <w:rPr>
          <w:spacing w:val="-2"/>
        </w:rPr>
        <w:t> </w:t>
      </w:r>
      <w:r>
        <w:rPr/>
        <w:t>international trade depends … Underlying it is the system of double or overlapping insurance of the cargo. Shipowners take out liability risks insurance in respect of breaches of their </w:t>
      </w:r>
      <w:r>
        <w:rPr/>
        <w:t>duties</w:t>
      </w:r>
      <w:r>
        <w:rPr>
          <w:spacing w:val="40"/>
        </w:rPr>
        <w:t> </w:t>
      </w:r>
      <w:r>
        <w:rPr/>
        <w:t>of care in respect of the cargo. The insurance system is structured on the basis that the potential liability of shipowners to cargo owners is limited under the Hague Rules and by </w:t>
      </w:r>
      <w:bookmarkStart w:name="_bookmark2186" w:id="2188"/>
      <w:bookmarkEnd w:id="2188"/>
      <w:r>
        <w:rPr/>
        <w:t>virtue</w:t>
      </w:r>
      <w:r>
        <w:rPr/>
        <w:t> of tonnage limitation provisions. And insurance premiums payable by owners obviously reflect such limitations on the shipowners’ exposure.” </w:t>
      </w:r>
      <w:r>
        <w:rPr>
          <w:color w:val="005DA1"/>
          <w:u w:val="single" w:color="005DA1"/>
          <w:vertAlign w:val="superscript"/>
        </w:rPr>
        <w:t>1511</w:t>
      </w:r>
    </w:p>
    <w:p>
      <w:pPr>
        <w:pStyle w:val="BodyText"/>
        <w:spacing w:before="114"/>
      </w:pPr>
    </w:p>
    <w:p>
      <w:pPr>
        <w:pStyle w:val="BodyText"/>
        <w:spacing w:line="235" w:lineRule="auto"/>
        <w:ind w:left="165" w:right="167"/>
        <w:jc w:val="both"/>
      </w:pPr>
      <w:r>
        <w:rPr/>
        <w:t>While Lord Steyn found various other policy factors which argued against imposing a duty of </w:t>
      </w:r>
      <w:r>
        <w:rPr/>
        <w:t>care, including the non-profit-making nature of the defendant, the scale of the classification society’s potential liability and the added complication to the settlement of proceedings concerning lost or damaged cargo of such societies’ involvement, clearly the limited nature of the rights of A (the cargo </w:t>
      </w:r>
      <w:bookmarkStart w:name="_bookmark2187" w:id="2189"/>
      <w:bookmarkEnd w:id="2189"/>
      <w:r>
        <w:rPr/>
        <w:t>owners)</w:t>
      </w:r>
      <w:r>
        <w:rPr/>
        <w:t> under a contract with B (the shipowners) was significant in the House of Lords’ decision not</w:t>
      </w:r>
      <w:r>
        <w:rPr>
          <w:spacing w:val="40"/>
        </w:rPr>
        <w:t> </w:t>
      </w:r>
      <w:r>
        <w:rPr/>
        <w:t>to</w:t>
      </w:r>
      <w:r>
        <w:rPr>
          <w:spacing w:val="13"/>
        </w:rPr>
        <w:t> </w:t>
      </w:r>
      <w:r>
        <w:rPr/>
        <w:t>impose</w:t>
      </w:r>
      <w:r>
        <w:rPr>
          <w:spacing w:val="15"/>
        </w:rPr>
        <w:t> </w:t>
      </w:r>
      <w:r>
        <w:rPr/>
        <w:t>a</w:t>
      </w:r>
      <w:r>
        <w:rPr>
          <w:spacing w:val="15"/>
        </w:rPr>
        <w:t> </w:t>
      </w:r>
      <w:r>
        <w:rPr/>
        <w:t>duty</w:t>
      </w:r>
      <w:r>
        <w:rPr>
          <w:spacing w:val="15"/>
        </w:rPr>
        <w:t> </w:t>
      </w:r>
      <w:r>
        <w:rPr/>
        <w:t>of</w:t>
      </w:r>
      <w:r>
        <w:rPr>
          <w:spacing w:val="15"/>
        </w:rPr>
        <w:t> </w:t>
      </w:r>
      <w:r>
        <w:rPr/>
        <w:t>care</w:t>
      </w:r>
      <w:r>
        <w:rPr>
          <w:spacing w:val="15"/>
        </w:rPr>
        <w:t> </w:t>
      </w:r>
      <w:r>
        <w:rPr/>
        <w:t>in</w:t>
      </w:r>
      <w:r>
        <w:rPr>
          <w:spacing w:val="15"/>
        </w:rPr>
        <w:t> </w:t>
      </w:r>
      <w:r>
        <w:rPr/>
        <w:t>the</w:t>
      </w:r>
      <w:r>
        <w:rPr>
          <w:spacing w:val="15"/>
        </w:rPr>
        <w:t> </w:t>
      </w:r>
      <w:r>
        <w:rPr/>
        <w:t>tort</w:t>
      </w:r>
      <w:r>
        <w:rPr>
          <w:spacing w:val="15"/>
        </w:rPr>
        <w:t> </w:t>
      </w:r>
      <w:r>
        <w:rPr/>
        <w:t>of</w:t>
      </w:r>
      <w:r>
        <w:rPr>
          <w:spacing w:val="15"/>
        </w:rPr>
        <w:t> </w:t>
      </w:r>
      <w:r>
        <w:rPr/>
        <w:t>negligence</w:t>
      </w:r>
      <w:r>
        <w:rPr>
          <w:spacing w:val="15"/>
        </w:rPr>
        <w:t> </w:t>
      </w:r>
      <w:r>
        <w:rPr/>
        <w:t>on</w:t>
      </w:r>
      <w:r>
        <w:rPr>
          <w:spacing w:val="15"/>
        </w:rPr>
        <w:t> </w:t>
      </w:r>
      <w:r>
        <w:rPr/>
        <w:t>C</w:t>
      </w:r>
      <w:r>
        <w:rPr>
          <w:spacing w:val="15"/>
        </w:rPr>
        <w:t> </w:t>
      </w:r>
      <w:r>
        <w:rPr/>
        <w:t>to</w:t>
      </w:r>
      <w:r>
        <w:rPr>
          <w:spacing w:val="15"/>
        </w:rPr>
        <w:t> </w:t>
      </w:r>
      <w:r>
        <w:rPr/>
        <w:t>A,</w:t>
      </w:r>
      <w:r>
        <w:rPr>
          <w:spacing w:val="15"/>
        </w:rPr>
        <w:t> </w:t>
      </w:r>
      <w:r>
        <w:rPr/>
        <w:t>even</w:t>
      </w:r>
      <w:r>
        <w:rPr>
          <w:spacing w:val="15"/>
        </w:rPr>
        <w:t> </w:t>
      </w:r>
      <w:r>
        <w:rPr/>
        <w:t>in</w:t>
      </w:r>
      <w:r>
        <w:rPr>
          <w:spacing w:val="15"/>
        </w:rPr>
        <w:t> </w:t>
      </w:r>
      <w:r>
        <w:rPr/>
        <w:t>respect</w:t>
      </w:r>
      <w:r>
        <w:rPr>
          <w:spacing w:val="15"/>
        </w:rPr>
        <w:t> </w:t>
      </w:r>
      <w:r>
        <w:rPr/>
        <w:t>of</w:t>
      </w:r>
      <w:r>
        <w:rPr>
          <w:spacing w:val="15"/>
        </w:rPr>
        <w:t> </w:t>
      </w:r>
      <w:r>
        <w:rPr/>
        <w:t>damage</w:t>
      </w:r>
      <w:r>
        <w:rPr>
          <w:spacing w:val="15"/>
        </w:rPr>
        <w:t> </w:t>
      </w:r>
      <w:r>
        <w:rPr/>
        <w:t>to</w:t>
      </w:r>
      <w:r>
        <w:rPr>
          <w:spacing w:val="15"/>
        </w:rPr>
        <w:t> </w:t>
      </w:r>
      <w:r>
        <w:rPr>
          <w:spacing w:val="-2"/>
        </w:rPr>
        <w:t>property.</w:t>
      </w:r>
    </w:p>
    <w:p>
      <w:pPr>
        <w:spacing w:line="111" w:lineRule="exact" w:before="0"/>
        <w:ind w:left="165" w:right="0" w:firstLine="0"/>
        <w:jc w:val="left"/>
        <w:rPr>
          <w:sz w:val="12"/>
        </w:rPr>
      </w:pPr>
      <w:r>
        <w:rPr>
          <w:color w:val="005DA1"/>
          <w:spacing w:val="-4"/>
          <w:sz w:val="12"/>
          <w:u w:val="single" w:color="005DA1"/>
        </w:rPr>
        <w:t>1512</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Subsequent </w:t>
      </w:r>
      <w:r>
        <w:rPr>
          <w:rFonts w:ascii="Arial"/>
          <w:b/>
          <w:spacing w:val="-2"/>
          <w:sz w:val="18"/>
        </w:rPr>
        <w:t>cases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215</w:t>
      </w:r>
    </w:p>
    <w:p>
      <w:pPr>
        <w:pStyle w:val="BodyText"/>
        <w:spacing w:before="92"/>
        <w:rPr>
          <w:rFonts w:ascii="Arial"/>
          <w:b/>
        </w:rPr>
      </w:pPr>
    </w:p>
    <w:p>
      <w:pPr>
        <w:pStyle w:val="BodyText"/>
        <w:spacing w:line="235" w:lineRule="auto"/>
        <w:ind w:left="165"/>
      </w:pPr>
      <w:r>
        <w:rPr>
          <w:position w:val="-2"/>
        </w:rPr>
        <w:drawing>
          <wp:inline distT="0" distB="0" distL="0" distR="0">
            <wp:extent cx="107988" cy="107988"/>
            <wp:effectExtent l="0" t="0" r="0" b="0"/>
            <wp:docPr id="558" name="Image 558"/>
            <wp:cNvGraphicFramePr>
              <a:graphicFrameLocks/>
            </wp:cNvGraphicFramePr>
            <a:graphic>
              <a:graphicData uri="http://schemas.openxmlformats.org/drawingml/2006/picture">
                <pic:pic>
                  <pic:nvPicPr>
                    <pic:cNvPr id="558" name="Image 55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2188" w:id="2190"/>
      <w:bookmarkEnd w:id="2190"/>
      <w:r>
        <w:rPr>
          <w:rFonts w:ascii="Times New Roman"/>
          <w:spacing w:val="10"/>
        </w:rPr>
      </w:r>
      <w:r>
        <w:rPr/>
        <w:t>There have been many subsequent cases determining whether or not liability based (in part) on an assumption</w:t>
      </w:r>
      <w:r>
        <w:rPr>
          <w:spacing w:val="11"/>
        </w:rPr>
        <w:t> </w:t>
      </w:r>
      <w:r>
        <w:rPr/>
        <w:t>of</w:t>
      </w:r>
      <w:r>
        <w:rPr>
          <w:spacing w:val="11"/>
        </w:rPr>
        <w:t> </w:t>
      </w:r>
      <w:r>
        <w:rPr/>
        <w:t>responsibility</w:t>
      </w:r>
      <w:r>
        <w:rPr>
          <w:spacing w:val="11"/>
        </w:rPr>
        <w:t> </w:t>
      </w:r>
      <w:r>
        <w:rPr/>
        <w:t>may</w:t>
      </w:r>
      <w:r>
        <w:rPr>
          <w:spacing w:val="11"/>
        </w:rPr>
        <w:t> </w:t>
      </w:r>
      <w:r>
        <w:rPr/>
        <w:t>establish</w:t>
      </w:r>
      <w:r>
        <w:rPr>
          <w:spacing w:val="11"/>
        </w:rPr>
        <w:t> </w:t>
      </w:r>
      <w:r>
        <w:rPr/>
        <w:t>liability</w:t>
      </w:r>
      <w:r>
        <w:rPr>
          <w:spacing w:val="11"/>
        </w:rPr>
        <w:t> </w:t>
      </w:r>
      <w:r>
        <w:rPr/>
        <w:t>in</w:t>
      </w:r>
      <w:r>
        <w:rPr>
          <w:spacing w:val="11"/>
        </w:rPr>
        <w:t> </w:t>
      </w:r>
      <w:r>
        <w:rPr/>
        <w:t>the</w:t>
      </w:r>
      <w:r>
        <w:rPr>
          <w:spacing w:val="11"/>
        </w:rPr>
        <w:t> </w:t>
      </w:r>
      <w:r>
        <w:rPr/>
        <w:t>tort</w:t>
      </w:r>
      <w:r>
        <w:rPr>
          <w:spacing w:val="11"/>
        </w:rPr>
        <w:t> </w:t>
      </w:r>
      <w:r>
        <w:rPr/>
        <w:t>of</w:t>
      </w:r>
      <w:r>
        <w:rPr>
          <w:spacing w:val="11"/>
        </w:rPr>
        <w:t> </w:t>
      </w:r>
      <w:r>
        <w:rPr/>
        <w:t>negligence</w:t>
      </w:r>
      <w:r>
        <w:rPr>
          <w:spacing w:val="11"/>
        </w:rPr>
        <w:t> </w:t>
      </w:r>
      <w:r>
        <w:rPr/>
        <w:t>beyond</w:t>
      </w:r>
      <w:r>
        <w:rPr>
          <w:spacing w:val="11"/>
        </w:rPr>
        <w:t> </w:t>
      </w:r>
      <w:r>
        <w:rPr/>
        <w:t>privity</w:t>
      </w:r>
      <w:r>
        <w:rPr>
          <w:spacing w:val="11"/>
        </w:rPr>
        <w:t> </w:t>
      </w:r>
      <w:r>
        <w:rPr/>
        <w:t>of</w:t>
      </w:r>
      <w:r>
        <w:rPr>
          <w:spacing w:val="11"/>
        </w:rPr>
        <w:t> </w:t>
      </w:r>
      <w:r>
        <w:rPr>
          <w:spacing w:val="-2"/>
        </w:rPr>
        <w:t>contract.</w:t>
      </w:r>
    </w:p>
    <w:p>
      <w:pPr>
        <w:tabs>
          <w:tab w:pos="717" w:val="left" w:leader="none"/>
        </w:tabs>
        <w:spacing w:before="116"/>
        <w:ind w:left="165" w:right="0" w:firstLine="0"/>
        <w:jc w:val="left"/>
        <w:rPr>
          <w:sz w:val="20"/>
        </w:rPr>
      </w:pPr>
      <w:bookmarkStart w:name="_bookmark2189" w:id="2191"/>
      <w:bookmarkEnd w:id="2191"/>
      <w:r>
        <w:rPr/>
      </w:r>
      <w:hyperlink w:history="true" w:anchor="_bookmark2300">
        <w:r>
          <w:rPr>
            <w:color w:val="005DA1"/>
            <w:spacing w:val="-4"/>
            <w:sz w:val="20"/>
            <w:u w:val="single" w:color="005DA1"/>
            <w:vertAlign w:val="superscript"/>
          </w:rPr>
          <w:t>1513</w:t>
        </w:r>
        <w:r>
          <w:rPr>
            <w:color w:val="005DA1"/>
            <w:sz w:val="20"/>
            <w:vertAlign w:val="baseline"/>
          </w:rPr>
          <w:tab/>
        </w:r>
        <w:r>
          <w:rPr>
            <w:color w:val="005DA1"/>
            <w:position w:val="-2"/>
            <w:sz w:val="20"/>
            <w:vertAlign w:val="baseline"/>
          </w:rPr>
          <w:drawing>
            <wp:inline distT="0" distB="0" distL="0" distR="0">
              <wp:extent cx="107988" cy="107988"/>
              <wp:effectExtent l="0" t="0" r="0" b="0"/>
              <wp:docPr id="559" name="Image 559"/>
              <wp:cNvGraphicFramePr>
                <a:graphicFrameLocks/>
              </wp:cNvGraphicFramePr>
              <a:graphic>
                <a:graphicData uri="http://schemas.openxmlformats.org/drawingml/2006/picture">
                  <pic:pic>
                    <pic:nvPicPr>
                      <pic:cNvPr id="559" name="Image 55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r>
          <w:rPr>
            <w:rFonts w:ascii="Times New Roman"/>
            <w:color w:val="005DA1"/>
            <w:spacing w:val="46"/>
            <w:sz w:val="20"/>
            <w:vertAlign w:val="baseline"/>
          </w:rPr>
          <w:t> </w:t>
        </w:r>
        <w:r>
          <w:rPr>
            <w:sz w:val="20"/>
            <w:vertAlign w:val="baseline"/>
          </w:rPr>
          <w:t>Of</w:t>
        </w:r>
        <w:r>
          <w:rPr>
            <w:spacing w:val="40"/>
            <w:sz w:val="20"/>
            <w:vertAlign w:val="baseline"/>
          </w:rPr>
          <w:t> </w:t>
        </w:r>
        <w:r>
          <w:rPr>
            <w:sz w:val="20"/>
            <w:vertAlign w:val="baseline"/>
          </w:rPr>
          <w:t>these,</w:t>
        </w:r>
        <w:r>
          <w:rPr>
            <w:spacing w:val="40"/>
            <w:sz w:val="20"/>
            <w:vertAlign w:val="baseline"/>
          </w:rPr>
          <w:t> </w:t>
        </w:r>
        <w:r>
          <w:rPr>
            <w:rFonts w:ascii="Arial"/>
            <w:i/>
            <w:sz w:val="20"/>
            <w:vertAlign w:val="baseline"/>
          </w:rPr>
          <w:t>Briscoe</w:t>
        </w:r>
        <w:r>
          <w:rPr>
            <w:rFonts w:ascii="Arial"/>
            <w:i/>
            <w:spacing w:val="40"/>
            <w:sz w:val="20"/>
            <w:vertAlign w:val="baseline"/>
          </w:rPr>
          <w:t> </w:t>
        </w:r>
        <w:r>
          <w:rPr>
            <w:rFonts w:ascii="Arial"/>
            <w:i/>
            <w:sz w:val="20"/>
            <w:vertAlign w:val="baseline"/>
          </w:rPr>
          <w:t>v</w:t>
        </w:r>
        <w:r>
          <w:rPr>
            <w:rFonts w:ascii="Arial"/>
            <w:i/>
            <w:spacing w:val="40"/>
            <w:sz w:val="20"/>
            <w:vertAlign w:val="baseline"/>
          </w:rPr>
          <w:t> </w:t>
        </w:r>
        <w:r>
          <w:rPr>
            <w:rFonts w:ascii="Arial"/>
            <w:i/>
            <w:sz w:val="20"/>
            <w:vertAlign w:val="baseline"/>
          </w:rPr>
          <w:t>Lubrizol</w:t>
        </w:r>
        <w:r>
          <w:rPr>
            <w:rFonts w:ascii="Arial"/>
            <w:i/>
            <w:spacing w:val="39"/>
            <w:sz w:val="20"/>
            <w:vertAlign w:val="baseline"/>
          </w:rPr>
          <w:t> </w:t>
        </w:r>
        <w:r>
          <w:rPr>
            <w:color w:val="005DA1"/>
            <w:sz w:val="20"/>
            <w:u w:val="single" w:color="005DA1"/>
            <w:vertAlign w:val="superscript"/>
          </w:rPr>
          <w:t>1514</w:t>
        </w:r>
        <w:r>
          <w:rPr>
            <w:color w:val="005DA1"/>
            <w:spacing w:val="40"/>
            <w:sz w:val="20"/>
            <w:vertAlign w:val="baseline"/>
          </w:rPr>
          <w:t> </w:t>
        </w:r>
        <w:r>
          <w:rPr>
            <w:sz w:val="20"/>
            <w:vertAlign w:val="baseline"/>
          </w:rPr>
          <w:t>is</w:t>
        </w:r>
        <w:r>
          <w:rPr>
            <w:spacing w:val="40"/>
            <w:sz w:val="20"/>
            <w:vertAlign w:val="baseline"/>
          </w:rPr>
          <w:t> </w:t>
        </w:r>
        <w:r>
          <w:rPr>
            <w:sz w:val="20"/>
            <w:vertAlign w:val="baseline"/>
          </w:rPr>
          <w:t>a</w:t>
        </w:r>
        <w:r>
          <w:rPr>
            <w:spacing w:val="40"/>
            <w:sz w:val="20"/>
            <w:vertAlign w:val="baseline"/>
          </w:rPr>
          <w:t> </w:t>
        </w:r>
        <w:r>
          <w:rPr>
            <w:sz w:val="20"/>
            <w:vertAlign w:val="baseline"/>
          </w:rPr>
          <w:t>good</w:t>
        </w:r>
        <w:r>
          <w:rPr>
            <w:spacing w:val="40"/>
            <w:sz w:val="20"/>
            <w:vertAlign w:val="baseline"/>
          </w:rPr>
          <w:t> </w:t>
        </w:r>
        <w:r>
          <w:rPr>
            <w:sz w:val="20"/>
            <w:vertAlign w:val="baseline"/>
          </w:rPr>
          <w:t>example</w:t>
        </w:r>
        <w:r>
          <w:rPr>
            <w:spacing w:val="40"/>
            <w:sz w:val="20"/>
            <w:vertAlign w:val="baseline"/>
          </w:rPr>
          <w:t> </w:t>
        </w:r>
        <w:r>
          <w:rPr>
            <w:sz w:val="20"/>
            <w:vertAlign w:val="baseline"/>
          </w:rPr>
          <w:t>of</w:t>
        </w:r>
        <w:r>
          <w:rPr>
            <w:spacing w:val="40"/>
            <w:sz w:val="20"/>
            <w:vertAlign w:val="baseline"/>
          </w:rPr>
          <w:t> </w:t>
        </w:r>
        <w:r>
          <w:rPr>
            <w:sz w:val="20"/>
            <w:vertAlign w:val="baseline"/>
          </w:rPr>
          <w:t>the</w:t>
        </w:r>
        <w:r>
          <w:rPr>
            <w:spacing w:val="40"/>
            <w:sz w:val="20"/>
            <w:vertAlign w:val="baseline"/>
          </w:rPr>
          <w:t> </w:t>
        </w:r>
        <w:r>
          <w:rPr>
            <w:sz w:val="20"/>
            <w:vertAlign w:val="baseline"/>
          </w:rPr>
          <w:t>way</w:t>
        </w:r>
        <w:r>
          <w:rPr>
            <w:spacing w:val="40"/>
            <w:sz w:val="20"/>
            <w:vertAlign w:val="baseline"/>
          </w:rPr>
          <w:t> </w:t>
        </w:r>
        <w:r>
          <w:rPr>
            <w:sz w:val="20"/>
            <w:vertAlign w:val="baseline"/>
          </w:rPr>
          <w:t>in</w:t>
        </w:r>
        <w:r>
          <w:rPr>
            <w:spacing w:val="40"/>
            <w:sz w:val="20"/>
            <w:vertAlign w:val="baseline"/>
          </w:rPr>
          <w:t> </w:t>
        </w:r>
        <w:r>
          <w:rPr>
            <w:sz w:val="20"/>
            <w:vertAlign w:val="baseline"/>
          </w:rPr>
          <w:t>which</w:t>
        </w:r>
        <w:r>
          <w:rPr>
            <w:spacing w:val="40"/>
            <w:sz w:val="20"/>
            <w:vertAlign w:val="baseline"/>
          </w:rPr>
          <w:t> </w:t>
        </w:r>
        <w:r>
          <w:rPr>
            <w:sz w:val="20"/>
            <w:vertAlign w:val="baseline"/>
          </w:rPr>
          <w:t>the</w:t>
        </w:r>
        <w:r>
          <w:rPr>
            <w:spacing w:val="40"/>
            <w:sz w:val="20"/>
            <w:vertAlign w:val="baseline"/>
          </w:rPr>
          <w:t> </w:t>
        </w:r>
        <w:r>
          <w:rPr>
            <w:sz w:val="20"/>
            <w:vertAlign w:val="baseline"/>
          </w:rPr>
          <w:t>contractual</w:t>
        </w:r>
      </w:hyperlink>
    </w:p>
    <w:p>
      <w:pPr>
        <w:sectPr>
          <w:pgSz w:w="11900" w:h="16840"/>
          <w:pgMar w:header="971" w:footer="0" w:top="1300" w:bottom="280" w:left="1275" w:right="1275"/>
        </w:sectPr>
      </w:pPr>
    </w:p>
    <w:p>
      <w:pPr>
        <w:pStyle w:val="BodyText"/>
        <w:spacing w:line="235" w:lineRule="auto" w:before="110"/>
        <w:ind w:left="165" w:right="167"/>
        <w:jc w:val="both"/>
      </w:pPr>
      <w:r>
        <w:rPr/>
        <w:t>structure</w:t>
      </w:r>
      <w:r>
        <w:rPr>
          <w:spacing w:val="-1"/>
        </w:rPr>
        <w:t> </w:t>
      </w:r>
      <w:r>
        <w:rPr/>
        <w:t>of</w:t>
      </w:r>
      <w:r>
        <w:rPr>
          <w:spacing w:val="-1"/>
        </w:rPr>
        <w:t> </w:t>
      </w:r>
      <w:r>
        <w:rPr/>
        <w:t>the</w:t>
      </w:r>
      <w:r>
        <w:rPr>
          <w:spacing w:val="-1"/>
        </w:rPr>
        <w:t> </w:t>
      </w:r>
      <w:r>
        <w:rPr/>
        <w:t>parties’</w:t>
      </w:r>
      <w:r>
        <w:rPr>
          <w:spacing w:val="-1"/>
        </w:rPr>
        <w:t> </w:t>
      </w:r>
      <w:r>
        <w:rPr/>
        <w:t>relations</w:t>
      </w:r>
      <w:r>
        <w:rPr>
          <w:spacing w:val="-1"/>
        </w:rPr>
        <w:t> </w:t>
      </w:r>
      <w:r>
        <w:rPr/>
        <w:t>may</w:t>
      </w:r>
      <w:r>
        <w:rPr>
          <w:spacing w:val="-1"/>
        </w:rPr>
        <w:t> </w:t>
      </w:r>
      <w:r>
        <w:rPr/>
        <w:t>still</w:t>
      </w:r>
      <w:r>
        <w:rPr>
          <w:spacing w:val="-1"/>
        </w:rPr>
        <w:t> </w:t>
      </w:r>
      <w:r>
        <w:rPr/>
        <w:t>argue</w:t>
      </w:r>
      <w:r>
        <w:rPr>
          <w:spacing w:val="-1"/>
        </w:rPr>
        <w:t> </w:t>
      </w:r>
      <w:r>
        <w:rPr/>
        <w:t>for</w:t>
      </w:r>
      <w:r>
        <w:rPr>
          <w:spacing w:val="-1"/>
        </w:rPr>
        <w:t> </w:t>
      </w:r>
      <w:r>
        <w:rPr/>
        <w:t>the</w:t>
      </w:r>
      <w:r>
        <w:rPr>
          <w:spacing w:val="-1"/>
        </w:rPr>
        <w:t> </w:t>
      </w:r>
      <w:r>
        <w:rPr/>
        <w:t>rejection</w:t>
      </w:r>
      <w:r>
        <w:rPr>
          <w:spacing w:val="-1"/>
        </w:rPr>
        <w:t> </w:t>
      </w:r>
      <w:r>
        <w:rPr/>
        <w:t>of</w:t>
      </w:r>
      <w:r>
        <w:rPr>
          <w:spacing w:val="-1"/>
        </w:rPr>
        <w:t> </w:t>
      </w:r>
      <w:r>
        <w:rPr/>
        <w:t>an</w:t>
      </w:r>
      <w:r>
        <w:rPr>
          <w:spacing w:val="-1"/>
        </w:rPr>
        <w:t> </w:t>
      </w:r>
      <w:r>
        <w:rPr/>
        <w:t>“assumption</w:t>
      </w:r>
      <w:r>
        <w:rPr>
          <w:spacing w:val="-1"/>
        </w:rPr>
        <w:t> </w:t>
      </w:r>
      <w:r>
        <w:rPr/>
        <w:t>of</w:t>
      </w:r>
      <w:r>
        <w:rPr>
          <w:spacing w:val="-1"/>
        </w:rPr>
        <w:t> </w:t>
      </w:r>
      <w:r>
        <w:rPr/>
        <w:t>responsibility”</w:t>
      </w:r>
      <w:r>
        <w:rPr>
          <w:spacing w:val="-1"/>
        </w:rPr>
        <w:t> </w:t>
      </w:r>
      <w:r>
        <w:rPr/>
        <w:t>in the tort of negligence. In that case, under the terms of a contract of employment, L, the employer, undertook to B, their employee, to arrange a disability insurance scheme, subject to “acceptance by insurers”. B was registered under the scheme, and later became incapable of work, but L’s claim in respect of B’s disability was rejected by their insurer, P. B then claimed, inter alia, damages in the tort of negligence against P on the basis that they were negligent in rejection of the claim (it being accepted that there was no privity of contract between these parties). The insurer’s contention that</w:t>
      </w:r>
      <w:r>
        <w:rPr>
          <w:spacing w:val="40"/>
        </w:rPr>
        <w:t> </w:t>
      </w:r>
      <w:r>
        <w:rPr/>
        <w:t>this claim should be struck out was accepted both at first instance and by the Court of Appeal. Giving judgment,</w:t>
      </w:r>
      <w:r>
        <w:rPr>
          <w:spacing w:val="-2"/>
        </w:rPr>
        <w:t> </w:t>
      </w:r>
      <w:r>
        <w:rPr/>
        <w:t>Roch</w:t>
      </w:r>
      <w:r>
        <w:rPr>
          <w:spacing w:val="-2"/>
        </w:rPr>
        <w:t> </w:t>
      </w:r>
      <w:r>
        <w:rPr/>
        <w:t>L.J.</w:t>
      </w:r>
      <w:r>
        <w:rPr>
          <w:spacing w:val="-2"/>
        </w:rPr>
        <w:t> </w:t>
      </w:r>
      <w:r>
        <w:rPr/>
        <w:t>denied</w:t>
      </w:r>
      <w:r>
        <w:rPr>
          <w:spacing w:val="-2"/>
        </w:rPr>
        <w:t> </w:t>
      </w:r>
      <w:r>
        <w:rPr/>
        <w:t>the</w:t>
      </w:r>
      <w:r>
        <w:rPr>
          <w:spacing w:val="-2"/>
        </w:rPr>
        <w:t> </w:t>
      </w:r>
      <w:r>
        <w:rPr/>
        <w:t>existence</w:t>
      </w:r>
      <w:r>
        <w:rPr>
          <w:spacing w:val="-2"/>
        </w:rPr>
        <w:t> </w:t>
      </w:r>
      <w:r>
        <w:rPr/>
        <w:t>of</w:t>
      </w:r>
      <w:r>
        <w:rPr>
          <w:spacing w:val="-2"/>
        </w:rPr>
        <w:t> </w:t>
      </w:r>
      <w:r>
        <w:rPr/>
        <w:t>a</w:t>
      </w:r>
      <w:r>
        <w:rPr>
          <w:spacing w:val="-2"/>
        </w:rPr>
        <w:t> </w:t>
      </w:r>
      <w:r>
        <w:rPr/>
        <w:t>duty</w:t>
      </w:r>
      <w:r>
        <w:rPr>
          <w:spacing w:val="-2"/>
        </w:rPr>
        <w:t> </w:t>
      </w:r>
      <w:r>
        <w:rPr/>
        <w:t>of</w:t>
      </w:r>
      <w:r>
        <w:rPr>
          <w:spacing w:val="-2"/>
        </w:rPr>
        <w:t> </w:t>
      </w:r>
      <w:r>
        <w:rPr/>
        <w:t>care</w:t>
      </w:r>
      <w:r>
        <w:rPr>
          <w:spacing w:val="-2"/>
        </w:rPr>
        <w:t> </w:t>
      </w:r>
      <w:r>
        <w:rPr/>
        <w:t>on</w:t>
      </w:r>
      <w:r>
        <w:rPr>
          <w:spacing w:val="-2"/>
        </w:rPr>
        <w:t> </w:t>
      </w:r>
      <w:r>
        <w:rPr/>
        <w:t>the</w:t>
      </w:r>
      <w:r>
        <w:rPr>
          <w:spacing w:val="-2"/>
        </w:rPr>
        <w:t> </w:t>
      </w:r>
      <w:r>
        <w:rPr/>
        <w:t>facts</w:t>
      </w:r>
      <w:r>
        <w:rPr>
          <w:spacing w:val="-2"/>
        </w:rPr>
        <w:t> </w:t>
      </w:r>
      <w:r>
        <w:rPr/>
        <w:t>before</w:t>
      </w:r>
      <w:r>
        <w:rPr>
          <w:spacing w:val="-2"/>
        </w:rPr>
        <w:t> </w:t>
      </w:r>
      <w:r>
        <w:rPr/>
        <w:t>him,</w:t>
      </w:r>
      <w:r>
        <w:rPr>
          <w:spacing w:val="-2"/>
        </w:rPr>
        <w:t> </w:t>
      </w:r>
      <w:r>
        <w:rPr/>
        <w:t>by</w:t>
      </w:r>
      <w:r>
        <w:rPr>
          <w:spacing w:val="-2"/>
        </w:rPr>
        <w:t> </w:t>
      </w:r>
      <w:r>
        <w:rPr/>
        <w:t>whichever</w:t>
      </w:r>
      <w:r>
        <w:rPr>
          <w:spacing w:val="-2"/>
        </w:rPr>
        <w:t> </w:t>
      </w:r>
      <w:r>
        <w:rPr/>
        <w:t>legal </w:t>
      </w:r>
      <w:bookmarkStart w:name="_bookmark2190" w:id="2192"/>
      <w:bookmarkEnd w:id="2192"/>
      <w:r>
        <w:rPr/>
        <w:t>approach</w:t>
      </w:r>
      <w:r>
        <w:rPr/>
        <w:t> this was canvassed, whether in terms of the three-fold test of forseeability, proximity and “justice</w:t>
      </w:r>
      <w:r>
        <w:rPr>
          <w:spacing w:val="-4"/>
        </w:rPr>
        <w:t> </w:t>
      </w:r>
      <w:r>
        <w:rPr/>
        <w:t>and</w:t>
      </w:r>
      <w:r>
        <w:rPr>
          <w:spacing w:val="-4"/>
        </w:rPr>
        <w:t> </w:t>
      </w:r>
      <w:r>
        <w:rPr/>
        <w:t>reasonableness”,</w:t>
      </w:r>
      <w:r>
        <w:rPr>
          <w:spacing w:val="-4"/>
        </w:rPr>
        <w:t> </w:t>
      </w:r>
      <w:r>
        <w:rPr/>
        <w:t>an</w:t>
      </w:r>
      <w:r>
        <w:rPr>
          <w:spacing w:val="-4"/>
        </w:rPr>
        <w:t> </w:t>
      </w:r>
      <w:r>
        <w:rPr/>
        <w:t>assumption</w:t>
      </w:r>
      <w:r>
        <w:rPr>
          <w:spacing w:val="-4"/>
        </w:rPr>
        <w:t> </w:t>
      </w:r>
      <w:r>
        <w:rPr/>
        <w:t>of</w:t>
      </w:r>
      <w:r>
        <w:rPr>
          <w:spacing w:val="-4"/>
        </w:rPr>
        <w:t> </w:t>
      </w:r>
      <w:r>
        <w:rPr/>
        <w:t>responsibility</w:t>
      </w:r>
      <w:r>
        <w:rPr>
          <w:spacing w:val="-4"/>
        </w:rPr>
        <w:t> </w:t>
      </w:r>
      <w:r>
        <w:rPr/>
        <w:t>or</w:t>
      </w:r>
      <w:r>
        <w:rPr>
          <w:spacing w:val="-4"/>
        </w:rPr>
        <w:t> </w:t>
      </w:r>
      <w:r>
        <w:rPr/>
        <w:t>taking</w:t>
      </w:r>
      <w:r>
        <w:rPr>
          <w:spacing w:val="-4"/>
        </w:rPr>
        <w:t> </w:t>
      </w:r>
      <w:r>
        <w:rPr/>
        <w:t>an</w:t>
      </w:r>
      <w:r>
        <w:rPr>
          <w:spacing w:val="-4"/>
        </w:rPr>
        <w:t> </w:t>
      </w:r>
      <w:r>
        <w:rPr/>
        <w:t>“incremental</w:t>
      </w:r>
      <w:r>
        <w:rPr>
          <w:spacing w:val="-4"/>
        </w:rPr>
        <w:t> </w:t>
      </w:r>
      <w:r>
        <w:rPr/>
        <w:t>approach”.</w:t>
      </w:r>
      <w:r>
        <w:rPr>
          <w:spacing w:val="-5"/>
        </w:rPr>
        <w:t> </w:t>
      </w:r>
      <w:r>
        <w:rPr>
          <w:color w:val="005DA1"/>
          <w:u w:val="single" w:color="005DA1"/>
          <w:vertAlign w:val="superscript"/>
        </w:rPr>
        <w:t>1515</w:t>
      </w:r>
      <w:r>
        <w:rPr>
          <w:color w:val="005DA1"/>
          <w:vertAlign w:val="baseline"/>
        </w:rPr>
        <w:t> </w:t>
      </w:r>
      <w:r>
        <w:rPr>
          <w:vertAlign w:val="baseline"/>
        </w:rPr>
        <w:t>Roch L.J. agreed with the court below that the contractual provisions between the employer and insurer showed completely the reverse of any “assumption of responsibility”: “[t]here was a very </w:t>
      </w:r>
      <w:bookmarkStart w:name="_bookmark2191" w:id="2193"/>
      <w:bookmarkEnd w:id="2193"/>
      <w:r>
        <w:rPr>
          <w:vertAlign w:val="baseline"/>
        </w:rPr>
        <w:t>carefully</w:t>
      </w:r>
      <w:r>
        <w:rPr>
          <w:vertAlign w:val="baseline"/>
        </w:rPr>
        <w:t> structured contractual framework …[which] imposed a curtain between the [employee] and the [insurer]”. </w:t>
      </w:r>
      <w:r>
        <w:rPr>
          <w:color w:val="005DA1"/>
          <w:u w:val="single" w:color="005DA1"/>
          <w:vertAlign w:val="superscript"/>
        </w:rPr>
        <w:t>1516</w:t>
      </w:r>
      <w:r>
        <w:rPr>
          <w:color w:val="005DA1"/>
          <w:vertAlign w:val="baseline"/>
        </w:rPr>
        <w:t> </w:t>
      </w:r>
      <w:r>
        <w:rPr>
          <w:vertAlign w:val="baseline"/>
        </w:rPr>
        <w:t>While Roch L.J. accepted that:</w:t>
      </w:r>
    </w:p>
    <w:p>
      <w:pPr>
        <w:pStyle w:val="BodyText"/>
      </w:pPr>
    </w:p>
    <w:p>
      <w:pPr>
        <w:pStyle w:val="BodyText"/>
        <w:spacing w:before="121"/>
      </w:pPr>
    </w:p>
    <w:p>
      <w:pPr>
        <w:pStyle w:val="BodyText"/>
        <w:spacing w:line="235" w:lineRule="auto"/>
        <w:ind w:left="1245" w:right="164"/>
      </w:pPr>
      <w:bookmarkStart w:name="_bookmark2192" w:id="2194"/>
      <w:bookmarkEnd w:id="2194"/>
      <w:r>
        <w:rPr/>
      </w:r>
      <w:r>
        <w:rPr/>
        <w:t>“the</w:t>
      </w:r>
      <w:r>
        <w:rPr>
          <w:spacing w:val="36"/>
        </w:rPr>
        <w:t> </w:t>
      </w:r>
      <w:r>
        <w:rPr/>
        <w:t>existence</w:t>
      </w:r>
      <w:r>
        <w:rPr>
          <w:spacing w:val="36"/>
        </w:rPr>
        <w:t> </w:t>
      </w:r>
      <w:r>
        <w:rPr/>
        <w:t>of</w:t>
      </w:r>
      <w:r>
        <w:rPr>
          <w:spacing w:val="36"/>
        </w:rPr>
        <w:t> </w:t>
      </w:r>
      <w:r>
        <w:rPr/>
        <w:t>a</w:t>
      </w:r>
      <w:r>
        <w:rPr>
          <w:spacing w:val="36"/>
        </w:rPr>
        <w:t> </w:t>
      </w:r>
      <w:r>
        <w:rPr/>
        <w:t>contractual</w:t>
      </w:r>
      <w:r>
        <w:rPr>
          <w:spacing w:val="36"/>
        </w:rPr>
        <w:t> </w:t>
      </w:r>
      <w:r>
        <w:rPr/>
        <w:t>regime</w:t>
      </w:r>
      <w:r>
        <w:rPr>
          <w:spacing w:val="36"/>
        </w:rPr>
        <w:t> </w:t>
      </w:r>
      <w:r>
        <w:rPr/>
        <w:t>is</w:t>
      </w:r>
      <w:r>
        <w:rPr>
          <w:spacing w:val="36"/>
        </w:rPr>
        <w:t> </w:t>
      </w:r>
      <w:r>
        <w:rPr/>
        <w:t>not</w:t>
      </w:r>
      <w:r>
        <w:rPr>
          <w:spacing w:val="36"/>
        </w:rPr>
        <w:t> </w:t>
      </w:r>
      <w:r>
        <w:rPr/>
        <w:t>necessarily</w:t>
      </w:r>
      <w:r>
        <w:rPr>
          <w:spacing w:val="36"/>
        </w:rPr>
        <w:t> </w:t>
      </w:r>
      <w:r>
        <w:rPr/>
        <w:t>fatal</w:t>
      </w:r>
      <w:r>
        <w:rPr>
          <w:spacing w:val="36"/>
        </w:rPr>
        <w:t> </w:t>
      </w:r>
      <w:r>
        <w:rPr/>
        <w:t>to</w:t>
      </w:r>
      <w:r>
        <w:rPr>
          <w:spacing w:val="36"/>
        </w:rPr>
        <w:t> </w:t>
      </w:r>
      <w:r>
        <w:rPr/>
        <w:t>a</w:t>
      </w:r>
      <w:r>
        <w:rPr>
          <w:spacing w:val="36"/>
        </w:rPr>
        <w:t> </w:t>
      </w:r>
      <w:r>
        <w:rPr/>
        <w:t>claim</w:t>
      </w:r>
      <w:r>
        <w:rPr>
          <w:spacing w:val="36"/>
        </w:rPr>
        <w:t> </w:t>
      </w:r>
      <w:r>
        <w:rPr/>
        <w:t>such</w:t>
      </w:r>
      <w:r>
        <w:rPr>
          <w:spacing w:val="36"/>
        </w:rPr>
        <w:t> </w:t>
      </w:r>
      <w:r>
        <w:rPr/>
        <w:t>as</w:t>
      </w:r>
      <w:r>
        <w:rPr>
          <w:spacing w:val="36"/>
        </w:rPr>
        <w:t> </w:t>
      </w:r>
      <w:r>
        <w:rPr/>
        <w:t>the [employee’s];</w:t>
      </w:r>
      <w:r>
        <w:rPr>
          <w:spacing w:val="15"/>
        </w:rPr>
        <w:t> </w:t>
      </w:r>
      <w:r>
        <w:rPr/>
        <w:t>…</w:t>
      </w:r>
      <w:r>
        <w:rPr>
          <w:spacing w:val="15"/>
        </w:rPr>
        <w:t> </w:t>
      </w:r>
      <w:r>
        <w:rPr/>
        <w:t>it</w:t>
      </w:r>
      <w:r>
        <w:rPr>
          <w:spacing w:val="15"/>
        </w:rPr>
        <w:t> </w:t>
      </w:r>
      <w:r>
        <w:rPr/>
        <w:t>is</w:t>
      </w:r>
      <w:r>
        <w:rPr>
          <w:spacing w:val="15"/>
        </w:rPr>
        <w:t> </w:t>
      </w:r>
      <w:r>
        <w:rPr/>
        <w:t>nevertheless</w:t>
      </w:r>
      <w:r>
        <w:rPr>
          <w:spacing w:val="15"/>
        </w:rPr>
        <w:t> </w:t>
      </w:r>
      <w:r>
        <w:rPr/>
        <w:t>a</w:t>
      </w:r>
      <w:r>
        <w:rPr>
          <w:spacing w:val="15"/>
        </w:rPr>
        <w:t> </w:t>
      </w:r>
      <w:r>
        <w:rPr/>
        <w:t>powerful</w:t>
      </w:r>
      <w:r>
        <w:rPr>
          <w:spacing w:val="15"/>
        </w:rPr>
        <w:t> </w:t>
      </w:r>
      <w:r>
        <w:rPr/>
        <w:t>indication</w:t>
      </w:r>
      <w:r>
        <w:rPr>
          <w:spacing w:val="15"/>
        </w:rPr>
        <w:t> </w:t>
      </w:r>
      <w:r>
        <w:rPr/>
        <w:t>against</w:t>
      </w:r>
      <w:r>
        <w:rPr>
          <w:spacing w:val="15"/>
        </w:rPr>
        <w:t> </w:t>
      </w:r>
      <w:r>
        <w:rPr/>
        <w:t>the</w:t>
      </w:r>
      <w:r>
        <w:rPr>
          <w:spacing w:val="15"/>
        </w:rPr>
        <w:t> </w:t>
      </w:r>
      <w:r>
        <w:rPr/>
        <w:t>existence</w:t>
      </w:r>
      <w:r>
        <w:rPr>
          <w:spacing w:val="15"/>
        </w:rPr>
        <w:t> </w:t>
      </w:r>
      <w:r>
        <w:rPr/>
        <w:t>of</w:t>
      </w:r>
      <w:r>
        <w:rPr>
          <w:spacing w:val="15"/>
        </w:rPr>
        <w:t> </w:t>
      </w:r>
      <w:r>
        <w:rPr/>
        <w:t>a</w:t>
      </w:r>
      <w:r>
        <w:rPr>
          <w:spacing w:val="15"/>
        </w:rPr>
        <w:t> </w:t>
      </w:r>
      <w:r>
        <w:rPr>
          <w:spacing w:val="-2"/>
        </w:rPr>
        <w:t>duty.”</w:t>
      </w:r>
    </w:p>
    <w:p>
      <w:pPr>
        <w:spacing w:line="113" w:lineRule="exact" w:before="0"/>
        <w:ind w:left="1245" w:right="0" w:firstLine="0"/>
        <w:jc w:val="left"/>
        <w:rPr>
          <w:sz w:val="12"/>
        </w:rPr>
      </w:pPr>
      <w:r>
        <w:rPr>
          <w:color w:val="005DA1"/>
          <w:spacing w:val="-4"/>
          <w:sz w:val="12"/>
          <w:u w:val="single" w:color="005DA1"/>
        </w:rPr>
        <w:t>1517</w:t>
      </w:r>
    </w:p>
    <w:p>
      <w:pPr>
        <w:pStyle w:val="BodyText"/>
        <w:rPr>
          <w:sz w:val="12"/>
        </w:rPr>
      </w:pPr>
    </w:p>
    <w:p>
      <w:pPr>
        <w:pStyle w:val="BodyText"/>
        <w:rPr>
          <w:sz w:val="12"/>
        </w:rPr>
      </w:pPr>
    </w:p>
    <w:p>
      <w:pPr>
        <w:pStyle w:val="BodyText"/>
        <w:spacing w:before="44"/>
        <w:rPr>
          <w:sz w:val="12"/>
        </w:rPr>
      </w:pPr>
    </w:p>
    <w:p>
      <w:pPr>
        <w:pStyle w:val="BodyText"/>
        <w:spacing w:line="235" w:lineRule="auto" w:before="1"/>
        <w:ind w:left="164" w:right="167"/>
        <w:jc w:val="both"/>
      </w:pPr>
      <w:r>
        <w:rPr/>
        <w:t>The assumption of responsibility by the insurer was to the employer, not to the employees under </w:t>
      </w:r>
      <w:r>
        <w:rPr/>
        <w:t>the </w:t>
      </w:r>
      <w:bookmarkStart w:name="_bookmark2193" w:id="2195"/>
      <w:bookmarkEnd w:id="2195"/>
      <w:r>
        <w:rPr/>
        <w:t>scheme:</w:t>
      </w:r>
      <w:r>
        <w:rPr/>
        <w:t> a finding of a duty of care would therefore (in the words of counsel for the insurer) “spell the end</w:t>
      </w:r>
      <w:r>
        <w:rPr>
          <w:spacing w:val="-2"/>
        </w:rPr>
        <w:t> </w:t>
      </w:r>
      <w:r>
        <w:rPr/>
        <w:t>of</w:t>
      </w:r>
      <w:r>
        <w:rPr>
          <w:spacing w:val="-2"/>
        </w:rPr>
        <w:t> </w:t>
      </w:r>
      <w:r>
        <w:rPr/>
        <w:t>the</w:t>
      </w:r>
      <w:r>
        <w:rPr>
          <w:spacing w:val="-2"/>
        </w:rPr>
        <w:t> </w:t>
      </w:r>
      <w:r>
        <w:rPr/>
        <w:t>doctrine</w:t>
      </w:r>
      <w:r>
        <w:rPr>
          <w:spacing w:val="-2"/>
        </w:rPr>
        <w:t> </w:t>
      </w:r>
      <w:r>
        <w:rPr/>
        <w:t>of</w:t>
      </w:r>
      <w:r>
        <w:rPr>
          <w:spacing w:val="-2"/>
        </w:rPr>
        <w:t> </w:t>
      </w:r>
      <w:r>
        <w:rPr/>
        <w:t>privity</w:t>
      </w:r>
      <w:r>
        <w:rPr>
          <w:spacing w:val="-2"/>
        </w:rPr>
        <w:t> </w:t>
      </w:r>
      <w:r>
        <w:rPr/>
        <w:t>of</w:t>
      </w:r>
      <w:r>
        <w:rPr>
          <w:spacing w:val="-2"/>
        </w:rPr>
        <w:t> </w:t>
      </w:r>
      <w:r>
        <w:rPr/>
        <w:t>contract”.</w:t>
      </w:r>
      <w:r>
        <w:rPr>
          <w:spacing w:val="-3"/>
        </w:rPr>
        <w:t> </w:t>
      </w:r>
      <w:r>
        <w:rPr>
          <w:color w:val="005DA1"/>
          <w:u w:val="single" w:color="005DA1"/>
          <w:vertAlign w:val="superscript"/>
        </w:rPr>
        <w:t>1518</w:t>
      </w:r>
      <w:r>
        <w:rPr>
          <w:color w:val="005DA1"/>
          <w:spacing w:val="-2"/>
          <w:vertAlign w:val="baseline"/>
        </w:rPr>
        <w:t> </w:t>
      </w:r>
      <w:r>
        <w:rPr>
          <w:vertAlign w:val="baseline"/>
        </w:rPr>
        <w:t>Nor</w:t>
      </w:r>
      <w:r>
        <w:rPr>
          <w:spacing w:val="-2"/>
          <w:vertAlign w:val="baseline"/>
        </w:rPr>
        <w:t> </w:t>
      </w:r>
      <w:r>
        <w:rPr>
          <w:vertAlign w:val="baseline"/>
        </w:rPr>
        <w:t>did</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consider</w:t>
      </w:r>
      <w:r>
        <w:rPr>
          <w:spacing w:val="-2"/>
          <w:vertAlign w:val="baseline"/>
        </w:rPr>
        <w:t> </w:t>
      </w:r>
      <w:r>
        <w:rPr>
          <w:vertAlign w:val="baseline"/>
        </w:rPr>
        <w:t>that</w:t>
      </w:r>
      <w:r>
        <w:rPr>
          <w:spacing w:val="-2"/>
          <w:vertAlign w:val="baseline"/>
        </w:rPr>
        <w:t> </w:t>
      </w:r>
      <w:r>
        <w:rPr>
          <w:vertAlign w:val="baseline"/>
        </w:rPr>
        <w:t>recognition</w:t>
      </w:r>
      <w:r>
        <w:rPr>
          <w:spacing w:val="-2"/>
          <w:vertAlign w:val="baseline"/>
        </w:rPr>
        <w:t> </w:t>
      </w:r>
      <w:r>
        <w:rPr>
          <w:vertAlign w:val="baseline"/>
        </w:rPr>
        <w:t>of</w:t>
      </w:r>
      <w:r>
        <w:rPr>
          <w:spacing w:val="-2"/>
          <w:vertAlign w:val="baseline"/>
        </w:rPr>
        <w:t> </w:t>
      </w:r>
      <w:r>
        <w:rPr>
          <w:vertAlign w:val="baseline"/>
        </w:rPr>
        <w:t>a duty of care was required as a matter of justice and reasonableness or appropriate as an incremental development. Moreover, the more eclectic approach to deciding whether or not a duty of care should be imposed in the tort of negligence (especially as regards pure economic loss) seen in </w:t>
      </w:r>
      <w:r>
        <w:rPr>
          <w:rFonts w:ascii="Arial" w:hAnsi="Arial"/>
          <w:i/>
          <w:vertAlign w:val="baseline"/>
        </w:rPr>
        <w:t>Briscoe v </w:t>
      </w:r>
      <w:bookmarkStart w:name="_bookmark2194" w:id="2196"/>
      <w:bookmarkEnd w:id="2196"/>
      <w:r>
        <w:rPr>
          <w:rFonts w:ascii="Arial" w:hAnsi="Arial"/>
          <w:i/>
          <w:vertAlign w:val="baseline"/>
        </w:rPr>
        <w:t>Lubrizo</w:t>
      </w:r>
      <w:r>
        <w:rPr>
          <w:rFonts w:ascii="Arial" w:hAnsi="Arial"/>
          <w:i/>
          <w:vertAlign w:val="baseline"/>
        </w:rPr>
        <w:t>l</w:t>
      </w:r>
      <w:r>
        <w:rPr>
          <w:vertAlign w:val="baseline"/>
        </w:rPr>
        <w:t>, and which looks in turn at “assumption of responsibility”, the “three-fold test” in </w:t>
      </w:r>
      <w:r>
        <w:rPr>
          <w:rFonts w:ascii="Arial" w:hAnsi="Arial"/>
          <w:i/>
          <w:vertAlign w:val="baseline"/>
        </w:rPr>
        <w:t>Caparo </w:t>
      </w:r>
      <w:bookmarkStart w:name="_bookmark2195" w:id="2197"/>
      <w:bookmarkEnd w:id="2197"/>
      <w:r>
        <w:rPr>
          <w:rFonts w:ascii="Arial" w:hAnsi="Arial"/>
          <w:i/>
          <w:vertAlign w:val="baseline"/>
        </w:rPr>
        <w:t>Industries</w:t>
      </w:r>
      <w:r>
        <w:rPr>
          <w:rFonts w:ascii="Arial" w:hAnsi="Arial"/>
          <w:i/>
          <w:vertAlign w:val="baseline"/>
        </w:rPr>
        <w:t> Plc v Dickman </w:t>
      </w:r>
      <w:r>
        <w:rPr>
          <w:color w:val="005DA1"/>
          <w:u w:val="single" w:color="005DA1"/>
          <w:vertAlign w:val="superscript"/>
        </w:rPr>
        <w:t>1519</w:t>
      </w:r>
      <w:r>
        <w:rPr>
          <w:color w:val="005DA1"/>
          <w:vertAlign w:val="baseline"/>
        </w:rPr>
        <w:t> </w:t>
      </w:r>
      <w:r>
        <w:rPr>
          <w:vertAlign w:val="baseline"/>
        </w:rPr>
        <w:t>and the “incremental approach”, was taken by the House of Lords in </w:t>
      </w:r>
      <w:bookmarkStart w:name="_bookmark2196" w:id="2198"/>
      <w:bookmarkEnd w:id="2198"/>
      <w:r>
        <w:rPr>
          <w:vertAlign w:val="baseline"/>
        </w:rPr>
      </w:r>
      <w:r>
        <w:rPr>
          <w:rFonts w:ascii="Arial" w:hAnsi="Arial"/>
          <w:i/>
          <w:vertAlign w:val="baseline"/>
        </w:rPr>
        <w:t>Customs and Excise Commissioners v Barclays Bank Plc </w:t>
      </w:r>
      <w:r>
        <w:rPr>
          <w:color w:val="005DA1"/>
          <w:u w:val="single" w:color="005DA1"/>
          <w:vertAlign w:val="superscript"/>
        </w:rPr>
        <w:t>1520</w:t>
      </w:r>
      <w:r>
        <w:rPr>
          <w:color w:val="005DA1"/>
          <w:vertAlign w:val="baseline"/>
        </w:rPr>
        <w:t> </w:t>
      </w:r>
      <w:r>
        <w:rPr>
          <w:vertAlign w:val="baseline"/>
        </w:rPr>
        <w:t>though the third approach was seen as “of little value as a test in itself” and as “an important cross-check”. </w:t>
      </w:r>
      <w:r>
        <w:rPr>
          <w:color w:val="005DA1"/>
          <w:u w:val="single" w:color="005DA1"/>
          <w:vertAlign w:val="superscript"/>
        </w:rPr>
        <w:t>1521</w:t>
      </w:r>
      <w:r>
        <w:rPr>
          <w:color w:val="005DA1"/>
          <w:vertAlign w:val="baseline"/>
        </w:rPr>
        <w:t> </w:t>
      </w:r>
      <w:r>
        <w:rPr>
          <w:vertAlign w:val="baseline"/>
        </w:rPr>
        <w:t>In that case, the House of Lords unanimously held that a third party (here, the bank) with notice of a “freezing order” (formerly known as a </w:t>
      </w:r>
      <w:r>
        <w:rPr>
          <w:rFonts w:ascii="Arial" w:hAnsi="Arial"/>
          <w:i/>
          <w:vertAlign w:val="baseline"/>
        </w:rPr>
        <w:t>Mareva </w:t>
      </w:r>
      <w:r>
        <w:rPr>
          <w:vertAlign w:val="baseline"/>
        </w:rPr>
        <w:t>injunction) who nevertheless released the property subject to the order did not owe a duty of care to the person for whose benefit the order had been made (here, the Customs and Excise). While the grounds of the decisions of the five members of the House differed, the principal points can be summarised as follows. First, the involuntary nature of the position of the bank as </w:t>
      </w:r>
      <w:bookmarkStart w:name="_bookmark2197" w:id="2199"/>
      <w:bookmarkEnd w:id="2199"/>
      <w:r>
        <w:rPr>
          <w:vertAlign w:val="baseline"/>
        </w:rPr>
        <w:t>recipient</w:t>
      </w:r>
      <w:r>
        <w:rPr>
          <w:vertAlign w:val="baseline"/>
        </w:rPr>
        <w:t> of the order was inconsistent with any assumption of responsibility, even if this were understood to mean the undertaking of a task for another person. </w:t>
      </w:r>
      <w:r>
        <w:rPr>
          <w:color w:val="005DA1"/>
          <w:u w:val="single" w:color="005DA1"/>
          <w:vertAlign w:val="superscript"/>
        </w:rPr>
        <w:t>1522</w:t>
      </w:r>
      <w:r>
        <w:rPr>
          <w:color w:val="005DA1"/>
          <w:vertAlign w:val="baseline"/>
        </w:rPr>
        <w:t> </w:t>
      </w:r>
      <w:r>
        <w:rPr>
          <w:vertAlign w:val="baseline"/>
        </w:rPr>
        <w:t>Secondly, the courts had developed a very powerful means for protecting those who fear that their legitimate claims are to be thwarted by disposal of available assets by the development of freezing orders and these are buttressed by the sanction of contempt of court. In this respect, a distinction is drawn between the strict liability of the person against whom an order has been made, and the requirement that a third party with notice of an order is liable for contempt only if he knowingly takes a step to frustrate the </w:t>
      </w:r>
      <w:bookmarkStart w:name="_bookmark2198" w:id="2200"/>
      <w:bookmarkEnd w:id="2200"/>
      <w:r>
        <w:rPr>
          <w:vertAlign w:val="baseline"/>
        </w:rPr>
        <w:t>court’s</w:t>
      </w:r>
      <w:r>
        <w:rPr>
          <w:vertAlign w:val="baseline"/>
        </w:rPr>
        <w:t> purpose. It would be inconsistent with this to impose the higher standard of reasonable care</w:t>
      </w:r>
      <w:r>
        <w:rPr>
          <w:spacing w:val="80"/>
          <w:vertAlign w:val="baseline"/>
        </w:rPr>
        <w:t> </w:t>
      </w:r>
      <w:r>
        <w:rPr>
          <w:vertAlign w:val="baseline"/>
        </w:rPr>
        <w:t>by means of a duty of care in tort. </w:t>
      </w:r>
      <w:r>
        <w:rPr>
          <w:color w:val="005DA1"/>
          <w:u w:val="single" w:color="005DA1"/>
          <w:vertAlign w:val="superscript"/>
        </w:rPr>
        <w:t>1523</w:t>
      </w:r>
      <w:r>
        <w:rPr>
          <w:color w:val="005DA1"/>
          <w:vertAlign w:val="baseline"/>
        </w:rPr>
        <w:t> </w:t>
      </w:r>
      <w:r>
        <w:rPr>
          <w:vertAlign w:val="baseline"/>
        </w:rPr>
        <w:t>Thirdly, their Lordships were concerned with the practical effects of the imposition of liability in damages for negligence by third parties with notice of a freezing order. While it may appear reasonable in this respect to impose liability for negligence in a business </w:t>
      </w:r>
      <w:bookmarkStart w:name="_bookmark2199" w:id="2201"/>
      <w:bookmarkEnd w:id="2201"/>
      <w:r>
        <w:rPr>
          <w:vertAlign w:val="baseline"/>
        </w:rPr>
        <w:t>such</w:t>
      </w:r>
      <w:r>
        <w:rPr>
          <w:vertAlign w:val="baseline"/>
        </w:rPr>
        <w:t> as a bank, the new duty of care would also apply to any non-business with notice of such an order which would be unreasonable. </w:t>
      </w:r>
      <w:r>
        <w:rPr>
          <w:color w:val="005DA1"/>
          <w:u w:val="single" w:color="005DA1"/>
          <w:vertAlign w:val="superscript"/>
        </w:rPr>
        <w:t>1524</w:t>
      </w:r>
      <w:r>
        <w:rPr>
          <w:color w:val="005DA1"/>
          <w:vertAlign w:val="baseline"/>
        </w:rPr>
        <w:t> </w:t>
      </w:r>
      <w:r>
        <w:rPr>
          <w:vertAlign w:val="baseline"/>
        </w:rPr>
        <w:t>In </w:t>
      </w:r>
      <w:r>
        <w:rPr>
          <w:rFonts w:ascii="Arial" w:hAnsi="Arial"/>
          <w:i/>
          <w:vertAlign w:val="baseline"/>
        </w:rPr>
        <w:t>BSkyB Ltd v HP Enterprise Services UK Ltd</w:t>
      </w:r>
      <w:r>
        <w:rPr>
          <w:vertAlign w:val="baseline"/>
        </w:rPr>
        <w:t>, </w:t>
      </w:r>
      <w:r>
        <w:rPr>
          <w:color w:val="005DA1"/>
          <w:u w:val="single" w:color="005DA1"/>
          <w:vertAlign w:val="superscript"/>
        </w:rPr>
        <w:t>1525</w:t>
      </w:r>
      <w:r>
        <w:rPr>
          <w:color w:val="005DA1"/>
          <w:vertAlign w:val="baseline"/>
        </w:rPr>
        <w:t> </w:t>
      </w:r>
      <w:r>
        <w:rPr>
          <w:vertAlign w:val="baseline"/>
        </w:rPr>
        <w:t>the court </w:t>
      </w:r>
      <w:bookmarkStart w:name="_bookmark2200" w:id="2202"/>
      <w:bookmarkEnd w:id="2202"/>
      <w:r>
        <w:rPr>
          <w:vertAlign w:val="baseline"/>
        </w:rPr>
        <w:t>determined</w:t>
      </w:r>
      <w:r>
        <w:rPr>
          <w:vertAlign w:val="baseline"/>
        </w:rPr>
        <w:t> the existence of a duty of care in the tort of negligence in respect of pure economic loss under the “three-fold test” in </w:t>
      </w:r>
      <w:r>
        <w:rPr>
          <w:rFonts w:ascii="Arial" w:hAnsi="Arial"/>
          <w:i/>
          <w:vertAlign w:val="baseline"/>
        </w:rPr>
        <w:t>Caparo Industries Plc v Dickman</w:t>
      </w:r>
      <w:r>
        <w:rPr>
          <w:vertAlign w:val="baseline"/>
        </w:rPr>
        <w:t>, </w:t>
      </w:r>
      <w:r>
        <w:rPr>
          <w:color w:val="005DA1"/>
          <w:u w:val="single" w:color="005DA1"/>
          <w:vertAlign w:val="superscript"/>
        </w:rPr>
        <w:t>1526</w:t>
      </w:r>
      <w:r>
        <w:rPr>
          <w:color w:val="005DA1"/>
          <w:vertAlign w:val="baseline"/>
        </w:rPr>
        <w:t> </w:t>
      </w:r>
      <w:r>
        <w:rPr>
          <w:vertAlign w:val="baseline"/>
        </w:rPr>
        <w:t>holding that where corporate parties to a wider group have between them chosen the parties with whom to have a contract, it</w:t>
      </w:r>
      <w:r>
        <w:rPr>
          <w:spacing w:val="80"/>
          <w:vertAlign w:val="baseline"/>
        </w:rPr>
        <w:t> </w:t>
      </w:r>
      <w:bookmarkStart w:name="_bookmark2201" w:id="2203"/>
      <w:bookmarkEnd w:id="2203"/>
      <w:r>
        <w:rPr>
          <w:vertAlign w:val="baseline"/>
        </w:rPr>
        <w:t>would</w:t>
      </w:r>
      <w:r>
        <w:rPr>
          <w:spacing w:val="22"/>
          <w:vertAlign w:val="baseline"/>
        </w:rPr>
        <w:t> </w:t>
      </w:r>
      <w:r>
        <w:rPr>
          <w:vertAlign w:val="baseline"/>
        </w:rPr>
        <w:t>not</w:t>
      </w:r>
      <w:r>
        <w:rPr>
          <w:spacing w:val="24"/>
          <w:vertAlign w:val="baseline"/>
        </w:rPr>
        <w:t> </w:t>
      </w:r>
      <w:r>
        <w:rPr>
          <w:vertAlign w:val="baseline"/>
        </w:rPr>
        <w:t>be</w:t>
      </w:r>
      <w:r>
        <w:rPr>
          <w:spacing w:val="24"/>
          <w:vertAlign w:val="baseline"/>
        </w:rPr>
        <w:t> </w:t>
      </w:r>
      <w:r>
        <w:rPr>
          <w:vertAlign w:val="baseline"/>
        </w:rPr>
        <w:t>fair,</w:t>
      </w:r>
      <w:r>
        <w:rPr>
          <w:spacing w:val="24"/>
          <w:vertAlign w:val="baseline"/>
        </w:rPr>
        <w:t> </w:t>
      </w:r>
      <w:r>
        <w:rPr>
          <w:vertAlign w:val="baseline"/>
        </w:rPr>
        <w:t>just</w:t>
      </w:r>
      <w:r>
        <w:rPr>
          <w:spacing w:val="24"/>
          <w:vertAlign w:val="baseline"/>
        </w:rPr>
        <w:t> </w:t>
      </w:r>
      <w:r>
        <w:rPr>
          <w:vertAlign w:val="baseline"/>
        </w:rPr>
        <w:t>and</w:t>
      </w:r>
      <w:r>
        <w:rPr>
          <w:spacing w:val="24"/>
          <w:vertAlign w:val="baseline"/>
        </w:rPr>
        <w:t> </w:t>
      </w:r>
      <w:r>
        <w:rPr>
          <w:vertAlign w:val="baseline"/>
        </w:rPr>
        <w:t>reasonable</w:t>
      </w:r>
      <w:r>
        <w:rPr>
          <w:spacing w:val="24"/>
          <w:vertAlign w:val="baseline"/>
        </w:rPr>
        <w:t> </w:t>
      </w:r>
      <w:r>
        <w:rPr>
          <w:vertAlign w:val="baseline"/>
        </w:rPr>
        <w:t>to</w:t>
      </w:r>
      <w:r>
        <w:rPr>
          <w:spacing w:val="24"/>
          <w:vertAlign w:val="baseline"/>
        </w:rPr>
        <w:t> </w:t>
      </w:r>
      <w:r>
        <w:rPr>
          <w:vertAlign w:val="baseline"/>
        </w:rPr>
        <w:t>recognise</w:t>
      </w:r>
      <w:r>
        <w:rPr>
          <w:spacing w:val="24"/>
          <w:vertAlign w:val="baseline"/>
        </w:rPr>
        <w:t> </w:t>
      </w:r>
      <w:r>
        <w:rPr>
          <w:vertAlign w:val="baseline"/>
        </w:rPr>
        <w:t>the</w:t>
      </w:r>
      <w:r>
        <w:rPr>
          <w:spacing w:val="24"/>
          <w:vertAlign w:val="baseline"/>
        </w:rPr>
        <w:t> </w:t>
      </w:r>
      <w:r>
        <w:rPr>
          <w:vertAlign w:val="baseline"/>
        </w:rPr>
        <w:t>existence</w:t>
      </w:r>
      <w:r>
        <w:rPr>
          <w:spacing w:val="24"/>
          <w:vertAlign w:val="baseline"/>
        </w:rPr>
        <w:t> </w:t>
      </w:r>
      <w:r>
        <w:rPr>
          <w:vertAlign w:val="baseline"/>
        </w:rPr>
        <w:t>of</w:t>
      </w:r>
      <w:r>
        <w:rPr>
          <w:spacing w:val="24"/>
          <w:vertAlign w:val="baseline"/>
        </w:rPr>
        <w:t> </w:t>
      </w:r>
      <w:r>
        <w:rPr>
          <w:vertAlign w:val="baseline"/>
        </w:rPr>
        <w:t>a</w:t>
      </w:r>
      <w:r>
        <w:rPr>
          <w:spacing w:val="24"/>
          <w:vertAlign w:val="baseline"/>
        </w:rPr>
        <w:t> </w:t>
      </w:r>
      <w:r>
        <w:rPr>
          <w:vertAlign w:val="baseline"/>
        </w:rPr>
        <w:t>duty</w:t>
      </w:r>
      <w:r>
        <w:rPr>
          <w:spacing w:val="24"/>
          <w:vertAlign w:val="baseline"/>
        </w:rPr>
        <w:t> </w:t>
      </w:r>
      <w:r>
        <w:rPr>
          <w:vertAlign w:val="baseline"/>
        </w:rPr>
        <w:t>of</w:t>
      </w:r>
      <w:r>
        <w:rPr>
          <w:spacing w:val="24"/>
          <w:vertAlign w:val="baseline"/>
        </w:rPr>
        <w:t> </w:t>
      </w:r>
      <w:r>
        <w:rPr>
          <w:vertAlign w:val="baseline"/>
        </w:rPr>
        <w:t>care</w:t>
      </w:r>
      <w:r>
        <w:rPr>
          <w:spacing w:val="24"/>
          <w:vertAlign w:val="baseline"/>
        </w:rPr>
        <w:t> </w:t>
      </w:r>
      <w:r>
        <w:rPr>
          <w:vertAlign w:val="baseline"/>
        </w:rPr>
        <w:t>so</w:t>
      </w:r>
      <w:r>
        <w:rPr>
          <w:spacing w:val="24"/>
          <w:vertAlign w:val="baseline"/>
        </w:rPr>
        <w:t> </w:t>
      </w:r>
      <w:r>
        <w:rPr>
          <w:vertAlign w:val="baseline"/>
        </w:rPr>
        <w:t>that</w:t>
      </w:r>
      <w:r>
        <w:rPr>
          <w:spacing w:val="24"/>
          <w:vertAlign w:val="baseline"/>
        </w:rPr>
        <w:t> </w:t>
      </w:r>
      <w:r>
        <w:rPr>
          <w:spacing w:val="-2"/>
          <w:vertAlign w:val="baseline"/>
        </w:rPr>
        <w:t>another</w:t>
      </w:r>
    </w:p>
    <w:p>
      <w:pPr>
        <w:pStyle w:val="BodyText"/>
        <w:spacing w:before="104"/>
        <w:ind w:left="165"/>
        <w:jc w:val="both"/>
        <w:rPr>
          <w:position w:val="-2"/>
        </w:rPr>
      </w:pPr>
      <w:r>
        <w:rPr/>
        <w:t>member of the group can pursue a claim which circumvents these contractual arrangements. </w:t>
      </w:r>
      <w:hyperlink w:history="true" w:anchor="_bookmark2313">
        <w:r>
          <w:rPr>
            <w:color w:val="005DA1"/>
            <w:u w:val="single" w:color="005DA1"/>
            <w:vertAlign w:val="superscript"/>
          </w:rPr>
          <w:t>1527</w:t>
        </w:r>
        <w:r>
          <w:rPr>
            <w:color w:val="005DA1"/>
            <w:spacing w:val="80"/>
            <w:w w:val="150"/>
            <w:vertAlign w:val="baseline"/>
          </w:rPr>
          <w:t> </w:t>
        </w:r>
        <w:r>
          <w:rPr>
            <w:color w:val="005DA1"/>
            <w:position w:val="-2"/>
            <w:vertAlign w:val="baseline"/>
          </w:rPr>
          <w:drawing>
            <wp:inline distT="0" distB="0" distL="0" distR="0">
              <wp:extent cx="107988" cy="107988"/>
              <wp:effectExtent l="0" t="0" r="0" b="0"/>
              <wp:docPr id="560" name="Image 560"/>
              <wp:cNvGraphicFramePr>
                <a:graphicFrameLocks/>
              </wp:cNvGraphicFramePr>
              <a:graphic>
                <a:graphicData uri="http://schemas.openxmlformats.org/drawingml/2006/picture">
                  <pic:pic>
                    <pic:nvPicPr>
                      <pic:cNvPr id="560" name="Image 56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The effect of contractual terms on established torts beyond </w:t>
      </w:r>
      <w:r>
        <w:rPr>
          <w:rFonts w:ascii="Arial"/>
          <w:b/>
          <w:spacing w:val="-2"/>
          <w:sz w:val="18"/>
        </w:rPr>
        <w:t>privity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216</w:t>
      </w:r>
    </w:p>
    <w:p>
      <w:pPr>
        <w:spacing w:after="0"/>
        <w:jc w:val="left"/>
        <w:rPr>
          <w:rFonts w:ascii="Arial"/>
          <w:b/>
          <w:sz w:val="24"/>
        </w:rPr>
        <w:sectPr>
          <w:pgSz w:w="11900" w:h="16840"/>
          <w:pgMar w:header="971" w:footer="0" w:top="1300" w:bottom="280" w:left="1275" w:right="1275"/>
        </w:sectPr>
      </w:pPr>
    </w:p>
    <w:p>
      <w:pPr>
        <w:pStyle w:val="BodyText"/>
        <w:spacing w:line="235" w:lineRule="auto" w:before="210"/>
        <w:ind w:left="164" w:right="166"/>
        <w:jc w:val="both"/>
      </w:pPr>
      <w:bookmarkStart w:name="_bookmark2202" w:id="2204"/>
      <w:bookmarkEnd w:id="2204"/>
      <w:r>
        <w:rPr/>
      </w:r>
      <w:r>
        <w:rPr/>
        <w:t>In general, a term in a contract between A and B will not affect liability in A to C under an established tort since to allow it to do so would contravene the principle of privity of contract. </w:t>
      </w:r>
      <w:r>
        <w:rPr>
          <w:color w:val="005DA1"/>
          <w:u w:val="single" w:color="005DA1"/>
          <w:vertAlign w:val="superscript"/>
        </w:rPr>
        <w:t>1528</w:t>
      </w:r>
      <w:r>
        <w:rPr>
          <w:color w:val="005DA1"/>
          <w:vertAlign w:val="baseline"/>
        </w:rPr>
        <w:t> </w:t>
      </w:r>
      <w:r>
        <w:rPr>
          <w:vertAlign w:val="baseline"/>
        </w:rPr>
        <w:t>However, the courts have allowed exceptions to be developed to this general rule and these are particularly clear where the term in question expressly allocates the risk of some event, often by way of an </w:t>
      </w:r>
      <w:r>
        <w:rPr>
          <w:vertAlign w:val="baseline"/>
        </w:rPr>
        <w:t>exemption clause. Two situations ought to be distinguished.</w:t>
      </w:r>
    </w:p>
    <w:p>
      <w:pPr>
        <w:pStyle w:val="BodyText"/>
      </w:pPr>
    </w:p>
    <w:p>
      <w:pPr>
        <w:pStyle w:val="BodyText"/>
        <w:spacing w:before="37"/>
      </w:pPr>
    </w:p>
    <w:p>
      <w:pPr>
        <w:spacing w:before="0"/>
        <w:ind w:left="164" w:right="0" w:firstLine="0"/>
        <w:jc w:val="both"/>
        <w:rPr>
          <w:rFonts w:ascii="Arial"/>
          <w:b/>
          <w:sz w:val="18"/>
        </w:rPr>
      </w:pPr>
      <w:r>
        <w:rPr>
          <w:rFonts w:ascii="Arial"/>
          <w:b/>
          <w:sz w:val="18"/>
        </w:rPr>
        <w:t>Clauses in contract between tortfeasor and </w:t>
      </w:r>
      <w:r>
        <w:rPr>
          <w:rFonts w:ascii="Arial"/>
          <w:b/>
          <w:spacing w:val="-2"/>
          <w:sz w:val="18"/>
        </w:rPr>
        <w:t>another</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217</w:t>
      </w:r>
    </w:p>
    <w:p>
      <w:pPr>
        <w:pStyle w:val="BodyText"/>
        <w:spacing w:line="235" w:lineRule="auto" w:before="203"/>
        <w:ind w:left="164" w:right="167"/>
        <w:jc w:val="both"/>
      </w:pPr>
      <w:bookmarkStart w:name="_bookmark2203" w:id="2205"/>
      <w:bookmarkEnd w:id="2205"/>
      <w:r>
        <w:rPr/>
      </w:r>
      <w:r>
        <w:rPr/>
        <w:t>First, although in general A’s contractual exclusion of liability to B will not affect A’s liability to C, </w:t>
      </w:r>
      <w:r>
        <w:rPr>
          <w:color w:val="005DA1"/>
          <w:u w:val="single" w:color="005DA1"/>
          <w:vertAlign w:val="superscript"/>
        </w:rPr>
        <w:t>1529</w:t>
      </w:r>
      <w:r>
        <w:rPr>
          <w:color w:val="005DA1"/>
          <w:vertAlign w:val="baseline"/>
        </w:rPr>
        <w:t> </w:t>
      </w:r>
      <w:r>
        <w:rPr>
          <w:vertAlign w:val="baseline"/>
        </w:rPr>
        <w:t>it has been held to do so in certain circumstances. Thus, where a court relies on a </w:t>
      </w:r>
      <w:r>
        <w:rPr>
          <w:vertAlign w:val="baseline"/>
        </w:rPr>
        <w:t>defendant’s </w:t>
      </w:r>
      <w:bookmarkStart w:name="_bookmark2204" w:id="2206"/>
      <w:bookmarkEnd w:id="2206"/>
      <w:r>
        <w:rPr>
          <w:vertAlign w:val="baseline"/>
        </w:rPr>
        <w:t>“assumption</w:t>
      </w:r>
      <w:r>
        <w:rPr>
          <w:vertAlign w:val="baseline"/>
        </w:rPr>
        <w:t> of responsibility” for the imposition of a duty of care, any disclaimer of liability will apparently affect any third party who wishes to rely on breach of that duty, </w:t>
      </w:r>
      <w:r>
        <w:rPr>
          <w:color w:val="005DA1"/>
          <w:u w:val="single" w:color="005DA1"/>
          <w:vertAlign w:val="superscript"/>
        </w:rPr>
        <w:t>1530</w:t>
      </w:r>
      <w:r>
        <w:rPr>
          <w:color w:val="005DA1"/>
          <w:vertAlign w:val="baseline"/>
        </w:rPr>
        <w:t> </w:t>
      </w:r>
      <w:r>
        <w:rPr>
          <w:vertAlign w:val="baseline"/>
        </w:rPr>
        <w:t>though in the case of </w:t>
      </w:r>
      <w:bookmarkStart w:name="_bookmark2205" w:id="2207"/>
      <w:bookmarkEnd w:id="2207"/>
      <w:r>
        <w:rPr>
          <w:vertAlign w:val="baseline"/>
        </w:rPr>
        <w:t>liability</w:t>
      </w:r>
      <w:r>
        <w:rPr>
          <w:vertAlign w:val="baseline"/>
        </w:rPr>
        <w:t> for negligent misstatements, it appears that such a clause will only be effective if notice of it has come to the third party. </w:t>
      </w:r>
      <w:r>
        <w:rPr>
          <w:color w:val="005DA1"/>
          <w:u w:val="single" w:color="005DA1"/>
          <w:vertAlign w:val="superscript"/>
        </w:rPr>
        <w:t>1531</w:t>
      </w:r>
      <w:r>
        <w:rPr>
          <w:color w:val="005DA1"/>
          <w:vertAlign w:val="baseline"/>
        </w:rPr>
        <w:t> </w:t>
      </w:r>
      <w:r>
        <w:rPr>
          <w:vertAlign w:val="baseline"/>
        </w:rPr>
        <w:t>So too, where an owner of property entrusts it to a bailee and expressly or implicitly consents to the latter subcontracting work to a sub-bailee subject to certain </w:t>
      </w:r>
      <w:bookmarkStart w:name="_bookmark2206" w:id="2208"/>
      <w:bookmarkEnd w:id="2208"/>
      <w:r>
        <w:rPr>
          <w:vertAlign w:val="baseline"/>
        </w:rPr>
        <w:t>exemption</w:t>
      </w:r>
      <w:r>
        <w:rPr>
          <w:vertAlign w:val="baseline"/>
        </w:rPr>
        <w:t> conditions, the owner will not be able to sue that sub-bailee in tort except subject to these conditions. </w:t>
      </w:r>
      <w:r>
        <w:rPr>
          <w:color w:val="005DA1"/>
          <w:u w:val="single" w:color="005DA1"/>
          <w:vertAlign w:val="superscript"/>
        </w:rPr>
        <w:t>1532</w:t>
      </w:r>
    </w:p>
    <w:p>
      <w:pPr>
        <w:pStyle w:val="BodyText"/>
      </w:pPr>
    </w:p>
    <w:p>
      <w:pPr>
        <w:pStyle w:val="BodyText"/>
        <w:spacing w:before="35"/>
      </w:pPr>
    </w:p>
    <w:p>
      <w:pPr>
        <w:spacing w:before="0"/>
        <w:ind w:left="165" w:right="0" w:firstLine="0"/>
        <w:jc w:val="left"/>
        <w:rPr>
          <w:rFonts w:ascii="Arial"/>
          <w:b/>
          <w:sz w:val="18"/>
        </w:rPr>
      </w:pPr>
      <w:r>
        <w:rPr>
          <w:rFonts w:ascii="Arial"/>
          <w:b/>
          <w:sz w:val="18"/>
        </w:rPr>
        <w:t>Clauses in contract between injured party and </w:t>
      </w:r>
      <w:r>
        <w:rPr>
          <w:rFonts w:ascii="Arial"/>
          <w:b/>
          <w:spacing w:val="-2"/>
          <w:sz w:val="18"/>
        </w:rPr>
        <w:t>another</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218</w:t>
      </w:r>
    </w:p>
    <w:p>
      <w:pPr>
        <w:pStyle w:val="BodyText"/>
        <w:spacing w:line="235" w:lineRule="auto" w:before="202"/>
        <w:ind w:left="165" w:right="167"/>
        <w:jc w:val="both"/>
        <w:rPr>
          <w:rFonts w:ascii="Arial"/>
          <w:i/>
        </w:rPr>
      </w:pPr>
      <w:r>
        <w:rPr/>
        <w:t>Secondly, if A contracts with B on terms that A will not be able to sue C, the courts found various</w:t>
      </w:r>
      <w:r>
        <w:rPr>
          <w:spacing w:val="40"/>
        </w:rPr>
        <w:t> </w:t>
      </w:r>
      <w:bookmarkStart w:name="_bookmark2207" w:id="2209"/>
      <w:bookmarkEnd w:id="2209"/>
      <w:r>
        <w:rPr/>
        <w:t>ways</w:t>
      </w:r>
      <w:r>
        <w:rPr/>
        <w:t> to give effect to this agreement despite privity of contract, even before this was made </w:t>
      </w:r>
      <w:r>
        <w:rPr/>
        <w:t>overtly </w:t>
      </w:r>
      <w:bookmarkStart w:name="_bookmark2208" w:id="2210"/>
      <w:bookmarkEnd w:id="2210"/>
      <w:r>
        <w:rPr/>
        <w:t>possible</w:t>
      </w:r>
      <w:r>
        <w:rPr>
          <w:spacing w:val="15"/>
        </w:rPr>
        <w:t> </w:t>
      </w:r>
      <w:r>
        <w:rPr/>
        <w:t>by</w:t>
      </w:r>
      <w:r>
        <w:rPr>
          <w:spacing w:val="16"/>
        </w:rPr>
        <w:t> </w:t>
      </w:r>
      <w:r>
        <w:rPr/>
        <w:t>the</w:t>
      </w:r>
      <w:r>
        <w:rPr>
          <w:spacing w:val="15"/>
        </w:rPr>
        <w:t> </w:t>
      </w:r>
      <w:r>
        <w:rPr/>
        <w:t>Contracts</w:t>
      </w:r>
      <w:r>
        <w:rPr>
          <w:spacing w:val="16"/>
        </w:rPr>
        <w:t> </w:t>
      </w:r>
      <w:r>
        <w:rPr/>
        <w:t>(Rights</w:t>
      </w:r>
      <w:r>
        <w:rPr>
          <w:spacing w:val="16"/>
        </w:rPr>
        <w:t> </w:t>
      </w:r>
      <w:r>
        <w:rPr/>
        <w:t>of</w:t>
      </w:r>
      <w:r>
        <w:rPr>
          <w:spacing w:val="15"/>
        </w:rPr>
        <w:t> </w:t>
      </w:r>
      <w:r>
        <w:rPr/>
        <w:t>Third</w:t>
      </w:r>
      <w:r>
        <w:rPr>
          <w:spacing w:val="16"/>
        </w:rPr>
        <w:t> </w:t>
      </w:r>
      <w:r>
        <w:rPr/>
        <w:t>Parties)</w:t>
      </w:r>
      <w:r>
        <w:rPr>
          <w:spacing w:val="16"/>
        </w:rPr>
        <w:t> </w:t>
      </w:r>
      <w:r>
        <w:rPr/>
        <w:t>Act</w:t>
      </w:r>
      <w:r>
        <w:rPr>
          <w:spacing w:val="15"/>
        </w:rPr>
        <w:t> </w:t>
      </w:r>
      <w:r>
        <w:rPr/>
        <w:t>1999.</w:t>
      </w:r>
      <w:r>
        <w:rPr>
          <w:spacing w:val="15"/>
        </w:rPr>
        <w:t> </w:t>
      </w:r>
      <w:r>
        <w:rPr>
          <w:color w:val="005DA1"/>
          <w:u w:val="single" w:color="005DA1"/>
          <w:vertAlign w:val="superscript"/>
        </w:rPr>
        <w:t>1533</w:t>
      </w:r>
      <w:r>
        <w:rPr>
          <w:color w:val="005DA1"/>
          <w:spacing w:val="15"/>
          <w:vertAlign w:val="baseline"/>
        </w:rPr>
        <w:t> </w:t>
      </w:r>
      <w:r>
        <w:rPr>
          <w:vertAlign w:val="baseline"/>
        </w:rPr>
        <w:t>In</w:t>
      </w:r>
      <w:r>
        <w:rPr>
          <w:spacing w:val="15"/>
          <w:vertAlign w:val="baseline"/>
        </w:rPr>
        <w:t> </w:t>
      </w:r>
      <w:r>
        <w:rPr>
          <w:rFonts w:ascii="Arial"/>
          <w:i/>
          <w:vertAlign w:val="baseline"/>
        </w:rPr>
        <w:t>New</w:t>
      </w:r>
      <w:r>
        <w:rPr>
          <w:rFonts w:ascii="Arial"/>
          <w:i/>
          <w:spacing w:val="16"/>
          <w:vertAlign w:val="baseline"/>
        </w:rPr>
        <w:t> </w:t>
      </w:r>
      <w:r>
        <w:rPr>
          <w:rFonts w:ascii="Arial"/>
          <w:i/>
          <w:vertAlign w:val="baseline"/>
        </w:rPr>
        <w:t>Zealand</w:t>
      </w:r>
      <w:r>
        <w:rPr>
          <w:rFonts w:ascii="Arial"/>
          <w:i/>
          <w:spacing w:val="15"/>
          <w:vertAlign w:val="baseline"/>
        </w:rPr>
        <w:t> </w:t>
      </w:r>
      <w:r>
        <w:rPr>
          <w:rFonts w:ascii="Arial"/>
          <w:i/>
          <w:vertAlign w:val="baseline"/>
        </w:rPr>
        <w:t>Shipping</w:t>
      </w:r>
      <w:r>
        <w:rPr>
          <w:rFonts w:ascii="Arial"/>
          <w:i/>
          <w:spacing w:val="16"/>
          <w:vertAlign w:val="baseline"/>
        </w:rPr>
        <w:t> </w:t>
      </w:r>
      <w:r>
        <w:rPr>
          <w:rFonts w:ascii="Arial"/>
          <w:i/>
          <w:vertAlign w:val="baseline"/>
        </w:rPr>
        <w:t>Co</w:t>
      </w:r>
      <w:r>
        <w:rPr>
          <w:rFonts w:ascii="Arial"/>
          <w:i/>
          <w:spacing w:val="16"/>
          <w:vertAlign w:val="baseline"/>
        </w:rPr>
        <w:t> </w:t>
      </w:r>
      <w:r>
        <w:rPr>
          <w:rFonts w:ascii="Arial"/>
          <w:i/>
          <w:vertAlign w:val="baseline"/>
        </w:rPr>
        <w:t>Ltd</w:t>
      </w:r>
      <w:r>
        <w:rPr>
          <w:rFonts w:ascii="Arial"/>
          <w:i/>
          <w:spacing w:val="15"/>
          <w:vertAlign w:val="baseline"/>
        </w:rPr>
        <w:t> </w:t>
      </w:r>
      <w:r>
        <w:rPr>
          <w:rFonts w:ascii="Arial"/>
          <w:i/>
          <w:spacing w:val="-10"/>
          <w:vertAlign w:val="baseline"/>
        </w:rPr>
        <w:t>v</w:t>
      </w:r>
    </w:p>
    <w:p>
      <w:pPr>
        <w:pStyle w:val="BodyText"/>
        <w:spacing w:line="235" w:lineRule="auto"/>
        <w:ind w:left="164" w:right="167"/>
        <w:jc w:val="both"/>
      </w:pPr>
      <w:r>
        <w:rPr>
          <w:rFonts w:ascii="Arial" w:hAnsi="Arial"/>
          <w:i/>
        </w:rPr>
        <w:t>A.M. Satterthwaite &amp; Co Ltd (The Eurymedon) </w:t>
      </w:r>
      <w:r>
        <w:rPr>
          <w:color w:val="005DA1"/>
          <w:u w:val="single" w:color="005DA1"/>
          <w:vertAlign w:val="superscript"/>
        </w:rPr>
        <w:t>1534</w:t>
      </w:r>
      <w:r>
        <w:rPr>
          <w:color w:val="005DA1"/>
          <w:vertAlign w:val="baseline"/>
        </w:rPr>
        <w:t> </w:t>
      </w:r>
      <w:r>
        <w:rPr>
          <w:vertAlign w:val="baseline"/>
        </w:rPr>
        <w:t>the Privy Council found that a stevedore engaged to unload goods by a carrier was protected from liability to their shipper in the tort of negligence for damage to the goods by a clause in the contract between the shipper and the carrier which </w:t>
      </w:r>
      <w:r>
        <w:rPr>
          <w:vertAlign w:val="baseline"/>
        </w:rPr>
        <w:t>was expressed to exempt the stevedore from liability and to be made by the carrier as his agent. Here, then, an exemption clause was given effect by the finding of a collateral contract between A and C, through the agency of B. However, on occasion the courts have instead refused to recognise the </w:t>
      </w:r>
      <w:bookmarkStart w:name="_bookmark2209" w:id="2211"/>
      <w:bookmarkEnd w:id="2211"/>
      <w:r>
        <w:rPr>
          <w:vertAlign w:val="baseline"/>
        </w:rPr>
        <w:t>existence</w:t>
      </w:r>
      <w:r>
        <w:rPr>
          <w:vertAlign w:val="baseline"/>
        </w:rPr>
        <w:t> of a duty of care in the tort of negligence where to do so would disrupt the “contractual </w:t>
      </w:r>
      <w:bookmarkStart w:name="_bookmark2210" w:id="2212"/>
      <w:bookmarkEnd w:id="2212"/>
      <w:r>
        <w:rPr>
          <w:vertAlign w:val="baseline"/>
        </w:rPr>
        <w:t>structure”</w:t>
      </w:r>
      <w:r>
        <w:rPr>
          <w:vertAlign w:val="baseline"/>
        </w:rPr>
        <w:t> in which the parties worked, not only in the context of pure economic loss, </w:t>
      </w:r>
      <w:r>
        <w:rPr>
          <w:color w:val="005DA1"/>
          <w:u w:val="single" w:color="005DA1"/>
          <w:vertAlign w:val="superscript"/>
        </w:rPr>
        <w:t>1535</w:t>
      </w:r>
      <w:r>
        <w:rPr>
          <w:color w:val="005DA1"/>
          <w:vertAlign w:val="baseline"/>
        </w:rPr>
        <w:t> </w:t>
      </w:r>
      <w:r>
        <w:rPr>
          <w:vertAlign w:val="baseline"/>
        </w:rPr>
        <w:t>but also in one of physical damage to the claimant’s property. In </w:t>
      </w:r>
      <w:r>
        <w:rPr>
          <w:rFonts w:ascii="Arial" w:hAnsi="Arial"/>
          <w:i/>
          <w:vertAlign w:val="baseline"/>
        </w:rPr>
        <w:t>Norwich City Council v Harvey</w:t>
      </w:r>
      <w:r>
        <w:rPr>
          <w:vertAlign w:val="baseline"/>
        </w:rPr>
        <w:t>, </w:t>
      </w:r>
      <w:r>
        <w:rPr>
          <w:color w:val="005DA1"/>
          <w:u w:val="single" w:color="005DA1"/>
          <w:vertAlign w:val="superscript"/>
        </w:rPr>
        <w:t>1536</w:t>
      </w:r>
      <w:r>
        <w:rPr>
          <w:color w:val="005DA1"/>
          <w:vertAlign w:val="baseline"/>
        </w:rPr>
        <w:t> </w:t>
      </w:r>
      <w:r>
        <w:rPr>
          <w:vertAlign w:val="baseline"/>
        </w:rPr>
        <w:t>the plaintiff owned a building, which it wished to have extended and it employed building contractors to do so on standard</w:t>
      </w:r>
      <w:r>
        <w:rPr>
          <w:spacing w:val="-3"/>
          <w:vertAlign w:val="baseline"/>
        </w:rPr>
        <w:t> </w:t>
      </w:r>
      <w:r>
        <w:rPr>
          <w:vertAlign w:val="baseline"/>
        </w:rPr>
        <w:t>terms</w:t>
      </w:r>
      <w:r>
        <w:rPr>
          <w:spacing w:val="-3"/>
          <w:vertAlign w:val="baseline"/>
        </w:rPr>
        <w:t> </w:t>
      </w:r>
      <w:r>
        <w:rPr>
          <w:vertAlign w:val="baseline"/>
        </w:rPr>
        <w:t>according</w:t>
      </w:r>
      <w:r>
        <w:rPr>
          <w:spacing w:val="-3"/>
          <w:vertAlign w:val="baseline"/>
        </w:rPr>
        <w:t> </w:t>
      </w:r>
      <w:r>
        <w:rPr>
          <w:vertAlign w:val="baseline"/>
        </w:rPr>
        <w:t>to</w:t>
      </w:r>
      <w:r>
        <w:rPr>
          <w:spacing w:val="-3"/>
          <w:vertAlign w:val="baseline"/>
        </w:rPr>
        <w:t> </w:t>
      </w:r>
      <w:r>
        <w:rPr>
          <w:vertAlign w:val="baseline"/>
        </w:rPr>
        <w:t>which</w:t>
      </w:r>
      <w:r>
        <w:rPr>
          <w:spacing w:val="-3"/>
          <w:vertAlign w:val="baseline"/>
        </w:rPr>
        <w:t> </w:t>
      </w:r>
      <w:r>
        <w:rPr>
          <w:vertAlign w:val="baseline"/>
        </w:rPr>
        <w:t>the</w:t>
      </w:r>
      <w:r>
        <w:rPr>
          <w:spacing w:val="-3"/>
          <w:vertAlign w:val="baseline"/>
        </w:rPr>
        <w:t> </w:t>
      </w:r>
      <w:r>
        <w:rPr>
          <w:vertAlign w:val="baseline"/>
        </w:rPr>
        <w:t>“existing</w:t>
      </w:r>
      <w:r>
        <w:rPr>
          <w:spacing w:val="-3"/>
          <w:vertAlign w:val="baseline"/>
        </w:rPr>
        <w:t> </w:t>
      </w:r>
      <w:r>
        <w:rPr>
          <w:vertAlign w:val="baseline"/>
        </w:rPr>
        <w:t>structures”</w:t>
      </w:r>
      <w:r>
        <w:rPr>
          <w:spacing w:val="-3"/>
          <w:vertAlign w:val="baseline"/>
        </w:rPr>
        <w:t> </w:t>
      </w:r>
      <w:r>
        <w:rPr>
          <w:vertAlign w:val="baseline"/>
        </w:rPr>
        <w:t>should</w:t>
      </w:r>
      <w:r>
        <w:rPr>
          <w:spacing w:val="-3"/>
          <w:vertAlign w:val="baseline"/>
        </w:rPr>
        <w:t> </w:t>
      </w:r>
      <w:r>
        <w:rPr>
          <w:vertAlign w:val="baseline"/>
        </w:rPr>
        <w:t>be</w:t>
      </w:r>
      <w:r>
        <w:rPr>
          <w:spacing w:val="-3"/>
          <w:vertAlign w:val="baseline"/>
        </w:rPr>
        <w:t> </w:t>
      </w:r>
      <w:r>
        <w:rPr>
          <w:vertAlign w:val="baseline"/>
        </w:rPr>
        <w:t>at</w:t>
      </w:r>
      <w:r>
        <w:rPr>
          <w:spacing w:val="-3"/>
          <w:vertAlign w:val="baseline"/>
        </w:rPr>
        <w:t> </w:t>
      </w:r>
      <w:r>
        <w:rPr>
          <w:vertAlign w:val="baseline"/>
        </w:rPr>
        <w:t>its</w:t>
      </w:r>
      <w:r>
        <w:rPr>
          <w:spacing w:val="-3"/>
          <w:vertAlign w:val="baseline"/>
        </w:rPr>
        <w:t> </w:t>
      </w:r>
      <w:r>
        <w:rPr>
          <w:vertAlign w:val="baseline"/>
        </w:rPr>
        <w:t>own</w:t>
      </w:r>
      <w:r>
        <w:rPr>
          <w:spacing w:val="-3"/>
          <w:vertAlign w:val="baseline"/>
        </w:rPr>
        <w:t> </w:t>
      </w:r>
      <w:r>
        <w:rPr>
          <w:vertAlign w:val="baseline"/>
        </w:rPr>
        <w:t>risk</w:t>
      </w:r>
      <w:r>
        <w:rPr>
          <w:spacing w:val="-3"/>
          <w:vertAlign w:val="baseline"/>
        </w:rPr>
        <w:t> </w:t>
      </w:r>
      <w:r>
        <w:rPr>
          <w:vertAlign w:val="baseline"/>
        </w:rPr>
        <w:t>as</w:t>
      </w:r>
      <w:r>
        <w:rPr>
          <w:spacing w:val="-3"/>
          <w:vertAlign w:val="baseline"/>
        </w:rPr>
        <w:t> </w:t>
      </w:r>
      <w:r>
        <w:rPr>
          <w:vertAlign w:val="baseline"/>
        </w:rPr>
        <w:t>regards</w:t>
      </w:r>
      <w:r>
        <w:rPr>
          <w:spacing w:val="-3"/>
          <w:vertAlign w:val="baseline"/>
        </w:rPr>
        <w:t> </w:t>
      </w:r>
      <w:r>
        <w:rPr>
          <w:vertAlign w:val="baseline"/>
        </w:rPr>
        <w:t>loss</w:t>
      </w:r>
      <w:r>
        <w:rPr>
          <w:spacing w:val="-3"/>
          <w:vertAlign w:val="baseline"/>
        </w:rPr>
        <w:t> </w:t>
      </w:r>
      <w:r>
        <w:rPr>
          <w:vertAlign w:val="baseline"/>
        </w:rPr>
        <w:t>or damage by fire while the works were in progress and should be insured against these risks. The building contractors engaged sub-contractors to undertake the roofing of the extension on this basis and owing to the negligence of one of the latter’s employees, a fire was started which spread to and damaged the plaintiff’s existing building. The Court of Appeal rejected the plaintiff’s claim for this </w:t>
      </w:r>
      <w:bookmarkStart w:name="_bookmark2211" w:id="2213"/>
      <w:bookmarkEnd w:id="2213"/>
      <w:r>
        <w:rPr>
          <w:vertAlign w:val="baseline"/>
        </w:rPr>
        <w:t>damage</w:t>
      </w:r>
      <w:r>
        <w:rPr>
          <w:vertAlign w:val="baseline"/>
        </w:rPr>
        <w:t> to its property, refusing to recognise the existence of a duty of care in these circumstances. “On the basis of what is just and reasonable” </w:t>
      </w:r>
      <w:r>
        <w:rPr>
          <w:color w:val="005DA1"/>
          <w:u w:val="single" w:color="005DA1"/>
          <w:vertAlign w:val="superscript"/>
        </w:rPr>
        <w:t>1537</w:t>
      </w:r>
      <w:r>
        <w:rPr>
          <w:color w:val="005DA1"/>
          <w:vertAlign w:val="baseline"/>
        </w:rPr>
        <w:t> </w:t>
      </w:r>
      <w:r>
        <w:rPr>
          <w:vertAlign w:val="baseline"/>
        </w:rPr>
        <w:t>May L.J. did not think that:</w:t>
      </w:r>
    </w:p>
    <w:p>
      <w:pPr>
        <w:pStyle w:val="BodyText"/>
      </w:pPr>
    </w:p>
    <w:p>
      <w:pPr>
        <w:pStyle w:val="BodyText"/>
        <w:spacing w:before="119"/>
      </w:pPr>
    </w:p>
    <w:p>
      <w:pPr>
        <w:pStyle w:val="BodyText"/>
        <w:spacing w:line="235" w:lineRule="auto"/>
        <w:ind w:left="1245" w:right="167"/>
        <w:jc w:val="both"/>
      </w:pPr>
      <w:r>
        <w:rPr/>
        <w:t>“… the mere fact that there is no strict privity between the employer and </w:t>
      </w:r>
      <w:r>
        <w:rPr/>
        <w:t>the</w:t>
      </w:r>
      <w:r>
        <w:rPr>
          <w:spacing w:val="80"/>
        </w:rPr>
        <w:t> </w:t>
      </w:r>
      <w:r>
        <w:rPr/>
        <w:t>subcontractor should prevent the latter from relying on the clear basis on which all the </w:t>
      </w:r>
      <w:bookmarkStart w:name="_bookmark2212" w:id="2214"/>
      <w:bookmarkEnd w:id="2214"/>
      <w:r>
        <w:rPr/>
        <w:t>parties</w:t>
      </w:r>
      <w:r>
        <w:rPr/>
        <w:t> contracted in relation to damage to the employer’s building caused by fire, even when due to the negligence of the contractors or sub-contractors.” </w:t>
      </w:r>
      <w:r>
        <w:rPr>
          <w:color w:val="005DA1"/>
          <w:u w:val="single" w:color="005DA1"/>
          <w:vertAlign w:val="superscript"/>
        </w:rPr>
        <w:t>1538</w:t>
      </w:r>
    </w:p>
    <w:p>
      <w:pPr>
        <w:pStyle w:val="BodyText"/>
        <w:spacing w:before="115"/>
      </w:pPr>
    </w:p>
    <w:p>
      <w:pPr>
        <w:pStyle w:val="BodyText"/>
        <w:spacing w:line="235" w:lineRule="auto" w:before="1"/>
        <w:ind w:left="165" w:right="167"/>
        <w:jc w:val="both"/>
      </w:pPr>
      <w:r>
        <w:rPr/>
        <w:t>However, after the Contracts (Rights of Third Parties) Act 1999, parties to a contract may </w:t>
      </w:r>
      <w:r>
        <w:rPr/>
        <w:t>make </w:t>
      </w:r>
      <w:bookmarkStart w:name="_bookmark2213" w:id="2215"/>
      <w:bookmarkEnd w:id="2215"/>
      <w:r>
        <w:rPr/>
        <w:t>provision</w:t>
      </w:r>
      <w:r>
        <w:rPr/>
        <w:t> for the protection from liability of third parties in tort, subject to that Act’s requirements as to the necessary intention and more generally. </w:t>
      </w:r>
      <w:r>
        <w:rPr>
          <w:color w:val="005DA1"/>
          <w:u w:val="single" w:color="005DA1"/>
          <w:vertAlign w:val="superscript"/>
        </w:rPr>
        <w:t>1539</w:t>
      </w:r>
    </w:p>
    <w:p>
      <w:pPr>
        <w:pStyle w:val="BodyText"/>
      </w:pPr>
    </w:p>
    <w:p>
      <w:pPr>
        <w:pStyle w:val="BodyText"/>
        <w:spacing w:before="38"/>
      </w:pPr>
      <w:r>
        <w:rPr/>
        <mc:AlternateContent>
          <mc:Choice Requires="wps">
            <w:drawing>
              <wp:anchor distT="0" distB="0" distL="0" distR="0" allowOverlap="1" layoutInCell="1" locked="0" behindDoc="1" simplePos="0" relativeHeight="487699968">
                <wp:simplePos x="0" y="0"/>
                <wp:positionH relativeFrom="page">
                  <wp:posOffset>914400</wp:posOffset>
                </wp:positionH>
                <wp:positionV relativeFrom="paragraph">
                  <wp:posOffset>185407</wp:posOffset>
                </wp:positionV>
                <wp:extent cx="5724525" cy="1270"/>
                <wp:effectExtent l="0" t="0" r="0" b="0"/>
                <wp:wrapTopAndBottom/>
                <wp:docPr id="561" name="Graphic 561"/>
                <wp:cNvGraphicFramePr>
                  <a:graphicFrameLocks/>
                </wp:cNvGraphicFramePr>
                <a:graphic>
                  <a:graphicData uri="http://schemas.microsoft.com/office/word/2010/wordprocessingShape">
                    <wps:wsp>
                      <wps:cNvPr id="561" name="Graphic 56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99024pt;width:450.75pt;height:.1pt;mso-position-horizontal-relative:page;mso-position-vertical-relative:paragraph;z-index:-15616512;mso-wrap-distance-left:0;mso-wrap-distance-right:0" id="docshape87" coordorigin="1440,292" coordsize="9015,0" path="m1440,292l10454,292e" filled="false" stroked="true" strokeweight="1pt" strokecolor="#000000">
                <v:path arrowok="t"/>
                <v:stroke dashstyle="solid"/>
                <w10:wrap type="topAndBottom"/>
              </v:shape>
            </w:pict>
          </mc:Fallback>
        </mc:AlternateContent>
      </w:r>
    </w:p>
    <w:p>
      <w:pPr>
        <w:pStyle w:val="BodyText"/>
        <w:spacing w:after="0"/>
        <w:sectPr>
          <w:pgSz w:w="11900" w:h="16840"/>
          <w:pgMar w:header="971" w:footer="0" w:top="1300" w:bottom="280" w:left="1275" w:right="1275"/>
        </w:sectPr>
      </w:pPr>
    </w:p>
    <w:p>
      <w:pPr>
        <w:pStyle w:val="BodyText"/>
        <w:spacing w:before="63"/>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569" w:hRule="atLeast"/>
        </w:trPr>
        <w:tc>
          <w:tcPr>
            <w:tcW w:w="496" w:type="dxa"/>
          </w:tcPr>
          <w:p>
            <w:pPr>
              <w:pStyle w:val="TableParagraph"/>
              <w:spacing w:before="0"/>
              <w:ind w:left="0" w:right="43"/>
              <w:rPr>
                <w:sz w:val="14"/>
              </w:rPr>
            </w:pPr>
            <w:hyperlink w:history="true" w:anchor="_bookmark2104">
              <w:r>
                <w:rPr>
                  <w:color w:val="005DA1"/>
                  <w:spacing w:val="-2"/>
                  <w:sz w:val="14"/>
                  <w:u w:val="single" w:color="005DA1"/>
                </w:rPr>
                <w:t>1422</w:t>
              </w:r>
            </w:hyperlink>
            <w:r>
              <w:rPr>
                <w:spacing w:val="-2"/>
                <w:sz w:val="14"/>
              </w:rPr>
              <w:t>.</w:t>
            </w:r>
          </w:p>
        </w:tc>
        <w:tc>
          <w:tcPr>
            <w:tcW w:w="8620" w:type="dxa"/>
          </w:tcPr>
          <w:p>
            <w:pPr>
              <w:pStyle w:val="TableParagraph"/>
              <w:spacing w:line="235" w:lineRule="auto" w:before="0"/>
              <w:jc w:val="left"/>
              <w:rPr>
                <w:sz w:val="20"/>
              </w:rPr>
            </w:pPr>
            <w:r>
              <w:rPr>
                <w:sz w:val="20"/>
              </w:rPr>
              <w:t>See</w:t>
            </w:r>
            <w:r>
              <w:rPr>
                <w:spacing w:val="40"/>
                <w:sz w:val="20"/>
              </w:rPr>
              <w:t> </w:t>
            </w:r>
            <w:r>
              <w:rPr>
                <w:sz w:val="20"/>
              </w:rPr>
              <w:t>above,</w:t>
            </w:r>
            <w:r>
              <w:rPr>
                <w:spacing w:val="40"/>
                <w:sz w:val="20"/>
              </w:rPr>
              <w:t> </w:t>
            </w:r>
            <w:r>
              <w:rPr>
                <w:sz w:val="20"/>
              </w:rPr>
              <w:t>para.1-147.</w:t>
            </w:r>
            <w:r>
              <w:rPr>
                <w:spacing w:val="40"/>
                <w:sz w:val="20"/>
              </w:rPr>
              <w:t> </w:t>
            </w:r>
            <w:r>
              <w:rPr>
                <w:sz w:val="20"/>
              </w:rPr>
              <w:t>cf.</w:t>
            </w:r>
            <w:r>
              <w:rPr>
                <w:spacing w:val="40"/>
                <w:sz w:val="20"/>
              </w:rPr>
              <w:t> </w:t>
            </w:r>
            <w:r>
              <w:rPr>
                <w:sz w:val="20"/>
              </w:rPr>
              <w:t>below,</w:t>
            </w:r>
            <w:r>
              <w:rPr>
                <w:spacing w:val="40"/>
                <w:sz w:val="20"/>
              </w:rPr>
              <w:t> </w:t>
            </w:r>
            <w:r>
              <w:rPr>
                <w:sz w:val="20"/>
              </w:rPr>
              <w:t>paras</w:t>
            </w:r>
            <w:r>
              <w:rPr>
                <w:spacing w:val="40"/>
                <w:sz w:val="20"/>
              </w:rPr>
              <w:t> </w:t>
            </w:r>
            <w:r>
              <w:rPr>
                <w:sz w:val="20"/>
              </w:rPr>
              <w:t>1-210—1-215</w:t>
            </w:r>
            <w:r>
              <w:rPr>
                <w:spacing w:val="40"/>
                <w:sz w:val="20"/>
              </w:rPr>
              <w:t> </w:t>
            </w:r>
            <w:r>
              <w:rPr>
                <w:sz w:val="20"/>
              </w:rPr>
              <w:t>on</w:t>
            </w:r>
            <w:r>
              <w:rPr>
                <w:spacing w:val="40"/>
                <w:sz w:val="20"/>
              </w:rPr>
              <w:t> </w:t>
            </w:r>
            <w:r>
              <w:rPr>
                <w:sz w:val="20"/>
              </w:rPr>
              <w:t>liability</w:t>
            </w:r>
            <w:r>
              <w:rPr>
                <w:spacing w:val="40"/>
                <w:sz w:val="20"/>
              </w:rPr>
              <w:t> </w:t>
            </w:r>
            <w:r>
              <w:rPr>
                <w:sz w:val="20"/>
              </w:rPr>
              <w:t>in</w:t>
            </w:r>
            <w:r>
              <w:rPr>
                <w:spacing w:val="40"/>
                <w:sz w:val="20"/>
              </w:rPr>
              <w:t> </w:t>
            </w:r>
            <w:r>
              <w:rPr>
                <w:sz w:val="20"/>
              </w:rPr>
              <w:t>the</w:t>
            </w:r>
            <w:r>
              <w:rPr>
                <w:spacing w:val="40"/>
                <w:sz w:val="20"/>
              </w:rPr>
              <w:t> </w:t>
            </w:r>
            <w:r>
              <w:rPr>
                <w:sz w:val="20"/>
              </w:rPr>
              <w:t>tort</w:t>
            </w:r>
            <w:r>
              <w:rPr>
                <w:spacing w:val="40"/>
                <w:sz w:val="20"/>
              </w:rPr>
              <w:t> </w:t>
            </w:r>
            <w:r>
              <w:rPr>
                <w:sz w:val="20"/>
              </w:rPr>
              <w:t>of</w:t>
            </w:r>
            <w:r>
              <w:rPr>
                <w:spacing w:val="40"/>
                <w:sz w:val="20"/>
              </w:rPr>
              <w:t> </w:t>
            </w:r>
            <w:r>
              <w:rPr>
                <w:sz w:val="20"/>
              </w:rPr>
              <w:t>negligence beyond privity on the basis of an “assumption of responsibility”.</w:t>
            </w:r>
          </w:p>
        </w:tc>
      </w:tr>
      <w:tr>
        <w:trPr>
          <w:trHeight w:val="465" w:hRule="atLeast"/>
        </w:trPr>
        <w:tc>
          <w:tcPr>
            <w:tcW w:w="496" w:type="dxa"/>
          </w:tcPr>
          <w:p>
            <w:pPr>
              <w:pStyle w:val="TableParagraph"/>
              <w:ind w:left="0" w:right="43"/>
              <w:rPr>
                <w:sz w:val="14"/>
              </w:rPr>
            </w:pPr>
            <w:bookmarkStart w:name="_bookmark2214" w:id="2216"/>
            <w:bookmarkEnd w:id="2216"/>
            <w:r>
              <w:rPr/>
            </w:r>
            <w:hyperlink w:history="true" w:anchor="_bookmark2105">
              <w:r>
                <w:rPr>
                  <w:color w:val="005DA1"/>
                  <w:spacing w:val="-2"/>
                  <w:sz w:val="14"/>
                  <w:u w:val="single" w:color="005DA1"/>
                </w:rPr>
                <w:t>1423</w:t>
              </w:r>
            </w:hyperlink>
            <w:r>
              <w:rPr>
                <w:spacing w:val="-2"/>
                <w:sz w:val="14"/>
              </w:rPr>
              <w:t>.</w:t>
            </w:r>
          </w:p>
        </w:tc>
        <w:tc>
          <w:tcPr>
            <w:tcW w:w="8620" w:type="dxa"/>
          </w:tcPr>
          <w:p>
            <w:pPr>
              <w:pStyle w:val="TableParagraph"/>
              <w:spacing w:before="114"/>
              <w:jc w:val="left"/>
              <w:rPr>
                <w:sz w:val="20"/>
              </w:rPr>
            </w:pPr>
            <w:r>
              <w:rPr>
                <w:sz w:val="20"/>
              </w:rPr>
              <w:t>See below, para.1-</w:t>
            </w:r>
            <w:r>
              <w:rPr>
                <w:spacing w:val="-4"/>
                <w:sz w:val="20"/>
              </w:rPr>
              <w:t>202.</w:t>
            </w:r>
          </w:p>
        </w:tc>
      </w:tr>
      <w:tr>
        <w:trPr>
          <w:trHeight w:val="1590" w:hRule="atLeast"/>
        </w:trPr>
        <w:tc>
          <w:tcPr>
            <w:tcW w:w="496" w:type="dxa"/>
          </w:tcPr>
          <w:p>
            <w:pPr>
              <w:pStyle w:val="TableParagraph"/>
              <w:ind w:left="0" w:right="43"/>
              <w:rPr>
                <w:sz w:val="14"/>
              </w:rPr>
            </w:pPr>
            <w:bookmarkStart w:name="_bookmark2215" w:id="2217"/>
            <w:bookmarkEnd w:id="2217"/>
            <w:r>
              <w:rPr/>
            </w:r>
            <w:hyperlink w:history="true" w:anchor="_bookmark2106">
              <w:r>
                <w:rPr>
                  <w:color w:val="005DA1"/>
                  <w:spacing w:val="-2"/>
                  <w:sz w:val="14"/>
                  <w:u w:val="single" w:color="005DA1"/>
                </w:rPr>
                <w:t>1424</w:t>
              </w:r>
            </w:hyperlink>
            <w:r>
              <w:rPr>
                <w:spacing w:val="-2"/>
                <w:sz w:val="14"/>
              </w:rPr>
              <w:t>.</w:t>
            </w:r>
          </w:p>
        </w:tc>
        <w:tc>
          <w:tcPr>
            <w:tcW w:w="8620" w:type="dxa"/>
          </w:tcPr>
          <w:p>
            <w:pPr>
              <w:pStyle w:val="TableParagraph"/>
              <w:spacing w:line="235" w:lineRule="auto" w:before="118"/>
              <w:ind w:right="48"/>
              <w:jc w:val="both"/>
              <w:rPr>
                <w:sz w:val="20"/>
              </w:rPr>
            </w:pPr>
            <w:r>
              <w:rPr>
                <w:sz w:val="20"/>
              </w:rPr>
              <w:t>See below, para.1-203. Contracts may have other consequences for the incidence of liability in tort. For example, where A has sold goods to B, who has resold them to C, the </w:t>
            </w:r>
            <w:r>
              <w:rPr>
                <w:sz w:val="20"/>
              </w:rPr>
              <w:t>question</w:t>
            </w:r>
            <w:r>
              <w:rPr>
                <w:spacing w:val="40"/>
                <w:sz w:val="20"/>
              </w:rPr>
              <w:t> </w:t>
            </w:r>
            <w:r>
              <w:rPr>
                <w:sz w:val="20"/>
              </w:rPr>
              <w:t>whether the contract between A and B is void for mistake or merely voidable for fraud determines whether title to the property has passed to B and therefore whether C is liable to A</w:t>
            </w:r>
            <w:r>
              <w:rPr>
                <w:spacing w:val="40"/>
                <w:sz w:val="20"/>
              </w:rPr>
              <w:t> </w:t>
            </w:r>
            <w:r>
              <w:rPr>
                <w:sz w:val="20"/>
              </w:rPr>
              <w:t>in the tort of conversion: see </w:t>
            </w:r>
            <w:r>
              <w:rPr>
                <w:rFonts w:ascii="Arial"/>
                <w:i/>
                <w:sz w:val="20"/>
              </w:rPr>
              <w:t>Ingram v Little [1961] 1 Q.B. 31</w:t>
            </w:r>
            <w:r>
              <w:rPr>
                <w:sz w:val="20"/>
              </w:rPr>
              <w:t>; </w:t>
            </w:r>
            <w:r>
              <w:rPr>
                <w:rFonts w:ascii="Arial"/>
                <w:i/>
                <w:sz w:val="20"/>
              </w:rPr>
              <w:t>Lewis v Averay [1973] 1 W.L.R. 510</w:t>
            </w:r>
            <w:r>
              <w:rPr>
                <w:sz w:val="20"/>
              </w:rPr>
              <w:t>; </w:t>
            </w:r>
            <w:r>
              <w:rPr>
                <w:rFonts w:ascii="Arial"/>
                <w:i/>
                <w:sz w:val="20"/>
              </w:rPr>
              <w:t>Shogun Finance Ltd v Hudson [2003] UKHL 62, [2004] 1 A.C. 919</w:t>
            </w:r>
            <w:r>
              <w:rPr>
                <w:sz w:val="20"/>
              </w:rPr>
              <w:t>.</w:t>
            </w:r>
          </w:p>
        </w:tc>
      </w:tr>
      <w:tr>
        <w:trPr>
          <w:trHeight w:val="465" w:hRule="atLeast"/>
        </w:trPr>
        <w:tc>
          <w:tcPr>
            <w:tcW w:w="496" w:type="dxa"/>
          </w:tcPr>
          <w:p>
            <w:pPr>
              <w:pStyle w:val="TableParagraph"/>
              <w:ind w:left="0" w:right="43"/>
              <w:rPr>
                <w:sz w:val="14"/>
              </w:rPr>
            </w:pPr>
            <w:bookmarkStart w:name="_bookmark2216" w:id="2218"/>
            <w:bookmarkEnd w:id="2218"/>
            <w:r>
              <w:rPr/>
            </w:r>
            <w:hyperlink w:history="true" w:anchor="_bookmark2107">
              <w:r>
                <w:rPr>
                  <w:color w:val="005DA1"/>
                  <w:spacing w:val="-2"/>
                  <w:sz w:val="14"/>
                  <w:u w:val="single" w:color="005DA1"/>
                </w:rPr>
                <w:t>1425</w:t>
              </w:r>
            </w:hyperlink>
            <w:r>
              <w:rPr>
                <w:spacing w:val="-2"/>
                <w:sz w:val="14"/>
              </w:rPr>
              <w:t>.</w:t>
            </w:r>
          </w:p>
        </w:tc>
        <w:tc>
          <w:tcPr>
            <w:tcW w:w="8620" w:type="dxa"/>
          </w:tcPr>
          <w:p>
            <w:pPr>
              <w:pStyle w:val="TableParagraph"/>
              <w:spacing w:before="114"/>
              <w:jc w:val="left"/>
              <w:rPr>
                <w:sz w:val="20"/>
              </w:rPr>
            </w:pPr>
            <w:r>
              <w:rPr>
                <w:sz w:val="20"/>
              </w:rPr>
              <w:t>See below, paras 1-098, 1-208—1-</w:t>
            </w:r>
            <w:r>
              <w:rPr>
                <w:spacing w:val="-4"/>
                <w:sz w:val="20"/>
              </w:rPr>
              <w:t>209.</w:t>
            </w:r>
          </w:p>
        </w:tc>
      </w:tr>
      <w:tr>
        <w:trPr>
          <w:trHeight w:val="465" w:hRule="atLeast"/>
        </w:trPr>
        <w:tc>
          <w:tcPr>
            <w:tcW w:w="496" w:type="dxa"/>
          </w:tcPr>
          <w:p>
            <w:pPr>
              <w:pStyle w:val="TableParagraph"/>
              <w:ind w:left="0" w:right="43"/>
              <w:rPr>
                <w:sz w:val="14"/>
              </w:rPr>
            </w:pPr>
            <w:bookmarkStart w:name="_bookmark2217" w:id="2219"/>
            <w:bookmarkEnd w:id="2219"/>
            <w:r>
              <w:rPr/>
            </w:r>
            <w:hyperlink w:history="true" w:anchor="_bookmark2108">
              <w:r>
                <w:rPr>
                  <w:color w:val="005DA1"/>
                  <w:spacing w:val="-2"/>
                  <w:sz w:val="14"/>
                  <w:u w:val="single" w:color="005DA1"/>
                </w:rPr>
                <w:t>1426</w:t>
              </w:r>
            </w:hyperlink>
            <w:r>
              <w:rPr>
                <w:spacing w:val="-2"/>
                <w:sz w:val="14"/>
              </w:rPr>
              <w:t>.</w:t>
            </w:r>
          </w:p>
        </w:tc>
        <w:tc>
          <w:tcPr>
            <w:tcW w:w="8620" w:type="dxa"/>
          </w:tcPr>
          <w:p>
            <w:pPr>
              <w:pStyle w:val="TableParagraph"/>
              <w:spacing w:before="114"/>
              <w:jc w:val="left"/>
              <w:rPr>
                <w:sz w:val="20"/>
              </w:rPr>
            </w:pPr>
            <w:r>
              <w:rPr>
                <w:rFonts w:ascii="Arial"/>
                <w:i/>
                <w:sz w:val="20"/>
              </w:rPr>
              <w:t>(1853)</w:t>
            </w:r>
            <w:r>
              <w:rPr>
                <w:rFonts w:ascii="Arial"/>
                <w:i/>
                <w:spacing w:val="-2"/>
                <w:sz w:val="20"/>
              </w:rPr>
              <w:t> </w:t>
            </w:r>
            <w:r>
              <w:rPr>
                <w:rFonts w:ascii="Arial"/>
                <w:i/>
                <w:sz w:val="20"/>
              </w:rPr>
              <w:t>2 E.B. </w:t>
            </w:r>
            <w:r>
              <w:rPr>
                <w:rFonts w:ascii="Arial"/>
                <w:i/>
                <w:spacing w:val="-4"/>
                <w:sz w:val="20"/>
              </w:rPr>
              <w:t>216</w:t>
            </w:r>
            <w:r>
              <w:rPr>
                <w:spacing w:val="-4"/>
                <w:sz w:val="20"/>
              </w:rPr>
              <w:t>.</w:t>
            </w:r>
          </w:p>
        </w:tc>
      </w:tr>
      <w:tr>
        <w:trPr>
          <w:trHeight w:val="1140" w:hRule="atLeast"/>
        </w:trPr>
        <w:tc>
          <w:tcPr>
            <w:tcW w:w="496" w:type="dxa"/>
          </w:tcPr>
          <w:p>
            <w:pPr>
              <w:pStyle w:val="TableParagraph"/>
              <w:ind w:left="0" w:right="43"/>
              <w:rPr>
                <w:sz w:val="14"/>
              </w:rPr>
            </w:pPr>
            <w:bookmarkStart w:name="_bookmark2218" w:id="2220"/>
            <w:bookmarkEnd w:id="2220"/>
            <w:r>
              <w:rPr/>
            </w:r>
            <w:hyperlink w:history="true" w:anchor="_bookmark2109">
              <w:r>
                <w:rPr>
                  <w:color w:val="005DA1"/>
                  <w:spacing w:val="-2"/>
                  <w:sz w:val="14"/>
                  <w:u w:val="single" w:color="005DA1"/>
                </w:rPr>
                <w:t>1427</w:t>
              </w:r>
            </w:hyperlink>
            <w:r>
              <w:rPr>
                <w:spacing w:val="-2"/>
                <w:sz w:val="14"/>
              </w:rPr>
              <w:t>.</w:t>
            </w:r>
          </w:p>
        </w:tc>
        <w:tc>
          <w:tcPr>
            <w:tcW w:w="8620" w:type="dxa"/>
          </w:tcPr>
          <w:p>
            <w:pPr>
              <w:pStyle w:val="TableParagraph"/>
              <w:spacing w:line="235" w:lineRule="auto" w:before="118"/>
              <w:ind w:right="48"/>
              <w:jc w:val="both"/>
              <w:rPr>
                <w:sz w:val="20"/>
              </w:rPr>
            </w:pPr>
            <w:r>
              <w:rPr>
                <w:sz w:val="20"/>
              </w:rPr>
              <w:t>A’s</w:t>
            </w:r>
            <w:r>
              <w:rPr>
                <w:spacing w:val="-2"/>
                <w:sz w:val="20"/>
              </w:rPr>
              <w:t> </w:t>
            </w:r>
            <w:r>
              <w:rPr>
                <w:sz w:val="20"/>
              </w:rPr>
              <w:t>intention</w:t>
            </w:r>
            <w:r>
              <w:rPr>
                <w:spacing w:val="-2"/>
                <w:sz w:val="20"/>
              </w:rPr>
              <w:t> </w:t>
            </w:r>
            <w:r>
              <w:rPr>
                <w:sz w:val="20"/>
              </w:rPr>
              <w:t>must</w:t>
            </w:r>
            <w:r>
              <w:rPr>
                <w:spacing w:val="-2"/>
                <w:sz w:val="20"/>
              </w:rPr>
              <w:t> </w:t>
            </w:r>
            <w:r>
              <w:rPr>
                <w:sz w:val="20"/>
              </w:rPr>
              <w:t>be</w:t>
            </w:r>
            <w:r>
              <w:rPr>
                <w:spacing w:val="-2"/>
                <w:sz w:val="20"/>
              </w:rPr>
              <w:t> </w:t>
            </w:r>
            <w:r>
              <w:rPr>
                <w:sz w:val="20"/>
              </w:rPr>
              <w:t>to</w:t>
            </w:r>
            <w:r>
              <w:rPr>
                <w:spacing w:val="-2"/>
                <w:sz w:val="20"/>
              </w:rPr>
              <w:t> </w:t>
            </w:r>
            <w:r>
              <w:rPr>
                <w:sz w:val="20"/>
              </w:rPr>
              <w:t>induce</w:t>
            </w:r>
            <w:r>
              <w:rPr>
                <w:spacing w:val="-2"/>
                <w:sz w:val="20"/>
              </w:rPr>
              <w:t> </w:t>
            </w:r>
            <w:r>
              <w:rPr>
                <w:sz w:val="20"/>
              </w:rPr>
              <w:t>such</w:t>
            </w:r>
            <w:r>
              <w:rPr>
                <w:spacing w:val="-2"/>
                <w:sz w:val="20"/>
              </w:rPr>
              <w:t> </w:t>
            </w:r>
            <w:r>
              <w:rPr>
                <w:sz w:val="20"/>
              </w:rPr>
              <w:t>a</w:t>
            </w:r>
            <w:r>
              <w:rPr>
                <w:spacing w:val="-2"/>
                <w:sz w:val="20"/>
              </w:rPr>
              <w:t> </w:t>
            </w:r>
            <w:r>
              <w:rPr>
                <w:sz w:val="20"/>
              </w:rPr>
              <w:t>breach</w:t>
            </w:r>
            <w:r>
              <w:rPr>
                <w:spacing w:val="-2"/>
                <w:sz w:val="20"/>
              </w:rPr>
              <w:t> </w:t>
            </w:r>
            <w:r>
              <w:rPr>
                <w:sz w:val="20"/>
              </w:rPr>
              <w:t>and</w:t>
            </w:r>
            <w:r>
              <w:rPr>
                <w:spacing w:val="-2"/>
                <w:sz w:val="20"/>
              </w:rPr>
              <w:t> </w:t>
            </w:r>
            <w:r>
              <w:rPr>
                <w:sz w:val="20"/>
              </w:rPr>
              <w:t>so</w:t>
            </w:r>
            <w:r>
              <w:rPr>
                <w:spacing w:val="-2"/>
                <w:sz w:val="20"/>
              </w:rPr>
              <w:t> </w:t>
            </w:r>
            <w:r>
              <w:rPr>
                <w:sz w:val="20"/>
              </w:rPr>
              <w:t>a</w:t>
            </w:r>
            <w:r>
              <w:rPr>
                <w:spacing w:val="-2"/>
                <w:sz w:val="20"/>
              </w:rPr>
              <w:t> </w:t>
            </w:r>
            <w:r>
              <w:rPr>
                <w:sz w:val="20"/>
              </w:rPr>
              <w:t>person</w:t>
            </w:r>
            <w:r>
              <w:rPr>
                <w:spacing w:val="-2"/>
                <w:sz w:val="20"/>
              </w:rPr>
              <w:t> </w:t>
            </w:r>
            <w:r>
              <w:rPr>
                <w:sz w:val="20"/>
              </w:rPr>
              <w:t>who</w:t>
            </w:r>
            <w:r>
              <w:rPr>
                <w:spacing w:val="-2"/>
                <w:sz w:val="20"/>
              </w:rPr>
              <w:t> </w:t>
            </w:r>
            <w:r>
              <w:rPr>
                <w:sz w:val="20"/>
              </w:rPr>
              <w:t>sets</w:t>
            </w:r>
            <w:r>
              <w:rPr>
                <w:spacing w:val="-2"/>
                <w:sz w:val="20"/>
              </w:rPr>
              <w:t> </w:t>
            </w:r>
            <w:r>
              <w:rPr>
                <w:sz w:val="20"/>
              </w:rPr>
              <w:t>out</w:t>
            </w:r>
            <w:r>
              <w:rPr>
                <w:spacing w:val="-2"/>
                <w:sz w:val="20"/>
              </w:rPr>
              <w:t> </w:t>
            </w:r>
            <w:r>
              <w:rPr>
                <w:sz w:val="20"/>
              </w:rPr>
              <w:t>to</w:t>
            </w:r>
            <w:r>
              <w:rPr>
                <w:spacing w:val="-2"/>
                <w:sz w:val="20"/>
              </w:rPr>
              <w:t> </w:t>
            </w:r>
            <w:r>
              <w:rPr>
                <w:sz w:val="20"/>
              </w:rPr>
              <w:t>protect</w:t>
            </w:r>
            <w:r>
              <w:rPr>
                <w:spacing w:val="-2"/>
                <w:sz w:val="20"/>
              </w:rPr>
              <w:t> </w:t>
            </w:r>
            <w:r>
              <w:rPr>
                <w:sz w:val="20"/>
              </w:rPr>
              <w:t>their</w:t>
            </w:r>
            <w:r>
              <w:rPr>
                <w:spacing w:val="-2"/>
                <w:sz w:val="20"/>
              </w:rPr>
              <w:t> </w:t>
            </w:r>
            <w:r>
              <w:rPr>
                <w:sz w:val="20"/>
              </w:rPr>
              <w:t>own interests in the belief that they have a lawful right to do what they are doing does not have the requisite intention for these purposes: </w:t>
            </w:r>
            <w:r>
              <w:rPr>
                <w:rFonts w:ascii="Arial" w:hAnsi="Arial"/>
                <w:i/>
                <w:sz w:val="20"/>
              </w:rPr>
              <w:t>Meretz Investments NV v ACP Ltd [2007] EWCA </w:t>
            </w:r>
            <w:r>
              <w:rPr>
                <w:rFonts w:ascii="Arial" w:hAnsi="Arial"/>
                <w:i/>
                <w:sz w:val="20"/>
              </w:rPr>
              <w:t>Civ 1303, [2008] 2 W.L.R. 904 </w:t>
            </w:r>
            <w:r>
              <w:rPr>
                <w:sz w:val="20"/>
              </w:rPr>
              <w:t>at [124], [137], [174], [181]–[182].</w:t>
            </w:r>
          </w:p>
        </w:tc>
      </w:tr>
      <w:tr>
        <w:trPr>
          <w:trHeight w:val="465" w:hRule="atLeast"/>
        </w:trPr>
        <w:tc>
          <w:tcPr>
            <w:tcW w:w="496" w:type="dxa"/>
          </w:tcPr>
          <w:p>
            <w:pPr>
              <w:pStyle w:val="TableParagraph"/>
              <w:ind w:left="0" w:right="43"/>
              <w:rPr>
                <w:sz w:val="14"/>
              </w:rPr>
            </w:pPr>
            <w:bookmarkStart w:name="_bookmark2219" w:id="2221"/>
            <w:bookmarkEnd w:id="2221"/>
            <w:r>
              <w:rPr/>
            </w:r>
            <w:hyperlink w:history="true" w:anchor="_bookmark2109">
              <w:r>
                <w:rPr>
                  <w:color w:val="005DA1"/>
                  <w:spacing w:val="-2"/>
                  <w:sz w:val="14"/>
                  <w:u w:val="single" w:color="005DA1"/>
                </w:rPr>
                <w:t>1428</w:t>
              </w:r>
            </w:hyperlink>
            <w:r>
              <w:rPr>
                <w:spacing w:val="-2"/>
                <w:sz w:val="14"/>
              </w:rPr>
              <w:t>.</w:t>
            </w:r>
          </w:p>
        </w:tc>
        <w:tc>
          <w:tcPr>
            <w:tcW w:w="8620" w:type="dxa"/>
          </w:tcPr>
          <w:p>
            <w:pPr>
              <w:pStyle w:val="TableParagraph"/>
              <w:spacing w:before="114"/>
              <w:jc w:val="left"/>
              <w:rPr>
                <w:sz w:val="20"/>
              </w:rPr>
            </w:pPr>
            <w:r>
              <w:rPr>
                <w:sz w:val="20"/>
              </w:rPr>
              <w:t>As was the case in</w:t>
            </w:r>
            <w:r>
              <w:rPr>
                <w:spacing w:val="-1"/>
                <w:sz w:val="20"/>
              </w:rPr>
              <w:t> </w:t>
            </w:r>
            <w:r>
              <w:rPr>
                <w:rFonts w:ascii="Arial"/>
                <w:i/>
                <w:sz w:val="20"/>
              </w:rPr>
              <w:t>Lumley v Gye (1853) 2 E.B. 216</w:t>
            </w:r>
            <w:r>
              <w:rPr>
                <w:rFonts w:ascii="Arial"/>
                <w:i/>
                <w:spacing w:val="-1"/>
                <w:sz w:val="20"/>
              </w:rPr>
              <w:t> </w:t>
            </w:r>
            <w:r>
              <w:rPr>
                <w:spacing w:val="-2"/>
                <w:sz w:val="20"/>
              </w:rPr>
              <w:t>itself.</w:t>
            </w:r>
          </w:p>
        </w:tc>
      </w:tr>
      <w:tr>
        <w:trPr>
          <w:trHeight w:val="915" w:hRule="atLeast"/>
        </w:trPr>
        <w:tc>
          <w:tcPr>
            <w:tcW w:w="496" w:type="dxa"/>
          </w:tcPr>
          <w:p>
            <w:pPr>
              <w:pStyle w:val="TableParagraph"/>
              <w:ind w:left="0" w:right="43"/>
              <w:rPr>
                <w:sz w:val="14"/>
              </w:rPr>
            </w:pPr>
            <w:bookmarkStart w:name="_bookmark2220" w:id="2222"/>
            <w:bookmarkEnd w:id="2222"/>
            <w:r>
              <w:rPr/>
            </w:r>
            <w:hyperlink w:history="true" w:anchor="_bookmark2110">
              <w:r>
                <w:rPr>
                  <w:color w:val="005DA1"/>
                  <w:spacing w:val="-2"/>
                  <w:sz w:val="14"/>
                  <w:u w:val="single" w:color="005DA1"/>
                </w:rPr>
                <w:t>1429</w:t>
              </w:r>
            </w:hyperlink>
            <w:r>
              <w:rPr>
                <w:spacing w:val="-2"/>
                <w:sz w:val="14"/>
              </w:rPr>
              <w:t>.</w:t>
            </w:r>
          </w:p>
        </w:tc>
        <w:tc>
          <w:tcPr>
            <w:tcW w:w="8620" w:type="dxa"/>
          </w:tcPr>
          <w:p>
            <w:pPr>
              <w:pStyle w:val="TableParagraph"/>
              <w:spacing w:line="235" w:lineRule="auto" w:before="118"/>
              <w:ind w:right="49"/>
              <w:jc w:val="both"/>
              <w:rPr>
                <w:sz w:val="20"/>
              </w:rPr>
            </w:pPr>
            <w:r>
              <w:rPr>
                <w:sz w:val="20"/>
              </w:rPr>
              <w:t>As was the case in </w:t>
            </w:r>
            <w:r>
              <w:rPr>
                <w:rFonts w:ascii="Arial"/>
                <w:i/>
                <w:sz w:val="20"/>
              </w:rPr>
              <w:t>Torquay Hotel Co Ltd v Cousins [1969] 2 Ch. 106 </w:t>
            </w:r>
            <w:r>
              <w:rPr>
                <w:sz w:val="20"/>
              </w:rPr>
              <w:t>(although as explained in the text the extended view of the tort in this case will not be followed after </w:t>
            </w:r>
            <w:r>
              <w:rPr>
                <w:rFonts w:ascii="Arial"/>
                <w:i/>
                <w:sz w:val="20"/>
              </w:rPr>
              <w:t>OGB Ltd v </w:t>
            </w:r>
            <w:r>
              <w:rPr>
                <w:rFonts w:ascii="Arial"/>
                <w:i/>
                <w:sz w:val="20"/>
              </w:rPr>
              <w:t>Allan, Douglas v Hello! Ltd, Mainstream Properties Ltd v Young [2007] UKHL 21, [2008] 1 A.C. 1</w:t>
            </w:r>
            <w:r>
              <w:rPr>
                <w:sz w:val="20"/>
              </w:rPr>
              <w:t>).</w:t>
            </w:r>
          </w:p>
        </w:tc>
      </w:tr>
      <w:tr>
        <w:trPr>
          <w:trHeight w:val="465" w:hRule="atLeast"/>
        </w:trPr>
        <w:tc>
          <w:tcPr>
            <w:tcW w:w="496" w:type="dxa"/>
          </w:tcPr>
          <w:p>
            <w:pPr>
              <w:pStyle w:val="TableParagraph"/>
              <w:ind w:left="0" w:right="43"/>
              <w:rPr>
                <w:sz w:val="14"/>
              </w:rPr>
            </w:pPr>
            <w:bookmarkStart w:name="_bookmark2221" w:id="2223"/>
            <w:bookmarkEnd w:id="2223"/>
            <w:r>
              <w:rPr/>
            </w:r>
            <w:hyperlink w:history="true" w:anchor="_bookmark2111">
              <w:r>
                <w:rPr>
                  <w:color w:val="005DA1"/>
                  <w:spacing w:val="-2"/>
                  <w:sz w:val="14"/>
                  <w:u w:val="single" w:color="005DA1"/>
                </w:rPr>
                <w:t>1430</w:t>
              </w:r>
            </w:hyperlink>
            <w:r>
              <w:rPr>
                <w:spacing w:val="-2"/>
                <w:sz w:val="14"/>
              </w:rPr>
              <w:t>.</w:t>
            </w:r>
          </w:p>
        </w:tc>
        <w:tc>
          <w:tcPr>
            <w:tcW w:w="8620" w:type="dxa"/>
          </w:tcPr>
          <w:p>
            <w:pPr>
              <w:pStyle w:val="TableParagraph"/>
              <w:spacing w:before="114"/>
              <w:jc w:val="left"/>
              <w:rPr>
                <w:sz w:val="20"/>
              </w:rPr>
            </w:pPr>
            <w:r>
              <w:rPr>
                <w:rFonts w:ascii="Arial"/>
                <w:i/>
                <w:sz w:val="20"/>
              </w:rPr>
              <w:t>Lumley v Gye (1853) 2 E.B. 216</w:t>
            </w:r>
            <w:r>
              <w:rPr>
                <w:rFonts w:ascii="Arial"/>
                <w:i/>
                <w:spacing w:val="-1"/>
                <w:sz w:val="20"/>
              </w:rPr>
              <w:t> </w:t>
            </w:r>
            <w:r>
              <w:rPr>
                <w:sz w:val="20"/>
              </w:rPr>
              <w:t>at </w:t>
            </w:r>
            <w:r>
              <w:rPr>
                <w:spacing w:val="-4"/>
                <w:sz w:val="20"/>
              </w:rPr>
              <w:t>234.</w:t>
            </w:r>
          </w:p>
        </w:tc>
      </w:tr>
      <w:tr>
        <w:trPr>
          <w:trHeight w:val="915" w:hRule="atLeast"/>
        </w:trPr>
        <w:tc>
          <w:tcPr>
            <w:tcW w:w="496" w:type="dxa"/>
          </w:tcPr>
          <w:p>
            <w:pPr>
              <w:pStyle w:val="TableParagraph"/>
              <w:ind w:left="0" w:right="43"/>
              <w:rPr>
                <w:sz w:val="14"/>
              </w:rPr>
            </w:pPr>
            <w:bookmarkStart w:name="_bookmark2222" w:id="2224"/>
            <w:bookmarkEnd w:id="2224"/>
            <w:r>
              <w:rPr/>
            </w:r>
            <w:hyperlink w:history="true" w:anchor="_bookmark2112">
              <w:r>
                <w:rPr>
                  <w:color w:val="005DA1"/>
                  <w:spacing w:val="-2"/>
                  <w:sz w:val="14"/>
                  <w:u w:val="single" w:color="005DA1"/>
                </w:rPr>
                <w:t>1431</w:t>
              </w:r>
            </w:hyperlink>
            <w:r>
              <w:rPr>
                <w:spacing w:val="-2"/>
                <w:sz w:val="14"/>
              </w:rPr>
              <w:t>.</w:t>
            </w:r>
          </w:p>
        </w:tc>
        <w:tc>
          <w:tcPr>
            <w:tcW w:w="8620" w:type="dxa"/>
          </w:tcPr>
          <w:p>
            <w:pPr>
              <w:pStyle w:val="TableParagraph"/>
              <w:spacing w:line="235" w:lineRule="auto" w:before="118"/>
              <w:ind w:right="46"/>
              <w:jc w:val="left"/>
              <w:rPr>
                <w:rFonts w:ascii="Arial"/>
                <w:i/>
                <w:sz w:val="20"/>
              </w:rPr>
            </w:pPr>
            <w:r>
              <w:rPr>
                <w:rFonts w:ascii="Arial"/>
                <w:i/>
                <w:sz w:val="20"/>
              </w:rPr>
              <w:t>OGB</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Allan,</w:t>
            </w:r>
            <w:r>
              <w:rPr>
                <w:rFonts w:ascii="Arial"/>
                <w:i/>
                <w:spacing w:val="21"/>
                <w:sz w:val="20"/>
              </w:rPr>
              <w:t> </w:t>
            </w:r>
            <w:r>
              <w:rPr>
                <w:rFonts w:ascii="Arial"/>
                <w:i/>
                <w:sz w:val="20"/>
              </w:rPr>
              <w:t>Douglas</w:t>
            </w:r>
            <w:r>
              <w:rPr>
                <w:rFonts w:ascii="Arial"/>
                <w:i/>
                <w:spacing w:val="21"/>
                <w:sz w:val="20"/>
              </w:rPr>
              <w:t> </w:t>
            </w:r>
            <w:r>
              <w:rPr>
                <w:rFonts w:ascii="Arial"/>
                <w:i/>
                <w:sz w:val="20"/>
              </w:rPr>
              <w:t>v</w:t>
            </w:r>
            <w:r>
              <w:rPr>
                <w:rFonts w:ascii="Arial"/>
                <w:i/>
                <w:spacing w:val="21"/>
                <w:sz w:val="20"/>
              </w:rPr>
              <w:t> </w:t>
            </w:r>
            <w:r>
              <w:rPr>
                <w:rFonts w:ascii="Arial"/>
                <w:i/>
                <w:sz w:val="20"/>
              </w:rPr>
              <w:t>Hello!</w:t>
            </w:r>
            <w:r>
              <w:rPr>
                <w:rFonts w:ascii="Arial"/>
                <w:i/>
                <w:spacing w:val="21"/>
                <w:sz w:val="20"/>
              </w:rPr>
              <w:t> </w:t>
            </w:r>
            <w:r>
              <w:rPr>
                <w:rFonts w:ascii="Arial"/>
                <w:i/>
                <w:sz w:val="20"/>
              </w:rPr>
              <w:t>Ltd,</w:t>
            </w:r>
            <w:r>
              <w:rPr>
                <w:rFonts w:ascii="Arial"/>
                <w:i/>
                <w:spacing w:val="21"/>
                <w:sz w:val="20"/>
              </w:rPr>
              <w:t> </w:t>
            </w:r>
            <w:r>
              <w:rPr>
                <w:rFonts w:ascii="Arial"/>
                <w:i/>
                <w:sz w:val="20"/>
              </w:rPr>
              <w:t>Mainstream</w:t>
            </w:r>
            <w:r>
              <w:rPr>
                <w:rFonts w:ascii="Arial"/>
                <w:i/>
                <w:spacing w:val="21"/>
                <w:sz w:val="20"/>
              </w:rPr>
              <w:t> </w:t>
            </w:r>
            <w:r>
              <w:rPr>
                <w:rFonts w:ascii="Arial"/>
                <w:i/>
                <w:sz w:val="20"/>
              </w:rPr>
              <w:t>Properties</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Young</w:t>
            </w:r>
            <w:r>
              <w:rPr>
                <w:rFonts w:ascii="Arial"/>
                <w:i/>
                <w:spacing w:val="21"/>
                <w:sz w:val="20"/>
              </w:rPr>
              <w:t> </w:t>
            </w:r>
            <w:r>
              <w:rPr>
                <w:rFonts w:ascii="Arial"/>
                <w:i/>
                <w:sz w:val="20"/>
              </w:rPr>
              <w:t>[2007]</w:t>
            </w:r>
            <w:r>
              <w:rPr>
                <w:rFonts w:ascii="Arial"/>
                <w:i/>
                <w:spacing w:val="21"/>
                <w:sz w:val="20"/>
              </w:rPr>
              <w:t> </w:t>
            </w:r>
            <w:r>
              <w:rPr>
                <w:rFonts w:ascii="Arial"/>
                <w:i/>
                <w:sz w:val="20"/>
              </w:rPr>
              <w:t>UKHL</w:t>
            </w:r>
            <w:r>
              <w:rPr>
                <w:rFonts w:ascii="Arial"/>
                <w:i/>
                <w:spacing w:val="21"/>
                <w:sz w:val="20"/>
              </w:rPr>
              <w:t> </w:t>
            </w:r>
            <w:r>
              <w:rPr>
                <w:rFonts w:ascii="Arial"/>
                <w:i/>
                <w:sz w:val="20"/>
              </w:rPr>
              <w:t>21, [2008]</w:t>
            </w:r>
            <w:r>
              <w:rPr>
                <w:rFonts w:ascii="Arial"/>
                <w:i/>
                <w:spacing w:val="2"/>
                <w:sz w:val="20"/>
              </w:rPr>
              <w:t> </w:t>
            </w:r>
            <w:r>
              <w:rPr>
                <w:rFonts w:ascii="Arial"/>
                <w:i/>
                <w:sz w:val="20"/>
              </w:rPr>
              <w:t>1</w:t>
            </w:r>
            <w:r>
              <w:rPr>
                <w:rFonts w:ascii="Arial"/>
                <w:i/>
                <w:spacing w:val="2"/>
                <w:sz w:val="20"/>
              </w:rPr>
              <w:t> </w:t>
            </w:r>
            <w:r>
              <w:rPr>
                <w:rFonts w:ascii="Arial"/>
                <w:i/>
                <w:sz w:val="20"/>
              </w:rPr>
              <w:t>A.C.</w:t>
            </w:r>
            <w:r>
              <w:rPr>
                <w:rFonts w:ascii="Arial"/>
                <w:i/>
                <w:spacing w:val="2"/>
                <w:sz w:val="20"/>
              </w:rPr>
              <w:t> </w:t>
            </w:r>
            <w:r>
              <w:rPr>
                <w:rFonts w:ascii="Arial"/>
                <w:i/>
                <w:sz w:val="20"/>
              </w:rPr>
              <w:t>1</w:t>
            </w:r>
            <w:r>
              <w:rPr>
                <w:rFonts w:ascii="Arial"/>
                <w:i/>
                <w:spacing w:val="2"/>
                <w:sz w:val="20"/>
              </w:rPr>
              <w:t> </w:t>
            </w:r>
            <w:r>
              <w:rPr>
                <w:sz w:val="20"/>
              </w:rPr>
              <w:t>especially</w:t>
            </w:r>
            <w:r>
              <w:rPr>
                <w:spacing w:val="2"/>
                <w:sz w:val="20"/>
              </w:rPr>
              <w:t> </w:t>
            </w:r>
            <w:r>
              <w:rPr>
                <w:sz w:val="20"/>
              </w:rPr>
              <w:t>at</w:t>
            </w:r>
            <w:r>
              <w:rPr>
                <w:spacing w:val="2"/>
                <w:sz w:val="20"/>
              </w:rPr>
              <w:t> </w:t>
            </w:r>
            <w:r>
              <w:rPr>
                <w:sz w:val="20"/>
              </w:rPr>
              <w:t>[44]</w:t>
            </w:r>
            <w:r>
              <w:rPr>
                <w:spacing w:val="2"/>
                <w:sz w:val="20"/>
              </w:rPr>
              <w:t> </w:t>
            </w:r>
            <w:r>
              <w:rPr>
                <w:sz w:val="20"/>
              </w:rPr>
              <w:t>and</w:t>
            </w:r>
            <w:r>
              <w:rPr>
                <w:spacing w:val="2"/>
                <w:sz w:val="20"/>
              </w:rPr>
              <w:t> </w:t>
            </w:r>
            <w:r>
              <w:rPr>
                <w:sz w:val="20"/>
              </w:rPr>
              <w:t>[189]</w:t>
            </w:r>
            <w:r>
              <w:rPr>
                <w:spacing w:val="2"/>
                <w:sz w:val="20"/>
              </w:rPr>
              <w:t> </w:t>
            </w:r>
            <w:r>
              <w:rPr>
                <w:sz w:val="20"/>
              </w:rPr>
              <w:t>not</w:t>
            </w:r>
            <w:r>
              <w:rPr>
                <w:spacing w:val="2"/>
                <w:sz w:val="20"/>
              </w:rPr>
              <w:t> </w:t>
            </w:r>
            <w:r>
              <w:rPr>
                <w:sz w:val="20"/>
              </w:rPr>
              <w:t>following</w:t>
            </w:r>
            <w:r>
              <w:rPr>
                <w:spacing w:val="1"/>
                <w:sz w:val="20"/>
              </w:rPr>
              <w:t> </w:t>
            </w:r>
            <w:r>
              <w:rPr>
                <w:rFonts w:ascii="Arial"/>
                <w:i/>
                <w:sz w:val="20"/>
              </w:rPr>
              <w:t>Torquay</w:t>
            </w:r>
            <w:r>
              <w:rPr>
                <w:rFonts w:ascii="Arial"/>
                <w:i/>
                <w:spacing w:val="2"/>
                <w:sz w:val="20"/>
              </w:rPr>
              <w:t> </w:t>
            </w:r>
            <w:r>
              <w:rPr>
                <w:rFonts w:ascii="Arial"/>
                <w:i/>
                <w:sz w:val="20"/>
              </w:rPr>
              <w:t>Hotel</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Cousins</w:t>
            </w:r>
            <w:r>
              <w:rPr>
                <w:rFonts w:ascii="Arial"/>
                <w:i/>
                <w:spacing w:val="2"/>
                <w:sz w:val="20"/>
              </w:rPr>
              <w:t> </w:t>
            </w:r>
            <w:r>
              <w:rPr>
                <w:rFonts w:ascii="Arial"/>
                <w:i/>
                <w:spacing w:val="-2"/>
                <w:sz w:val="20"/>
              </w:rPr>
              <w:t>[1969]</w:t>
            </w:r>
          </w:p>
          <w:p>
            <w:pPr>
              <w:pStyle w:val="TableParagraph"/>
              <w:spacing w:line="225" w:lineRule="exact" w:before="0"/>
              <w:jc w:val="left"/>
              <w:rPr>
                <w:sz w:val="20"/>
              </w:rPr>
            </w:pPr>
            <w:r>
              <w:rPr>
                <w:rFonts w:ascii="Arial"/>
                <w:i/>
                <w:sz w:val="20"/>
              </w:rPr>
              <w:t>2</w:t>
            </w:r>
            <w:r>
              <w:rPr>
                <w:rFonts w:ascii="Arial"/>
                <w:i/>
                <w:spacing w:val="-1"/>
                <w:sz w:val="20"/>
              </w:rPr>
              <w:t> </w:t>
            </w:r>
            <w:r>
              <w:rPr>
                <w:rFonts w:ascii="Arial"/>
                <w:i/>
                <w:sz w:val="20"/>
              </w:rPr>
              <w:t>Ch. 106</w:t>
            </w:r>
            <w:r>
              <w:rPr>
                <w:sz w:val="20"/>
              </w:rPr>
              <w:t>; </w:t>
            </w:r>
            <w:r>
              <w:rPr>
                <w:rFonts w:ascii="Arial"/>
                <w:i/>
                <w:sz w:val="20"/>
              </w:rPr>
              <w:t>Merkur Island Shipping Corp v Laughton [1983] 2 A.C. 570, 607-</w:t>
            </w:r>
            <w:r>
              <w:rPr>
                <w:rFonts w:ascii="Arial"/>
                <w:i/>
                <w:spacing w:val="-4"/>
                <w:sz w:val="20"/>
              </w:rPr>
              <w:t>610</w:t>
            </w:r>
            <w:r>
              <w:rPr>
                <w:spacing w:val="-4"/>
                <w:sz w:val="20"/>
              </w:rPr>
              <w:t>.</w:t>
            </w:r>
          </w:p>
        </w:tc>
      </w:tr>
      <w:tr>
        <w:trPr>
          <w:trHeight w:val="690" w:hRule="atLeast"/>
        </w:trPr>
        <w:tc>
          <w:tcPr>
            <w:tcW w:w="496" w:type="dxa"/>
          </w:tcPr>
          <w:p>
            <w:pPr>
              <w:pStyle w:val="TableParagraph"/>
              <w:ind w:left="0" w:right="43"/>
              <w:rPr>
                <w:sz w:val="14"/>
              </w:rPr>
            </w:pPr>
            <w:bookmarkStart w:name="_bookmark2223" w:id="2225"/>
            <w:bookmarkEnd w:id="2225"/>
            <w:r>
              <w:rPr/>
            </w:r>
            <w:hyperlink w:history="true" w:anchor="_bookmark2113">
              <w:r>
                <w:rPr>
                  <w:color w:val="005DA1"/>
                  <w:spacing w:val="-2"/>
                  <w:sz w:val="14"/>
                  <w:u w:val="single" w:color="005DA1"/>
                </w:rPr>
                <w:t>1432</w:t>
              </w:r>
            </w:hyperlink>
            <w:r>
              <w:rPr>
                <w:spacing w:val="-2"/>
                <w:sz w:val="14"/>
              </w:rPr>
              <w:t>.</w:t>
            </w:r>
          </w:p>
        </w:tc>
        <w:tc>
          <w:tcPr>
            <w:tcW w:w="8620" w:type="dxa"/>
          </w:tcPr>
          <w:p>
            <w:pPr>
              <w:pStyle w:val="TableParagraph"/>
              <w:spacing w:line="235" w:lineRule="auto" w:before="118"/>
              <w:ind w:right="49"/>
              <w:jc w:val="left"/>
              <w:rPr>
                <w:sz w:val="20"/>
              </w:rPr>
            </w:pPr>
            <w:r>
              <w:rPr>
                <w:rFonts w:ascii="Arial"/>
                <w:i/>
                <w:sz w:val="20"/>
              </w:rPr>
              <w:t>Law Debenture Trust Corp Plc v Ural Caspian Oil Corp Ltd [1994] 3 W.L.R. 1221 </w:t>
            </w:r>
            <w:r>
              <w:rPr>
                <w:sz w:val="20"/>
              </w:rPr>
              <w:t>especially </w:t>
            </w:r>
            <w:r>
              <w:rPr>
                <w:sz w:val="20"/>
              </w:rPr>
              <w:t>at </w:t>
            </w:r>
            <w:r>
              <w:rPr>
                <w:spacing w:val="-2"/>
                <w:sz w:val="20"/>
              </w:rPr>
              <w:t>1231-1232.</w:t>
            </w:r>
          </w:p>
        </w:tc>
      </w:tr>
      <w:tr>
        <w:trPr>
          <w:trHeight w:val="690" w:hRule="atLeast"/>
        </w:trPr>
        <w:tc>
          <w:tcPr>
            <w:tcW w:w="496" w:type="dxa"/>
          </w:tcPr>
          <w:p>
            <w:pPr>
              <w:pStyle w:val="TableParagraph"/>
              <w:ind w:left="0" w:right="43"/>
              <w:rPr>
                <w:sz w:val="14"/>
              </w:rPr>
            </w:pPr>
            <w:bookmarkStart w:name="_bookmark2224" w:id="2226"/>
            <w:bookmarkEnd w:id="2226"/>
            <w:r>
              <w:rPr/>
            </w:r>
            <w:hyperlink w:history="true" w:anchor="_bookmark2114">
              <w:r>
                <w:rPr>
                  <w:color w:val="005DA1"/>
                  <w:spacing w:val="-2"/>
                  <w:sz w:val="14"/>
                  <w:u w:val="single" w:color="005DA1"/>
                </w:rPr>
                <w:t>1433</w:t>
              </w:r>
            </w:hyperlink>
            <w:r>
              <w:rPr>
                <w:spacing w:val="-2"/>
                <w:sz w:val="14"/>
              </w:rPr>
              <w:t>.</w:t>
            </w:r>
          </w:p>
        </w:tc>
        <w:tc>
          <w:tcPr>
            <w:tcW w:w="8620" w:type="dxa"/>
          </w:tcPr>
          <w:p>
            <w:pPr>
              <w:pStyle w:val="TableParagraph"/>
              <w:spacing w:line="235" w:lineRule="auto" w:before="118"/>
              <w:jc w:val="left"/>
              <w:rPr>
                <w:sz w:val="20"/>
              </w:rPr>
            </w:pPr>
            <w:r>
              <w:rPr>
                <w:sz w:val="20"/>
              </w:rPr>
              <w:t>For</w:t>
            </w:r>
            <w:r>
              <w:rPr>
                <w:spacing w:val="38"/>
                <w:sz w:val="20"/>
              </w:rPr>
              <w:t> </w:t>
            </w:r>
            <w:r>
              <w:rPr>
                <w:sz w:val="20"/>
              </w:rPr>
              <w:t>“two-party”</w:t>
            </w:r>
            <w:r>
              <w:rPr>
                <w:spacing w:val="38"/>
                <w:sz w:val="20"/>
              </w:rPr>
              <w:t> </w:t>
            </w:r>
            <w:r>
              <w:rPr>
                <w:sz w:val="20"/>
              </w:rPr>
              <w:t>intimidation</w:t>
            </w:r>
            <w:r>
              <w:rPr>
                <w:spacing w:val="38"/>
                <w:sz w:val="20"/>
              </w:rPr>
              <w:t> </w:t>
            </w:r>
            <w:r>
              <w:rPr>
                <w:sz w:val="20"/>
              </w:rPr>
              <w:t>see</w:t>
            </w:r>
            <w:r>
              <w:rPr>
                <w:spacing w:val="38"/>
                <w:sz w:val="20"/>
              </w:rPr>
              <w:t> </w:t>
            </w:r>
            <w:r>
              <w:rPr>
                <w:sz w:val="20"/>
              </w:rPr>
              <w:t>above,</w:t>
            </w:r>
            <w:r>
              <w:rPr>
                <w:spacing w:val="38"/>
                <w:sz w:val="20"/>
              </w:rPr>
              <w:t> </w:t>
            </w:r>
            <w:r>
              <w:rPr>
                <w:sz w:val="20"/>
              </w:rPr>
              <w:t>para.1-174</w:t>
            </w:r>
            <w:r>
              <w:rPr>
                <w:spacing w:val="38"/>
                <w:sz w:val="20"/>
              </w:rPr>
              <w:t> </w:t>
            </w:r>
            <w:r>
              <w:rPr>
                <w:sz w:val="20"/>
              </w:rPr>
              <w:t>and</w:t>
            </w:r>
            <w:r>
              <w:rPr>
                <w:spacing w:val="38"/>
                <w:sz w:val="20"/>
              </w:rPr>
              <w:t> </w:t>
            </w:r>
            <w:r>
              <w:rPr>
                <w:sz w:val="20"/>
              </w:rPr>
              <w:t>Clerk</w:t>
            </w:r>
            <w:r>
              <w:rPr>
                <w:spacing w:val="38"/>
                <w:sz w:val="20"/>
              </w:rPr>
              <w:t> </w:t>
            </w:r>
            <w:r>
              <w:rPr>
                <w:sz w:val="20"/>
              </w:rPr>
              <w:t>&amp;</w:t>
            </w:r>
            <w:r>
              <w:rPr>
                <w:spacing w:val="38"/>
                <w:sz w:val="20"/>
              </w:rPr>
              <w:t> </w:t>
            </w:r>
            <w:r>
              <w:rPr>
                <w:sz w:val="20"/>
              </w:rPr>
              <w:t>Lindsell</w:t>
            </w:r>
            <w:r>
              <w:rPr>
                <w:spacing w:val="38"/>
                <w:sz w:val="20"/>
              </w:rPr>
              <w:t> </w:t>
            </w:r>
            <w:r>
              <w:rPr>
                <w:sz w:val="20"/>
              </w:rPr>
              <w:t>on</w:t>
            </w:r>
            <w:r>
              <w:rPr>
                <w:spacing w:val="38"/>
                <w:sz w:val="20"/>
              </w:rPr>
              <w:t> </w:t>
            </w:r>
            <w:r>
              <w:rPr>
                <w:sz w:val="20"/>
              </w:rPr>
              <w:t>Torts,</w:t>
            </w:r>
            <w:r>
              <w:rPr>
                <w:spacing w:val="38"/>
                <w:sz w:val="20"/>
              </w:rPr>
              <w:t> </w:t>
            </w:r>
            <w:r>
              <w:rPr>
                <w:sz w:val="20"/>
              </w:rPr>
              <w:t>21st</w:t>
            </w:r>
            <w:r>
              <w:rPr>
                <w:spacing w:val="38"/>
                <w:sz w:val="20"/>
              </w:rPr>
              <w:t> </w:t>
            </w:r>
            <w:r>
              <w:rPr>
                <w:sz w:val="20"/>
              </w:rPr>
              <w:t>edn (2014) paras 24-59 et seq. especially at paras 24-69—24-70.</w:t>
            </w:r>
          </w:p>
        </w:tc>
      </w:tr>
      <w:tr>
        <w:trPr>
          <w:trHeight w:val="915" w:hRule="atLeast"/>
        </w:trPr>
        <w:tc>
          <w:tcPr>
            <w:tcW w:w="496" w:type="dxa"/>
          </w:tcPr>
          <w:p>
            <w:pPr>
              <w:pStyle w:val="TableParagraph"/>
              <w:ind w:left="0" w:right="43"/>
              <w:rPr>
                <w:sz w:val="14"/>
              </w:rPr>
            </w:pPr>
            <w:bookmarkStart w:name="_bookmark2225" w:id="2227"/>
            <w:bookmarkEnd w:id="2227"/>
            <w:r>
              <w:rPr/>
            </w:r>
            <w:hyperlink w:history="true" w:anchor="_bookmark2115">
              <w:r>
                <w:rPr>
                  <w:color w:val="005DA1"/>
                  <w:spacing w:val="-2"/>
                  <w:sz w:val="14"/>
                  <w:u w:val="single" w:color="005DA1"/>
                </w:rPr>
                <w:t>1434</w:t>
              </w:r>
            </w:hyperlink>
            <w:r>
              <w:rPr>
                <w:spacing w:val="-2"/>
                <w:sz w:val="14"/>
              </w:rPr>
              <w:t>.</w:t>
            </w:r>
          </w:p>
        </w:tc>
        <w:tc>
          <w:tcPr>
            <w:tcW w:w="8620" w:type="dxa"/>
          </w:tcPr>
          <w:p>
            <w:pPr>
              <w:pStyle w:val="TableParagraph"/>
              <w:spacing w:line="235" w:lineRule="auto" w:before="118"/>
              <w:ind w:right="48"/>
              <w:jc w:val="both"/>
              <w:rPr>
                <w:sz w:val="20"/>
              </w:rPr>
            </w:pPr>
            <w:r>
              <w:rPr>
                <w:sz w:val="20"/>
              </w:rPr>
              <w:t>See, though, </w:t>
            </w:r>
            <w:r>
              <w:rPr>
                <w:rFonts w:ascii="Arial" w:hAnsi="Arial"/>
                <w:i/>
                <w:sz w:val="20"/>
              </w:rPr>
              <w:t>OGB Ltd v Allan, Douglas v Hello! Ltd, Mainstream Properties Ltd v Young </w:t>
            </w:r>
            <w:r>
              <w:rPr>
                <w:rFonts w:ascii="Arial" w:hAnsi="Arial"/>
                <w:i/>
                <w:sz w:val="20"/>
              </w:rPr>
              <w:t>[2007] UKHL 21, [2008] 1 A.C. 1 </w:t>
            </w:r>
            <w:r>
              <w:rPr>
                <w:sz w:val="20"/>
              </w:rPr>
              <w:t>at [6]–[10] where the terminology of “tort of intimidation” was</w:t>
            </w:r>
            <w:r>
              <w:rPr>
                <w:spacing w:val="40"/>
                <w:sz w:val="20"/>
              </w:rPr>
              <w:t> </w:t>
            </w:r>
            <w:r>
              <w:rPr>
                <w:spacing w:val="-2"/>
                <w:sz w:val="20"/>
              </w:rPr>
              <w:t>criticised.</w:t>
            </w:r>
          </w:p>
        </w:tc>
      </w:tr>
      <w:tr>
        <w:trPr>
          <w:trHeight w:val="465" w:hRule="atLeast"/>
        </w:trPr>
        <w:tc>
          <w:tcPr>
            <w:tcW w:w="496" w:type="dxa"/>
          </w:tcPr>
          <w:p>
            <w:pPr>
              <w:pStyle w:val="TableParagraph"/>
              <w:ind w:left="0" w:right="43"/>
              <w:rPr>
                <w:sz w:val="14"/>
              </w:rPr>
            </w:pPr>
            <w:bookmarkStart w:name="_bookmark2226" w:id="2228"/>
            <w:bookmarkEnd w:id="2228"/>
            <w:r>
              <w:rPr/>
            </w:r>
            <w:hyperlink w:history="true" w:anchor="_bookmark2115">
              <w:r>
                <w:rPr>
                  <w:color w:val="005DA1"/>
                  <w:spacing w:val="-2"/>
                  <w:sz w:val="14"/>
                  <w:u w:val="single" w:color="005DA1"/>
                </w:rPr>
                <w:t>1435</w:t>
              </w:r>
            </w:hyperlink>
            <w:r>
              <w:rPr>
                <w:spacing w:val="-2"/>
                <w:sz w:val="14"/>
              </w:rPr>
              <w:t>.</w:t>
            </w:r>
          </w:p>
        </w:tc>
        <w:tc>
          <w:tcPr>
            <w:tcW w:w="8620" w:type="dxa"/>
          </w:tcPr>
          <w:p>
            <w:pPr>
              <w:pStyle w:val="TableParagraph"/>
              <w:spacing w:before="114"/>
              <w:jc w:val="left"/>
              <w:rPr>
                <w:sz w:val="20"/>
              </w:rPr>
            </w:pPr>
            <w:r>
              <w:rPr>
                <w:rFonts w:ascii="Arial"/>
                <w:i/>
                <w:sz w:val="20"/>
              </w:rPr>
              <w:t>[1964] A.C. </w:t>
            </w:r>
            <w:r>
              <w:rPr>
                <w:rFonts w:ascii="Arial"/>
                <w:i/>
                <w:spacing w:val="-4"/>
                <w:sz w:val="20"/>
              </w:rPr>
              <w:t>1129</w:t>
            </w:r>
            <w:r>
              <w:rPr>
                <w:spacing w:val="-4"/>
                <w:sz w:val="20"/>
              </w:rPr>
              <w:t>.</w:t>
            </w:r>
          </w:p>
        </w:tc>
      </w:tr>
      <w:tr>
        <w:trPr>
          <w:trHeight w:val="915" w:hRule="atLeast"/>
        </w:trPr>
        <w:tc>
          <w:tcPr>
            <w:tcW w:w="496" w:type="dxa"/>
          </w:tcPr>
          <w:p>
            <w:pPr>
              <w:pStyle w:val="TableParagraph"/>
              <w:ind w:left="0" w:right="43"/>
              <w:rPr>
                <w:sz w:val="14"/>
              </w:rPr>
            </w:pPr>
            <w:bookmarkStart w:name="_bookmark2227" w:id="2229"/>
            <w:bookmarkEnd w:id="2229"/>
            <w:r>
              <w:rPr/>
            </w:r>
            <w:hyperlink w:history="true" w:anchor="_bookmark2116">
              <w:r>
                <w:rPr>
                  <w:color w:val="005DA1"/>
                  <w:spacing w:val="-2"/>
                  <w:sz w:val="14"/>
                  <w:u w:val="single" w:color="005DA1"/>
                </w:rPr>
                <w:t>1436</w:t>
              </w:r>
            </w:hyperlink>
            <w:r>
              <w:rPr>
                <w:spacing w:val="-2"/>
                <w:sz w:val="14"/>
              </w:rPr>
              <w:t>.</w:t>
            </w:r>
          </w:p>
        </w:tc>
        <w:tc>
          <w:tcPr>
            <w:tcW w:w="8620" w:type="dxa"/>
          </w:tcPr>
          <w:p>
            <w:pPr>
              <w:pStyle w:val="TableParagraph"/>
              <w:spacing w:line="235" w:lineRule="auto" w:before="118"/>
              <w:ind w:right="49"/>
              <w:jc w:val="both"/>
              <w:rPr>
                <w:sz w:val="20"/>
              </w:rPr>
            </w:pPr>
            <w:r>
              <w:rPr>
                <w:sz w:val="20"/>
              </w:rPr>
              <w:t>This position is consistent with the interpretation of “unlawful means” in </w:t>
            </w:r>
            <w:r>
              <w:rPr>
                <w:rFonts w:ascii="Arial" w:hAnsi="Arial"/>
                <w:i/>
                <w:sz w:val="20"/>
              </w:rPr>
              <w:t>OGB Ltd v </w:t>
            </w:r>
            <w:r>
              <w:rPr>
                <w:rFonts w:ascii="Arial" w:hAnsi="Arial"/>
                <w:i/>
                <w:sz w:val="20"/>
              </w:rPr>
              <w:t>Allan, Douglas v Hello! Ltd, Mainstream Properties Ltd v Young [2007] UKHL 21 </w:t>
            </w:r>
            <w:r>
              <w:rPr>
                <w:sz w:val="20"/>
              </w:rPr>
              <w:t>at [49]–[51], [162], [266]–[270], [302], [320].</w:t>
            </w:r>
          </w:p>
        </w:tc>
      </w:tr>
      <w:tr>
        <w:trPr>
          <w:trHeight w:val="465" w:hRule="atLeast"/>
        </w:trPr>
        <w:tc>
          <w:tcPr>
            <w:tcW w:w="496" w:type="dxa"/>
          </w:tcPr>
          <w:p>
            <w:pPr>
              <w:pStyle w:val="TableParagraph"/>
              <w:ind w:left="0" w:right="43"/>
              <w:rPr>
                <w:sz w:val="14"/>
              </w:rPr>
            </w:pPr>
            <w:bookmarkStart w:name="_bookmark2228" w:id="2230"/>
            <w:bookmarkEnd w:id="2230"/>
            <w:r>
              <w:rPr/>
            </w:r>
            <w:hyperlink w:history="true" w:anchor="_bookmark2117">
              <w:r>
                <w:rPr>
                  <w:color w:val="005DA1"/>
                  <w:spacing w:val="-2"/>
                  <w:sz w:val="14"/>
                  <w:u w:val="single" w:color="005DA1"/>
                </w:rPr>
                <w:t>1437</w:t>
              </w:r>
            </w:hyperlink>
            <w:r>
              <w:rPr>
                <w:spacing w:val="-2"/>
                <w:sz w:val="14"/>
              </w:rPr>
              <w:t>.</w:t>
            </w:r>
          </w:p>
        </w:tc>
        <w:tc>
          <w:tcPr>
            <w:tcW w:w="8620" w:type="dxa"/>
          </w:tcPr>
          <w:p>
            <w:pPr>
              <w:pStyle w:val="TableParagraph"/>
              <w:spacing w:before="114"/>
              <w:jc w:val="left"/>
              <w:rPr>
                <w:sz w:val="20"/>
              </w:rPr>
            </w:pPr>
            <w:r>
              <w:rPr>
                <w:rFonts w:ascii="Arial"/>
                <w:i/>
                <w:sz w:val="20"/>
              </w:rPr>
              <w:t>Rookes</w:t>
            </w:r>
            <w:r>
              <w:rPr>
                <w:rFonts w:ascii="Arial"/>
                <w:i/>
                <w:spacing w:val="-1"/>
                <w:sz w:val="20"/>
              </w:rPr>
              <w:t> </w:t>
            </w:r>
            <w:r>
              <w:rPr>
                <w:rFonts w:ascii="Arial"/>
                <w:i/>
                <w:sz w:val="20"/>
              </w:rPr>
              <w:t>v Barnard [1963] 1 Q.B. 623, 695</w:t>
            </w:r>
            <w:r>
              <w:rPr>
                <w:sz w:val="20"/>
              </w:rPr>
              <w:t>, per Pearson </w:t>
            </w:r>
            <w:r>
              <w:rPr>
                <w:spacing w:val="-4"/>
                <w:sz w:val="20"/>
              </w:rPr>
              <w:t>L.J.</w:t>
            </w:r>
          </w:p>
        </w:tc>
      </w:tr>
      <w:tr>
        <w:trPr>
          <w:trHeight w:val="465" w:hRule="atLeast"/>
        </w:trPr>
        <w:tc>
          <w:tcPr>
            <w:tcW w:w="496" w:type="dxa"/>
          </w:tcPr>
          <w:p>
            <w:pPr>
              <w:pStyle w:val="TableParagraph"/>
              <w:ind w:left="0" w:right="43"/>
              <w:rPr>
                <w:sz w:val="14"/>
              </w:rPr>
            </w:pPr>
            <w:bookmarkStart w:name="_bookmark2229" w:id="2231"/>
            <w:bookmarkEnd w:id="2231"/>
            <w:r>
              <w:rPr/>
            </w:r>
            <w:hyperlink w:history="true" w:anchor="_bookmark2117">
              <w:r>
                <w:rPr>
                  <w:color w:val="005DA1"/>
                  <w:spacing w:val="-2"/>
                  <w:sz w:val="14"/>
                  <w:u w:val="single" w:color="005DA1"/>
                </w:rPr>
                <w:t>1438</w:t>
              </w:r>
            </w:hyperlink>
            <w:r>
              <w:rPr>
                <w:spacing w:val="-2"/>
                <w:sz w:val="14"/>
              </w:rPr>
              <w:t>.</w:t>
            </w:r>
          </w:p>
        </w:tc>
        <w:tc>
          <w:tcPr>
            <w:tcW w:w="8620" w:type="dxa"/>
          </w:tcPr>
          <w:p>
            <w:pPr>
              <w:pStyle w:val="TableParagraph"/>
              <w:spacing w:before="114"/>
              <w:jc w:val="left"/>
              <w:rPr>
                <w:sz w:val="20"/>
              </w:rPr>
            </w:pPr>
            <w:r>
              <w:rPr>
                <w:rFonts w:ascii="Arial"/>
                <w:i/>
                <w:sz w:val="20"/>
              </w:rPr>
              <w:t>Rookes v Barnard [1963] 1 Q.B. </w:t>
            </w:r>
            <w:r>
              <w:rPr>
                <w:rFonts w:ascii="Arial"/>
                <w:i/>
                <w:spacing w:val="-4"/>
                <w:sz w:val="20"/>
              </w:rPr>
              <w:t>623</w:t>
            </w:r>
            <w:r>
              <w:rPr>
                <w:spacing w:val="-4"/>
                <w:sz w:val="20"/>
              </w:rPr>
              <w:t>.</w:t>
            </w:r>
          </w:p>
        </w:tc>
      </w:tr>
      <w:tr>
        <w:trPr>
          <w:trHeight w:val="465" w:hRule="atLeast"/>
        </w:trPr>
        <w:tc>
          <w:tcPr>
            <w:tcW w:w="496" w:type="dxa"/>
          </w:tcPr>
          <w:p>
            <w:pPr>
              <w:pStyle w:val="TableParagraph"/>
              <w:ind w:left="0" w:right="43"/>
              <w:rPr>
                <w:sz w:val="14"/>
              </w:rPr>
            </w:pPr>
            <w:bookmarkStart w:name="_bookmark2230" w:id="2232"/>
            <w:bookmarkEnd w:id="2232"/>
            <w:r>
              <w:rPr/>
            </w:r>
            <w:hyperlink w:history="true" w:anchor="_bookmark2118">
              <w:r>
                <w:rPr>
                  <w:color w:val="005DA1"/>
                  <w:spacing w:val="-2"/>
                  <w:sz w:val="14"/>
                  <w:u w:val="single" w:color="005DA1"/>
                </w:rPr>
                <w:t>1439</w:t>
              </w:r>
            </w:hyperlink>
            <w:r>
              <w:rPr>
                <w:spacing w:val="-2"/>
                <w:sz w:val="14"/>
              </w:rPr>
              <w:t>.</w:t>
            </w:r>
          </w:p>
        </w:tc>
        <w:tc>
          <w:tcPr>
            <w:tcW w:w="8620" w:type="dxa"/>
          </w:tcPr>
          <w:p>
            <w:pPr>
              <w:pStyle w:val="TableParagraph"/>
              <w:spacing w:before="114"/>
              <w:jc w:val="left"/>
              <w:rPr>
                <w:sz w:val="20"/>
              </w:rPr>
            </w:pPr>
            <w:r>
              <w:rPr>
                <w:rFonts w:ascii="Arial"/>
                <w:i/>
                <w:sz w:val="20"/>
              </w:rPr>
              <w:t>[1964]</w:t>
            </w:r>
            <w:r>
              <w:rPr>
                <w:rFonts w:ascii="Arial"/>
                <w:i/>
                <w:spacing w:val="-1"/>
                <w:sz w:val="20"/>
              </w:rPr>
              <w:t> </w:t>
            </w:r>
            <w:r>
              <w:rPr>
                <w:rFonts w:ascii="Arial"/>
                <w:i/>
                <w:sz w:val="20"/>
              </w:rPr>
              <w:t>A.C. 1129, 1207</w:t>
            </w:r>
            <w:r>
              <w:rPr>
                <w:sz w:val="20"/>
              </w:rPr>
              <w:t>, per Lord </w:t>
            </w:r>
            <w:r>
              <w:rPr>
                <w:spacing w:val="-2"/>
                <w:sz w:val="20"/>
              </w:rPr>
              <w:t>Devlin.</w:t>
            </w:r>
          </w:p>
        </w:tc>
      </w:tr>
      <w:tr>
        <w:trPr>
          <w:trHeight w:val="465" w:hRule="atLeast"/>
        </w:trPr>
        <w:tc>
          <w:tcPr>
            <w:tcW w:w="496" w:type="dxa"/>
          </w:tcPr>
          <w:p>
            <w:pPr>
              <w:pStyle w:val="TableParagraph"/>
              <w:ind w:left="0" w:right="43"/>
              <w:rPr>
                <w:sz w:val="14"/>
              </w:rPr>
            </w:pPr>
            <w:bookmarkStart w:name="_bookmark2231" w:id="2233"/>
            <w:bookmarkEnd w:id="2233"/>
            <w:r>
              <w:rPr/>
            </w:r>
            <w:hyperlink w:history="true" w:anchor="_bookmark2118">
              <w:r>
                <w:rPr>
                  <w:color w:val="005DA1"/>
                  <w:spacing w:val="-2"/>
                  <w:sz w:val="14"/>
                  <w:u w:val="single" w:color="005DA1"/>
                </w:rPr>
                <w:t>1440</w:t>
              </w:r>
            </w:hyperlink>
            <w:r>
              <w:rPr>
                <w:spacing w:val="-2"/>
                <w:sz w:val="14"/>
              </w:rPr>
              <w:t>.</w:t>
            </w:r>
          </w:p>
        </w:tc>
        <w:tc>
          <w:tcPr>
            <w:tcW w:w="8620" w:type="dxa"/>
          </w:tcPr>
          <w:p>
            <w:pPr>
              <w:pStyle w:val="TableParagraph"/>
              <w:spacing w:before="114"/>
              <w:jc w:val="left"/>
              <w:rPr>
                <w:sz w:val="20"/>
              </w:rPr>
            </w:pPr>
            <w:r>
              <w:rPr>
                <w:rFonts w:ascii="Arial" w:hAnsi="Arial"/>
                <w:i/>
                <w:sz w:val="20"/>
              </w:rPr>
              <w:t>[1964]</w:t>
            </w:r>
            <w:r>
              <w:rPr>
                <w:rFonts w:ascii="Arial" w:hAnsi="Arial"/>
                <w:i/>
                <w:spacing w:val="-1"/>
                <w:sz w:val="20"/>
              </w:rPr>
              <w:t> </w:t>
            </w:r>
            <w:r>
              <w:rPr>
                <w:rFonts w:ascii="Arial" w:hAnsi="Arial"/>
                <w:i/>
                <w:sz w:val="20"/>
              </w:rPr>
              <w:t>A.C. 1129, 1200–1201</w:t>
            </w:r>
            <w:r>
              <w:rPr>
                <w:sz w:val="20"/>
              </w:rPr>
              <w:t>, per Lord Hodson and see also 1168, 1234-</w:t>
            </w:r>
            <w:r>
              <w:rPr>
                <w:spacing w:val="-2"/>
                <w:sz w:val="20"/>
              </w:rPr>
              <w:t>1235.</w:t>
            </w:r>
          </w:p>
        </w:tc>
      </w:tr>
      <w:tr>
        <w:trPr>
          <w:trHeight w:val="344" w:hRule="atLeast"/>
        </w:trPr>
        <w:tc>
          <w:tcPr>
            <w:tcW w:w="496" w:type="dxa"/>
          </w:tcPr>
          <w:p>
            <w:pPr>
              <w:pStyle w:val="TableParagraph"/>
              <w:ind w:left="0" w:right="43"/>
              <w:rPr>
                <w:sz w:val="14"/>
              </w:rPr>
            </w:pPr>
            <w:bookmarkStart w:name="_bookmark2232" w:id="2234"/>
            <w:bookmarkEnd w:id="2234"/>
            <w:r>
              <w:rPr/>
            </w:r>
            <w:hyperlink w:history="true" w:anchor="_bookmark2119">
              <w:r>
                <w:rPr>
                  <w:color w:val="005DA1"/>
                  <w:spacing w:val="-2"/>
                  <w:sz w:val="14"/>
                  <w:u w:val="single" w:color="005DA1"/>
                </w:rPr>
                <w:t>1441</w:t>
              </w:r>
            </w:hyperlink>
            <w:r>
              <w:rPr>
                <w:spacing w:val="-2"/>
                <w:sz w:val="14"/>
              </w:rPr>
              <w:t>.</w:t>
            </w:r>
          </w:p>
        </w:tc>
        <w:tc>
          <w:tcPr>
            <w:tcW w:w="8620" w:type="dxa"/>
          </w:tcPr>
          <w:p>
            <w:pPr>
              <w:pStyle w:val="TableParagraph"/>
              <w:spacing w:line="210" w:lineRule="exact" w:before="114"/>
              <w:jc w:val="left"/>
              <w:rPr>
                <w:sz w:val="20"/>
              </w:rPr>
            </w:pPr>
            <w:r>
              <w:rPr>
                <w:sz w:val="20"/>
              </w:rPr>
              <w:t>cf. Wedderburn (1964) 27 M.L.R. 257 at 263-</w:t>
            </w:r>
            <w:r>
              <w:rPr>
                <w:spacing w:val="-4"/>
                <w:sz w:val="20"/>
              </w:rPr>
              <w:t>267.</w:t>
            </w:r>
          </w:p>
        </w:tc>
      </w:tr>
    </w:tbl>
    <w:p>
      <w:pPr>
        <w:pStyle w:val="TableParagraph"/>
        <w:spacing w:after="0" w:line="210" w:lineRule="exact"/>
        <w:jc w:val="left"/>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344" w:hRule="atLeast"/>
        </w:trPr>
        <w:tc>
          <w:tcPr>
            <w:tcW w:w="496" w:type="dxa"/>
          </w:tcPr>
          <w:p>
            <w:pPr>
              <w:pStyle w:val="TableParagraph"/>
              <w:spacing w:before="0"/>
              <w:ind w:left="0" w:right="43"/>
              <w:rPr>
                <w:sz w:val="14"/>
              </w:rPr>
            </w:pPr>
            <w:hyperlink w:history="true" w:anchor="_bookmark2120">
              <w:r>
                <w:rPr>
                  <w:color w:val="005DA1"/>
                  <w:spacing w:val="-2"/>
                  <w:sz w:val="14"/>
                  <w:u w:val="single" w:color="005DA1"/>
                </w:rPr>
                <w:t>1442</w:t>
              </w:r>
            </w:hyperlink>
            <w:r>
              <w:rPr>
                <w:spacing w:val="-2"/>
                <w:sz w:val="14"/>
              </w:rPr>
              <w:t>.</w:t>
            </w:r>
          </w:p>
        </w:tc>
        <w:tc>
          <w:tcPr>
            <w:tcW w:w="8621" w:type="dxa"/>
          </w:tcPr>
          <w:p>
            <w:pPr>
              <w:pStyle w:val="TableParagraph"/>
              <w:spacing w:line="223" w:lineRule="exact" w:before="0"/>
              <w:jc w:val="left"/>
              <w:rPr>
                <w:sz w:val="20"/>
              </w:rPr>
            </w:pPr>
            <w:r>
              <w:rPr>
                <w:sz w:val="20"/>
              </w:rPr>
              <w:t>See below, paras 18-090 et </w:t>
            </w:r>
            <w:r>
              <w:rPr>
                <w:spacing w:val="-4"/>
                <w:sz w:val="20"/>
              </w:rPr>
              <w:t>seq.</w:t>
            </w:r>
          </w:p>
        </w:tc>
      </w:tr>
      <w:tr>
        <w:trPr>
          <w:trHeight w:val="465" w:hRule="atLeast"/>
        </w:trPr>
        <w:tc>
          <w:tcPr>
            <w:tcW w:w="496" w:type="dxa"/>
          </w:tcPr>
          <w:p>
            <w:pPr>
              <w:pStyle w:val="TableParagraph"/>
              <w:ind w:left="0" w:right="43"/>
              <w:rPr>
                <w:sz w:val="14"/>
              </w:rPr>
            </w:pPr>
            <w:bookmarkStart w:name="_bookmark2233" w:id="2235"/>
            <w:bookmarkEnd w:id="2235"/>
            <w:r>
              <w:rPr/>
            </w:r>
            <w:hyperlink w:history="true" w:anchor="_bookmark2121">
              <w:r>
                <w:rPr>
                  <w:color w:val="005DA1"/>
                  <w:spacing w:val="-2"/>
                  <w:sz w:val="14"/>
                  <w:u w:val="single" w:color="005DA1"/>
                </w:rPr>
                <w:t>1443</w:t>
              </w:r>
            </w:hyperlink>
            <w:r>
              <w:rPr>
                <w:spacing w:val="-2"/>
                <w:sz w:val="14"/>
              </w:rPr>
              <w:t>.</w:t>
            </w:r>
          </w:p>
        </w:tc>
        <w:tc>
          <w:tcPr>
            <w:tcW w:w="8621" w:type="dxa"/>
          </w:tcPr>
          <w:p>
            <w:pPr>
              <w:pStyle w:val="TableParagraph"/>
              <w:spacing w:before="114"/>
              <w:jc w:val="left"/>
              <w:rPr>
                <w:sz w:val="20"/>
              </w:rPr>
            </w:pPr>
            <w:r>
              <w:rPr>
                <w:sz w:val="20"/>
              </w:rPr>
              <w:t>Pollock,</w:t>
            </w:r>
            <w:r>
              <w:rPr>
                <w:spacing w:val="-2"/>
                <w:sz w:val="20"/>
              </w:rPr>
              <w:t> </w:t>
            </w:r>
            <w:r>
              <w:rPr>
                <w:rFonts w:ascii="Arial"/>
                <w:i/>
                <w:sz w:val="20"/>
              </w:rPr>
              <w:t>The Law of Torts</w:t>
            </w:r>
            <w:r>
              <w:rPr>
                <w:sz w:val="20"/>
              </w:rPr>
              <w:t>, 1st edn (1887), pp.448-</w:t>
            </w:r>
            <w:r>
              <w:rPr>
                <w:spacing w:val="-4"/>
                <w:sz w:val="20"/>
              </w:rPr>
              <w:t>449.</w:t>
            </w:r>
          </w:p>
        </w:tc>
      </w:tr>
      <w:tr>
        <w:trPr>
          <w:trHeight w:val="465" w:hRule="atLeast"/>
        </w:trPr>
        <w:tc>
          <w:tcPr>
            <w:tcW w:w="496" w:type="dxa"/>
          </w:tcPr>
          <w:p>
            <w:pPr>
              <w:pStyle w:val="TableParagraph"/>
              <w:ind w:left="0" w:right="43"/>
              <w:rPr>
                <w:sz w:val="14"/>
              </w:rPr>
            </w:pPr>
            <w:bookmarkStart w:name="_bookmark2234" w:id="2236"/>
            <w:bookmarkEnd w:id="2236"/>
            <w:r>
              <w:rPr/>
            </w:r>
            <w:hyperlink w:history="true" w:anchor="_bookmark2122">
              <w:r>
                <w:rPr>
                  <w:color w:val="005DA1"/>
                  <w:spacing w:val="-2"/>
                  <w:sz w:val="14"/>
                  <w:u w:val="single" w:color="005DA1"/>
                </w:rPr>
                <w:t>1444</w:t>
              </w:r>
            </w:hyperlink>
            <w:r>
              <w:rPr>
                <w:spacing w:val="-2"/>
                <w:sz w:val="14"/>
              </w:rPr>
              <w:t>.</w:t>
            </w:r>
          </w:p>
        </w:tc>
        <w:tc>
          <w:tcPr>
            <w:tcW w:w="8621" w:type="dxa"/>
          </w:tcPr>
          <w:p>
            <w:pPr>
              <w:pStyle w:val="TableParagraph"/>
              <w:spacing w:before="114"/>
              <w:jc w:val="left"/>
              <w:rPr>
                <w:sz w:val="20"/>
              </w:rPr>
            </w:pPr>
            <w:r>
              <w:rPr>
                <w:sz w:val="20"/>
              </w:rPr>
              <w:t>Notably</w:t>
            </w:r>
            <w:r>
              <w:rPr>
                <w:spacing w:val="-1"/>
                <w:sz w:val="20"/>
              </w:rPr>
              <w:t> </w:t>
            </w:r>
            <w:r>
              <w:rPr>
                <w:rFonts w:ascii="Arial"/>
                <w:i/>
                <w:sz w:val="20"/>
              </w:rPr>
              <w:t>Winterbottom v Wright (1842) 10 M.W. 109</w:t>
            </w:r>
            <w:r>
              <w:rPr>
                <w:rFonts w:ascii="Arial"/>
                <w:i/>
                <w:spacing w:val="-1"/>
                <w:sz w:val="20"/>
              </w:rPr>
              <w:t> </w:t>
            </w:r>
            <w:r>
              <w:rPr>
                <w:sz w:val="20"/>
              </w:rPr>
              <w:t>and see below, para.1-</w:t>
            </w:r>
            <w:r>
              <w:rPr>
                <w:spacing w:val="-4"/>
                <w:sz w:val="20"/>
              </w:rPr>
              <w:t>205.</w:t>
            </w:r>
          </w:p>
        </w:tc>
      </w:tr>
      <w:tr>
        <w:trPr>
          <w:trHeight w:val="465" w:hRule="atLeast"/>
        </w:trPr>
        <w:tc>
          <w:tcPr>
            <w:tcW w:w="496" w:type="dxa"/>
          </w:tcPr>
          <w:p>
            <w:pPr>
              <w:pStyle w:val="TableParagraph"/>
              <w:ind w:left="0" w:right="43"/>
              <w:rPr>
                <w:sz w:val="14"/>
              </w:rPr>
            </w:pPr>
            <w:bookmarkStart w:name="_bookmark2235" w:id="2237"/>
            <w:bookmarkEnd w:id="2237"/>
            <w:r>
              <w:rPr/>
            </w:r>
            <w:hyperlink w:history="true" w:anchor="_bookmark2123">
              <w:r>
                <w:rPr>
                  <w:color w:val="005DA1"/>
                  <w:spacing w:val="-2"/>
                  <w:sz w:val="14"/>
                  <w:u w:val="single" w:color="005DA1"/>
                </w:rPr>
                <w:t>1445</w:t>
              </w:r>
            </w:hyperlink>
            <w:r>
              <w:rPr>
                <w:spacing w:val="-2"/>
                <w:sz w:val="14"/>
              </w:rPr>
              <w:t>.</w:t>
            </w:r>
          </w:p>
        </w:tc>
        <w:tc>
          <w:tcPr>
            <w:tcW w:w="8621" w:type="dxa"/>
          </w:tcPr>
          <w:p>
            <w:pPr>
              <w:pStyle w:val="TableParagraph"/>
              <w:spacing w:before="114"/>
              <w:jc w:val="left"/>
              <w:rPr>
                <w:sz w:val="20"/>
              </w:rPr>
            </w:pPr>
            <w:r>
              <w:rPr>
                <w:sz w:val="20"/>
              </w:rPr>
              <w:t>Pollock at </w:t>
            </w:r>
            <w:r>
              <w:rPr>
                <w:spacing w:val="-2"/>
                <w:sz w:val="20"/>
              </w:rPr>
              <w:t>p.450.</w:t>
            </w:r>
          </w:p>
        </w:tc>
      </w:tr>
      <w:tr>
        <w:trPr>
          <w:trHeight w:val="465" w:hRule="atLeast"/>
        </w:trPr>
        <w:tc>
          <w:tcPr>
            <w:tcW w:w="496" w:type="dxa"/>
          </w:tcPr>
          <w:p>
            <w:pPr>
              <w:pStyle w:val="TableParagraph"/>
              <w:ind w:left="0" w:right="43"/>
              <w:rPr>
                <w:sz w:val="14"/>
              </w:rPr>
            </w:pPr>
            <w:bookmarkStart w:name="_bookmark2236" w:id="2238"/>
            <w:bookmarkEnd w:id="2238"/>
            <w:r>
              <w:rPr/>
            </w:r>
            <w:hyperlink w:history="true" w:anchor="_bookmark2124">
              <w:r>
                <w:rPr>
                  <w:color w:val="005DA1"/>
                  <w:spacing w:val="-2"/>
                  <w:sz w:val="14"/>
                  <w:u w:val="single" w:color="005DA1"/>
                </w:rPr>
                <w:t>1446</w:t>
              </w:r>
            </w:hyperlink>
            <w:r>
              <w:rPr>
                <w:spacing w:val="-2"/>
                <w:sz w:val="14"/>
              </w:rPr>
              <w:t>.</w:t>
            </w:r>
          </w:p>
        </w:tc>
        <w:tc>
          <w:tcPr>
            <w:tcW w:w="8621" w:type="dxa"/>
          </w:tcPr>
          <w:p>
            <w:pPr>
              <w:pStyle w:val="TableParagraph"/>
              <w:spacing w:before="114"/>
              <w:jc w:val="left"/>
              <w:rPr>
                <w:sz w:val="20"/>
              </w:rPr>
            </w:pPr>
            <w:r>
              <w:rPr>
                <w:sz w:val="20"/>
              </w:rPr>
              <w:t>See above, para.1-</w:t>
            </w:r>
            <w:r>
              <w:rPr>
                <w:spacing w:val="-4"/>
                <w:sz w:val="20"/>
              </w:rPr>
              <w:t>203.</w:t>
            </w:r>
          </w:p>
        </w:tc>
      </w:tr>
      <w:tr>
        <w:trPr>
          <w:trHeight w:val="1140" w:hRule="atLeast"/>
        </w:trPr>
        <w:tc>
          <w:tcPr>
            <w:tcW w:w="496" w:type="dxa"/>
          </w:tcPr>
          <w:p>
            <w:pPr>
              <w:pStyle w:val="TableParagraph"/>
              <w:ind w:left="0" w:right="43"/>
              <w:rPr>
                <w:sz w:val="14"/>
              </w:rPr>
            </w:pPr>
            <w:bookmarkStart w:name="_bookmark2237" w:id="2239"/>
            <w:bookmarkEnd w:id="2239"/>
            <w:r>
              <w:rPr/>
            </w:r>
            <w:hyperlink w:history="true" w:anchor="_bookmark2125">
              <w:r>
                <w:rPr>
                  <w:color w:val="005DA1"/>
                  <w:spacing w:val="-2"/>
                  <w:sz w:val="14"/>
                  <w:u w:val="single" w:color="005DA1"/>
                </w:rPr>
                <w:t>1447</w:t>
              </w:r>
            </w:hyperlink>
            <w:r>
              <w:rPr>
                <w:spacing w:val="-2"/>
                <w:sz w:val="14"/>
              </w:rPr>
              <w:t>.</w:t>
            </w:r>
          </w:p>
        </w:tc>
        <w:tc>
          <w:tcPr>
            <w:tcW w:w="8621" w:type="dxa"/>
          </w:tcPr>
          <w:p>
            <w:pPr>
              <w:pStyle w:val="TableParagraph"/>
              <w:spacing w:line="235" w:lineRule="auto" w:before="118"/>
              <w:ind w:right="50"/>
              <w:jc w:val="both"/>
              <w:rPr>
                <w:sz w:val="20"/>
              </w:rPr>
            </w:pPr>
            <w:r>
              <w:rPr>
                <w:sz w:val="20"/>
              </w:rPr>
              <w:t>cf. above, para.1-203. In either case, this tort is clearly restricted to situations where A </w:t>
            </w:r>
            <w:r>
              <w:rPr>
                <w:sz w:val="20"/>
              </w:rPr>
              <w:t>has</w:t>
            </w:r>
            <w:r>
              <w:rPr>
                <w:spacing w:val="40"/>
                <w:sz w:val="20"/>
              </w:rPr>
              <w:t> </w:t>
            </w:r>
            <w:r>
              <w:rPr>
                <w:sz w:val="20"/>
              </w:rPr>
              <w:t>acted intentionally to injure C: </w:t>
            </w:r>
            <w:r>
              <w:rPr>
                <w:rFonts w:ascii="Arial"/>
                <w:i/>
                <w:sz w:val="20"/>
              </w:rPr>
              <w:t>Rookes v Barnard [1964] A.C. 1129, 1183</w:t>
            </w:r>
            <w:r>
              <w:rPr>
                <w:sz w:val="20"/>
              </w:rPr>
              <w:t>; </w:t>
            </w:r>
            <w:r>
              <w:rPr>
                <w:rFonts w:ascii="Arial"/>
                <w:i/>
                <w:sz w:val="20"/>
              </w:rPr>
              <w:t>OGB Ltd v Allan, Douglas v Hello! Ltd, Mainstream Properties Ltd v Young [2007] UKHL 21, [2008] 1 A.C. 1 </w:t>
            </w:r>
            <w:r>
              <w:rPr>
                <w:sz w:val="20"/>
              </w:rPr>
              <w:t>and see Clerk &amp; Lindsell on Torts, 21st edn (2014) para.24-59.</w:t>
            </w:r>
          </w:p>
        </w:tc>
      </w:tr>
      <w:tr>
        <w:trPr>
          <w:trHeight w:val="465" w:hRule="atLeast"/>
        </w:trPr>
        <w:tc>
          <w:tcPr>
            <w:tcW w:w="496" w:type="dxa"/>
          </w:tcPr>
          <w:p>
            <w:pPr>
              <w:pStyle w:val="TableParagraph"/>
              <w:ind w:left="0" w:right="43"/>
              <w:rPr>
                <w:sz w:val="14"/>
              </w:rPr>
            </w:pPr>
            <w:bookmarkStart w:name="_bookmark2238" w:id="2240"/>
            <w:bookmarkEnd w:id="2240"/>
            <w:r>
              <w:rPr/>
            </w:r>
            <w:hyperlink w:history="true" w:anchor="_bookmark2126">
              <w:r>
                <w:rPr>
                  <w:color w:val="005DA1"/>
                  <w:spacing w:val="-2"/>
                  <w:sz w:val="14"/>
                  <w:u w:val="single" w:color="005DA1"/>
                </w:rPr>
                <w:t>1448</w:t>
              </w:r>
            </w:hyperlink>
            <w:r>
              <w:rPr>
                <w:spacing w:val="-2"/>
                <w:sz w:val="14"/>
              </w:rPr>
              <w:t>.</w:t>
            </w:r>
          </w:p>
        </w:tc>
        <w:tc>
          <w:tcPr>
            <w:tcW w:w="8621" w:type="dxa"/>
          </w:tcPr>
          <w:p>
            <w:pPr>
              <w:pStyle w:val="TableParagraph"/>
              <w:spacing w:before="114"/>
              <w:jc w:val="left"/>
              <w:rPr>
                <w:sz w:val="20"/>
              </w:rPr>
            </w:pPr>
            <w:r>
              <w:rPr>
                <w:sz w:val="20"/>
              </w:rPr>
              <w:t>Winfield and Jolowicz on Tort, 13th edn (1989), pp.404-</w:t>
            </w:r>
            <w:r>
              <w:rPr>
                <w:spacing w:val="-4"/>
                <w:sz w:val="20"/>
              </w:rPr>
              <w:t>405.</w:t>
            </w:r>
          </w:p>
        </w:tc>
      </w:tr>
      <w:tr>
        <w:trPr>
          <w:trHeight w:val="465" w:hRule="atLeast"/>
        </w:trPr>
        <w:tc>
          <w:tcPr>
            <w:tcW w:w="496" w:type="dxa"/>
          </w:tcPr>
          <w:p>
            <w:pPr>
              <w:pStyle w:val="TableParagraph"/>
              <w:ind w:left="0" w:right="43"/>
              <w:rPr>
                <w:sz w:val="14"/>
              </w:rPr>
            </w:pPr>
            <w:bookmarkStart w:name="_bookmark2239" w:id="2241"/>
            <w:bookmarkEnd w:id="2241"/>
            <w:r>
              <w:rPr/>
            </w:r>
            <w:hyperlink w:history="true" w:anchor="_bookmark2127">
              <w:r>
                <w:rPr>
                  <w:color w:val="005DA1"/>
                  <w:spacing w:val="-2"/>
                  <w:sz w:val="14"/>
                  <w:u w:val="single" w:color="005DA1"/>
                </w:rPr>
                <w:t>1449</w:t>
              </w:r>
            </w:hyperlink>
            <w:r>
              <w:rPr>
                <w:spacing w:val="-2"/>
                <w:sz w:val="14"/>
              </w:rPr>
              <w:t>.</w:t>
            </w:r>
          </w:p>
        </w:tc>
        <w:tc>
          <w:tcPr>
            <w:tcW w:w="8621" w:type="dxa"/>
          </w:tcPr>
          <w:p>
            <w:pPr>
              <w:pStyle w:val="TableParagraph"/>
              <w:spacing w:before="114"/>
              <w:jc w:val="left"/>
              <w:rPr>
                <w:sz w:val="20"/>
              </w:rPr>
            </w:pPr>
            <w:r>
              <w:rPr>
                <w:sz w:val="20"/>
              </w:rPr>
              <w:t>Winfield and Jolowicz at pp.404-405 and see</w:t>
            </w:r>
            <w:r>
              <w:rPr>
                <w:spacing w:val="-1"/>
                <w:sz w:val="20"/>
              </w:rPr>
              <w:t> </w:t>
            </w:r>
            <w:r>
              <w:rPr>
                <w:rFonts w:ascii="Arial"/>
                <w:i/>
                <w:sz w:val="20"/>
              </w:rPr>
              <w:t>Russell v Shenton (1842) 3 Q.B. 449, </w:t>
            </w:r>
            <w:r>
              <w:rPr>
                <w:rFonts w:ascii="Arial"/>
                <w:i/>
                <w:spacing w:val="-4"/>
                <w:sz w:val="20"/>
              </w:rPr>
              <w:t>457</w:t>
            </w:r>
            <w:r>
              <w:rPr>
                <w:spacing w:val="-4"/>
                <w:sz w:val="20"/>
              </w:rPr>
              <w:t>.</w:t>
            </w:r>
          </w:p>
        </w:tc>
      </w:tr>
      <w:tr>
        <w:trPr>
          <w:trHeight w:val="465" w:hRule="atLeast"/>
        </w:trPr>
        <w:tc>
          <w:tcPr>
            <w:tcW w:w="496" w:type="dxa"/>
          </w:tcPr>
          <w:p>
            <w:pPr>
              <w:pStyle w:val="TableParagraph"/>
              <w:ind w:left="0" w:right="43"/>
              <w:rPr>
                <w:sz w:val="14"/>
              </w:rPr>
            </w:pPr>
            <w:bookmarkStart w:name="_bookmark2240" w:id="2242"/>
            <w:bookmarkEnd w:id="2242"/>
            <w:r>
              <w:rPr/>
            </w:r>
            <w:hyperlink w:history="true" w:anchor="_bookmark2128">
              <w:r>
                <w:rPr>
                  <w:color w:val="005DA1"/>
                  <w:spacing w:val="-2"/>
                  <w:sz w:val="14"/>
                  <w:u w:val="single" w:color="005DA1"/>
                </w:rPr>
                <w:t>1450</w:t>
              </w:r>
            </w:hyperlink>
            <w:r>
              <w:rPr>
                <w:spacing w:val="-2"/>
                <w:sz w:val="14"/>
              </w:rPr>
              <w:t>.</w:t>
            </w:r>
          </w:p>
        </w:tc>
        <w:tc>
          <w:tcPr>
            <w:tcW w:w="8621" w:type="dxa"/>
          </w:tcPr>
          <w:p>
            <w:pPr>
              <w:pStyle w:val="TableParagraph"/>
              <w:spacing w:before="114"/>
              <w:jc w:val="left"/>
              <w:rPr>
                <w:sz w:val="20"/>
              </w:rPr>
            </w:pPr>
            <w:r>
              <w:rPr>
                <w:rFonts w:ascii="Arial"/>
                <w:i/>
                <w:sz w:val="20"/>
              </w:rPr>
              <w:t>Payne</w:t>
            </w:r>
            <w:r>
              <w:rPr>
                <w:rFonts w:ascii="Arial"/>
                <w:i/>
                <w:spacing w:val="-1"/>
                <w:sz w:val="20"/>
              </w:rPr>
              <w:t> </w:t>
            </w:r>
            <w:r>
              <w:rPr>
                <w:rFonts w:ascii="Arial"/>
                <w:i/>
                <w:sz w:val="20"/>
              </w:rPr>
              <w:t>v Rogers (1794) 2 H.Bl. 350, 351</w:t>
            </w:r>
            <w:r>
              <w:rPr>
                <w:sz w:val="20"/>
              </w:rPr>
              <w:t>; </w:t>
            </w:r>
            <w:r>
              <w:rPr>
                <w:rFonts w:ascii="Arial"/>
                <w:i/>
                <w:sz w:val="20"/>
              </w:rPr>
              <w:t>Wringe v Cohen [1940] 1 K.B. </w:t>
            </w:r>
            <w:r>
              <w:rPr>
                <w:rFonts w:ascii="Arial"/>
                <w:i/>
                <w:spacing w:val="-4"/>
                <w:sz w:val="20"/>
              </w:rPr>
              <w:t>229</w:t>
            </w:r>
            <w:r>
              <w:rPr>
                <w:spacing w:val="-4"/>
                <w:sz w:val="20"/>
              </w:rPr>
              <w:t>.</w:t>
            </w:r>
          </w:p>
        </w:tc>
      </w:tr>
      <w:tr>
        <w:trPr>
          <w:trHeight w:val="915" w:hRule="atLeast"/>
        </w:trPr>
        <w:tc>
          <w:tcPr>
            <w:tcW w:w="496" w:type="dxa"/>
          </w:tcPr>
          <w:p>
            <w:pPr>
              <w:pStyle w:val="TableParagraph"/>
              <w:ind w:left="0" w:right="43"/>
              <w:rPr>
                <w:sz w:val="14"/>
              </w:rPr>
            </w:pPr>
            <w:bookmarkStart w:name="_bookmark2241" w:id="2243"/>
            <w:bookmarkEnd w:id="2243"/>
            <w:r>
              <w:rPr/>
            </w:r>
            <w:hyperlink w:history="true" w:anchor="_bookmark2129">
              <w:r>
                <w:rPr>
                  <w:color w:val="005DA1"/>
                  <w:spacing w:val="-2"/>
                  <w:sz w:val="14"/>
                  <w:u w:val="single" w:color="005DA1"/>
                </w:rPr>
                <w:t>1451</w:t>
              </w:r>
            </w:hyperlink>
            <w:r>
              <w:rPr>
                <w:spacing w:val="-2"/>
                <w:sz w:val="14"/>
              </w:rPr>
              <w:t>.</w:t>
            </w:r>
          </w:p>
        </w:tc>
        <w:tc>
          <w:tcPr>
            <w:tcW w:w="8621" w:type="dxa"/>
          </w:tcPr>
          <w:p>
            <w:pPr>
              <w:pStyle w:val="TableParagraph"/>
              <w:spacing w:line="235" w:lineRule="auto" w:before="118"/>
              <w:jc w:val="left"/>
              <w:rPr>
                <w:rFonts w:ascii="Arial" w:hAnsi="Arial"/>
                <w:i/>
                <w:sz w:val="20"/>
              </w:rPr>
            </w:pPr>
            <w:r>
              <w:rPr>
                <w:rFonts w:ascii="Arial" w:hAnsi="Arial"/>
                <w:i/>
                <w:sz w:val="20"/>
              </w:rPr>
              <w:t>St.</w:t>
            </w:r>
            <w:r>
              <w:rPr>
                <w:rFonts w:ascii="Arial" w:hAnsi="Arial"/>
                <w:i/>
                <w:spacing w:val="19"/>
                <w:sz w:val="20"/>
              </w:rPr>
              <w:t> </w:t>
            </w:r>
            <w:r>
              <w:rPr>
                <w:rFonts w:ascii="Arial" w:hAnsi="Arial"/>
                <w:i/>
                <w:sz w:val="20"/>
              </w:rPr>
              <w:t>Anne’s</w:t>
            </w:r>
            <w:r>
              <w:rPr>
                <w:rFonts w:ascii="Arial" w:hAnsi="Arial"/>
                <w:i/>
                <w:spacing w:val="19"/>
                <w:sz w:val="20"/>
              </w:rPr>
              <w:t> </w:t>
            </w:r>
            <w:r>
              <w:rPr>
                <w:rFonts w:ascii="Arial" w:hAnsi="Arial"/>
                <w:i/>
                <w:sz w:val="20"/>
              </w:rPr>
              <w:t>Well</w:t>
            </w:r>
            <w:r>
              <w:rPr>
                <w:rFonts w:ascii="Arial" w:hAnsi="Arial"/>
                <w:i/>
                <w:spacing w:val="19"/>
                <w:sz w:val="20"/>
              </w:rPr>
              <w:t> </w:t>
            </w:r>
            <w:r>
              <w:rPr>
                <w:rFonts w:ascii="Arial" w:hAnsi="Arial"/>
                <w:i/>
                <w:sz w:val="20"/>
              </w:rPr>
              <w:t>Brewery</w:t>
            </w:r>
            <w:r>
              <w:rPr>
                <w:rFonts w:ascii="Arial" w:hAnsi="Arial"/>
                <w:i/>
                <w:spacing w:val="19"/>
                <w:sz w:val="20"/>
              </w:rPr>
              <w:t> </w:t>
            </w:r>
            <w:r>
              <w:rPr>
                <w:rFonts w:ascii="Arial" w:hAnsi="Arial"/>
                <w:i/>
                <w:sz w:val="20"/>
              </w:rPr>
              <w:t>Co</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Roberts</w:t>
            </w:r>
            <w:r>
              <w:rPr>
                <w:rFonts w:ascii="Arial" w:hAnsi="Arial"/>
                <w:i/>
                <w:spacing w:val="19"/>
                <w:sz w:val="20"/>
              </w:rPr>
              <w:t> </w:t>
            </w:r>
            <w:r>
              <w:rPr>
                <w:rFonts w:ascii="Arial" w:hAnsi="Arial"/>
                <w:i/>
                <w:sz w:val="20"/>
              </w:rPr>
              <w:t>(1929)</w:t>
            </w:r>
            <w:r>
              <w:rPr>
                <w:rFonts w:ascii="Arial" w:hAnsi="Arial"/>
                <w:i/>
                <w:spacing w:val="19"/>
                <w:sz w:val="20"/>
              </w:rPr>
              <w:t> </w:t>
            </w:r>
            <w:r>
              <w:rPr>
                <w:rFonts w:ascii="Arial" w:hAnsi="Arial"/>
                <w:i/>
                <w:sz w:val="20"/>
              </w:rPr>
              <w:t>140</w:t>
            </w:r>
            <w:r>
              <w:rPr>
                <w:rFonts w:ascii="Arial" w:hAnsi="Arial"/>
                <w:i/>
                <w:spacing w:val="19"/>
                <w:sz w:val="20"/>
              </w:rPr>
              <w:t> </w:t>
            </w:r>
            <w:r>
              <w:rPr>
                <w:rFonts w:ascii="Arial" w:hAnsi="Arial"/>
                <w:i/>
                <w:sz w:val="20"/>
              </w:rPr>
              <w:t>L.T.</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8</w:t>
            </w:r>
            <w:r>
              <w:rPr>
                <w:sz w:val="20"/>
              </w:rPr>
              <w:t>.</w:t>
            </w:r>
            <w:r>
              <w:rPr>
                <w:spacing w:val="19"/>
                <w:sz w:val="20"/>
              </w:rPr>
              <w:t> </w:t>
            </w:r>
            <w:r>
              <w:rPr>
                <w:sz w:val="20"/>
              </w:rPr>
              <w:t>cf.</w:t>
            </w:r>
            <w:r>
              <w:rPr>
                <w:spacing w:val="19"/>
                <w:sz w:val="20"/>
              </w:rPr>
              <w:t> </w:t>
            </w:r>
            <w:r>
              <w:rPr>
                <w:sz w:val="20"/>
              </w:rPr>
              <w:t>Defective</w:t>
            </w:r>
            <w:r>
              <w:rPr>
                <w:spacing w:val="19"/>
                <w:sz w:val="20"/>
              </w:rPr>
              <w:t> </w:t>
            </w:r>
            <w:r>
              <w:rPr>
                <w:sz w:val="20"/>
              </w:rPr>
              <w:t>Premises</w:t>
            </w:r>
            <w:r>
              <w:rPr>
                <w:spacing w:val="19"/>
                <w:sz w:val="20"/>
              </w:rPr>
              <w:t> </w:t>
            </w:r>
            <w:r>
              <w:rPr>
                <w:sz w:val="20"/>
              </w:rPr>
              <w:t>Act</w:t>
            </w:r>
            <w:r>
              <w:rPr>
                <w:spacing w:val="19"/>
                <w:sz w:val="20"/>
              </w:rPr>
              <w:t> </w:t>
            </w:r>
            <w:r>
              <w:rPr>
                <w:sz w:val="20"/>
              </w:rPr>
              <w:t>1972 ss.1,</w:t>
            </w:r>
            <w:r>
              <w:rPr>
                <w:spacing w:val="1"/>
                <w:sz w:val="20"/>
              </w:rPr>
              <w:t> </w:t>
            </w:r>
            <w:r>
              <w:rPr>
                <w:sz w:val="20"/>
              </w:rPr>
              <w:t>4;</w:t>
            </w:r>
            <w:r>
              <w:rPr>
                <w:spacing w:val="1"/>
                <w:sz w:val="20"/>
              </w:rPr>
              <w:t> </w:t>
            </w:r>
            <w:r>
              <w:rPr>
                <w:sz w:val="20"/>
              </w:rPr>
              <w:t>and</w:t>
            </w:r>
            <w:r>
              <w:rPr>
                <w:spacing w:val="1"/>
                <w:sz w:val="20"/>
              </w:rPr>
              <w:t> </w:t>
            </w:r>
            <w:r>
              <w:rPr>
                <w:sz w:val="20"/>
              </w:rPr>
              <w:t>see</w:t>
            </w:r>
            <w:r>
              <w:rPr>
                <w:spacing w:val="1"/>
                <w:sz w:val="20"/>
              </w:rPr>
              <w:t> </w:t>
            </w:r>
            <w:r>
              <w:rPr>
                <w:sz w:val="20"/>
              </w:rPr>
              <w:t>Spencer</w:t>
            </w:r>
            <w:r>
              <w:rPr>
                <w:spacing w:val="1"/>
                <w:sz w:val="20"/>
              </w:rPr>
              <w:t> </w:t>
            </w:r>
            <w:r>
              <w:rPr>
                <w:sz w:val="20"/>
              </w:rPr>
              <w:t>(1974)</w:t>
            </w:r>
            <w:r>
              <w:rPr>
                <w:spacing w:val="1"/>
                <w:sz w:val="20"/>
              </w:rPr>
              <w:t> </w:t>
            </w:r>
            <w:r>
              <w:rPr>
                <w:sz w:val="20"/>
              </w:rPr>
              <w:t>C.L.J.</w:t>
            </w:r>
            <w:r>
              <w:rPr>
                <w:spacing w:val="1"/>
                <w:sz w:val="20"/>
              </w:rPr>
              <w:t> </w:t>
            </w:r>
            <w:r>
              <w:rPr>
                <w:sz w:val="20"/>
              </w:rPr>
              <w:t>307,</w:t>
            </w:r>
            <w:r>
              <w:rPr>
                <w:spacing w:val="1"/>
                <w:sz w:val="20"/>
              </w:rPr>
              <w:t> </w:t>
            </w:r>
            <w:r>
              <w:rPr>
                <w:sz w:val="20"/>
              </w:rPr>
              <w:t>(1975)</w:t>
            </w:r>
            <w:r>
              <w:rPr>
                <w:spacing w:val="1"/>
                <w:sz w:val="20"/>
              </w:rPr>
              <w:t> </w:t>
            </w:r>
            <w:r>
              <w:rPr>
                <w:sz w:val="20"/>
              </w:rPr>
              <w:t>C.L.J.</w:t>
            </w:r>
            <w:r>
              <w:rPr>
                <w:spacing w:val="1"/>
                <w:sz w:val="20"/>
              </w:rPr>
              <w:t> </w:t>
            </w:r>
            <w:r>
              <w:rPr>
                <w:sz w:val="20"/>
              </w:rPr>
              <w:t>48</w:t>
            </w:r>
            <w:r>
              <w:rPr>
                <w:spacing w:val="1"/>
                <w:sz w:val="20"/>
              </w:rPr>
              <w:t> </w:t>
            </w:r>
            <w:r>
              <w:rPr>
                <w:sz w:val="20"/>
              </w:rPr>
              <w:t>and </w:t>
            </w:r>
            <w:r>
              <w:rPr>
                <w:rFonts w:ascii="Arial" w:hAnsi="Arial"/>
                <w:i/>
                <w:sz w:val="20"/>
              </w:rPr>
              <w:t>Andrews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Schooling</w:t>
            </w:r>
            <w:r>
              <w:rPr>
                <w:rFonts w:ascii="Arial" w:hAnsi="Arial"/>
                <w:i/>
                <w:spacing w:val="1"/>
                <w:sz w:val="20"/>
              </w:rPr>
              <w:t> </w:t>
            </w:r>
            <w:r>
              <w:rPr>
                <w:rFonts w:ascii="Arial" w:hAnsi="Arial"/>
                <w:i/>
                <w:sz w:val="20"/>
              </w:rPr>
              <w:t>[1991]</w:t>
            </w:r>
            <w:r>
              <w:rPr>
                <w:rFonts w:ascii="Arial" w:hAnsi="Arial"/>
                <w:i/>
                <w:spacing w:val="1"/>
                <w:sz w:val="20"/>
              </w:rPr>
              <w:t> </w:t>
            </w:r>
            <w:r>
              <w:rPr>
                <w:rFonts w:ascii="Arial" w:hAnsi="Arial"/>
                <w:i/>
                <w:spacing w:val="-10"/>
                <w:sz w:val="20"/>
              </w:rPr>
              <w:t>1</w:t>
            </w:r>
          </w:p>
          <w:p>
            <w:pPr>
              <w:pStyle w:val="TableParagraph"/>
              <w:spacing w:line="225" w:lineRule="exact" w:before="0"/>
              <w:jc w:val="left"/>
              <w:rPr>
                <w:sz w:val="20"/>
              </w:rPr>
            </w:pPr>
            <w:r>
              <w:rPr>
                <w:rFonts w:ascii="Arial"/>
                <w:i/>
                <w:sz w:val="20"/>
              </w:rPr>
              <w:t>W.L.R.</w:t>
            </w:r>
            <w:r>
              <w:rPr>
                <w:rFonts w:ascii="Arial"/>
                <w:i/>
                <w:spacing w:val="-2"/>
                <w:sz w:val="20"/>
              </w:rPr>
              <w:t> </w:t>
            </w:r>
            <w:r>
              <w:rPr>
                <w:rFonts w:ascii="Arial"/>
                <w:i/>
                <w:spacing w:val="-4"/>
                <w:sz w:val="20"/>
              </w:rPr>
              <w:t>783</w:t>
            </w:r>
            <w:r>
              <w:rPr>
                <w:spacing w:val="-4"/>
                <w:sz w:val="20"/>
              </w:rPr>
              <w:t>.</w:t>
            </w:r>
          </w:p>
        </w:tc>
      </w:tr>
      <w:tr>
        <w:trPr>
          <w:trHeight w:val="690" w:hRule="atLeast"/>
        </w:trPr>
        <w:tc>
          <w:tcPr>
            <w:tcW w:w="496" w:type="dxa"/>
          </w:tcPr>
          <w:p>
            <w:pPr>
              <w:pStyle w:val="TableParagraph"/>
              <w:ind w:left="0" w:right="43"/>
              <w:rPr>
                <w:sz w:val="14"/>
              </w:rPr>
            </w:pPr>
            <w:bookmarkStart w:name="_bookmark2242" w:id="2244"/>
            <w:bookmarkEnd w:id="2244"/>
            <w:r>
              <w:rPr/>
            </w:r>
            <w:hyperlink w:history="true" w:anchor="_bookmark2130">
              <w:r>
                <w:rPr>
                  <w:color w:val="005DA1"/>
                  <w:spacing w:val="-2"/>
                  <w:sz w:val="14"/>
                  <w:u w:val="single" w:color="005DA1"/>
                </w:rPr>
                <w:t>1452</w:t>
              </w:r>
            </w:hyperlink>
            <w:r>
              <w:rPr>
                <w:spacing w:val="-2"/>
                <w:sz w:val="14"/>
              </w:rPr>
              <w:t>.</w:t>
            </w:r>
          </w:p>
        </w:tc>
        <w:tc>
          <w:tcPr>
            <w:tcW w:w="8621" w:type="dxa"/>
          </w:tcPr>
          <w:p>
            <w:pPr>
              <w:pStyle w:val="TableParagraph"/>
              <w:spacing w:line="235" w:lineRule="auto" w:before="118"/>
              <w:jc w:val="left"/>
              <w:rPr>
                <w:sz w:val="20"/>
              </w:rPr>
            </w:pPr>
            <w:r>
              <w:rPr>
                <w:sz w:val="20"/>
              </w:rPr>
              <w:t>It</w:t>
            </w:r>
            <w:r>
              <w:rPr>
                <w:spacing w:val="38"/>
                <w:sz w:val="20"/>
              </w:rPr>
              <w:t> </w:t>
            </w:r>
            <w:r>
              <w:rPr>
                <w:sz w:val="20"/>
              </w:rPr>
              <w:t>has</w:t>
            </w:r>
            <w:r>
              <w:rPr>
                <w:spacing w:val="38"/>
                <w:sz w:val="20"/>
              </w:rPr>
              <w:t> </w:t>
            </w:r>
            <w:r>
              <w:rPr>
                <w:sz w:val="20"/>
              </w:rPr>
              <w:t>been</w:t>
            </w:r>
            <w:r>
              <w:rPr>
                <w:spacing w:val="38"/>
                <w:sz w:val="20"/>
              </w:rPr>
              <w:t> </w:t>
            </w:r>
            <w:r>
              <w:rPr>
                <w:sz w:val="20"/>
              </w:rPr>
              <w:t>held</w:t>
            </w:r>
            <w:r>
              <w:rPr>
                <w:spacing w:val="38"/>
                <w:sz w:val="20"/>
              </w:rPr>
              <w:t> </w:t>
            </w:r>
            <w:r>
              <w:rPr>
                <w:sz w:val="20"/>
              </w:rPr>
              <w:t>to</w:t>
            </w:r>
            <w:r>
              <w:rPr>
                <w:spacing w:val="38"/>
                <w:sz w:val="20"/>
              </w:rPr>
              <w:t> </w:t>
            </w:r>
            <w:r>
              <w:rPr>
                <w:sz w:val="20"/>
              </w:rPr>
              <w:t>be</w:t>
            </w:r>
            <w:r>
              <w:rPr>
                <w:spacing w:val="38"/>
                <w:sz w:val="20"/>
              </w:rPr>
              <w:t> </w:t>
            </w:r>
            <w:r>
              <w:rPr>
                <w:sz w:val="20"/>
              </w:rPr>
              <w:t>a</w:t>
            </w:r>
            <w:r>
              <w:rPr>
                <w:spacing w:val="38"/>
                <w:sz w:val="20"/>
              </w:rPr>
              <w:t> </w:t>
            </w:r>
            <w:r>
              <w:rPr>
                <w:sz w:val="20"/>
              </w:rPr>
              <w:t>breach</w:t>
            </w:r>
            <w:r>
              <w:rPr>
                <w:spacing w:val="38"/>
                <w:sz w:val="20"/>
              </w:rPr>
              <w:t> </w:t>
            </w:r>
            <w:r>
              <w:rPr>
                <w:sz w:val="20"/>
              </w:rPr>
              <w:t>of</w:t>
            </w:r>
            <w:r>
              <w:rPr>
                <w:spacing w:val="38"/>
                <w:sz w:val="20"/>
              </w:rPr>
              <w:t> </w:t>
            </w:r>
            <w:r>
              <w:rPr>
                <w:sz w:val="20"/>
              </w:rPr>
              <w:t>contract</w:t>
            </w:r>
            <w:r>
              <w:rPr>
                <w:spacing w:val="38"/>
                <w:sz w:val="20"/>
              </w:rPr>
              <w:t> </w:t>
            </w:r>
            <w:r>
              <w:rPr>
                <w:sz w:val="20"/>
              </w:rPr>
              <w:t>for</w:t>
            </w:r>
            <w:r>
              <w:rPr>
                <w:spacing w:val="38"/>
                <w:sz w:val="20"/>
              </w:rPr>
              <w:t> </w:t>
            </w:r>
            <w:r>
              <w:rPr>
                <w:sz w:val="20"/>
              </w:rPr>
              <w:t>an</w:t>
            </w:r>
            <w:r>
              <w:rPr>
                <w:spacing w:val="38"/>
                <w:sz w:val="20"/>
              </w:rPr>
              <w:t> </w:t>
            </w:r>
            <w:r>
              <w:rPr>
                <w:sz w:val="20"/>
              </w:rPr>
              <w:t>agent</w:t>
            </w:r>
            <w:r>
              <w:rPr>
                <w:spacing w:val="38"/>
                <w:sz w:val="20"/>
              </w:rPr>
              <w:t> </w:t>
            </w:r>
            <w:r>
              <w:rPr>
                <w:sz w:val="20"/>
              </w:rPr>
              <w:t>to</w:t>
            </w:r>
            <w:r>
              <w:rPr>
                <w:spacing w:val="38"/>
                <w:sz w:val="20"/>
              </w:rPr>
              <w:t> </w:t>
            </w:r>
            <w:r>
              <w:rPr>
                <w:sz w:val="20"/>
              </w:rPr>
              <w:t>disclose</w:t>
            </w:r>
            <w:r>
              <w:rPr>
                <w:spacing w:val="38"/>
                <w:sz w:val="20"/>
              </w:rPr>
              <w:t> </w:t>
            </w:r>
            <w:r>
              <w:rPr>
                <w:sz w:val="20"/>
              </w:rPr>
              <w:t>a</w:t>
            </w:r>
            <w:r>
              <w:rPr>
                <w:spacing w:val="38"/>
                <w:sz w:val="20"/>
              </w:rPr>
              <w:t> </w:t>
            </w:r>
            <w:r>
              <w:rPr>
                <w:sz w:val="20"/>
              </w:rPr>
              <w:t>document</w:t>
            </w:r>
            <w:r>
              <w:rPr>
                <w:spacing w:val="38"/>
                <w:sz w:val="20"/>
              </w:rPr>
              <w:t> </w:t>
            </w:r>
            <w:r>
              <w:rPr>
                <w:sz w:val="20"/>
              </w:rPr>
              <w:t>which</w:t>
            </w:r>
            <w:r>
              <w:rPr>
                <w:spacing w:val="38"/>
                <w:sz w:val="20"/>
              </w:rPr>
              <w:t> </w:t>
            </w:r>
            <w:r>
              <w:rPr>
                <w:sz w:val="20"/>
              </w:rPr>
              <w:t>is libellous: </w:t>
            </w:r>
            <w:r>
              <w:rPr>
                <w:rFonts w:ascii="Arial"/>
                <w:i/>
                <w:sz w:val="20"/>
              </w:rPr>
              <w:t>Weld-Blundell v Stephens [1920] A.C. 956</w:t>
            </w:r>
            <w:r>
              <w:rPr>
                <w:sz w:val="20"/>
              </w:rPr>
              <w:t>.</w:t>
            </w:r>
          </w:p>
        </w:tc>
      </w:tr>
      <w:tr>
        <w:trPr>
          <w:trHeight w:val="915" w:hRule="atLeast"/>
        </w:trPr>
        <w:tc>
          <w:tcPr>
            <w:tcW w:w="496" w:type="dxa"/>
          </w:tcPr>
          <w:p>
            <w:pPr>
              <w:pStyle w:val="TableParagraph"/>
              <w:ind w:left="0" w:right="43"/>
              <w:rPr>
                <w:sz w:val="14"/>
              </w:rPr>
            </w:pPr>
            <w:bookmarkStart w:name="_bookmark2243" w:id="2245"/>
            <w:bookmarkEnd w:id="2245"/>
            <w:r>
              <w:rPr/>
            </w:r>
            <w:hyperlink w:history="true" w:anchor="_bookmark2131">
              <w:r>
                <w:rPr>
                  <w:color w:val="005DA1"/>
                  <w:spacing w:val="-2"/>
                  <w:sz w:val="14"/>
                  <w:u w:val="single" w:color="005DA1"/>
                </w:rPr>
                <w:t>1453</w:t>
              </w:r>
            </w:hyperlink>
            <w:r>
              <w:rPr>
                <w:spacing w:val="-2"/>
                <w:sz w:val="14"/>
              </w:rPr>
              <w:t>.</w:t>
            </w:r>
          </w:p>
        </w:tc>
        <w:tc>
          <w:tcPr>
            <w:tcW w:w="8621" w:type="dxa"/>
          </w:tcPr>
          <w:p>
            <w:pPr>
              <w:pStyle w:val="TableParagraph"/>
              <w:spacing w:line="235" w:lineRule="auto" w:before="118"/>
              <w:ind w:right="49"/>
              <w:jc w:val="both"/>
              <w:rPr>
                <w:sz w:val="20"/>
              </w:rPr>
            </w:pPr>
            <w:r>
              <w:rPr>
                <w:sz w:val="20"/>
              </w:rPr>
              <w:t>In </w:t>
            </w:r>
            <w:r>
              <w:rPr>
                <w:rFonts w:ascii="Arial"/>
                <w:i/>
                <w:sz w:val="20"/>
              </w:rPr>
              <w:t>Weld-Blundell v Stephens [1920] A.C. 956 </w:t>
            </w:r>
            <w:r>
              <w:rPr>
                <w:sz w:val="20"/>
              </w:rPr>
              <w:t>the principal had been held liable in libel personally for publishing the defamatory statement, which had then been republished by </w:t>
            </w:r>
            <w:r>
              <w:rPr>
                <w:sz w:val="20"/>
              </w:rPr>
              <w:t>the </w:t>
            </w:r>
            <w:r>
              <w:rPr>
                <w:spacing w:val="-2"/>
                <w:sz w:val="20"/>
              </w:rPr>
              <w:t>agent.</w:t>
            </w:r>
          </w:p>
        </w:tc>
      </w:tr>
      <w:tr>
        <w:trPr>
          <w:trHeight w:val="465" w:hRule="atLeast"/>
        </w:trPr>
        <w:tc>
          <w:tcPr>
            <w:tcW w:w="496" w:type="dxa"/>
          </w:tcPr>
          <w:p>
            <w:pPr>
              <w:pStyle w:val="TableParagraph"/>
              <w:ind w:left="0" w:right="43"/>
              <w:rPr>
                <w:sz w:val="14"/>
              </w:rPr>
            </w:pPr>
            <w:bookmarkStart w:name="_bookmark2244" w:id="2246"/>
            <w:bookmarkEnd w:id="2246"/>
            <w:r>
              <w:rPr/>
            </w:r>
            <w:hyperlink w:history="true" w:anchor="_bookmark2132">
              <w:r>
                <w:rPr>
                  <w:color w:val="005DA1"/>
                  <w:spacing w:val="-2"/>
                  <w:sz w:val="14"/>
                  <w:u w:val="single" w:color="005DA1"/>
                </w:rPr>
                <w:t>1454</w:t>
              </w:r>
            </w:hyperlink>
            <w:r>
              <w:rPr>
                <w:spacing w:val="-2"/>
                <w:sz w:val="14"/>
              </w:rPr>
              <w:t>.</w:t>
            </w:r>
          </w:p>
        </w:tc>
        <w:tc>
          <w:tcPr>
            <w:tcW w:w="8621" w:type="dxa"/>
          </w:tcPr>
          <w:p>
            <w:pPr>
              <w:pStyle w:val="TableParagraph"/>
              <w:spacing w:before="114"/>
              <w:jc w:val="left"/>
              <w:rPr>
                <w:sz w:val="20"/>
              </w:rPr>
            </w:pPr>
            <w:r>
              <w:rPr>
                <w:sz w:val="20"/>
              </w:rPr>
              <w:t>See also below, paras 18-024 et </w:t>
            </w:r>
            <w:r>
              <w:rPr>
                <w:spacing w:val="-4"/>
                <w:sz w:val="20"/>
              </w:rPr>
              <w:t>seq.</w:t>
            </w:r>
          </w:p>
        </w:tc>
      </w:tr>
      <w:tr>
        <w:trPr>
          <w:trHeight w:val="465" w:hRule="atLeast"/>
        </w:trPr>
        <w:tc>
          <w:tcPr>
            <w:tcW w:w="496" w:type="dxa"/>
          </w:tcPr>
          <w:p>
            <w:pPr>
              <w:pStyle w:val="TableParagraph"/>
              <w:ind w:left="0" w:right="43"/>
              <w:rPr>
                <w:sz w:val="14"/>
              </w:rPr>
            </w:pPr>
            <w:bookmarkStart w:name="_bookmark2245" w:id="2247"/>
            <w:bookmarkEnd w:id="2247"/>
            <w:r>
              <w:rPr/>
            </w:r>
            <w:hyperlink w:history="true" w:anchor="_bookmark2133">
              <w:r>
                <w:rPr>
                  <w:color w:val="005DA1"/>
                  <w:spacing w:val="-2"/>
                  <w:sz w:val="14"/>
                  <w:u w:val="single" w:color="005DA1"/>
                </w:rPr>
                <w:t>1455</w:t>
              </w:r>
            </w:hyperlink>
            <w:r>
              <w:rPr>
                <w:spacing w:val="-2"/>
                <w:sz w:val="14"/>
              </w:rPr>
              <w:t>.</w:t>
            </w:r>
          </w:p>
        </w:tc>
        <w:tc>
          <w:tcPr>
            <w:tcW w:w="8621" w:type="dxa"/>
          </w:tcPr>
          <w:p>
            <w:pPr>
              <w:pStyle w:val="TableParagraph"/>
              <w:spacing w:before="114"/>
              <w:jc w:val="left"/>
              <w:rPr>
                <w:sz w:val="20"/>
              </w:rPr>
            </w:pPr>
            <w:r>
              <w:rPr>
                <w:rFonts w:ascii="Arial"/>
                <w:i/>
                <w:sz w:val="20"/>
              </w:rPr>
              <w:t>(1842)</w:t>
            </w:r>
            <w:r>
              <w:rPr>
                <w:rFonts w:ascii="Arial"/>
                <w:i/>
                <w:spacing w:val="-2"/>
                <w:sz w:val="20"/>
              </w:rPr>
              <w:t> </w:t>
            </w:r>
            <w:r>
              <w:rPr>
                <w:rFonts w:ascii="Arial"/>
                <w:i/>
                <w:sz w:val="20"/>
              </w:rPr>
              <w:t>10 M.W. </w:t>
            </w:r>
            <w:r>
              <w:rPr>
                <w:rFonts w:ascii="Arial"/>
                <w:i/>
                <w:spacing w:val="-4"/>
                <w:sz w:val="20"/>
              </w:rPr>
              <w:t>109</w:t>
            </w:r>
            <w:r>
              <w:rPr>
                <w:spacing w:val="-4"/>
                <w:sz w:val="20"/>
              </w:rPr>
              <w:t>.</w:t>
            </w:r>
          </w:p>
        </w:tc>
      </w:tr>
      <w:tr>
        <w:trPr>
          <w:trHeight w:val="1815" w:hRule="atLeast"/>
        </w:trPr>
        <w:tc>
          <w:tcPr>
            <w:tcW w:w="496" w:type="dxa"/>
          </w:tcPr>
          <w:p>
            <w:pPr>
              <w:pStyle w:val="TableParagraph"/>
              <w:ind w:left="0" w:right="43"/>
              <w:rPr>
                <w:sz w:val="14"/>
              </w:rPr>
            </w:pPr>
            <w:bookmarkStart w:name="_bookmark2246" w:id="2248"/>
            <w:bookmarkEnd w:id="2248"/>
            <w:r>
              <w:rPr/>
            </w:r>
            <w:hyperlink w:history="true" w:anchor="_bookmark2134">
              <w:r>
                <w:rPr>
                  <w:color w:val="005DA1"/>
                  <w:spacing w:val="-2"/>
                  <w:sz w:val="14"/>
                  <w:u w:val="single" w:color="005DA1"/>
                </w:rPr>
                <w:t>1456</w:t>
              </w:r>
            </w:hyperlink>
            <w:r>
              <w:rPr>
                <w:spacing w:val="-2"/>
                <w:sz w:val="14"/>
              </w:rPr>
              <w:t>.</w:t>
            </w:r>
          </w:p>
        </w:tc>
        <w:tc>
          <w:tcPr>
            <w:tcW w:w="8621" w:type="dxa"/>
          </w:tcPr>
          <w:p>
            <w:pPr>
              <w:pStyle w:val="TableParagraph"/>
              <w:spacing w:line="235" w:lineRule="auto" w:before="118"/>
              <w:ind w:right="49"/>
              <w:jc w:val="both"/>
              <w:rPr>
                <w:sz w:val="20"/>
              </w:rPr>
            </w:pPr>
            <w:r>
              <w:rPr>
                <w:rFonts w:ascii="Arial" w:hAnsi="Arial"/>
                <w:i/>
                <w:sz w:val="20"/>
              </w:rPr>
              <w:t>(1842) 10 M.W. 109, 111, 114</w:t>
            </w:r>
            <w:r>
              <w:rPr>
                <w:sz w:val="20"/>
              </w:rPr>
              <w:t>. See also </w:t>
            </w:r>
            <w:r>
              <w:rPr>
                <w:rFonts w:ascii="Arial" w:hAnsi="Arial"/>
                <w:i/>
                <w:sz w:val="20"/>
              </w:rPr>
              <w:t>Tollit v Sherstone (1839) 5 M.W. 283, 289 </w:t>
            </w:r>
            <w:r>
              <w:rPr>
                <w:sz w:val="20"/>
              </w:rPr>
              <w:t>where</w:t>
            </w:r>
            <w:r>
              <w:rPr>
                <w:spacing w:val="40"/>
                <w:sz w:val="20"/>
              </w:rPr>
              <w:t> </w:t>
            </w:r>
            <w:r>
              <w:rPr>
                <w:sz w:val="20"/>
              </w:rPr>
              <w:t>Maule B. considered it: “[C]lear that an action of contract cannot be maintained by a person</w:t>
            </w:r>
            <w:r>
              <w:rPr>
                <w:spacing w:val="40"/>
                <w:sz w:val="20"/>
              </w:rPr>
              <w:t> </w:t>
            </w:r>
            <w:r>
              <w:rPr>
                <w:sz w:val="20"/>
              </w:rPr>
              <w:t>who is not a party to the contract; and the same principle extends to an action of tort arising out of a contract.” Pollock, Law of Torts, p.449 supported the decision in </w:t>
            </w:r>
            <w:r>
              <w:rPr>
                <w:rFonts w:ascii="Arial" w:hAnsi="Arial"/>
                <w:i/>
                <w:sz w:val="20"/>
              </w:rPr>
              <w:t>Winterbottom v Wright (1842) 10 M.W. 109 </w:t>
            </w:r>
            <w:r>
              <w:rPr>
                <w:sz w:val="20"/>
              </w:rPr>
              <w:t>on the ground that no bad faith or negligence in the defendant had been shown and cf. </w:t>
            </w:r>
            <w:r>
              <w:rPr>
                <w:rFonts w:ascii="Arial" w:hAnsi="Arial"/>
                <w:i/>
                <w:sz w:val="20"/>
              </w:rPr>
              <w:t>Donoghue v Stevenson [1932] A.C. 562, 589</w:t>
            </w:r>
            <w:r>
              <w:rPr>
                <w:sz w:val="20"/>
              </w:rPr>
              <w:t>. cf. also Atiyah, </w:t>
            </w:r>
            <w:r>
              <w:rPr>
                <w:rFonts w:ascii="Arial" w:hAnsi="Arial"/>
                <w:i/>
                <w:sz w:val="20"/>
              </w:rPr>
              <w:t>The Rise and Fall</w:t>
            </w:r>
            <w:r>
              <w:rPr>
                <w:rFonts w:ascii="Arial" w:hAnsi="Arial"/>
                <w:i/>
                <w:spacing w:val="40"/>
                <w:sz w:val="20"/>
              </w:rPr>
              <w:t> </w:t>
            </w:r>
            <w:r>
              <w:rPr>
                <w:rFonts w:ascii="Arial" w:hAnsi="Arial"/>
                <w:i/>
                <w:sz w:val="20"/>
              </w:rPr>
              <w:t>of Freedom of Contract </w:t>
            </w:r>
            <w:r>
              <w:rPr>
                <w:sz w:val="20"/>
              </w:rPr>
              <w:t>(1979), pp.501-505.</w:t>
            </w:r>
          </w:p>
        </w:tc>
      </w:tr>
      <w:tr>
        <w:trPr>
          <w:trHeight w:val="1140" w:hRule="atLeast"/>
        </w:trPr>
        <w:tc>
          <w:tcPr>
            <w:tcW w:w="496" w:type="dxa"/>
          </w:tcPr>
          <w:p>
            <w:pPr>
              <w:pStyle w:val="TableParagraph"/>
              <w:ind w:left="0" w:right="43"/>
              <w:rPr>
                <w:sz w:val="14"/>
              </w:rPr>
            </w:pPr>
            <w:bookmarkStart w:name="_bookmark2247" w:id="2249"/>
            <w:bookmarkEnd w:id="2249"/>
            <w:r>
              <w:rPr/>
            </w:r>
            <w:hyperlink w:history="true" w:anchor="_bookmark2135">
              <w:r>
                <w:rPr>
                  <w:color w:val="005DA1"/>
                  <w:spacing w:val="-2"/>
                  <w:sz w:val="14"/>
                  <w:u w:val="single" w:color="005DA1"/>
                </w:rPr>
                <w:t>1457</w:t>
              </w:r>
            </w:hyperlink>
            <w:r>
              <w:rPr>
                <w:spacing w:val="-2"/>
                <w:sz w:val="14"/>
              </w:rPr>
              <w:t>.</w:t>
            </w:r>
          </w:p>
        </w:tc>
        <w:tc>
          <w:tcPr>
            <w:tcW w:w="8621" w:type="dxa"/>
          </w:tcPr>
          <w:p>
            <w:pPr>
              <w:pStyle w:val="TableParagraph"/>
              <w:spacing w:line="235" w:lineRule="auto" w:before="118"/>
              <w:ind w:right="49"/>
              <w:jc w:val="both"/>
              <w:rPr>
                <w:sz w:val="20"/>
              </w:rPr>
            </w:pPr>
            <w:r>
              <w:rPr>
                <w:sz w:val="20"/>
              </w:rPr>
              <w:t>The</w:t>
            </w:r>
            <w:r>
              <w:rPr>
                <w:spacing w:val="-1"/>
                <w:sz w:val="20"/>
              </w:rPr>
              <w:t> </w:t>
            </w:r>
            <w:r>
              <w:rPr>
                <w:sz w:val="20"/>
              </w:rPr>
              <w:t>approach</w:t>
            </w:r>
            <w:r>
              <w:rPr>
                <w:spacing w:val="-1"/>
                <w:sz w:val="20"/>
              </w:rPr>
              <w:t> </w:t>
            </w:r>
            <w:r>
              <w:rPr>
                <w:sz w:val="20"/>
              </w:rPr>
              <w:t>was</w:t>
            </w:r>
            <w:r>
              <w:rPr>
                <w:spacing w:val="-1"/>
                <w:sz w:val="20"/>
              </w:rPr>
              <w:t> </w:t>
            </w:r>
            <w:r>
              <w:rPr>
                <w:sz w:val="20"/>
              </w:rPr>
              <w:t>not</w:t>
            </w:r>
            <w:r>
              <w:rPr>
                <w:spacing w:val="-1"/>
                <w:sz w:val="20"/>
              </w:rPr>
              <w:t> </w:t>
            </w:r>
            <w:r>
              <w:rPr>
                <w:sz w:val="20"/>
              </w:rPr>
              <w:t>universal:</w:t>
            </w:r>
            <w:r>
              <w:rPr>
                <w:spacing w:val="-1"/>
                <w:sz w:val="20"/>
              </w:rPr>
              <w:t> </w:t>
            </w:r>
            <w:r>
              <w:rPr>
                <w:sz w:val="20"/>
              </w:rPr>
              <w:t>see</w:t>
            </w:r>
            <w:r>
              <w:rPr>
                <w:spacing w:val="-1"/>
                <w:sz w:val="20"/>
              </w:rPr>
              <w:t> </w:t>
            </w:r>
            <w:r>
              <w:rPr>
                <w:rFonts w:ascii="Arial" w:hAnsi="Arial"/>
                <w:i/>
                <w:sz w:val="20"/>
              </w:rPr>
              <w:t>Payne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Rogers</w:t>
            </w:r>
            <w:r>
              <w:rPr>
                <w:rFonts w:ascii="Arial" w:hAnsi="Arial"/>
                <w:i/>
                <w:spacing w:val="-1"/>
                <w:sz w:val="20"/>
              </w:rPr>
              <w:t> </w:t>
            </w:r>
            <w:r>
              <w:rPr>
                <w:rFonts w:ascii="Arial" w:hAnsi="Arial"/>
                <w:i/>
                <w:sz w:val="20"/>
              </w:rPr>
              <w:t>(1794)</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H.Bl.</w:t>
            </w:r>
            <w:r>
              <w:rPr>
                <w:rFonts w:ascii="Arial" w:hAnsi="Arial"/>
                <w:i/>
                <w:spacing w:val="-1"/>
                <w:sz w:val="20"/>
              </w:rPr>
              <w:t> </w:t>
            </w:r>
            <w:r>
              <w:rPr>
                <w:rFonts w:ascii="Arial" w:hAnsi="Arial"/>
                <w:i/>
                <w:sz w:val="20"/>
              </w:rPr>
              <w:t>350</w:t>
            </w:r>
            <w:r>
              <w:rPr>
                <w:rFonts w:ascii="Arial" w:hAnsi="Arial"/>
                <w:i/>
                <w:spacing w:val="-1"/>
                <w:sz w:val="20"/>
              </w:rPr>
              <w:t> </w:t>
            </w:r>
            <w:r>
              <w:rPr>
                <w:sz w:val="20"/>
              </w:rPr>
              <w:t>(landlord</w:t>
            </w:r>
            <w:r>
              <w:rPr>
                <w:spacing w:val="-1"/>
                <w:sz w:val="20"/>
              </w:rPr>
              <w:t> </w:t>
            </w:r>
            <w:r>
              <w:rPr>
                <w:sz w:val="20"/>
              </w:rPr>
              <w:t>liable</w:t>
            </w:r>
            <w:r>
              <w:rPr>
                <w:spacing w:val="-1"/>
                <w:sz w:val="20"/>
              </w:rPr>
              <w:t> </w:t>
            </w:r>
            <w:r>
              <w:rPr>
                <w:sz w:val="20"/>
              </w:rPr>
              <w:t>to</w:t>
            </w:r>
            <w:r>
              <w:rPr>
                <w:spacing w:val="-1"/>
                <w:sz w:val="20"/>
              </w:rPr>
              <w:t> </w:t>
            </w:r>
            <w:r>
              <w:rPr>
                <w:sz w:val="20"/>
              </w:rPr>
              <w:t>third party injured on highway owing to poor state of repair of premises as long as landlord </w:t>
            </w:r>
            <w:r>
              <w:rPr>
                <w:sz w:val="20"/>
              </w:rPr>
              <w:t>had covenanted to repair) and </w:t>
            </w:r>
            <w:r>
              <w:rPr>
                <w:rFonts w:ascii="Arial" w:hAnsi="Arial"/>
                <w:i/>
                <w:sz w:val="20"/>
              </w:rPr>
              <w:t>Gladwell v Steggall (1839) 5 Bing. (N.C.) 733 </w:t>
            </w:r>
            <w:r>
              <w:rPr>
                <w:sz w:val="20"/>
              </w:rPr>
              <w:t>(medical practitioner liable to patient where fees had been paid by patient’s father).</w:t>
            </w:r>
          </w:p>
        </w:tc>
      </w:tr>
      <w:tr>
        <w:trPr>
          <w:trHeight w:val="690" w:hRule="atLeast"/>
        </w:trPr>
        <w:tc>
          <w:tcPr>
            <w:tcW w:w="496" w:type="dxa"/>
          </w:tcPr>
          <w:p>
            <w:pPr>
              <w:pStyle w:val="TableParagraph"/>
              <w:ind w:left="0" w:right="43"/>
              <w:rPr>
                <w:sz w:val="14"/>
              </w:rPr>
            </w:pPr>
            <w:bookmarkStart w:name="_bookmark2248" w:id="2250"/>
            <w:bookmarkEnd w:id="2250"/>
            <w:r>
              <w:rPr/>
            </w:r>
            <w:hyperlink w:history="true" w:anchor="_bookmark2135">
              <w:r>
                <w:rPr>
                  <w:color w:val="005DA1"/>
                  <w:spacing w:val="-2"/>
                  <w:sz w:val="14"/>
                  <w:u w:val="single" w:color="005DA1"/>
                </w:rPr>
                <w:t>1458</w:t>
              </w:r>
            </w:hyperlink>
            <w:r>
              <w:rPr>
                <w:spacing w:val="-2"/>
                <w:sz w:val="14"/>
              </w:rPr>
              <w:t>.</w:t>
            </w:r>
          </w:p>
        </w:tc>
        <w:tc>
          <w:tcPr>
            <w:tcW w:w="8621" w:type="dxa"/>
          </w:tcPr>
          <w:p>
            <w:pPr>
              <w:pStyle w:val="TableParagraph"/>
              <w:spacing w:line="227" w:lineRule="exact" w:before="114"/>
              <w:jc w:val="left"/>
              <w:rPr>
                <w:sz w:val="20"/>
              </w:rPr>
            </w:pPr>
            <w:r>
              <w:rPr>
                <w:rFonts w:ascii="Arial"/>
                <w:i/>
                <w:sz w:val="20"/>
              </w:rPr>
              <w:t>[1932]</w:t>
            </w:r>
            <w:r>
              <w:rPr>
                <w:rFonts w:ascii="Arial"/>
                <w:i/>
                <w:spacing w:val="24"/>
                <w:sz w:val="20"/>
              </w:rPr>
              <w:t> </w:t>
            </w:r>
            <w:r>
              <w:rPr>
                <w:rFonts w:ascii="Arial"/>
                <w:i/>
                <w:sz w:val="20"/>
              </w:rPr>
              <w:t>A.C.</w:t>
            </w:r>
            <w:r>
              <w:rPr>
                <w:rFonts w:ascii="Arial"/>
                <w:i/>
                <w:spacing w:val="25"/>
                <w:sz w:val="20"/>
              </w:rPr>
              <w:t> </w:t>
            </w:r>
            <w:r>
              <w:rPr>
                <w:rFonts w:ascii="Arial"/>
                <w:i/>
                <w:sz w:val="20"/>
              </w:rPr>
              <w:t>562</w:t>
            </w:r>
            <w:r>
              <w:rPr>
                <w:sz w:val="20"/>
              </w:rPr>
              <w:t>.</w:t>
            </w:r>
            <w:r>
              <w:rPr>
                <w:spacing w:val="25"/>
                <w:sz w:val="20"/>
              </w:rPr>
              <w:t> </w:t>
            </w:r>
            <w:r>
              <w:rPr>
                <w:sz w:val="20"/>
              </w:rPr>
              <w:t>cf.</w:t>
            </w:r>
            <w:r>
              <w:rPr>
                <w:spacing w:val="25"/>
                <w:sz w:val="20"/>
              </w:rPr>
              <w:t> </w:t>
            </w:r>
            <w:r>
              <w:rPr>
                <w:sz w:val="20"/>
              </w:rPr>
              <w:t>the</w:t>
            </w:r>
            <w:r>
              <w:rPr>
                <w:spacing w:val="25"/>
                <w:sz w:val="20"/>
              </w:rPr>
              <w:t> </w:t>
            </w:r>
            <w:r>
              <w:rPr>
                <w:sz w:val="20"/>
              </w:rPr>
              <w:t>dissent</w:t>
            </w:r>
            <w:r>
              <w:rPr>
                <w:spacing w:val="25"/>
                <w:sz w:val="20"/>
              </w:rPr>
              <w:t> </w:t>
            </w:r>
            <w:r>
              <w:rPr>
                <w:sz w:val="20"/>
              </w:rPr>
              <w:t>of</w:t>
            </w:r>
            <w:r>
              <w:rPr>
                <w:spacing w:val="25"/>
                <w:sz w:val="20"/>
              </w:rPr>
              <w:t> </w:t>
            </w:r>
            <w:r>
              <w:rPr>
                <w:sz w:val="20"/>
              </w:rPr>
              <w:t>Lord</w:t>
            </w:r>
            <w:r>
              <w:rPr>
                <w:spacing w:val="25"/>
                <w:sz w:val="20"/>
              </w:rPr>
              <w:t> </w:t>
            </w:r>
            <w:r>
              <w:rPr>
                <w:sz w:val="20"/>
              </w:rPr>
              <w:t>Buckmaster</w:t>
            </w:r>
            <w:r>
              <w:rPr>
                <w:spacing w:val="25"/>
                <w:sz w:val="20"/>
              </w:rPr>
              <w:t> </w:t>
            </w:r>
            <w:r>
              <w:rPr>
                <w:sz w:val="20"/>
              </w:rPr>
              <w:t>on</w:t>
            </w:r>
            <w:r>
              <w:rPr>
                <w:spacing w:val="25"/>
                <w:sz w:val="20"/>
              </w:rPr>
              <w:t> </w:t>
            </w:r>
            <w:r>
              <w:rPr>
                <w:sz w:val="20"/>
              </w:rPr>
              <w:t>this</w:t>
            </w:r>
            <w:r>
              <w:rPr>
                <w:spacing w:val="25"/>
                <w:sz w:val="20"/>
              </w:rPr>
              <w:t> </w:t>
            </w:r>
            <w:r>
              <w:rPr>
                <w:sz w:val="20"/>
              </w:rPr>
              <w:t>ground</w:t>
            </w:r>
            <w:r>
              <w:rPr>
                <w:spacing w:val="25"/>
                <w:sz w:val="20"/>
              </w:rPr>
              <w:t> </w:t>
            </w:r>
            <w:r>
              <w:rPr>
                <w:sz w:val="20"/>
              </w:rPr>
              <w:t>at</w:t>
            </w:r>
            <w:r>
              <w:rPr>
                <w:spacing w:val="25"/>
                <w:sz w:val="20"/>
              </w:rPr>
              <w:t> </w:t>
            </w:r>
            <w:r>
              <w:rPr>
                <w:sz w:val="20"/>
              </w:rPr>
              <w:t>568,</w:t>
            </w:r>
            <w:r>
              <w:rPr>
                <w:spacing w:val="25"/>
                <w:sz w:val="20"/>
              </w:rPr>
              <w:t> </w:t>
            </w:r>
            <w:r>
              <w:rPr>
                <w:sz w:val="20"/>
              </w:rPr>
              <w:t>577-578</w:t>
            </w:r>
            <w:r>
              <w:rPr>
                <w:spacing w:val="25"/>
                <w:sz w:val="20"/>
              </w:rPr>
              <w:t> </w:t>
            </w:r>
            <w:r>
              <w:rPr>
                <w:sz w:val="20"/>
              </w:rPr>
              <w:t>and</w:t>
            </w:r>
            <w:r>
              <w:rPr>
                <w:spacing w:val="25"/>
                <w:sz w:val="20"/>
              </w:rPr>
              <w:t> </w:t>
            </w:r>
            <w:r>
              <w:rPr>
                <w:spacing w:val="-5"/>
                <w:sz w:val="20"/>
              </w:rPr>
              <w:t>see</w:t>
            </w:r>
          </w:p>
          <w:p>
            <w:pPr>
              <w:pStyle w:val="TableParagraph"/>
              <w:spacing w:line="227" w:lineRule="exact" w:before="0"/>
              <w:jc w:val="left"/>
              <w:rPr>
                <w:sz w:val="20"/>
              </w:rPr>
            </w:pPr>
            <w:r>
              <w:rPr>
                <w:rFonts w:ascii="Arial"/>
                <w:i/>
                <w:sz w:val="20"/>
              </w:rPr>
              <w:t>Grant v Australian Knitting Mills Ltd [1936] A.C. 85, 101-</w:t>
            </w:r>
            <w:r>
              <w:rPr>
                <w:rFonts w:ascii="Arial"/>
                <w:i/>
                <w:spacing w:val="-4"/>
                <w:sz w:val="20"/>
              </w:rPr>
              <w:t>102</w:t>
            </w:r>
            <w:r>
              <w:rPr>
                <w:spacing w:val="-4"/>
                <w:sz w:val="20"/>
              </w:rPr>
              <w:t>.</w:t>
            </w:r>
          </w:p>
        </w:tc>
      </w:tr>
      <w:tr>
        <w:trPr>
          <w:trHeight w:val="465" w:hRule="atLeast"/>
        </w:trPr>
        <w:tc>
          <w:tcPr>
            <w:tcW w:w="496" w:type="dxa"/>
          </w:tcPr>
          <w:p>
            <w:pPr>
              <w:pStyle w:val="TableParagraph"/>
              <w:ind w:left="0" w:right="43"/>
              <w:rPr>
                <w:sz w:val="14"/>
              </w:rPr>
            </w:pPr>
            <w:bookmarkStart w:name="_bookmark2249" w:id="2251"/>
            <w:bookmarkEnd w:id="2251"/>
            <w:r>
              <w:rPr/>
            </w:r>
            <w:hyperlink w:history="true" w:anchor="_bookmark2136">
              <w:r>
                <w:rPr>
                  <w:color w:val="005DA1"/>
                  <w:spacing w:val="-2"/>
                  <w:sz w:val="14"/>
                  <w:u w:val="single" w:color="005DA1"/>
                </w:rPr>
                <w:t>1459</w:t>
              </w:r>
            </w:hyperlink>
            <w:r>
              <w:rPr>
                <w:spacing w:val="-2"/>
                <w:sz w:val="14"/>
              </w:rPr>
              <w:t>.</w:t>
            </w:r>
          </w:p>
        </w:tc>
        <w:tc>
          <w:tcPr>
            <w:tcW w:w="8621" w:type="dxa"/>
          </w:tcPr>
          <w:p>
            <w:pPr>
              <w:pStyle w:val="TableParagraph"/>
              <w:spacing w:before="114"/>
              <w:jc w:val="left"/>
              <w:rPr>
                <w:sz w:val="20"/>
              </w:rPr>
            </w:pPr>
            <w:r>
              <w:rPr>
                <w:rFonts w:ascii="Arial"/>
                <w:i/>
                <w:sz w:val="20"/>
              </w:rPr>
              <w:t>[1932]</w:t>
            </w:r>
            <w:r>
              <w:rPr>
                <w:rFonts w:ascii="Arial"/>
                <w:i/>
                <w:spacing w:val="-2"/>
                <w:sz w:val="20"/>
              </w:rPr>
              <w:t> </w:t>
            </w:r>
            <w:r>
              <w:rPr>
                <w:rFonts w:ascii="Arial"/>
                <w:i/>
                <w:sz w:val="20"/>
              </w:rPr>
              <w:t>A.C. 562, </w:t>
            </w:r>
            <w:r>
              <w:rPr>
                <w:rFonts w:ascii="Arial"/>
                <w:i/>
                <w:spacing w:val="-4"/>
                <w:sz w:val="20"/>
              </w:rPr>
              <w:t>610</w:t>
            </w:r>
            <w:r>
              <w:rPr>
                <w:spacing w:val="-4"/>
                <w:sz w:val="20"/>
              </w:rPr>
              <w:t>.</w:t>
            </w:r>
          </w:p>
        </w:tc>
      </w:tr>
      <w:tr>
        <w:trPr>
          <w:trHeight w:val="465" w:hRule="atLeast"/>
        </w:trPr>
        <w:tc>
          <w:tcPr>
            <w:tcW w:w="496" w:type="dxa"/>
          </w:tcPr>
          <w:p>
            <w:pPr>
              <w:pStyle w:val="TableParagraph"/>
              <w:ind w:left="0" w:right="43"/>
              <w:rPr>
                <w:sz w:val="14"/>
              </w:rPr>
            </w:pPr>
            <w:bookmarkStart w:name="_bookmark2250" w:id="2252"/>
            <w:bookmarkEnd w:id="2252"/>
            <w:r>
              <w:rPr/>
            </w:r>
            <w:hyperlink w:history="true" w:anchor="_bookmark2137">
              <w:r>
                <w:rPr>
                  <w:color w:val="005DA1"/>
                  <w:spacing w:val="-2"/>
                  <w:sz w:val="14"/>
                  <w:u w:val="single" w:color="005DA1"/>
                </w:rPr>
                <w:t>1460</w:t>
              </w:r>
            </w:hyperlink>
            <w:r>
              <w:rPr>
                <w:spacing w:val="-2"/>
                <w:sz w:val="14"/>
              </w:rPr>
              <w:t>.</w:t>
            </w:r>
          </w:p>
        </w:tc>
        <w:tc>
          <w:tcPr>
            <w:tcW w:w="8621" w:type="dxa"/>
          </w:tcPr>
          <w:p>
            <w:pPr>
              <w:pStyle w:val="TableParagraph"/>
              <w:spacing w:before="114"/>
              <w:jc w:val="left"/>
              <w:rPr>
                <w:sz w:val="20"/>
              </w:rPr>
            </w:pPr>
            <w:r>
              <w:rPr>
                <w:rFonts w:ascii="Arial"/>
                <w:i/>
                <w:sz w:val="20"/>
              </w:rPr>
              <w:t>(1842)</w:t>
            </w:r>
            <w:r>
              <w:rPr>
                <w:rFonts w:ascii="Arial"/>
                <w:i/>
                <w:spacing w:val="-2"/>
                <w:sz w:val="20"/>
              </w:rPr>
              <w:t> </w:t>
            </w:r>
            <w:r>
              <w:rPr>
                <w:rFonts w:ascii="Arial"/>
                <w:i/>
                <w:sz w:val="20"/>
              </w:rPr>
              <w:t>10 M.W. </w:t>
            </w:r>
            <w:r>
              <w:rPr>
                <w:rFonts w:ascii="Arial"/>
                <w:i/>
                <w:spacing w:val="-4"/>
                <w:sz w:val="20"/>
              </w:rPr>
              <w:t>109</w:t>
            </w:r>
            <w:r>
              <w:rPr>
                <w:spacing w:val="-4"/>
                <w:sz w:val="20"/>
              </w:rPr>
              <w:t>.</w:t>
            </w:r>
          </w:p>
        </w:tc>
      </w:tr>
      <w:tr>
        <w:trPr>
          <w:trHeight w:val="690" w:hRule="atLeast"/>
        </w:trPr>
        <w:tc>
          <w:tcPr>
            <w:tcW w:w="496" w:type="dxa"/>
          </w:tcPr>
          <w:p>
            <w:pPr>
              <w:pStyle w:val="TableParagraph"/>
              <w:ind w:left="0" w:right="43"/>
              <w:rPr>
                <w:sz w:val="14"/>
              </w:rPr>
            </w:pPr>
            <w:bookmarkStart w:name="_bookmark2251" w:id="2253"/>
            <w:bookmarkEnd w:id="2253"/>
            <w:r>
              <w:rPr/>
            </w:r>
            <w:hyperlink w:history="true" w:anchor="_bookmark2137">
              <w:r>
                <w:rPr>
                  <w:color w:val="005DA1"/>
                  <w:spacing w:val="-2"/>
                  <w:sz w:val="14"/>
                  <w:u w:val="single" w:color="005DA1"/>
                </w:rPr>
                <w:t>1461</w:t>
              </w:r>
            </w:hyperlink>
            <w:r>
              <w:rPr>
                <w:spacing w:val="-2"/>
                <w:sz w:val="14"/>
              </w:rPr>
              <w:t>.</w:t>
            </w:r>
          </w:p>
        </w:tc>
        <w:tc>
          <w:tcPr>
            <w:tcW w:w="8621" w:type="dxa"/>
          </w:tcPr>
          <w:p>
            <w:pPr>
              <w:pStyle w:val="TableParagraph"/>
              <w:spacing w:line="235" w:lineRule="auto" w:before="118"/>
              <w:jc w:val="left"/>
              <w:rPr>
                <w:sz w:val="20"/>
              </w:rPr>
            </w:pPr>
            <w:r>
              <w:rPr>
                <w:sz w:val="20"/>
              </w:rPr>
              <w:t>See</w:t>
            </w:r>
            <w:r>
              <w:rPr>
                <w:spacing w:val="-2"/>
                <w:sz w:val="20"/>
              </w:rPr>
              <w:t> </w:t>
            </w:r>
            <w:r>
              <w:rPr>
                <w:rFonts w:ascii="Arial"/>
                <w:i/>
                <w:sz w:val="20"/>
              </w:rPr>
              <w:t>Greene</w:t>
            </w:r>
            <w:r>
              <w:rPr>
                <w:rFonts w:ascii="Arial"/>
                <w:i/>
                <w:spacing w:val="-2"/>
                <w:sz w:val="20"/>
              </w:rPr>
              <w:t> </w:t>
            </w:r>
            <w:r>
              <w:rPr>
                <w:rFonts w:ascii="Arial"/>
                <w:i/>
                <w:sz w:val="20"/>
              </w:rPr>
              <w:t>v</w:t>
            </w:r>
            <w:r>
              <w:rPr>
                <w:rFonts w:ascii="Arial"/>
                <w:i/>
                <w:spacing w:val="-2"/>
                <w:sz w:val="20"/>
              </w:rPr>
              <w:t> </w:t>
            </w:r>
            <w:r>
              <w:rPr>
                <w:rFonts w:ascii="Arial"/>
                <w:i/>
                <w:sz w:val="20"/>
              </w:rPr>
              <w:t>Chelsea</w:t>
            </w:r>
            <w:r>
              <w:rPr>
                <w:rFonts w:ascii="Arial"/>
                <w:i/>
                <w:spacing w:val="-2"/>
                <w:sz w:val="20"/>
              </w:rPr>
              <w:t> </w:t>
            </w:r>
            <w:r>
              <w:rPr>
                <w:rFonts w:ascii="Arial"/>
                <w:i/>
                <w:sz w:val="20"/>
              </w:rPr>
              <w:t>BC</w:t>
            </w:r>
            <w:r>
              <w:rPr>
                <w:rFonts w:ascii="Arial"/>
                <w:i/>
                <w:spacing w:val="-2"/>
                <w:sz w:val="20"/>
              </w:rPr>
              <w:t> </w:t>
            </w:r>
            <w:r>
              <w:rPr>
                <w:rFonts w:ascii="Arial"/>
                <w:i/>
                <w:sz w:val="20"/>
              </w:rPr>
              <w:t>[1954]</w:t>
            </w:r>
            <w:r>
              <w:rPr>
                <w:rFonts w:ascii="Arial"/>
                <w:i/>
                <w:spacing w:val="-2"/>
                <w:sz w:val="20"/>
              </w:rPr>
              <w:t> </w:t>
            </w:r>
            <w:r>
              <w:rPr>
                <w:rFonts w:ascii="Arial"/>
                <w:i/>
                <w:sz w:val="20"/>
              </w:rPr>
              <w:t>2</w:t>
            </w:r>
            <w:r>
              <w:rPr>
                <w:rFonts w:ascii="Arial"/>
                <w:i/>
                <w:spacing w:val="-2"/>
                <w:sz w:val="20"/>
              </w:rPr>
              <w:t> </w:t>
            </w:r>
            <w:r>
              <w:rPr>
                <w:rFonts w:ascii="Arial"/>
                <w:i/>
                <w:sz w:val="20"/>
              </w:rPr>
              <w:t>Q.B.</w:t>
            </w:r>
            <w:r>
              <w:rPr>
                <w:rFonts w:ascii="Arial"/>
                <w:i/>
                <w:spacing w:val="-2"/>
                <w:sz w:val="20"/>
              </w:rPr>
              <w:t> </w:t>
            </w:r>
            <w:r>
              <w:rPr>
                <w:rFonts w:ascii="Arial"/>
                <w:i/>
                <w:sz w:val="20"/>
              </w:rPr>
              <w:t>127,</w:t>
            </w:r>
            <w:r>
              <w:rPr>
                <w:rFonts w:ascii="Arial"/>
                <w:i/>
                <w:spacing w:val="-2"/>
                <w:sz w:val="20"/>
              </w:rPr>
              <w:t> </w:t>
            </w:r>
            <w:r>
              <w:rPr>
                <w:rFonts w:ascii="Arial"/>
                <w:i/>
                <w:sz w:val="20"/>
              </w:rPr>
              <w:t>138</w:t>
            </w:r>
            <w:r>
              <w:rPr>
                <w:rFonts w:ascii="Arial"/>
                <w:i/>
                <w:spacing w:val="-2"/>
                <w:sz w:val="20"/>
              </w:rPr>
              <w:t> </w:t>
            </w:r>
            <w:r>
              <w:rPr>
                <w:sz w:val="20"/>
              </w:rPr>
              <w:t>and</w:t>
            </w:r>
            <w:r>
              <w:rPr>
                <w:spacing w:val="-2"/>
                <w:sz w:val="20"/>
              </w:rPr>
              <w:t> </w:t>
            </w:r>
            <w:r>
              <w:rPr>
                <w:sz w:val="20"/>
              </w:rPr>
              <w:t>as</w:t>
            </w:r>
            <w:r>
              <w:rPr>
                <w:spacing w:val="-2"/>
                <w:sz w:val="20"/>
              </w:rPr>
              <w:t> </w:t>
            </w:r>
            <w:r>
              <w:rPr>
                <w:sz w:val="20"/>
              </w:rPr>
              <w:t>late</w:t>
            </w:r>
            <w:r>
              <w:rPr>
                <w:spacing w:val="-2"/>
                <w:sz w:val="20"/>
              </w:rPr>
              <w:t> </w:t>
            </w:r>
            <w:r>
              <w:rPr>
                <w:sz w:val="20"/>
              </w:rPr>
              <w:t>as</w:t>
            </w:r>
            <w:r>
              <w:rPr>
                <w:spacing w:val="-2"/>
                <w:sz w:val="20"/>
              </w:rPr>
              <w:t> </w:t>
            </w:r>
            <w:r>
              <w:rPr>
                <w:sz w:val="20"/>
              </w:rPr>
              <w:t>1983,</w:t>
            </w:r>
            <w:r>
              <w:rPr>
                <w:spacing w:val="-2"/>
                <w:sz w:val="20"/>
              </w:rPr>
              <w:t> </w:t>
            </w:r>
            <w:r>
              <w:rPr>
                <w:rFonts w:ascii="Arial"/>
                <w:i/>
                <w:sz w:val="20"/>
              </w:rPr>
              <w:t>Rimmer</w:t>
            </w:r>
            <w:r>
              <w:rPr>
                <w:rFonts w:ascii="Arial"/>
                <w:i/>
                <w:spacing w:val="-2"/>
                <w:sz w:val="20"/>
              </w:rPr>
              <w:t> </w:t>
            </w:r>
            <w:r>
              <w:rPr>
                <w:rFonts w:ascii="Arial"/>
                <w:i/>
                <w:sz w:val="20"/>
              </w:rPr>
              <w:t>v</w:t>
            </w:r>
            <w:r>
              <w:rPr>
                <w:rFonts w:ascii="Arial"/>
                <w:i/>
                <w:spacing w:val="-2"/>
                <w:sz w:val="20"/>
              </w:rPr>
              <w:t> </w:t>
            </w:r>
            <w:r>
              <w:rPr>
                <w:rFonts w:ascii="Arial"/>
                <w:i/>
                <w:sz w:val="20"/>
              </w:rPr>
              <w:t>Liverpool</w:t>
            </w:r>
            <w:r>
              <w:rPr>
                <w:rFonts w:ascii="Arial"/>
                <w:i/>
                <w:spacing w:val="-2"/>
                <w:sz w:val="20"/>
              </w:rPr>
              <w:t> </w:t>
            </w:r>
            <w:r>
              <w:rPr>
                <w:rFonts w:ascii="Arial"/>
                <w:i/>
                <w:sz w:val="20"/>
              </w:rPr>
              <w:t>City Council [1985] Q.B. 1, 11</w:t>
            </w:r>
            <w:r>
              <w:rPr>
                <w:sz w:val="20"/>
              </w:rPr>
              <w:t>.</w:t>
            </w:r>
          </w:p>
        </w:tc>
      </w:tr>
      <w:tr>
        <w:trPr>
          <w:trHeight w:val="344" w:hRule="atLeast"/>
        </w:trPr>
        <w:tc>
          <w:tcPr>
            <w:tcW w:w="496" w:type="dxa"/>
          </w:tcPr>
          <w:p>
            <w:pPr>
              <w:pStyle w:val="TableParagraph"/>
              <w:ind w:left="0" w:right="43"/>
              <w:rPr>
                <w:sz w:val="14"/>
              </w:rPr>
            </w:pPr>
            <w:bookmarkStart w:name="_bookmark2252" w:id="2254"/>
            <w:bookmarkEnd w:id="2254"/>
            <w:r>
              <w:rPr/>
            </w:r>
            <w:hyperlink w:history="true" w:anchor="_bookmark2138">
              <w:r>
                <w:rPr>
                  <w:color w:val="005DA1"/>
                  <w:spacing w:val="-2"/>
                  <w:sz w:val="14"/>
                  <w:u w:val="single" w:color="005DA1"/>
                </w:rPr>
                <w:t>1462</w:t>
              </w:r>
            </w:hyperlink>
            <w:r>
              <w:rPr>
                <w:spacing w:val="-2"/>
                <w:sz w:val="14"/>
              </w:rPr>
              <w:t>.</w:t>
            </w:r>
          </w:p>
        </w:tc>
        <w:tc>
          <w:tcPr>
            <w:tcW w:w="8621" w:type="dxa"/>
          </w:tcPr>
          <w:p>
            <w:pPr>
              <w:pStyle w:val="TableParagraph"/>
              <w:spacing w:line="210" w:lineRule="exact" w:before="114"/>
              <w:jc w:val="left"/>
              <w:rPr>
                <w:sz w:val="20"/>
              </w:rPr>
            </w:pPr>
            <w:r>
              <w:rPr>
                <w:rFonts w:ascii="Arial"/>
                <w:i/>
                <w:sz w:val="20"/>
              </w:rPr>
              <w:t>[1964] A.C. </w:t>
            </w:r>
            <w:r>
              <w:rPr>
                <w:rFonts w:ascii="Arial"/>
                <w:i/>
                <w:spacing w:val="-4"/>
                <w:sz w:val="20"/>
              </w:rPr>
              <w:t>465</w:t>
            </w:r>
            <w:r>
              <w:rPr>
                <w:spacing w:val="-4"/>
                <w:sz w:val="20"/>
              </w:rPr>
              <w:t>.</w:t>
            </w:r>
          </w:p>
        </w:tc>
      </w:tr>
    </w:tbl>
    <w:p>
      <w:pPr>
        <w:pStyle w:val="TableParagraph"/>
        <w:spacing w:after="0" w:line="210" w:lineRule="exact"/>
        <w:jc w:val="left"/>
        <w:rPr>
          <w:sz w:val="20"/>
        </w:rPr>
        <w:sectPr>
          <w:pgSz w:w="11900" w:h="16840"/>
          <w:pgMar w:header="971" w:footer="0" w:top="1300" w:bottom="280" w:left="1275" w:right="1275"/>
        </w:sectPr>
      </w:pPr>
    </w:p>
    <w:p>
      <w:pPr>
        <w:pStyle w:val="BodyText"/>
        <w:spacing w:before="166"/>
        <w:ind w:left="165"/>
      </w:pPr>
      <w:hyperlink w:history="true" w:anchor="_bookmark2139">
        <w:r>
          <w:rPr>
            <w:color w:val="005DA1"/>
            <w:position w:val="5"/>
            <w:sz w:val="14"/>
            <w:u w:val="single" w:color="005DA1"/>
          </w:rPr>
          <w:t>1463</w:t>
        </w:r>
      </w:hyperlink>
      <w:r>
        <w:rPr>
          <w:position w:val="5"/>
          <w:sz w:val="14"/>
        </w:rPr>
        <w:t>.</w:t>
      </w:r>
      <w:r>
        <w:rPr>
          <w:spacing w:val="55"/>
          <w:position w:val="5"/>
          <w:sz w:val="14"/>
        </w:rPr>
        <w:t>  </w:t>
      </w:r>
      <w:r>
        <w:rPr/>
        <w:t>[1964]</w:t>
      </w:r>
      <w:r>
        <w:rPr>
          <w:spacing w:val="1"/>
        </w:rPr>
        <w:t> </w:t>
      </w:r>
      <w:r>
        <w:rPr/>
        <w:t>at 525-526, 529 and cf. at </w:t>
      </w:r>
      <w:r>
        <w:rPr>
          <w:spacing w:val="-4"/>
        </w:rPr>
        <w:t>538.</w:t>
      </w:r>
    </w:p>
    <w:p>
      <w:pPr>
        <w:pStyle w:val="BodyText"/>
        <w:spacing w:before="5"/>
      </w:pPr>
    </w:p>
    <w:p>
      <w:pPr>
        <w:spacing w:before="1"/>
        <w:ind w:left="165" w:right="0" w:firstLine="0"/>
        <w:jc w:val="left"/>
        <w:rPr>
          <w:sz w:val="20"/>
        </w:rPr>
      </w:pPr>
      <w:bookmarkStart w:name="_bookmark2253" w:id="2255"/>
      <w:bookmarkEnd w:id="2255"/>
      <w:r>
        <w:rPr/>
      </w:r>
      <w:hyperlink w:history="true" w:anchor="_bookmark2140">
        <w:r>
          <w:rPr>
            <w:color w:val="005DA1"/>
            <w:position w:val="5"/>
            <w:sz w:val="14"/>
            <w:u w:val="single" w:color="005DA1"/>
          </w:rPr>
          <w:t>1464</w:t>
        </w:r>
      </w:hyperlink>
      <w:r>
        <w:rPr>
          <w:position w:val="5"/>
          <w:sz w:val="14"/>
        </w:rPr>
        <w:t>.</w:t>
      </w:r>
      <w:r>
        <w:rPr>
          <w:spacing w:val="55"/>
          <w:position w:val="5"/>
          <w:sz w:val="14"/>
        </w:rPr>
        <w:t>  </w:t>
      </w:r>
      <w:r>
        <w:rPr>
          <w:rFonts w:ascii="Arial"/>
          <w:i/>
          <w:sz w:val="20"/>
        </w:rPr>
        <w:t>[1964]</w:t>
      </w:r>
      <w:r>
        <w:rPr>
          <w:rFonts w:ascii="Arial"/>
          <w:i/>
          <w:spacing w:val="1"/>
          <w:sz w:val="20"/>
        </w:rPr>
        <w:t> </w:t>
      </w:r>
      <w:r>
        <w:rPr>
          <w:rFonts w:ascii="Arial"/>
          <w:i/>
          <w:sz w:val="20"/>
        </w:rPr>
        <w:t>A.C. 465</w:t>
      </w:r>
      <w:r>
        <w:rPr>
          <w:rFonts w:ascii="Arial"/>
          <w:i/>
          <w:spacing w:val="-1"/>
          <w:sz w:val="20"/>
        </w:rPr>
        <w:t> </w:t>
      </w:r>
      <w:r>
        <w:rPr>
          <w:sz w:val="20"/>
        </w:rPr>
        <w:t>at </w:t>
      </w:r>
      <w:r>
        <w:rPr>
          <w:spacing w:val="-4"/>
          <w:sz w:val="20"/>
        </w:rPr>
        <w:t>529.</w:t>
      </w:r>
    </w:p>
    <w:p>
      <w:pPr>
        <w:pStyle w:val="BodyText"/>
        <w:spacing w:before="8"/>
      </w:pPr>
    </w:p>
    <w:p>
      <w:pPr>
        <w:pStyle w:val="BodyText"/>
        <w:spacing w:line="235" w:lineRule="auto"/>
        <w:ind w:left="705" w:right="167" w:hanging="541"/>
        <w:jc w:val="both"/>
      </w:pPr>
      <w:bookmarkStart w:name="_bookmark2254" w:id="2256"/>
      <w:bookmarkEnd w:id="2256"/>
      <w:r>
        <w:rPr/>
      </w:r>
      <w:hyperlink w:history="true" w:anchor="_bookmark2141">
        <w:r>
          <w:rPr>
            <w:color w:val="005DA1"/>
            <w:position w:val="5"/>
            <w:sz w:val="14"/>
            <w:u w:val="single" w:color="005DA1"/>
          </w:rPr>
          <w:t>1465</w:t>
        </w:r>
      </w:hyperlink>
      <w:r>
        <w:rPr>
          <w:position w:val="5"/>
          <w:sz w:val="14"/>
        </w:rPr>
        <w:t>.</w:t>
      </w:r>
      <w:r>
        <w:rPr>
          <w:spacing w:val="80"/>
          <w:w w:val="150"/>
          <w:position w:val="5"/>
          <w:sz w:val="14"/>
        </w:rPr>
        <w:t> </w:t>
      </w:r>
      <w:r>
        <w:rPr/>
        <w:t>The statement in question had been made by A (the defendants) to B at the latter’s request</w:t>
      </w:r>
      <w:r>
        <w:rPr>
          <w:spacing w:val="40"/>
        </w:rPr>
        <w:t> </w:t>
      </w:r>
      <w:r>
        <w:rPr/>
        <w:t>(who had in turn been asked to do so by C), A knowing that the statement would be passed on to B’s customer, C (the plaintiff). In these circumstances, A could only be considered in </w:t>
      </w:r>
      <w:r>
        <w:rPr/>
        <w:t>privity with C if B were treated as C’s agent for this purpose.</w:t>
      </w:r>
    </w:p>
    <w:p>
      <w:pPr>
        <w:pStyle w:val="BodyText"/>
        <w:spacing w:before="5"/>
      </w:pPr>
    </w:p>
    <w:p>
      <w:pPr>
        <w:spacing w:before="0"/>
        <w:ind w:left="165" w:right="0" w:firstLine="0"/>
        <w:jc w:val="left"/>
        <w:rPr>
          <w:sz w:val="20"/>
        </w:rPr>
      </w:pPr>
      <w:bookmarkStart w:name="_bookmark2255" w:id="2257"/>
      <w:bookmarkEnd w:id="2257"/>
      <w:r>
        <w:rPr/>
      </w:r>
      <w:hyperlink w:history="true" w:anchor="_bookmark2142">
        <w:r>
          <w:rPr>
            <w:color w:val="005DA1"/>
            <w:position w:val="5"/>
            <w:sz w:val="14"/>
            <w:u w:val="single" w:color="005DA1"/>
          </w:rPr>
          <w:t>1466</w:t>
        </w:r>
      </w:hyperlink>
      <w:r>
        <w:rPr>
          <w:position w:val="5"/>
          <w:sz w:val="14"/>
        </w:rPr>
        <w:t>.</w:t>
      </w:r>
      <w:r>
        <w:rPr>
          <w:spacing w:val="55"/>
          <w:position w:val="5"/>
          <w:sz w:val="14"/>
        </w:rPr>
        <w:t>  </w:t>
      </w:r>
      <w:r>
        <w:rPr>
          <w:rFonts w:ascii="Arial"/>
          <w:i/>
          <w:sz w:val="20"/>
        </w:rPr>
        <w:t>[1983]</w:t>
      </w:r>
      <w:r>
        <w:rPr>
          <w:rFonts w:ascii="Arial"/>
          <w:i/>
          <w:spacing w:val="1"/>
          <w:sz w:val="20"/>
        </w:rPr>
        <w:t> </w:t>
      </w:r>
      <w:r>
        <w:rPr>
          <w:rFonts w:ascii="Arial"/>
          <w:i/>
          <w:sz w:val="20"/>
        </w:rPr>
        <w:t>1 A.C. 520</w:t>
      </w:r>
      <w:r>
        <w:rPr>
          <w:rFonts w:ascii="Arial"/>
          <w:i/>
          <w:spacing w:val="-1"/>
          <w:sz w:val="20"/>
        </w:rPr>
        <w:t> </w:t>
      </w:r>
      <w:r>
        <w:rPr>
          <w:sz w:val="20"/>
        </w:rPr>
        <w:t>and see below, para.18-</w:t>
      </w:r>
      <w:r>
        <w:rPr>
          <w:spacing w:val="-4"/>
          <w:sz w:val="20"/>
        </w:rPr>
        <w:t>025.</w:t>
      </w:r>
    </w:p>
    <w:p>
      <w:pPr>
        <w:pStyle w:val="BodyText"/>
        <w:spacing w:before="9"/>
      </w:pPr>
    </w:p>
    <w:p>
      <w:pPr>
        <w:pStyle w:val="BodyText"/>
        <w:spacing w:line="235" w:lineRule="auto"/>
        <w:ind w:left="705" w:hanging="541"/>
      </w:pPr>
      <w:bookmarkStart w:name="_bookmark2256" w:id="2258"/>
      <w:bookmarkEnd w:id="2258"/>
      <w:r>
        <w:rPr/>
      </w:r>
      <w:hyperlink w:history="true" w:anchor="_bookmark2143">
        <w:r>
          <w:rPr>
            <w:color w:val="005DA1"/>
            <w:position w:val="5"/>
            <w:sz w:val="14"/>
            <w:u w:val="single" w:color="005DA1"/>
          </w:rPr>
          <w:t>1467</w:t>
        </w:r>
      </w:hyperlink>
      <w:r>
        <w:rPr>
          <w:position w:val="5"/>
          <w:sz w:val="14"/>
        </w:rPr>
        <w:t>.</w:t>
      </w:r>
      <w:r>
        <w:rPr>
          <w:spacing w:val="40"/>
          <w:position w:val="5"/>
          <w:sz w:val="14"/>
        </w:rPr>
        <w:t>  </w:t>
      </w:r>
      <w:r>
        <w:rPr/>
        <w:t>As the case came to the House of Lords by way of a preliminary issue, it was not necessary to consider what damages would be recoverable nor whether the sub-contractor was negligent.</w:t>
      </w:r>
    </w:p>
    <w:p>
      <w:pPr>
        <w:pStyle w:val="BodyText"/>
        <w:spacing w:before="5"/>
      </w:pPr>
    </w:p>
    <w:p>
      <w:pPr>
        <w:spacing w:before="0"/>
        <w:ind w:left="165" w:right="0" w:firstLine="0"/>
        <w:jc w:val="left"/>
        <w:rPr>
          <w:sz w:val="20"/>
        </w:rPr>
      </w:pPr>
      <w:bookmarkStart w:name="_bookmark2257" w:id="2259"/>
      <w:bookmarkEnd w:id="2259"/>
      <w:r>
        <w:rPr/>
      </w:r>
      <w:hyperlink w:history="true" w:anchor="_bookmark2144">
        <w:r>
          <w:rPr>
            <w:color w:val="005DA1"/>
            <w:position w:val="5"/>
            <w:sz w:val="14"/>
            <w:u w:val="single" w:color="005DA1"/>
          </w:rPr>
          <w:t>1468</w:t>
        </w:r>
      </w:hyperlink>
      <w:r>
        <w:rPr>
          <w:position w:val="5"/>
          <w:sz w:val="14"/>
        </w:rPr>
        <w:t>.</w:t>
      </w:r>
      <w:r>
        <w:rPr>
          <w:spacing w:val="55"/>
          <w:position w:val="5"/>
          <w:sz w:val="14"/>
        </w:rPr>
        <w:t>  </w:t>
      </w:r>
      <w:r>
        <w:rPr>
          <w:rFonts w:ascii="Arial"/>
          <w:i/>
          <w:sz w:val="20"/>
        </w:rPr>
        <w:t>[1983]</w:t>
      </w:r>
      <w:r>
        <w:rPr>
          <w:rFonts w:ascii="Arial"/>
          <w:i/>
          <w:spacing w:val="1"/>
          <w:sz w:val="20"/>
        </w:rPr>
        <w:t> </w:t>
      </w:r>
      <w:r>
        <w:rPr>
          <w:rFonts w:ascii="Arial"/>
          <w:i/>
          <w:sz w:val="20"/>
        </w:rPr>
        <w:t>1 A.C. 520, 533</w:t>
      </w:r>
      <w:r>
        <w:rPr>
          <w:sz w:val="20"/>
        </w:rPr>
        <w:t>, per</w:t>
      </w:r>
      <w:r>
        <w:rPr>
          <w:spacing w:val="-1"/>
          <w:sz w:val="20"/>
        </w:rPr>
        <w:t> </w:t>
      </w:r>
      <w:r>
        <w:rPr>
          <w:sz w:val="20"/>
        </w:rPr>
        <w:t>Lord Fraser of Tullybelton and cf. </w:t>
      </w:r>
      <w:r>
        <w:rPr>
          <w:spacing w:val="-4"/>
          <w:sz w:val="20"/>
        </w:rPr>
        <w:t>542.</w:t>
      </w:r>
    </w:p>
    <w:p>
      <w:pPr>
        <w:pStyle w:val="BodyText"/>
        <w:spacing w:before="9"/>
      </w:pPr>
    </w:p>
    <w:p>
      <w:pPr>
        <w:spacing w:line="235" w:lineRule="auto" w:before="0"/>
        <w:ind w:left="705" w:right="167" w:hanging="541"/>
        <w:jc w:val="both"/>
        <w:rPr>
          <w:sz w:val="20"/>
        </w:rPr>
      </w:pPr>
      <w:bookmarkStart w:name="_bookmark2258" w:id="2260"/>
      <w:bookmarkEnd w:id="2260"/>
      <w:r>
        <w:rPr/>
      </w:r>
      <w:hyperlink w:history="true" w:anchor="_bookmark2145">
        <w:r>
          <w:rPr>
            <w:color w:val="005DA1"/>
            <w:position w:val="5"/>
            <w:sz w:val="14"/>
            <w:u w:val="single" w:color="005DA1"/>
          </w:rPr>
          <w:t>1469</w:t>
        </w:r>
      </w:hyperlink>
      <w:r>
        <w:rPr>
          <w:position w:val="5"/>
          <w:sz w:val="14"/>
        </w:rPr>
        <w:t>.</w:t>
      </w:r>
      <w:r>
        <w:rPr>
          <w:spacing w:val="80"/>
          <w:w w:val="150"/>
          <w:position w:val="5"/>
          <w:sz w:val="14"/>
        </w:rPr>
        <w:t> </w:t>
      </w:r>
      <w:r>
        <w:rPr>
          <w:sz w:val="20"/>
        </w:rPr>
        <w:t>See </w:t>
      </w:r>
      <w:r>
        <w:rPr>
          <w:rFonts w:ascii="Arial" w:hAnsi="Arial"/>
          <w:i/>
          <w:sz w:val="20"/>
        </w:rPr>
        <w:t>Governors of the Peabody Donation Fund v Sir Lindsay Parkinson &amp; Co Ltd [1985] A.C. 210</w:t>
      </w:r>
      <w:r>
        <w:rPr>
          <w:sz w:val="20"/>
        </w:rPr>
        <w:t>; </w:t>
      </w:r>
      <w:r>
        <w:rPr>
          <w:rFonts w:ascii="Arial" w:hAnsi="Arial"/>
          <w:i/>
          <w:sz w:val="20"/>
        </w:rPr>
        <w:t>Leigh &amp; Sillavan Ltd v Aliakmon Shipping Co Ltd [1986] A.C. 785</w:t>
      </w:r>
      <w:r>
        <w:rPr>
          <w:sz w:val="20"/>
        </w:rPr>
        <w:t>; </w:t>
      </w:r>
      <w:r>
        <w:rPr>
          <w:rFonts w:ascii="Arial" w:hAnsi="Arial"/>
          <w:i/>
          <w:sz w:val="20"/>
        </w:rPr>
        <w:t>Candlewood Navigation Corp Ltd v Mitsui O.S.K. Lines Ltd [1986] A.C. 1</w:t>
      </w:r>
      <w:r>
        <w:rPr>
          <w:sz w:val="20"/>
        </w:rPr>
        <w:t>; </w:t>
      </w:r>
      <w:r>
        <w:rPr>
          <w:rFonts w:ascii="Arial" w:hAnsi="Arial"/>
          <w:i/>
          <w:sz w:val="20"/>
        </w:rPr>
        <w:t>Muirhead v Industrial Tank Specialities Ltd [1986] Q.B. 507</w:t>
      </w:r>
      <w:r>
        <w:rPr>
          <w:sz w:val="20"/>
        </w:rPr>
        <w:t>; </w:t>
      </w:r>
      <w:r>
        <w:rPr>
          <w:rFonts w:ascii="Arial" w:hAnsi="Arial"/>
          <w:i/>
          <w:sz w:val="20"/>
        </w:rPr>
        <w:t>D. &amp; F. Estates Ltd v Church Commissioners for England [1989] A.C. 177</w:t>
      </w:r>
      <w:r>
        <w:rPr>
          <w:sz w:val="20"/>
        </w:rPr>
        <w:t>; </w:t>
      </w:r>
      <w:r>
        <w:rPr>
          <w:rFonts w:ascii="Arial" w:hAnsi="Arial"/>
          <w:i/>
          <w:sz w:val="20"/>
        </w:rPr>
        <w:t>Simaan General</w:t>
      </w:r>
      <w:r>
        <w:rPr>
          <w:rFonts w:ascii="Arial" w:hAnsi="Arial"/>
          <w:i/>
          <w:spacing w:val="-1"/>
          <w:sz w:val="20"/>
        </w:rPr>
        <w:t> </w:t>
      </w:r>
      <w:r>
        <w:rPr>
          <w:rFonts w:ascii="Arial" w:hAnsi="Arial"/>
          <w:i/>
          <w:sz w:val="20"/>
        </w:rPr>
        <w:t>Contracting Co</w:t>
      </w:r>
      <w:r>
        <w:rPr>
          <w:rFonts w:ascii="Arial" w:hAnsi="Arial"/>
          <w:i/>
          <w:spacing w:val="-1"/>
          <w:sz w:val="20"/>
        </w:rPr>
        <w:t> </w:t>
      </w:r>
      <w:r>
        <w:rPr>
          <w:rFonts w:ascii="Arial" w:hAnsi="Arial"/>
          <w:i/>
          <w:sz w:val="20"/>
        </w:rPr>
        <w:t>v Pilkington</w:t>
      </w:r>
      <w:r>
        <w:rPr>
          <w:rFonts w:ascii="Arial" w:hAnsi="Arial"/>
          <w:i/>
          <w:spacing w:val="-1"/>
          <w:sz w:val="20"/>
        </w:rPr>
        <w:t> </w:t>
      </w:r>
      <w:r>
        <w:rPr>
          <w:rFonts w:ascii="Arial" w:hAnsi="Arial"/>
          <w:i/>
          <w:sz w:val="20"/>
        </w:rPr>
        <w:t>Glass Ltd</w:t>
      </w:r>
      <w:r>
        <w:rPr>
          <w:rFonts w:ascii="Arial" w:hAnsi="Arial"/>
          <w:i/>
          <w:spacing w:val="-1"/>
          <w:sz w:val="20"/>
        </w:rPr>
        <w:t> </w:t>
      </w:r>
      <w:r>
        <w:rPr>
          <w:rFonts w:ascii="Arial" w:hAnsi="Arial"/>
          <w:i/>
          <w:sz w:val="20"/>
        </w:rPr>
        <w:t>(No.2) [1988]</w:t>
      </w:r>
      <w:r>
        <w:rPr>
          <w:rFonts w:ascii="Arial" w:hAnsi="Arial"/>
          <w:i/>
          <w:spacing w:val="-1"/>
          <w:sz w:val="20"/>
        </w:rPr>
        <w:t> </w:t>
      </w:r>
      <w:r>
        <w:rPr>
          <w:rFonts w:ascii="Arial" w:hAnsi="Arial"/>
          <w:i/>
          <w:sz w:val="20"/>
        </w:rPr>
        <w:t>Q.B. 758</w:t>
      </w:r>
      <w:r>
        <w:rPr>
          <w:sz w:val="20"/>
        </w:rPr>
        <w:t>;</w:t>
      </w:r>
      <w:r>
        <w:rPr>
          <w:spacing w:val="-1"/>
          <w:sz w:val="20"/>
        </w:rPr>
        <w:t> </w:t>
      </w:r>
      <w:r>
        <w:rPr>
          <w:rFonts w:ascii="Arial" w:hAnsi="Arial"/>
          <w:i/>
          <w:sz w:val="20"/>
        </w:rPr>
        <w:t>Yuen Kun</w:t>
      </w:r>
      <w:r>
        <w:rPr>
          <w:rFonts w:ascii="Arial" w:hAnsi="Arial"/>
          <w:i/>
          <w:spacing w:val="-1"/>
          <w:sz w:val="20"/>
        </w:rPr>
        <w:t> </w:t>
      </w:r>
      <w:r>
        <w:rPr>
          <w:rFonts w:ascii="Arial" w:hAnsi="Arial"/>
          <w:i/>
          <w:sz w:val="20"/>
        </w:rPr>
        <w:t>Yeu v Att-Gen of Hong Kong [1988] A.C. 175</w:t>
      </w:r>
      <w:r>
        <w:rPr>
          <w:sz w:val="20"/>
        </w:rPr>
        <w:t>; </w:t>
      </w:r>
      <w:r>
        <w:rPr>
          <w:rFonts w:ascii="Arial" w:hAnsi="Arial"/>
          <w:i/>
          <w:sz w:val="20"/>
        </w:rPr>
        <w:t>Business Computers International Ltd v Registrar of Companies and Alex Lawrie Factors [1988] Ch. 229</w:t>
      </w:r>
      <w:r>
        <w:rPr>
          <w:sz w:val="20"/>
        </w:rPr>
        <w:t>; </w:t>
      </w:r>
      <w:r>
        <w:rPr>
          <w:rFonts w:ascii="Arial" w:hAnsi="Arial"/>
          <w:i/>
          <w:sz w:val="20"/>
        </w:rPr>
        <w:t>Pacific Associates v Baxter [1990] 1 Q.B. 993</w:t>
      </w:r>
      <w:r>
        <w:rPr>
          <w:sz w:val="20"/>
        </w:rPr>
        <w:t>;</w:t>
      </w:r>
      <w:r>
        <w:rPr>
          <w:spacing w:val="-1"/>
          <w:sz w:val="20"/>
        </w:rPr>
        <w:t> </w:t>
      </w:r>
      <w:r>
        <w:rPr>
          <w:rFonts w:ascii="Arial" w:hAnsi="Arial"/>
          <w:i/>
          <w:sz w:val="20"/>
        </w:rPr>
        <w:t>Parker-Tweedale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Dunbar</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[1991]</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12</w:t>
      </w:r>
      <w:r>
        <w:rPr>
          <w:sz w:val="20"/>
        </w:rPr>
        <w:t>;</w:t>
      </w:r>
      <w:r>
        <w:rPr>
          <w:spacing w:val="-1"/>
          <w:sz w:val="20"/>
        </w:rPr>
        <w:t> </w:t>
      </w:r>
      <w:r>
        <w:rPr>
          <w:rFonts w:ascii="Arial" w:hAnsi="Arial"/>
          <w:i/>
          <w:sz w:val="20"/>
        </w:rPr>
        <w:t>Murphy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Brentwood</w:t>
      </w:r>
      <w:r>
        <w:rPr>
          <w:rFonts w:ascii="Arial" w:hAnsi="Arial"/>
          <w:i/>
          <w:spacing w:val="-1"/>
          <w:sz w:val="20"/>
        </w:rPr>
        <w:t> </w:t>
      </w:r>
      <w:r>
        <w:rPr>
          <w:rFonts w:ascii="Arial" w:hAnsi="Arial"/>
          <w:i/>
          <w:sz w:val="20"/>
        </w:rPr>
        <w:t>DC</w:t>
      </w:r>
      <w:r>
        <w:rPr>
          <w:rFonts w:ascii="Arial" w:hAnsi="Arial"/>
          <w:i/>
          <w:spacing w:val="-1"/>
          <w:sz w:val="20"/>
        </w:rPr>
        <w:t> </w:t>
      </w:r>
      <w:r>
        <w:rPr>
          <w:rFonts w:ascii="Arial" w:hAnsi="Arial"/>
          <w:i/>
          <w:sz w:val="20"/>
        </w:rPr>
        <w:t>[1991]</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A.C. 398</w:t>
      </w:r>
      <w:r>
        <w:rPr>
          <w:sz w:val="20"/>
        </w:rPr>
        <w:t>;</w:t>
      </w:r>
      <w:r>
        <w:rPr>
          <w:spacing w:val="-2"/>
          <w:sz w:val="20"/>
        </w:rPr>
        <w:t> </w:t>
      </w:r>
      <w:r>
        <w:rPr>
          <w:rFonts w:ascii="Arial" w:hAnsi="Arial"/>
          <w:i/>
          <w:sz w:val="20"/>
        </w:rPr>
        <w:t>Department</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Environment</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Thomas</w:t>
      </w:r>
      <w:r>
        <w:rPr>
          <w:rFonts w:ascii="Arial" w:hAnsi="Arial"/>
          <w:i/>
          <w:spacing w:val="-2"/>
          <w:sz w:val="20"/>
        </w:rPr>
        <w:t> </w:t>
      </w:r>
      <w:r>
        <w:rPr>
          <w:rFonts w:ascii="Arial" w:hAnsi="Arial"/>
          <w:i/>
          <w:sz w:val="20"/>
        </w:rPr>
        <w:t>Bates</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Son</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[1991]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499</w:t>
      </w:r>
      <w:r>
        <w:rPr>
          <w:sz w:val="20"/>
        </w:rPr>
        <w:t>;</w:t>
      </w:r>
      <w:r>
        <w:rPr>
          <w:spacing w:val="-2"/>
          <w:sz w:val="20"/>
        </w:rPr>
        <w:t> </w:t>
      </w:r>
      <w:r>
        <w:rPr>
          <w:rFonts w:ascii="Arial" w:hAnsi="Arial"/>
          <w:i/>
          <w:sz w:val="20"/>
        </w:rPr>
        <w:t>Punjab</w:t>
      </w:r>
      <w:r>
        <w:rPr>
          <w:rFonts w:ascii="Arial" w:hAnsi="Arial"/>
          <w:i/>
          <w:spacing w:val="-2"/>
          <w:sz w:val="20"/>
        </w:rPr>
        <w:t> </w:t>
      </w:r>
      <w:r>
        <w:rPr>
          <w:rFonts w:ascii="Arial" w:hAnsi="Arial"/>
          <w:i/>
          <w:sz w:val="20"/>
        </w:rPr>
        <w:t>National Bank v De Boinville [1992] 3 All E.R. 104</w:t>
      </w:r>
      <w:r>
        <w:rPr>
          <w:sz w:val="20"/>
        </w:rPr>
        <w:t>; </w:t>
      </w:r>
      <w:r>
        <w:rPr>
          <w:rFonts w:ascii="Arial" w:hAnsi="Arial"/>
          <w:i/>
          <w:sz w:val="20"/>
        </w:rPr>
        <w:t>Saipem SpA v Dredging VO2 BV [1993] 2 Lloyd’s Rep. 315</w:t>
      </w:r>
      <w:r>
        <w:rPr>
          <w:sz w:val="20"/>
        </w:rPr>
        <w:t>.</w:t>
      </w:r>
    </w:p>
    <w:p>
      <w:pPr>
        <w:pStyle w:val="BodyText"/>
        <w:spacing w:before="2"/>
      </w:pPr>
    </w:p>
    <w:p>
      <w:pPr>
        <w:pStyle w:val="BodyText"/>
        <w:ind w:left="165"/>
      </w:pPr>
      <w:bookmarkStart w:name="_bookmark2259" w:id="2261"/>
      <w:bookmarkEnd w:id="2261"/>
      <w:r>
        <w:rPr/>
      </w:r>
      <w:hyperlink w:history="true" w:anchor="_bookmark2146">
        <w:r>
          <w:rPr>
            <w:color w:val="005DA1"/>
            <w:position w:val="5"/>
            <w:sz w:val="14"/>
            <w:u w:val="single" w:color="005DA1"/>
          </w:rPr>
          <w:t>1470</w:t>
        </w:r>
      </w:hyperlink>
      <w:r>
        <w:rPr>
          <w:position w:val="5"/>
          <w:sz w:val="14"/>
        </w:rPr>
        <w:t>.</w:t>
      </w:r>
      <w:r>
        <w:rPr>
          <w:spacing w:val="55"/>
          <w:position w:val="5"/>
          <w:sz w:val="14"/>
        </w:rPr>
        <w:t>  </w:t>
      </w:r>
      <w:r>
        <w:rPr/>
        <w:t>See</w:t>
      </w:r>
      <w:r>
        <w:rPr>
          <w:spacing w:val="1"/>
        </w:rPr>
        <w:t> </w:t>
      </w:r>
      <w:r>
        <w:rPr/>
        <w:t>Stapleton (1991) 107 L.Q.R. </w:t>
      </w:r>
      <w:r>
        <w:rPr>
          <w:spacing w:val="-4"/>
        </w:rPr>
        <w:t>249.</w:t>
      </w:r>
    </w:p>
    <w:p>
      <w:pPr>
        <w:pStyle w:val="BodyText"/>
        <w:spacing w:before="9"/>
      </w:pPr>
    </w:p>
    <w:p>
      <w:pPr>
        <w:spacing w:line="235" w:lineRule="auto" w:before="0"/>
        <w:ind w:left="705" w:right="0" w:hanging="541"/>
        <w:jc w:val="left"/>
        <w:rPr>
          <w:sz w:val="20"/>
        </w:rPr>
      </w:pPr>
      <w:bookmarkStart w:name="_bookmark2260" w:id="2262"/>
      <w:bookmarkEnd w:id="2262"/>
      <w:r>
        <w:rPr/>
      </w:r>
      <w:hyperlink w:history="true" w:anchor="_bookmark2147">
        <w:r>
          <w:rPr>
            <w:color w:val="005DA1"/>
            <w:position w:val="5"/>
            <w:sz w:val="14"/>
            <w:u w:val="single" w:color="005DA1"/>
          </w:rPr>
          <w:t>1471</w:t>
        </w:r>
      </w:hyperlink>
      <w:r>
        <w:rPr>
          <w:position w:val="5"/>
          <w:sz w:val="14"/>
        </w:rPr>
        <w:t>.</w:t>
      </w:r>
      <w:r>
        <w:rPr>
          <w:spacing w:val="40"/>
          <w:position w:val="5"/>
          <w:sz w:val="14"/>
        </w:rPr>
        <w:t>  </w:t>
      </w:r>
      <w:r>
        <w:rPr>
          <w:sz w:val="20"/>
        </w:rPr>
        <w:t>The relevant terms of neither this contract nor the subcontract were presented to the House </w:t>
      </w:r>
      <w:r>
        <w:rPr>
          <w:sz w:val="20"/>
        </w:rPr>
        <w:t>of Lords: </w:t>
      </w:r>
      <w:r>
        <w:rPr>
          <w:rFonts w:ascii="Arial"/>
          <w:i/>
          <w:sz w:val="20"/>
        </w:rPr>
        <w:t>[1983] 1 A.C. 520, 538</w:t>
      </w:r>
      <w:r>
        <w:rPr>
          <w:sz w:val="20"/>
        </w:rPr>
        <w:t>.</w:t>
      </w:r>
    </w:p>
    <w:p>
      <w:pPr>
        <w:pStyle w:val="BodyText"/>
        <w:spacing w:before="5"/>
      </w:pPr>
    </w:p>
    <w:p>
      <w:pPr>
        <w:spacing w:before="1"/>
        <w:ind w:left="165" w:right="0" w:firstLine="0"/>
        <w:jc w:val="left"/>
        <w:rPr>
          <w:sz w:val="20"/>
        </w:rPr>
      </w:pPr>
      <w:bookmarkStart w:name="_bookmark2261" w:id="2263"/>
      <w:bookmarkEnd w:id="2263"/>
      <w:r>
        <w:rPr/>
      </w:r>
      <w:hyperlink w:history="true" w:anchor="_bookmark2148">
        <w:r>
          <w:rPr>
            <w:color w:val="005DA1"/>
            <w:position w:val="5"/>
            <w:sz w:val="14"/>
            <w:u w:val="single" w:color="005DA1"/>
          </w:rPr>
          <w:t>1472</w:t>
        </w:r>
      </w:hyperlink>
      <w:r>
        <w:rPr>
          <w:position w:val="5"/>
          <w:sz w:val="14"/>
        </w:rPr>
        <w:t>.</w:t>
      </w:r>
      <w:r>
        <w:rPr>
          <w:spacing w:val="55"/>
          <w:position w:val="5"/>
          <w:sz w:val="14"/>
        </w:rPr>
        <w:t>  </w:t>
      </w:r>
      <w:r>
        <w:rPr>
          <w:rFonts w:ascii="Arial"/>
          <w:i/>
          <w:sz w:val="20"/>
        </w:rPr>
        <w:t>[1983]</w:t>
      </w:r>
      <w:r>
        <w:rPr>
          <w:rFonts w:ascii="Arial"/>
          <w:i/>
          <w:spacing w:val="1"/>
          <w:sz w:val="20"/>
        </w:rPr>
        <w:t> </w:t>
      </w:r>
      <w:r>
        <w:rPr>
          <w:rFonts w:ascii="Arial"/>
          <w:i/>
          <w:sz w:val="20"/>
        </w:rPr>
        <w:t>1 A.C. 520</w:t>
      </w:r>
      <w:r>
        <w:rPr>
          <w:rFonts w:ascii="Arial"/>
          <w:i/>
          <w:spacing w:val="-1"/>
          <w:sz w:val="20"/>
        </w:rPr>
        <w:t> </w:t>
      </w:r>
      <w:r>
        <w:rPr>
          <w:sz w:val="20"/>
        </w:rPr>
        <w:t>at </w:t>
      </w:r>
      <w:r>
        <w:rPr>
          <w:spacing w:val="-4"/>
          <w:sz w:val="20"/>
        </w:rPr>
        <w:t>546.</w:t>
      </w:r>
    </w:p>
    <w:p>
      <w:pPr>
        <w:pStyle w:val="BodyText"/>
        <w:spacing w:before="4"/>
      </w:pPr>
    </w:p>
    <w:p>
      <w:pPr>
        <w:spacing w:before="1"/>
        <w:ind w:left="165" w:right="0" w:firstLine="0"/>
        <w:jc w:val="left"/>
        <w:rPr>
          <w:sz w:val="20"/>
        </w:rPr>
      </w:pPr>
      <w:bookmarkStart w:name="_bookmark2262" w:id="2264"/>
      <w:bookmarkEnd w:id="2264"/>
      <w:r>
        <w:rPr/>
      </w:r>
      <w:hyperlink w:history="true" w:anchor="_bookmark2149">
        <w:r>
          <w:rPr>
            <w:color w:val="005DA1"/>
            <w:position w:val="5"/>
            <w:sz w:val="14"/>
            <w:u w:val="single" w:color="005DA1"/>
          </w:rPr>
          <w:t>1473</w:t>
        </w:r>
      </w:hyperlink>
      <w:r>
        <w:rPr>
          <w:position w:val="5"/>
          <w:sz w:val="14"/>
        </w:rPr>
        <w:t>.</w:t>
      </w:r>
      <w:r>
        <w:rPr>
          <w:spacing w:val="55"/>
          <w:position w:val="5"/>
          <w:sz w:val="14"/>
        </w:rPr>
        <w:t>  </w:t>
      </w:r>
      <w:r>
        <w:rPr>
          <w:rFonts w:ascii="Arial"/>
          <w:i/>
          <w:sz w:val="20"/>
        </w:rPr>
        <w:t>[1983]</w:t>
      </w:r>
      <w:r>
        <w:rPr>
          <w:rFonts w:ascii="Arial"/>
          <w:i/>
          <w:spacing w:val="1"/>
          <w:sz w:val="20"/>
        </w:rPr>
        <w:t> </w:t>
      </w:r>
      <w:r>
        <w:rPr>
          <w:rFonts w:ascii="Arial"/>
          <w:i/>
          <w:sz w:val="20"/>
        </w:rPr>
        <w:t>1 A.C. 520</w:t>
      </w:r>
      <w:r>
        <w:rPr>
          <w:rFonts w:ascii="Arial"/>
          <w:i/>
          <w:spacing w:val="-1"/>
          <w:sz w:val="20"/>
        </w:rPr>
        <w:t> </w:t>
      </w:r>
      <w:r>
        <w:rPr>
          <w:sz w:val="20"/>
        </w:rPr>
        <w:t>at 533-</w:t>
      </w:r>
      <w:r>
        <w:rPr>
          <w:spacing w:val="-4"/>
          <w:sz w:val="20"/>
        </w:rPr>
        <w:t>534.</w:t>
      </w:r>
    </w:p>
    <w:p>
      <w:pPr>
        <w:pStyle w:val="BodyText"/>
        <w:spacing w:before="8"/>
      </w:pPr>
    </w:p>
    <w:p>
      <w:pPr>
        <w:spacing w:line="235" w:lineRule="auto" w:before="0"/>
        <w:ind w:left="705" w:right="167" w:hanging="541"/>
        <w:jc w:val="both"/>
        <w:rPr>
          <w:sz w:val="20"/>
        </w:rPr>
      </w:pPr>
      <w:bookmarkStart w:name="_bookmark2263" w:id="2265"/>
      <w:bookmarkEnd w:id="2265"/>
      <w:r>
        <w:rPr/>
      </w:r>
      <w:hyperlink w:history="true" w:anchor="_bookmark2150">
        <w:r>
          <w:rPr>
            <w:color w:val="005DA1"/>
            <w:position w:val="5"/>
            <w:sz w:val="14"/>
            <w:u w:val="single" w:color="005DA1"/>
          </w:rPr>
          <w:t>1474</w:t>
        </w:r>
      </w:hyperlink>
      <w:r>
        <w:rPr>
          <w:position w:val="5"/>
          <w:sz w:val="14"/>
        </w:rPr>
        <w:t>.</w:t>
      </w:r>
      <w:r>
        <w:rPr>
          <w:spacing w:val="80"/>
          <w:position w:val="5"/>
          <w:sz w:val="14"/>
        </w:rPr>
        <w:t> </w:t>
      </w:r>
      <w:r>
        <w:rPr>
          <w:rFonts w:ascii="Arial" w:hAnsi="Arial"/>
          <w:i/>
          <w:sz w:val="20"/>
        </w:rPr>
        <w:t>[1983]</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520,</w:t>
      </w:r>
      <w:r>
        <w:rPr>
          <w:rFonts w:ascii="Arial" w:hAnsi="Arial"/>
          <w:i/>
          <w:spacing w:val="-1"/>
          <w:sz w:val="20"/>
        </w:rPr>
        <w:t> </w:t>
      </w:r>
      <w:r>
        <w:rPr>
          <w:rFonts w:ascii="Arial" w:hAnsi="Arial"/>
          <w:i/>
          <w:sz w:val="20"/>
        </w:rPr>
        <w:t>550–552</w:t>
      </w:r>
      <w:r>
        <w:rPr>
          <w:rFonts w:ascii="Arial" w:hAnsi="Arial"/>
          <w:i/>
          <w:spacing w:val="-2"/>
          <w:sz w:val="20"/>
        </w:rPr>
        <w:t> </w:t>
      </w:r>
      <w:r>
        <w:rPr>
          <w:sz w:val="20"/>
        </w:rPr>
        <w:t>and</w:t>
      </w:r>
      <w:r>
        <w:rPr>
          <w:spacing w:val="-1"/>
          <w:sz w:val="20"/>
        </w:rPr>
        <w:t> </w:t>
      </w:r>
      <w:r>
        <w:rPr>
          <w:sz w:val="20"/>
        </w:rPr>
        <w:t>see</w:t>
      </w:r>
      <w:r>
        <w:rPr>
          <w:spacing w:val="-2"/>
          <w:sz w:val="20"/>
        </w:rPr>
        <w:t> </w:t>
      </w:r>
      <w:r>
        <w:rPr>
          <w:rFonts w:ascii="Arial" w:hAnsi="Arial"/>
          <w:i/>
          <w:sz w:val="20"/>
        </w:rPr>
        <w:t>Greater</w:t>
      </w:r>
      <w:r>
        <w:rPr>
          <w:rFonts w:ascii="Arial" w:hAnsi="Arial"/>
          <w:i/>
          <w:spacing w:val="-1"/>
          <w:sz w:val="20"/>
        </w:rPr>
        <w:t> </w:t>
      </w:r>
      <w:r>
        <w:rPr>
          <w:rFonts w:ascii="Arial" w:hAnsi="Arial"/>
          <w:i/>
          <w:sz w:val="20"/>
        </w:rPr>
        <w:t>Nottingham</w:t>
      </w:r>
      <w:r>
        <w:rPr>
          <w:rFonts w:ascii="Arial" w:hAnsi="Arial"/>
          <w:i/>
          <w:spacing w:val="-1"/>
          <w:sz w:val="20"/>
        </w:rPr>
        <w:t> </w:t>
      </w:r>
      <w:r>
        <w:rPr>
          <w:rFonts w:ascii="Arial" w:hAnsi="Arial"/>
          <w:i/>
          <w:sz w:val="20"/>
        </w:rPr>
        <w:t>Co-operative</w:t>
      </w:r>
      <w:r>
        <w:rPr>
          <w:rFonts w:ascii="Arial" w:hAnsi="Arial"/>
          <w:i/>
          <w:spacing w:val="-1"/>
          <w:sz w:val="20"/>
        </w:rPr>
        <w:t> </w:t>
      </w:r>
      <w:r>
        <w:rPr>
          <w:rFonts w:ascii="Arial" w:hAnsi="Arial"/>
          <w:i/>
          <w:sz w:val="20"/>
        </w:rPr>
        <w:t>Society</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Cementation Piling &amp; Foundations Ltd [1989] Q.B. 71, 96 </w:t>
      </w:r>
      <w:r>
        <w:rPr>
          <w:sz w:val="20"/>
        </w:rPr>
        <w:t>where Purchas L.J. noted that Lord Brandon’s speech had subsequently achieved greater significance. This approach avoids the difficult question whether </w:t>
      </w:r>
      <w:r>
        <w:rPr>
          <w:rFonts w:ascii="Arial" w:hAnsi="Arial"/>
          <w:i/>
          <w:sz w:val="20"/>
        </w:rPr>
        <w:t>liability </w:t>
      </w:r>
      <w:r>
        <w:rPr>
          <w:sz w:val="20"/>
        </w:rPr>
        <w:t>arising on breach of a recognised duty of care in respect of pure economic loss may be modified or excluded by either: (i) an exemption clause in A’s contract with B restricting A’s liability to C (</w:t>
      </w:r>
      <w:r>
        <w:rPr>
          <w:rFonts w:ascii="Arial" w:hAnsi="Arial"/>
          <w:i/>
          <w:sz w:val="20"/>
        </w:rPr>
        <w:t>Simaan General Contracting Co v Pilkington Glass Ltd (No.2) [1988] Q.B. 758, 782-783</w:t>
      </w:r>
      <w:r>
        <w:rPr>
          <w:sz w:val="20"/>
        </w:rPr>
        <w:t>; 785-786); or (ii) an exemption clause in A’s contract with B which attempts to exclude C’s liability to A (</w:t>
      </w:r>
      <w:r>
        <w:rPr>
          <w:rFonts w:ascii="Arial" w:hAnsi="Arial"/>
          <w:i/>
          <w:sz w:val="20"/>
        </w:rPr>
        <w:t>Southern Water Authority v Carey [1985] 2 All E.R. 1077, 1093-1094) </w:t>
      </w:r>
      <w:r>
        <w:rPr>
          <w:sz w:val="20"/>
        </w:rPr>
        <w:t>and see below, paras 1-217—1-218.</w:t>
      </w:r>
    </w:p>
    <w:p>
      <w:pPr>
        <w:pStyle w:val="BodyText"/>
        <w:spacing w:before="3"/>
      </w:pPr>
    </w:p>
    <w:p>
      <w:pPr>
        <w:spacing w:before="0"/>
        <w:ind w:left="165" w:right="0" w:firstLine="0"/>
        <w:jc w:val="left"/>
        <w:rPr>
          <w:sz w:val="20"/>
        </w:rPr>
      </w:pPr>
      <w:bookmarkStart w:name="_bookmark2264" w:id="2266"/>
      <w:bookmarkEnd w:id="2266"/>
      <w:r>
        <w:rPr/>
      </w:r>
      <w:hyperlink w:history="true" w:anchor="_bookmark2151">
        <w:r>
          <w:rPr>
            <w:color w:val="005DA1"/>
            <w:position w:val="5"/>
            <w:sz w:val="14"/>
            <w:u w:val="single" w:color="005DA1"/>
          </w:rPr>
          <w:t>1475</w:t>
        </w:r>
      </w:hyperlink>
      <w:r>
        <w:rPr>
          <w:position w:val="5"/>
          <w:sz w:val="14"/>
        </w:rPr>
        <w:t>.</w:t>
      </w:r>
      <w:r>
        <w:rPr>
          <w:spacing w:val="55"/>
          <w:position w:val="5"/>
          <w:sz w:val="14"/>
        </w:rPr>
        <w:t>  </w:t>
      </w:r>
      <w:r>
        <w:rPr>
          <w:rFonts w:ascii="Arial"/>
          <w:i/>
          <w:sz w:val="20"/>
        </w:rPr>
        <w:t>[1984]</w:t>
      </w:r>
      <w:r>
        <w:rPr>
          <w:rFonts w:ascii="Arial"/>
          <w:i/>
          <w:spacing w:val="1"/>
          <w:sz w:val="20"/>
        </w:rPr>
        <w:t> </w:t>
      </w:r>
      <w:r>
        <w:rPr>
          <w:rFonts w:ascii="Arial"/>
          <w:i/>
          <w:sz w:val="20"/>
        </w:rPr>
        <w:t>1 W.L.R. 951</w:t>
      </w:r>
      <w:r>
        <w:rPr>
          <w:rFonts w:ascii="Arial"/>
          <w:i/>
          <w:spacing w:val="-1"/>
          <w:sz w:val="20"/>
        </w:rPr>
        <w:t> </w:t>
      </w:r>
      <w:r>
        <w:rPr>
          <w:sz w:val="20"/>
        </w:rPr>
        <w:t>and see Whittaker (1985) 48 M.L.R. </w:t>
      </w:r>
      <w:r>
        <w:rPr>
          <w:spacing w:val="-5"/>
          <w:sz w:val="20"/>
        </w:rPr>
        <w:t>86.</w:t>
      </w:r>
    </w:p>
    <w:p>
      <w:pPr>
        <w:pStyle w:val="BodyText"/>
        <w:spacing w:before="9"/>
      </w:pPr>
    </w:p>
    <w:p>
      <w:pPr>
        <w:spacing w:line="235" w:lineRule="auto" w:before="0"/>
        <w:ind w:left="705" w:right="167" w:hanging="541"/>
        <w:jc w:val="both"/>
        <w:rPr>
          <w:sz w:val="20"/>
        </w:rPr>
      </w:pPr>
      <w:bookmarkStart w:name="_bookmark2265" w:id="2267"/>
      <w:bookmarkEnd w:id="2267"/>
      <w:r>
        <w:rPr/>
      </w:r>
      <w:hyperlink w:history="true" w:anchor="_bookmark2152">
        <w:r>
          <w:rPr>
            <w:color w:val="005DA1"/>
            <w:position w:val="5"/>
            <w:sz w:val="14"/>
            <w:u w:val="single" w:color="005DA1"/>
          </w:rPr>
          <w:t>1476</w:t>
        </w:r>
      </w:hyperlink>
      <w:r>
        <w:rPr>
          <w:position w:val="5"/>
          <w:sz w:val="14"/>
        </w:rPr>
        <w:t>.</w:t>
      </w:r>
      <w:r>
        <w:rPr>
          <w:spacing w:val="80"/>
          <w:position w:val="5"/>
          <w:sz w:val="14"/>
        </w:rPr>
        <w:t> </w:t>
      </w:r>
      <w:r>
        <w:rPr>
          <w:sz w:val="20"/>
        </w:rPr>
        <w:t>This is to be found in Lord Wilberforce’s speech in </w:t>
      </w:r>
      <w:r>
        <w:rPr>
          <w:rFonts w:ascii="Arial" w:hAnsi="Arial"/>
          <w:i/>
          <w:sz w:val="20"/>
        </w:rPr>
        <w:t>Anns v Merton London BC [1978] A.C. 728, 751-752</w:t>
      </w:r>
      <w:r>
        <w:rPr>
          <w:sz w:val="20"/>
        </w:rPr>
        <w:t>. This principle itself has been subject to considerable judicial reservation: see </w:t>
      </w:r>
      <w:r>
        <w:rPr>
          <w:rFonts w:ascii="Arial" w:hAnsi="Arial"/>
          <w:i/>
          <w:sz w:val="20"/>
        </w:rPr>
        <w:t>Governors of the Peabody Donation Fund v Sir Lindsay Parkinson &amp; Co Ltd [1985] A.C. 210 </w:t>
      </w:r>
      <w:r>
        <w:rPr>
          <w:sz w:val="20"/>
        </w:rPr>
        <w:t>at 240–241; </w:t>
      </w:r>
      <w:r>
        <w:rPr>
          <w:rFonts w:ascii="Arial" w:hAnsi="Arial"/>
          <w:i/>
          <w:sz w:val="20"/>
        </w:rPr>
        <w:t>Caparo Industries Plc v Dickman [1990] 2 A.C. 605, 618</w:t>
      </w:r>
      <w:r>
        <w:rPr>
          <w:sz w:val="20"/>
        </w:rPr>
        <w:t>.</w:t>
      </w:r>
    </w:p>
    <w:p>
      <w:pPr>
        <w:pStyle w:val="BodyText"/>
        <w:spacing w:before="5"/>
      </w:pPr>
    </w:p>
    <w:p>
      <w:pPr>
        <w:spacing w:before="0"/>
        <w:ind w:left="165" w:right="0" w:firstLine="0"/>
        <w:jc w:val="left"/>
        <w:rPr>
          <w:sz w:val="20"/>
        </w:rPr>
      </w:pPr>
      <w:bookmarkStart w:name="_bookmark2266" w:id="2268"/>
      <w:bookmarkEnd w:id="2268"/>
      <w:r>
        <w:rPr/>
      </w:r>
      <w:hyperlink w:history="true" w:anchor="_bookmark2153">
        <w:r>
          <w:rPr>
            <w:color w:val="005DA1"/>
            <w:position w:val="5"/>
            <w:sz w:val="14"/>
            <w:u w:val="single" w:color="005DA1"/>
          </w:rPr>
          <w:t>1477</w:t>
        </w:r>
      </w:hyperlink>
      <w:r>
        <w:rPr>
          <w:position w:val="5"/>
          <w:sz w:val="14"/>
        </w:rPr>
        <w:t>.</w:t>
      </w:r>
      <w:r>
        <w:rPr>
          <w:spacing w:val="55"/>
          <w:position w:val="5"/>
          <w:sz w:val="14"/>
        </w:rPr>
        <w:t>  </w:t>
      </w:r>
      <w:r>
        <w:rPr>
          <w:rFonts w:ascii="Arial"/>
          <w:i/>
          <w:sz w:val="20"/>
        </w:rPr>
        <w:t>[1984]</w:t>
      </w:r>
      <w:r>
        <w:rPr>
          <w:rFonts w:ascii="Arial"/>
          <w:i/>
          <w:spacing w:val="1"/>
          <w:sz w:val="20"/>
        </w:rPr>
        <w:t> </w:t>
      </w:r>
      <w:r>
        <w:rPr>
          <w:rFonts w:ascii="Arial"/>
          <w:i/>
          <w:sz w:val="20"/>
        </w:rPr>
        <w:t>1 W.L.R. 951, 959-</w:t>
      </w:r>
      <w:r>
        <w:rPr>
          <w:rFonts w:ascii="Arial"/>
          <w:i/>
          <w:spacing w:val="-4"/>
          <w:sz w:val="20"/>
        </w:rPr>
        <w:t>960</w:t>
      </w:r>
      <w:r>
        <w:rPr>
          <w:spacing w:val="-4"/>
          <w:sz w:val="20"/>
        </w:rPr>
        <w:t>.</w:t>
      </w:r>
    </w:p>
    <w:p>
      <w:pPr>
        <w:pStyle w:val="BodyText"/>
        <w:spacing w:before="5"/>
      </w:pPr>
    </w:p>
    <w:p>
      <w:pPr>
        <w:spacing w:before="0"/>
        <w:ind w:left="165" w:right="0" w:firstLine="0"/>
        <w:jc w:val="left"/>
        <w:rPr>
          <w:sz w:val="20"/>
        </w:rPr>
      </w:pPr>
      <w:bookmarkStart w:name="_bookmark2267" w:id="2269"/>
      <w:bookmarkEnd w:id="2269"/>
      <w:r>
        <w:rPr/>
      </w:r>
      <w:hyperlink w:history="true" w:anchor="_bookmark2154">
        <w:r>
          <w:rPr>
            <w:color w:val="005DA1"/>
            <w:position w:val="5"/>
            <w:sz w:val="14"/>
            <w:u w:val="single" w:color="005DA1"/>
          </w:rPr>
          <w:t>1478</w:t>
        </w:r>
      </w:hyperlink>
      <w:r>
        <w:rPr>
          <w:position w:val="5"/>
          <w:sz w:val="14"/>
        </w:rPr>
        <w:t>.</w:t>
      </w:r>
      <w:r>
        <w:rPr>
          <w:spacing w:val="55"/>
          <w:position w:val="5"/>
          <w:sz w:val="14"/>
        </w:rPr>
        <w:t>  </w:t>
      </w:r>
      <w:r>
        <w:rPr>
          <w:rFonts w:ascii="Arial"/>
          <w:i/>
          <w:sz w:val="20"/>
        </w:rPr>
        <w:t>[1988]</w:t>
      </w:r>
      <w:r>
        <w:rPr>
          <w:rFonts w:ascii="Arial"/>
          <w:i/>
          <w:spacing w:val="1"/>
          <w:sz w:val="20"/>
        </w:rPr>
        <w:t> </w:t>
      </w:r>
      <w:r>
        <w:rPr>
          <w:rFonts w:ascii="Arial"/>
          <w:i/>
          <w:sz w:val="20"/>
        </w:rPr>
        <w:t>Q.B. 758</w:t>
      </w:r>
      <w:r>
        <w:rPr>
          <w:sz w:val="20"/>
        </w:rPr>
        <w:t>. cf. </w:t>
      </w:r>
      <w:r>
        <w:rPr>
          <w:rFonts w:ascii="Arial"/>
          <w:i/>
          <w:sz w:val="20"/>
        </w:rPr>
        <w:t>Muirhead v</w:t>
      </w:r>
      <w:r>
        <w:rPr>
          <w:rFonts w:ascii="Arial"/>
          <w:i/>
          <w:spacing w:val="-1"/>
          <w:sz w:val="20"/>
        </w:rPr>
        <w:t> </w:t>
      </w:r>
      <w:r>
        <w:rPr>
          <w:rFonts w:ascii="Arial"/>
          <w:i/>
          <w:sz w:val="20"/>
        </w:rPr>
        <w:t>Industrial Tank Specialities Ltd [1986] Q.B. </w:t>
      </w:r>
      <w:r>
        <w:rPr>
          <w:rFonts w:ascii="Arial"/>
          <w:i/>
          <w:spacing w:val="-4"/>
          <w:sz w:val="20"/>
        </w:rPr>
        <w:t>507</w:t>
      </w:r>
      <w:r>
        <w:rPr>
          <w:spacing w:val="-4"/>
          <w:sz w:val="20"/>
        </w:rPr>
        <w:t>.</w:t>
      </w:r>
    </w:p>
    <w:p>
      <w:pPr>
        <w:pStyle w:val="BodyText"/>
        <w:spacing w:before="8"/>
      </w:pPr>
    </w:p>
    <w:p>
      <w:pPr>
        <w:spacing w:line="235" w:lineRule="auto" w:before="1"/>
        <w:ind w:left="705" w:right="168" w:hanging="541"/>
        <w:jc w:val="left"/>
        <w:rPr>
          <w:sz w:val="20"/>
        </w:rPr>
      </w:pPr>
      <w:bookmarkStart w:name="_bookmark2268" w:id="2270"/>
      <w:bookmarkEnd w:id="2270"/>
      <w:r>
        <w:rPr/>
      </w:r>
      <w:hyperlink w:history="true" w:anchor="_bookmark2155">
        <w:r>
          <w:rPr>
            <w:color w:val="005DA1"/>
            <w:position w:val="5"/>
            <w:sz w:val="14"/>
            <w:u w:val="single" w:color="005DA1"/>
          </w:rPr>
          <w:t>1479</w:t>
        </w:r>
      </w:hyperlink>
      <w:r>
        <w:rPr>
          <w:position w:val="5"/>
          <w:sz w:val="14"/>
        </w:rPr>
        <w:t>.</w:t>
      </w:r>
      <w:r>
        <w:rPr>
          <w:spacing w:val="40"/>
          <w:position w:val="5"/>
          <w:sz w:val="14"/>
        </w:rPr>
        <w:t>  </w:t>
      </w:r>
      <w:r>
        <w:rPr>
          <w:rFonts w:ascii="Arial"/>
          <w:i/>
          <w:sz w:val="20"/>
        </w:rPr>
        <w:t>[1988]</w:t>
      </w:r>
      <w:r>
        <w:rPr>
          <w:rFonts w:ascii="Arial"/>
          <w:i/>
          <w:spacing w:val="-1"/>
          <w:sz w:val="20"/>
        </w:rPr>
        <w:t> </w:t>
      </w:r>
      <w:r>
        <w:rPr>
          <w:rFonts w:ascii="Arial"/>
          <w:i/>
          <w:sz w:val="20"/>
        </w:rPr>
        <w:t>Q.B.</w:t>
      </w:r>
      <w:r>
        <w:rPr>
          <w:rFonts w:ascii="Arial"/>
          <w:i/>
          <w:spacing w:val="-1"/>
          <w:sz w:val="20"/>
        </w:rPr>
        <w:t> </w:t>
      </w:r>
      <w:r>
        <w:rPr>
          <w:rFonts w:ascii="Arial"/>
          <w:i/>
          <w:sz w:val="20"/>
        </w:rPr>
        <w:t>758,</w:t>
      </w:r>
      <w:r>
        <w:rPr>
          <w:rFonts w:ascii="Arial"/>
          <w:i/>
          <w:spacing w:val="-1"/>
          <w:sz w:val="20"/>
        </w:rPr>
        <w:t> </w:t>
      </w:r>
      <w:r>
        <w:rPr>
          <w:rFonts w:ascii="Arial"/>
          <w:i/>
          <w:sz w:val="20"/>
        </w:rPr>
        <w:t>782</w:t>
      </w:r>
      <w:r>
        <w:rPr>
          <w:rFonts w:ascii="Arial"/>
          <w:i/>
          <w:spacing w:val="-1"/>
          <w:sz w:val="20"/>
        </w:rPr>
        <w:t> </w:t>
      </w:r>
      <w:r>
        <w:rPr>
          <w:sz w:val="20"/>
        </w:rPr>
        <w:t>and</w:t>
      </w:r>
      <w:r>
        <w:rPr>
          <w:spacing w:val="-1"/>
          <w:sz w:val="20"/>
        </w:rPr>
        <w:t> </w:t>
      </w:r>
      <w:r>
        <w:rPr>
          <w:sz w:val="20"/>
        </w:rPr>
        <w:t>cf.</w:t>
      </w:r>
      <w:r>
        <w:rPr>
          <w:spacing w:val="-1"/>
          <w:sz w:val="20"/>
        </w:rPr>
        <w:t> </w:t>
      </w:r>
      <w:r>
        <w:rPr>
          <w:rFonts w:ascii="Arial"/>
          <w:i/>
          <w:sz w:val="20"/>
        </w:rPr>
        <w:t>Greater</w:t>
      </w:r>
      <w:r>
        <w:rPr>
          <w:rFonts w:ascii="Arial"/>
          <w:i/>
          <w:spacing w:val="-1"/>
          <w:sz w:val="20"/>
        </w:rPr>
        <w:t> </w:t>
      </w:r>
      <w:r>
        <w:rPr>
          <w:rFonts w:ascii="Arial"/>
          <w:i/>
          <w:sz w:val="20"/>
        </w:rPr>
        <w:t>Nottingham</w:t>
      </w:r>
      <w:r>
        <w:rPr>
          <w:rFonts w:ascii="Arial"/>
          <w:i/>
          <w:spacing w:val="-1"/>
          <w:sz w:val="20"/>
        </w:rPr>
        <w:t> </w:t>
      </w:r>
      <w:r>
        <w:rPr>
          <w:rFonts w:ascii="Arial"/>
          <w:i/>
          <w:sz w:val="20"/>
        </w:rPr>
        <w:t>Co-operative</w:t>
      </w:r>
      <w:r>
        <w:rPr>
          <w:rFonts w:ascii="Arial"/>
          <w:i/>
          <w:spacing w:val="-1"/>
          <w:sz w:val="20"/>
        </w:rPr>
        <w:t> </w:t>
      </w:r>
      <w:r>
        <w:rPr>
          <w:rFonts w:ascii="Arial"/>
          <w:i/>
          <w:sz w:val="20"/>
        </w:rPr>
        <w:t>Society</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Cementation</w:t>
      </w:r>
      <w:r>
        <w:rPr>
          <w:rFonts w:ascii="Arial"/>
          <w:i/>
          <w:spacing w:val="-1"/>
          <w:sz w:val="20"/>
        </w:rPr>
        <w:t> </w:t>
      </w:r>
      <w:r>
        <w:rPr>
          <w:rFonts w:ascii="Arial"/>
          <w:i/>
          <w:sz w:val="20"/>
        </w:rPr>
        <w:t>Piling &amp; Foundations Ltd [1989] Q.B. 7, 99 </w:t>
      </w:r>
      <w:r>
        <w:rPr>
          <w:sz w:val="20"/>
        </w:rPr>
        <w:t>and </w:t>
      </w:r>
      <w:r>
        <w:rPr>
          <w:rFonts w:ascii="Arial"/>
          <w:i/>
          <w:sz w:val="20"/>
        </w:rPr>
        <w:t>Pacific Associates v Baxter [1990] 1 Q.B. 993</w:t>
      </w:r>
      <w:r>
        <w:rPr>
          <w:sz w:val="20"/>
        </w:rPr>
        <w:t>.</w:t>
      </w:r>
    </w:p>
    <w:p>
      <w:pPr>
        <w:spacing w:after="0" w:line="235" w:lineRule="auto"/>
        <w:jc w:val="left"/>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2156">
        <w:r>
          <w:rPr>
            <w:color w:val="005DA1"/>
            <w:position w:val="5"/>
            <w:sz w:val="14"/>
            <w:u w:val="single" w:color="005DA1"/>
          </w:rPr>
          <w:t>1480</w:t>
        </w:r>
      </w:hyperlink>
      <w:r>
        <w:rPr>
          <w:position w:val="5"/>
          <w:sz w:val="14"/>
        </w:rPr>
        <w:t>.</w:t>
      </w:r>
      <w:r>
        <w:rPr>
          <w:spacing w:val="80"/>
          <w:position w:val="5"/>
          <w:sz w:val="14"/>
        </w:rPr>
        <w:t> </w:t>
      </w:r>
      <w:r>
        <w:rPr>
          <w:rFonts w:ascii="Arial" w:hAnsi="Arial"/>
          <w:i/>
          <w:sz w:val="20"/>
        </w:rPr>
        <w:t>Pacific Associates v Baxter [1990] 1 Q.B. 993 </w:t>
      </w:r>
      <w:r>
        <w:rPr>
          <w:sz w:val="20"/>
        </w:rPr>
        <w:t>at 1023. And see </w:t>
      </w:r>
      <w:r>
        <w:rPr>
          <w:rFonts w:ascii="Arial" w:hAnsi="Arial"/>
          <w:i/>
          <w:sz w:val="20"/>
        </w:rPr>
        <w:t>Macmillan v AW Knott </w:t>
      </w:r>
      <w:r>
        <w:rPr>
          <w:rFonts w:ascii="Arial" w:hAnsi="Arial"/>
          <w:i/>
          <w:sz w:val="20"/>
        </w:rPr>
        <w:t>Becker Scott [1990] 1 Lloyd’s Rep. 98 </w:t>
      </w:r>
      <w:r>
        <w:rPr>
          <w:sz w:val="20"/>
        </w:rPr>
        <w:t>at 110–111; </w:t>
      </w:r>
      <w:r>
        <w:rPr>
          <w:rFonts w:ascii="Arial" w:hAnsi="Arial"/>
          <w:i/>
          <w:sz w:val="20"/>
        </w:rPr>
        <w:t>Parker-Tweedale v Dunbar Bank Plc (No.1) [1991] Ch. 12 </w:t>
      </w:r>
      <w:r>
        <w:rPr>
          <w:sz w:val="20"/>
        </w:rPr>
        <w:t>(no duty of care in tort owed by mortgagor to beneficiary under trust of property subject to mortgage); </w:t>
      </w:r>
      <w:r>
        <w:rPr>
          <w:rFonts w:ascii="Arial" w:hAnsi="Arial"/>
          <w:i/>
          <w:sz w:val="20"/>
        </w:rPr>
        <w:t>Verderame v Commercial Union Assurance Co Plc, The Times, April 2, 1992 </w:t>
      </w:r>
      <w:r>
        <w:rPr>
          <w:sz w:val="20"/>
        </w:rPr>
        <w:t>(no duty of care owed by insurance brokers employed by a company to the directors of that company); </w:t>
      </w:r>
      <w:r>
        <w:rPr>
          <w:rFonts w:ascii="Arial" w:hAnsi="Arial"/>
          <w:i/>
          <w:sz w:val="20"/>
        </w:rPr>
        <w:t>Hemmens v Wilson Browne [1994] 2 W.L.R. 323, 334-335 </w:t>
      </w:r>
      <w:r>
        <w:rPr>
          <w:sz w:val="20"/>
        </w:rPr>
        <w:t>(no duty of care owed by solicitor to beneficiary of ineffective inter vivos transaction where the situation was not </w:t>
      </w:r>
      <w:r>
        <w:rPr>
          <w:spacing w:val="-2"/>
          <w:sz w:val="20"/>
        </w:rPr>
        <w:t>irremediable).</w:t>
      </w:r>
    </w:p>
    <w:p>
      <w:pPr>
        <w:pStyle w:val="BodyText"/>
        <w:spacing w:before="7"/>
      </w:pPr>
    </w:p>
    <w:p>
      <w:pPr>
        <w:spacing w:line="235" w:lineRule="auto" w:before="0"/>
        <w:ind w:left="705" w:right="167" w:hanging="541"/>
        <w:jc w:val="both"/>
        <w:rPr>
          <w:sz w:val="20"/>
        </w:rPr>
      </w:pPr>
      <w:bookmarkStart w:name="_bookmark2269" w:id="2271"/>
      <w:bookmarkEnd w:id="2271"/>
      <w:r>
        <w:rPr/>
      </w:r>
      <w:hyperlink w:history="true" w:anchor="_bookmark2157">
        <w:r>
          <w:rPr>
            <w:color w:val="005DA1"/>
            <w:position w:val="5"/>
            <w:sz w:val="14"/>
            <w:u w:val="single" w:color="005DA1"/>
          </w:rPr>
          <w:t>1481</w:t>
        </w:r>
      </w:hyperlink>
      <w:r>
        <w:rPr>
          <w:position w:val="5"/>
          <w:sz w:val="14"/>
        </w:rPr>
        <w:t>.</w:t>
      </w:r>
      <w:r>
        <w:rPr>
          <w:spacing w:val="80"/>
          <w:position w:val="5"/>
          <w:sz w:val="14"/>
        </w:rPr>
        <w:t> </w:t>
      </w:r>
      <w:r>
        <w:rPr>
          <w:rFonts w:ascii="Arial" w:hAnsi="Arial"/>
          <w:i/>
          <w:sz w:val="20"/>
        </w:rPr>
        <w:t>Gran Gelato Ltd v Richcliff (Group) Ltd [1992] Ch. 560, 570–571</w:t>
      </w:r>
      <w:r>
        <w:rPr>
          <w:sz w:val="20"/>
        </w:rPr>
        <w:t>, in which the court held that there is in normal conveyancing transactions no duty of care in the solicitor of a vendor of </w:t>
      </w:r>
      <w:r>
        <w:rPr>
          <w:sz w:val="20"/>
        </w:rPr>
        <w:t>land to</w:t>
      </w:r>
      <w:r>
        <w:rPr>
          <w:spacing w:val="-1"/>
          <w:sz w:val="20"/>
        </w:rPr>
        <w:t> </w:t>
      </w:r>
      <w:r>
        <w:rPr>
          <w:sz w:val="20"/>
        </w:rPr>
        <w:t>the</w:t>
      </w:r>
      <w:r>
        <w:rPr>
          <w:spacing w:val="-1"/>
          <w:sz w:val="20"/>
        </w:rPr>
        <w:t> </w:t>
      </w:r>
      <w:r>
        <w:rPr>
          <w:sz w:val="20"/>
        </w:rPr>
        <w:t>buyer</w:t>
      </w:r>
      <w:r>
        <w:rPr>
          <w:spacing w:val="-1"/>
          <w:sz w:val="20"/>
        </w:rPr>
        <w:t> </w:t>
      </w:r>
      <w:r>
        <w:rPr>
          <w:sz w:val="20"/>
        </w:rPr>
        <w:t>in</w:t>
      </w:r>
      <w:r>
        <w:rPr>
          <w:spacing w:val="-1"/>
          <w:sz w:val="20"/>
        </w:rPr>
        <w:t> </w:t>
      </w:r>
      <w:r>
        <w:rPr>
          <w:sz w:val="20"/>
        </w:rPr>
        <w:t>respect</w:t>
      </w:r>
      <w:r>
        <w:rPr>
          <w:spacing w:val="-1"/>
          <w:sz w:val="20"/>
        </w:rPr>
        <w:t> </w:t>
      </w:r>
      <w:r>
        <w:rPr>
          <w:sz w:val="20"/>
        </w:rPr>
        <w:t>of</w:t>
      </w:r>
      <w:r>
        <w:rPr>
          <w:spacing w:val="-1"/>
          <w:sz w:val="20"/>
        </w:rPr>
        <w:t> </w:t>
      </w:r>
      <w:r>
        <w:rPr>
          <w:sz w:val="20"/>
        </w:rPr>
        <w:t>misstatements.</w:t>
      </w:r>
      <w:r>
        <w:rPr>
          <w:spacing w:val="-1"/>
          <w:sz w:val="20"/>
        </w:rPr>
        <w:t> </w:t>
      </w:r>
      <w:r>
        <w:rPr>
          <w:sz w:val="20"/>
        </w:rPr>
        <w:t>On</w:t>
      </w:r>
      <w:r>
        <w:rPr>
          <w:spacing w:val="-1"/>
          <w:sz w:val="20"/>
        </w:rPr>
        <w:t> </w:t>
      </w:r>
      <w:r>
        <w:rPr>
          <w:sz w:val="20"/>
        </w:rPr>
        <w:t>the</w:t>
      </w:r>
      <w:r>
        <w:rPr>
          <w:spacing w:val="-1"/>
          <w:sz w:val="20"/>
        </w:rPr>
        <w:t> </w:t>
      </w:r>
      <w:r>
        <w:rPr>
          <w:sz w:val="20"/>
        </w:rPr>
        <w:t>facts,</w:t>
      </w:r>
      <w:r>
        <w:rPr>
          <w:spacing w:val="-1"/>
          <w:sz w:val="20"/>
        </w:rPr>
        <w:t> </w:t>
      </w:r>
      <w:r>
        <w:rPr>
          <w:sz w:val="20"/>
        </w:rPr>
        <w:t>the</w:t>
      </w:r>
      <w:r>
        <w:rPr>
          <w:spacing w:val="-1"/>
          <w:sz w:val="20"/>
        </w:rPr>
        <w:t> </w:t>
      </w:r>
      <w:r>
        <w:rPr>
          <w:sz w:val="20"/>
        </w:rPr>
        <w:t>court</w:t>
      </w:r>
      <w:r>
        <w:rPr>
          <w:spacing w:val="-1"/>
          <w:sz w:val="20"/>
        </w:rPr>
        <w:t> </w:t>
      </w:r>
      <w:r>
        <w:rPr>
          <w:sz w:val="20"/>
        </w:rPr>
        <w:t>accepted</w:t>
      </w:r>
      <w:r>
        <w:rPr>
          <w:spacing w:val="-1"/>
          <w:sz w:val="20"/>
        </w:rPr>
        <w:t> </w:t>
      </w:r>
      <w:r>
        <w:rPr>
          <w:sz w:val="20"/>
        </w:rPr>
        <w:t>that</w:t>
      </w:r>
      <w:r>
        <w:rPr>
          <w:spacing w:val="-1"/>
          <w:sz w:val="20"/>
        </w:rPr>
        <w:t> </w:t>
      </w:r>
      <w:r>
        <w:rPr>
          <w:sz w:val="20"/>
        </w:rPr>
        <w:t>the</w:t>
      </w:r>
      <w:r>
        <w:rPr>
          <w:spacing w:val="-1"/>
          <w:sz w:val="20"/>
        </w:rPr>
        <w:t> </w:t>
      </w:r>
      <w:r>
        <w:rPr>
          <w:sz w:val="20"/>
        </w:rPr>
        <w:t>duty</w:t>
      </w:r>
      <w:r>
        <w:rPr>
          <w:spacing w:val="-1"/>
          <w:sz w:val="20"/>
        </w:rPr>
        <w:t> </w:t>
      </w:r>
      <w:r>
        <w:rPr>
          <w:sz w:val="20"/>
        </w:rPr>
        <w:t>owed</w:t>
      </w:r>
      <w:r>
        <w:rPr>
          <w:spacing w:val="-1"/>
          <w:sz w:val="20"/>
        </w:rPr>
        <w:t> </w:t>
      </w:r>
      <w:r>
        <w:rPr>
          <w:sz w:val="20"/>
        </w:rPr>
        <w:t>by A, the vendor, to B, the buyer could be put equally in terms of contract or the tort of negligence: at 569, relying on </w:t>
      </w:r>
      <w:r>
        <w:rPr>
          <w:rFonts w:ascii="Arial" w:hAnsi="Arial"/>
          <w:i/>
          <w:sz w:val="20"/>
        </w:rPr>
        <w:t>Esso Petroleum Co Ltd v Mardon [1976] Q.B. 801</w:t>
      </w:r>
      <w:r>
        <w:rPr>
          <w:sz w:val="20"/>
        </w:rPr>
        <w:t>.</w:t>
      </w:r>
    </w:p>
    <w:p>
      <w:pPr>
        <w:pStyle w:val="BodyText"/>
        <w:spacing w:before="8"/>
      </w:pPr>
    </w:p>
    <w:p>
      <w:pPr>
        <w:spacing w:line="235" w:lineRule="auto" w:before="0"/>
        <w:ind w:left="705" w:right="0" w:hanging="541"/>
        <w:jc w:val="left"/>
        <w:rPr>
          <w:rFonts w:ascii="Arial"/>
          <w:i/>
          <w:sz w:val="20"/>
        </w:rPr>
      </w:pPr>
      <w:bookmarkStart w:name="_bookmark2270" w:id="2272"/>
      <w:bookmarkEnd w:id="2272"/>
      <w:r>
        <w:rPr/>
      </w:r>
      <w:hyperlink w:history="true" w:anchor="_bookmark2158">
        <w:r>
          <w:rPr>
            <w:color w:val="005DA1"/>
            <w:position w:val="5"/>
            <w:sz w:val="14"/>
            <w:u w:val="single" w:color="005DA1"/>
          </w:rPr>
          <w:t>1482</w:t>
        </w:r>
      </w:hyperlink>
      <w:r>
        <w:rPr>
          <w:position w:val="5"/>
          <w:sz w:val="14"/>
        </w:rPr>
        <w:t>.</w:t>
      </w:r>
      <w:r>
        <w:rPr>
          <w:spacing w:val="40"/>
          <w:position w:val="5"/>
          <w:sz w:val="14"/>
        </w:rPr>
        <w:t>  </w:t>
      </w:r>
      <w:r>
        <w:rPr>
          <w:sz w:val="20"/>
        </w:rPr>
        <w:t>Joined</w:t>
      </w:r>
      <w:r>
        <w:rPr>
          <w:spacing w:val="17"/>
          <w:sz w:val="20"/>
        </w:rPr>
        <w:t> </w:t>
      </w:r>
      <w:r>
        <w:rPr>
          <w:sz w:val="20"/>
        </w:rPr>
        <w:t>with</w:t>
      </w:r>
      <w:r>
        <w:rPr>
          <w:spacing w:val="17"/>
          <w:sz w:val="20"/>
        </w:rPr>
        <w:t> </w:t>
      </w:r>
      <w:r>
        <w:rPr>
          <w:sz w:val="20"/>
        </w:rPr>
        <w:t>the</w:t>
      </w:r>
      <w:r>
        <w:rPr>
          <w:spacing w:val="17"/>
          <w:sz w:val="20"/>
        </w:rPr>
        <w:t> </w:t>
      </w:r>
      <w:r>
        <w:rPr>
          <w:sz w:val="20"/>
        </w:rPr>
        <w:t>decision</w:t>
      </w:r>
      <w:r>
        <w:rPr>
          <w:spacing w:val="17"/>
          <w:sz w:val="20"/>
        </w:rPr>
        <w:t> </w:t>
      </w:r>
      <w:r>
        <w:rPr>
          <w:sz w:val="20"/>
        </w:rPr>
        <w:t>in</w:t>
      </w:r>
      <w:r>
        <w:rPr>
          <w:spacing w:val="16"/>
          <w:sz w:val="20"/>
        </w:rPr>
        <w:t> </w:t>
      </w:r>
      <w:r>
        <w:rPr>
          <w:rFonts w:ascii="Arial"/>
          <w:i/>
          <w:sz w:val="20"/>
        </w:rPr>
        <w:t>Harris</w:t>
      </w:r>
      <w:r>
        <w:rPr>
          <w:rFonts w:ascii="Arial"/>
          <w:i/>
          <w:spacing w:val="17"/>
          <w:sz w:val="20"/>
        </w:rPr>
        <w:t> </w:t>
      </w:r>
      <w:r>
        <w:rPr>
          <w:rFonts w:ascii="Arial"/>
          <w:i/>
          <w:sz w:val="20"/>
        </w:rPr>
        <w:t>v</w:t>
      </w:r>
      <w:r>
        <w:rPr>
          <w:rFonts w:ascii="Arial"/>
          <w:i/>
          <w:spacing w:val="17"/>
          <w:sz w:val="20"/>
        </w:rPr>
        <w:t> </w:t>
      </w:r>
      <w:r>
        <w:rPr>
          <w:rFonts w:ascii="Arial"/>
          <w:i/>
          <w:sz w:val="20"/>
        </w:rPr>
        <w:t>Wyre</w:t>
      </w:r>
      <w:r>
        <w:rPr>
          <w:rFonts w:ascii="Arial"/>
          <w:i/>
          <w:spacing w:val="17"/>
          <w:sz w:val="20"/>
        </w:rPr>
        <w:t> </w:t>
      </w:r>
      <w:r>
        <w:rPr>
          <w:rFonts w:ascii="Arial"/>
          <w:i/>
          <w:sz w:val="20"/>
        </w:rPr>
        <w:t>Forest</w:t>
      </w:r>
      <w:r>
        <w:rPr>
          <w:rFonts w:ascii="Arial"/>
          <w:i/>
          <w:spacing w:val="17"/>
          <w:sz w:val="20"/>
        </w:rPr>
        <w:t> </w:t>
      </w:r>
      <w:r>
        <w:rPr>
          <w:rFonts w:ascii="Arial"/>
          <w:i/>
          <w:sz w:val="20"/>
        </w:rPr>
        <w:t>DC</w:t>
      </w:r>
      <w:r>
        <w:rPr>
          <w:rFonts w:ascii="Arial"/>
          <w:i/>
          <w:spacing w:val="17"/>
          <w:sz w:val="20"/>
        </w:rPr>
        <w:t> </w:t>
      </w:r>
      <w:r>
        <w:rPr>
          <w:rFonts w:ascii="Arial"/>
          <w:i/>
          <w:sz w:val="20"/>
        </w:rPr>
        <w:t>[1990]</w:t>
      </w:r>
      <w:r>
        <w:rPr>
          <w:rFonts w:ascii="Arial"/>
          <w:i/>
          <w:spacing w:val="17"/>
          <w:sz w:val="20"/>
        </w:rPr>
        <w:t> </w:t>
      </w:r>
      <w:r>
        <w:rPr>
          <w:rFonts w:ascii="Arial"/>
          <w:i/>
          <w:sz w:val="20"/>
        </w:rPr>
        <w:t>1</w:t>
      </w:r>
      <w:r>
        <w:rPr>
          <w:rFonts w:ascii="Arial"/>
          <w:i/>
          <w:spacing w:val="17"/>
          <w:sz w:val="20"/>
        </w:rPr>
        <w:t> </w:t>
      </w:r>
      <w:r>
        <w:rPr>
          <w:rFonts w:ascii="Arial"/>
          <w:i/>
          <w:sz w:val="20"/>
        </w:rPr>
        <w:t>A.C.</w:t>
      </w:r>
      <w:r>
        <w:rPr>
          <w:rFonts w:ascii="Arial"/>
          <w:i/>
          <w:spacing w:val="17"/>
          <w:sz w:val="20"/>
        </w:rPr>
        <w:t> </w:t>
      </w:r>
      <w:r>
        <w:rPr>
          <w:rFonts w:ascii="Arial"/>
          <w:i/>
          <w:sz w:val="20"/>
        </w:rPr>
        <w:t>831</w:t>
      </w:r>
      <w:r>
        <w:rPr>
          <w:sz w:val="20"/>
        </w:rPr>
        <w:t>.</w:t>
      </w:r>
      <w:r>
        <w:rPr>
          <w:spacing w:val="17"/>
          <w:sz w:val="20"/>
        </w:rPr>
        <w:t> </w:t>
      </w:r>
      <w:r>
        <w:rPr>
          <w:sz w:val="20"/>
        </w:rPr>
        <w:t>cf.</w:t>
      </w:r>
      <w:r>
        <w:rPr>
          <w:spacing w:val="17"/>
          <w:sz w:val="20"/>
        </w:rPr>
        <w:t> </w:t>
      </w:r>
      <w:r>
        <w:rPr>
          <w:rFonts w:ascii="Arial"/>
          <w:i/>
          <w:sz w:val="20"/>
        </w:rPr>
        <w:t>Preston</w:t>
      </w:r>
      <w:r>
        <w:rPr>
          <w:rFonts w:ascii="Arial"/>
          <w:i/>
          <w:spacing w:val="17"/>
          <w:sz w:val="20"/>
        </w:rPr>
        <w:t> </w:t>
      </w:r>
      <w:r>
        <w:rPr>
          <w:rFonts w:ascii="Arial"/>
          <w:i/>
          <w:sz w:val="20"/>
        </w:rPr>
        <w:t>v</w:t>
      </w:r>
      <w:r>
        <w:rPr>
          <w:rFonts w:ascii="Arial"/>
          <w:i/>
          <w:spacing w:val="17"/>
          <w:sz w:val="20"/>
        </w:rPr>
        <w:t> </w:t>
      </w:r>
      <w:r>
        <w:rPr>
          <w:rFonts w:ascii="Arial"/>
          <w:i/>
          <w:sz w:val="20"/>
        </w:rPr>
        <w:t>Torfaen BC</w:t>
      </w:r>
      <w:r>
        <w:rPr>
          <w:rFonts w:ascii="Arial"/>
          <w:i/>
          <w:spacing w:val="-1"/>
          <w:sz w:val="20"/>
        </w:rPr>
        <w:t> </w:t>
      </w:r>
      <w:r>
        <w:rPr>
          <w:rFonts w:ascii="Arial"/>
          <w:i/>
          <w:sz w:val="20"/>
        </w:rPr>
        <w:t>[1993] N.P.C. 111</w:t>
      </w:r>
      <w:r>
        <w:rPr>
          <w:sz w:val="20"/>
        </w:rPr>
        <w:t>; </w:t>
      </w:r>
      <w:r>
        <w:rPr>
          <w:rFonts w:ascii="Arial"/>
          <w:i/>
          <w:sz w:val="20"/>
        </w:rPr>
        <w:t>Scullion v Bank of Scotland [2011] EWCA Civ 693, [2011] 1 W.L.R. </w:t>
      </w:r>
      <w:r>
        <w:rPr>
          <w:rFonts w:ascii="Arial"/>
          <w:i/>
          <w:spacing w:val="-4"/>
          <w:sz w:val="20"/>
        </w:rPr>
        <w:t>3212</w:t>
      </w:r>
    </w:p>
    <w:p>
      <w:pPr>
        <w:spacing w:line="225" w:lineRule="exact" w:before="0"/>
        <w:ind w:left="705" w:right="0" w:firstLine="0"/>
        <w:jc w:val="left"/>
        <w:rPr>
          <w:sz w:val="20"/>
        </w:rPr>
      </w:pPr>
      <w:r>
        <w:rPr>
          <w:spacing w:val="-10"/>
          <w:sz w:val="20"/>
        </w:rPr>
        <w:t>.</w:t>
      </w:r>
    </w:p>
    <w:p>
      <w:pPr>
        <w:pStyle w:val="BodyText"/>
        <w:spacing w:before="5"/>
      </w:pPr>
    </w:p>
    <w:p>
      <w:pPr>
        <w:pStyle w:val="BodyText"/>
        <w:ind w:left="165"/>
      </w:pPr>
      <w:bookmarkStart w:name="_bookmark2271" w:id="2273"/>
      <w:bookmarkEnd w:id="2273"/>
      <w:r>
        <w:rPr/>
      </w:r>
      <w:hyperlink w:history="true" w:anchor="_bookmark2159">
        <w:r>
          <w:rPr>
            <w:color w:val="005DA1"/>
            <w:position w:val="5"/>
            <w:sz w:val="14"/>
            <w:u w:val="single" w:color="005DA1"/>
          </w:rPr>
          <w:t>1483</w:t>
        </w:r>
      </w:hyperlink>
      <w:r>
        <w:rPr>
          <w:position w:val="5"/>
          <w:sz w:val="14"/>
        </w:rPr>
        <w:t>.</w:t>
      </w:r>
      <w:r>
        <w:rPr>
          <w:spacing w:val="55"/>
          <w:position w:val="5"/>
          <w:sz w:val="14"/>
        </w:rPr>
        <w:t>  </w:t>
      </w:r>
      <w:r>
        <w:rPr/>
        <w:t>s.2(2)</w:t>
      </w:r>
      <w:r>
        <w:rPr>
          <w:spacing w:val="1"/>
        </w:rPr>
        <w:t> </w:t>
      </w:r>
      <w:r>
        <w:rPr/>
        <w:t>on which see below, paras 15-081 and 15-096 et </w:t>
      </w:r>
      <w:r>
        <w:rPr>
          <w:spacing w:val="-4"/>
        </w:rPr>
        <w:t>seq.</w:t>
      </w:r>
    </w:p>
    <w:p>
      <w:pPr>
        <w:pStyle w:val="BodyText"/>
        <w:spacing w:before="5"/>
      </w:pPr>
    </w:p>
    <w:p>
      <w:pPr>
        <w:spacing w:before="0"/>
        <w:ind w:left="165" w:right="0" w:firstLine="0"/>
        <w:jc w:val="left"/>
        <w:rPr>
          <w:sz w:val="20"/>
        </w:rPr>
      </w:pPr>
      <w:bookmarkStart w:name="_bookmark2272" w:id="2274"/>
      <w:bookmarkEnd w:id="2274"/>
      <w:r>
        <w:rPr/>
      </w:r>
      <w:hyperlink w:history="true" w:anchor="_bookmark2160">
        <w:r>
          <w:rPr>
            <w:color w:val="005DA1"/>
            <w:position w:val="5"/>
            <w:sz w:val="14"/>
            <w:u w:val="single" w:color="005DA1"/>
          </w:rPr>
          <w:t>1484</w:t>
        </w:r>
      </w:hyperlink>
      <w:r>
        <w:rPr>
          <w:position w:val="5"/>
          <w:sz w:val="14"/>
        </w:rPr>
        <w:t>.</w:t>
      </w:r>
      <w:r>
        <w:rPr>
          <w:spacing w:val="55"/>
          <w:position w:val="5"/>
          <w:sz w:val="14"/>
        </w:rPr>
        <w:t>  </w:t>
      </w:r>
      <w:r>
        <w:rPr>
          <w:rFonts w:ascii="Arial"/>
          <w:i/>
          <w:sz w:val="20"/>
        </w:rPr>
        <w:t>[1990]</w:t>
      </w:r>
      <w:r>
        <w:rPr>
          <w:rFonts w:ascii="Arial"/>
          <w:i/>
          <w:spacing w:val="1"/>
          <w:sz w:val="20"/>
        </w:rPr>
        <w:t> </w:t>
      </w:r>
      <w:r>
        <w:rPr>
          <w:rFonts w:ascii="Arial"/>
          <w:i/>
          <w:sz w:val="20"/>
        </w:rPr>
        <w:t>1 A.C. 831</w:t>
      </w:r>
      <w:r>
        <w:rPr>
          <w:rFonts w:ascii="Arial"/>
          <w:i/>
          <w:spacing w:val="-1"/>
          <w:sz w:val="20"/>
        </w:rPr>
        <w:t> </w:t>
      </w:r>
      <w:r>
        <w:rPr>
          <w:sz w:val="20"/>
        </w:rPr>
        <w:t>at 862. cf. at 846, per Lord </w:t>
      </w:r>
      <w:r>
        <w:rPr>
          <w:spacing w:val="-2"/>
          <w:sz w:val="20"/>
        </w:rPr>
        <w:t>Templeman.</w:t>
      </w:r>
    </w:p>
    <w:p>
      <w:pPr>
        <w:pStyle w:val="BodyText"/>
        <w:spacing w:before="5"/>
      </w:pPr>
    </w:p>
    <w:p>
      <w:pPr>
        <w:spacing w:before="0"/>
        <w:ind w:left="165" w:right="0" w:firstLine="0"/>
        <w:jc w:val="left"/>
        <w:rPr>
          <w:sz w:val="20"/>
        </w:rPr>
      </w:pPr>
      <w:bookmarkStart w:name="_bookmark2273" w:id="2275"/>
      <w:bookmarkEnd w:id="2275"/>
      <w:r>
        <w:rPr/>
      </w:r>
      <w:hyperlink w:history="true" w:anchor="_bookmark2161">
        <w:r>
          <w:rPr>
            <w:color w:val="005DA1"/>
            <w:position w:val="5"/>
            <w:sz w:val="14"/>
            <w:u w:val="single" w:color="005DA1"/>
          </w:rPr>
          <w:t>1485</w:t>
        </w:r>
      </w:hyperlink>
      <w:r>
        <w:rPr>
          <w:position w:val="5"/>
          <w:sz w:val="14"/>
        </w:rPr>
        <w:t>.</w:t>
      </w:r>
      <w:r>
        <w:rPr>
          <w:spacing w:val="55"/>
          <w:position w:val="5"/>
          <w:sz w:val="14"/>
        </w:rPr>
        <w:t>  </w:t>
      </w:r>
      <w:r>
        <w:rPr>
          <w:rFonts w:ascii="Arial"/>
          <w:i/>
          <w:sz w:val="20"/>
        </w:rPr>
        <w:t>[1964]</w:t>
      </w:r>
      <w:r>
        <w:rPr>
          <w:rFonts w:ascii="Arial"/>
          <w:i/>
          <w:spacing w:val="1"/>
          <w:sz w:val="20"/>
        </w:rPr>
        <w:t> </w:t>
      </w:r>
      <w:r>
        <w:rPr>
          <w:rFonts w:ascii="Arial"/>
          <w:i/>
          <w:sz w:val="20"/>
        </w:rPr>
        <w:t>A.C. </w:t>
      </w:r>
      <w:r>
        <w:rPr>
          <w:rFonts w:ascii="Arial"/>
          <w:i/>
          <w:spacing w:val="-4"/>
          <w:sz w:val="20"/>
        </w:rPr>
        <w:t>465</w:t>
      </w:r>
      <w:r>
        <w:rPr>
          <w:spacing w:val="-4"/>
          <w:sz w:val="20"/>
        </w:rPr>
        <w:t>.</w:t>
      </w:r>
    </w:p>
    <w:p>
      <w:pPr>
        <w:pStyle w:val="BodyText"/>
        <w:spacing w:before="9"/>
      </w:pPr>
    </w:p>
    <w:p>
      <w:pPr>
        <w:spacing w:line="235" w:lineRule="auto" w:before="0"/>
        <w:ind w:left="705" w:right="167" w:hanging="541"/>
        <w:jc w:val="both"/>
        <w:rPr>
          <w:rFonts w:ascii="Arial"/>
          <w:i/>
          <w:sz w:val="20"/>
        </w:rPr>
      </w:pPr>
      <w:bookmarkStart w:name="_bookmark2274" w:id="2276"/>
      <w:bookmarkEnd w:id="2276"/>
      <w:r>
        <w:rPr/>
      </w:r>
      <w:hyperlink w:history="true" w:anchor="_bookmark2161">
        <w:r>
          <w:rPr>
            <w:color w:val="005DA1"/>
            <w:position w:val="5"/>
            <w:sz w:val="14"/>
            <w:u w:val="single" w:color="005DA1"/>
          </w:rPr>
          <w:t>1486</w:t>
        </w:r>
      </w:hyperlink>
      <w:r>
        <w:rPr>
          <w:position w:val="5"/>
          <w:sz w:val="14"/>
        </w:rPr>
        <w:t>.</w:t>
      </w:r>
      <w:r>
        <w:rPr>
          <w:spacing w:val="80"/>
          <w:w w:val="150"/>
          <w:position w:val="5"/>
          <w:sz w:val="14"/>
        </w:rPr>
        <w:t> </w:t>
      </w:r>
      <w:r>
        <w:rPr>
          <w:sz w:val="20"/>
        </w:rPr>
        <w:t>Some courts have chosen rather to treat the various approaches to the imposition of a duty of care as alternative routes, to be tried in turn in relation to the facts before them: see </w:t>
      </w:r>
      <w:r>
        <w:rPr>
          <w:rFonts w:ascii="Arial"/>
          <w:i/>
          <w:sz w:val="20"/>
        </w:rPr>
        <w:t>Bank of Credit</w:t>
      </w:r>
      <w:r>
        <w:rPr>
          <w:rFonts w:ascii="Arial"/>
          <w:i/>
          <w:spacing w:val="17"/>
          <w:sz w:val="20"/>
        </w:rPr>
        <w:t> </w:t>
      </w:r>
      <w:r>
        <w:rPr>
          <w:rFonts w:ascii="Arial"/>
          <w:i/>
          <w:sz w:val="20"/>
        </w:rPr>
        <w:t>and</w:t>
      </w:r>
      <w:r>
        <w:rPr>
          <w:rFonts w:ascii="Arial"/>
          <w:i/>
          <w:spacing w:val="17"/>
          <w:sz w:val="20"/>
        </w:rPr>
        <w:t> </w:t>
      </w:r>
      <w:r>
        <w:rPr>
          <w:rFonts w:ascii="Arial"/>
          <w:i/>
          <w:sz w:val="20"/>
        </w:rPr>
        <w:t>Commerce</w:t>
      </w:r>
      <w:r>
        <w:rPr>
          <w:rFonts w:ascii="Arial"/>
          <w:i/>
          <w:spacing w:val="17"/>
          <w:sz w:val="20"/>
        </w:rPr>
        <w:t> </w:t>
      </w:r>
      <w:r>
        <w:rPr>
          <w:rFonts w:ascii="Arial"/>
          <w:i/>
          <w:sz w:val="20"/>
        </w:rPr>
        <w:t>International</w:t>
      </w:r>
      <w:r>
        <w:rPr>
          <w:rFonts w:ascii="Arial"/>
          <w:i/>
          <w:spacing w:val="17"/>
          <w:sz w:val="20"/>
        </w:rPr>
        <w:t> </w:t>
      </w:r>
      <w:r>
        <w:rPr>
          <w:rFonts w:ascii="Arial"/>
          <w:i/>
          <w:sz w:val="20"/>
        </w:rPr>
        <w:t>(Overseas)</w:t>
      </w:r>
      <w:r>
        <w:rPr>
          <w:rFonts w:ascii="Arial"/>
          <w:i/>
          <w:spacing w:val="17"/>
          <w:sz w:val="20"/>
        </w:rPr>
        <w:t> </w:t>
      </w:r>
      <w:r>
        <w:rPr>
          <w:rFonts w:ascii="Arial"/>
          <w:i/>
          <w:sz w:val="20"/>
        </w:rPr>
        <w:t>Ltd</w:t>
      </w:r>
      <w:r>
        <w:rPr>
          <w:rFonts w:ascii="Arial"/>
          <w:i/>
          <w:spacing w:val="17"/>
          <w:sz w:val="20"/>
        </w:rPr>
        <w:t> </w:t>
      </w:r>
      <w:r>
        <w:rPr>
          <w:rFonts w:ascii="Arial"/>
          <w:i/>
          <w:sz w:val="20"/>
        </w:rPr>
        <w:t>(In</w:t>
      </w:r>
      <w:r>
        <w:rPr>
          <w:rFonts w:ascii="Arial"/>
          <w:i/>
          <w:spacing w:val="17"/>
          <w:sz w:val="20"/>
        </w:rPr>
        <w:t> </w:t>
      </w:r>
      <w:r>
        <w:rPr>
          <w:rFonts w:ascii="Arial"/>
          <w:i/>
          <w:sz w:val="20"/>
        </w:rPr>
        <w:t>Liquidation)</w:t>
      </w:r>
      <w:r>
        <w:rPr>
          <w:rFonts w:ascii="Arial"/>
          <w:i/>
          <w:spacing w:val="17"/>
          <w:sz w:val="20"/>
        </w:rPr>
        <w:t> </w:t>
      </w:r>
      <w:r>
        <w:rPr>
          <w:rFonts w:ascii="Arial"/>
          <w:i/>
          <w:sz w:val="20"/>
        </w:rPr>
        <w:t>v</w:t>
      </w:r>
      <w:r>
        <w:rPr>
          <w:rFonts w:ascii="Arial"/>
          <w:i/>
          <w:spacing w:val="17"/>
          <w:sz w:val="20"/>
        </w:rPr>
        <w:t> </w:t>
      </w:r>
      <w:r>
        <w:rPr>
          <w:rFonts w:ascii="Arial"/>
          <w:i/>
          <w:sz w:val="20"/>
        </w:rPr>
        <w:t>Price</w:t>
      </w:r>
      <w:r>
        <w:rPr>
          <w:rFonts w:ascii="Arial"/>
          <w:i/>
          <w:spacing w:val="17"/>
          <w:sz w:val="20"/>
        </w:rPr>
        <w:t> </w:t>
      </w:r>
      <w:r>
        <w:rPr>
          <w:rFonts w:ascii="Arial"/>
          <w:i/>
          <w:sz w:val="20"/>
        </w:rPr>
        <w:t>Waterhouse</w:t>
      </w:r>
      <w:r>
        <w:rPr>
          <w:rFonts w:ascii="Arial"/>
          <w:i/>
          <w:spacing w:val="17"/>
          <w:sz w:val="20"/>
        </w:rPr>
        <w:t> </w:t>
      </w:r>
      <w:r>
        <w:rPr>
          <w:rFonts w:ascii="Arial"/>
          <w:i/>
          <w:spacing w:val="-2"/>
          <w:sz w:val="20"/>
        </w:rPr>
        <w:t>[1998]</w:t>
      </w:r>
    </w:p>
    <w:p>
      <w:pPr>
        <w:spacing w:line="235" w:lineRule="auto" w:before="0"/>
        <w:ind w:left="705" w:right="167" w:firstLine="0"/>
        <w:jc w:val="both"/>
        <w:rPr>
          <w:sz w:val="20"/>
        </w:rPr>
      </w:pPr>
      <w:r>
        <w:rPr>
          <w:rFonts w:ascii="Arial" w:hAnsi="Arial"/>
          <w:i/>
          <w:sz w:val="20"/>
        </w:rPr>
        <w:t>P.N.L.R. 564, 583-586</w:t>
      </w:r>
      <w:r>
        <w:rPr>
          <w:sz w:val="20"/>
        </w:rPr>
        <w:t>, per Sir Brian Neill; </w:t>
      </w:r>
      <w:r>
        <w:rPr>
          <w:rFonts w:ascii="Arial" w:hAnsi="Arial"/>
          <w:i/>
          <w:sz w:val="20"/>
        </w:rPr>
        <w:t>Briscoe v Lubrizol [2000] P.I.Q.R. P39</w:t>
      </w:r>
      <w:r>
        <w:rPr>
          <w:sz w:val="20"/>
        </w:rPr>
        <w:t>. </w:t>
      </w:r>
      <w:r>
        <w:rPr>
          <w:sz w:val="20"/>
        </w:rPr>
        <w:t>Moreover, where the defendant’s liability arises in respect of a negligent misstatement (as in the case of a surveyor’s certification of property), the Court of Appeal has held that no distinct duty of care based on any assumption of responsibility should be held to have existed in respect of the work of inspection preparatory to making the statement: </w:t>
      </w:r>
      <w:r>
        <w:rPr>
          <w:rFonts w:ascii="Arial" w:hAnsi="Arial"/>
          <w:i/>
          <w:sz w:val="20"/>
        </w:rPr>
        <w:t>Hunt v Optima (Cambridge) Ltd [2014] EWCA Civ 714, [2015] 1 W.L.R. 1346 </w:t>
      </w:r>
      <w:r>
        <w:rPr>
          <w:sz w:val="20"/>
        </w:rPr>
        <w:t>at [90]–[92], [107]–[119] (distinguishing the </w:t>
      </w:r>
      <w:r>
        <w:rPr>
          <w:sz w:val="20"/>
        </w:rPr>
        <w:t>contractual duty owed by the surveyor to the builder).</w:t>
      </w:r>
    </w:p>
    <w:p>
      <w:pPr>
        <w:pStyle w:val="BodyText"/>
        <w:spacing w:before="6"/>
      </w:pPr>
    </w:p>
    <w:p>
      <w:pPr>
        <w:pStyle w:val="BodyText"/>
        <w:spacing w:line="235" w:lineRule="auto"/>
        <w:ind w:left="705" w:right="167" w:hanging="541"/>
        <w:jc w:val="both"/>
      </w:pPr>
      <w:bookmarkStart w:name="_bookmark2275" w:id="2277"/>
      <w:bookmarkEnd w:id="2277"/>
      <w:r>
        <w:rPr/>
      </w:r>
      <w:hyperlink w:history="true" w:anchor="_bookmark2162">
        <w:r>
          <w:rPr>
            <w:color w:val="005DA1"/>
            <w:position w:val="5"/>
            <w:sz w:val="14"/>
            <w:u w:val="single" w:color="005DA1"/>
          </w:rPr>
          <w:t>1487</w:t>
        </w:r>
      </w:hyperlink>
      <w:r>
        <w:rPr>
          <w:position w:val="5"/>
          <w:sz w:val="14"/>
        </w:rPr>
        <w:t>.</w:t>
      </w:r>
      <w:r>
        <w:rPr>
          <w:spacing w:val="80"/>
          <w:position w:val="5"/>
          <w:sz w:val="14"/>
        </w:rPr>
        <w:t> </w:t>
      </w:r>
      <w:r>
        <w:rPr/>
        <w:t>The doctrine of “assumption of responsibility” had been relied on by Lord Goff in </w:t>
      </w:r>
      <w:r>
        <w:rPr>
          <w:rFonts w:ascii="Arial" w:hAnsi="Arial"/>
          <w:i/>
        </w:rPr>
        <w:t>Spring </w:t>
      </w:r>
      <w:r>
        <w:rPr>
          <w:rFonts w:ascii="Arial" w:hAnsi="Arial"/>
          <w:i/>
        </w:rPr>
        <w:t>v Guardian Assurance Plc [1995] 2 A.C. 296, 324 </w:t>
      </w:r>
      <w:r>
        <w:rPr/>
        <w:t>but it had not been argued before the House and his fellow judges chose to rely on other grounds for their decisions. For cases discussing “assumption of responsibility” between parties to a contract, see above, paras 1-166 et seq.</w:t>
      </w:r>
    </w:p>
    <w:p>
      <w:pPr>
        <w:pStyle w:val="BodyText"/>
        <w:spacing w:before="5"/>
      </w:pPr>
    </w:p>
    <w:p>
      <w:pPr>
        <w:spacing w:before="0"/>
        <w:ind w:left="165" w:right="0" w:firstLine="0"/>
        <w:jc w:val="left"/>
        <w:rPr>
          <w:sz w:val="20"/>
        </w:rPr>
      </w:pPr>
      <w:bookmarkStart w:name="_bookmark2276" w:id="2278"/>
      <w:bookmarkEnd w:id="2278"/>
      <w:r>
        <w:rPr/>
      </w:r>
      <w:hyperlink w:history="true" w:anchor="_bookmark2163">
        <w:r>
          <w:rPr>
            <w:color w:val="005DA1"/>
            <w:position w:val="5"/>
            <w:sz w:val="14"/>
            <w:u w:val="single" w:color="005DA1"/>
          </w:rPr>
          <w:t>1488</w:t>
        </w:r>
      </w:hyperlink>
      <w:r>
        <w:rPr>
          <w:position w:val="5"/>
          <w:sz w:val="14"/>
        </w:rPr>
        <w:t>.</w:t>
      </w:r>
      <w:r>
        <w:rPr>
          <w:spacing w:val="55"/>
          <w:position w:val="5"/>
          <w:sz w:val="14"/>
        </w:rPr>
        <w:t>  </w:t>
      </w:r>
      <w:r>
        <w:rPr>
          <w:rFonts w:ascii="Arial"/>
          <w:i/>
          <w:sz w:val="20"/>
        </w:rPr>
        <w:t>[1995]</w:t>
      </w:r>
      <w:r>
        <w:rPr>
          <w:rFonts w:ascii="Arial"/>
          <w:i/>
          <w:spacing w:val="1"/>
          <w:sz w:val="20"/>
        </w:rPr>
        <w:t> </w:t>
      </w:r>
      <w:r>
        <w:rPr>
          <w:rFonts w:ascii="Arial"/>
          <w:i/>
          <w:sz w:val="20"/>
        </w:rPr>
        <w:t>2 A.C. 145</w:t>
      </w:r>
      <w:r>
        <w:rPr>
          <w:rFonts w:ascii="Arial"/>
          <w:i/>
          <w:spacing w:val="-1"/>
          <w:sz w:val="20"/>
        </w:rPr>
        <w:t> </w:t>
      </w:r>
      <w:r>
        <w:rPr>
          <w:sz w:val="20"/>
        </w:rPr>
        <w:t>and see Whittaker (1996) 16 O.J.L.S. 191, especially 204-205, 219 et </w:t>
      </w:r>
      <w:r>
        <w:rPr>
          <w:spacing w:val="-4"/>
          <w:sz w:val="20"/>
        </w:rPr>
        <w:t>seq.</w:t>
      </w:r>
    </w:p>
    <w:p>
      <w:pPr>
        <w:pStyle w:val="BodyText"/>
        <w:spacing w:before="5"/>
      </w:pPr>
    </w:p>
    <w:p>
      <w:pPr>
        <w:spacing w:before="0"/>
        <w:ind w:left="165" w:right="0" w:firstLine="0"/>
        <w:jc w:val="left"/>
        <w:rPr>
          <w:sz w:val="20"/>
        </w:rPr>
      </w:pPr>
      <w:bookmarkStart w:name="_bookmark2277" w:id="2279"/>
      <w:bookmarkEnd w:id="2279"/>
      <w:r>
        <w:rPr/>
      </w:r>
      <w:hyperlink w:history="true" w:anchor="_bookmark2164">
        <w:r>
          <w:rPr>
            <w:color w:val="005DA1"/>
            <w:position w:val="5"/>
            <w:sz w:val="14"/>
            <w:u w:val="single" w:color="005DA1"/>
          </w:rPr>
          <w:t>1489</w:t>
        </w:r>
      </w:hyperlink>
      <w:r>
        <w:rPr>
          <w:position w:val="5"/>
          <w:sz w:val="14"/>
        </w:rPr>
        <w:t>.</w:t>
      </w:r>
      <w:r>
        <w:rPr>
          <w:spacing w:val="55"/>
          <w:position w:val="5"/>
          <w:sz w:val="14"/>
        </w:rPr>
        <w:t>  </w:t>
      </w:r>
      <w:r>
        <w:rPr>
          <w:rFonts w:ascii="Arial"/>
          <w:i/>
          <w:sz w:val="20"/>
        </w:rPr>
        <w:t>[1995]</w:t>
      </w:r>
      <w:r>
        <w:rPr>
          <w:rFonts w:ascii="Arial"/>
          <w:i/>
          <w:spacing w:val="1"/>
          <w:sz w:val="20"/>
        </w:rPr>
        <w:t> </w:t>
      </w:r>
      <w:r>
        <w:rPr>
          <w:rFonts w:ascii="Arial"/>
          <w:i/>
          <w:sz w:val="20"/>
        </w:rPr>
        <w:t>2 A.C. 145</w:t>
      </w:r>
      <w:r>
        <w:rPr>
          <w:rFonts w:ascii="Arial"/>
          <w:i/>
          <w:spacing w:val="-1"/>
          <w:sz w:val="20"/>
        </w:rPr>
        <w:t> </w:t>
      </w:r>
      <w:r>
        <w:rPr>
          <w:sz w:val="20"/>
        </w:rPr>
        <w:t>at </w:t>
      </w:r>
      <w:r>
        <w:rPr>
          <w:spacing w:val="-4"/>
          <w:sz w:val="20"/>
        </w:rPr>
        <w:t>195.</w:t>
      </w:r>
    </w:p>
    <w:p>
      <w:pPr>
        <w:pStyle w:val="BodyText"/>
        <w:spacing w:before="5"/>
      </w:pPr>
    </w:p>
    <w:p>
      <w:pPr>
        <w:spacing w:before="0"/>
        <w:ind w:left="165" w:right="0" w:firstLine="0"/>
        <w:jc w:val="left"/>
        <w:rPr>
          <w:sz w:val="20"/>
        </w:rPr>
      </w:pPr>
      <w:bookmarkStart w:name="_bookmark2278" w:id="2280"/>
      <w:bookmarkEnd w:id="2280"/>
      <w:r>
        <w:rPr/>
      </w:r>
      <w:hyperlink w:history="true" w:anchor="_bookmark2165">
        <w:r>
          <w:rPr>
            <w:color w:val="005DA1"/>
            <w:position w:val="5"/>
            <w:sz w:val="14"/>
            <w:u w:val="single" w:color="005DA1"/>
          </w:rPr>
          <w:t>1490</w:t>
        </w:r>
      </w:hyperlink>
      <w:r>
        <w:rPr>
          <w:position w:val="5"/>
          <w:sz w:val="14"/>
        </w:rPr>
        <w:t>.</w:t>
      </w:r>
      <w:r>
        <w:rPr>
          <w:spacing w:val="55"/>
          <w:position w:val="5"/>
          <w:sz w:val="14"/>
        </w:rPr>
        <w:t>  </w:t>
      </w:r>
      <w:r>
        <w:rPr>
          <w:rFonts w:ascii="Arial"/>
          <w:i/>
          <w:sz w:val="20"/>
        </w:rPr>
        <w:t>[1995]</w:t>
      </w:r>
      <w:r>
        <w:rPr>
          <w:rFonts w:ascii="Arial"/>
          <w:i/>
          <w:spacing w:val="1"/>
          <w:sz w:val="20"/>
        </w:rPr>
        <w:t> </w:t>
      </w:r>
      <w:r>
        <w:rPr>
          <w:rFonts w:ascii="Arial"/>
          <w:i/>
          <w:sz w:val="20"/>
        </w:rPr>
        <w:t>2 A.C. 145</w:t>
      </w:r>
      <w:r>
        <w:rPr>
          <w:rFonts w:ascii="Arial"/>
          <w:i/>
          <w:spacing w:val="-1"/>
          <w:sz w:val="20"/>
        </w:rPr>
        <w:t> </w:t>
      </w:r>
      <w:r>
        <w:rPr>
          <w:sz w:val="20"/>
        </w:rPr>
        <w:t>at </w:t>
      </w:r>
      <w:r>
        <w:rPr>
          <w:spacing w:val="-4"/>
          <w:sz w:val="20"/>
        </w:rPr>
        <w:t>196.</w:t>
      </w:r>
    </w:p>
    <w:p>
      <w:pPr>
        <w:pStyle w:val="BodyText"/>
        <w:spacing w:before="5"/>
      </w:pPr>
    </w:p>
    <w:p>
      <w:pPr>
        <w:spacing w:before="0"/>
        <w:ind w:left="165" w:right="0" w:firstLine="0"/>
        <w:jc w:val="left"/>
        <w:rPr>
          <w:sz w:val="20"/>
        </w:rPr>
      </w:pPr>
      <w:bookmarkStart w:name="_bookmark2279" w:id="2281"/>
      <w:bookmarkEnd w:id="2281"/>
      <w:r>
        <w:rPr/>
      </w:r>
      <w:hyperlink w:history="true" w:anchor="_bookmark2166">
        <w:r>
          <w:rPr>
            <w:color w:val="005DA1"/>
            <w:position w:val="5"/>
            <w:sz w:val="14"/>
            <w:u w:val="single" w:color="005DA1"/>
          </w:rPr>
          <w:t>1491</w:t>
        </w:r>
      </w:hyperlink>
      <w:r>
        <w:rPr>
          <w:position w:val="5"/>
          <w:sz w:val="14"/>
        </w:rPr>
        <w:t>.</w:t>
      </w:r>
      <w:r>
        <w:rPr>
          <w:spacing w:val="55"/>
          <w:position w:val="5"/>
          <w:sz w:val="14"/>
        </w:rPr>
        <w:t>  </w:t>
      </w:r>
      <w:r>
        <w:rPr>
          <w:rFonts w:ascii="Arial"/>
          <w:i/>
          <w:sz w:val="20"/>
        </w:rPr>
        <w:t>[1991]</w:t>
      </w:r>
      <w:r>
        <w:rPr>
          <w:rFonts w:ascii="Arial"/>
          <w:i/>
          <w:spacing w:val="1"/>
          <w:sz w:val="20"/>
        </w:rPr>
        <w:t> </w:t>
      </w:r>
      <w:r>
        <w:rPr>
          <w:rFonts w:ascii="Arial"/>
          <w:i/>
          <w:sz w:val="20"/>
        </w:rPr>
        <w:t>1 A.C. </w:t>
      </w:r>
      <w:r>
        <w:rPr>
          <w:rFonts w:ascii="Arial"/>
          <w:i/>
          <w:spacing w:val="-4"/>
          <w:sz w:val="20"/>
        </w:rPr>
        <w:t>398</w:t>
      </w:r>
      <w:r>
        <w:rPr>
          <w:spacing w:val="-4"/>
          <w:sz w:val="20"/>
        </w:rPr>
        <w:t>.</w:t>
      </w:r>
    </w:p>
    <w:p>
      <w:pPr>
        <w:pStyle w:val="BodyText"/>
        <w:spacing w:before="9"/>
      </w:pPr>
    </w:p>
    <w:p>
      <w:pPr>
        <w:spacing w:line="235" w:lineRule="auto" w:before="0"/>
        <w:ind w:left="705" w:right="168" w:hanging="541"/>
        <w:jc w:val="both"/>
        <w:rPr>
          <w:sz w:val="20"/>
        </w:rPr>
      </w:pPr>
      <w:bookmarkStart w:name="_bookmark2280" w:id="2282"/>
      <w:bookmarkEnd w:id="2282"/>
      <w:r>
        <w:rPr/>
      </w:r>
      <w:hyperlink w:history="true" w:anchor="_bookmark2167">
        <w:r>
          <w:rPr>
            <w:color w:val="005DA1"/>
            <w:position w:val="5"/>
            <w:sz w:val="14"/>
            <w:u w:val="single" w:color="005DA1"/>
          </w:rPr>
          <w:t>1492</w:t>
        </w:r>
      </w:hyperlink>
      <w:r>
        <w:rPr>
          <w:position w:val="5"/>
          <w:sz w:val="14"/>
        </w:rPr>
        <w:t>.</w:t>
      </w:r>
      <w:r>
        <w:rPr>
          <w:spacing w:val="80"/>
          <w:position w:val="5"/>
          <w:sz w:val="14"/>
        </w:rPr>
        <w:t> </w:t>
      </w:r>
      <w:r>
        <w:rPr>
          <w:rFonts w:ascii="Arial" w:hAnsi="Arial"/>
          <w:i/>
          <w:sz w:val="20"/>
        </w:rPr>
        <w:t>[1995] 2 A.C. 207</w:t>
      </w:r>
      <w:r>
        <w:rPr>
          <w:sz w:val="20"/>
        </w:rPr>
        <w:t>. For subsequent “disappointed beneficiary cases” see </w:t>
      </w:r>
      <w:r>
        <w:rPr>
          <w:rFonts w:ascii="Arial" w:hAnsi="Arial"/>
          <w:i/>
          <w:sz w:val="20"/>
        </w:rPr>
        <w:t>Martin v Triggs </w:t>
      </w:r>
      <w:r>
        <w:rPr>
          <w:rFonts w:ascii="Arial" w:hAnsi="Arial"/>
          <w:i/>
          <w:sz w:val="20"/>
        </w:rPr>
        <w:t>Turner Burtons [2009] EWHC 1920 (Ch), [2010] P.N.L.R. 3</w:t>
      </w:r>
      <w:r>
        <w:rPr>
          <w:sz w:val="20"/>
        </w:rPr>
        <w:t>; cf. </w:t>
      </w:r>
      <w:r>
        <w:rPr>
          <w:rFonts w:ascii="Arial" w:hAnsi="Arial"/>
          <w:i/>
          <w:sz w:val="20"/>
        </w:rPr>
        <w:t>Marquess of Aberdeen and Temair v Turcan Connell [2008] CSOH 183 </w:t>
      </w:r>
      <w:r>
        <w:rPr>
          <w:sz w:val="20"/>
        </w:rPr>
        <w:t>at [48] and [49].</w:t>
      </w:r>
    </w:p>
    <w:p>
      <w:pPr>
        <w:pStyle w:val="BodyText"/>
        <w:spacing w:before="5"/>
      </w:pPr>
    </w:p>
    <w:p>
      <w:pPr>
        <w:spacing w:before="0"/>
        <w:ind w:left="165" w:right="0" w:firstLine="0"/>
        <w:jc w:val="left"/>
        <w:rPr>
          <w:sz w:val="20"/>
        </w:rPr>
      </w:pPr>
      <w:bookmarkStart w:name="_bookmark2281" w:id="2283"/>
      <w:bookmarkEnd w:id="2283"/>
      <w:r>
        <w:rPr/>
      </w:r>
      <w:hyperlink w:history="true" w:anchor="_bookmark2168">
        <w:r>
          <w:rPr>
            <w:color w:val="005DA1"/>
            <w:position w:val="5"/>
            <w:sz w:val="14"/>
            <w:u w:val="single" w:color="005DA1"/>
          </w:rPr>
          <w:t>1493</w:t>
        </w:r>
      </w:hyperlink>
      <w:r>
        <w:rPr>
          <w:position w:val="5"/>
          <w:sz w:val="14"/>
        </w:rPr>
        <w:t>.</w:t>
      </w:r>
      <w:r>
        <w:rPr>
          <w:spacing w:val="55"/>
          <w:position w:val="5"/>
          <w:sz w:val="14"/>
        </w:rPr>
        <w:t>  </w:t>
      </w:r>
      <w:r>
        <w:rPr>
          <w:rFonts w:ascii="Arial"/>
          <w:i/>
          <w:sz w:val="20"/>
        </w:rPr>
        <w:t>[1995]</w:t>
      </w:r>
      <w:r>
        <w:rPr>
          <w:rFonts w:ascii="Arial"/>
          <w:i/>
          <w:spacing w:val="1"/>
          <w:sz w:val="20"/>
        </w:rPr>
        <w:t> </w:t>
      </w:r>
      <w:r>
        <w:rPr>
          <w:rFonts w:ascii="Arial"/>
          <w:i/>
          <w:sz w:val="20"/>
        </w:rPr>
        <w:t>2 A.C. 207</w:t>
      </w:r>
      <w:r>
        <w:rPr>
          <w:rFonts w:ascii="Arial"/>
          <w:i/>
          <w:spacing w:val="-1"/>
          <w:sz w:val="20"/>
        </w:rPr>
        <w:t> </w:t>
      </w:r>
      <w:r>
        <w:rPr>
          <w:sz w:val="20"/>
        </w:rPr>
        <w:t>at </w:t>
      </w:r>
      <w:r>
        <w:rPr>
          <w:spacing w:val="-4"/>
          <w:sz w:val="20"/>
        </w:rPr>
        <w:t>266.</w:t>
      </w:r>
    </w:p>
    <w:p>
      <w:pPr>
        <w:pStyle w:val="BodyText"/>
        <w:spacing w:before="5"/>
      </w:pPr>
    </w:p>
    <w:p>
      <w:pPr>
        <w:spacing w:before="0"/>
        <w:ind w:left="165" w:right="0" w:firstLine="0"/>
        <w:jc w:val="left"/>
        <w:rPr>
          <w:sz w:val="20"/>
        </w:rPr>
      </w:pPr>
      <w:bookmarkStart w:name="_bookmark2282" w:id="2284"/>
      <w:bookmarkEnd w:id="2284"/>
      <w:r>
        <w:rPr/>
      </w:r>
      <w:hyperlink w:history="true" w:anchor="_bookmark2169">
        <w:r>
          <w:rPr>
            <w:color w:val="005DA1"/>
            <w:position w:val="5"/>
            <w:sz w:val="14"/>
            <w:u w:val="single" w:color="005DA1"/>
          </w:rPr>
          <w:t>1494</w:t>
        </w:r>
      </w:hyperlink>
      <w:r>
        <w:rPr>
          <w:position w:val="5"/>
          <w:sz w:val="14"/>
        </w:rPr>
        <w:t>.</w:t>
      </w:r>
      <w:r>
        <w:rPr>
          <w:spacing w:val="55"/>
          <w:position w:val="5"/>
          <w:sz w:val="14"/>
        </w:rPr>
        <w:t>  </w:t>
      </w:r>
      <w:r>
        <w:rPr>
          <w:rFonts w:ascii="Arial"/>
          <w:i/>
          <w:sz w:val="20"/>
        </w:rPr>
        <w:t>[1995]</w:t>
      </w:r>
      <w:r>
        <w:rPr>
          <w:rFonts w:ascii="Arial"/>
          <w:i/>
          <w:spacing w:val="1"/>
          <w:sz w:val="20"/>
        </w:rPr>
        <w:t> </w:t>
      </w:r>
      <w:r>
        <w:rPr>
          <w:rFonts w:ascii="Arial"/>
          <w:i/>
          <w:sz w:val="20"/>
        </w:rPr>
        <w:t>2 A.C. 207</w:t>
      </w:r>
      <w:r>
        <w:rPr>
          <w:rFonts w:ascii="Arial"/>
          <w:i/>
          <w:spacing w:val="-1"/>
          <w:sz w:val="20"/>
        </w:rPr>
        <w:t> </w:t>
      </w:r>
      <w:r>
        <w:rPr>
          <w:sz w:val="20"/>
        </w:rPr>
        <w:t>at </w:t>
      </w:r>
      <w:r>
        <w:rPr>
          <w:spacing w:val="-4"/>
          <w:sz w:val="20"/>
        </w:rPr>
        <w:t>268.</w:t>
      </w:r>
    </w:p>
    <w:p>
      <w:pPr>
        <w:pStyle w:val="BodyText"/>
        <w:spacing w:before="5"/>
      </w:pPr>
    </w:p>
    <w:p>
      <w:pPr>
        <w:spacing w:before="0"/>
        <w:ind w:left="165" w:right="0" w:firstLine="0"/>
        <w:jc w:val="left"/>
        <w:rPr>
          <w:sz w:val="20"/>
        </w:rPr>
      </w:pPr>
      <w:bookmarkStart w:name="_bookmark2283" w:id="2285"/>
      <w:bookmarkEnd w:id="2285"/>
      <w:r>
        <w:rPr/>
      </w:r>
      <w:hyperlink w:history="true" w:anchor="_bookmark2170">
        <w:r>
          <w:rPr>
            <w:color w:val="005DA1"/>
            <w:position w:val="5"/>
            <w:sz w:val="14"/>
            <w:u w:val="single" w:color="005DA1"/>
          </w:rPr>
          <w:t>1495</w:t>
        </w:r>
      </w:hyperlink>
      <w:r>
        <w:rPr>
          <w:position w:val="5"/>
          <w:sz w:val="14"/>
        </w:rPr>
        <w:t>.</w:t>
      </w:r>
      <w:r>
        <w:rPr>
          <w:spacing w:val="55"/>
          <w:position w:val="5"/>
          <w:sz w:val="14"/>
        </w:rPr>
        <w:t>  </w:t>
      </w:r>
      <w:r>
        <w:rPr>
          <w:rFonts w:ascii="Arial"/>
          <w:i/>
          <w:sz w:val="20"/>
        </w:rPr>
        <w:t>[1995]</w:t>
      </w:r>
      <w:r>
        <w:rPr>
          <w:rFonts w:ascii="Arial"/>
          <w:i/>
          <w:spacing w:val="1"/>
          <w:sz w:val="20"/>
        </w:rPr>
        <w:t> </w:t>
      </w:r>
      <w:r>
        <w:rPr>
          <w:rFonts w:ascii="Arial"/>
          <w:i/>
          <w:sz w:val="20"/>
        </w:rPr>
        <w:t>2 A.C. 207</w:t>
      </w:r>
      <w:r>
        <w:rPr>
          <w:rFonts w:ascii="Arial"/>
          <w:i/>
          <w:spacing w:val="-1"/>
          <w:sz w:val="20"/>
        </w:rPr>
        <w:t> </w:t>
      </w:r>
      <w:r>
        <w:rPr>
          <w:sz w:val="20"/>
        </w:rPr>
        <w:t>at </w:t>
      </w:r>
      <w:r>
        <w:rPr>
          <w:spacing w:val="-4"/>
          <w:sz w:val="20"/>
        </w:rPr>
        <w:t>294.</w:t>
      </w:r>
    </w:p>
    <w:p>
      <w:pPr>
        <w:pStyle w:val="BodyText"/>
        <w:spacing w:before="5"/>
      </w:pPr>
    </w:p>
    <w:p>
      <w:pPr>
        <w:spacing w:before="0"/>
        <w:ind w:left="165" w:right="0" w:firstLine="0"/>
        <w:jc w:val="left"/>
        <w:rPr>
          <w:sz w:val="20"/>
        </w:rPr>
      </w:pPr>
      <w:bookmarkStart w:name="_bookmark2284" w:id="2286"/>
      <w:bookmarkEnd w:id="2286"/>
      <w:r>
        <w:rPr/>
      </w:r>
      <w:hyperlink w:history="true" w:anchor="_bookmark2171">
        <w:r>
          <w:rPr>
            <w:color w:val="005DA1"/>
            <w:position w:val="5"/>
            <w:sz w:val="14"/>
            <w:u w:val="single" w:color="005DA1"/>
          </w:rPr>
          <w:t>1496</w:t>
        </w:r>
      </w:hyperlink>
      <w:r>
        <w:rPr>
          <w:position w:val="5"/>
          <w:sz w:val="14"/>
        </w:rPr>
        <w:t>.</w:t>
      </w:r>
      <w:r>
        <w:rPr>
          <w:spacing w:val="55"/>
          <w:position w:val="5"/>
          <w:sz w:val="14"/>
        </w:rPr>
        <w:t>  </w:t>
      </w:r>
      <w:r>
        <w:rPr>
          <w:rFonts w:ascii="Arial"/>
          <w:i/>
          <w:sz w:val="20"/>
        </w:rPr>
        <w:t>[1995]</w:t>
      </w:r>
      <w:r>
        <w:rPr>
          <w:rFonts w:ascii="Arial"/>
          <w:i/>
          <w:spacing w:val="1"/>
          <w:sz w:val="20"/>
        </w:rPr>
        <w:t> </w:t>
      </w:r>
      <w:r>
        <w:rPr>
          <w:rFonts w:ascii="Arial"/>
          <w:i/>
          <w:sz w:val="20"/>
        </w:rPr>
        <w:t>2 A.C. 207</w:t>
      </w:r>
      <w:r>
        <w:rPr>
          <w:rFonts w:ascii="Arial"/>
          <w:i/>
          <w:spacing w:val="-1"/>
          <w:sz w:val="20"/>
        </w:rPr>
        <w:t> </w:t>
      </w:r>
      <w:r>
        <w:rPr>
          <w:sz w:val="20"/>
        </w:rPr>
        <w:t>at 270, 275-</w:t>
      </w:r>
      <w:r>
        <w:rPr>
          <w:spacing w:val="-4"/>
          <w:sz w:val="20"/>
        </w:rPr>
        <w:t>276.</w:t>
      </w:r>
    </w:p>
    <w:p>
      <w:pPr>
        <w:spacing w:after="0"/>
        <w:jc w:val="left"/>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left="0" w:right="43"/>
              <w:rPr>
                <w:sz w:val="14"/>
              </w:rPr>
            </w:pPr>
            <w:hyperlink w:history="true" w:anchor="_bookmark2172">
              <w:r>
                <w:rPr>
                  <w:color w:val="005DA1"/>
                  <w:spacing w:val="-2"/>
                  <w:sz w:val="14"/>
                  <w:u w:val="single" w:color="005DA1"/>
                </w:rPr>
                <w:t>1497</w:t>
              </w:r>
            </w:hyperlink>
            <w:r>
              <w:rPr>
                <w:spacing w:val="-2"/>
                <w:sz w:val="14"/>
              </w:rPr>
              <w:t>.</w:t>
            </w:r>
          </w:p>
        </w:tc>
        <w:tc>
          <w:tcPr>
            <w:tcW w:w="8620" w:type="dxa"/>
          </w:tcPr>
          <w:p>
            <w:pPr>
              <w:pStyle w:val="TableParagraph"/>
              <w:spacing w:line="223" w:lineRule="exact" w:before="0"/>
              <w:jc w:val="left"/>
              <w:rPr>
                <w:sz w:val="20"/>
              </w:rPr>
            </w:pPr>
            <w:r>
              <w:rPr>
                <w:rFonts w:ascii="Arial"/>
                <w:i/>
                <w:sz w:val="20"/>
              </w:rPr>
              <w:t>[1995] 2 A.C. 207</w:t>
            </w:r>
            <w:r>
              <w:rPr>
                <w:rFonts w:ascii="Arial"/>
                <w:i/>
                <w:spacing w:val="-1"/>
                <w:sz w:val="20"/>
              </w:rPr>
              <w:t> </w:t>
            </w:r>
            <w:r>
              <w:rPr>
                <w:sz w:val="20"/>
              </w:rPr>
              <w:t>at </w:t>
            </w:r>
            <w:r>
              <w:rPr>
                <w:spacing w:val="-4"/>
                <w:sz w:val="20"/>
              </w:rPr>
              <w:t>251.</w:t>
            </w:r>
          </w:p>
        </w:tc>
      </w:tr>
      <w:tr>
        <w:trPr>
          <w:trHeight w:val="690" w:hRule="atLeast"/>
        </w:trPr>
        <w:tc>
          <w:tcPr>
            <w:tcW w:w="496" w:type="dxa"/>
          </w:tcPr>
          <w:p>
            <w:pPr>
              <w:pStyle w:val="TableParagraph"/>
              <w:ind w:left="0" w:right="43"/>
              <w:rPr>
                <w:sz w:val="14"/>
              </w:rPr>
            </w:pPr>
            <w:bookmarkStart w:name="_bookmark2285" w:id="2287"/>
            <w:bookmarkEnd w:id="2287"/>
            <w:r>
              <w:rPr/>
            </w:r>
            <w:hyperlink w:history="true" w:anchor="_bookmark2173">
              <w:r>
                <w:rPr>
                  <w:color w:val="005DA1"/>
                  <w:spacing w:val="-2"/>
                  <w:sz w:val="14"/>
                  <w:u w:val="single" w:color="005DA1"/>
                </w:rPr>
                <w:t>1498</w:t>
              </w:r>
            </w:hyperlink>
            <w:r>
              <w:rPr>
                <w:spacing w:val="-2"/>
                <w:sz w:val="14"/>
              </w:rPr>
              <w:t>.</w:t>
            </w:r>
          </w:p>
        </w:tc>
        <w:tc>
          <w:tcPr>
            <w:tcW w:w="8620" w:type="dxa"/>
          </w:tcPr>
          <w:p>
            <w:pPr>
              <w:pStyle w:val="TableParagraph"/>
              <w:spacing w:line="235" w:lineRule="auto" w:before="118"/>
              <w:jc w:val="left"/>
              <w:rPr>
                <w:sz w:val="20"/>
              </w:rPr>
            </w:pPr>
            <w:r>
              <w:rPr>
                <w:sz w:val="20"/>
              </w:rPr>
              <w:t>See,</w:t>
            </w:r>
            <w:r>
              <w:rPr>
                <w:spacing w:val="-3"/>
                <w:sz w:val="20"/>
              </w:rPr>
              <w:t> </w:t>
            </w:r>
            <w:r>
              <w:rPr>
                <w:sz w:val="20"/>
              </w:rPr>
              <w:t>notably,</w:t>
            </w:r>
            <w:r>
              <w:rPr>
                <w:spacing w:val="-3"/>
                <w:sz w:val="20"/>
              </w:rPr>
              <w:t> </w:t>
            </w:r>
            <w:r>
              <w:rPr>
                <w:rFonts w:ascii="Arial"/>
                <w:i/>
                <w:sz w:val="20"/>
              </w:rPr>
              <w:t>Williams</w:t>
            </w:r>
            <w:r>
              <w:rPr>
                <w:rFonts w:ascii="Arial"/>
                <w:i/>
                <w:spacing w:val="-3"/>
                <w:sz w:val="20"/>
              </w:rPr>
              <w:t> </w:t>
            </w:r>
            <w:r>
              <w:rPr>
                <w:rFonts w:ascii="Arial"/>
                <w:i/>
                <w:sz w:val="20"/>
              </w:rPr>
              <w:t>v</w:t>
            </w:r>
            <w:r>
              <w:rPr>
                <w:rFonts w:ascii="Arial"/>
                <w:i/>
                <w:spacing w:val="-3"/>
                <w:sz w:val="20"/>
              </w:rPr>
              <w:t> </w:t>
            </w:r>
            <w:r>
              <w:rPr>
                <w:rFonts w:ascii="Arial"/>
                <w:i/>
                <w:sz w:val="20"/>
              </w:rPr>
              <w:t>Natural</w:t>
            </w:r>
            <w:r>
              <w:rPr>
                <w:rFonts w:ascii="Arial"/>
                <w:i/>
                <w:spacing w:val="-3"/>
                <w:sz w:val="20"/>
              </w:rPr>
              <w:t> </w:t>
            </w:r>
            <w:r>
              <w:rPr>
                <w:rFonts w:ascii="Arial"/>
                <w:i/>
                <w:sz w:val="20"/>
              </w:rPr>
              <w:t>Life</w:t>
            </w:r>
            <w:r>
              <w:rPr>
                <w:rFonts w:ascii="Arial"/>
                <w:i/>
                <w:spacing w:val="-3"/>
                <w:sz w:val="20"/>
              </w:rPr>
              <w:t> </w:t>
            </w:r>
            <w:r>
              <w:rPr>
                <w:rFonts w:ascii="Arial"/>
                <w:i/>
                <w:sz w:val="20"/>
              </w:rPr>
              <w:t>Health</w:t>
            </w:r>
            <w:r>
              <w:rPr>
                <w:rFonts w:ascii="Arial"/>
                <w:i/>
                <w:spacing w:val="-3"/>
                <w:sz w:val="20"/>
              </w:rPr>
              <w:t> </w:t>
            </w:r>
            <w:r>
              <w:rPr>
                <w:rFonts w:ascii="Arial"/>
                <w:i/>
                <w:sz w:val="20"/>
              </w:rPr>
              <w:t>Foods</w:t>
            </w:r>
            <w:r>
              <w:rPr>
                <w:rFonts w:ascii="Arial"/>
                <w:i/>
                <w:spacing w:val="-3"/>
                <w:sz w:val="20"/>
              </w:rPr>
              <w:t> </w:t>
            </w:r>
            <w:r>
              <w:rPr>
                <w:rFonts w:ascii="Arial"/>
                <w:i/>
                <w:sz w:val="20"/>
              </w:rPr>
              <w:t>Ltd</w:t>
            </w:r>
            <w:r>
              <w:rPr>
                <w:rFonts w:ascii="Arial"/>
                <w:i/>
                <w:spacing w:val="-3"/>
                <w:sz w:val="20"/>
              </w:rPr>
              <w:t> </w:t>
            </w:r>
            <w:r>
              <w:rPr>
                <w:rFonts w:ascii="Arial"/>
                <w:i/>
                <w:sz w:val="20"/>
              </w:rPr>
              <w:t>and</w:t>
            </w:r>
            <w:r>
              <w:rPr>
                <w:rFonts w:ascii="Arial"/>
                <w:i/>
                <w:spacing w:val="-3"/>
                <w:sz w:val="20"/>
              </w:rPr>
              <w:t> </w:t>
            </w:r>
            <w:r>
              <w:rPr>
                <w:rFonts w:ascii="Arial"/>
                <w:i/>
                <w:sz w:val="20"/>
              </w:rPr>
              <w:t>Mistlin</w:t>
            </w:r>
            <w:r>
              <w:rPr>
                <w:rFonts w:ascii="Arial"/>
                <w:i/>
                <w:spacing w:val="-3"/>
                <w:sz w:val="20"/>
              </w:rPr>
              <w:t> </w:t>
            </w:r>
            <w:r>
              <w:rPr>
                <w:rFonts w:ascii="Arial"/>
                <w:i/>
                <w:sz w:val="20"/>
              </w:rPr>
              <w:t>[1998]</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830,</w:t>
            </w:r>
            <w:r>
              <w:rPr>
                <w:rFonts w:ascii="Arial"/>
                <w:i/>
                <w:spacing w:val="-3"/>
                <w:sz w:val="20"/>
              </w:rPr>
              <w:t> </w:t>
            </w:r>
            <w:r>
              <w:rPr>
                <w:rFonts w:ascii="Arial"/>
                <w:i/>
                <w:sz w:val="20"/>
              </w:rPr>
              <w:t>837</w:t>
            </w:r>
            <w:r>
              <w:rPr>
                <w:sz w:val="20"/>
              </w:rPr>
              <w:t>,</w:t>
            </w:r>
            <w:r>
              <w:rPr>
                <w:spacing w:val="-3"/>
                <w:sz w:val="20"/>
              </w:rPr>
              <w:t> </w:t>
            </w:r>
            <w:r>
              <w:rPr>
                <w:sz w:val="20"/>
              </w:rPr>
              <w:t>per Lord Steyn.</w:t>
            </w:r>
          </w:p>
        </w:tc>
      </w:tr>
      <w:tr>
        <w:trPr>
          <w:trHeight w:val="690" w:hRule="atLeast"/>
        </w:trPr>
        <w:tc>
          <w:tcPr>
            <w:tcW w:w="496" w:type="dxa"/>
          </w:tcPr>
          <w:p>
            <w:pPr>
              <w:pStyle w:val="TableParagraph"/>
              <w:ind w:left="0" w:right="43"/>
              <w:rPr>
                <w:sz w:val="14"/>
              </w:rPr>
            </w:pPr>
            <w:bookmarkStart w:name="_bookmark2286" w:id="2288"/>
            <w:bookmarkEnd w:id="2288"/>
            <w:r>
              <w:rPr/>
            </w:r>
            <w:hyperlink w:history="true" w:anchor="_bookmark2174">
              <w:r>
                <w:rPr>
                  <w:color w:val="005DA1"/>
                  <w:spacing w:val="-2"/>
                  <w:sz w:val="14"/>
                  <w:u w:val="single" w:color="005DA1"/>
                </w:rPr>
                <w:t>1499</w:t>
              </w:r>
            </w:hyperlink>
            <w:r>
              <w:rPr>
                <w:spacing w:val="-2"/>
                <w:sz w:val="14"/>
              </w:rPr>
              <w:t>.</w:t>
            </w:r>
          </w:p>
        </w:tc>
        <w:tc>
          <w:tcPr>
            <w:tcW w:w="8620" w:type="dxa"/>
          </w:tcPr>
          <w:p>
            <w:pPr>
              <w:pStyle w:val="TableParagraph"/>
              <w:spacing w:line="227" w:lineRule="exact" w:before="114"/>
              <w:jc w:val="left"/>
              <w:rPr>
                <w:rFonts w:ascii="Arial"/>
                <w:i/>
                <w:sz w:val="20"/>
              </w:rPr>
            </w:pPr>
            <w:r>
              <w:rPr>
                <w:sz w:val="20"/>
              </w:rPr>
              <w:t>cf.</w:t>
            </w:r>
            <w:r>
              <w:rPr>
                <w:spacing w:val="22"/>
                <w:sz w:val="20"/>
              </w:rPr>
              <w:t> </w:t>
            </w:r>
            <w:r>
              <w:rPr>
                <w:sz w:val="20"/>
              </w:rPr>
              <w:t>the</w:t>
            </w:r>
            <w:r>
              <w:rPr>
                <w:spacing w:val="22"/>
                <w:sz w:val="20"/>
              </w:rPr>
              <w:t> </w:t>
            </w:r>
            <w:r>
              <w:rPr>
                <w:sz w:val="20"/>
              </w:rPr>
              <w:t>approach</w:t>
            </w:r>
            <w:r>
              <w:rPr>
                <w:spacing w:val="22"/>
                <w:sz w:val="20"/>
              </w:rPr>
              <w:t> </w:t>
            </w:r>
            <w:r>
              <w:rPr>
                <w:sz w:val="20"/>
              </w:rPr>
              <w:t>of</w:t>
            </w:r>
            <w:r>
              <w:rPr>
                <w:spacing w:val="22"/>
                <w:sz w:val="20"/>
              </w:rPr>
              <w:t> </w:t>
            </w:r>
            <w:r>
              <w:rPr>
                <w:sz w:val="20"/>
              </w:rPr>
              <w:t>the</w:t>
            </w:r>
            <w:r>
              <w:rPr>
                <w:spacing w:val="22"/>
                <w:sz w:val="20"/>
              </w:rPr>
              <w:t> </w:t>
            </w:r>
            <w:r>
              <w:rPr>
                <w:sz w:val="20"/>
              </w:rPr>
              <w:t>High</w:t>
            </w:r>
            <w:r>
              <w:rPr>
                <w:spacing w:val="22"/>
                <w:sz w:val="20"/>
              </w:rPr>
              <w:t> </w:t>
            </w:r>
            <w:r>
              <w:rPr>
                <w:sz w:val="20"/>
              </w:rPr>
              <w:t>Court</w:t>
            </w:r>
            <w:r>
              <w:rPr>
                <w:spacing w:val="22"/>
                <w:sz w:val="20"/>
              </w:rPr>
              <w:t> </w:t>
            </w:r>
            <w:r>
              <w:rPr>
                <w:sz w:val="20"/>
              </w:rPr>
              <w:t>of</w:t>
            </w:r>
            <w:r>
              <w:rPr>
                <w:spacing w:val="22"/>
                <w:sz w:val="20"/>
              </w:rPr>
              <w:t> </w:t>
            </w:r>
            <w:r>
              <w:rPr>
                <w:sz w:val="20"/>
              </w:rPr>
              <w:t>Australia</w:t>
            </w:r>
            <w:r>
              <w:rPr>
                <w:spacing w:val="22"/>
                <w:sz w:val="20"/>
              </w:rPr>
              <w:t> </w:t>
            </w:r>
            <w:r>
              <w:rPr>
                <w:sz w:val="20"/>
              </w:rPr>
              <w:t>in</w:t>
            </w:r>
            <w:r>
              <w:rPr>
                <w:spacing w:val="21"/>
                <w:sz w:val="20"/>
              </w:rPr>
              <w:t> </w:t>
            </w:r>
            <w:r>
              <w:rPr>
                <w:rFonts w:ascii="Arial"/>
                <w:i/>
                <w:sz w:val="20"/>
              </w:rPr>
              <w:t>R.F.</w:t>
            </w:r>
            <w:r>
              <w:rPr>
                <w:rFonts w:ascii="Arial"/>
                <w:i/>
                <w:spacing w:val="22"/>
                <w:sz w:val="20"/>
              </w:rPr>
              <w:t> </w:t>
            </w:r>
            <w:r>
              <w:rPr>
                <w:rFonts w:ascii="Arial"/>
                <w:i/>
                <w:sz w:val="20"/>
              </w:rPr>
              <w:t>Hill</w:t>
            </w:r>
            <w:r>
              <w:rPr>
                <w:rFonts w:ascii="Arial"/>
                <w:i/>
                <w:spacing w:val="22"/>
                <w:sz w:val="20"/>
              </w:rPr>
              <w:t> </w:t>
            </w:r>
            <w:r>
              <w:rPr>
                <w:rFonts w:ascii="Arial"/>
                <w:i/>
                <w:sz w:val="20"/>
              </w:rPr>
              <w:t>&amp;</w:t>
            </w:r>
            <w:r>
              <w:rPr>
                <w:rFonts w:ascii="Arial"/>
                <w:i/>
                <w:spacing w:val="22"/>
                <w:sz w:val="20"/>
              </w:rPr>
              <w:t> </w:t>
            </w:r>
            <w:r>
              <w:rPr>
                <w:rFonts w:ascii="Arial"/>
                <w:i/>
                <w:sz w:val="20"/>
              </w:rPr>
              <w:t>Associates</w:t>
            </w:r>
            <w:r>
              <w:rPr>
                <w:rFonts w:ascii="Arial"/>
                <w:i/>
                <w:spacing w:val="22"/>
                <w:sz w:val="20"/>
              </w:rPr>
              <w:t> </w:t>
            </w:r>
            <w:r>
              <w:rPr>
                <w:rFonts w:ascii="Arial"/>
                <w:i/>
                <w:sz w:val="20"/>
              </w:rPr>
              <w:t>v</w:t>
            </w:r>
            <w:r>
              <w:rPr>
                <w:rFonts w:ascii="Arial"/>
                <w:i/>
                <w:spacing w:val="22"/>
                <w:sz w:val="20"/>
              </w:rPr>
              <w:t> </w:t>
            </w:r>
            <w:r>
              <w:rPr>
                <w:rFonts w:ascii="Arial"/>
                <w:i/>
                <w:sz w:val="20"/>
              </w:rPr>
              <w:t>Van</w:t>
            </w:r>
            <w:r>
              <w:rPr>
                <w:rFonts w:ascii="Arial"/>
                <w:i/>
                <w:spacing w:val="22"/>
                <w:sz w:val="20"/>
              </w:rPr>
              <w:t> </w:t>
            </w:r>
            <w:r>
              <w:rPr>
                <w:rFonts w:ascii="Arial"/>
                <w:i/>
                <w:sz w:val="20"/>
              </w:rPr>
              <w:t>Erp</w:t>
            </w:r>
            <w:r>
              <w:rPr>
                <w:rFonts w:ascii="Arial"/>
                <w:i/>
                <w:spacing w:val="22"/>
                <w:sz w:val="20"/>
              </w:rPr>
              <w:t> </w:t>
            </w:r>
            <w:r>
              <w:rPr>
                <w:rFonts w:ascii="Arial"/>
                <w:i/>
                <w:sz w:val="20"/>
              </w:rPr>
              <w:t>[1997]</w:t>
            </w:r>
            <w:r>
              <w:rPr>
                <w:rFonts w:ascii="Arial"/>
                <w:i/>
                <w:spacing w:val="22"/>
                <w:sz w:val="20"/>
              </w:rPr>
              <w:t> </w:t>
            </w:r>
            <w:r>
              <w:rPr>
                <w:rFonts w:ascii="Arial"/>
                <w:i/>
                <w:spacing w:val="-5"/>
                <w:sz w:val="20"/>
              </w:rPr>
              <w:t>14</w:t>
            </w:r>
          </w:p>
          <w:p>
            <w:pPr>
              <w:pStyle w:val="TableParagraph"/>
              <w:spacing w:line="227" w:lineRule="exact" w:before="0"/>
              <w:jc w:val="left"/>
              <w:rPr>
                <w:sz w:val="20"/>
              </w:rPr>
            </w:pPr>
            <w:r>
              <w:rPr>
                <w:rFonts w:ascii="Arial"/>
                <w:i/>
                <w:sz w:val="20"/>
              </w:rPr>
              <w:t>A.L.R.</w:t>
            </w:r>
            <w:r>
              <w:rPr>
                <w:rFonts w:ascii="Arial"/>
                <w:i/>
                <w:spacing w:val="-2"/>
                <w:sz w:val="20"/>
              </w:rPr>
              <w:t> </w:t>
            </w:r>
            <w:r>
              <w:rPr>
                <w:rFonts w:ascii="Arial"/>
                <w:i/>
                <w:spacing w:val="-4"/>
                <w:sz w:val="20"/>
              </w:rPr>
              <w:t>687</w:t>
            </w:r>
            <w:r>
              <w:rPr>
                <w:spacing w:val="-4"/>
                <w:sz w:val="20"/>
              </w:rPr>
              <w:t>.</w:t>
            </w:r>
          </w:p>
        </w:tc>
      </w:tr>
      <w:tr>
        <w:trPr>
          <w:trHeight w:val="465" w:hRule="atLeast"/>
        </w:trPr>
        <w:tc>
          <w:tcPr>
            <w:tcW w:w="496" w:type="dxa"/>
          </w:tcPr>
          <w:p>
            <w:pPr>
              <w:pStyle w:val="TableParagraph"/>
              <w:ind w:left="0" w:right="43"/>
              <w:rPr>
                <w:sz w:val="14"/>
              </w:rPr>
            </w:pPr>
            <w:bookmarkStart w:name="_bookmark2287" w:id="2289"/>
            <w:bookmarkEnd w:id="2289"/>
            <w:r>
              <w:rPr/>
            </w:r>
            <w:hyperlink w:history="true" w:anchor="_bookmark2175">
              <w:r>
                <w:rPr>
                  <w:color w:val="005DA1"/>
                  <w:spacing w:val="-2"/>
                  <w:sz w:val="14"/>
                  <w:u w:val="single" w:color="005DA1"/>
                </w:rPr>
                <w:t>1500</w:t>
              </w:r>
            </w:hyperlink>
            <w:r>
              <w:rPr>
                <w:spacing w:val="-2"/>
                <w:sz w:val="14"/>
              </w:rPr>
              <w:t>.</w:t>
            </w:r>
          </w:p>
        </w:tc>
        <w:tc>
          <w:tcPr>
            <w:tcW w:w="8620" w:type="dxa"/>
          </w:tcPr>
          <w:p>
            <w:pPr>
              <w:pStyle w:val="TableParagraph"/>
              <w:spacing w:before="114"/>
              <w:jc w:val="left"/>
              <w:rPr>
                <w:sz w:val="20"/>
              </w:rPr>
            </w:pPr>
            <w:r>
              <w:rPr>
                <w:rFonts w:ascii="Arial"/>
                <w:i/>
                <w:sz w:val="20"/>
              </w:rPr>
              <w:t>[1998]</w:t>
            </w:r>
            <w:r>
              <w:rPr>
                <w:rFonts w:ascii="Arial"/>
                <w:i/>
                <w:spacing w:val="-2"/>
                <w:sz w:val="20"/>
              </w:rPr>
              <w:t> </w:t>
            </w:r>
            <w:r>
              <w:rPr>
                <w:rFonts w:ascii="Arial"/>
                <w:i/>
                <w:sz w:val="20"/>
              </w:rPr>
              <w:t>1 W.L.R. </w:t>
            </w:r>
            <w:r>
              <w:rPr>
                <w:rFonts w:ascii="Arial"/>
                <w:i/>
                <w:spacing w:val="-4"/>
                <w:sz w:val="20"/>
              </w:rPr>
              <w:t>830</w:t>
            </w:r>
            <w:r>
              <w:rPr>
                <w:spacing w:val="-4"/>
                <w:sz w:val="20"/>
              </w:rPr>
              <w:t>.</w:t>
            </w:r>
          </w:p>
        </w:tc>
      </w:tr>
      <w:tr>
        <w:trPr>
          <w:trHeight w:val="465" w:hRule="atLeast"/>
        </w:trPr>
        <w:tc>
          <w:tcPr>
            <w:tcW w:w="496" w:type="dxa"/>
          </w:tcPr>
          <w:p>
            <w:pPr>
              <w:pStyle w:val="TableParagraph"/>
              <w:ind w:left="0" w:right="43"/>
              <w:rPr>
                <w:sz w:val="14"/>
              </w:rPr>
            </w:pPr>
            <w:bookmarkStart w:name="_bookmark2288" w:id="2290"/>
            <w:bookmarkEnd w:id="2290"/>
            <w:r>
              <w:rPr/>
            </w:r>
            <w:hyperlink w:history="true" w:anchor="_bookmark2176">
              <w:r>
                <w:rPr>
                  <w:color w:val="005DA1"/>
                  <w:spacing w:val="-2"/>
                  <w:sz w:val="14"/>
                  <w:u w:val="single" w:color="005DA1"/>
                </w:rPr>
                <w:t>1501</w:t>
              </w:r>
            </w:hyperlink>
            <w:r>
              <w:rPr>
                <w:spacing w:val="-2"/>
                <w:sz w:val="14"/>
              </w:rPr>
              <w:t>.</w:t>
            </w:r>
          </w:p>
        </w:tc>
        <w:tc>
          <w:tcPr>
            <w:tcW w:w="8620" w:type="dxa"/>
          </w:tcPr>
          <w:p>
            <w:pPr>
              <w:pStyle w:val="TableParagraph"/>
              <w:spacing w:before="114"/>
              <w:jc w:val="left"/>
              <w:rPr>
                <w:sz w:val="20"/>
              </w:rPr>
            </w:pPr>
            <w:r>
              <w:rPr>
                <w:rFonts w:ascii="Arial"/>
                <w:i/>
                <w:sz w:val="20"/>
              </w:rPr>
              <w:t>[1998] 1 W.L.R. 830</w:t>
            </w:r>
            <w:r>
              <w:rPr>
                <w:rFonts w:ascii="Arial"/>
                <w:i/>
                <w:spacing w:val="-1"/>
                <w:sz w:val="20"/>
              </w:rPr>
              <w:t> </w:t>
            </w:r>
            <w:r>
              <w:rPr>
                <w:sz w:val="20"/>
              </w:rPr>
              <w:t>at </w:t>
            </w:r>
            <w:r>
              <w:rPr>
                <w:spacing w:val="-4"/>
                <w:sz w:val="20"/>
              </w:rPr>
              <w:t>834.</w:t>
            </w:r>
          </w:p>
        </w:tc>
      </w:tr>
      <w:tr>
        <w:trPr>
          <w:trHeight w:val="465" w:hRule="atLeast"/>
        </w:trPr>
        <w:tc>
          <w:tcPr>
            <w:tcW w:w="496" w:type="dxa"/>
          </w:tcPr>
          <w:p>
            <w:pPr>
              <w:pStyle w:val="TableParagraph"/>
              <w:ind w:left="0" w:right="43"/>
              <w:rPr>
                <w:sz w:val="14"/>
              </w:rPr>
            </w:pPr>
            <w:bookmarkStart w:name="_bookmark2289" w:id="2291"/>
            <w:bookmarkEnd w:id="2291"/>
            <w:r>
              <w:rPr/>
            </w:r>
            <w:hyperlink w:history="true" w:anchor="_bookmark2177">
              <w:r>
                <w:rPr>
                  <w:color w:val="005DA1"/>
                  <w:spacing w:val="-2"/>
                  <w:sz w:val="14"/>
                  <w:u w:val="single" w:color="005DA1"/>
                </w:rPr>
                <w:t>1502</w:t>
              </w:r>
            </w:hyperlink>
            <w:r>
              <w:rPr>
                <w:spacing w:val="-2"/>
                <w:sz w:val="14"/>
              </w:rPr>
              <w:t>.</w:t>
            </w:r>
          </w:p>
        </w:tc>
        <w:tc>
          <w:tcPr>
            <w:tcW w:w="8620" w:type="dxa"/>
          </w:tcPr>
          <w:p>
            <w:pPr>
              <w:pStyle w:val="TableParagraph"/>
              <w:spacing w:before="114"/>
              <w:jc w:val="left"/>
              <w:rPr>
                <w:sz w:val="20"/>
              </w:rPr>
            </w:pPr>
            <w:r>
              <w:rPr>
                <w:rFonts w:ascii="Arial"/>
                <w:i/>
                <w:sz w:val="20"/>
              </w:rPr>
              <w:t>[1998] 1 W.L.R. 830</w:t>
            </w:r>
            <w:r>
              <w:rPr>
                <w:rFonts w:ascii="Arial"/>
                <w:i/>
                <w:spacing w:val="-1"/>
                <w:sz w:val="20"/>
              </w:rPr>
              <w:t> </w:t>
            </w:r>
            <w:r>
              <w:rPr>
                <w:sz w:val="20"/>
              </w:rPr>
              <w:t>at </w:t>
            </w:r>
            <w:r>
              <w:rPr>
                <w:spacing w:val="-4"/>
                <w:sz w:val="20"/>
              </w:rPr>
              <w:t>836.</w:t>
            </w:r>
          </w:p>
        </w:tc>
      </w:tr>
      <w:tr>
        <w:trPr>
          <w:trHeight w:val="465" w:hRule="atLeast"/>
        </w:trPr>
        <w:tc>
          <w:tcPr>
            <w:tcW w:w="496" w:type="dxa"/>
          </w:tcPr>
          <w:p>
            <w:pPr>
              <w:pStyle w:val="TableParagraph"/>
              <w:ind w:left="0" w:right="43"/>
              <w:rPr>
                <w:sz w:val="14"/>
              </w:rPr>
            </w:pPr>
            <w:bookmarkStart w:name="_bookmark2290" w:id="2292"/>
            <w:bookmarkEnd w:id="2292"/>
            <w:r>
              <w:rPr/>
            </w:r>
            <w:hyperlink w:history="true" w:anchor="_bookmark2178">
              <w:r>
                <w:rPr>
                  <w:color w:val="005DA1"/>
                  <w:spacing w:val="-2"/>
                  <w:sz w:val="14"/>
                  <w:u w:val="single" w:color="005DA1"/>
                </w:rPr>
                <w:t>1503</w:t>
              </w:r>
            </w:hyperlink>
            <w:r>
              <w:rPr>
                <w:spacing w:val="-2"/>
                <w:sz w:val="14"/>
              </w:rPr>
              <w:t>.</w:t>
            </w:r>
          </w:p>
        </w:tc>
        <w:tc>
          <w:tcPr>
            <w:tcW w:w="8620" w:type="dxa"/>
          </w:tcPr>
          <w:p>
            <w:pPr>
              <w:pStyle w:val="TableParagraph"/>
              <w:spacing w:before="114"/>
              <w:jc w:val="left"/>
              <w:rPr>
                <w:sz w:val="20"/>
              </w:rPr>
            </w:pPr>
            <w:r>
              <w:rPr>
                <w:rFonts w:ascii="Arial"/>
                <w:i/>
                <w:sz w:val="20"/>
              </w:rPr>
              <w:t>[1998]</w:t>
            </w:r>
            <w:r>
              <w:rPr>
                <w:rFonts w:ascii="Arial"/>
                <w:i/>
                <w:spacing w:val="-2"/>
                <w:sz w:val="20"/>
              </w:rPr>
              <w:t> </w:t>
            </w:r>
            <w:r>
              <w:rPr>
                <w:rFonts w:ascii="Arial"/>
                <w:i/>
                <w:sz w:val="20"/>
              </w:rPr>
              <w:t>1 W.L.R. 830</w:t>
            </w:r>
            <w:r>
              <w:rPr>
                <w:rFonts w:ascii="Arial"/>
                <w:i/>
                <w:spacing w:val="-1"/>
                <w:sz w:val="20"/>
              </w:rPr>
              <w:t> </w:t>
            </w:r>
            <w:r>
              <w:rPr>
                <w:sz w:val="20"/>
              </w:rPr>
              <w:t>at 837-</w:t>
            </w:r>
            <w:r>
              <w:rPr>
                <w:spacing w:val="-4"/>
                <w:sz w:val="20"/>
              </w:rPr>
              <w:t>838.</w:t>
            </w:r>
          </w:p>
        </w:tc>
      </w:tr>
      <w:tr>
        <w:trPr>
          <w:trHeight w:val="465" w:hRule="atLeast"/>
        </w:trPr>
        <w:tc>
          <w:tcPr>
            <w:tcW w:w="496" w:type="dxa"/>
          </w:tcPr>
          <w:p>
            <w:pPr>
              <w:pStyle w:val="TableParagraph"/>
              <w:ind w:left="0" w:right="43"/>
              <w:rPr>
                <w:sz w:val="14"/>
              </w:rPr>
            </w:pPr>
            <w:bookmarkStart w:name="_bookmark2291" w:id="2293"/>
            <w:bookmarkEnd w:id="2293"/>
            <w:r>
              <w:rPr/>
            </w:r>
            <w:hyperlink w:history="true" w:anchor="_bookmark2179">
              <w:r>
                <w:rPr>
                  <w:color w:val="005DA1"/>
                  <w:spacing w:val="-2"/>
                  <w:sz w:val="14"/>
                  <w:u w:val="single" w:color="005DA1"/>
                </w:rPr>
                <w:t>1504</w:t>
              </w:r>
            </w:hyperlink>
            <w:r>
              <w:rPr>
                <w:spacing w:val="-2"/>
                <w:sz w:val="14"/>
              </w:rPr>
              <w:t>.</w:t>
            </w:r>
          </w:p>
        </w:tc>
        <w:tc>
          <w:tcPr>
            <w:tcW w:w="8620" w:type="dxa"/>
          </w:tcPr>
          <w:p>
            <w:pPr>
              <w:pStyle w:val="TableParagraph"/>
              <w:spacing w:before="114"/>
              <w:jc w:val="left"/>
              <w:rPr>
                <w:sz w:val="20"/>
              </w:rPr>
            </w:pPr>
            <w:r>
              <w:rPr>
                <w:rFonts w:ascii="Arial"/>
                <w:i/>
                <w:sz w:val="20"/>
              </w:rPr>
              <w:t>[1998]</w:t>
            </w:r>
            <w:r>
              <w:rPr>
                <w:rFonts w:ascii="Arial"/>
                <w:i/>
                <w:spacing w:val="-2"/>
                <w:sz w:val="20"/>
              </w:rPr>
              <w:t> </w:t>
            </w:r>
            <w:r>
              <w:rPr>
                <w:rFonts w:ascii="Arial"/>
                <w:i/>
                <w:sz w:val="20"/>
              </w:rPr>
              <w:t>1 W.L.R. 830, </w:t>
            </w:r>
            <w:r>
              <w:rPr>
                <w:rFonts w:ascii="Arial"/>
                <w:i/>
                <w:spacing w:val="-4"/>
                <w:sz w:val="20"/>
              </w:rPr>
              <w:t>834</w:t>
            </w:r>
            <w:r>
              <w:rPr>
                <w:spacing w:val="-4"/>
                <w:sz w:val="20"/>
              </w:rPr>
              <w:t>.</w:t>
            </w:r>
          </w:p>
        </w:tc>
      </w:tr>
      <w:tr>
        <w:trPr>
          <w:trHeight w:val="465" w:hRule="atLeast"/>
        </w:trPr>
        <w:tc>
          <w:tcPr>
            <w:tcW w:w="496" w:type="dxa"/>
          </w:tcPr>
          <w:p>
            <w:pPr>
              <w:pStyle w:val="TableParagraph"/>
              <w:ind w:left="0" w:right="43"/>
              <w:rPr>
                <w:sz w:val="14"/>
              </w:rPr>
            </w:pPr>
            <w:bookmarkStart w:name="_bookmark2292" w:id="2294"/>
            <w:bookmarkEnd w:id="2294"/>
            <w:r>
              <w:rPr/>
            </w:r>
            <w:hyperlink w:history="true" w:anchor="_bookmark2180">
              <w:r>
                <w:rPr>
                  <w:color w:val="005DA1"/>
                  <w:spacing w:val="-2"/>
                  <w:sz w:val="14"/>
                  <w:u w:val="single" w:color="005DA1"/>
                </w:rPr>
                <w:t>1505</w:t>
              </w:r>
            </w:hyperlink>
            <w:r>
              <w:rPr>
                <w:spacing w:val="-2"/>
                <w:sz w:val="14"/>
              </w:rPr>
              <w:t>.</w:t>
            </w:r>
          </w:p>
        </w:tc>
        <w:tc>
          <w:tcPr>
            <w:tcW w:w="8620" w:type="dxa"/>
          </w:tcPr>
          <w:p>
            <w:pPr>
              <w:pStyle w:val="TableParagraph"/>
              <w:spacing w:before="114"/>
              <w:jc w:val="left"/>
              <w:rPr>
                <w:sz w:val="20"/>
              </w:rPr>
            </w:pPr>
            <w:r>
              <w:rPr>
                <w:sz w:val="20"/>
              </w:rPr>
              <w:t>See above, para.1-</w:t>
            </w:r>
            <w:r>
              <w:rPr>
                <w:spacing w:val="-4"/>
                <w:sz w:val="20"/>
              </w:rPr>
              <w:t>171.</w:t>
            </w:r>
          </w:p>
        </w:tc>
      </w:tr>
      <w:tr>
        <w:trPr>
          <w:trHeight w:val="465" w:hRule="atLeast"/>
        </w:trPr>
        <w:tc>
          <w:tcPr>
            <w:tcW w:w="496" w:type="dxa"/>
          </w:tcPr>
          <w:p>
            <w:pPr>
              <w:pStyle w:val="TableParagraph"/>
              <w:ind w:left="0" w:right="43"/>
              <w:rPr>
                <w:sz w:val="14"/>
              </w:rPr>
            </w:pPr>
            <w:bookmarkStart w:name="_bookmark2293" w:id="2295"/>
            <w:bookmarkEnd w:id="2295"/>
            <w:r>
              <w:rPr/>
            </w:r>
            <w:hyperlink w:history="true" w:anchor="_bookmark2181">
              <w:r>
                <w:rPr>
                  <w:color w:val="005DA1"/>
                  <w:spacing w:val="-2"/>
                  <w:sz w:val="14"/>
                  <w:u w:val="single" w:color="005DA1"/>
                </w:rPr>
                <w:t>1506</w:t>
              </w:r>
            </w:hyperlink>
            <w:r>
              <w:rPr>
                <w:spacing w:val="-2"/>
                <w:sz w:val="14"/>
              </w:rPr>
              <w:t>.</w:t>
            </w:r>
          </w:p>
        </w:tc>
        <w:tc>
          <w:tcPr>
            <w:tcW w:w="8620" w:type="dxa"/>
          </w:tcPr>
          <w:p>
            <w:pPr>
              <w:pStyle w:val="TableParagraph"/>
              <w:spacing w:before="114"/>
              <w:jc w:val="left"/>
              <w:rPr>
                <w:sz w:val="20"/>
              </w:rPr>
            </w:pPr>
            <w:r>
              <w:rPr>
                <w:rFonts w:ascii="Arial"/>
                <w:i/>
                <w:sz w:val="20"/>
              </w:rPr>
              <w:t>[1996]</w:t>
            </w:r>
            <w:r>
              <w:rPr>
                <w:rFonts w:ascii="Arial"/>
                <w:i/>
                <w:spacing w:val="-2"/>
                <w:sz w:val="20"/>
              </w:rPr>
              <w:t> </w:t>
            </w:r>
            <w:r>
              <w:rPr>
                <w:rFonts w:ascii="Arial"/>
                <w:i/>
                <w:sz w:val="20"/>
              </w:rPr>
              <w:t>1 A.C. </w:t>
            </w:r>
            <w:r>
              <w:rPr>
                <w:rFonts w:ascii="Arial"/>
                <w:i/>
                <w:spacing w:val="-4"/>
                <w:sz w:val="20"/>
              </w:rPr>
              <w:t>211</w:t>
            </w:r>
            <w:r>
              <w:rPr>
                <w:spacing w:val="-4"/>
                <w:sz w:val="20"/>
              </w:rPr>
              <w:t>.</w:t>
            </w:r>
          </w:p>
        </w:tc>
      </w:tr>
      <w:tr>
        <w:trPr>
          <w:trHeight w:val="690" w:hRule="atLeast"/>
        </w:trPr>
        <w:tc>
          <w:tcPr>
            <w:tcW w:w="496" w:type="dxa"/>
          </w:tcPr>
          <w:p>
            <w:pPr>
              <w:pStyle w:val="TableParagraph"/>
              <w:ind w:left="0" w:right="43"/>
              <w:rPr>
                <w:sz w:val="14"/>
              </w:rPr>
            </w:pPr>
            <w:bookmarkStart w:name="_bookmark2294" w:id="2296"/>
            <w:bookmarkEnd w:id="2296"/>
            <w:r>
              <w:rPr/>
            </w:r>
            <w:hyperlink w:history="true" w:anchor="_bookmark2182">
              <w:r>
                <w:rPr>
                  <w:color w:val="005DA1"/>
                  <w:spacing w:val="-2"/>
                  <w:sz w:val="14"/>
                  <w:u w:val="single" w:color="005DA1"/>
                </w:rPr>
                <w:t>1507</w:t>
              </w:r>
            </w:hyperlink>
            <w:r>
              <w:rPr>
                <w:spacing w:val="-2"/>
                <w:sz w:val="14"/>
              </w:rPr>
              <w:t>.</w:t>
            </w:r>
          </w:p>
        </w:tc>
        <w:tc>
          <w:tcPr>
            <w:tcW w:w="8620" w:type="dxa"/>
          </w:tcPr>
          <w:p>
            <w:pPr>
              <w:pStyle w:val="TableParagraph"/>
              <w:spacing w:line="235" w:lineRule="auto" w:before="118"/>
              <w:jc w:val="left"/>
              <w:rPr>
                <w:sz w:val="20"/>
              </w:rPr>
            </w:pPr>
            <w:r>
              <w:rPr>
                <w:sz w:val="20"/>
              </w:rPr>
              <w:t>Lords</w:t>
            </w:r>
            <w:r>
              <w:rPr>
                <w:spacing w:val="40"/>
                <w:sz w:val="20"/>
              </w:rPr>
              <w:t> </w:t>
            </w:r>
            <w:r>
              <w:rPr>
                <w:sz w:val="20"/>
              </w:rPr>
              <w:t>Keith</w:t>
            </w:r>
            <w:r>
              <w:rPr>
                <w:spacing w:val="40"/>
                <w:sz w:val="20"/>
              </w:rPr>
              <w:t> </w:t>
            </w:r>
            <w:r>
              <w:rPr>
                <w:sz w:val="20"/>
              </w:rPr>
              <w:t>of</w:t>
            </w:r>
            <w:r>
              <w:rPr>
                <w:spacing w:val="40"/>
                <w:sz w:val="20"/>
              </w:rPr>
              <w:t> </w:t>
            </w:r>
            <w:r>
              <w:rPr>
                <w:sz w:val="20"/>
              </w:rPr>
              <w:t>Kinkel,</w:t>
            </w:r>
            <w:r>
              <w:rPr>
                <w:spacing w:val="40"/>
                <w:sz w:val="20"/>
              </w:rPr>
              <w:t> </w:t>
            </w:r>
            <w:r>
              <w:rPr>
                <w:sz w:val="20"/>
              </w:rPr>
              <w:t>Jauncey</w:t>
            </w:r>
            <w:r>
              <w:rPr>
                <w:spacing w:val="40"/>
                <w:sz w:val="20"/>
              </w:rPr>
              <w:t> </w:t>
            </w:r>
            <w:r>
              <w:rPr>
                <w:sz w:val="20"/>
              </w:rPr>
              <w:t>of</w:t>
            </w:r>
            <w:r>
              <w:rPr>
                <w:spacing w:val="40"/>
                <w:sz w:val="20"/>
              </w:rPr>
              <w:t> </w:t>
            </w:r>
            <w:r>
              <w:rPr>
                <w:sz w:val="20"/>
              </w:rPr>
              <w:t>Tullichettle</w:t>
            </w:r>
            <w:r>
              <w:rPr>
                <w:spacing w:val="40"/>
                <w:sz w:val="20"/>
              </w:rPr>
              <w:t> </w:t>
            </w:r>
            <w:r>
              <w:rPr>
                <w:sz w:val="20"/>
              </w:rPr>
              <w:t>and</w:t>
            </w:r>
            <w:r>
              <w:rPr>
                <w:spacing w:val="40"/>
                <w:sz w:val="20"/>
              </w:rPr>
              <w:t> </w:t>
            </w:r>
            <w:r>
              <w:rPr>
                <w:sz w:val="20"/>
              </w:rPr>
              <w:t>Browne-Wilkinson</w:t>
            </w:r>
            <w:r>
              <w:rPr>
                <w:spacing w:val="40"/>
                <w:sz w:val="20"/>
              </w:rPr>
              <w:t> </w:t>
            </w:r>
            <w:r>
              <w:rPr>
                <w:sz w:val="20"/>
              </w:rPr>
              <w:t>agreed;</w:t>
            </w:r>
            <w:r>
              <w:rPr>
                <w:spacing w:val="40"/>
                <w:sz w:val="20"/>
              </w:rPr>
              <w:t> </w:t>
            </w:r>
            <w:r>
              <w:rPr>
                <w:sz w:val="20"/>
              </w:rPr>
              <w:t>Lord</w:t>
            </w:r>
            <w:r>
              <w:rPr>
                <w:spacing w:val="40"/>
                <w:sz w:val="20"/>
              </w:rPr>
              <w:t> </w:t>
            </w:r>
            <w:r>
              <w:rPr>
                <w:sz w:val="20"/>
              </w:rPr>
              <w:t>Lloyd</w:t>
            </w:r>
            <w:r>
              <w:rPr>
                <w:spacing w:val="40"/>
                <w:sz w:val="20"/>
              </w:rPr>
              <w:t> </w:t>
            </w:r>
            <w:r>
              <w:rPr>
                <w:sz w:val="20"/>
              </w:rPr>
              <w:t>of Berwick dissented.</w:t>
            </w:r>
          </w:p>
        </w:tc>
      </w:tr>
      <w:tr>
        <w:trPr>
          <w:trHeight w:val="465" w:hRule="atLeast"/>
        </w:trPr>
        <w:tc>
          <w:tcPr>
            <w:tcW w:w="496" w:type="dxa"/>
          </w:tcPr>
          <w:p>
            <w:pPr>
              <w:pStyle w:val="TableParagraph"/>
              <w:ind w:left="0" w:right="43"/>
              <w:rPr>
                <w:sz w:val="14"/>
              </w:rPr>
            </w:pPr>
            <w:bookmarkStart w:name="_bookmark2295" w:id="2297"/>
            <w:bookmarkEnd w:id="2297"/>
            <w:r>
              <w:rPr/>
            </w:r>
            <w:hyperlink w:history="true" w:anchor="_bookmark2183">
              <w:r>
                <w:rPr>
                  <w:color w:val="005DA1"/>
                  <w:spacing w:val="-2"/>
                  <w:sz w:val="14"/>
                  <w:u w:val="single" w:color="005DA1"/>
                </w:rPr>
                <w:t>1508</w:t>
              </w:r>
            </w:hyperlink>
            <w:r>
              <w:rPr>
                <w:spacing w:val="-2"/>
                <w:sz w:val="14"/>
              </w:rPr>
              <w:t>.</w:t>
            </w:r>
          </w:p>
        </w:tc>
        <w:tc>
          <w:tcPr>
            <w:tcW w:w="8620" w:type="dxa"/>
          </w:tcPr>
          <w:p>
            <w:pPr>
              <w:pStyle w:val="TableParagraph"/>
              <w:spacing w:before="114"/>
              <w:jc w:val="left"/>
              <w:rPr>
                <w:sz w:val="20"/>
              </w:rPr>
            </w:pPr>
            <w:r>
              <w:rPr>
                <w:rFonts w:ascii="Arial"/>
                <w:i/>
                <w:sz w:val="20"/>
              </w:rPr>
              <w:t>[1970] A.C. </w:t>
            </w:r>
            <w:r>
              <w:rPr>
                <w:rFonts w:ascii="Arial"/>
                <w:i/>
                <w:spacing w:val="-4"/>
                <w:sz w:val="20"/>
              </w:rPr>
              <w:t>1004</w:t>
            </w:r>
            <w:r>
              <w:rPr>
                <w:spacing w:val="-4"/>
                <w:sz w:val="20"/>
              </w:rPr>
              <w:t>.</w:t>
            </w:r>
          </w:p>
        </w:tc>
      </w:tr>
      <w:tr>
        <w:trPr>
          <w:trHeight w:val="465" w:hRule="atLeast"/>
        </w:trPr>
        <w:tc>
          <w:tcPr>
            <w:tcW w:w="496" w:type="dxa"/>
          </w:tcPr>
          <w:p>
            <w:pPr>
              <w:pStyle w:val="TableParagraph"/>
              <w:ind w:left="0" w:right="43"/>
              <w:rPr>
                <w:sz w:val="14"/>
              </w:rPr>
            </w:pPr>
            <w:bookmarkStart w:name="_bookmark2296" w:id="2298"/>
            <w:bookmarkEnd w:id="2298"/>
            <w:r>
              <w:rPr/>
            </w:r>
            <w:hyperlink w:history="true" w:anchor="_bookmark2184">
              <w:r>
                <w:rPr>
                  <w:color w:val="005DA1"/>
                  <w:spacing w:val="-2"/>
                  <w:sz w:val="14"/>
                  <w:u w:val="single" w:color="005DA1"/>
                </w:rPr>
                <w:t>1509</w:t>
              </w:r>
            </w:hyperlink>
            <w:r>
              <w:rPr>
                <w:spacing w:val="-2"/>
                <w:sz w:val="14"/>
              </w:rPr>
              <w:t>.</w:t>
            </w:r>
          </w:p>
        </w:tc>
        <w:tc>
          <w:tcPr>
            <w:tcW w:w="8620" w:type="dxa"/>
          </w:tcPr>
          <w:p>
            <w:pPr>
              <w:pStyle w:val="TableParagraph"/>
              <w:spacing w:before="114"/>
              <w:jc w:val="left"/>
              <w:rPr>
                <w:sz w:val="20"/>
              </w:rPr>
            </w:pPr>
            <w:r>
              <w:rPr>
                <w:rFonts w:ascii="Arial"/>
                <w:i/>
                <w:sz w:val="20"/>
              </w:rPr>
              <w:t>[1996]</w:t>
            </w:r>
            <w:r>
              <w:rPr>
                <w:rFonts w:ascii="Arial"/>
                <w:i/>
                <w:spacing w:val="-2"/>
                <w:sz w:val="20"/>
              </w:rPr>
              <w:t> </w:t>
            </w:r>
            <w:r>
              <w:rPr>
                <w:rFonts w:ascii="Arial"/>
                <w:i/>
                <w:sz w:val="20"/>
              </w:rPr>
              <w:t>1 A.C. 211, </w:t>
            </w:r>
            <w:r>
              <w:rPr>
                <w:rFonts w:ascii="Arial"/>
                <w:i/>
                <w:spacing w:val="-4"/>
                <w:sz w:val="20"/>
              </w:rPr>
              <w:t>235</w:t>
            </w:r>
            <w:r>
              <w:rPr>
                <w:spacing w:val="-4"/>
                <w:sz w:val="20"/>
              </w:rPr>
              <w:t>.</w:t>
            </w:r>
          </w:p>
        </w:tc>
      </w:tr>
      <w:tr>
        <w:trPr>
          <w:trHeight w:val="465" w:hRule="atLeast"/>
        </w:trPr>
        <w:tc>
          <w:tcPr>
            <w:tcW w:w="496" w:type="dxa"/>
          </w:tcPr>
          <w:p>
            <w:pPr>
              <w:pStyle w:val="TableParagraph"/>
              <w:ind w:left="0" w:right="43"/>
              <w:rPr>
                <w:sz w:val="14"/>
              </w:rPr>
            </w:pPr>
            <w:bookmarkStart w:name="_bookmark2297" w:id="2299"/>
            <w:bookmarkEnd w:id="2299"/>
            <w:r>
              <w:rPr/>
            </w:r>
            <w:hyperlink w:history="true" w:anchor="_bookmark2185">
              <w:r>
                <w:rPr>
                  <w:color w:val="005DA1"/>
                  <w:spacing w:val="-2"/>
                  <w:sz w:val="14"/>
                  <w:u w:val="single" w:color="005DA1"/>
                </w:rPr>
                <w:t>1510</w:t>
              </w:r>
            </w:hyperlink>
            <w:r>
              <w:rPr>
                <w:spacing w:val="-2"/>
                <w:sz w:val="14"/>
              </w:rPr>
              <w:t>.</w:t>
            </w:r>
          </w:p>
        </w:tc>
        <w:tc>
          <w:tcPr>
            <w:tcW w:w="8620" w:type="dxa"/>
          </w:tcPr>
          <w:p>
            <w:pPr>
              <w:pStyle w:val="TableParagraph"/>
              <w:spacing w:before="114"/>
              <w:jc w:val="left"/>
              <w:rPr>
                <w:sz w:val="20"/>
              </w:rPr>
            </w:pPr>
            <w:r>
              <w:rPr>
                <w:rFonts w:ascii="Arial"/>
                <w:i/>
                <w:sz w:val="20"/>
              </w:rPr>
              <w:t>[1996] 1 A.C. 211</w:t>
            </w:r>
            <w:r>
              <w:rPr>
                <w:rFonts w:ascii="Arial"/>
                <w:i/>
                <w:spacing w:val="-1"/>
                <w:sz w:val="20"/>
              </w:rPr>
              <w:t> </w:t>
            </w:r>
            <w:r>
              <w:rPr>
                <w:sz w:val="20"/>
              </w:rPr>
              <w:t>at 237-</w:t>
            </w:r>
            <w:r>
              <w:rPr>
                <w:spacing w:val="-4"/>
                <w:sz w:val="20"/>
              </w:rPr>
              <w:t>238.</w:t>
            </w:r>
          </w:p>
        </w:tc>
      </w:tr>
      <w:tr>
        <w:trPr>
          <w:trHeight w:val="465" w:hRule="atLeast"/>
        </w:trPr>
        <w:tc>
          <w:tcPr>
            <w:tcW w:w="496" w:type="dxa"/>
          </w:tcPr>
          <w:p>
            <w:pPr>
              <w:pStyle w:val="TableParagraph"/>
              <w:ind w:left="0" w:right="43"/>
              <w:rPr>
                <w:sz w:val="14"/>
              </w:rPr>
            </w:pPr>
            <w:bookmarkStart w:name="_bookmark2298" w:id="2300"/>
            <w:bookmarkEnd w:id="2300"/>
            <w:r>
              <w:rPr/>
            </w:r>
            <w:hyperlink w:history="true" w:anchor="_bookmark2186">
              <w:r>
                <w:rPr>
                  <w:color w:val="005DA1"/>
                  <w:spacing w:val="-2"/>
                  <w:sz w:val="14"/>
                  <w:u w:val="single" w:color="005DA1"/>
                </w:rPr>
                <w:t>1511</w:t>
              </w:r>
            </w:hyperlink>
            <w:r>
              <w:rPr>
                <w:spacing w:val="-2"/>
                <w:sz w:val="14"/>
              </w:rPr>
              <w:t>.</w:t>
            </w:r>
          </w:p>
        </w:tc>
        <w:tc>
          <w:tcPr>
            <w:tcW w:w="8620" w:type="dxa"/>
          </w:tcPr>
          <w:p>
            <w:pPr>
              <w:pStyle w:val="TableParagraph"/>
              <w:spacing w:before="114"/>
              <w:jc w:val="left"/>
              <w:rPr>
                <w:sz w:val="20"/>
              </w:rPr>
            </w:pPr>
            <w:r>
              <w:rPr>
                <w:rFonts w:ascii="Arial"/>
                <w:i/>
                <w:sz w:val="20"/>
              </w:rPr>
              <w:t>[1996]</w:t>
            </w:r>
            <w:r>
              <w:rPr>
                <w:rFonts w:ascii="Arial"/>
                <w:i/>
                <w:spacing w:val="-2"/>
                <w:sz w:val="20"/>
              </w:rPr>
              <w:t> </w:t>
            </w:r>
            <w:r>
              <w:rPr>
                <w:rFonts w:ascii="Arial"/>
                <w:i/>
                <w:sz w:val="20"/>
              </w:rPr>
              <w:t>1 A.C. 211, </w:t>
            </w:r>
            <w:r>
              <w:rPr>
                <w:rFonts w:ascii="Arial"/>
                <w:i/>
                <w:spacing w:val="-4"/>
                <w:sz w:val="20"/>
              </w:rPr>
              <w:t>239</w:t>
            </w:r>
            <w:r>
              <w:rPr>
                <w:spacing w:val="-4"/>
                <w:sz w:val="20"/>
              </w:rPr>
              <w:t>.</w:t>
            </w:r>
          </w:p>
        </w:tc>
      </w:tr>
      <w:tr>
        <w:trPr>
          <w:trHeight w:val="794" w:hRule="atLeast"/>
        </w:trPr>
        <w:tc>
          <w:tcPr>
            <w:tcW w:w="496" w:type="dxa"/>
          </w:tcPr>
          <w:p>
            <w:pPr>
              <w:pStyle w:val="TableParagraph"/>
              <w:ind w:left="0" w:right="43"/>
              <w:rPr>
                <w:sz w:val="14"/>
              </w:rPr>
            </w:pPr>
            <w:bookmarkStart w:name="_bookmark2299" w:id="2301"/>
            <w:bookmarkEnd w:id="2301"/>
            <w:r>
              <w:rPr/>
            </w:r>
            <w:hyperlink w:history="true" w:anchor="_bookmark2187">
              <w:r>
                <w:rPr>
                  <w:color w:val="005DA1"/>
                  <w:spacing w:val="-2"/>
                  <w:sz w:val="14"/>
                  <w:u w:val="single" w:color="005DA1"/>
                </w:rPr>
                <w:t>1512</w:t>
              </w:r>
            </w:hyperlink>
            <w:r>
              <w:rPr>
                <w:spacing w:val="-2"/>
                <w:sz w:val="14"/>
              </w:rPr>
              <w:t>.</w:t>
            </w:r>
          </w:p>
        </w:tc>
        <w:tc>
          <w:tcPr>
            <w:tcW w:w="8620" w:type="dxa"/>
          </w:tcPr>
          <w:p>
            <w:pPr>
              <w:pStyle w:val="TableParagraph"/>
              <w:spacing w:line="235" w:lineRule="auto" w:before="118"/>
              <w:jc w:val="left"/>
              <w:rPr>
                <w:rFonts w:ascii="Arial"/>
                <w:i/>
                <w:sz w:val="20"/>
              </w:rPr>
            </w:pPr>
            <w:r>
              <w:rPr>
                <w:sz w:val="20"/>
              </w:rPr>
              <w:t>See</w:t>
            </w:r>
            <w:r>
              <w:rPr>
                <w:spacing w:val="24"/>
                <w:sz w:val="20"/>
              </w:rPr>
              <w:t> </w:t>
            </w:r>
            <w:r>
              <w:rPr>
                <w:sz w:val="20"/>
              </w:rPr>
              <w:t>similarly</w:t>
            </w:r>
            <w:r>
              <w:rPr>
                <w:spacing w:val="24"/>
                <w:sz w:val="20"/>
              </w:rPr>
              <w:t> </w:t>
            </w:r>
            <w:r>
              <w:rPr>
                <w:rFonts w:ascii="Arial"/>
                <w:i/>
                <w:sz w:val="20"/>
              </w:rPr>
              <w:t>Norwich</w:t>
            </w:r>
            <w:r>
              <w:rPr>
                <w:rFonts w:ascii="Arial"/>
                <w:i/>
                <w:spacing w:val="24"/>
                <w:sz w:val="20"/>
              </w:rPr>
              <w:t> </w:t>
            </w:r>
            <w:r>
              <w:rPr>
                <w:rFonts w:ascii="Arial"/>
                <w:i/>
                <w:sz w:val="20"/>
              </w:rPr>
              <w:t>City</w:t>
            </w:r>
            <w:r>
              <w:rPr>
                <w:rFonts w:ascii="Arial"/>
                <w:i/>
                <w:spacing w:val="24"/>
                <w:sz w:val="20"/>
              </w:rPr>
              <w:t> </w:t>
            </w:r>
            <w:r>
              <w:rPr>
                <w:rFonts w:ascii="Arial"/>
                <w:i/>
                <w:sz w:val="20"/>
              </w:rPr>
              <w:t>Council</w:t>
            </w:r>
            <w:r>
              <w:rPr>
                <w:rFonts w:ascii="Arial"/>
                <w:i/>
                <w:spacing w:val="24"/>
                <w:sz w:val="20"/>
              </w:rPr>
              <w:t> </w:t>
            </w:r>
            <w:r>
              <w:rPr>
                <w:rFonts w:ascii="Arial"/>
                <w:i/>
                <w:sz w:val="20"/>
              </w:rPr>
              <w:t>v</w:t>
            </w:r>
            <w:r>
              <w:rPr>
                <w:rFonts w:ascii="Arial"/>
                <w:i/>
                <w:spacing w:val="24"/>
                <w:sz w:val="20"/>
              </w:rPr>
              <w:t> </w:t>
            </w:r>
            <w:r>
              <w:rPr>
                <w:rFonts w:ascii="Arial"/>
                <w:i/>
                <w:sz w:val="20"/>
              </w:rPr>
              <w:t>Harvey</w:t>
            </w:r>
            <w:r>
              <w:rPr>
                <w:rFonts w:ascii="Arial"/>
                <w:i/>
                <w:spacing w:val="24"/>
                <w:sz w:val="20"/>
              </w:rPr>
              <w:t> </w:t>
            </w:r>
            <w:r>
              <w:rPr>
                <w:rFonts w:ascii="Arial"/>
                <w:i/>
                <w:sz w:val="20"/>
              </w:rPr>
              <w:t>[1989]</w:t>
            </w:r>
            <w:r>
              <w:rPr>
                <w:rFonts w:ascii="Arial"/>
                <w:i/>
                <w:spacing w:val="24"/>
                <w:sz w:val="20"/>
              </w:rPr>
              <w:t> </w:t>
            </w:r>
            <w:r>
              <w:rPr>
                <w:rFonts w:ascii="Arial"/>
                <w:i/>
                <w:sz w:val="20"/>
              </w:rPr>
              <w:t>1</w:t>
            </w:r>
            <w:r>
              <w:rPr>
                <w:rFonts w:ascii="Arial"/>
                <w:i/>
                <w:spacing w:val="24"/>
                <w:sz w:val="20"/>
              </w:rPr>
              <w:t> </w:t>
            </w:r>
            <w:r>
              <w:rPr>
                <w:rFonts w:ascii="Arial"/>
                <w:i/>
                <w:sz w:val="20"/>
              </w:rPr>
              <w:t>W.L.R.</w:t>
            </w:r>
            <w:r>
              <w:rPr>
                <w:rFonts w:ascii="Arial"/>
                <w:i/>
                <w:spacing w:val="24"/>
                <w:sz w:val="20"/>
              </w:rPr>
              <w:t> </w:t>
            </w:r>
            <w:r>
              <w:rPr>
                <w:rFonts w:ascii="Arial"/>
                <w:i/>
                <w:sz w:val="20"/>
              </w:rPr>
              <w:t>828</w:t>
            </w:r>
            <w:r>
              <w:rPr>
                <w:sz w:val="20"/>
              </w:rPr>
              <w:t>,</w:t>
            </w:r>
            <w:r>
              <w:rPr>
                <w:spacing w:val="24"/>
                <w:sz w:val="20"/>
              </w:rPr>
              <w:t> </w:t>
            </w:r>
            <w:r>
              <w:rPr>
                <w:sz w:val="20"/>
              </w:rPr>
              <w:t>below</w:t>
            </w:r>
            <w:r>
              <w:rPr>
                <w:spacing w:val="24"/>
                <w:sz w:val="20"/>
              </w:rPr>
              <w:t> </w:t>
            </w:r>
            <w:r>
              <w:rPr>
                <w:sz w:val="20"/>
              </w:rPr>
              <w:t>para.1-218;</w:t>
            </w:r>
            <w:r>
              <w:rPr>
                <w:spacing w:val="24"/>
                <w:sz w:val="20"/>
              </w:rPr>
              <w:t> </w:t>
            </w:r>
            <w:r>
              <w:rPr>
                <w:rFonts w:ascii="Arial"/>
                <w:i/>
                <w:sz w:val="20"/>
              </w:rPr>
              <w:t>John</w:t>
            </w:r>
            <w:r>
              <w:rPr>
                <w:rFonts w:ascii="Arial"/>
                <w:i/>
                <w:spacing w:val="24"/>
                <w:sz w:val="20"/>
              </w:rPr>
              <w:t> </w:t>
            </w:r>
            <w:r>
              <w:rPr>
                <w:rFonts w:ascii="Arial"/>
                <w:i/>
                <w:sz w:val="20"/>
              </w:rPr>
              <w:t>F Hunt</w:t>
            </w:r>
            <w:r>
              <w:rPr>
                <w:rFonts w:ascii="Arial"/>
                <w:i/>
                <w:spacing w:val="10"/>
                <w:sz w:val="20"/>
              </w:rPr>
              <w:t> </w:t>
            </w:r>
            <w:r>
              <w:rPr>
                <w:rFonts w:ascii="Arial"/>
                <w:i/>
                <w:sz w:val="20"/>
              </w:rPr>
              <w:t>Demolition</w:t>
            </w:r>
            <w:r>
              <w:rPr>
                <w:rFonts w:ascii="Arial"/>
                <w:i/>
                <w:spacing w:val="10"/>
                <w:sz w:val="20"/>
              </w:rPr>
              <w:t> </w:t>
            </w:r>
            <w:r>
              <w:rPr>
                <w:rFonts w:ascii="Arial"/>
                <w:i/>
                <w:sz w:val="20"/>
              </w:rPr>
              <w:t>Ltd</w:t>
            </w:r>
            <w:r>
              <w:rPr>
                <w:rFonts w:ascii="Arial"/>
                <w:i/>
                <w:spacing w:val="10"/>
                <w:sz w:val="20"/>
              </w:rPr>
              <w:t> </w:t>
            </w:r>
            <w:r>
              <w:rPr>
                <w:rFonts w:ascii="Arial"/>
                <w:i/>
                <w:sz w:val="20"/>
              </w:rPr>
              <w:t>v</w:t>
            </w:r>
            <w:r>
              <w:rPr>
                <w:rFonts w:ascii="Arial"/>
                <w:i/>
                <w:spacing w:val="10"/>
                <w:sz w:val="20"/>
              </w:rPr>
              <w:t> </w:t>
            </w:r>
            <w:r>
              <w:rPr>
                <w:rFonts w:ascii="Arial"/>
                <w:i/>
                <w:sz w:val="20"/>
              </w:rPr>
              <w:t>ASME</w:t>
            </w:r>
            <w:r>
              <w:rPr>
                <w:rFonts w:ascii="Arial"/>
                <w:i/>
                <w:spacing w:val="10"/>
                <w:sz w:val="20"/>
              </w:rPr>
              <w:t> </w:t>
            </w:r>
            <w:r>
              <w:rPr>
                <w:rFonts w:ascii="Arial"/>
                <w:i/>
                <w:sz w:val="20"/>
              </w:rPr>
              <w:t>Engineering</w:t>
            </w:r>
            <w:r>
              <w:rPr>
                <w:rFonts w:ascii="Arial"/>
                <w:i/>
                <w:spacing w:val="10"/>
                <w:sz w:val="20"/>
              </w:rPr>
              <w:t> </w:t>
            </w:r>
            <w:r>
              <w:rPr>
                <w:rFonts w:ascii="Arial"/>
                <w:i/>
                <w:sz w:val="20"/>
              </w:rPr>
              <w:t>Ltd</w:t>
            </w:r>
            <w:r>
              <w:rPr>
                <w:rFonts w:ascii="Arial"/>
                <w:i/>
                <w:spacing w:val="10"/>
                <w:sz w:val="20"/>
              </w:rPr>
              <w:t> </w:t>
            </w:r>
            <w:r>
              <w:rPr>
                <w:rFonts w:ascii="Arial"/>
                <w:i/>
                <w:sz w:val="20"/>
              </w:rPr>
              <w:t>[2007]</w:t>
            </w:r>
            <w:r>
              <w:rPr>
                <w:rFonts w:ascii="Arial"/>
                <w:i/>
                <w:spacing w:val="10"/>
                <w:sz w:val="20"/>
              </w:rPr>
              <w:t> </w:t>
            </w:r>
            <w:r>
              <w:rPr>
                <w:rFonts w:ascii="Arial"/>
                <w:i/>
                <w:sz w:val="20"/>
              </w:rPr>
              <w:t>EWHC</w:t>
            </w:r>
            <w:r>
              <w:rPr>
                <w:rFonts w:ascii="Arial"/>
                <w:i/>
                <w:spacing w:val="10"/>
                <w:sz w:val="20"/>
              </w:rPr>
              <w:t> </w:t>
            </w:r>
            <w:r>
              <w:rPr>
                <w:rFonts w:ascii="Arial"/>
                <w:i/>
                <w:sz w:val="20"/>
              </w:rPr>
              <w:t>1507</w:t>
            </w:r>
            <w:r>
              <w:rPr>
                <w:rFonts w:ascii="Arial"/>
                <w:i/>
                <w:spacing w:val="10"/>
                <w:sz w:val="20"/>
              </w:rPr>
              <w:t> </w:t>
            </w:r>
            <w:r>
              <w:rPr>
                <w:rFonts w:ascii="Arial"/>
                <w:i/>
                <w:sz w:val="20"/>
              </w:rPr>
              <w:t>(TCC),</w:t>
            </w:r>
            <w:r>
              <w:rPr>
                <w:rFonts w:ascii="Arial"/>
                <w:i/>
                <w:spacing w:val="10"/>
                <w:sz w:val="20"/>
              </w:rPr>
              <w:t> </w:t>
            </w:r>
            <w:r>
              <w:rPr>
                <w:rFonts w:ascii="Arial"/>
                <w:i/>
                <w:sz w:val="20"/>
              </w:rPr>
              <w:t>[2008]</w:t>
            </w:r>
            <w:r>
              <w:rPr>
                <w:rFonts w:ascii="Arial"/>
                <w:i/>
                <w:spacing w:val="10"/>
                <w:sz w:val="20"/>
              </w:rPr>
              <w:t> </w:t>
            </w:r>
            <w:r>
              <w:rPr>
                <w:rFonts w:ascii="Arial"/>
                <w:i/>
                <w:sz w:val="20"/>
              </w:rPr>
              <w:t>1</w:t>
            </w:r>
            <w:r>
              <w:rPr>
                <w:rFonts w:ascii="Arial"/>
                <w:i/>
                <w:spacing w:val="10"/>
                <w:sz w:val="20"/>
              </w:rPr>
              <w:t> </w:t>
            </w:r>
            <w:r>
              <w:rPr>
                <w:rFonts w:ascii="Arial"/>
                <w:i/>
                <w:sz w:val="20"/>
              </w:rPr>
              <w:t>All</w:t>
            </w:r>
            <w:r>
              <w:rPr>
                <w:rFonts w:ascii="Arial"/>
                <w:i/>
                <w:spacing w:val="10"/>
                <w:sz w:val="20"/>
              </w:rPr>
              <w:t> </w:t>
            </w:r>
            <w:r>
              <w:rPr>
                <w:rFonts w:ascii="Arial"/>
                <w:i/>
                <w:sz w:val="20"/>
              </w:rPr>
              <w:t>E.R.</w:t>
            </w:r>
            <w:r>
              <w:rPr>
                <w:rFonts w:ascii="Arial"/>
                <w:i/>
                <w:spacing w:val="10"/>
                <w:sz w:val="20"/>
              </w:rPr>
              <w:t> </w:t>
            </w:r>
            <w:r>
              <w:rPr>
                <w:rFonts w:ascii="Arial"/>
                <w:i/>
                <w:spacing w:val="-5"/>
                <w:sz w:val="20"/>
              </w:rPr>
              <w:t>180</w:t>
            </w:r>
          </w:p>
          <w:p>
            <w:pPr>
              <w:pStyle w:val="TableParagraph"/>
              <w:spacing w:line="205" w:lineRule="exact" w:before="0"/>
              <w:jc w:val="left"/>
              <w:rPr>
                <w:sz w:val="20"/>
              </w:rPr>
            </w:pPr>
            <w:r>
              <w:rPr>
                <w:sz w:val="20"/>
              </w:rPr>
              <w:t>at </w:t>
            </w:r>
            <w:r>
              <w:rPr>
                <w:spacing w:val="-2"/>
                <w:sz w:val="20"/>
              </w:rPr>
              <w:t>[38]–[42].</w:t>
            </w:r>
          </w:p>
        </w:tc>
      </w:tr>
    </w:tbl>
    <w:p>
      <w:pPr>
        <w:pStyle w:val="BodyText"/>
        <w:spacing w:before="81"/>
        <w:rPr>
          <w:sz w:val="14"/>
        </w:rPr>
      </w:pPr>
    </w:p>
    <w:p>
      <w:pPr>
        <w:spacing w:line="137" w:lineRule="exact" w:before="0"/>
        <w:ind w:left="165" w:right="0" w:firstLine="0"/>
        <w:jc w:val="left"/>
        <w:rPr>
          <w:sz w:val="14"/>
        </w:rPr>
      </w:pPr>
      <w:bookmarkStart w:name="_bookmark2300" w:id="2302"/>
      <w:bookmarkEnd w:id="2302"/>
      <w:r>
        <w:rPr/>
      </w:r>
      <w:hyperlink w:history="true" w:anchor="_bookmark2188">
        <w:r>
          <w:rPr>
            <w:color w:val="005DA1"/>
            <w:spacing w:val="-2"/>
            <w:sz w:val="14"/>
            <w:u w:val="single" w:color="005DA1"/>
          </w:rPr>
          <w:t>1513</w:t>
        </w:r>
      </w:hyperlink>
      <w:r>
        <w:rPr>
          <w:spacing w:val="-2"/>
          <w:sz w:val="14"/>
        </w:rPr>
        <w:t>.</w:t>
      </w:r>
    </w:p>
    <w:p>
      <w:pPr>
        <w:spacing w:line="203" w:lineRule="exact" w:before="0"/>
        <w:ind w:left="875" w:right="0" w:firstLine="0"/>
        <w:jc w:val="both"/>
        <w:rPr>
          <w:rFonts w:ascii="Arial"/>
          <w:i/>
          <w:sz w:val="20"/>
        </w:rPr>
      </w:pPr>
      <w:r>
        <w:rPr>
          <w:rFonts w:ascii="Arial"/>
          <w:i/>
          <w:sz w:val="20"/>
        </w:rPr>
        <w:drawing>
          <wp:anchor distT="0" distB="0" distL="0" distR="0" allowOverlap="1" layoutInCell="1" locked="0" behindDoc="0" simplePos="0" relativeHeight="15841280">
            <wp:simplePos x="0" y="0"/>
            <wp:positionH relativeFrom="page">
              <wp:posOffset>1257846</wp:posOffset>
            </wp:positionH>
            <wp:positionV relativeFrom="paragraph">
              <wp:posOffset>13064</wp:posOffset>
            </wp:positionV>
            <wp:extent cx="107988" cy="107988"/>
            <wp:effectExtent l="0" t="0" r="0" b="0"/>
            <wp:wrapNone/>
            <wp:docPr id="562" name="Image 562"/>
            <wp:cNvGraphicFramePr>
              <a:graphicFrameLocks/>
            </wp:cNvGraphicFramePr>
            <a:graphic>
              <a:graphicData uri="http://schemas.openxmlformats.org/drawingml/2006/picture">
                <pic:pic>
                  <pic:nvPicPr>
                    <pic:cNvPr id="562" name="Image 562"/>
                    <pic:cNvPicPr/>
                  </pic:nvPicPr>
                  <pic:blipFill>
                    <a:blip r:embed="rId6" cstate="print"/>
                    <a:stretch>
                      <a:fillRect/>
                    </a:stretch>
                  </pic:blipFill>
                  <pic:spPr>
                    <a:xfrm>
                      <a:off x="0" y="0"/>
                      <a:ext cx="107988" cy="107988"/>
                    </a:xfrm>
                    <a:prstGeom prst="rect">
                      <a:avLst/>
                    </a:prstGeom>
                  </pic:spPr>
                </pic:pic>
              </a:graphicData>
            </a:graphic>
          </wp:anchor>
        </w:drawing>
      </w:r>
      <w:r>
        <w:rPr>
          <w:sz w:val="20"/>
        </w:rPr>
        <w:t>These</w:t>
      </w:r>
      <w:r>
        <w:rPr>
          <w:spacing w:val="14"/>
          <w:sz w:val="20"/>
        </w:rPr>
        <w:t> </w:t>
      </w:r>
      <w:r>
        <w:rPr>
          <w:sz w:val="20"/>
        </w:rPr>
        <w:t>include</w:t>
      </w:r>
      <w:r>
        <w:rPr>
          <w:spacing w:val="15"/>
          <w:sz w:val="20"/>
        </w:rPr>
        <w:t> </w:t>
      </w:r>
      <w:r>
        <w:rPr>
          <w:rFonts w:ascii="Arial"/>
          <w:i/>
          <w:sz w:val="20"/>
        </w:rPr>
        <w:t>Siddell</w:t>
      </w:r>
      <w:r>
        <w:rPr>
          <w:rFonts w:ascii="Arial"/>
          <w:i/>
          <w:spacing w:val="15"/>
          <w:sz w:val="20"/>
        </w:rPr>
        <w:t> </w:t>
      </w:r>
      <w:r>
        <w:rPr>
          <w:rFonts w:ascii="Arial"/>
          <w:i/>
          <w:sz w:val="20"/>
        </w:rPr>
        <w:t>v</w:t>
      </w:r>
      <w:r>
        <w:rPr>
          <w:rFonts w:ascii="Arial"/>
          <w:i/>
          <w:spacing w:val="15"/>
          <w:sz w:val="20"/>
        </w:rPr>
        <w:t> </w:t>
      </w:r>
      <w:r>
        <w:rPr>
          <w:rFonts w:ascii="Arial"/>
          <w:i/>
          <w:sz w:val="20"/>
        </w:rPr>
        <w:t>Smith</w:t>
      </w:r>
      <w:r>
        <w:rPr>
          <w:rFonts w:ascii="Arial"/>
          <w:i/>
          <w:spacing w:val="15"/>
          <w:sz w:val="20"/>
        </w:rPr>
        <w:t> </w:t>
      </w:r>
      <w:r>
        <w:rPr>
          <w:rFonts w:ascii="Arial"/>
          <w:i/>
          <w:sz w:val="20"/>
        </w:rPr>
        <w:t>Cooper</w:t>
      </w:r>
      <w:r>
        <w:rPr>
          <w:rFonts w:ascii="Arial"/>
          <w:i/>
          <w:spacing w:val="15"/>
          <w:sz w:val="20"/>
        </w:rPr>
        <w:t> </w:t>
      </w:r>
      <w:r>
        <w:rPr>
          <w:rFonts w:ascii="Arial"/>
          <w:i/>
          <w:sz w:val="20"/>
        </w:rPr>
        <w:t>&amp;</w:t>
      </w:r>
      <w:r>
        <w:rPr>
          <w:rFonts w:ascii="Arial"/>
          <w:i/>
          <w:spacing w:val="15"/>
          <w:sz w:val="20"/>
        </w:rPr>
        <w:t> </w:t>
      </w:r>
      <w:r>
        <w:rPr>
          <w:rFonts w:ascii="Arial"/>
          <w:i/>
          <w:sz w:val="20"/>
        </w:rPr>
        <w:t>Partners</w:t>
      </w:r>
      <w:r>
        <w:rPr>
          <w:rFonts w:ascii="Arial"/>
          <w:i/>
          <w:spacing w:val="15"/>
          <w:sz w:val="20"/>
        </w:rPr>
        <w:t> </w:t>
      </w:r>
      <w:r>
        <w:rPr>
          <w:rFonts w:ascii="Arial"/>
          <w:i/>
          <w:sz w:val="20"/>
        </w:rPr>
        <w:t>[1999]</w:t>
      </w:r>
      <w:r>
        <w:rPr>
          <w:rFonts w:ascii="Arial"/>
          <w:i/>
          <w:spacing w:val="15"/>
          <w:sz w:val="20"/>
        </w:rPr>
        <w:t> </w:t>
      </w:r>
      <w:r>
        <w:rPr>
          <w:rFonts w:ascii="Arial"/>
          <w:i/>
          <w:sz w:val="20"/>
        </w:rPr>
        <w:t>P.N.L.R.</w:t>
      </w:r>
      <w:r>
        <w:rPr>
          <w:rFonts w:ascii="Arial"/>
          <w:i/>
          <w:spacing w:val="15"/>
          <w:sz w:val="20"/>
        </w:rPr>
        <w:t> </w:t>
      </w:r>
      <w:r>
        <w:rPr>
          <w:rFonts w:ascii="Arial"/>
          <w:i/>
          <w:sz w:val="20"/>
        </w:rPr>
        <w:t>511</w:t>
      </w:r>
      <w:r>
        <w:rPr>
          <w:sz w:val="20"/>
        </w:rPr>
        <w:t>;</w:t>
      </w:r>
      <w:r>
        <w:rPr>
          <w:spacing w:val="15"/>
          <w:sz w:val="20"/>
        </w:rPr>
        <w:t> </w:t>
      </w:r>
      <w:r>
        <w:rPr>
          <w:rFonts w:ascii="Arial"/>
          <w:i/>
          <w:sz w:val="20"/>
        </w:rPr>
        <w:t>Barex</w:t>
      </w:r>
      <w:r>
        <w:rPr>
          <w:rFonts w:ascii="Arial"/>
          <w:i/>
          <w:spacing w:val="15"/>
          <w:sz w:val="20"/>
        </w:rPr>
        <w:t> </w:t>
      </w:r>
      <w:r>
        <w:rPr>
          <w:rFonts w:ascii="Arial"/>
          <w:i/>
          <w:sz w:val="20"/>
        </w:rPr>
        <w:t>Brothers</w:t>
      </w:r>
      <w:r>
        <w:rPr>
          <w:rFonts w:ascii="Arial"/>
          <w:i/>
          <w:spacing w:val="15"/>
          <w:sz w:val="20"/>
        </w:rPr>
        <w:t> </w:t>
      </w:r>
      <w:r>
        <w:rPr>
          <w:rFonts w:ascii="Arial"/>
          <w:i/>
          <w:sz w:val="20"/>
        </w:rPr>
        <w:t>Ltd</w:t>
      </w:r>
      <w:r>
        <w:rPr>
          <w:rFonts w:ascii="Arial"/>
          <w:i/>
          <w:spacing w:val="15"/>
          <w:sz w:val="20"/>
        </w:rPr>
        <w:t> </w:t>
      </w:r>
      <w:r>
        <w:rPr>
          <w:rFonts w:ascii="Arial"/>
          <w:i/>
          <w:spacing w:val="-10"/>
          <w:sz w:val="20"/>
        </w:rPr>
        <w:t>v</w:t>
      </w:r>
    </w:p>
    <w:p>
      <w:pPr>
        <w:spacing w:line="235" w:lineRule="auto" w:before="2"/>
        <w:ind w:left="705" w:right="168" w:firstLine="0"/>
        <w:jc w:val="both"/>
        <w:rPr>
          <w:rFonts w:ascii="Arial" w:hAnsi="Arial"/>
          <w:i/>
          <w:sz w:val="20"/>
        </w:rPr>
      </w:pPr>
      <w:r>
        <w:rPr>
          <w:rFonts w:ascii="Arial" w:hAnsi="Arial"/>
          <w:i/>
          <w:sz w:val="20"/>
        </w:rPr>
        <w:t>Morris Dean &amp; Co [1999] P.N.L.R. 344, 349</w:t>
      </w:r>
      <w:r>
        <w:rPr>
          <w:sz w:val="20"/>
        </w:rPr>
        <w:t>; </w:t>
      </w:r>
      <w:r>
        <w:rPr>
          <w:rFonts w:ascii="Arial" w:hAnsi="Arial"/>
          <w:i/>
          <w:sz w:val="20"/>
        </w:rPr>
        <w:t>A.J. Fabrication (Batley) Ltd v Grant Thornton [1999]</w:t>
      </w:r>
      <w:r>
        <w:rPr>
          <w:rFonts w:ascii="Arial" w:hAnsi="Arial"/>
          <w:i/>
          <w:spacing w:val="3"/>
          <w:sz w:val="20"/>
        </w:rPr>
        <w:t> </w:t>
      </w:r>
      <w:r>
        <w:rPr>
          <w:rFonts w:ascii="Arial" w:hAnsi="Arial"/>
          <w:i/>
          <w:sz w:val="20"/>
        </w:rPr>
        <w:t>B.C.C.</w:t>
      </w:r>
      <w:r>
        <w:rPr>
          <w:rFonts w:ascii="Arial" w:hAnsi="Arial"/>
          <w:i/>
          <w:spacing w:val="4"/>
          <w:sz w:val="20"/>
        </w:rPr>
        <w:t> </w:t>
      </w:r>
      <w:r>
        <w:rPr>
          <w:rFonts w:ascii="Arial" w:hAnsi="Arial"/>
          <w:i/>
          <w:sz w:val="20"/>
        </w:rPr>
        <w:t>807</w:t>
      </w:r>
      <w:r>
        <w:rPr>
          <w:sz w:val="20"/>
        </w:rPr>
        <w:t>;</w:t>
      </w:r>
      <w:r>
        <w:rPr>
          <w:spacing w:val="4"/>
          <w:sz w:val="20"/>
        </w:rPr>
        <w:t> </w:t>
      </w:r>
      <w:r>
        <w:rPr>
          <w:rFonts w:ascii="Arial" w:hAnsi="Arial"/>
          <w:i/>
          <w:sz w:val="20"/>
        </w:rPr>
        <w:t>Electra</w:t>
      </w:r>
      <w:r>
        <w:rPr>
          <w:rFonts w:ascii="Arial" w:hAnsi="Arial"/>
          <w:i/>
          <w:spacing w:val="4"/>
          <w:sz w:val="20"/>
        </w:rPr>
        <w:t> </w:t>
      </w:r>
      <w:r>
        <w:rPr>
          <w:rFonts w:ascii="Arial" w:hAnsi="Arial"/>
          <w:i/>
          <w:sz w:val="20"/>
        </w:rPr>
        <w:t>Private</w:t>
      </w:r>
      <w:r>
        <w:rPr>
          <w:rFonts w:ascii="Arial" w:hAnsi="Arial"/>
          <w:i/>
          <w:spacing w:val="4"/>
          <w:sz w:val="20"/>
        </w:rPr>
        <w:t> </w:t>
      </w:r>
      <w:r>
        <w:rPr>
          <w:rFonts w:ascii="Arial" w:hAnsi="Arial"/>
          <w:i/>
          <w:sz w:val="20"/>
        </w:rPr>
        <w:t>Equity</w:t>
      </w:r>
      <w:r>
        <w:rPr>
          <w:rFonts w:ascii="Arial" w:hAnsi="Arial"/>
          <w:i/>
          <w:spacing w:val="4"/>
          <w:sz w:val="20"/>
        </w:rPr>
        <w:t> </w:t>
      </w:r>
      <w:r>
        <w:rPr>
          <w:rFonts w:ascii="Arial" w:hAnsi="Arial"/>
          <w:i/>
          <w:sz w:val="20"/>
        </w:rPr>
        <w:t>Partners</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KPMG</w:t>
      </w:r>
      <w:r>
        <w:rPr>
          <w:rFonts w:ascii="Arial" w:hAnsi="Arial"/>
          <w:i/>
          <w:spacing w:val="4"/>
          <w:sz w:val="20"/>
        </w:rPr>
        <w:t> </w:t>
      </w:r>
      <w:r>
        <w:rPr>
          <w:rFonts w:ascii="Arial" w:hAnsi="Arial"/>
          <w:i/>
          <w:sz w:val="20"/>
        </w:rPr>
        <w:t>Peat</w:t>
      </w:r>
      <w:r>
        <w:rPr>
          <w:rFonts w:ascii="Arial" w:hAnsi="Arial"/>
          <w:i/>
          <w:spacing w:val="4"/>
          <w:sz w:val="20"/>
        </w:rPr>
        <w:t> </w:t>
      </w:r>
      <w:r>
        <w:rPr>
          <w:rFonts w:ascii="Arial" w:hAnsi="Arial"/>
          <w:i/>
          <w:sz w:val="20"/>
        </w:rPr>
        <w:t>Marwick</w:t>
      </w:r>
      <w:r>
        <w:rPr>
          <w:rFonts w:ascii="Arial" w:hAnsi="Arial"/>
          <w:i/>
          <w:spacing w:val="4"/>
          <w:sz w:val="20"/>
        </w:rPr>
        <w:t> </w:t>
      </w:r>
      <w:r>
        <w:rPr>
          <w:rFonts w:ascii="Arial" w:hAnsi="Arial"/>
          <w:i/>
          <w:sz w:val="20"/>
        </w:rPr>
        <w:t>[1999]</w:t>
      </w:r>
      <w:r>
        <w:rPr>
          <w:rFonts w:ascii="Arial" w:hAnsi="Arial"/>
          <w:i/>
          <w:spacing w:val="4"/>
          <w:sz w:val="20"/>
        </w:rPr>
        <w:t> </w:t>
      </w:r>
      <w:r>
        <w:rPr>
          <w:rFonts w:ascii="Arial" w:hAnsi="Arial"/>
          <w:i/>
          <w:sz w:val="20"/>
        </w:rPr>
        <w:t>1</w:t>
      </w:r>
      <w:r>
        <w:rPr>
          <w:rFonts w:ascii="Arial" w:hAnsi="Arial"/>
          <w:i/>
          <w:spacing w:val="4"/>
          <w:sz w:val="20"/>
        </w:rPr>
        <w:t> </w:t>
      </w:r>
      <w:r>
        <w:rPr>
          <w:rFonts w:ascii="Arial" w:hAnsi="Arial"/>
          <w:i/>
          <w:sz w:val="20"/>
        </w:rPr>
        <w:t>Lloyd’s</w:t>
      </w:r>
      <w:r>
        <w:rPr>
          <w:rFonts w:ascii="Arial" w:hAnsi="Arial"/>
          <w:i/>
          <w:spacing w:val="4"/>
          <w:sz w:val="20"/>
        </w:rPr>
        <w:t> </w:t>
      </w:r>
      <w:r>
        <w:rPr>
          <w:rFonts w:ascii="Arial" w:hAnsi="Arial"/>
          <w:i/>
          <w:spacing w:val="-4"/>
          <w:sz w:val="20"/>
        </w:rPr>
        <w:t>Rep.</w:t>
      </w:r>
    </w:p>
    <w:p>
      <w:pPr>
        <w:spacing w:line="235" w:lineRule="auto" w:before="0"/>
        <w:ind w:left="705" w:right="168" w:firstLine="0"/>
        <w:jc w:val="both"/>
        <w:rPr>
          <w:rFonts w:ascii="Arial" w:hAnsi="Arial"/>
          <w:i/>
          <w:sz w:val="20"/>
        </w:rPr>
      </w:pPr>
      <w:r>
        <w:rPr>
          <w:rFonts w:ascii="Arial" w:hAnsi="Arial"/>
          <w:i/>
          <w:sz w:val="20"/>
        </w:rPr>
        <w:t>P.N. 670</w:t>
      </w:r>
      <w:r>
        <w:rPr>
          <w:sz w:val="20"/>
        </w:rPr>
        <w:t>; </w:t>
      </w:r>
      <w:r>
        <w:rPr>
          <w:rFonts w:ascii="Arial" w:hAnsi="Arial"/>
          <w:i/>
          <w:sz w:val="20"/>
        </w:rPr>
        <w:t>Connolly-Martin v Davis, The Times, June 8, 1999</w:t>
      </w:r>
      <w:r>
        <w:rPr>
          <w:sz w:val="20"/>
        </w:rPr>
        <w:t>; </w:t>
      </w:r>
      <w:r>
        <w:rPr>
          <w:rFonts w:ascii="Arial" w:hAnsi="Arial"/>
          <w:i/>
          <w:sz w:val="20"/>
        </w:rPr>
        <w:t>Yorkshire Bank Plc v Lloyds </w:t>
      </w:r>
      <w:r>
        <w:rPr>
          <w:rFonts w:ascii="Arial" w:hAnsi="Arial"/>
          <w:i/>
          <w:sz w:val="20"/>
        </w:rPr>
        <w:t>Bank Plc [1999] 2 All E.R. (Comm.) 153</w:t>
      </w:r>
      <w:r>
        <w:rPr>
          <w:sz w:val="20"/>
        </w:rPr>
        <w:t>; </w:t>
      </w:r>
      <w:r>
        <w:rPr>
          <w:rFonts w:ascii="Arial" w:hAnsi="Arial"/>
          <w:i/>
          <w:sz w:val="20"/>
        </w:rPr>
        <w:t>Hamble Fisheries Ltd v L. Gardner and Sons Ltd [1999] </w:t>
      </w:r>
      <w:r>
        <w:rPr>
          <w:rFonts w:ascii="Arial" w:hAnsi="Arial"/>
          <w:i/>
          <w:sz w:val="20"/>
        </w:rPr>
        <w:t>2 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1</w:t>
      </w:r>
      <w:r>
        <w:rPr>
          <w:sz w:val="20"/>
        </w:rPr>
        <w:t>;</w:t>
      </w:r>
      <w:r>
        <w:rPr>
          <w:spacing w:val="40"/>
          <w:sz w:val="20"/>
        </w:rPr>
        <w:t> </w:t>
      </w:r>
      <w:r>
        <w:rPr>
          <w:rFonts w:ascii="Arial" w:hAnsi="Arial"/>
          <w:i/>
          <w:sz w:val="20"/>
        </w:rPr>
        <w:t>Gorham</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British</w:t>
      </w:r>
      <w:r>
        <w:rPr>
          <w:rFonts w:ascii="Arial" w:hAnsi="Arial"/>
          <w:i/>
          <w:spacing w:val="40"/>
          <w:sz w:val="20"/>
        </w:rPr>
        <w:t> </w:t>
      </w:r>
      <w:r>
        <w:rPr>
          <w:rFonts w:ascii="Arial" w:hAnsi="Arial"/>
          <w:i/>
          <w:sz w:val="20"/>
        </w:rPr>
        <w:t>Telecommunications</w:t>
      </w:r>
      <w:r>
        <w:rPr>
          <w:rFonts w:ascii="Arial" w:hAnsi="Arial"/>
          <w:i/>
          <w:spacing w:val="40"/>
          <w:sz w:val="20"/>
        </w:rPr>
        <w:t> </w:t>
      </w:r>
      <w:r>
        <w:rPr>
          <w:rFonts w:ascii="Arial" w:hAnsi="Arial"/>
          <w:i/>
          <w:sz w:val="20"/>
        </w:rPr>
        <w:t>Plc</w:t>
      </w:r>
      <w:r>
        <w:rPr>
          <w:rFonts w:ascii="Arial" w:hAnsi="Arial"/>
          <w:i/>
          <w:spacing w:val="40"/>
          <w:sz w:val="20"/>
        </w:rPr>
        <w:t> </w:t>
      </w:r>
      <w:r>
        <w:rPr>
          <w:rFonts w:ascii="Arial" w:hAnsi="Arial"/>
          <w:i/>
          <w:sz w:val="20"/>
        </w:rPr>
        <w:t>[2000]</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2129</w:t>
      </w:r>
      <w:r>
        <w:rPr>
          <w:sz w:val="20"/>
        </w:rPr>
        <w:t>;</w:t>
      </w:r>
      <w:r>
        <w:rPr>
          <w:spacing w:val="40"/>
          <w:sz w:val="20"/>
        </w:rPr>
        <w:t> </w:t>
      </w:r>
      <w:r>
        <w:rPr>
          <w:rFonts w:ascii="Arial" w:hAnsi="Arial"/>
          <w:i/>
          <w:sz w:val="20"/>
        </w:rPr>
        <w:t>B.D.G. Roof-Bond v Douglas [2000] 1 B.C.L.C. 401</w:t>
      </w:r>
      <w:r>
        <w:rPr>
          <w:sz w:val="20"/>
        </w:rPr>
        <w:t>; </w:t>
      </w:r>
      <w:r>
        <w:rPr>
          <w:rFonts w:ascii="Arial" w:hAnsi="Arial"/>
          <w:i/>
          <w:sz w:val="20"/>
        </w:rPr>
        <w:t>European Gas Turbines Ltd v MSAS </w:t>
      </w:r>
      <w:r>
        <w:rPr>
          <w:rFonts w:ascii="Arial" w:hAnsi="Arial"/>
          <w:i/>
          <w:sz w:val="20"/>
        </w:rPr>
        <w:t>Cargo International</w:t>
      </w:r>
      <w:r>
        <w:rPr>
          <w:rFonts w:ascii="Arial" w:hAnsi="Arial"/>
          <w:i/>
          <w:spacing w:val="68"/>
          <w:sz w:val="20"/>
        </w:rPr>
        <w:t> </w:t>
      </w:r>
      <w:r>
        <w:rPr>
          <w:rFonts w:ascii="Arial" w:hAnsi="Arial"/>
          <w:i/>
          <w:sz w:val="20"/>
        </w:rPr>
        <w:t>Inc</w:t>
      </w:r>
      <w:r>
        <w:rPr>
          <w:rFonts w:ascii="Arial" w:hAnsi="Arial"/>
          <w:i/>
          <w:spacing w:val="71"/>
          <w:sz w:val="20"/>
        </w:rPr>
        <w:t> </w:t>
      </w:r>
      <w:r>
        <w:rPr>
          <w:rFonts w:ascii="Arial" w:hAnsi="Arial"/>
          <w:i/>
          <w:sz w:val="20"/>
        </w:rPr>
        <w:t>[2002]</w:t>
      </w:r>
      <w:r>
        <w:rPr>
          <w:rFonts w:ascii="Arial" w:hAnsi="Arial"/>
          <w:i/>
          <w:spacing w:val="71"/>
          <w:sz w:val="20"/>
        </w:rPr>
        <w:t> </w:t>
      </w:r>
      <w:r>
        <w:rPr>
          <w:rFonts w:ascii="Arial" w:hAnsi="Arial"/>
          <w:i/>
          <w:sz w:val="20"/>
        </w:rPr>
        <w:t>C.L.C.</w:t>
      </w:r>
      <w:r>
        <w:rPr>
          <w:rFonts w:ascii="Arial" w:hAnsi="Arial"/>
          <w:i/>
          <w:spacing w:val="71"/>
          <w:sz w:val="20"/>
        </w:rPr>
        <w:t> </w:t>
      </w:r>
      <w:r>
        <w:rPr>
          <w:rFonts w:ascii="Arial" w:hAnsi="Arial"/>
          <w:i/>
          <w:sz w:val="20"/>
        </w:rPr>
        <w:t>880</w:t>
      </w:r>
      <w:r>
        <w:rPr>
          <w:sz w:val="20"/>
        </w:rPr>
        <w:t>;</w:t>
      </w:r>
      <w:r>
        <w:rPr>
          <w:spacing w:val="71"/>
          <w:sz w:val="20"/>
        </w:rPr>
        <w:t> </w:t>
      </w:r>
      <w:r>
        <w:rPr>
          <w:rFonts w:ascii="Arial" w:hAnsi="Arial"/>
          <w:i/>
          <w:sz w:val="20"/>
        </w:rPr>
        <w:t>Killick</w:t>
      </w:r>
      <w:r>
        <w:rPr>
          <w:rFonts w:ascii="Arial" w:hAnsi="Arial"/>
          <w:i/>
          <w:spacing w:val="71"/>
          <w:sz w:val="20"/>
        </w:rPr>
        <w:t> </w:t>
      </w:r>
      <w:r>
        <w:rPr>
          <w:rFonts w:ascii="Arial" w:hAnsi="Arial"/>
          <w:i/>
          <w:sz w:val="20"/>
        </w:rPr>
        <w:t>v</w:t>
      </w:r>
      <w:r>
        <w:rPr>
          <w:rFonts w:ascii="Arial" w:hAnsi="Arial"/>
          <w:i/>
          <w:spacing w:val="71"/>
          <w:sz w:val="20"/>
        </w:rPr>
        <w:t> </w:t>
      </w:r>
      <w:r>
        <w:rPr>
          <w:rFonts w:ascii="Arial" w:hAnsi="Arial"/>
          <w:i/>
          <w:sz w:val="20"/>
        </w:rPr>
        <w:t>PricewaterhouseCoopers</w:t>
      </w:r>
      <w:r>
        <w:rPr>
          <w:rFonts w:ascii="Arial" w:hAnsi="Arial"/>
          <w:i/>
          <w:spacing w:val="71"/>
          <w:sz w:val="20"/>
        </w:rPr>
        <w:t> </w:t>
      </w:r>
      <w:r>
        <w:rPr>
          <w:rFonts w:ascii="Arial" w:hAnsi="Arial"/>
          <w:i/>
          <w:sz w:val="20"/>
        </w:rPr>
        <w:t>(A</w:t>
      </w:r>
      <w:r>
        <w:rPr>
          <w:rFonts w:ascii="Arial" w:hAnsi="Arial"/>
          <w:i/>
          <w:spacing w:val="71"/>
          <w:sz w:val="20"/>
        </w:rPr>
        <w:t> </w:t>
      </w:r>
      <w:r>
        <w:rPr>
          <w:rFonts w:ascii="Arial" w:hAnsi="Arial"/>
          <w:i/>
          <w:sz w:val="20"/>
        </w:rPr>
        <w:t>Firm)</w:t>
      </w:r>
      <w:r>
        <w:rPr>
          <w:rFonts w:ascii="Arial" w:hAnsi="Arial"/>
          <w:i/>
          <w:spacing w:val="71"/>
          <w:sz w:val="20"/>
        </w:rPr>
        <w:t> </w:t>
      </w:r>
      <w:r>
        <w:rPr>
          <w:rFonts w:ascii="Arial" w:hAnsi="Arial"/>
          <w:i/>
          <w:sz w:val="20"/>
        </w:rPr>
        <w:t>[2001]</w:t>
      </w:r>
      <w:r>
        <w:rPr>
          <w:rFonts w:ascii="Arial" w:hAnsi="Arial"/>
          <w:i/>
          <w:spacing w:val="71"/>
          <w:sz w:val="20"/>
        </w:rPr>
        <w:t> </w:t>
      </w:r>
      <w:r>
        <w:rPr>
          <w:rFonts w:ascii="Arial" w:hAnsi="Arial"/>
          <w:i/>
          <w:spacing w:val="-10"/>
          <w:sz w:val="20"/>
        </w:rPr>
        <w:t>1</w:t>
      </w:r>
    </w:p>
    <w:p>
      <w:pPr>
        <w:spacing w:line="235" w:lineRule="auto" w:before="0"/>
        <w:ind w:left="705" w:right="167" w:firstLine="0"/>
        <w:jc w:val="both"/>
        <w:rPr>
          <w:rFonts w:ascii="Arial" w:hAnsi="Arial"/>
          <w:i/>
          <w:sz w:val="20"/>
        </w:rPr>
      </w:pPr>
      <w:r>
        <w:rPr>
          <w:rFonts w:ascii="Arial" w:hAnsi="Arial"/>
          <w:i/>
          <w:sz w:val="20"/>
        </w:rPr>
        <w:t>B.C.L.C.</w:t>
      </w:r>
      <w:r>
        <w:rPr>
          <w:rFonts w:ascii="Arial" w:hAnsi="Arial"/>
          <w:i/>
          <w:spacing w:val="-3"/>
          <w:sz w:val="20"/>
        </w:rPr>
        <w:t> </w:t>
      </w:r>
      <w:r>
        <w:rPr>
          <w:rFonts w:ascii="Arial" w:hAnsi="Arial"/>
          <w:i/>
          <w:sz w:val="20"/>
        </w:rPr>
        <w:t>65</w:t>
      </w:r>
      <w:r>
        <w:rPr>
          <w:sz w:val="20"/>
        </w:rPr>
        <w:t>;</w:t>
      </w:r>
      <w:r>
        <w:rPr>
          <w:spacing w:val="-3"/>
          <w:sz w:val="20"/>
        </w:rPr>
        <w:t> </w:t>
      </w:r>
      <w:r>
        <w:rPr>
          <w:rFonts w:ascii="Arial" w:hAnsi="Arial"/>
          <w:i/>
          <w:sz w:val="20"/>
        </w:rPr>
        <w:t>Merrett</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Babb</w:t>
      </w:r>
      <w:r>
        <w:rPr>
          <w:rFonts w:ascii="Arial" w:hAnsi="Arial"/>
          <w:i/>
          <w:spacing w:val="-3"/>
          <w:sz w:val="20"/>
        </w:rPr>
        <w:t> </w:t>
      </w:r>
      <w:r>
        <w:rPr>
          <w:rFonts w:ascii="Arial" w:hAnsi="Arial"/>
          <w:i/>
          <w:sz w:val="20"/>
        </w:rPr>
        <w:t>[2001]</w:t>
      </w:r>
      <w:r>
        <w:rPr>
          <w:rFonts w:ascii="Arial" w:hAnsi="Arial"/>
          <w:i/>
          <w:spacing w:val="-3"/>
          <w:sz w:val="20"/>
        </w:rPr>
        <w:t> </w:t>
      </w:r>
      <w:r>
        <w:rPr>
          <w:rFonts w:ascii="Arial" w:hAnsi="Arial"/>
          <w:i/>
          <w:sz w:val="20"/>
        </w:rPr>
        <w:t>3</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z w:val="20"/>
        </w:rPr>
        <w:t>1</w:t>
      </w:r>
      <w:r>
        <w:rPr>
          <w:sz w:val="20"/>
        </w:rPr>
        <w:t>;</w:t>
      </w:r>
      <w:r>
        <w:rPr>
          <w:spacing w:val="-3"/>
          <w:sz w:val="20"/>
        </w:rPr>
        <w:t> </w:t>
      </w:r>
      <w:r>
        <w:rPr>
          <w:rFonts w:ascii="Arial" w:hAnsi="Arial"/>
          <w:i/>
          <w:sz w:val="20"/>
        </w:rPr>
        <w:t>Weldon</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GRE</w:t>
      </w:r>
      <w:r>
        <w:rPr>
          <w:rFonts w:ascii="Arial" w:hAnsi="Arial"/>
          <w:i/>
          <w:spacing w:val="-3"/>
          <w:sz w:val="20"/>
        </w:rPr>
        <w:t> </w:t>
      </w:r>
      <w:r>
        <w:rPr>
          <w:rFonts w:ascii="Arial" w:hAnsi="Arial"/>
          <w:i/>
          <w:sz w:val="20"/>
        </w:rPr>
        <w:t>Linked</w:t>
      </w:r>
      <w:r>
        <w:rPr>
          <w:rFonts w:ascii="Arial" w:hAnsi="Arial"/>
          <w:i/>
          <w:spacing w:val="-3"/>
          <w:sz w:val="20"/>
        </w:rPr>
        <w:t> </w:t>
      </w:r>
      <w:r>
        <w:rPr>
          <w:rFonts w:ascii="Arial" w:hAnsi="Arial"/>
          <w:i/>
          <w:sz w:val="20"/>
        </w:rPr>
        <w:t>Life</w:t>
      </w:r>
      <w:r>
        <w:rPr>
          <w:rFonts w:ascii="Arial" w:hAnsi="Arial"/>
          <w:i/>
          <w:spacing w:val="-3"/>
          <w:sz w:val="20"/>
        </w:rPr>
        <w:t> </w:t>
      </w:r>
      <w:r>
        <w:rPr>
          <w:rFonts w:ascii="Arial" w:hAnsi="Arial"/>
          <w:i/>
          <w:sz w:val="20"/>
        </w:rPr>
        <w:t>Assurance</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[2000] 2 All E.R. (Comm.) 914</w:t>
      </w:r>
      <w:r>
        <w:rPr>
          <w:sz w:val="20"/>
        </w:rPr>
        <w:t>; </w:t>
      </w:r>
      <w:r>
        <w:rPr>
          <w:rFonts w:ascii="Arial" w:hAnsi="Arial"/>
          <w:i/>
          <w:sz w:val="20"/>
        </w:rPr>
        <w:t>Dean v Allin and Watts [2001] EWCA Civ 758, [2001] 2 Lloyd’s Rep. 249</w:t>
      </w:r>
      <w:r>
        <w:rPr>
          <w:sz w:val="20"/>
        </w:rPr>
        <w:t>; </w:t>
      </w:r>
      <w:r>
        <w:rPr>
          <w:rFonts w:ascii="Arial" w:hAnsi="Arial"/>
          <w:i/>
          <w:sz w:val="20"/>
        </w:rPr>
        <w:t>Niru Battery Manufacturing Co v Milestone Trading Ltd [2002] EWHC 1425 (Comm.), [2002] All E.R. (D) 206</w:t>
      </w:r>
      <w:r>
        <w:rPr>
          <w:sz w:val="20"/>
        </w:rPr>
        <w:t>; </w:t>
      </w:r>
      <w:r>
        <w:rPr>
          <w:rFonts w:ascii="Arial" w:hAnsi="Arial"/>
          <w:i/>
          <w:sz w:val="20"/>
        </w:rPr>
        <w:t>European International Reinsurance Co Ltd v Curzon Insurance Ltd [2003]</w:t>
      </w:r>
      <w:r>
        <w:rPr>
          <w:rFonts w:ascii="Arial" w:hAnsi="Arial"/>
          <w:i/>
          <w:spacing w:val="33"/>
          <w:sz w:val="20"/>
        </w:rPr>
        <w:t> </w:t>
      </w:r>
      <w:r>
        <w:rPr>
          <w:rFonts w:ascii="Arial" w:hAnsi="Arial"/>
          <w:i/>
          <w:sz w:val="20"/>
        </w:rPr>
        <w:t>EWCA</w:t>
      </w:r>
      <w:r>
        <w:rPr>
          <w:rFonts w:ascii="Arial" w:hAnsi="Arial"/>
          <w:i/>
          <w:spacing w:val="34"/>
          <w:sz w:val="20"/>
        </w:rPr>
        <w:t> </w:t>
      </w:r>
      <w:r>
        <w:rPr>
          <w:rFonts w:ascii="Arial" w:hAnsi="Arial"/>
          <w:i/>
          <w:sz w:val="20"/>
        </w:rPr>
        <w:t>Civ</w:t>
      </w:r>
      <w:r>
        <w:rPr>
          <w:rFonts w:ascii="Arial" w:hAnsi="Arial"/>
          <w:i/>
          <w:spacing w:val="34"/>
          <w:sz w:val="20"/>
        </w:rPr>
        <w:t> </w:t>
      </w:r>
      <w:r>
        <w:rPr>
          <w:rFonts w:ascii="Arial" w:hAnsi="Arial"/>
          <w:i/>
          <w:sz w:val="20"/>
        </w:rPr>
        <w:t>1074,</w:t>
      </w:r>
      <w:r>
        <w:rPr>
          <w:rFonts w:ascii="Arial" w:hAnsi="Arial"/>
          <w:i/>
          <w:spacing w:val="34"/>
          <w:sz w:val="20"/>
        </w:rPr>
        <w:t> </w:t>
      </w:r>
      <w:r>
        <w:rPr>
          <w:rFonts w:ascii="Arial" w:hAnsi="Arial"/>
          <w:i/>
          <w:sz w:val="20"/>
        </w:rPr>
        <w:t>[2003]</w:t>
      </w:r>
      <w:r>
        <w:rPr>
          <w:rFonts w:ascii="Arial" w:hAnsi="Arial"/>
          <w:i/>
          <w:spacing w:val="34"/>
          <w:sz w:val="20"/>
        </w:rPr>
        <w:t> </w:t>
      </w:r>
      <w:r>
        <w:rPr>
          <w:rFonts w:ascii="Arial" w:hAnsi="Arial"/>
          <w:i/>
          <w:sz w:val="20"/>
        </w:rPr>
        <w:t>Lloyd’s</w:t>
      </w:r>
      <w:r>
        <w:rPr>
          <w:rFonts w:ascii="Arial" w:hAnsi="Arial"/>
          <w:i/>
          <w:spacing w:val="34"/>
          <w:sz w:val="20"/>
        </w:rPr>
        <w:t> </w:t>
      </w:r>
      <w:r>
        <w:rPr>
          <w:rFonts w:ascii="Arial" w:hAnsi="Arial"/>
          <w:i/>
          <w:sz w:val="20"/>
        </w:rPr>
        <w:t>Rep.</w:t>
      </w:r>
      <w:r>
        <w:rPr>
          <w:rFonts w:ascii="Arial" w:hAnsi="Arial"/>
          <w:i/>
          <w:spacing w:val="34"/>
          <w:sz w:val="20"/>
        </w:rPr>
        <w:t> </w:t>
      </w:r>
      <w:r>
        <w:rPr>
          <w:rFonts w:ascii="Arial" w:hAnsi="Arial"/>
          <w:i/>
          <w:sz w:val="20"/>
        </w:rPr>
        <w:t>I.R.</w:t>
      </w:r>
      <w:r>
        <w:rPr>
          <w:rFonts w:ascii="Arial" w:hAnsi="Arial"/>
          <w:i/>
          <w:spacing w:val="34"/>
          <w:sz w:val="20"/>
        </w:rPr>
        <w:t> </w:t>
      </w:r>
      <w:r>
        <w:rPr>
          <w:rFonts w:ascii="Arial" w:hAnsi="Arial"/>
          <w:i/>
          <w:sz w:val="20"/>
        </w:rPr>
        <w:t>793</w:t>
      </w:r>
      <w:r>
        <w:rPr>
          <w:sz w:val="20"/>
        </w:rPr>
        <w:t>;</w:t>
      </w:r>
      <w:r>
        <w:rPr>
          <w:spacing w:val="34"/>
          <w:sz w:val="20"/>
        </w:rPr>
        <w:t> </w:t>
      </w:r>
      <w:r>
        <w:rPr>
          <w:rFonts w:ascii="Arial" w:hAnsi="Arial"/>
          <w:i/>
          <w:sz w:val="20"/>
        </w:rPr>
        <w:t>BP</w:t>
      </w:r>
      <w:r>
        <w:rPr>
          <w:rFonts w:ascii="Arial" w:hAnsi="Arial"/>
          <w:i/>
          <w:spacing w:val="34"/>
          <w:sz w:val="20"/>
        </w:rPr>
        <w:t> </w:t>
      </w:r>
      <w:r>
        <w:rPr>
          <w:rFonts w:ascii="Arial" w:hAnsi="Arial"/>
          <w:i/>
          <w:sz w:val="20"/>
        </w:rPr>
        <w:t>Plc</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Aon</w:t>
      </w:r>
      <w:r>
        <w:rPr>
          <w:rFonts w:ascii="Arial" w:hAnsi="Arial"/>
          <w:i/>
          <w:spacing w:val="34"/>
          <w:sz w:val="20"/>
        </w:rPr>
        <w:t> </w:t>
      </w:r>
      <w:r>
        <w:rPr>
          <w:rFonts w:ascii="Arial" w:hAnsi="Arial"/>
          <w:i/>
          <w:sz w:val="20"/>
        </w:rPr>
        <w:t>Ltd</w:t>
      </w:r>
      <w:r>
        <w:rPr>
          <w:rFonts w:ascii="Arial" w:hAnsi="Arial"/>
          <w:i/>
          <w:spacing w:val="34"/>
          <w:sz w:val="20"/>
        </w:rPr>
        <w:t> </w:t>
      </w:r>
      <w:r>
        <w:rPr>
          <w:rFonts w:ascii="Arial" w:hAnsi="Arial"/>
          <w:i/>
          <w:sz w:val="20"/>
        </w:rPr>
        <w:t>[2006]</w:t>
      </w:r>
      <w:r>
        <w:rPr>
          <w:rFonts w:ascii="Arial" w:hAnsi="Arial"/>
          <w:i/>
          <w:spacing w:val="34"/>
          <w:sz w:val="20"/>
        </w:rPr>
        <w:t> </w:t>
      </w:r>
      <w:r>
        <w:rPr>
          <w:rFonts w:ascii="Arial" w:hAnsi="Arial"/>
          <w:i/>
          <w:sz w:val="20"/>
        </w:rPr>
        <w:t>EWHC</w:t>
      </w:r>
      <w:r>
        <w:rPr>
          <w:rFonts w:ascii="Arial" w:hAnsi="Arial"/>
          <w:i/>
          <w:spacing w:val="34"/>
          <w:sz w:val="20"/>
        </w:rPr>
        <w:t> </w:t>
      </w:r>
      <w:r>
        <w:rPr>
          <w:rFonts w:ascii="Arial" w:hAnsi="Arial"/>
          <w:i/>
          <w:spacing w:val="-5"/>
          <w:sz w:val="20"/>
        </w:rPr>
        <w:t>424</w:t>
      </w:r>
    </w:p>
    <w:p>
      <w:pPr>
        <w:spacing w:line="235" w:lineRule="auto" w:before="0"/>
        <w:ind w:left="705" w:right="168" w:firstLine="0"/>
        <w:jc w:val="left"/>
        <w:rPr>
          <w:rFonts w:ascii="Arial" w:hAnsi="Arial"/>
          <w:i/>
          <w:sz w:val="20"/>
        </w:rPr>
      </w:pPr>
      <w:r>
        <w:rPr>
          <w:rFonts w:ascii="Arial" w:hAnsi="Arial"/>
          <w:i/>
          <w:sz w:val="20"/>
        </w:rPr>
        <w:t>(Comm), [2006] 1 All E.R. (Comm.) 789</w:t>
      </w:r>
      <w:r>
        <w:rPr>
          <w:sz w:val="20"/>
        </w:rPr>
        <w:t>; </w:t>
      </w:r>
      <w:r>
        <w:rPr>
          <w:rFonts w:ascii="Arial" w:hAnsi="Arial"/>
          <w:i/>
          <w:sz w:val="20"/>
        </w:rPr>
        <w:t>Riyad Bank Plc v Ahli United Bank Plc [2006] EWCA Civ</w:t>
      </w:r>
      <w:r>
        <w:rPr>
          <w:rFonts w:ascii="Arial" w:hAnsi="Arial"/>
          <w:i/>
          <w:spacing w:val="1"/>
          <w:sz w:val="20"/>
        </w:rPr>
        <w:t> </w:t>
      </w:r>
      <w:r>
        <w:rPr>
          <w:rFonts w:ascii="Arial" w:hAnsi="Arial"/>
          <w:i/>
          <w:sz w:val="20"/>
        </w:rPr>
        <w:t>780,</w:t>
      </w:r>
      <w:r>
        <w:rPr>
          <w:rFonts w:ascii="Arial" w:hAnsi="Arial"/>
          <w:i/>
          <w:spacing w:val="2"/>
          <w:sz w:val="20"/>
        </w:rPr>
        <w:t> </w:t>
      </w:r>
      <w:r>
        <w:rPr>
          <w:rFonts w:ascii="Arial" w:hAnsi="Arial"/>
          <w:i/>
          <w:sz w:val="20"/>
        </w:rPr>
        <w:t>[2006]</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292</w:t>
      </w:r>
      <w:r>
        <w:rPr>
          <w:sz w:val="20"/>
        </w:rPr>
        <w:t>;</w:t>
      </w:r>
      <w:r>
        <w:rPr>
          <w:spacing w:val="2"/>
          <w:sz w:val="20"/>
        </w:rPr>
        <w:t> </w:t>
      </w:r>
      <w:r>
        <w:rPr>
          <w:rFonts w:ascii="Arial" w:hAnsi="Arial"/>
          <w:i/>
          <w:sz w:val="20"/>
        </w:rPr>
        <w:t>Galliford</w:t>
      </w:r>
      <w:r>
        <w:rPr>
          <w:rFonts w:ascii="Arial" w:hAnsi="Arial"/>
          <w:i/>
          <w:spacing w:val="2"/>
          <w:sz w:val="20"/>
        </w:rPr>
        <w:t> </w:t>
      </w:r>
      <w:r>
        <w:rPr>
          <w:rFonts w:ascii="Arial" w:hAnsi="Arial"/>
          <w:i/>
          <w:sz w:val="20"/>
        </w:rPr>
        <w:t>Try</w:t>
      </w:r>
      <w:r>
        <w:rPr>
          <w:rFonts w:ascii="Arial" w:hAnsi="Arial"/>
          <w:i/>
          <w:spacing w:val="2"/>
          <w:sz w:val="20"/>
        </w:rPr>
        <w:t> </w:t>
      </w:r>
      <w:r>
        <w:rPr>
          <w:rFonts w:ascii="Arial" w:hAnsi="Arial"/>
          <w:i/>
          <w:sz w:val="20"/>
        </w:rPr>
        <w:t>Infrastructure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Mott</w:t>
      </w:r>
      <w:r>
        <w:rPr>
          <w:rFonts w:ascii="Arial" w:hAnsi="Arial"/>
          <w:i/>
          <w:spacing w:val="2"/>
          <w:sz w:val="20"/>
        </w:rPr>
        <w:t> </w:t>
      </w:r>
      <w:r>
        <w:rPr>
          <w:rFonts w:ascii="Arial" w:hAnsi="Arial"/>
          <w:i/>
          <w:sz w:val="20"/>
        </w:rPr>
        <w:t>MacDonald</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pacing w:val="-2"/>
          <w:sz w:val="20"/>
        </w:rPr>
        <w:t>[2008]</w:t>
      </w:r>
    </w:p>
    <w:p>
      <w:pPr>
        <w:spacing w:line="223" w:lineRule="exact" w:before="0"/>
        <w:ind w:left="705" w:right="0" w:firstLine="0"/>
        <w:jc w:val="left"/>
        <w:rPr>
          <w:rFonts w:ascii="Arial"/>
          <w:i/>
          <w:sz w:val="20"/>
        </w:rPr>
      </w:pPr>
      <w:r>
        <w:rPr>
          <w:rFonts w:ascii="Arial"/>
          <w:i/>
          <w:sz w:val="20"/>
        </w:rPr>
        <w:t>EWHC</w:t>
      </w:r>
      <w:r>
        <w:rPr>
          <w:rFonts w:ascii="Arial"/>
          <w:i/>
          <w:spacing w:val="36"/>
          <w:sz w:val="20"/>
        </w:rPr>
        <w:t> </w:t>
      </w:r>
      <w:r>
        <w:rPr>
          <w:rFonts w:ascii="Arial"/>
          <w:i/>
          <w:sz w:val="20"/>
        </w:rPr>
        <w:t>1570</w:t>
      </w:r>
      <w:r>
        <w:rPr>
          <w:rFonts w:ascii="Arial"/>
          <w:i/>
          <w:spacing w:val="37"/>
          <w:sz w:val="20"/>
        </w:rPr>
        <w:t> </w:t>
      </w:r>
      <w:r>
        <w:rPr>
          <w:rFonts w:ascii="Arial"/>
          <w:i/>
          <w:sz w:val="20"/>
        </w:rPr>
        <w:t>(TCC),</w:t>
      </w:r>
      <w:r>
        <w:rPr>
          <w:rFonts w:ascii="Arial"/>
          <w:i/>
          <w:spacing w:val="37"/>
          <w:sz w:val="20"/>
        </w:rPr>
        <w:t> </w:t>
      </w:r>
      <w:r>
        <w:rPr>
          <w:rFonts w:ascii="Arial"/>
          <w:i/>
          <w:sz w:val="20"/>
        </w:rPr>
        <w:t>[2009]</w:t>
      </w:r>
      <w:r>
        <w:rPr>
          <w:rFonts w:ascii="Arial"/>
          <w:i/>
          <w:spacing w:val="37"/>
          <w:sz w:val="20"/>
        </w:rPr>
        <w:t> </w:t>
      </w:r>
      <w:r>
        <w:rPr>
          <w:rFonts w:ascii="Arial"/>
          <w:i/>
          <w:sz w:val="20"/>
        </w:rPr>
        <w:t>P.N.L.R.</w:t>
      </w:r>
      <w:r>
        <w:rPr>
          <w:rFonts w:ascii="Arial"/>
          <w:i/>
          <w:spacing w:val="37"/>
          <w:sz w:val="20"/>
        </w:rPr>
        <w:t> </w:t>
      </w:r>
      <w:r>
        <w:rPr>
          <w:rFonts w:ascii="Arial"/>
          <w:i/>
          <w:sz w:val="20"/>
        </w:rPr>
        <w:t>9</w:t>
      </w:r>
      <w:r>
        <w:rPr>
          <w:sz w:val="20"/>
        </w:rPr>
        <w:t>;</w:t>
      </w:r>
      <w:r>
        <w:rPr>
          <w:spacing w:val="37"/>
          <w:sz w:val="20"/>
        </w:rPr>
        <w:t> </w:t>
      </w:r>
      <w:r>
        <w:rPr>
          <w:rFonts w:ascii="Arial"/>
          <w:i/>
          <w:sz w:val="20"/>
        </w:rPr>
        <w:t>Scullion</w:t>
      </w:r>
      <w:r>
        <w:rPr>
          <w:rFonts w:ascii="Arial"/>
          <w:i/>
          <w:spacing w:val="37"/>
          <w:sz w:val="20"/>
        </w:rPr>
        <w:t> </w:t>
      </w:r>
      <w:r>
        <w:rPr>
          <w:rFonts w:ascii="Arial"/>
          <w:i/>
          <w:sz w:val="20"/>
        </w:rPr>
        <w:t>v</w:t>
      </w:r>
      <w:r>
        <w:rPr>
          <w:rFonts w:ascii="Arial"/>
          <w:i/>
          <w:spacing w:val="37"/>
          <w:sz w:val="20"/>
        </w:rPr>
        <w:t> </w:t>
      </w:r>
      <w:r>
        <w:rPr>
          <w:rFonts w:ascii="Arial"/>
          <w:i/>
          <w:sz w:val="20"/>
        </w:rPr>
        <w:t>Bank</w:t>
      </w:r>
      <w:r>
        <w:rPr>
          <w:rFonts w:ascii="Arial"/>
          <w:i/>
          <w:spacing w:val="37"/>
          <w:sz w:val="20"/>
        </w:rPr>
        <w:t> </w:t>
      </w:r>
      <w:r>
        <w:rPr>
          <w:rFonts w:ascii="Arial"/>
          <w:i/>
          <w:sz w:val="20"/>
        </w:rPr>
        <w:t>of</w:t>
      </w:r>
      <w:r>
        <w:rPr>
          <w:rFonts w:ascii="Arial"/>
          <w:i/>
          <w:spacing w:val="37"/>
          <w:sz w:val="20"/>
        </w:rPr>
        <w:t> </w:t>
      </w:r>
      <w:r>
        <w:rPr>
          <w:rFonts w:ascii="Arial"/>
          <w:i/>
          <w:sz w:val="20"/>
        </w:rPr>
        <w:t>Scotland</w:t>
      </w:r>
      <w:r>
        <w:rPr>
          <w:rFonts w:ascii="Arial"/>
          <w:i/>
          <w:spacing w:val="37"/>
          <w:sz w:val="20"/>
        </w:rPr>
        <w:t> </w:t>
      </w:r>
      <w:r>
        <w:rPr>
          <w:rFonts w:ascii="Arial"/>
          <w:i/>
          <w:sz w:val="20"/>
        </w:rPr>
        <w:t>[2011]</w:t>
      </w:r>
      <w:r>
        <w:rPr>
          <w:rFonts w:ascii="Arial"/>
          <w:i/>
          <w:spacing w:val="37"/>
          <w:sz w:val="20"/>
        </w:rPr>
        <w:t> </w:t>
      </w:r>
      <w:r>
        <w:rPr>
          <w:rFonts w:ascii="Arial"/>
          <w:i/>
          <w:sz w:val="20"/>
        </w:rPr>
        <w:t>EWCA</w:t>
      </w:r>
      <w:r>
        <w:rPr>
          <w:rFonts w:ascii="Arial"/>
          <w:i/>
          <w:spacing w:val="37"/>
          <w:sz w:val="20"/>
        </w:rPr>
        <w:t> </w:t>
      </w:r>
      <w:r>
        <w:rPr>
          <w:rFonts w:ascii="Arial"/>
          <w:i/>
          <w:sz w:val="20"/>
        </w:rPr>
        <w:t>Civ</w:t>
      </w:r>
      <w:r>
        <w:rPr>
          <w:rFonts w:ascii="Arial"/>
          <w:i/>
          <w:spacing w:val="37"/>
          <w:sz w:val="20"/>
        </w:rPr>
        <w:t> </w:t>
      </w:r>
      <w:r>
        <w:rPr>
          <w:rFonts w:ascii="Arial"/>
          <w:i/>
          <w:spacing w:val="-4"/>
          <w:sz w:val="20"/>
        </w:rPr>
        <w:t>693,</w:t>
      </w:r>
    </w:p>
    <w:p>
      <w:pPr>
        <w:spacing w:line="225" w:lineRule="exact" w:before="0"/>
        <w:ind w:left="705" w:right="0" w:firstLine="0"/>
        <w:jc w:val="left"/>
        <w:rPr>
          <w:rFonts w:ascii="Arial"/>
          <w:i/>
          <w:sz w:val="20"/>
        </w:rPr>
      </w:pPr>
      <w:r>
        <w:rPr>
          <w:rFonts w:ascii="Arial"/>
          <w:i/>
          <w:sz w:val="20"/>
        </w:rPr>
        <w:t>[2011]</w:t>
      </w:r>
      <w:r>
        <w:rPr>
          <w:rFonts w:ascii="Arial"/>
          <w:i/>
          <w:spacing w:val="16"/>
          <w:sz w:val="20"/>
        </w:rPr>
        <w:t> </w:t>
      </w:r>
      <w:r>
        <w:rPr>
          <w:rFonts w:ascii="Arial"/>
          <w:i/>
          <w:sz w:val="20"/>
        </w:rPr>
        <w:t>1</w:t>
      </w:r>
      <w:r>
        <w:rPr>
          <w:rFonts w:ascii="Arial"/>
          <w:i/>
          <w:spacing w:val="17"/>
          <w:sz w:val="20"/>
        </w:rPr>
        <w:t> </w:t>
      </w:r>
      <w:r>
        <w:rPr>
          <w:rFonts w:ascii="Arial"/>
          <w:i/>
          <w:sz w:val="20"/>
        </w:rPr>
        <w:t>W.L.R.</w:t>
      </w:r>
      <w:r>
        <w:rPr>
          <w:rFonts w:ascii="Arial"/>
          <w:i/>
          <w:spacing w:val="17"/>
          <w:sz w:val="20"/>
        </w:rPr>
        <w:t> </w:t>
      </w:r>
      <w:r>
        <w:rPr>
          <w:rFonts w:ascii="Arial"/>
          <w:i/>
          <w:sz w:val="20"/>
        </w:rPr>
        <w:t>3212</w:t>
      </w:r>
      <w:r>
        <w:rPr>
          <w:sz w:val="20"/>
        </w:rPr>
        <w:t>;</w:t>
      </w:r>
      <w:r>
        <w:rPr>
          <w:spacing w:val="17"/>
          <w:sz w:val="20"/>
        </w:rPr>
        <w:t> </w:t>
      </w:r>
      <w:r>
        <w:rPr>
          <w:rFonts w:ascii="Arial"/>
          <w:i/>
          <w:sz w:val="20"/>
        </w:rPr>
        <w:t>Argos</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Leather</w:t>
      </w:r>
      <w:r>
        <w:rPr>
          <w:rFonts w:ascii="Arial"/>
          <w:i/>
          <w:spacing w:val="17"/>
          <w:sz w:val="20"/>
        </w:rPr>
        <w:t> </w:t>
      </w:r>
      <w:r>
        <w:rPr>
          <w:rFonts w:ascii="Arial"/>
          <w:i/>
          <w:sz w:val="20"/>
        </w:rPr>
        <w:t>Trade</w:t>
      </w:r>
      <w:r>
        <w:rPr>
          <w:rFonts w:ascii="Arial"/>
          <w:i/>
          <w:spacing w:val="17"/>
          <w:sz w:val="20"/>
        </w:rPr>
        <w:t> </w:t>
      </w:r>
      <w:r>
        <w:rPr>
          <w:rFonts w:ascii="Arial"/>
          <w:i/>
          <w:sz w:val="20"/>
        </w:rPr>
        <w:t>House</w:t>
      </w:r>
      <w:r>
        <w:rPr>
          <w:rFonts w:ascii="Arial"/>
          <w:i/>
          <w:spacing w:val="17"/>
          <w:sz w:val="20"/>
        </w:rPr>
        <w:t> </w:t>
      </w:r>
      <w:r>
        <w:rPr>
          <w:rFonts w:ascii="Arial"/>
          <w:i/>
          <w:sz w:val="20"/>
        </w:rPr>
        <w:t>Ltd</w:t>
      </w:r>
      <w:r>
        <w:rPr>
          <w:rFonts w:ascii="Arial"/>
          <w:i/>
          <w:spacing w:val="17"/>
          <w:sz w:val="20"/>
        </w:rPr>
        <w:t> </w:t>
      </w:r>
      <w:r>
        <w:rPr>
          <w:rFonts w:ascii="Arial"/>
          <w:i/>
          <w:sz w:val="20"/>
        </w:rPr>
        <w:t>[2012]</w:t>
      </w:r>
      <w:r>
        <w:rPr>
          <w:rFonts w:ascii="Arial"/>
          <w:i/>
          <w:spacing w:val="17"/>
          <w:sz w:val="20"/>
        </w:rPr>
        <w:t> </w:t>
      </w:r>
      <w:r>
        <w:rPr>
          <w:rFonts w:ascii="Arial"/>
          <w:i/>
          <w:sz w:val="20"/>
        </w:rPr>
        <w:t>EWHC</w:t>
      </w:r>
      <w:r>
        <w:rPr>
          <w:rFonts w:ascii="Arial"/>
          <w:i/>
          <w:spacing w:val="17"/>
          <w:sz w:val="20"/>
        </w:rPr>
        <w:t> </w:t>
      </w:r>
      <w:r>
        <w:rPr>
          <w:rFonts w:ascii="Arial"/>
          <w:i/>
          <w:sz w:val="20"/>
        </w:rPr>
        <w:t>1348</w:t>
      </w:r>
      <w:r>
        <w:rPr>
          <w:rFonts w:ascii="Arial"/>
          <w:i/>
          <w:spacing w:val="17"/>
          <w:sz w:val="20"/>
        </w:rPr>
        <w:t> </w:t>
      </w:r>
      <w:r>
        <w:rPr>
          <w:rFonts w:ascii="Arial"/>
          <w:i/>
          <w:sz w:val="20"/>
        </w:rPr>
        <w:t>(QB),</w:t>
      </w:r>
      <w:r>
        <w:rPr>
          <w:rFonts w:ascii="Arial"/>
          <w:i/>
          <w:spacing w:val="17"/>
          <w:sz w:val="20"/>
        </w:rPr>
        <w:t> </w:t>
      </w:r>
      <w:r>
        <w:rPr>
          <w:rFonts w:ascii="Arial"/>
          <w:i/>
          <w:spacing w:val="-2"/>
          <w:sz w:val="20"/>
        </w:rPr>
        <w:t>[2012]</w:t>
      </w:r>
    </w:p>
    <w:p>
      <w:pPr>
        <w:spacing w:line="235" w:lineRule="auto" w:before="0"/>
        <w:ind w:left="705" w:right="168" w:firstLine="0"/>
        <w:jc w:val="both"/>
        <w:rPr>
          <w:sz w:val="20"/>
        </w:rPr>
      </w:pPr>
      <w:r>
        <w:rPr>
          <w:rFonts w:ascii="Arial"/>
          <w:i/>
          <w:sz w:val="20"/>
        </w:rPr>
        <w:t>E.C.C. 34</w:t>
      </w:r>
      <w:r>
        <w:rPr>
          <w:rFonts w:ascii="Arial"/>
          <w:i/>
          <w:spacing w:val="-1"/>
          <w:sz w:val="20"/>
        </w:rPr>
        <w:t> </w:t>
      </w:r>
      <w:r>
        <w:rPr>
          <w:sz w:val="20"/>
        </w:rPr>
        <w:t>at [42]; </w:t>
      </w:r>
      <w:r>
        <w:rPr>
          <w:rFonts w:ascii="Arial"/>
          <w:i/>
          <w:sz w:val="20"/>
        </w:rPr>
        <w:t>Hunt v Optima (Cambridge) Ltd [2014] EWCA Civ 714, [2015] 1 W.L.R. </w:t>
      </w:r>
      <w:r>
        <w:rPr>
          <w:rFonts w:ascii="Arial"/>
          <w:i/>
          <w:sz w:val="20"/>
        </w:rPr>
        <w:t>1346</w:t>
      </w:r>
      <w:r>
        <w:rPr>
          <w:sz w:val="20"/>
        </w:rPr>
        <w:t>; </w:t>
      </w:r>
      <w:r>
        <w:rPr>
          <w:rFonts w:ascii="Arial"/>
          <w:i/>
          <w:sz w:val="20"/>
        </w:rPr>
        <w:t>Swynson Ltd v Lowick Rose LLP [2014] EWHC 2085, [2014] P.N.L.R. 27</w:t>
      </w:r>
      <w:r>
        <w:rPr>
          <w:sz w:val="20"/>
        </w:rPr>
        <w:t>; </w:t>
      </w:r>
      <w:r>
        <w:rPr>
          <w:rFonts w:ascii="Arial"/>
          <w:i/>
          <w:sz w:val="20"/>
        </w:rPr>
        <w:t>Summit </w:t>
      </w:r>
      <w:r>
        <w:rPr>
          <w:rFonts w:ascii="Arial"/>
          <w:i/>
          <w:sz w:val="20"/>
        </w:rPr>
        <w:t>Advances</w:t>
      </w:r>
      <w:r>
        <w:rPr>
          <w:rFonts w:ascii="Arial"/>
          <w:i/>
          <w:spacing w:val="40"/>
          <w:sz w:val="20"/>
        </w:rPr>
        <w:t> </w:t>
      </w:r>
      <w:r>
        <w:rPr>
          <w:rFonts w:ascii="Arial"/>
          <w:i/>
          <w:sz w:val="20"/>
        </w:rPr>
        <w:t>Ltd v Bush [2015] EWHC 665 (QB), [2015] P.N.L.R. 18</w:t>
      </w:r>
      <w:r>
        <w:rPr>
          <w:sz w:val="20"/>
        </w:rPr>
        <w:t>.</w:t>
      </w:r>
    </w:p>
    <w:p>
      <w:pPr>
        <w:pStyle w:val="BodyText"/>
        <w:spacing w:before="1"/>
      </w:pPr>
    </w:p>
    <w:p>
      <w:pPr>
        <w:spacing w:before="0"/>
        <w:ind w:left="165" w:right="0" w:firstLine="0"/>
        <w:jc w:val="left"/>
        <w:rPr>
          <w:sz w:val="20"/>
        </w:rPr>
      </w:pPr>
      <w:bookmarkStart w:name="_bookmark2301" w:id="2303"/>
      <w:bookmarkEnd w:id="2303"/>
      <w:r>
        <w:rPr/>
      </w:r>
      <w:hyperlink w:history="true" w:anchor="_bookmark2189">
        <w:r>
          <w:rPr>
            <w:color w:val="005DA1"/>
            <w:position w:val="5"/>
            <w:sz w:val="14"/>
            <w:u w:val="single" w:color="005DA1"/>
          </w:rPr>
          <w:t>1514</w:t>
        </w:r>
      </w:hyperlink>
      <w:r>
        <w:rPr>
          <w:position w:val="5"/>
          <w:sz w:val="14"/>
        </w:rPr>
        <w:t>.</w:t>
      </w:r>
      <w:r>
        <w:rPr>
          <w:spacing w:val="55"/>
          <w:position w:val="5"/>
          <w:sz w:val="14"/>
        </w:rPr>
        <w:t>  </w:t>
      </w:r>
      <w:r>
        <w:rPr>
          <w:rFonts w:ascii="Arial"/>
          <w:i/>
          <w:sz w:val="20"/>
        </w:rPr>
        <w:t>[2000]</w:t>
      </w:r>
      <w:r>
        <w:rPr>
          <w:rFonts w:ascii="Arial"/>
          <w:i/>
          <w:spacing w:val="1"/>
          <w:sz w:val="20"/>
        </w:rPr>
        <w:t> </w:t>
      </w:r>
      <w:r>
        <w:rPr>
          <w:rFonts w:ascii="Arial"/>
          <w:i/>
          <w:sz w:val="20"/>
        </w:rPr>
        <w:t>P.I.Q.R. </w:t>
      </w:r>
      <w:r>
        <w:rPr>
          <w:rFonts w:ascii="Arial"/>
          <w:i/>
          <w:spacing w:val="-4"/>
          <w:sz w:val="20"/>
        </w:rPr>
        <w:t>P39</w:t>
      </w:r>
      <w:r>
        <w:rPr>
          <w:spacing w:val="-4"/>
          <w:sz w:val="20"/>
        </w:rPr>
        <w:t>.</w:t>
      </w:r>
    </w:p>
    <w:p>
      <w:pPr>
        <w:spacing w:after="0"/>
        <w:jc w:val="left"/>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449" w:hRule="atLeast"/>
        </w:trPr>
        <w:tc>
          <w:tcPr>
            <w:tcW w:w="496" w:type="dxa"/>
          </w:tcPr>
          <w:p>
            <w:pPr>
              <w:pStyle w:val="TableParagraph"/>
              <w:spacing w:before="0"/>
              <w:ind w:left="0" w:right="43"/>
              <w:rPr>
                <w:sz w:val="14"/>
              </w:rPr>
            </w:pPr>
            <w:hyperlink w:history="true" w:anchor="_bookmark2190">
              <w:r>
                <w:rPr>
                  <w:color w:val="005DA1"/>
                  <w:spacing w:val="-2"/>
                  <w:sz w:val="14"/>
                  <w:u w:val="single" w:color="005DA1"/>
                </w:rPr>
                <w:t>1515</w:t>
              </w:r>
            </w:hyperlink>
            <w:r>
              <w:rPr>
                <w:spacing w:val="-2"/>
                <w:sz w:val="14"/>
              </w:rPr>
              <w:t>.</w:t>
            </w:r>
          </w:p>
        </w:tc>
        <w:tc>
          <w:tcPr>
            <w:tcW w:w="8620" w:type="dxa"/>
          </w:tcPr>
          <w:p>
            <w:pPr>
              <w:pStyle w:val="TableParagraph"/>
              <w:spacing w:line="226" w:lineRule="exact" w:before="0"/>
              <w:jc w:val="left"/>
              <w:rPr>
                <w:rFonts w:ascii="Arial"/>
                <w:i/>
                <w:sz w:val="20"/>
              </w:rPr>
            </w:pPr>
            <w:r>
              <w:rPr>
                <w:sz w:val="20"/>
              </w:rPr>
              <w:t>He</w:t>
            </w:r>
            <w:r>
              <w:rPr>
                <w:spacing w:val="-1"/>
                <w:sz w:val="20"/>
              </w:rPr>
              <w:t> </w:t>
            </w:r>
            <w:r>
              <w:rPr>
                <w:sz w:val="20"/>
              </w:rPr>
              <w:t>accepted</w:t>
            </w:r>
            <w:r>
              <w:rPr>
                <w:spacing w:val="-1"/>
                <w:sz w:val="20"/>
              </w:rPr>
              <w:t> </w:t>
            </w:r>
            <w:r>
              <w:rPr>
                <w:sz w:val="20"/>
              </w:rPr>
              <w:t>the</w:t>
            </w:r>
            <w:r>
              <w:rPr>
                <w:spacing w:val="-1"/>
                <w:sz w:val="20"/>
              </w:rPr>
              <w:t> </w:t>
            </w:r>
            <w:r>
              <w:rPr>
                <w:sz w:val="20"/>
              </w:rPr>
              <w:t>description</w:t>
            </w:r>
            <w:r>
              <w:rPr>
                <w:spacing w:val="-1"/>
                <w:sz w:val="20"/>
              </w:rPr>
              <w:t> </w:t>
            </w:r>
            <w:r>
              <w:rPr>
                <w:sz w:val="20"/>
              </w:rPr>
              <w:t>of</w:t>
            </w:r>
            <w:r>
              <w:rPr>
                <w:spacing w:val="-1"/>
                <w:sz w:val="20"/>
              </w:rPr>
              <w:t> </w:t>
            </w:r>
            <w:r>
              <w:rPr>
                <w:sz w:val="20"/>
              </w:rPr>
              <w:t>the</w:t>
            </w:r>
            <w:r>
              <w:rPr>
                <w:spacing w:val="-1"/>
                <w:sz w:val="20"/>
              </w:rPr>
              <w:t> </w:t>
            </w:r>
            <w:r>
              <w:rPr>
                <w:sz w:val="20"/>
              </w:rPr>
              <w:t>three</w:t>
            </w:r>
            <w:r>
              <w:rPr>
                <w:spacing w:val="-1"/>
                <w:sz w:val="20"/>
              </w:rPr>
              <w:t> </w:t>
            </w:r>
            <w:r>
              <w:rPr>
                <w:sz w:val="20"/>
              </w:rPr>
              <w:t>approaches</w:t>
            </w:r>
            <w:r>
              <w:rPr>
                <w:spacing w:val="-1"/>
                <w:sz w:val="20"/>
              </w:rPr>
              <w:t> </w:t>
            </w:r>
            <w:r>
              <w:rPr>
                <w:sz w:val="20"/>
              </w:rPr>
              <w:t>to</w:t>
            </w:r>
            <w:r>
              <w:rPr>
                <w:spacing w:val="-1"/>
                <w:sz w:val="20"/>
              </w:rPr>
              <w:t> </w:t>
            </w:r>
            <w:r>
              <w:rPr>
                <w:sz w:val="20"/>
              </w:rPr>
              <w:t>the</w:t>
            </w:r>
            <w:r>
              <w:rPr>
                <w:spacing w:val="-1"/>
                <w:sz w:val="20"/>
              </w:rPr>
              <w:t> </w:t>
            </w:r>
            <w:r>
              <w:rPr>
                <w:sz w:val="20"/>
              </w:rPr>
              <w:t>finding</w:t>
            </w:r>
            <w:r>
              <w:rPr>
                <w:spacing w:val="-1"/>
                <w:sz w:val="20"/>
              </w:rPr>
              <w:t> </w:t>
            </w:r>
            <w:r>
              <w:rPr>
                <w:sz w:val="20"/>
              </w:rPr>
              <w:t>of</w:t>
            </w:r>
            <w:r>
              <w:rPr>
                <w:spacing w:val="-1"/>
                <w:sz w:val="20"/>
              </w:rPr>
              <w:t> </w:t>
            </w:r>
            <w:r>
              <w:rPr>
                <w:sz w:val="20"/>
              </w:rPr>
              <w:t>a</w:t>
            </w:r>
            <w:r>
              <w:rPr>
                <w:spacing w:val="-1"/>
                <w:sz w:val="20"/>
              </w:rPr>
              <w:t> </w:t>
            </w:r>
            <w:r>
              <w:rPr>
                <w:sz w:val="20"/>
              </w:rPr>
              <w:t>duty</w:t>
            </w:r>
            <w:r>
              <w:rPr>
                <w:spacing w:val="-1"/>
                <w:sz w:val="20"/>
              </w:rPr>
              <w:t> </w:t>
            </w:r>
            <w:r>
              <w:rPr>
                <w:sz w:val="20"/>
              </w:rPr>
              <w:t>of</w:t>
            </w:r>
            <w:r>
              <w:rPr>
                <w:spacing w:val="-1"/>
                <w:sz w:val="20"/>
              </w:rPr>
              <w:t> </w:t>
            </w:r>
            <w:r>
              <w:rPr>
                <w:sz w:val="20"/>
              </w:rPr>
              <w:t>care</w:t>
            </w:r>
            <w:r>
              <w:rPr>
                <w:spacing w:val="-1"/>
                <w:sz w:val="20"/>
              </w:rPr>
              <w:t> </w:t>
            </w:r>
            <w:r>
              <w:rPr>
                <w:sz w:val="20"/>
              </w:rPr>
              <w:t>in</w:t>
            </w:r>
            <w:r>
              <w:rPr>
                <w:spacing w:val="-1"/>
                <w:sz w:val="20"/>
              </w:rPr>
              <w:t> </w:t>
            </w:r>
            <w:r>
              <w:rPr>
                <w:sz w:val="20"/>
              </w:rPr>
              <w:t>the</w:t>
            </w:r>
            <w:r>
              <w:rPr>
                <w:spacing w:val="-1"/>
                <w:sz w:val="20"/>
              </w:rPr>
              <w:t> </w:t>
            </w:r>
            <w:r>
              <w:rPr>
                <w:sz w:val="20"/>
              </w:rPr>
              <w:t>tort</w:t>
            </w:r>
            <w:r>
              <w:rPr>
                <w:spacing w:val="-1"/>
                <w:sz w:val="20"/>
              </w:rPr>
              <w:t> </w:t>
            </w:r>
            <w:r>
              <w:rPr>
                <w:sz w:val="20"/>
              </w:rPr>
              <w:t>of negligence</w:t>
            </w:r>
            <w:r>
              <w:rPr>
                <w:spacing w:val="76"/>
                <w:sz w:val="20"/>
              </w:rPr>
              <w:t> </w:t>
            </w:r>
            <w:r>
              <w:rPr>
                <w:sz w:val="20"/>
              </w:rPr>
              <w:t>found</w:t>
            </w:r>
            <w:r>
              <w:rPr>
                <w:spacing w:val="76"/>
                <w:sz w:val="20"/>
              </w:rPr>
              <w:t> </w:t>
            </w:r>
            <w:r>
              <w:rPr>
                <w:sz w:val="20"/>
              </w:rPr>
              <w:t>in</w:t>
            </w:r>
            <w:r>
              <w:rPr>
                <w:spacing w:val="76"/>
                <w:sz w:val="20"/>
              </w:rPr>
              <w:t> </w:t>
            </w:r>
            <w:r>
              <w:rPr>
                <w:sz w:val="20"/>
              </w:rPr>
              <w:t>the</w:t>
            </w:r>
            <w:r>
              <w:rPr>
                <w:spacing w:val="76"/>
                <w:sz w:val="20"/>
              </w:rPr>
              <w:t> </w:t>
            </w:r>
            <w:r>
              <w:rPr>
                <w:sz w:val="20"/>
              </w:rPr>
              <w:t>judgment</w:t>
            </w:r>
            <w:r>
              <w:rPr>
                <w:spacing w:val="76"/>
                <w:sz w:val="20"/>
              </w:rPr>
              <w:t> </w:t>
            </w:r>
            <w:r>
              <w:rPr>
                <w:sz w:val="20"/>
              </w:rPr>
              <w:t>of</w:t>
            </w:r>
            <w:r>
              <w:rPr>
                <w:spacing w:val="76"/>
                <w:sz w:val="20"/>
              </w:rPr>
              <w:t> </w:t>
            </w:r>
            <w:r>
              <w:rPr>
                <w:sz w:val="20"/>
              </w:rPr>
              <w:t>Sir</w:t>
            </w:r>
            <w:r>
              <w:rPr>
                <w:spacing w:val="76"/>
                <w:sz w:val="20"/>
              </w:rPr>
              <w:t> </w:t>
            </w:r>
            <w:r>
              <w:rPr>
                <w:sz w:val="20"/>
              </w:rPr>
              <w:t>Brian</w:t>
            </w:r>
            <w:r>
              <w:rPr>
                <w:spacing w:val="76"/>
                <w:sz w:val="20"/>
              </w:rPr>
              <w:t> </w:t>
            </w:r>
            <w:r>
              <w:rPr>
                <w:sz w:val="20"/>
              </w:rPr>
              <w:t>Neill</w:t>
            </w:r>
            <w:r>
              <w:rPr>
                <w:spacing w:val="76"/>
                <w:sz w:val="20"/>
              </w:rPr>
              <w:t> </w:t>
            </w:r>
            <w:r>
              <w:rPr>
                <w:sz w:val="20"/>
              </w:rPr>
              <w:t>in</w:t>
            </w:r>
            <w:r>
              <w:rPr>
                <w:spacing w:val="75"/>
                <w:sz w:val="20"/>
              </w:rPr>
              <w:t> </w:t>
            </w:r>
            <w:r>
              <w:rPr>
                <w:rFonts w:ascii="Arial"/>
                <w:i/>
                <w:sz w:val="20"/>
              </w:rPr>
              <w:t>Bank</w:t>
            </w:r>
            <w:r>
              <w:rPr>
                <w:rFonts w:ascii="Arial"/>
                <w:i/>
                <w:spacing w:val="76"/>
                <w:sz w:val="20"/>
              </w:rPr>
              <w:t> </w:t>
            </w:r>
            <w:r>
              <w:rPr>
                <w:rFonts w:ascii="Arial"/>
                <w:i/>
                <w:sz w:val="20"/>
              </w:rPr>
              <w:t>of</w:t>
            </w:r>
            <w:r>
              <w:rPr>
                <w:rFonts w:ascii="Arial"/>
                <w:i/>
                <w:spacing w:val="76"/>
                <w:sz w:val="20"/>
              </w:rPr>
              <w:t> </w:t>
            </w:r>
            <w:r>
              <w:rPr>
                <w:rFonts w:ascii="Arial"/>
                <w:i/>
                <w:sz w:val="20"/>
              </w:rPr>
              <w:t>Credit</w:t>
            </w:r>
            <w:r>
              <w:rPr>
                <w:rFonts w:ascii="Arial"/>
                <w:i/>
                <w:spacing w:val="76"/>
                <w:sz w:val="20"/>
              </w:rPr>
              <w:t> </w:t>
            </w:r>
            <w:r>
              <w:rPr>
                <w:rFonts w:ascii="Arial"/>
                <w:i/>
                <w:sz w:val="20"/>
              </w:rPr>
              <w:t>and</w:t>
            </w:r>
            <w:r>
              <w:rPr>
                <w:rFonts w:ascii="Arial"/>
                <w:i/>
                <w:spacing w:val="76"/>
                <w:sz w:val="20"/>
              </w:rPr>
              <w:t> </w:t>
            </w:r>
            <w:r>
              <w:rPr>
                <w:rFonts w:ascii="Arial"/>
                <w:i/>
                <w:spacing w:val="-2"/>
                <w:sz w:val="20"/>
              </w:rPr>
              <w:t>Commerce</w:t>
            </w:r>
          </w:p>
        </w:tc>
      </w:tr>
      <w:tr>
        <w:trPr>
          <w:trHeight w:val="222" w:hRule="atLeast"/>
        </w:trPr>
        <w:tc>
          <w:tcPr>
            <w:tcW w:w="496" w:type="dxa"/>
          </w:tcPr>
          <w:p>
            <w:pPr>
              <w:pStyle w:val="TableParagraph"/>
              <w:spacing w:before="0"/>
              <w:ind w:left="0"/>
              <w:jc w:val="left"/>
              <w:rPr>
                <w:rFonts w:ascii="Times New Roman"/>
                <w:sz w:val="14"/>
              </w:rPr>
            </w:pPr>
          </w:p>
        </w:tc>
        <w:tc>
          <w:tcPr>
            <w:tcW w:w="8620" w:type="dxa"/>
          </w:tcPr>
          <w:p>
            <w:pPr>
              <w:pStyle w:val="TableParagraph"/>
              <w:spacing w:line="202" w:lineRule="exact" w:before="0"/>
              <w:jc w:val="left"/>
              <w:rPr>
                <w:sz w:val="20"/>
              </w:rPr>
            </w:pPr>
            <w:r>
              <w:rPr>
                <w:rFonts w:ascii="Arial"/>
                <w:i/>
                <w:sz w:val="20"/>
              </w:rPr>
              <w:t>International</w:t>
            </w:r>
            <w:r>
              <w:rPr>
                <w:rFonts w:ascii="Arial"/>
                <w:i/>
                <w:spacing w:val="9"/>
                <w:sz w:val="20"/>
              </w:rPr>
              <w:t> </w:t>
            </w:r>
            <w:r>
              <w:rPr>
                <w:rFonts w:ascii="Arial"/>
                <w:i/>
                <w:sz w:val="20"/>
              </w:rPr>
              <w:t>(Overseas)</w:t>
            </w:r>
            <w:r>
              <w:rPr>
                <w:rFonts w:ascii="Arial"/>
                <w:i/>
                <w:spacing w:val="9"/>
                <w:sz w:val="20"/>
              </w:rPr>
              <w:t> </w:t>
            </w:r>
            <w:r>
              <w:rPr>
                <w:rFonts w:ascii="Arial"/>
                <w:i/>
                <w:sz w:val="20"/>
              </w:rPr>
              <w:t>Ltd</w:t>
            </w:r>
            <w:r>
              <w:rPr>
                <w:rFonts w:ascii="Arial"/>
                <w:i/>
                <w:spacing w:val="9"/>
                <w:sz w:val="20"/>
              </w:rPr>
              <w:t> </w:t>
            </w:r>
            <w:r>
              <w:rPr>
                <w:rFonts w:ascii="Arial"/>
                <w:i/>
                <w:sz w:val="20"/>
              </w:rPr>
              <w:t>(In</w:t>
            </w:r>
            <w:r>
              <w:rPr>
                <w:rFonts w:ascii="Arial"/>
                <w:i/>
                <w:spacing w:val="9"/>
                <w:sz w:val="20"/>
              </w:rPr>
              <w:t> </w:t>
            </w:r>
            <w:r>
              <w:rPr>
                <w:rFonts w:ascii="Arial"/>
                <w:i/>
                <w:sz w:val="20"/>
              </w:rPr>
              <w:t>Liquidation)</w:t>
            </w:r>
            <w:r>
              <w:rPr>
                <w:rFonts w:ascii="Arial"/>
                <w:i/>
                <w:spacing w:val="9"/>
                <w:sz w:val="20"/>
              </w:rPr>
              <w:t> </w:t>
            </w:r>
            <w:r>
              <w:rPr>
                <w:rFonts w:ascii="Arial"/>
                <w:i/>
                <w:sz w:val="20"/>
              </w:rPr>
              <w:t>v</w:t>
            </w:r>
            <w:r>
              <w:rPr>
                <w:rFonts w:ascii="Arial"/>
                <w:i/>
                <w:spacing w:val="9"/>
                <w:sz w:val="20"/>
              </w:rPr>
              <w:t> </w:t>
            </w:r>
            <w:r>
              <w:rPr>
                <w:rFonts w:ascii="Arial"/>
                <w:i/>
                <w:sz w:val="20"/>
              </w:rPr>
              <w:t>Price</w:t>
            </w:r>
            <w:r>
              <w:rPr>
                <w:rFonts w:ascii="Arial"/>
                <w:i/>
                <w:spacing w:val="9"/>
                <w:sz w:val="20"/>
              </w:rPr>
              <w:t> </w:t>
            </w:r>
            <w:r>
              <w:rPr>
                <w:rFonts w:ascii="Arial"/>
                <w:i/>
                <w:sz w:val="20"/>
              </w:rPr>
              <w:t>Waterhouse</w:t>
            </w:r>
            <w:r>
              <w:rPr>
                <w:rFonts w:ascii="Arial"/>
                <w:i/>
                <w:spacing w:val="9"/>
                <w:sz w:val="20"/>
              </w:rPr>
              <w:t> </w:t>
            </w:r>
            <w:r>
              <w:rPr>
                <w:rFonts w:ascii="Arial"/>
                <w:i/>
                <w:sz w:val="20"/>
              </w:rPr>
              <w:t>[1998]</w:t>
            </w:r>
            <w:r>
              <w:rPr>
                <w:rFonts w:ascii="Arial"/>
                <w:i/>
                <w:spacing w:val="9"/>
                <w:sz w:val="20"/>
              </w:rPr>
              <w:t> </w:t>
            </w:r>
            <w:r>
              <w:rPr>
                <w:rFonts w:ascii="Arial"/>
                <w:i/>
                <w:sz w:val="20"/>
              </w:rPr>
              <w:t>P.N.L.R.</w:t>
            </w:r>
            <w:r>
              <w:rPr>
                <w:rFonts w:ascii="Arial"/>
                <w:i/>
                <w:spacing w:val="9"/>
                <w:sz w:val="20"/>
              </w:rPr>
              <w:t> </w:t>
            </w:r>
            <w:r>
              <w:rPr>
                <w:rFonts w:ascii="Arial"/>
                <w:i/>
                <w:sz w:val="20"/>
              </w:rPr>
              <w:t>564,</w:t>
            </w:r>
            <w:r>
              <w:rPr>
                <w:rFonts w:ascii="Arial"/>
                <w:i/>
                <w:spacing w:val="9"/>
                <w:sz w:val="20"/>
              </w:rPr>
              <w:t> </w:t>
            </w:r>
            <w:r>
              <w:rPr>
                <w:rFonts w:ascii="Arial"/>
                <w:i/>
                <w:sz w:val="20"/>
              </w:rPr>
              <w:t>583-</w:t>
            </w:r>
            <w:r>
              <w:rPr>
                <w:rFonts w:ascii="Arial"/>
                <w:i/>
                <w:spacing w:val="-4"/>
                <w:sz w:val="20"/>
              </w:rPr>
              <w:t>586</w:t>
            </w:r>
            <w:r>
              <w:rPr>
                <w:spacing w:val="-4"/>
                <w:sz w:val="20"/>
              </w:rPr>
              <w:t>.</w:t>
            </w:r>
          </w:p>
        </w:tc>
      </w:tr>
      <w:tr>
        <w:trPr>
          <w:trHeight w:val="225" w:hRule="atLeast"/>
        </w:trPr>
        <w:tc>
          <w:tcPr>
            <w:tcW w:w="496" w:type="dxa"/>
          </w:tcPr>
          <w:p>
            <w:pPr>
              <w:pStyle w:val="TableParagraph"/>
              <w:spacing w:before="0"/>
              <w:ind w:left="0"/>
              <w:jc w:val="left"/>
              <w:rPr>
                <w:rFonts w:ascii="Times New Roman"/>
                <w:sz w:val="16"/>
              </w:rPr>
            </w:pPr>
          </w:p>
        </w:tc>
        <w:tc>
          <w:tcPr>
            <w:tcW w:w="8620" w:type="dxa"/>
          </w:tcPr>
          <w:p>
            <w:pPr>
              <w:pStyle w:val="TableParagraph"/>
              <w:spacing w:line="205" w:lineRule="exact" w:before="0"/>
              <w:jc w:val="left"/>
              <w:rPr>
                <w:rFonts w:ascii="Arial" w:hAnsi="Arial"/>
                <w:i/>
                <w:sz w:val="20"/>
              </w:rPr>
            </w:pPr>
            <w:r>
              <w:rPr>
                <w:sz w:val="20"/>
              </w:rPr>
              <w:t>The “incremental approach” was famously advocated by Brennan J. in</w:t>
            </w:r>
            <w:r>
              <w:rPr>
                <w:spacing w:val="-1"/>
                <w:sz w:val="20"/>
              </w:rPr>
              <w:t> </w:t>
            </w:r>
            <w:r>
              <w:rPr>
                <w:rFonts w:ascii="Arial" w:hAnsi="Arial"/>
                <w:i/>
                <w:sz w:val="20"/>
              </w:rPr>
              <w:t>Sutherland Shire </w:t>
            </w:r>
            <w:r>
              <w:rPr>
                <w:rFonts w:ascii="Arial" w:hAnsi="Arial"/>
                <w:i/>
                <w:spacing w:val="-2"/>
                <w:sz w:val="20"/>
              </w:rPr>
              <w:t>Council</w:t>
            </w:r>
          </w:p>
        </w:tc>
      </w:tr>
      <w:tr>
        <w:trPr>
          <w:trHeight w:val="345" w:hRule="atLeast"/>
        </w:trPr>
        <w:tc>
          <w:tcPr>
            <w:tcW w:w="496" w:type="dxa"/>
          </w:tcPr>
          <w:p>
            <w:pPr>
              <w:pStyle w:val="TableParagraph"/>
              <w:spacing w:before="0"/>
              <w:ind w:left="0"/>
              <w:jc w:val="left"/>
              <w:rPr>
                <w:rFonts w:ascii="Times New Roman"/>
                <w:sz w:val="18"/>
              </w:rPr>
            </w:pPr>
          </w:p>
        </w:tc>
        <w:tc>
          <w:tcPr>
            <w:tcW w:w="8620" w:type="dxa"/>
          </w:tcPr>
          <w:p>
            <w:pPr>
              <w:pStyle w:val="TableParagraph"/>
              <w:spacing w:line="224" w:lineRule="exact" w:before="0"/>
              <w:jc w:val="left"/>
              <w:rPr>
                <w:sz w:val="20"/>
              </w:rPr>
            </w:pPr>
            <w:r>
              <w:rPr>
                <w:rFonts w:ascii="Arial"/>
                <w:i/>
                <w:sz w:val="20"/>
              </w:rPr>
              <w:t>v Heyman (1985) 157 C.L.R. 424</w:t>
            </w:r>
            <w:r>
              <w:rPr>
                <w:rFonts w:ascii="Arial"/>
                <w:i/>
                <w:spacing w:val="-1"/>
                <w:sz w:val="20"/>
              </w:rPr>
              <w:t> </w:t>
            </w:r>
            <w:r>
              <w:rPr>
                <w:sz w:val="20"/>
              </w:rPr>
              <w:t>at </w:t>
            </w:r>
            <w:r>
              <w:rPr>
                <w:spacing w:val="-4"/>
                <w:sz w:val="20"/>
              </w:rPr>
              <w:t>481.</w:t>
            </w:r>
          </w:p>
        </w:tc>
      </w:tr>
      <w:tr>
        <w:trPr>
          <w:trHeight w:val="465" w:hRule="atLeast"/>
        </w:trPr>
        <w:tc>
          <w:tcPr>
            <w:tcW w:w="496" w:type="dxa"/>
          </w:tcPr>
          <w:p>
            <w:pPr>
              <w:pStyle w:val="TableParagraph"/>
              <w:ind w:left="0" w:right="43"/>
              <w:rPr>
                <w:sz w:val="14"/>
              </w:rPr>
            </w:pPr>
            <w:bookmarkStart w:name="_bookmark2302" w:id="2304"/>
            <w:bookmarkEnd w:id="2304"/>
            <w:r>
              <w:rPr/>
            </w:r>
            <w:hyperlink w:history="true" w:anchor="_bookmark2191">
              <w:r>
                <w:rPr>
                  <w:color w:val="005DA1"/>
                  <w:spacing w:val="-2"/>
                  <w:sz w:val="14"/>
                  <w:u w:val="single" w:color="005DA1"/>
                </w:rPr>
                <w:t>1516</w:t>
              </w:r>
            </w:hyperlink>
            <w:r>
              <w:rPr>
                <w:spacing w:val="-2"/>
                <w:sz w:val="14"/>
              </w:rPr>
              <w:t>.</w:t>
            </w:r>
          </w:p>
        </w:tc>
        <w:tc>
          <w:tcPr>
            <w:tcW w:w="8620" w:type="dxa"/>
          </w:tcPr>
          <w:p>
            <w:pPr>
              <w:pStyle w:val="TableParagraph"/>
              <w:spacing w:before="114"/>
              <w:jc w:val="left"/>
              <w:rPr>
                <w:sz w:val="20"/>
              </w:rPr>
            </w:pPr>
            <w:r>
              <w:rPr>
                <w:rFonts w:ascii="Arial"/>
                <w:i/>
                <w:sz w:val="20"/>
              </w:rPr>
              <w:t>[2000] P.I.Q.R. P39 </w:t>
            </w:r>
            <w:r>
              <w:rPr>
                <w:sz w:val="20"/>
              </w:rPr>
              <w:t>at </w:t>
            </w:r>
            <w:r>
              <w:rPr>
                <w:spacing w:val="-4"/>
                <w:sz w:val="20"/>
              </w:rPr>
              <w:t>P44.</w:t>
            </w:r>
          </w:p>
        </w:tc>
      </w:tr>
      <w:tr>
        <w:trPr>
          <w:trHeight w:val="465" w:hRule="atLeast"/>
        </w:trPr>
        <w:tc>
          <w:tcPr>
            <w:tcW w:w="496" w:type="dxa"/>
          </w:tcPr>
          <w:p>
            <w:pPr>
              <w:pStyle w:val="TableParagraph"/>
              <w:ind w:left="0" w:right="43"/>
              <w:rPr>
                <w:sz w:val="14"/>
              </w:rPr>
            </w:pPr>
            <w:bookmarkStart w:name="_bookmark2303" w:id="2305"/>
            <w:bookmarkEnd w:id="2305"/>
            <w:r>
              <w:rPr/>
            </w:r>
            <w:hyperlink w:history="true" w:anchor="_bookmark2192">
              <w:r>
                <w:rPr>
                  <w:color w:val="005DA1"/>
                  <w:spacing w:val="-2"/>
                  <w:sz w:val="14"/>
                  <w:u w:val="single" w:color="005DA1"/>
                </w:rPr>
                <w:t>1517</w:t>
              </w:r>
            </w:hyperlink>
            <w:r>
              <w:rPr>
                <w:spacing w:val="-2"/>
                <w:sz w:val="14"/>
              </w:rPr>
              <w:t>.</w:t>
            </w:r>
          </w:p>
        </w:tc>
        <w:tc>
          <w:tcPr>
            <w:tcW w:w="8620" w:type="dxa"/>
          </w:tcPr>
          <w:p>
            <w:pPr>
              <w:pStyle w:val="TableParagraph"/>
              <w:spacing w:before="114"/>
              <w:jc w:val="left"/>
              <w:rPr>
                <w:sz w:val="20"/>
              </w:rPr>
            </w:pPr>
            <w:r>
              <w:rPr>
                <w:rFonts w:ascii="Arial"/>
                <w:i/>
                <w:sz w:val="20"/>
              </w:rPr>
              <w:t>[2000] P.I.Q.R. P39 </w:t>
            </w:r>
            <w:r>
              <w:rPr>
                <w:sz w:val="20"/>
              </w:rPr>
              <w:t>at </w:t>
            </w:r>
            <w:r>
              <w:rPr>
                <w:spacing w:val="-4"/>
                <w:sz w:val="20"/>
              </w:rPr>
              <w:t>P48.</w:t>
            </w:r>
          </w:p>
        </w:tc>
      </w:tr>
      <w:tr>
        <w:trPr>
          <w:trHeight w:val="465" w:hRule="atLeast"/>
        </w:trPr>
        <w:tc>
          <w:tcPr>
            <w:tcW w:w="496" w:type="dxa"/>
          </w:tcPr>
          <w:p>
            <w:pPr>
              <w:pStyle w:val="TableParagraph"/>
              <w:ind w:left="0" w:right="43"/>
              <w:rPr>
                <w:sz w:val="14"/>
              </w:rPr>
            </w:pPr>
            <w:bookmarkStart w:name="_bookmark2304" w:id="2306"/>
            <w:bookmarkEnd w:id="2306"/>
            <w:r>
              <w:rPr/>
            </w:r>
            <w:hyperlink w:history="true" w:anchor="_bookmark2193">
              <w:r>
                <w:rPr>
                  <w:color w:val="005DA1"/>
                  <w:spacing w:val="-2"/>
                  <w:sz w:val="14"/>
                  <w:u w:val="single" w:color="005DA1"/>
                </w:rPr>
                <w:t>1518</w:t>
              </w:r>
            </w:hyperlink>
            <w:r>
              <w:rPr>
                <w:spacing w:val="-2"/>
                <w:sz w:val="14"/>
              </w:rPr>
              <w:t>.</w:t>
            </w:r>
          </w:p>
        </w:tc>
        <w:tc>
          <w:tcPr>
            <w:tcW w:w="8620" w:type="dxa"/>
          </w:tcPr>
          <w:p>
            <w:pPr>
              <w:pStyle w:val="TableParagraph"/>
              <w:spacing w:before="114"/>
              <w:jc w:val="left"/>
              <w:rPr>
                <w:sz w:val="20"/>
              </w:rPr>
            </w:pPr>
            <w:r>
              <w:rPr>
                <w:rFonts w:ascii="Arial"/>
                <w:i/>
                <w:sz w:val="20"/>
              </w:rPr>
              <w:t>[2000] P.I.Q.R. P39 </w:t>
            </w:r>
            <w:r>
              <w:rPr>
                <w:sz w:val="20"/>
              </w:rPr>
              <w:t>at </w:t>
            </w:r>
            <w:r>
              <w:rPr>
                <w:spacing w:val="-4"/>
                <w:sz w:val="20"/>
              </w:rPr>
              <w:t>P50.</w:t>
            </w:r>
          </w:p>
        </w:tc>
      </w:tr>
      <w:tr>
        <w:trPr>
          <w:trHeight w:val="465" w:hRule="atLeast"/>
        </w:trPr>
        <w:tc>
          <w:tcPr>
            <w:tcW w:w="496" w:type="dxa"/>
          </w:tcPr>
          <w:p>
            <w:pPr>
              <w:pStyle w:val="TableParagraph"/>
              <w:ind w:left="0" w:right="43"/>
              <w:rPr>
                <w:sz w:val="14"/>
              </w:rPr>
            </w:pPr>
            <w:bookmarkStart w:name="_bookmark2305" w:id="2307"/>
            <w:bookmarkEnd w:id="2307"/>
            <w:r>
              <w:rPr/>
            </w:r>
            <w:hyperlink w:history="true" w:anchor="_bookmark2194">
              <w:r>
                <w:rPr>
                  <w:color w:val="005DA1"/>
                  <w:spacing w:val="-2"/>
                  <w:sz w:val="14"/>
                  <w:u w:val="single" w:color="005DA1"/>
                </w:rPr>
                <w:t>1519</w:t>
              </w:r>
            </w:hyperlink>
            <w:r>
              <w:rPr>
                <w:spacing w:val="-2"/>
                <w:sz w:val="14"/>
              </w:rPr>
              <w:t>.</w:t>
            </w:r>
          </w:p>
        </w:tc>
        <w:tc>
          <w:tcPr>
            <w:tcW w:w="8620" w:type="dxa"/>
          </w:tcPr>
          <w:p>
            <w:pPr>
              <w:pStyle w:val="TableParagraph"/>
              <w:spacing w:before="114"/>
              <w:jc w:val="left"/>
              <w:rPr>
                <w:sz w:val="20"/>
              </w:rPr>
            </w:pPr>
            <w:r>
              <w:rPr>
                <w:rFonts w:ascii="Arial"/>
                <w:i/>
                <w:sz w:val="20"/>
              </w:rPr>
              <w:t>[1990] 2 A.C. 605</w:t>
            </w:r>
            <w:r>
              <w:rPr>
                <w:rFonts w:ascii="Arial"/>
                <w:i/>
                <w:spacing w:val="-1"/>
                <w:sz w:val="20"/>
              </w:rPr>
              <w:t> </w:t>
            </w:r>
            <w:r>
              <w:rPr>
                <w:sz w:val="20"/>
              </w:rPr>
              <w:t>at </w:t>
            </w:r>
            <w:r>
              <w:rPr>
                <w:spacing w:val="-4"/>
                <w:sz w:val="20"/>
              </w:rPr>
              <w:t>618.</w:t>
            </w:r>
          </w:p>
        </w:tc>
      </w:tr>
      <w:tr>
        <w:trPr>
          <w:trHeight w:val="465" w:hRule="atLeast"/>
        </w:trPr>
        <w:tc>
          <w:tcPr>
            <w:tcW w:w="496" w:type="dxa"/>
          </w:tcPr>
          <w:p>
            <w:pPr>
              <w:pStyle w:val="TableParagraph"/>
              <w:ind w:left="0" w:right="43"/>
              <w:rPr>
                <w:sz w:val="14"/>
              </w:rPr>
            </w:pPr>
            <w:bookmarkStart w:name="_bookmark2306" w:id="2308"/>
            <w:bookmarkEnd w:id="2308"/>
            <w:r>
              <w:rPr/>
            </w:r>
            <w:hyperlink w:history="true" w:anchor="_bookmark2195">
              <w:r>
                <w:rPr>
                  <w:color w:val="005DA1"/>
                  <w:spacing w:val="-2"/>
                  <w:sz w:val="14"/>
                  <w:u w:val="single" w:color="005DA1"/>
                </w:rPr>
                <w:t>1520</w:t>
              </w:r>
            </w:hyperlink>
            <w:r>
              <w:rPr>
                <w:spacing w:val="-2"/>
                <w:sz w:val="14"/>
              </w:rPr>
              <w:t>.</w:t>
            </w:r>
          </w:p>
        </w:tc>
        <w:tc>
          <w:tcPr>
            <w:tcW w:w="8620" w:type="dxa"/>
          </w:tcPr>
          <w:p>
            <w:pPr>
              <w:pStyle w:val="TableParagraph"/>
              <w:spacing w:before="114"/>
              <w:jc w:val="left"/>
              <w:rPr>
                <w:rFonts w:ascii="Arial"/>
                <w:i/>
                <w:sz w:val="20"/>
              </w:rPr>
            </w:pPr>
            <w:r>
              <w:rPr>
                <w:rFonts w:ascii="Arial"/>
                <w:i/>
                <w:sz w:val="20"/>
              </w:rPr>
              <w:t>[2006] UKHL 28, [2006] 3 W.L.R. </w:t>
            </w:r>
            <w:r>
              <w:rPr>
                <w:rFonts w:ascii="Arial"/>
                <w:i/>
                <w:spacing w:val="-5"/>
                <w:sz w:val="20"/>
              </w:rPr>
              <w:t>1.</w:t>
            </w:r>
          </w:p>
        </w:tc>
      </w:tr>
      <w:tr>
        <w:trPr>
          <w:trHeight w:val="465" w:hRule="atLeast"/>
        </w:trPr>
        <w:tc>
          <w:tcPr>
            <w:tcW w:w="496" w:type="dxa"/>
          </w:tcPr>
          <w:p>
            <w:pPr>
              <w:pStyle w:val="TableParagraph"/>
              <w:ind w:left="0" w:right="43"/>
              <w:rPr>
                <w:sz w:val="14"/>
              </w:rPr>
            </w:pPr>
            <w:bookmarkStart w:name="_bookmark2307" w:id="2309"/>
            <w:bookmarkEnd w:id="2309"/>
            <w:r>
              <w:rPr/>
            </w:r>
            <w:hyperlink w:history="true" w:anchor="_bookmark2196">
              <w:r>
                <w:rPr>
                  <w:color w:val="005DA1"/>
                  <w:spacing w:val="-2"/>
                  <w:sz w:val="14"/>
                  <w:u w:val="single" w:color="005DA1"/>
                </w:rPr>
                <w:t>1521</w:t>
              </w:r>
            </w:hyperlink>
            <w:r>
              <w:rPr>
                <w:spacing w:val="-2"/>
                <w:sz w:val="14"/>
              </w:rPr>
              <w:t>.</w:t>
            </w:r>
          </w:p>
        </w:tc>
        <w:tc>
          <w:tcPr>
            <w:tcW w:w="8620" w:type="dxa"/>
          </w:tcPr>
          <w:p>
            <w:pPr>
              <w:pStyle w:val="TableParagraph"/>
              <w:spacing w:before="114"/>
              <w:jc w:val="left"/>
              <w:rPr>
                <w:sz w:val="20"/>
              </w:rPr>
            </w:pPr>
            <w:r>
              <w:rPr>
                <w:rFonts w:ascii="Arial"/>
                <w:i/>
                <w:sz w:val="20"/>
              </w:rPr>
              <w:t>[2006] UKHL 28</w:t>
            </w:r>
            <w:r>
              <w:rPr>
                <w:rFonts w:ascii="Arial"/>
                <w:i/>
                <w:spacing w:val="-1"/>
                <w:sz w:val="20"/>
              </w:rPr>
              <w:t> </w:t>
            </w:r>
            <w:r>
              <w:rPr>
                <w:sz w:val="20"/>
              </w:rPr>
              <w:t>at [7] and </w:t>
            </w:r>
            <w:r>
              <w:rPr>
                <w:spacing w:val="-2"/>
                <w:sz w:val="20"/>
              </w:rPr>
              <w:t>[93].</w:t>
            </w:r>
          </w:p>
        </w:tc>
      </w:tr>
      <w:tr>
        <w:trPr>
          <w:trHeight w:val="465" w:hRule="atLeast"/>
        </w:trPr>
        <w:tc>
          <w:tcPr>
            <w:tcW w:w="496" w:type="dxa"/>
          </w:tcPr>
          <w:p>
            <w:pPr>
              <w:pStyle w:val="TableParagraph"/>
              <w:ind w:left="0" w:right="43"/>
              <w:rPr>
                <w:sz w:val="14"/>
              </w:rPr>
            </w:pPr>
            <w:bookmarkStart w:name="_bookmark2308" w:id="2310"/>
            <w:bookmarkEnd w:id="2310"/>
            <w:r>
              <w:rPr/>
            </w:r>
            <w:hyperlink w:history="true" w:anchor="_bookmark2197">
              <w:r>
                <w:rPr>
                  <w:color w:val="005DA1"/>
                  <w:spacing w:val="-2"/>
                  <w:sz w:val="14"/>
                  <w:u w:val="single" w:color="005DA1"/>
                </w:rPr>
                <w:t>1522</w:t>
              </w:r>
            </w:hyperlink>
            <w:r>
              <w:rPr>
                <w:spacing w:val="-2"/>
                <w:sz w:val="14"/>
              </w:rPr>
              <w:t>.</w:t>
            </w:r>
          </w:p>
        </w:tc>
        <w:tc>
          <w:tcPr>
            <w:tcW w:w="8620" w:type="dxa"/>
          </w:tcPr>
          <w:p>
            <w:pPr>
              <w:pStyle w:val="TableParagraph"/>
              <w:spacing w:before="114"/>
              <w:jc w:val="left"/>
              <w:rPr>
                <w:sz w:val="20"/>
              </w:rPr>
            </w:pPr>
            <w:r>
              <w:rPr>
                <w:rFonts w:ascii="Arial"/>
                <w:i/>
                <w:sz w:val="20"/>
              </w:rPr>
              <w:t>[2006] UKHL 28</w:t>
            </w:r>
            <w:r>
              <w:rPr>
                <w:rFonts w:ascii="Arial"/>
                <w:i/>
                <w:spacing w:val="-1"/>
                <w:sz w:val="20"/>
              </w:rPr>
              <w:t> </w:t>
            </w:r>
            <w:r>
              <w:rPr>
                <w:sz w:val="20"/>
              </w:rPr>
              <w:t>at [14], [65], </w:t>
            </w:r>
            <w:r>
              <w:rPr>
                <w:spacing w:val="-2"/>
                <w:sz w:val="20"/>
              </w:rPr>
              <w:t>[74].</w:t>
            </w:r>
          </w:p>
        </w:tc>
      </w:tr>
      <w:tr>
        <w:trPr>
          <w:trHeight w:val="465" w:hRule="atLeast"/>
        </w:trPr>
        <w:tc>
          <w:tcPr>
            <w:tcW w:w="496" w:type="dxa"/>
          </w:tcPr>
          <w:p>
            <w:pPr>
              <w:pStyle w:val="TableParagraph"/>
              <w:ind w:left="0" w:right="43"/>
              <w:rPr>
                <w:sz w:val="14"/>
              </w:rPr>
            </w:pPr>
            <w:bookmarkStart w:name="_bookmark2309" w:id="2311"/>
            <w:bookmarkEnd w:id="2311"/>
            <w:r>
              <w:rPr/>
            </w:r>
            <w:hyperlink w:history="true" w:anchor="_bookmark2198">
              <w:r>
                <w:rPr>
                  <w:color w:val="005DA1"/>
                  <w:spacing w:val="-2"/>
                  <w:sz w:val="14"/>
                  <w:u w:val="single" w:color="005DA1"/>
                </w:rPr>
                <w:t>1523</w:t>
              </w:r>
            </w:hyperlink>
            <w:r>
              <w:rPr>
                <w:spacing w:val="-2"/>
                <w:sz w:val="14"/>
              </w:rPr>
              <w:t>.</w:t>
            </w:r>
          </w:p>
        </w:tc>
        <w:tc>
          <w:tcPr>
            <w:tcW w:w="8620" w:type="dxa"/>
          </w:tcPr>
          <w:p>
            <w:pPr>
              <w:pStyle w:val="TableParagraph"/>
              <w:spacing w:before="114"/>
              <w:jc w:val="left"/>
              <w:rPr>
                <w:sz w:val="20"/>
              </w:rPr>
            </w:pPr>
            <w:r>
              <w:rPr>
                <w:rFonts w:ascii="Arial" w:hAnsi="Arial"/>
                <w:i/>
                <w:sz w:val="20"/>
              </w:rPr>
              <w:t>[2006] UKHL 28</w:t>
            </w:r>
            <w:r>
              <w:rPr>
                <w:rFonts w:ascii="Arial" w:hAnsi="Arial"/>
                <w:i/>
                <w:spacing w:val="-1"/>
                <w:sz w:val="20"/>
              </w:rPr>
              <w:t> </w:t>
            </w:r>
            <w:r>
              <w:rPr>
                <w:sz w:val="20"/>
              </w:rPr>
              <w:t>at </w:t>
            </w:r>
            <w:r>
              <w:rPr>
                <w:spacing w:val="-2"/>
                <w:sz w:val="20"/>
              </w:rPr>
              <w:t>[61]–[64].</w:t>
            </w:r>
          </w:p>
        </w:tc>
      </w:tr>
      <w:tr>
        <w:trPr>
          <w:trHeight w:val="465" w:hRule="atLeast"/>
        </w:trPr>
        <w:tc>
          <w:tcPr>
            <w:tcW w:w="496" w:type="dxa"/>
          </w:tcPr>
          <w:p>
            <w:pPr>
              <w:pStyle w:val="TableParagraph"/>
              <w:ind w:left="0" w:right="43"/>
              <w:rPr>
                <w:sz w:val="14"/>
              </w:rPr>
            </w:pPr>
            <w:bookmarkStart w:name="_bookmark2310" w:id="2312"/>
            <w:bookmarkEnd w:id="2312"/>
            <w:r>
              <w:rPr/>
            </w:r>
            <w:hyperlink w:history="true" w:anchor="_bookmark2199">
              <w:r>
                <w:rPr>
                  <w:color w:val="005DA1"/>
                  <w:spacing w:val="-2"/>
                  <w:sz w:val="14"/>
                  <w:u w:val="single" w:color="005DA1"/>
                </w:rPr>
                <w:t>1524</w:t>
              </w:r>
            </w:hyperlink>
            <w:r>
              <w:rPr>
                <w:spacing w:val="-2"/>
                <w:sz w:val="14"/>
              </w:rPr>
              <w:t>.</w:t>
            </w:r>
          </w:p>
        </w:tc>
        <w:tc>
          <w:tcPr>
            <w:tcW w:w="8620" w:type="dxa"/>
          </w:tcPr>
          <w:p>
            <w:pPr>
              <w:pStyle w:val="TableParagraph"/>
              <w:spacing w:before="114"/>
              <w:jc w:val="left"/>
              <w:rPr>
                <w:sz w:val="20"/>
              </w:rPr>
            </w:pPr>
            <w:r>
              <w:rPr>
                <w:rFonts w:ascii="Arial"/>
                <w:i/>
                <w:sz w:val="20"/>
              </w:rPr>
              <w:t>[2006] UKHL 28</w:t>
            </w:r>
            <w:r>
              <w:rPr>
                <w:rFonts w:ascii="Arial"/>
                <w:i/>
                <w:spacing w:val="-1"/>
                <w:sz w:val="20"/>
              </w:rPr>
              <w:t> </w:t>
            </w:r>
            <w:r>
              <w:rPr>
                <w:sz w:val="20"/>
              </w:rPr>
              <w:t>at [23], [61], [77] and </w:t>
            </w:r>
            <w:r>
              <w:rPr>
                <w:spacing w:val="-2"/>
                <w:sz w:val="20"/>
              </w:rPr>
              <w:t>[102].</w:t>
            </w:r>
          </w:p>
        </w:tc>
      </w:tr>
      <w:tr>
        <w:trPr>
          <w:trHeight w:val="465" w:hRule="atLeast"/>
        </w:trPr>
        <w:tc>
          <w:tcPr>
            <w:tcW w:w="496" w:type="dxa"/>
          </w:tcPr>
          <w:p>
            <w:pPr>
              <w:pStyle w:val="TableParagraph"/>
              <w:ind w:left="0" w:right="43"/>
              <w:rPr>
                <w:sz w:val="14"/>
              </w:rPr>
            </w:pPr>
            <w:bookmarkStart w:name="_bookmark2311" w:id="2313"/>
            <w:bookmarkEnd w:id="2313"/>
            <w:r>
              <w:rPr/>
            </w:r>
            <w:hyperlink w:history="true" w:anchor="_bookmark2199">
              <w:r>
                <w:rPr>
                  <w:color w:val="005DA1"/>
                  <w:spacing w:val="-2"/>
                  <w:sz w:val="14"/>
                  <w:u w:val="single" w:color="005DA1"/>
                </w:rPr>
                <w:t>1525</w:t>
              </w:r>
            </w:hyperlink>
            <w:r>
              <w:rPr>
                <w:spacing w:val="-2"/>
                <w:sz w:val="14"/>
              </w:rPr>
              <w:t>.</w:t>
            </w:r>
          </w:p>
        </w:tc>
        <w:tc>
          <w:tcPr>
            <w:tcW w:w="8620" w:type="dxa"/>
          </w:tcPr>
          <w:p>
            <w:pPr>
              <w:pStyle w:val="TableParagraph"/>
              <w:spacing w:before="114"/>
              <w:jc w:val="left"/>
              <w:rPr>
                <w:sz w:val="20"/>
              </w:rPr>
            </w:pPr>
            <w:r>
              <w:rPr>
                <w:rFonts w:ascii="Arial"/>
                <w:i/>
                <w:sz w:val="20"/>
              </w:rPr>
              <w:t>[2010] EWHC 86 (TCC), [2010] B.L.R. </w:t>
            </w:r>
            <w:r>
              <w:rPr>
                <w:rFonts w:ascii="Arial"/>
                <w:i/>
                <w:spacing w:val="-4"/>
                <w:sz w:val="20"/>
              </w:rPr>
              <w:t>267</w:t>
            </w:r>
            <w:r>
              <w:rPr>
                <w:spacing w:val="-4"/>
                <w:sz w:val="20"/>
              </w:rPr>
              <w:t>.</w:t>
            </w:r>
          </w:p>
        </w:tc>
      </w:tr>
      <w:tr>
        <w:trPr>
          <w:trHeight w:val="344" w:hRule="atLeast"/>
        </w:trPr>
        <w:tc>
          <w:tcPr>
            <w:tcW w:w="496" w:type="dxa"/>
          </w:tcPr>
          <w:p>
            <w:pPr>
              <w:pStyle w:val="TableParagraph"/>
              <w:ind w:left="0" w:right="43"/>
              <w:rPr>
                <w:sz w:val="14"/>
              </w:rPr>
            </w:pPr>
            <w:bookmarkStart w:name="_bookmark2312" w:id="2314"/>
            <w:bookmarkEnd w:id="2314"/>
            <w:r>
              <w:rPr/>
            </w:r>
            <w:hyperlink w:history="true" w:anchor="_bookmark2200">
              <w:r>
                <w:rPr>
                  <w:color w:val="005DA1"/>
                  <w:spacing w:val="-2"/>
                  <w:sz w:val="14"/>
                  <w:u w:val="single" w:color="005DA1"/>
                </w:rPr>
                <w:t>1526</w:t>
              </w:r>
            </w:hyperlink>
            <w:r>
              <w:rPr>
                <w:spacing w:val="-2"/>
                <w:sz w:val="14"/>
              </w:rPr>
              <w:t>.</w:t>
            </w:r>
          </w:p>
        </w:tc>
        <w:tc>
          <w:tcPr>
            <w:tcW w:w="8620" w:type="dxa"/>
          </w:tcPr>
          <w:p>
            <w:pPr>
              <w:pStyle w:val="TableParagraph"/>
              <w:spacing w:line="210" w:lineRule="exact" w:before="114"/>
              <w:jc w:val="left"/>
              <w:rPr>
                <w:sz w:val="20"/>
              </w:rPr>
            </w:pPr>
            <w:r>
              <w:rPr>
                <w:rFonts w:ascii="Arial"/>
                <w:i/>
                <w:sz w:val="20"/>
              </w:rPr>
              <w:t>[1990] 2 A.C. 605</w:t>
            </w:r>
            <w:r>
              <w:rPr>
                <w:rFonts w:ascii="Arial"/>
                <w:i/>
                <w:spacing w:val="-1"/>
                <w:sz w:val="20"/>
              </w:rPr>
              <w:t> </w:t>
            </w:r>
            <w:r>
              <w:rPr>
                <w:sz w:val="20"/>
              </w:rPr>
              <w:t>at </w:t>
            </w:r>
            <w:r>
              <w:rPr>
                <w:spacing w:val="-4"/>
                <w:sz w:val="20"/>
              </w:rPr>
              <w:t>618.</w:t>
            </w:r>
          </w:p>
        </w:tc>
      </w:tr>
    </w:tbl>
    <w:p>
      <w:pPr>
        <w:pStyle w:val="BodyText"/>
        <w:spacing w:before="81"/>
        <w:rPr>
          <w:sz w:val="14"/>
        </w:rPr>
      </w:pPr>
    </w:p>
    <w:p>
      <w:pPr>
        <w:spacing w:line="137" w:lineRule="exact" w:before="0"/>
        <w:ind w:left="165" w:right="0" w:firstLine="0"/>
        <w:jc w:val="left"/>
        <w:rPr>
          <w:sz w:val="14"/>
        </w:rPr>
      </w:pPr>
      <w:bookmarkStart w:name="_bookmark2313" w:id="2315"/>
      <w:bookmarkEnd w:id="2315"/>
      <w:r>
        <w:rPr/>
      </w:r>
      <w:hyperlink w:history="true" w:anchor="_bookmark2201">
        <w:r>
          <w:rPr>
            <w:color w:val="005DA1"/>
            <w:spacing w:val="-2"/>
            <w:sz w:val="14"/>
            <w:u w:val="single" w:color="005DA1"/>
          </w:rPr>
          <w:t>1527</w:t>
        </w:r>
      </w:hyperlink>
      <w:r>
        <w:rPr>
          <w:spacing w:val="-2"/>
          <w:sz w:val="14"/>
        </w:rPr>
        <w:t>.</w:t>
      </w:r>
    </w:p>
    <w:p>
      <w:pPr>
        <w:spacing w:line="203" w:lineRule="exact" w:before="0"/>
        <w:ind w:left="875" w:right="0" w:firstLine="0"/>
        <w:jc w:val="left"/>
        <w:rPr>
          <w:rFonts w:ascii="Arial" w:hAnsi="Arial"/>
          <w:i/>
          <w:sz w:val="20"/>
        </w:rPr>
      </w:pPr>
      <w:r>
        <w:rPr>
          <w:rFonts w:ascii="Arial" w:hAnsi="Arial"/>
          <w:i/>
          <w:sz w:val="20"/>
        </w:rPr>
        <w:drawing>
          <wp:anchor distT="0" distB="0" distL="0" distR="0" allowOverlap="1" layoutInCell="1" locked="0" behindDoc="0" simplePos="0" relativeHeight="15841792">
            <wp:simplePos x="0" y="0"/>
            <wp:positionH relativeFrom="page">
              <wp:posOffset>1257846</wp:posOffset>
            </wp:positionH>
            <wp:positionV relativeFrom="paragraph">
              <wp:posOffset>13064</wp:posOffset>
            </wp:positionV>
            <wp:extent cx="107988" cy="107988"/>
            <wp:effectExtent l="0" t="0" r="0" b="0"/>
            <wp:wrapNone/>
            <wp:docPr id="563" name="Image 563"/>
            <wp:cNvGraphicFramePr>
              <a:graphicFrameLocks/>
            </wp:cNvGraphicFramePr>
            <a:graphic>
              <a:graphicData uri="http://schemas.openxmlformats.org/drawingml/2006/picture">
                <pic:pic>
                  <pic:nvPicPr>
                    <pic:cNvPr id="563" name="Image 56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[2010]</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86</w:t>
      </w:r>
      <w:r>
        <w:rPr>
          <w:rFonts w:ascii="Arial" w:hAnsi="Arial"/>
          <w:i/>
          <w:spacing w:val="1"/>
          <w:sz w:val="20"/>
        </w:rPr>
        <w:t> </w:t>
      </w:r>
      <w:r>
        <w:rPr>
          <w:rFonts w:ascii="Arial" w:hAnsi="Arial"/>
          <w:i/>
          <w:sz w:val="20"/>
        </w:rPr>
        <w:t>(TCC)</w:t>
      </w:r>
      <w:r>
        <w:rPr>
          <w:rFonts w:ascii="Arial" w:hAnsi="Arial"/>
          <w:i/>
          <w:spacing w:val="1"/>
          <w:sz w:val="20"/>
        </w:rPr>
        <w:t> </w:t>
      </w:r>
      <w:r>
        <w:rPr>
          <w:sz w:val="20"/>
        </w:rPr>
        <w:t>at</w:t>
      </w:r>
      <w:r>
        <w:rPr>
          <w:spacing w:val="1"/>
          <w:sz w:val="20"/>
        </w:rPr>
        <w:t> </w:t>
      </w:r>
      <w:r>
        <w:rPr>
          <w:sz w:val="20"/>
        </w:rPr>
        <w:t>[536]–[543].</w:t>
      </w:r>
      <w:r>
        <w:rPr>
          <w:spacing w:val="1"/>
          <w:sz w:val="20"/>
        </w:rPr>
        <w:t> </w:t>
      </w:r>
      <w:r>
        <w:rPr>
          <w:sz w:val="20"/>
        </w:rPr>
        <w:t>See</w:t>
      </w:r>
      <w:r>
        <w:rPr>
          <w:spacing w:val="1"/>
          <w:sz w:val="20"/>
        </w:rPr>
        <w:t> </w:t>
      </w:r>
      <w:r>
        <w:rPr>
          <w:sz w:val="20"/>
        </w:rPr>
        <w:t>also</w:t>
      </w:r>
      <w:r>
        <w:rPr>
          <w:spacing w:val="1"/>
          <w:sz w:val="20"/>
        </w:rPr>
        <w:t> </w:t>
      </w:r>
      <w:r>
        <w:rPr>
          <w:rFonts w:ascii="Arial" w:hAnsi="Arial"/>
          <w:i/>
          <w:sz w:val="20"/>
        </w:rPr>
        <w:t>Playboy</w:t>
      </w:r>
      <w:r>
        <w:rPr>
          <w:rFonts w:ascii="Arial" w:hAnsi="Arial"/>
          <w:i/>
          <w:spacing w:val="1"/>
          <w:sz w:val="20"/>
        </w:rPr>
        <w:t> </w:t>
      </w:r>
      <w:r>
        <w:rPr>
          <w:rFonts w:ascii="Arial" w:hAnsi="Arial"/>
          <w:i/>
          <w:sz w:val="20"/>
        </w:rPr>
        <w:t>Club</w:t>
      </w:r>
      <w:r>
        <w:rPr>
          <w:rFonts w:ascii="Arial" w:hAnsi="Arial"/>
          <w:i/>
          <w:spacing w:val="1"/>
          <w:sz w:val="20"/>
        </w:rPr>
        <w:t> </w:t>
      </w:r>
      <w:r>
        <w:rPr>
          <w:rFonts w:ascii="Arial" w:hAnsi="Arial"/>
          <w:i/>
          <w:sz w:val="20"/>
        </w:rPr>
        <w:t>London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Banca</w:t>
      </w:r>
      <w:r>
        <w:rPr>
          <w:rFonts w:ascii="Arial" w:hAnsi="Arial"/>
          <w:i/>
          <w:spacing w:val="1"/>
          <w:sz w:val="20"/>
        </w:rPr>
        <w:t> </w:t>
      </w:r>
      <w:r>
        <w:rPr>
          <w:rFonts w:ascii="Arial" w:hAnsi="Arial"/>
          <w:i/>
          <w:spacing w:val="-2"/>
          <w:sz w:val="20"/>
        </w:rPr>
        <w:t>Nazionale</w:t>
      </w:r>
    </w:p>
    <w:p>
      <w:pPr>
        <w:pStyle w:val="BodyText"/>
        <w:spacing w:line="235" w:lineRule="auto" w:before="2"/>
        <w:ind w:left="705" w:right="167"/>
        <w:jc w:val="both"/>
      </w:pPr>
      <w:r>
        <w:rPr>
          <w:rFonts w:ascii="Arial" w:hAnsi="Arial"/>
          <w:i/>
        </w:rPr>
        <w:t>del Lavoro SpA [2016] EWCA Civ 457, [2016] 1 W.L.R. 3169 </w:t>
      </w:r>
      <w:r>
        <w:rPr/>
        <w:t>(appeal pending to SC) (no assumption of responsibility in bank in giving a credit reference about one of its customers to a named company (A Co) where (unknown to the bank) the reference was to be used by another company (B Co, a casino) in the same group; nor was it “fair, just and reasonable” to impose liability on the bank in these circumstances).</w:t>
      </w:r>
    </w:p>
    <w:p>
      <w:pPr>
        <w:pStyle w:val="BodyText"/>
        <w:spacing w:before="8"/>
      </w:pPr>
    </w:p>
    <w:p>
      <w:pPr>
        <w:pStyle w:val="BodyText"/>
        <w:spacing w:line="235" w:lineRule="auto"/>
        <w:ind w:left="705" w:hanging="541"/>
      </w:pPr>
      <w:bookmarkStart w:name="_bookmark2314" w:id="2316"/>
      <w:bookmarkEnd w:id="2316"/>
      <w:r>
        <w:rPr/>
      </w:r>
      <w:hyperlink w:history="true" w:anchor="_bookmark2202">
        <w:r>
          <w:rPr>
            <w:color w:val="005DA1"/>
            <w:position w:val="5"/>
            <w:sz w:val="14"/>
            <w:u w:val="single" w:color="005DA1"/>
          </w:rPr>
          <w:t>1528</w:t>
        </w:r>
      </w:hyperlink>
      <w:r>
        <w:rPr>
          <w:position w:val="5"/>
          <w:sz w:val="14"/>
        </w:rPr>
        <w:t>.</w:t>
      </w:r>
      <w:r>
        <w:rPr>
          <w:spacing w:val="40"/>
          <w:position w:val="5"/>
          <w:sz w:val="14"/>
        </w:rPr>
        <w:t>  </w:t>
      </w:r>
      <w:r>
        <w:rPr/>
        <w:t>Below,</w:t>
      </w:r>
      <w:r>
        <w:rPr>
          <w:spacing w:val="-2"/>
        </w:rPr>
        <w:t> </w:t>
      </w:r>
      <w:r>
        <w:rPr/>
        <w:t>paras</w:t>
      </w:r>
      <w:r>
        <w:rPr>
          <w:spacing w:val="-2"/>
        </w:rPr>
        <w:t> </w:t>
      </w:r>
      <w:r>
        <w:rPr/>
        <w:t>15-042</w:t>
      </w:r>
      <w:r>
        <w:rPr>
          <w:spacing w:val="-2"/>
        </w:rPr>
        <w:t> </w:t>
      </w:r>
      <w:r>
        <w:rPr/>
        <w:t>et</w:t>
      </w:r>
      <w:r>
        <w:rPr>
          <w:spacing w:val="-2"/>
        </w:rPr>
        <w:t> </w:t>
      </w:r>
      <w:r>
        <w:rPr/>
        <w:t>seq.</w:t>
      </w:r>
      <w:r>
        <w:rPr>
          <w:spacing w:val="-2"/>
        </w:rPr>
        <w:t> </w:t>
      </w:r>
      <w:r>
        <w:rPr/>
        <w:t>Distinguish</w:t>
      </w:r>
      <w:r>
        <w:rPr>
          <w:spacing w:val="-2"/>
        </w:rPr>
        <w:t> </w:t>
      </w:r>
      <w:r>
        <w:rPr/>
        <w:t>the</w:t>
      </w:r>
      <w:r>
        <w:rPr>
          <w:spacing w:val="-2"/>
        </w:rPr>
        <w:t> </w:t>
      </w:r>
      <w:r>
        <w:rPr/>
        <w:t>case</w:t>
      </w:r>
      <w:r>
        <w:rPr>
          <w:spacing w:val="-2"/>
        </w:rPr>
        <w:t> </w:t>
      </w:r>
      <w:r>
        <w:rPr/>
        <w:t>where</w:t>
      </w:r>
      <w:r>
        <w:rPr>
          <w:spacing w:val="-2"/>
        </w:rPr>
        <w:t> </w:t>
      </w:r>
      <w:r>
        <w:rPr/>
        <w:t>A</w:t>
      </w:r>
      <w:r>
        <w:rPr>
          <w:spacing w:val="-2"/>
        </w:rPr>
        <w:t> </w:t>
      </w:r>
      <w:r>
        <w:rPr/>
        <w:t>and</w:t>
      </w:r>
      <w:r>
        <w:rPr>
          <w:spacing w:val="-2"/>
        </w:rPr>
        <w:t> </w:t>
      </w:r>
      <w:r>
        <w:rPr/>
        <w:t>B</w:t>
      </w:r>
      <w:r>
        <w:rPr>
          <w:spacing w:val="-2"/>
        </w:rPr>
        <w:t> </w:t>
      </w:r>
      <w:r>
        <w:rPr/>
        <w:t>agreed</w:t>
      </w:r>
      <w:r>
        <w:rPr>
          <w:spacing w:val="-2"/>
        </w:rPr>
        <w:t> </w:t>
      </w:r>
      <w:r>
        <w:rPr/>
        <w:t>that</w:t>
      </w:r>
      <w:r>
        <w:rPr>
          <w:spacing w:val="-2"/>
        </w:rPr>
        <w:t> </w:t>
      </w:r>
      <w:r>
        <w:rPr/>
        <w:t>C</w:t>
      </w:r>
      <w:r>
        <w:rPr>
          <w:spacing w:val="-2"/>
        </w:rPr>
        <w:t> </w:t>
      </w:r>
      <w:r>
        <w:rPr/>
        <w:t>will</w:t>
      </w:r>
      <w:r>
        <w:rPr>
          <w:spacing w:val="-2"/>
        </w:rPr>
        <w:t> </w:t>
      </w:r>
      <w:r>
        <w:rPr/>
        <w:t>be</w:t>
      </w:r>
      <w:r>
        <w:rPr>
          <w:spacing w:val="-2"/>
        </w:rPr>
        <w:t> </w:t>
      </w:r>
      <w:r>
        <w:rPr/>
        <w:t>protected from liability against A: see below, paras 15-045—15-061.</w:t>
      </w:r>
    </w:p>
    <w:p>
      <w:pPr>
        <w:pStyle w:val="BodyText"/>
        <w:spacing w:before="5"/>
      </w:pPr>
    </w:p>
    <w:p>
      <w:pPr>
        <w:spacing w:before="0"/>
        <w:ind w:left="165" w:right="0" w:firstLine="0"/>
        <w:jc w:val="left"/>
        <w:rPr>
          <w:sz w:val="20"/>
        </w:rPr>
      </w:pPr>
      <w:bookmarkStart w:name="_bookmark2315" w:id="2317"/>
      <w:bookmarkEnd w:id="2317"/>
      <w:r>
        <w:rPr/>
      </w:r>
      <w:hyperlink w:history="true" w:anchor="_bookmark2203">
        <w:r>
          <w:rPr>
            <w:color w:val="005DA1"/>
            <w:position w:val="5"/>
            <w:sz w:val="14"/>
            <w:u w:val="single" w:color="005DA1"/>
          </w:rPr>
          <w:t>1529</w:t>
        </w:r>
      </w:hyperlink>
      <w:r>
        <w:rPr>
          <w:position w:val="5"/>
          <w:sz w:val="14"/>
        </w:rPr>
        <w:t>.</w:t>
      </w:r>
      <w:r>
        <w:rPr>
          <w:spacing w:val="55"/>
          <w:position w:val="5"/>
          <w:sz w:val="14"/>
        </w:rPr>
        <w:t>  </w:t>
      </w:r>
      <w:r>
        <w:rPr>
          <w:sz w:val="20"/>
        </w:rPr>
        <w:t>See </w:t>
      </w:r>
      <w:r>
        <w:rPr>
          <w:rFonts w:ascii="Arial"/>
          <w:i/>
          <w:sz w:val="20"/>
        </w:rPr>
        <w:t>Haseldine v C.A. Daw &amp; Son Ltd [1941] 2 K.B. 343, 397</w:t>
      </w:r>
      <w:r>
        <w:rPr>
          <w:rFonts w:ascii="Arial"/>
          <w:i/>
          <w:spacing w:val="-1"/>
          <w:sz w:val="20"/>
        </w:rPr>
        <w:t> </w:t>
      </w:r>
      <w:r>
        <w:rPr>
          <w:sz w:val="20"/>
        </w:rPr>
        <w:t>and see below, para.15-</w:t>
      </w:r>
      <w:r>
        <w:rPr>
          <w:spacing w:val="-4"/>
          <w:sz w:val="20"/>
        </w:rPr>
        <w:t>043.</w:t>
      </w:r>
    </w:p>
    <w:p>
      <w:pPr>
        <w:pStyle w:val="BodyText"/>
        <w:spacing w:before="5"/>
      </w:pPr>
    </w:p>
    <w:p>
      <w:pPr>
        <w:spacing w:line="227" w:lineRule="exact" w:before="0"/>
        <w:ind w:left="165" w:right="0" w:firstLine="0"/>
        <w:jc w:val="left"/>
        <w:rPr>
          <w:rFonts w:ascii="Arial"/>
          <w:i/>
          <w:sz w:val="20"/>
        </w:rPr>
      </w:pPr>
      <w:bookmarkStart w:name="_bookmark2316" w:id="2318"/>
      <w:bookmarkEnd w:id="2318"/>
      <w:r>
        <w:rPr/>
      </w:r>
      <w:hyperlink w:history="true" w:anchor="_bookmark2204">
        <w:r>
          <w:rPr>
            <w:color w:val="005DA1"/>
            <w:position w:val="5"/>
            <w:sz w:val="14"/>
            <w:u w:val="single" w:color="005DA1"/>
          </w:rPr>
          <w:t>1530</w:t>
        </w:r>
      </w:hyperlink>
      <w:r>
        <w:rPr>
          <w:position w:val="5"/>
          <w:sz w:val="14"/>
        </w:rPr>
        <w:t>.</w:t>
      </w:r>
      <w:r>
        <w:rPr>
          <w:spacing w:val="55"/>
          <w:position w:val="5"/>
          <w:sz w:val="14"/>
        </w:rPr>
        <w:t>  </w:t>
      </w:r>
      <w:r>
        <w:rPr>
          <w:rFonts w:ascii="Arial"/>
          <w:i/>
          <w:sz w:val="20"/>
        </w:rPr>
        <w:t>Pacific</w:t>
      </w:r>
      <w:r>
        <w:rPr>
          <w:rFonts w:ascii="Arial"/>
          <w:i/>
          <w:spacing w:val="16"/>
          <w:sz w:val="20"/>
        </w:rPr>
        <w:t> </w:t>
      </w:r>
      <w:r>
        <w:rPr>
          <w:rFonts w:ascii="Arial"/>
          <w:i/>
          <w:sz w:val="20"/>
        </w:rPr>
        <w:t>Associates</w:t>
      </w:r>
      <w:r>
        <w:rPr>
          <w:rFonts w:ascii="Arial"/>
          <w:i/>
          <w:spacing w:val="15"/>
          <w:sz w:val="20"/>
        </w:rPr>
        <w:t> </w:t>
      </w:r>
      <w:r>
        <w:rPr>
          <w:rFonts w:ascii="Arial"/>
          <w:i/>
          <w:sz w:val="20"/>
        </w:rPr>
        <w:t>v</w:t>
      </w:r>
      <w:r>
        <w:rPr>
          <w:rFonts w:ascii="Arial"/>
          <w:i/>
          <w:spacing w:val="15"/>
          <w:sz w:val="20"/>
        </w:rPr>
        <w:t> </w:t>
      </w:r>
      <w:r>
        <w:rPr>
          <w:rFonts w:ascii="Arial"/>
          <w:i/>
          <w:sz w:val="20"/>
        </w:rPr>
        <w:t>Baxter</w:t>
      </w:r>
      <w:r>
        <w:rPr>
          <w:rFonts w:ascii="Arial"/>
          <w:i/>
          <w:spacing w:val="15"/>
          <w:sz w:val="20"/>
        </w:rPr>
        <w:t> </w:t>
      </w:r>
      <w:r>
        <w:rPr>
          <w:rFonts w:ascii="Arial"/>
          <w:i/>
          <w:sz w:val="20"/>
        </w:rPr>
        <w:t>[1990]</w:t>
      </w:r>
      <w:r>
        <w:rPr>
          <w:rFonts w:ascii="Arial"/>
          <w:i/>
          <w:spacing w:val="15"/>
          <w:sz w:val="20"/>
        </w:rPr>
        <w:t> </w:t>
      </w:r>
      <w:r>
        <w:rPr>
          <w:rFonts w:ascii="Arial"/>
          <w:i/>
          <w:sz w:val="20"/>
        </w:rPr>
        <w:t>1</w:t>
      </w:r>
      <w:r>
        <w:rPr>
          <w:rFonts w:ascii="Arial"/>
          <w:i/>
          <w:spacing w:val="15"/>
          <w:sz w:val="20"/>
        </w:rPr>
        <w:t> </w:t>
      </w:r>
      <w:r>
        <w:rPr>
          <w:rFonts w:ascii="Arial"/>
          <w:i/>
          <w:sz w:val="20"/>
        </w:rPr>
        <w:t>Q.B.</w:t>
      </w:r>
      <w:r>
        <w:rPr>
          <w:rFonts w:ascii="Arial"/>
          <w:i/>
          <w:spacing w:val="15"/>
          <w:sz w:val="20"/>
        </w:rPr>
        <w:t> </w:t>
      </w:r>
      <w:r>
        <w:rPr>
          <w:rFonts w:ascii="Arial"/>
          <w:i/>
          <w:sz w:val="20"/>
        </w:rPr>
        <w:t>993,</w:t>
      </w:r>
      <w:r>
        <w:rPr>
          <w:rFonts w:ascii="Arial"/>
          <w:i/>
          <w:spacing w:val="14"/>
          <w:sz w:val="20"/>
        </w:rPr>
        <w:t> </w:t>
      </w:r>
      <w:r>
        <w:rPr>
          <w:rFonts w:ascii="Arial"/>
          <w:i/>
          <w:sz w:val="20"/>
        </w:rPr>
        <w:t>1022-1023,</w:t>
      </w:r>
      <w:r>
        <w:rPr>
          <w:rFonts w:ascii="Arial"/>
          <w:i/>
          <w:spacing w:val="15"/>
          <w:sz w:val="20"/>
        </w:rPr>
        <w:t> </w:t>
      </w:r>
      <w:r>
        <w:rPr>
          <w:rFonts w:ascii="Arial"/>
          <w:i/>
          <w:sz w:val="20"/>
        </w:rPr>
        <w:t>1033</w:t>
      </w:r>
      <w:r>
        <w:rPr>
          <w:sz w:val="20"/>
        </w:rPr>
        <w:t>;</w:t>
      </w:r>
      <w:r>
        <w:rPr>
          <w:spacing w:val="15"/>
          <w:sz w:val="20"/>
        </w:rPr>
        <w:t> </w:t>
      </w:r>
      <w:r>
        <w:rPr>
          <w:rFonts w:ascii="Arial"/>
          <w:i/>
          <w:sz w:val="20"/>
        </w:rPr>
        <w:t>White</w:t>
      </w:r>
      <w:r>
        <w:rPr>
          <w:rFonts w:ascii="Arial"/>
          <w:i/>
          <w:spacing w:val="15"/>
          <w:sz w:val="20"/>
        </w:rPr>
        <w:t> </w:t>
      </w:r>
      <w:r>
        <w:rPr>
          <w:rFonts w:ascii="Arial"/>
          <w:i/>
          <w:sz w:val="20"/>
        </w:rPr>
        <w:t>v</w:t>
      </w:r>
      <w:r>
        <w:rPr>
          <w:rFonts w:ascii="Arial"/>
          <w:i/>
          <w:spacing w:val="15"/>
          <w:sz w:val="20"/>
        </w:rPr>
        <w:t> </w:t>
      </w:r>
      <w:r>
        <w:rPr>
          <w:rFonts w:ascii="Arial"/>
          <w:i/>
          <w:sz w:val="20"/>
        </w:rPr>
        <w:t>Jones</w:t>
      </w:r>
      <w:r>
        <w:rPr>
          <w:rFonts w:ascii="Arial"/>
          <w:i/>
          <w:spacing w:val="15"/>
          <w:sz w:val="20"/>
        </w:rPr>
        <w:t> </w:t>
      </w:r>
      <w:r>
        <w:rPr>
          <w:rFonts w:ascii="Arial"/>
          <w:i/>
          <w:sz w:val="20"/>
        </w:rPr>
        <w:t>[1995]</w:t>
      </w:r>
      <w:r>
        <w:rPr>
          <w:rFonts w:ascii="Arial"/>
          <w:i/>
          <w:spacing w:val="15"/>
          <w:sz w:val="20"/>
        </w:rPr>
        <w:t> </w:t>
      </w:r>
      <w:r>
        <w:rPr>
          <w:rFonts w:ascii="Arial"/>
          <w:i/>
          <w:sz w:val="20"/>
        </w:rPr>
        <w:t>2</w:t>
      </w:r>
      <w:r>
        <w:rPr>
          <w:rFonts w:ascii="Arial"/>
          <w:i/>
          <w:spacing w:val="15"/>
          <w:sz w:val="20"/>
        </w:rPr>
        <w:t> </w:t>
      </w:r>
      <w:r>
        <w:rPr>
          <w:rFonts w:ascii="Arial"/>
          <w:i/>
          <w:spacing w:val="-4"/>
          <w:sz w:val="20"/>
        </w:rPr>
        <w:t>A.C.</w:t>
      </w:r>
    </w:p>
    <w:p>
      <w:pPr>
        <w:spacing w:line="227" w:lineRule="exact" w:before="0"/>
        <w:ind w:left="705" w:right="0" w:firstLine="0"/>
        <w:jc w:val="left"/>
        <w:rPr>
          <w:sz w:val="20"/>
        </w:rPr>
      </w:pPr>
      <w:r>
        <w:rPr>
          <w:rFonts w:ascii="Arial"/>
          <w:i/>
          <w:sz w:val="20"/>
        </w:rPr>
        <w:t>207,</w:t>
      </w:r>
      <w:r>
        <w:rPr>
          <w:rFonts w:ascii="Arial"/>
          <w:i/>
          <w:spacing w:val="-2"/>
          <w:sz w:val="20"/>
        </w:rPr>
        <w:t> </w:t>
      </w:r>
      <w:r>
        <w:rPr>
          <w:rFonts w:ascii="Arial"/>
          <w:i/>
          <w:spacing w:val="-4"/>
          <w:sz w:val="20"/>
        </w:rPr>
        <w:t>268</w:t>
      </w:r>
      <w:r>
        <w:rPr>
          <w:spacing w:val="-4"/>
          <w:sz w:val="20"/>
        </w:rPr>
        <w:t>.</w:t>
      </w:r>
    </w:p>
    <w:p>
      <w:pPr>
        <w:pStyle w:val="BodyText"/>
        <w:spacing w:before="9"/>
      </w:pPr>
    </w:p>
    <w:p>
      <w:pPr>
        <w:pStyle w:val="BodyText"/>
        <w:spacing w:line="235" w:lineRule="auto"/>
        <w:ind w:left="705" w:right="167" w:hanging="541"/>
        <w:jc w:val="both"/>
      </w:pPr>
      <w:bookmarkStart w:name="_bookmark2317" w:id="2319"/>
      <w:bookmarkEnd w:id="2319"/>
      <w:r>
        <w:rPr/>
      </w:r>
      <w:hyperlink w:history="true" w:anchor="_bookmark2205">
        <w:r>
          <w:rPr>
            <w:color w:val="005DA1"/>
            <w:position w:val="5"/>
            <w:sz w:val="14"/>
            <w:u w:val="single" w:color="005DA1"/>
          </w:rPr>
          <w:t>1531</w:t>
        </w:r>
      </w:hyperlink>
      <w:r>
        <w:rPr>
          <w:position w:val="5"/>
          <w:sz w:val="14"/>
        </w:rPr>
        <w:t>.</w:t>
      </w:r>
      <w:r>
        <w:rPr>
          <w:spacing w:val="80"/>
          <w:position w:val="5"/>
          <w:sz w:val="14"/>
        </w:rPr>
        <w:t> </w:t>
      </w:r>
      <w:r>
        <w:rPr/>
        <w:t>In </w:t>
      </w:r>
      <w:r>
        <w:rPr>
          <w:rFonts w:ascii="Arial" w:hAnsi="Arial"/>
          <w:i/>
        </w:rPr>
        <w:t>Smith v Eric S. Bush, Harris v Wyre Forest DC [1990] 1 A.C. 831</w:t>
      </w:r>
      <w:r>
        <w:rPr/>
        <w:t>, the House of Lords considered the validity of such a clause under the Unfair Contract Terms Act 1977 s.2(2) </w:t>
      </w:r>
      <w:r>
        <w:rPr/>
        <w:t>which concerns the effect of contract terms and notices. Section 2 of the 1977 Act is amended on the coming into force of the Consumer Rights Act 2015 Pt 2 so as no longer to apply to terms of consumer contracts or to contractual notices, the 2015 Act providing rules to govern these cases: 2015 Act s.62 and 65-66 on which see below, paras 15-064, 15-081—15-083 and Vol.II, paras 38-356, 38-374—38-375 and 38-377.</w:t>
      </w:r>
    </w:p>
    <w:p>
      <w:pPr>
        <w:pStyle w:val="BodyText"/>
        <w:spacing w:before="7"/>
      </w:pPr>
    </w:p>
    <w:p>
      <w:pPr>
        <w:spacing w:line="235" w:lineRule="auto" w:before="0"/>
        <w:ind w:left="705" w:right="168" w:hanging="541"/>
        <w:jc w:val="both"/>
        <w:rPr>
          <w:sz w:val="20"/>
        </w:rPr>
      </w:pPr>
      <w:bookmarkStart w:name="_bookmark2318" w:id="2320"/>
      <w:bookmarkEnd w:id="2320"/>
      <w:r>
        <w:rPr/>
      </w:r>
      <w:hyperlink w:history="true" w:anchor="_bookmark2206">
        <w:r>
          <w:rPr>
            <w:color w:val="005DA1"/>
            <w:position w:val="5"/>
            <w:sz w:val="14"/>
            <w:u w:val="single" w:color="005DA1"/>
          </w:rPr>
          <w:t>1532</w:t>
        </w:r>
      </w:hyperlink>
      <w:r>
        <w:rPr>
          <w:position w:val="5"/>
          <w:sz w:val="14"/>
        </w:rPr>
        <w:t>.</w:t>
      </w:r>
      <w:r>
        <w:rPr>
          <w:spacing w:val="54"/>
          <w:position w:val="5"/>
          <w:sz w:val="14"/>
        </w:rPr>
        <w:t>  </w:t>
      </w:r>
      <w:r>
        <w:rPr>
          <w:rFonts w:ascii="Arial" w:hAnsi="Arial"/>
          <w:i/>
          <w:sz w:val="20"/>
        </w:rPr>
        <w:t>Morris v C.W. Martin &amp; Sons Ltd [1966] 1 Q.B. 716, 729 </w:t>
      </w:r>
      <w:r>
        <w:rPr>
          <w:sz w:val="20"/>
        </w:rPr>
        <w:t>and see also </w:t>
      </w:r>
      <w:r>
        <w:rPr>
          <w:rFonts w:ascii="Arial" w:hAnsi="Arial"/>
          <w:i/>
          <w:sz w:val="20"/>
        </w:rPr>
        <w:t>Johnson Matthey Co Ltd</w:t>
      </w:r>
      <w:r>
        <w:rPr>
          <w:rFonts w:ascii="Arial" w:hAnsi="Arial"/>
          <w:i/>
          <w:spacing w:val="40"/>
          <w:sz w:val="20"/>
        </w:rPr>
        <w:t> </w:t>
      </w:r>
      <w:r>
        <w:rPr>
          <w:rFonts w:ascii="Arial" w:hAnsi="Arial"/>
          <w:i/>
          <w:sz w:val="20"/>
        </w:rPr>
        <w:t>v Constantine Terminals Ltd [1976] 2 Lloyd’s Rep. 215</w:t>
      </w:r>
      <w:r>
        <w:rPr>
          <w:sz w:val="20"/>
        </w:rPr>
        <w:t>; </w:t>
      </w:r>
      <w:r>
        <w:rPr>
          <w:rFonts w:ascii="Arial" w:hAnsi="Arial"/>
          <w:i/>
          <w:sz w:val="20"/>
        </w:rPr>
        <w:t>The Pioneer Container [1994] 2 </w:t>
      </w:r>
      <w:r>
        <w:rPr>
          <w:rFonts w:ascii="Arial" w:hAnsi="Arial"/>
          <w:i/>
          <w:sz w:val="20"/>
        </w:rPr>
        <w:t>A.C. 324 </w:t>
      </w:r>
      <w:r>
        <w:rPr>
          <w:sz w:val="20"/>
        </w:rPr>
        <w:t>and below, para.15-057.</w:t>
      </w:r>
    </w:p>
    <w:p>
      <w:pPr>
        <w:pStyle w:val="BodyText"/>
        <w:spacing w:before="5"/>
      </w:pPr>
    </w:p>
    <w:p>
      <w:pPr>
        <w:pStyle w:val="BodyText"/>
        <w:spacing w:before="1"/>
        <w:ind w:left="165"/>
      </w:pPr>
      <w:bookmarkStart w:name="_bookmark2319" w:id="2321"/>
      <w:bookmarkEnd w:id="2321"/>
      <w:r>
        <w:rPr/>
      </w:r>
      <w:hyperlink w:history="true" w:anchor="_bookmark2207">
        <w:r>
          <w:rPr>
            <w:color w:val="005DA1"/>
            <w:position w:val="5"/>
            <w:sz w:val="14"/>
            <w:u w:val="single" w:color="005DA1"/>
          </w:rPr>
          <w:t>1533</w:t>
        </w:r>
      </w:hyperlink>
      <w:r>
        <w:rPr>
          <w:position w:val="5"/>
          <w:sz w:val="14"/>
        </w:rPr>
        <w:t>.</w:t>
      </w:r>
      <w:r>
        <w:rPr>
          <w:spacing w:val="55"/>
          <w:position w:val="5"/>
          <w:sz w:val="14"/>
        </w:rPr>
        <w:t>  </w:t>
      </w:r>
      <w:r>
        <w:rPr/>
        <w:t>s.1(6)</w:t>
      </w:r>
      <w:r>
        <w:rPr>
          <w:spacing w:val="1"/>
        </w:rPr>
        <w:t> </w:t>
      </w:r>
      <w:r>
        <w:rPr/>
        <w:t>and see below, paras 15-046—15-</w:t>
      </w:r>
      <w:r>
        <w:rPr>
          <w:spacing w:val="-4"/>
        </w:rPr>
        <w:t>047.</w:t>
      </w:r>
    </w:p>
    <w:p>
      <w:pPr>
        <w:pStyle w:val="BodyText"/>
        <w:spacing w:before="4"/>
      </w:pPr>
    </w:p>
    <w:p>
      <w:pPr>
        <w:spacing w:before="1"/>
        <w:ind w:left="165" w:right="0" w:firstLine="0"/>
        <w:jc w:val="left"/>
        <w:rPr>
          <w:sz w:val="20"/>
        </w:rPr>
      </w:pPr>
      <w:bookmarkStart w:name="_bookmark2320" w:id="2322"/>
      <w:bookmarkEnd w:id="2322"/>
      <w:r>
        <w:rPr/>
      </w:r>
      <w:hyperlink w:history="true" w:anchor="_bookmark2208">
        <w:r>
          <w:rPr>
            <w:color w:val="005DA1"/>
            <w:position w:val="5"/>
            <w:sz w:val="14"/>
            <w:u w:val="single" w:color="005DA1"/>
          </w:rPr>
          <w:t>1534</w:t>
        </w:r>
      </w:hyperlink>
      <w:r>
        <w:rPr>
          <w:position w:val="5"/>
          <w:sz w:val="14"/>
        </w:rPr>
        <w:t>.</w:t>
      </w:r>
      <w:r>
        <w:rPr>
          <w:spacing w:val="55"/>
          <w:position w:val="5"/>
          <w:sz w:val="14"/>
        </w:rPr>
        <w:t>  </w:t>
      </w:r>
      <w:r>
        <w:rPr>
          <w:rFonts w:ascii="Arial" w:hAnsi="Arial"/>
          <w:i/>
          <w:sz w:val="20"/>
        </w:rPr>
        <w:t>[1975]</w:t>
      </w:r>
      <w:r>
        <w:rPr>
          <w:rFonts w:ascii="Arial" w:hAnsi="Arial"/>
          <w:i/>
          <w:spacing w:val="1"/>
          <w:sz w:val="20"/>
        </w:rPr>
        <w:t> </w:t>
      </w:r>
      <w:r>
        <w:rPr>
          <w:rFonts w:ascii="Arial" w:hAnsi="Arial"/>
          <w:i/>
          <w:sz w:val="20"/>
        </w:rPr>
        <w:t>A.C. 154</w:t>
      </w:r>
      <w:r>
        <w:rPr>
          <w:rFonts w:ascii="Arial" w:hAnsi="Arial"/>
          <w:i/>
          <w:spacing w:val="-1"/>
          <w:sz w:val="20"/>
        </w:rPr>
        <w:t> </w:t>
      </w:r>
      <w:r>
        <w:rPr>
          <w:sz w:val="20"/>
        </w:rPr>
        <w:t>and see below, paras 15-051—15-</w:t>
      </w:r>
      <w:r>
        <w:rPr>
          <w:spacing w:val="-4"/>
          <w:sz w:val="20"/>
        </w:rPr>
        <w:t>052.</w:t>
      </w:r>
    </w:p>
    <w:p>
      <w:pPr>
        <w:spacing w:after="0"/>
        <w:jc w:val="left"/>
        <w:rPr>
          <w:sz w:val="20"/>
        </w:rPr>
        <w:sectPr>
          <w:pgSz w:w="11900" w:h="16840"/>
          <w:pgMar w:header="971" w:footer="0" w:top="1300" w:bottom="280" w:left="1275" w:right="1275"/>
        </w:sectPr>
      </w:pPr>
    </w:p>
    <w:p>
      <w:pPr>
        <w:spacing w:before="166"/>
        <w:ind w:left="165" w:right="0" w:firstLine="0"/>
        <w:jc w:val="left"/>
        <w:rPr>
          <w:sz w:val="20"/>
        </w:rPr>
      </w:pPr>
      <w:hyperlink w:history="true" w:anchor="_bookmark2209">
        <w:r>
          <w:rPr>
            <w:color w:val="005DA1"/>
            <w:position w:val="5"/>
            <w:sz w:val="14"/>
            <w:u w:val="single" w:color="005DA1"/>
          </w:rPr>
          <w:t>1535</w:t>
        </w:r>
      </w:hyperlink>
      <w:r>
        <w:rPr>
          <w:position w:val="5"/>
          <w:sz w:val="14"/>
        </w:rPr>
        <w:t>.</w:t>
      </w:r>
      <w:r>
        <w:rPr>
          <w:spacing w:val="55"/>
          <w:position w:val="5"/>
          <w:sz w:val="14"/>
        </w:rPr>
        <w:t>  </w:t>
      </w:r>
      <w:r>
        <w:rPr>
          <w:sz w:val="20"/>
        </w:rPr>
        <w:t>Above,</w:t>
      </w:r>
      <w:r>
        <w:rPr>
          <w:spacing w:val="1"/>
          <w:sz w:val="20"/>
        </w:rPr>
        <w:t> </w:t>
      </w:r>
      <w:r>
        <w:rPr>
          <w:sz w:val="20"/>
        </w:rPr>
        <w:t>paras 1-208—1-</w:t>
      </w:r>
      <w:r>
        <w:rPr>
          <w:spacing w:val="-4"/>
          <w:sz w:val="20"/>
        </w:rPr>
        <w:t>209.</w:t>
      </w:r>
    </w:p>
    <w:p>
      <w:pPr>
        <w:pStyle w:val="BodyText"/>
        <w:spacing w:before="9"/>
      </w:pPr>
    </w:p>
    <w:p>
      <w:pPr>
        <w:spacing w:line="235" w:lineRule="auto" w:before="0"/>
        <w:ind w:left="705" w:right="168" w:hanging="541"/>
        <w:jc w:val="both"/>
        <w:rPr>
          <w:sz w:val="20"/>
        </w:rPr>
      </w:pPr>
      <w:bookmarkStart w:name="_bookmark2321" w:id="2323"/>
      <w:bookmarkEnd w:id="2323"/>
      <w:r>
        <w:rPr/>
      </w:r>
      <w:hyperlink w:history="true" w:anchor="_bookmark2210">
        <w:r>
          <w:rPr>
            <w:color w:val="005DA1"/>
            <w:position w:val="5"/>
            <w:sz w:val="14"/>
            <w:u w:val="single" w:color="005DA1"/>
          </w:rPr>
          <w:t>1536</w:t>
        </w:r>
      </w:hyperlink>
      <w:r>
        <w:rPr>
          <w:position w:val="5"/>
          <w:sz w:val="14"/>
        </w:rPr>
        <w:t>.</w:t>
      </w:r>
      <w:r>
        <w:rPr>
          <w:spacing w:val="80"/>
          <w:position w:val="5"/>
          <w:sz w:val="14"/>
        </w:rPr>
        <w:t> </w:t>
      </w:r>
      <w:r>
        <w:rPr>
          <w:rFonts w:ascii="Arial" w:hAnsi="Arial"/>
          <w:i/>
          <w:sz w:val="20"/>
        </w:rPr>
        <w:t>[1989] 1 W.L.R. 828 </w:t>
      </w:r>
      <w:r>
        <w:rPr>
          <w:sz w:val="20"/>
        </w:rPr>
        <w:t>and see similarly </w:t>
      </w:r>
      <w:r>
        <w:rPr>
          <w:rFonts w:ascii="Arial" w:hAnsi="Arial"/>
          <w:i/>
          <w:sz w:val="20"/>
        </w:rPr>
        <w:t>John F Hunt Demolition Ltd v ASME Engineering Ltd [2007] EWHC 1507 (TCC), [2008] 1 All E.R. 180 </w:t>
      </w:r>
      <w:r>
        <w:rPr>
          <w:sz w:val="20"/>
        </w:rPr>
        <w:t>at [38]–[42] and (in a different context) </w:t>
      </w:r>
      <w:r>
        <w:rPr>
          <w:rFonts w:ascii="Arial" w:hAnsi="Arial"/>
          <w:i/>
          <w:sz w:val="20"/>
        </w:rPr>
        <w:t>Marc Rich &amp; Co AG v Bishop Rock Marine Co [1996] 1 A.C. 211</w:t>
      </w:r>
      <w:r>
        <w:rPr>
          <w:sz w:val="20"/>
        </w:rPr>
        <w:t>, above, para.1-214. But cf. </w:t>
      </w:r>
      <w:r>
        <w:rPr>
          <w:rFonts w:ascii="Arial" w:hAnsi="Arial"/>
          <w:i/>
          <w:sz w:val="20"/>
        </w:rPr>
        <w:t>British Telecommunications Plc v James Thomson &amp; Sons (Engineers) Ltd [1999] 1 W.L.R. 9</w:t>
      </w:r>
      <w:r>
        <w:rPr>
          <w:sz w:val="20"/>
        </w:rPr>
        <w:t>.</w:t>
      </w:r>
    </w:p>
    <w:p>
      <w:pPr>
        <w:pStyle w:val="BodyText"/>
        <w:spacing w:before="9"/>
      </w:pPr>
    </w:p>
    <w:p>
      <w:pPr>
        <w:spacing w:line="235" w:lineRule="auto" w:before="0"/>
        <w:ind w:left="705" w:right="167" w:hanging="541"/>
        <w:jc w:val="both"/>
        <w:rPr>
          <w:sz w:val="20"/>
        </w:rPr>
      </w:pPr>
      <w:bookmarkStart w:name="_bookmark2322" w:id="2324"/>
      <w:bookmarkEnd w:id="2324"/>
      <w:r>
        <w:rPr/>
      </w:r>
      <w:hyperlink w:history="true" w:anchor="_bookmark2211">
        <w:r>
          <w:rPr>
            <w:color w:val="005DA1"/>
            <w:position w:val="5"/>
            <w:sz w:val="14"/>
            <w:u w:val="single" w:color="005DA1"/>
          </w:rPr>
          <w:t>1537</w:t>
        </w:r>
      </w:hyperlink>
      <w:r>
        <w:rPr>
          <w:position w:val="5"/>
          <w:sz w:val="14"/>
        </w:rPr>
        <w:t>.</w:t>
      </w:r>
      <w:r>
        <w:rPr>
          <w:spacing w:val="40"/>
          <w:position w:val="5"/>
          <w:sz w:val="14"/>
        </w:rPr>
        <w:t>  </w:t>
      </w:r>
      <w:r>
        <w:rPr>
          <w:sz w:val="20"/>
        </w:rPr>
        <w:t>The phrase “just and reasonable” is a reference to the approach recommended to the finding of a duty of care by Lord Keith of Kinkel in </w:t>
      </w:r>
      <w:r>
        <w:rPr>
          <w:rFonts w:ascii="Arial" w:hAnsi="Arial"/>
          <w:i/>
          <w:sz w:val="20"/>
        </w:rPr>
        <w:t>Governors of Peabody Donation Fund v Sir Lindsay Parkinson &amp; Co Ltd [1985] A.C. 210, 240–241</w:t>
      </w:r>
      <w:r>
        <w:rPr>
          <w:sz w:val="20"/>
        </w:rPr>
        <w:t>, which May L.J. had previously quoted.</w:t>
      </w:r>
    </w:p>
    <w:p>
      <w:pPr>
        <w:pStyle w:val="BodyText"/>
        <w:spacing w:before="8"/>
      </w:pPr>
    </w:p>
    <w:p>
      <w:pPr>
        <w:spacing w:line="235" w:lineRule="auto" w:before="1"/>
        <w:ind w:left="705" w:right="168" w:hanging="541"/>
        <w:jc w:val="left"/>
        <w:rPr>
          <w:sz w:val="20"/>
        </w:rPr>
      </w:pPr>
      <w:bookmarkStart w:name="_bookmark2323" w:id="2325"/>
      <w:bookmarkEnd w:id="2325"/>
      <w:r>
        <w:rPr/>
      </w:r>
      <w:hyperlink w:history="true" w:anchor="_bookmark2212">
        <w:r>
          <w:rPr>
            <w:color w:val="005DA1"/>
            <w:position w:val="5"/>
            <w:sz w:val="14"/>
            <w:u w:val="single" w:color="005DA1"/>
          </w:rPr>
          <w:t>1538</w:t>
        </w:r>
      </w:hyperlink>
      <w:r>
        <w:rPr>
          <w:position w:val="5"/>
          <w:sz w:val="14"/>
        </w:rPr>
        <w:t>.</w:t>
      </w:r>
      <w:r>
        <w:rPr>
          <w:spacing w:val="40"/>
          <w:position w:val="5"/>
          <w:sz w:val="14"/>
        </w:rPr>
        <w:t>  </w:t>
      </w:r>
      <w:r>
        <w:rPr>
          <w:rFonts w:ascii="Arial"/>
          <w:i/>
          <w:sz w:val="20"/>
        </w:rPr>
        <w:t>[1989]</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828,</w:t>
      </w:r>
      <w:r>
        <w:rPr>
          <w:rFonts w:ascii="Arial"/>
          <w:i/>
          <w:spacing w:val="-1"/>
          <w:sz w:val="20"/>
        </w:rPr>
        <w:t> </w:t>
      </w:r>
      <w:r>
        <w:rPr>
          <w:rFonts w:ascii="Arial"/>
          <w:i/>
          <w:sz w:val="20"/>
        </w:rPr>
        <w:t>837</w:t>
      </w:r>
      <w:r>
        <w:rPr>
          <w:sz w:val="20"/>
        </w:rPr>
        <w:t>,</w:t>
      </w:r>
      <w:r>
        <w:rPr>
          <w:spacing w:val="-1"/>
          <w:sz w:val="20"/>
        </w:rPr>
        <w:t> </w:t>
      </w:r>
      <w:r>
        <w:rPr>
          <w:sz w:val="20"/>
        </w:rPr>
        <w:t>per</w:t>
      </w:r>
      <w:r>
        <w:rPr>
          <w:spacing w:val="-1"/>
          <w:sz w:val="20"/>
        </w:rPr>
        <w:t> </w:t>
      </w:r>
      <w:r>
        <w:rPr>
          <w:sz w:val="20"/>
        </w:rPr>
        <w:t>May</w:t>
      </w:r>
      <w:r>
        <w:rPr>
          <w:spacing w:val="-1"/>
          <w:sz w:val="20"/>
        </w:rPr>
        <w:t> </w:t>
      </w:r>
      <w:r>
        <w:rPr>
          <w:sz w:val="20"/>
        </w:rPr>
        <w:t>L.J.</w:t>
      </w:r>
      <w:r>
        <w:rPr>
          <w:spacing w:val="-1"/>
          <w:sz w:val="20"/>
        </w:rPr>
        <w:t> </w:t>
      </w:r>
      <w:r>
        <w:rPr>
          <w:sz w:val="20"/>
        </w:rPr>
        <w:t>and</w:t>
      </w:r>
      <w:r>
        <w:rPr>
          <w:spacing w:val="-1"/>
          <w:sz w:val="20"/>
        </w:rPr>
        <w:t> </w:t>
      </w:r>
      <w:r>
        <w:rPr>
          <w:sz w:val="20"/>
        </w:rPr>
        <w:t>cf.</w:t>
      </w:r>
      <w:r>
        <w:rPr>
          <w:spacing w:val="-1"/>
          <w:sz w:val="20"/>
        </w:rPr>
        <w:t> </w:t>
      </w:r>
      <w:r>
        <w:rPr>
          <w:sz w:val="20"/>
        </w:rPr>
        <w:t>the</w:t>
      </w:r>
      <w:r>
        <w:rPr>
          <w:spacing w:val="-1"/>
          <w:sz w:val="20"/>
        </w:rPr>
        <w:t> </w:t>
      </w:r>
      <w:r>
        <w:rPr>
          <w:sz w:val="20"/>
        </w:rPr>
        <w:t>approach</w:t>
      </w:r>
      <w:r>
        <w:rPr>
          <w:spacing w:val="-1"/>
          <w:sz w:val="20"/>
        </w:rPr>
        <w:t> </w:t>
      </w:r>
      <w:r>
        <w:rPr>
          <w:sz w:val="20"/>
        </w:rPr>
        <w:t>of</w:t>
      </w:r>
      <w:r>
        <w:rPr>
          <w:spacing w:val="-1"/>
          <w:sz w:val="20"/>
        </w:rPr>
        <w:t> </w:t>
      </w:r>
      <w:r>
        <w:rPr>
          <w:sz w:val="20"/>
        </w:rPr>
        <w:t>the</w:t>
      </w:r>
      <w:r>
        <w:rPr>
          <w:spacing w:val="-1"/>
          <w:sz w:val="20"/>
        </w:rPr>
        <w:t> </w:t>
      </w:r>
      <w:r>
        <w:rPr>
          <w:sz w:val="20"/>
        </w:rPr>
        <w:t>House</w:t>
      </w:r>
      <w:r>
        <w:rPr>
          <w:spacing w:val="-1"/>
          <w:sz w:val="20"/>
        </w:rPr>
        <w:t> </w:t>
      </w:r>
      <w:r>
        <w:rPr>
          <w:sz w:val="20"/>
        </w:rPr>
        <w:t>of</w:t>
      </w:r>
      <w:r>
        <w:rPr>
          <w:spacing w:val="-1"/>
          <w:sz w:val="20"/>
        </w:rPr>
        <w:t> </w:t>
      </w:r>
      <w:r>
        <w:rPr>
          <w:sz w:val="20"/>
        </w:rPr>
        <w:t>Lords</w:t>
      </w:r>
      <w:r>
        <w:rPr>
          <w:spacing w:val="-1"/>
          <w:sz w:val="20"/>
        </w:rPr>
        <w:t> </w:t>
      </w:r>
      <w:r>
        <w:rPr>
          <w:sz w:val="20"/>
        </w:rPr>
        <w:t>in</w:t>
      </w:r>
      <w:r>
        <w:rPr>
          <w:spacing w:val="-2"/>
          <w:sz w:val="20"/>
        </w:rPr>
        <w:t> </w:t>
      </w:r>
      <w:r>
        <w:rPr>
          <w:rFonts w:ascii="Arial"/>
          <w:i/>
          <w:sz w:val="20"/>
        </w:rPr>
        <w:t>Marc</w:t>
      </w:r>
      <w:r>
        <w:rPr>
          <w:rFonts w:ascii="Arial"/>
          <w:i/>
          <w:spacing w:val="-1"/>
          <w:sz w:val="20"/>
        </w:rPr>
        <w:t> </w:t>
      </w:r>
      <w:r>
        <w:rPr>
          <w:rFonts w:ascii="Arial"/>
          <w:i/>
          <w:sz w:val="20"/>
        </w:rPr>
        <w:t>Rich &amp; Co AG v Bishop Rock Marine Co [1996] 1 A.C. 211</w:t>
      </w:r>
      <w:r>
        <w:rPr>
          <w:sz w:val="20"/>
        </w:rPr>
        <w:t>, above, para.1-213.</w:t>
      </w:r>
    </w:p>
    <w:p>
      <w:pPr>
        <w:pStyle w:val="BodyText"/>
        <w:spacing w:before="5"/>
      </w:pPr>
    </w:p>
    <w:p>
      <w:pPr>
        <w:pStyle w:val="BodyText"/>
        <w:ind w:left="165"/>
      </w:pPr>
      <w:bookmarkStart w:name="_bookmark2324" w:id="2326"/>
      <w:bookmarkEnd w:id="2326"/>
      <w:r>
        <w:rPr/>
      </w:r>
      <w:hyperlink w:history="true" w:anchor="_bookmark2213">
        <w:r>
          <w:rPr>
            <w:color w:val="005DA1"/>
            <w:position w:val="5"/>
            <w:sz w:val="14"/>
            <w:u w:val="single" w:color="005DA1"/>
          </w:rPr>
          <w:t>1539</w:t>
        </w:r>
      </w:hyperlink>
      <w:r>
        <w:rPr>
          <w:position w:val="5"/>
          <w:sz w:val="14"/>
        </w:rPr>
        <w:t>.</w:t>
      </w:r>
      <w:r>
        <w:rPr>
          <w:spacing w:val="55"/>
          <w:position w:val="5"/>
          <w:sz w:val="14"/>
        </w:rPr>
        <w:t>  </w:t>
      </w:r>
      <w:r>
        <w:rPr/>
        <w:t>s.1(1)</w:t>
      </w:r>
      <w:r>
        <w:rPr>
          <w:spacing w:val="1"/>
        </w:rPr>
        <w:t> </w:t>
      </w:r>
      <w:r>
        <w:rPr/>
        <w:t>and (6) and see below, paras 15-046—15-</w:t>
      </w:r>
      <w:r>
        <w:rPr>
          <w:spacing w:val="-4"/>
        </w:rPr>
        <w:t>047.</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3305" w:right="3308" w:hanging="1"/>
        <w:jc w:val="center"/>
        <w:rPr>
          <w:rFonts w:ascii="Arial"/>
          <w:b/>
          <w:sz w:val="24"/>
        </w:rPr>
      </w:pPr>
      <w:r>
        <w:rPr>
          <w:rFonts w:ascii="Arial"/>
          <w:b/>
          <w:sz w:val="24"/>
        </w:rPr>
        <w:t>Part 1 - Introduction Chapter</w:t>
      </w:r>
      <w:r>
        <w:rPr>
          <w:rFonts w:ascii="Arial"/>
          <w:b/>
          <w:spacing w:val="-13"/>
          <w:sz w:val="24"/>
        </w:rPr>
        <w:t> </w:t>
      </w:r>
      <w:r>
        <w:rPr>
          <w:rFonts w:ascii="Arial"/>
          <w:b/>
          <w:sz w:val="24"/>
        </w:rPr>
        <w:t>1</w:t>
      </w:r>
      <w:r>
        <w:rPr>
          <w:rFonts w:ascii="Arial"/>
          <w:b/>
          <w:spacing w:val="-13"/>
          <w:sz w:val="24"/>
        </w:rPr>
        <w:t> </w:t>
      </w:r>
      <w:r>
        <w:rPr>
          <w:rFonts w:ascii="Arial"/>
          <w:b/>
          <w:sz w:val="24"/>
        </w:rPr>
        <w:t>-</w:t>
      </w:r>
      <w:r>
        <w:rPr>
          <w:rFonts w:ascii="Arial"/>
          <w:b/>
          <w:spacing w:val="-13"/>
          <w:sz w:val="24"/>
        </w:rPr>
        <w:t> </w:t>
      </w:r>
      <w:r>
        <w:rPr>
          <w:rFonts w:ascii="Arial"/>
          <w:b/>
          <w:sz w:val="24"/>
        </w:rPr>
        <w:t>Introductory</w:t>
      </w:r>
    </w:p>
    <w:p>
      <w:pPr>
        <w:spacing w:before="2"/>
        <w:ind w:left="940" w:right="943" w:firstLine="0"/>
        <w:jc w:val="center"/>
        <w:rPr>
          <w:rFonts w:ascii="Arial"/>
          <w:b/>
          <w:sz w:val="24"/>
        </w:rPr>
      </w:pPr>
      <w:r>
        <w:rPr>
          <w:rFonts w:ascii="Arial"/>
          <w:b/>
          <w:sz w:val="24"/>
        </w:rPr>
        <w:t>Section 8. - Contract and Other Legal </w:t>
      </w:r>
      <w:r>
        <w:rPr>
          <w:rFonts w:ascii="Arial"/>
          <w:b/>
          <w:spacing w:val="-2"/>
          <w:sz w:val="24"/>
        </w:rPr>
        <w:t>Categories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Contract and </w:t>
      </w:r>
      <w:r>
        <w:rPr>
          <w:rFonts w:ascii="Arial"/>
          <w:b/>
          <w:spacing w:val="-2"/>
          <w:sz w:val="18"/>
        </w:rPr>
        <w:t>trust</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1-</w:t>
      </w:r>
      <w:r>
        <w:rPr>
          <w:rFonts w:ascii="Arial"/>
          <w:b/>
          <w:spacing w:val="-5"/>
          <w:sz w:val="24"/>
        </w:rPr>
        <w:t>219</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565" name="Image 565"/>
            <wp:cNvGraphicFramePr>
              <a:graphicFrameLocks/>
            </wp:cNvGraphicFramePr>
            <a:graphic>
              <a:graphicData uri="http://schemas.openxmlformats.org/drawingml/2006/picture">
                <pic:pic>
                  <pic:nvPicPr>
                    <pic:cNvPr id="565" name="Image 56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1"/>
        </w:rPr>
        <w:t> </w:t>
      </w:r>
      <w:bookmarkStart w:name="_bookmark2325" w:id="2327"/>
      <w:bookmarkEnd w:id="2327"/>
      <w:r>
        <w:rPr>
          <w:rFonts w:ascii="Times New Roman"/>
          <w:spacing w:val="21"/>
        </w:rPr>
      </w:r>
      <w:r>
        <w:rPr/>
        <w:t>It</w:t>
      </w:r>
      <w:r>
        <w:rPr>
          <w:spacing w:val="16"/>
        </w:rPr>
        <w:t> </w:t>
      </w:r>
      <w:r>
        <w:rPr/>
        <w:t>is</w:t>
      </w:r>
      <w:r>
        <w:rPr>
          <w:spacing w:val="16"/>
        </w:rPr>
        <w:t> </w:t>
      </w:r>
      <w:r>
        <w:rPr/>
        <w:t>sometimes</w:t>
      </w:r>
      <w:r>
        <w:rPr>
          <w:spacing w:val="16"/>
        </w:rPr>
        <w:t> </w:t>
      </w:r>
      <w:r>
        <w:rPr/>
        <w:t>important</w:t>
      </w:r>
      <w:r>
        <w:rPr>
          <w:spacing w:val="16"/>
        </w:rPr>
        <w:t> </w:t>
      </w:r>
      <w:r>
        <w:rPr/>
        <w:t>to</w:t>
      </w:r>
      <w:r>
        <w:rPr>
          <w:spacing w:val="16"/>
        </w:rPr>
        <w:t> </w:t>
      </w:r>
      <w:r>
        <w:rPr/>
        <w:t>distinguish</w:t>
      </w:r>
      <w:r>
        <w:rPr>
          <w:spacing w:val="16"/>
        </w:rPr>
        <w:t> </w:t>
      </w:r>
      <w:r>
        <w:rPr/>
        <w:t>a</w:t>
      </w:r>
      <w:r>
        <w:rPr>
          <w:spacing w:val="16"/>
        </w:rPr>
        <w:t> </w:t>
      </w:r>
      <w:r>
        <w:rPr/>
        <w:t>contract,</w:t>
      </w:r>
      <w:r>
        <w:rPr>
          <w:spacing w:val="16"/>
        </w:rPr>
        <w:t> </w:t>
      </w:r>
      <w:r>
        <w:rPr/>
        <w:t>which</w:t>
      </w:r>
      <w:r>
        <w:rPr>
          <w:spacing w:val="16"/>
        </w:rPr>
        <w:t> </w:t>
      </w:r>
      <w:r>
        <w:rPr/>
        <w:t>creates</w:t>
      </w:r>
      <w:r>
        <w:rPr>
          <w:spacing w:val="16"/>
        </w:rPr>
        <w:t> </w:t>
      </w:r>
      <w:r>
        <w:rPr/>
        <w:t>rights</w:t>
      </w:r>
      <w:r>
        <w:rPr>
          <w:spacing w:val="16"/>
        </w:rPr>
        <w:t> </w:t>
      </w:r>
      <w:r>
        <w:rPr/>
        <w:t>in</w:t>
      </w:r>
      <w:r>
        <w:rPr>
          <w:spacing w:val="16"/>
        </w:rPr>
        <w:t> </w:t>
      </w:r>
      <w:r>
        <w:rPr/>
        <w:t>personam,</w:t>
      </w:r>
      <w:r>
        <w:rPr>
          <w:spacing w:val="16"/>
        </w:rPr>
        <w:t> </w:t>
      </w:r>
      <w:r>
        <w:rPr/>
        <w:t>from</w:t>
      </w:r>
      <w:r>
        <w:rPr>
          <w:spacing w:val="16"/>
        </w:rPr>
        <w:t> </w:t>
      </w:r>
      <w:r>
        <w:rPr/>
        <w:t>a</w:t>
      </w:r>
      <w:r>
        <w:rPr>
          <w:spacing w:val="16"/>
        </w:rPr>
        <w:t> </w:t>
      </w:r>
      <w:r>
        <w:rPr/>
        <w:t>trust</w:t>
      </w:r>
    </w:p>
    <w:p>
      <w:pPr>
        <w:pStyle w:val="BodyText"/>
        <w:spacing w:line="235" w:lineRule="auto" w:before="118"/>
        <w:ind w:left="165" w:right="167"/>
        <w:jc w:val="both"/>
      </w:pPr>
      <w:r>
        <w:rPr/>
        <w:t>which creates equitable rights indistinguishable in practice from rights in rem. </w:t>
      </w:r>
      <w:hyperlink w:history="true" w:anchor="_bookmark2387">
        <w:r>
          <w:rPr>
            <w:color w:val="005DA1"/>
            <w:u w:val="single" w:color="005DA1"/>
            <w:vertAlign w:val="superscript"/>
          </w:rPr>
          <w:t>1540</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566" name="Image 566"/>
              <wp:cNvGraphicFramePr>
                <a:graphicFrameLocks/>
              </wp:cNvGraphicFramePr>
              <a:graphic>
                <a:graphicData uri="http://schemas.openxmlformats.org/drawingml/2006/picture">
                  <pic:pic>
                    <pic:nvPicPr>
                      <pic:cNvPr id="566" name="Image 56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40"/>
            <w:vertAlign w:val="baseline"/>
          </w:rPr>
          <w:t> </w:t>
        </w:r>
        <w:r>
          <w:rPr>
            <w:vertAlign w:val="baseline"/>
          </w:rPr>
          <w:t>Until </w:t>
        </w:r>
        <w:r>
          <w:rPr>
            <w:vertAlign w:val="baseline"/>
          </w:rPr>
          <w:t>the Contracts (Rights of Third Parties) Act 1999, a crucial difference lay in the possibility or otherwise of creating rights in third parties to an agreement. So, it used to be the case that if A agreed with B to </w:t>
        </w:r>
        <w:bookmarkStart w:name="_bookmark2326" w:id="2328"/>
        <w:bookmarkEnd w:id="2328"/>
        <w:r>
          <w:rPr>
            <w:vertAlign w:val="baseline"/>
          </w:rPr>
          <w:t>pay</w:t>
        </w:r>
        <w:r>
          <w:rPr>
            <w:vertAlign w:val="baseline"/>
          </w:rPr>
          <w:t> money to C in return for valuable consideration furnished by B, C could not in his own right sue A </w:t>
        </w:r>
        <w:bookmarkStart w:name="_bookmark2327" w:id="2329"/>
        <w:bookmarkEnd w:id="2329"/>
        <w:r>
          <w:rPr>
            <w:vertAlign w:val="baseline"/>
          </w:rPr>
          <w:t>for</w:t>
        </w:r>
        <w:r>
          <w:rPr>
            <w:vertAlign w:val="baseline"/>
          </w:rPr>
          <w:t> failure to pay the money, owing to the application of privity of contract </w:t>
        </w:r>
        <w:r>
          <w:rPr>
            <w:color w:val="005DA1"/>
            <w:u w:val="single" w:color="005DA1"/>
            <w:vertAlign w:val="superscript"/>
          </w:rPr>
          <w:t>1541</w:t>
        </w:r>
        <w:r>
          <w:rPr>
            <w:vertAlign w:val="baseline"/>
          </w:rPr>
          <w:t>; but he could do so if he established that a trust had been created in his favour. </w:t>
        </w:r>
        <w:r>
          <w:rPr>
            <w:color w:val="005DA1"/>
            <w:u w:val="single" w:color="005DA1"/>
            <w:vertAlign w:val="superscript"/>
          </w:rPr>
          <w:t>1542</w:t>
        </w:r>
        <w:r>
          <w:rPr>
            <w:color w:val="005DA1"/>
            <w:vertAlign w:val="baseline"/>
          </w:rPr>
          <w:t> </w:t>
        </w:r>
        <w:r>
          <w:rPr>
            <w:vertAlign w:val="baseline"/>
          </w:rPr>
          <w:t>While this difference has been considerably eroded by the Contracts (Rights of Third Parties) Act 1999, which allows parties to a contract to make provision for the existence of a right of enforcement of a term of their contract in a </w:t>
        </w:r>
        <w:bookmarkStart w:name="_bookmark2328" w:id="2330"/>
        <w:bookmarkEnd w:id="2330"/>
        <w:r>
          <w:rPr>
            <w:vertAlign w:val="baseline"/>
          </w:rPr>
          <w:t>third</w:t>
        </w:r>
        <w:r>
          <w:rPr>
            <w:vertAlign w:val="baseline"/>
          </w:rPr>
          <w:t> party, the third party’s right so created is subject to the conditions of that Act and these differ</w:t>
        </w:r>
        <w:r>
          <w:rPr>
            <w:spacing w:val="40"/>
            <w:vertAlign w:val="baseline"/>
          </w:rPr>
          <w:t> </w:t>
        </w:r>
        <w:r>
          <w:rPr>
            <w:vertAlign w:val="baseline"/>
          </w:rPr>
          <w:t>from those applicable to the creation of a right under a trust. </w:t>
        </w:r>
        <w:r>
          <w:rPr>
            <w:color w:val="005DA1"/>
            <w:u w:val="single" w:color="005DA1"/>
            <w:vertAlign w:val="superscript"/>
          </w:rPr>
          <w:t>1543</w:t>
        </w:r>
        <w:r>
          <w:rPr>
            <w:color w:val="005DA1"/>
            <w:vertAlign w:val="baseline"/>
          </w:rPr>
          <w:t> </w:t>
        </w:r>
        <w:r>
          <w:rPr>
            <w:vertAlign w:val="baseline"/>
          </w:rPr>
          <w:t>Again, if A, the owner of a chattel, first agrees that B shall have the right to use it, and then, during the currency of the agreement, sells or charges it to C, who takes with notice of B’s rights, B can sue A for breach of contract if C refuses to honour the agreement, and he may be able to recover damages from C for the tort of knowingly inducing a breach of contract. The question whether B is able to restrain C by injunction from using the chattel in such a way as to prevent A from performing his contractual obligations is more difficult. </w:t>
        </w:r>
        <w:bookmarkStart w:name="_bookmark2329" w:id="2331"/>
        <w:bookmarkEnd w:id="2331"/>
        <w:r>
          <w:rPr>
            <w:vertAlign w:val="baseline"/>
          </w:rPr>
          <w:t>The</w:t>
        </w:r>
        <w:r>
          <w:rPr>
            <w:vertAlign w:val="baseline"/>
          </w:rPr>
          <w:t> better view appears to be that there are three bases on which to ground such an injunction. The </w:t>
        </w:r>
        <w:bookmarkStart w:name="_bookmark2330" w:id="2332"/>
        <w:bookmarkEnd w:id="2332"/>
        <w:r>
          <w:rPr>
            <w:vertAlign w:val="baseline"/>
          </w:rPr>
          <w:t>first</w:t>
        </w:r>
        <w:r>
          <w:rPr>
            <w:spacing w:val="-2"/>
            <w:vertAlign w:val="baseline"/>
          </w:rPr>
          <w:t> </w:t>
        </w:r>
        <w:r>
          <w:rPr>
            <w:vertAlign w:val="baseline"/>
          </w:rPr>
          <w:t>is</w:t>
        </w:r>
        <w:r>
          <w:rPr>
            <w:spacing w:val="-2"/>
            <w:vertAlign w:val="baseline"/>
          </w:rPr>
          <w:t> </w:t>
        </w:r>
        <w:r>
          <w:rPr>
            <w:vertAlign w:val="baseline"/>
          </w:rPr>
          <w:t>found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equitable</w:t>
        </w:r>
        <w:r>
          <w:rPr>
            <w:spacing w:val="-2"/>
            <w:vertAlign w:val="baseline"/>
          </w:rPr>
          <w:t> </w:t>
        </w:r>
        <w:r>
          <w:rPr>
            <w:vertAlign w:val="baseline"/>
          </w:rPr>
          <w:t>doctrine</w:t>
        </w:r>
        <w:r>
          <w:rPr>
            <w:spacing w:val="-2"/>
            <w:vertAlign w:val="baseline"/>
          </w:rPr>
          <w:t> </w:t>
        </w:r>
        <w:r>
          <w:rPr>
            <w:vertAlign w:val="baseline"/>
          </w:rPr>
          <w:t>in</w:t>
        </w:r>
        <w:r>
          <w:rPr>
            <w:spacing w:val="-3"/>
            <w:vertAlign w:val="baseline"/>
          </w:rPr>
          <w:t> </w:t>
        </w:r>
        <w:r>
          <w:rPr>
            <w:rFonts w:ascii="Arial" w:hAnsi="Arial"/>
            <w:i/>
            <w:vertAlign w:val="baseline"/>
          </w:rPr>
          <w:t>De</w:t>
        </w:r>
        <w:r>
          <w:rPr>
            <w:rFonts w:ascii="Arial" w:hAnsi="Arial"/>
            <w:i/>
            <w:spacing w:val="-2"/>
            <w:vertAlign w:val="baseline"/>
          </w:rPr>
          <w:t> </w:t>
        </w:r>
        <w:r>
          <w:rPr>
            <w:rFonts w:ascii="Arial" w:hAnsi="Arial"/>
            <w:i/>
            <w:vertAlign w:val="baseline"/>
          </w:rPr>
          <w:t>Mattos</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Gibson</w:t>
        </w:r>
        <w:r>
          <w:rPr>
            <w:vertAlign w:val="baseline"/>
          </w:rPr>
          <w:t>,</w:t>
        </w:r>
        <w:r>
          <w:rPr>
            <w:spacing w:val="-2"/>
            <w:vertAlign w:val="baseline"/>
          </w:rPr>
          <w:t> </w:t>
        </w:r>
        <w:r>
          <w:rPr>
            <w:color w:val="005DA1"/>
            <w:u w:val="single" w:color="005DA1"/>
            <w:vertAlign w:val="superscript"/>
          </w:rPr>
          <w:t>1544</w:t>
        </w:r>
        <w:r>
          <w:rPr>
            <w:color w:val="005DA1"/>
            <w:spacing w:val="-3"/>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second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tort</w:t>
        </w:r>
        <w:r>
          <w:rPr>
            <w:spacing w:val="-2"/>
            <w:vertAlign w:val="baseline"/>
          </w:rPr>
          <w:t> </w:t>
        </w:r>
        <w:r>
          <w:rPr>
            <w:vertAlign w:val="baseline"/>
          </w:rPr>
          <w:t>of</w:t>
        </w:r>
        <w:r>
          <w:rPr>
            <w:spacing w:val="-2"/>
            <w:vertAlign w:val="baseline"/>
          </w:rPr>
          <w:t> </w:t>
        </w:r>
        <w:r>
          <w:rPr>
            <w:vertAlign w:val="baseline"/>
          </w:rPr>
          <w:t>inducing </w:t>
        </w:r>
        <w:bookmarkStart w:name="_bookmark2331" w:id="2333"/>
        <w:bookmarkEnd w:id="2333"/>
        <w:r>
          <w:rPr>
            <w:vertAlign w:val="baseline"/>
          </w:rPr>
          <w:t>breach</w:t>
        </w:r>
        <w:r>
          <w:rPr>
            <w:vertAlign w:val="baseline"/>
          </w:rPr>
          <w:t> of contract. </w:t>
        </w:r>
        <w:r>
          <w:rPr>
            <w:color w:val="005DA1"/>
            <w:u w:val="single" w:color="005DA1"/>
            <w:vertAlign w:val="superscript"/>
          </w:rPr>
          <w:t>1545</w:t>
        </w:r>
        <w:r>
          <w:rPr>
            <w:color w:val="005DA1"/>
            <w:vertAlign w:val="baseline"/>
          </w:rPr>
          <w:t> </w:t>
        </w:r>
        <w:r>
          <w:rPr>
            <w:vertAlign w:val="baseline"/>
          </w:rPr>
          <w:t>The third basis is for B to establish an equitable interest in or charge over the chattel or that C is in the position of constructive trustee. </w:t>
        </w:r>
        <w:r>
          <w:rPr>
            <w:color w:val="005DA1"/>
            <w:u w:val="single" w:color="005DA1"/>
            <w:vertAlign w:val="superscript"/>
          </w:rPr>
          <w:t>1546</w:t>
        </w:r>
      </w:hyperlink>
    </w:p>
    <w:p>
      <w:pPr>
        <w:pStyle w:val="BodyText"/>
        <w:spacing w:before="74"/>
      </w:pPr>
    </w:p>
    <w:p>
      <w:pPr>
        <w:spacing w:before="1"/>
        <w:ind w:left="165" w:right="0" w:firstLine="0"/>
        <w:jc w:val="left"/>
        <w:rPr>
          <w:rFonts w:ascii="Arial"/>
          <w:b/>
          <w:sz w:val="24"/>
        </w:rPr>
      </w:pPr>
      <w:r>
        <w:rPr>
          <w:rFonts w:ascii="Arial"/>
          <w:b/>
          <w:sz w:val="24"/>
        </w:rPr>
        <w:t>1-</w:t>
      </w:r>
      <w:r>
        <w:rPr>
          <w:rFonts w:ascii="Arial"/>
          <w:b/>
          <w:spacing w:val="-5"/>
          <w:sz w:val="24"/>
        </w:rPr>
        <w:t>220</w:t>
      </w:r>
    </w:p>
    <w:p>
      <w:pPr>
        <w:pStyle w:val="BodyText"/>
        <w:spacing w:line="235" w:lineRule="auto" w:before="202"/>
        <w:ind w:left="165" w:right="167"/>
        <w:jc w:val="both"/>
      </w:pPr>
      <w:bookmarkStart w:name="_bookmark2332" w:id="2334"/>
      <w:bookmarkEnd w:id="2334"/>
      <w:r>
        <w:rPr/>
      </w:r>
      <w:r>
        <w:rPr/>
        <w:t>Moreover, in some cases the courts have found a trust relationship between the parties in parallel </w:t>
      </w:r>
      <w:r>
        <w:rPr/>
        <w:t>to </w:t>
      </w:r>
      <w:bookmarkStart w:name="_bookmark2333" w:id="2335"/>
      <w:bookmarkEnd w:id="2335"/>
      <w:r>
        <w:rPr/>
        <w:t>their</w:t>
      </w:r>
      <w:r>
        <w:rPr/>
        <w:t> established contractual one. </w:t>
      </w:r>
      <w:r>
        <w:rPr>
          <w:color w:val="005DA1"/>
          <w:u w:val="single" w:color="005DA1"/>
          <w:vertAlign w:val="superscript"/>
        </w:rPr>
        <w:t>1547</w:t>
      </w:r>
      <w:r>
        <w:rPr>
          <w:color w:val="005DA1"/>
          <w:vertAlign w:val="baseline"/>
        </w:rPr>
        <w:t> </w:t>
      </w:r>
      <w:r>
        <w:rPr>
          <w:vertAlign w:val="baseline"/>
        </w:rPr>
        <w:t>Thus, for example, in </w:t>
      </w:r>
      <w:r>
        <w:rPr>
          <w:rFonts w:ascii="Arial" w:hAnsi="Arial"/>
          <w:i/>
          <w:vertAlign w:val="baseline"/>
        </w:rPr>
        <w:t>Barclays Bank Ltd v Quistclose Investments Ltd</w:t>
      </w:r>
      <w:r>
        <w:rPr>
          <w:vertAlign w:val="baseline"/>
        </w:rPr>
        <w:t>, </w:t>
      </w:r>
      <w:r>
        <w:rPr>
          <w:color w:val="005DA1"/>
          <w:u w:val="single" w:color="005DA1"/>
          <w:vertAlign w:val="superscript"/>
        </w:rPr>
        <w:t>1548</w:t>
      </w:r>
      <w:r>
        <w:rPr>
          <w:color w:val="005DA1"/>
          <w:vertAlign w:val="baseline"/>
        </w:rPr>
        <w:t> </w:t>
      </w:r>
      <w:r>
        <w:rPr>
          <w:vertAlign w:val="baseline"/>
        </w:rPr>
        <w:t>A Ltd loaned a sum of money to B Ltd on condition that it would be used to pay the latter’s share dividends. The money was paid into a separate account specially opened for this purpose with and to the knowledge of a bank, C Ltd. On B Ltd’s voluntary liquidation, the House of Lords held A Ltd entitled to the money held by C Ltd and not paid out as dividend: the loan arrangements showed a clear intention:</w:t>
      </w:r>
    </w:p>
    <w:p>
      <w:pPr>
        <w:pStyle w:val="BodyText"/>
      </w:pPr>
    </w:p>
    <w:p>
      <w:pPr>
        <w:pStyle w:val="BodyText"/>
        <w:spacing w:before="124"/>
      </w:pPr>
    </w:p>
    <w:p>
      <w:pPr>
        <w:pStyle w:val="BodyText"/>
        <w:spacing w:line="235" w:lineRule="auto"/>
        <w:ind w:left="1245"/>
      </w:pPr>
      <w:bookmarkStart w:name="_bookmark2334" w:id="2336"/>
      <w:bookmarkEnd w:id="2336"/>
      <w:r>
        <w:rPr/>
      </w:r>
      <w:r>
        <w:rPr/>
        <w:t>“to</w:t>
      </w:r>
      <w:r>
        <w:rPr>
          <w:spacing w:val="18"/>
        </w:rPr>
        <w:t> </w:t>
      </w:r>
      <w:r>
        <w:rPr/>
        <w:t>create</w:t>
      </w:r>
      <w:r>
        <w:rPr>
          <w:spacing w:val="18"/>
        </w:rPr>
        <w:t> </w:t>
      </w:r>
      <w:r>
        <w:rPr/>
        <w:t>a</w:t>
      </w:r>
      <w:r>
        <w:rPr>
          <w:spacing w:val="18"/>
        </w:rPr>
        <w:t> </w:t>
      </w:r>
      <w:r>
        <w:rPr/>
        <w:t>secondary</w:t>
      </w:r>
      <w:r>
        <w:rPr>
          <w:spacing w:val="18"/>
        </w:rPr>
        <w:t> </w:t>
      </w:r>
      <w:r>
        <w:rPr/>
        <w:t>trust</w:t>
      </w:r>
      <w:r>
        <w:rPr>
          <w:spacing w:val="18"/>
        </w:rPr>
        <w:t> </w:t>
      </w:r>
      <w:r>
        <w:rPr/>
        <w:t>for</w:t>
      </w:r>
      <w:r>
        <w:rPr>
          <w:spacing w:val="18"/>
        </w:rPr>
        <w:t> </w:t>
      </w:r>
      <w:r>
        <w:rPr/>
        <w:t>the</w:t>
      </w:r>
      <w:r>
        <w:rPr>
          <w:spacing w:val="18"/>
        </w:rPr>
        <w:t> </w:t>
      </w:r>
      <w:r>
        <w:rPr/>
        <w:t>benefit</w:t>
      </w:r>
      <w:r>
        <w:rPr>
          <w:spacing w:val="18"/>
        </w:rPr>
        <w:t> </w:t>
      </w:r>
      <w:r>
        <w:rPr/>
        <w:t>of</w:t>
      </w:r>
      <w:r>
        <w:rPr>
          <w:spacing w:val="18"/>
        </w:rPr>
        <w:t> </w:t>
      </w:r>
      <w:r>
        <w:rPr/>
        <w:t>the</w:t>
      </w:r>
      <w:r>
        <w:rPr>
          <w:spacing w:val="18"/>
        </w:rPr>
        <w:t> </w:t>
      </w:r>
      <w:r>
        <w:rPr/>
        <w:t>lender,</w:t>
      </w:r>
      <w:r>
        <w:rPr>
          <w:spacing w:val="18"/>
        </w:rPr>
        <w:t> </w:t>
      </w:r>
      <w:r>
        <w:rPr/>
        <w:t>to</w:t>
      </w:r>
      <w:r>
        <w:rPr>
          <w:spacing w:val="18"/>
        </w:rPr>
        <w:t> </w:t>
      </w:r>
      <w:r>
        <w:rPr/>
        <w:t>arise</w:t>
      </w:r>
      <w:r>
        <w:rPr>
          <w:spacing w:val="18"/>
        </w:rPr>
        <w:t> </w:t>
      </w:r>
      <w:r>
        <w:rPr/>
        <w:t>if</w:t>
      </w:r>
      <w:r>
        <w:rPr>
          <w:spacing w:val="18"/>
        </w:rPr>
        <w:t> </w:t>
      </w:r>
      <w:r>
        <w:rPr/>
        <w:t>the</w:t>
      </w:r>
      <w:r>
        <w:rPr>
          <w:spacing w:val="18"/>
        </w:rPr>
        <w:t> </w:t>
      </w:r>
      <w:r>
        <w:rPr/>
        <w:t>primary</w:t>
      </w:r>
      <w:r>
        <w:rPr>
          <w:spacing w:val="18"/>
        </w:rPr>
        <w:t> </w:t>
      </w:r>
      <w:r>
        <w:rPr/>
        <w:t>trust,</w:t>
      </w:r>
      <w:r>
        <w:rPr>
          <w:spacing w:val="18"/>
        </w:rPr>
        <w:t> </w:t>
      </w:r>
      <w:r>
        <w:rPr/>
        <w:t>to pay the dividend could not be carried out.” </w:t>
      </w:r>
      <w:r>
        <w:rPr>
          <w:color w:val="005DA1"/>
          <w:u w:val="single" w:color="005DA1"/>
          <w:vertAlign w:val="superscript"/>
        </w:rPr>
        <w:t>1549</w:t>
      </w:r>
    </w:p>
    <w:p>
      <w:pPr>
        <w:pStyle w:val="BodyText"/>
      </w:pPr>
    </w:p>
    <w:p>
      <w:pPr>
        <w:pStyle w:val="BodyText"/>
        <w:spacing w:before="206"/>
      </w:pPr>
    </w:p>
    <w:p>
      <w:pPr>
        <w:pStyle w:val="BodyText"/>
        <w:spacing w:line="235" w:lineRule="auto"/>
        <w:ind w:left="165" w:right="167"/>
        <w:jc w:val="both"/>
      </w:pPr>
      <w:bookmarkStart w:name="_bookmark2335" w:id="2337"/>
      <w:bookmarkEnd w:id="2337"/>
      <w:r>
        <w:rPr/>
      </w:r>
      <w:r>
        <w:rPr/>
        <w:t>On the other hand, in </w:t>
      </w:r>
      <w:r>
        <w:rPr>
          <w:rFonts w:ascii="Arial"/>
          <w:i/>
        </w:rPr>
        <w:t>Lipkin Gorman v Karpnale Ltd </w:t>
      </w:r>
      <w:r>
        <w:rPr>
          <w:color w:val="005DA1"/>
          <w:u w:val="single" w:color="005DA1"/>
          <w:vertAlign w:val="superscript"/>
        </w:rPr>
        <w:t>1550</w:t>
      </w:r>
      <w:r>
        <w:rPr>
          <w:color w:val="005DA1"/>
          <w:vertAlign w:val="baseline"/>
        </w:rPr>
        <w:t> </w:t>
      </w:r>
      <w:r>
        <w:rPr>
          <w:vertAlign w:val="baseline"/>
        </w:rPr>
        <w:t>the Court of Appeal accepted an approach </w:t>
      </w:r>
      <w:r>
        <w:rPr>
          <w:vertAlign w:val="baseline"/>
        </w:rPr>
        <w:t>to </w:t>
      </w:r>
      <w:bookmarkStart w:name="_bookmark2336" w:id="2338"/>
      <w:bookmarkEnd w:id="2338"/>
      <w:r>
        <w:rPr>
          <w:vertAlign w:val="baseline"/>
        </w:rPr>
        <w:t>the</w:t>
      </w:r>
      <w:r>
        <w:rPr>
          <w:vertAlign w:val="baseline"/>
        </w:rPr>
        <w:t> relationship between contract and trust which echoes that already examined in relation to contract and</w:t>
      </w:r>
      <w:r>
        <w:rPr>
          <w:spacing w:val="14"/>
          <w:vertAlign w:val="baseline"/>
        </w:rPr>
        <w:t> </w:t>
      </w:r>
      <w:r>
        <w:rPr>
          <w:vertAlign w:val="baseline"/>
        </w:rPr>
        <w:t>tort.</w:t>
      </w:r>
      <w:r>
        <w:rPr>
          <w:spacing w:val="15"/>
          <w:vertAlign w:val="baseline"/>
        </w:rPr>
        <w:t> </w:t>
      </w:r>
      <w:r>
        <w:rPr>
          <w:color w:val="005DA1"/>
          <w:u w:val="single" w:color="005DA1"/>
          <w:vertAlign w:val="superscript"/>
        </w:rPr>
        <w:t>1551</w:t>
      </w:r>
      <w:r>
        <w:rPr>
          <w:color w:val="005DA1"/>
          <w:spacing w:val="15"/>
          <w:vertAlign w:val="baseline"/>
        </w:rPr>
        <w:t> </w:t>
      </w:r>
      <w:r>
        <w:rPr>
          <w:vertAlign w:val="baseline"/>
        </w:rPr>
        <w:t>In</w:t>
      </w:r>
      <w:r>
        <w:rPr>
          <w:spacing w:val="15"/>
          <w:vertAlign w:val="baseline"/>
        </w:rPr>
        <w:t> </w:t>
      </w:r>
      <w:r>
        <w:rPr>
          <w:vertAlign w:val="baseline"/>
        </w:rPr>
        <w:t>that</w:t>
      </w:r>
      <w:r>
        <w:rPr>
          <w:spacing w:val="15"/>
          <w:vertAlign w:val="baseline"/>
        </w:rPr>
        <w:t> </w:t>
      </w:r>
      <w:r>
        <w:rPr>
          <w:vertAlign w:val="baseline"/>
        </w:rPr>
        <w:t>case</w:t>
      </w:r>
      <w:r>
        <w:rPr>
          <w:spacing w:val="15"/>
          <w:vertAlign w:val="baseline"/>
        </w:rPr>
        <w:t> </w:t>
      </w:r>
      <w:r>
        <w:rPr>
          <w:vertAlign w:val="baseline"/>
        </w:rPr>
        <w:t>a</w:t>
      </w:r>
      <w:r>
        <w:rPr>
          <w:spacing w:val="14"/>
          <w:vertAlign w:val="baseline"/>
        </w:rPr>
        <w:t> </w:t>
      </w:r>
      <w:r>
        <w:rPr>
          <w:vertAlign w:val="baseline"/>
        </w:rPr>
        <w:t>partner</w:t>
      </w:r>
      <w:r>
        <w:rPr>
          <w:spacing w:val="15"/>
          <w:vertAlign w:val="baseline"/>
        </w:rPr>
        <w:t> </w:t>
      </w:r>
      <w:r>
        <w:rPr>
          <w:vertAlign w:val="baseline"/>
        </w:rPr>
        <w:t>in</w:t>
      </w:r>
      <w:r>
        <w:rPr>
          <w:spacing w:val="15"/>
          <w:vertAlign w:val="baseline"/>
        </w:rPr>
        <w:t> </w:t>
      </w:r>
      <w:r>
        <w:rPr>
          <w:vertAlign w:val="baseline"/>
        </w:rPr>
        <w:t>a</w:t>
      </w:r>
      <w:r>
        <w:rPr>
          <w:spacing w:val="15"/>
          <w:vertAlign w:val="baseline"/>
        </w:rPr>
        <w:t> </w:t>
      </w:r>
      <w:r>
        <w:rPr>
          <w:vertAlign w:val="baseline"/>
        </w:rPr>
        <w:t>firm</w:t>
      </w:r>
      <w:r>
        <w:rPr>
          <w:spacing w:val="15"/>
          <w:vertAlign w:val="baseline"/>
        </w:rPr>
        <w:t> </w:t>
      </w:r>
      <w:r>
        <w:rPr>
          <w:vertAlign w:val="baseline"/>
        </w:rPr>
        <w:t>of</w:t>
      </w:r>
      <w:r>
        <w:rPr>
          <w:spacing w:val="15"/>
          <w:vertAlign w:val="baseline"/>
        </w:rPr>
        <w:t> </w:t>
      </w:r>
      <w:r>
        <w:rPr>
          <w:vertAlign w:val="baseline"/>
        </w:rPr>
        <w:t>solicitors</w:t>
      </w:r>
      <w:r>
        <w:rPr>
          <w:spacing w:val="14"/>
          <w:vertAlign w:val="baseline"/>
        </w:rPr>
        <w:t> </w:t>
      </w:r>
      <w:r>
        <w:rPr>
          <w:vertAlign w:val="baseline"/>
        </w:rPr>
        <w:t>drew</w:t>
      </w:r>
      <w:r>
        <w:rPr>
          <w:spacing w:val="15"/>
          <w:vertAlign w:val="baseline"/>
        </w:rPr>
        <w:t> </w:t>
      </w:r>
      <w:r>
        <w:rPr>
          <w:vertAlign w:val="baseline"/>
        </w:rPr>
        <w:t>cheques</w:t>
      </w:r>
      <w:r>
        <w:rPr>
          <w:spacing w:val="15"/>
          <w:vertAlign w:val="baseline"/>
        </w:rPr>
        <w:t> </w:t>
      </w:r>
      <w:r>
        <w:rPr>
          <w:vertAlign w:val="baseline"/>
        </w:rPr>
        <w:t>on</w:t>
      </w:r>
      <w:r>
        <w:rPr>
          <w:spacing w:val="15"/>
          <w:vertAlign w:val="baseline"/>
        </w:rPr>
        <w:t> </w:t>
      </w:r>
      <w:r>
        <w:rPr>
          <w:vertAlign w:val="baseline"/>
        </w:rPr>
        <w:t>a</w:t>
      </w:r>
      <w:r>
        <w:rPr>
          <w:spacing w:val="15"/>
          <w:vertAlign w:val="baseline"/>
        </w:rPr>
        <w:t> </w:t>
      </w:r>
      <w:r>
        <w:rPr>
          <w:vertAlign w:val="baseline"/>
        </w:rPr>
        <w:t>client</w:t>
      </w:r>
      <w:r>
        <w:rPr>
          <w:spacing w:val="15"/>
          <w:vertAlign w:val="baseline"/>
        </w:rPr>
        <w:t> </w:t>
      </w:r>
      <w:r>
        <w:rPr>
          <w:vertAlign w:val="baseline"/>
        </w:rPr>
        <w:t>account</w:t>
      </w:r>
      <w:r>
        <w:rPr>
          <w:spacing w:val="15"/>
          <w:vertAlign w:val="baseline"/>
        </w:rPr>
        <w:t> </w:t>
      </w:r>
      <w:r>
        <w:rPr>
          <w:vertAlign w:val="baseline"/>
        </w:rPr>
        <w:t>and</w:t>
      </w:r>
      <w:r>
        <w:rPr>
          <w:spacing w:val="14"/>
          <w:vertAlign w:val="baseline"/>
        </w:rPr>
        <w:t> </w:t>
      </w:r>
      <w:r>
        <w:rPr>
          <w:spacing w:val="-4"/>
          <w:vertAlign w:val="baseline"/>
        </w:rPr>
        <w:t>then</w:t>
      </w:r>
    </w:p>
    <w:p>
      <w:pPr>
        <w:pStyle w:val="BodyText"/>
        <w:spacing w:after="0" w:line="235" w:lineRule="auto"/>
        <w:jc w:val="both"/>
        <w:sectPr>
          <w:headerReference w:type="default" r:id="rId49"/>
          <w:pgSz w:w="11900" w:h="16840"/>
          <w:pgMar w:header="971" w:footer="0" w:top="1300" w:bottom="280" w:left="1275" w:right="1275"/>
          <w:pgNumType w:start="1"/>
        </w:sectPr>
      </w:pPr>
    </w:p>
    <w:p>
      <w:pPr>
        <w:pStyle w:val="BodyText"/>
        <w:spacing w:line="235" w:lineRule="auto" w:before="170"/>
        <w:ind w:left="165" w:right="167"/>
        <w:jc w:val="both"/>
      </w:pPr>
      <w:bookmarkStart w:name="_bookmark2337" w:id="2339"/>
      <w:bookmarkEnd w:id="2339"/>
      <w:r>
        <w:rPr/>
      </w:r>
      <w:r>
        <w:rPr/>
        <w:t>gambled away the proceeds. The solicitors sued, inter alia, </w:t>
      </w:r>
      <w:r>
        <w:rPr>
          <w:color w:val="005DA1"/>
          <w:u w:val="single" w:color="005DA1"/>
          <w:vertAlign w:val="superscript"/>
        </w:rPr>
        <w:t>1552</w:t>
      </w:r>
      <w:r>
        <w:rPr>
          <w:color w:val="005DA1"/>
          <w:vertAlign w:val="baseline"/>
        </w:rPr>
        <w:t> </w:t>
      </w:r>
      <w:r>
        <w:rPr>
          <w:vertAlign w:val="baseline"/>
        </w:rPr>
        <w:t>the bank, claiming that the latter was liable under a constructive trust. The Court of Appeal took the view that a bank would be subject to a </w:t>
      </w:r>
      <w:bookmarkStart w:name="_bookmark2338" w:id="2340"/>
      <w:bookmarkEnd w:id="2340"/>
      <w:r>
        <w:rPr>
          <w:vertAlign w:val="baseline"/>
        </w:rPr>
        <w:t>constructive</w:t>
      </w:r>
      <w:r>
        <w:rPr>
          <w:vertAlign w:val="baseline"/>
        </w:rPr>
        <w:t> trust to its customer in respect of the running of an account only in circumstances where the bank would also be in breach of its contractual duty of care. </w:t>
      </w:r>
      <w:r>
        <w:rPr>
          <w:color w:val="005DA1"/>
          <w:u w:val="single" w:color="005DA1"/>
          <w:vertAlign w:val="superscript"/>
        </w:rPr>
        <w:t>1553</w:t>
      </w:r>
      <w:r>
        <w:rPr>
          <w:color w:val="005DA1"/>
          <w:vertAlign w:val="baseline"/>
        </w:rPr>
        <w:t> </w:t>
      </w:r>
      <w:r>
        <w:rPr>
          <w:vertAlign w:val="baseline"/>
        </w:rPr>
        <w:t>Moreover, the content of this </w:t>
      </w:r>
      <w:r>
        <w:rPr>
          <w:vertAlign w:val="baseline"/>
        </w:rPr>
        <w:t>duty </w:t>
      </w:r>
      <w:bookmarkStart w:name="_bookmark2339" w:id="2341"/>
      <w:bookmarkEnd w:id="2341"/>
      <w:r>
        <w:rPr>
          <w:vertAlign w:val="baseline"/>
        </w:rPr>
        <w:t>had</w:t>
      </w:r>
      <w:r>
        <w:rPr>
          <w:vertAlign w:val="baseline"/>
        </w:rPr>
        <w:t> to be set in the context of the bank’s primary contractual duty which was to honour its customer’s cheques in accordance with its mandate </w:t>
      </w:r>
      <w:r>
        <w:rPr>
          <w:color w:val="005DA1"/>
          <w:u w:val="single" w:color="005DA1"/>
          <w:vertAlign w:val="superscript"/>
        </w:rPr>
        <w:t>1554</w:t>
      </w:r>
      <w:r>
        <w:rPr>
          <w:color w:val="005DA1"/>
          <w:vertAlign w:val="baseline"/>
        </w:rPr>
        <w:t> </w:t>
      </w:r>
      <w:r>
        <w:rPr>
          <w:vertAlign w:val="baseline"/>
        </w:rPr>
        <w:t>and so should be limited to cases where there is a </w:t>
      </w:r>
      <w:bookmarkStart w:name="_bookmark2340" w:id="2342"/>
      <w:bookmarkEnd w:id="2342"/>
      <w:r>
        <w:rPr>
          <w:vertAlign w:val="baseline"/>
        </w:rPr>
        <w:t>“serious</w:t>
      </w:r>
      <w:r>
        <w:rPr>
          <w:vertAlign w:val="baseline"/>
        </w:rPr>
        <w:t> or real possibility, albeit not amounting to a probability, that its customer might be being defrauded”.</w:t>
      </w:r>
      <w:r>
        <w:rPr>
          <w:spacing w:val="-1"/>
          <w:vertAlign w:val="baseline"/>
        </w:rPr>
        <w:t> </w:t>
      </w:r>
      <w:r>
        <w:rPr>
          <w:color w:val="005DA1"/>
          <w:u w:val="single" w:color="005DA1"/>
          <w:vertAlign w:val="superscript"/>
        </w:rPr>
        <w:t>1555</w:t>
      </w:r>
      <w:r>
        <w:rPr>
          <w:color w:val="005DA1"/>
          <w:spacing w:val="-1"/>
          <w:vertAlign w:val="baseline"/>
        </w:rPr>
        <w:t> </w:t>
      </w:r>
      <w:r>
        <w:rPr>
          <w:rFonts w:ascii="Arial" w:hAnsi="Arial"/>
          <w:i/>
          <w:vertAlign w:val="baseline"/>
        </w:rPr>
        <w:t>Lipkin Gorman v Karpnale Ltd</w:t>
      </w:r>
      <w:r>
        <w:rPr>
          <w:rFonts w:ascii="Arial" w:hAnsi="Arial"/>
          <w:i/>
          <w:spacing w:val="-1"/>
          <w:vertAlign w:val="baseline"/>
        </w:rPr>
        <w:t> </w:t>
      </w:r>
      <w:r>
        <w:rPr>
          <w:vertAlign w:val="baseline"/>
        </w:rPr>
        <w:t>therefore concerned the requisite degree of knowledge for liability in a third party “accessory” to a breach of trust and is to be distinguished from </w:t>
      </w:r>
      <w:r>
        <w:rPr>
          <w:rFonts w:ascii="Arial" w:hAnsi="Arial"/>
          <w:i/>
          <w:vertAlign w:val="baseline"/>
        </w:rPr>
        <w:t>Barclays Bank Ltd v Quistclose Investments Ltd </w:t>
      </w:r>
      <w:r>
        <w:rPr>
          <w:vertAlign w:val="baseline"/>
        </w:rPr>
        <w:t>where the bank (C Ltd) had received the money in respect of </w:t>
      </w:r>
      <w:bookmarkStart w:name="_bookmark2341" w:id="2343"/>
      <w:bookmarkEnd w:id="2343"/>
      <w:r>
        <w:rPr>
          <w:vertAlign w:val="baseline"/>
        </w:rPr>
        <w:t>which</w:t>
      </w:r>
      <w:r>
        <w:rPr>
          <w:vertAlign w:val="baseline"/>
        </w:rPr>
        <w:t> the constructive trust was imposed and had actual notice of the purpose for which it was intended. </w:t>
      </w:r>
      <w:r>
        <w:rPr>
          <w:color w:val="005DA1"/>
          <w:u w:val="single" w:color="005DA1"/>
          <w:vertAlign w:val="superscript"/>
        </w:rPr>
        <w:t>1556</w:t>
      </w:r>
    </w:p>
    <w:p>
      <w:pPr>
        <w:pStyle w:val="BodyText"/>
      </w:pPr>
    </w:p>
    <w:p>
      <w:pPr>
        <w:pStyle w:val="BodyText"/>
        <w:spacing w:before="34"/>
      </w:pPr>
    </w:p>
    <w:p>
      <w:pPr>
        <w:spacing w:before="0"/>
        <w:ind w:left="165" w:right="0" w:firstLine="0"/>
        <w:jc w:val="left"/>
        <w:rPr>
          <w:rFonts w:ascii="Arial"/>
          <w:b/>
          <w:sz w:val="18"/>
        </w:rPr>
      </w:pPr>
      <w:r>
        <w:rPr>
          <w:rFonts w:ascii="Arial"/>
          <w:b/>
          <w:sz w:val="18"/>
        </w:rPr>
        <w:t>Contract and </w:t>
      </w:r>
      <w:r>
        <w:rPr>
          <w:rFonts w:ascii="Arial"/>
          <w:b/>
          <w:spacing w:val="-2"/>
          <w:sz w:val="18"/>
        </w:rPr>
        <w:t>conveyance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w:t>
      </w:r>
      <w:r>
        <w:rPr>
          <w:rFonts w:ascii="Arial"/>
          <w:b/>
          <w:spacing w:val="-5"/>
          <w:sz w:val="24"/>
        </w:rPr>
        <w:t>221</w:t>
      </w:r>
    </w:p>
    <w:p>
      <w:pPr>
        <w:pStyle w:val="BodyText"/>
        <w:spacing w:line="235" w:lineRule="auto" w:before="202"/>
        <w:ind w:left="165" w:right="167"/>
        <w:jc w:val="both"/>
      </w:pPr>
      <w:r>
        <w:rPr/>
        <w:t>A contract, which creates rights in personam, must be distinguished from a conveyance of property, which creates rights in rem. Yet sometimes a contract operates, to some extent at any rate, as </w:t>
      </w:r>
      <w:r>
        <w:rPr/>
        <w:t>a conveyance of property. For instance, a specifically enforceable contract for the sale of land constitutes the vendor a trustee of the property for the purchaser, and thus conveys equitable rights which are scarcely distinguishable in practice from rights in rem. Again, a contract for the sale of goods passes the property in the goods to the buyer under s.18 of the Sale of Goods Act 1979. But in both cases the vendor has a lien on the property for unpaid purchase money; and in the case of goods, as the rubric to the group of sections containing s.18 indicates, the property passes only as </w:t>
      </w:r>
      <w:bookmarkStart w:name="_bookmark2342" w:id="2344"/>
      <w:bookmarkEnd w:id="2344"/>
      <w:r>
        <w:rPr/>
        <w:t>between</w:t>
      </w:r>
      <w:r>
        <w:rPr/>
        <w:t> the seller and the buyer: as regards third parties the seller in possession has powers of disposition</w:t>
      </w:r>
      <w:r>
        <w:rPr>
          <w:spacing w:val="13"/>
        </w:rPr>
        <w:t> </w:t>
      </w:r>
      <w:r>
        <w:rPr/>
        <w:t>which</w:t>
      </w:r>
      <w:r>
        <w:rPr>
          <w:spacing w:val="13"/>
        </w:rPr>
        <w:t> </w:t>
      </w:r>
      <w:r>
        <w:rPr/>
        <w:t>may</w:t>
      </w:r>
      <w:r>
        <w:rPr>
          <w:spacing w:val="13"/>
        </w:rPr>
        <w:t> </w:t>
      </w:r>
      <w:r>
        <w:rPr/>
        <w:t>defeat</w:t>
      </w:r>
      <w:r>
        <w:rPr>
          <w:spacing w:val="13"/>
        </w:rPr>
        <w:t> </w:t>
      </w:r>
      <w:r>
        <w:rPr/>
        <w:t>the</w:t>
      </w:r>
      <w:r>
        <w:rPr>
          <w:spacing w:val="13"/>
        </w:rPr>
        <w:t> </w:t>
      </w:r>
      <w:r>
        <w:rPr/>
        <w:t>buyer’s</w:t>
      </w:r>
      <w:r>
        <w:rPr>
          <w:spacing w:val="13"/>
        </w:rPr>
        <w:t> </w:t>
      </w:r>
      <w:r>
        <w:rPr/>
        <w:t>title,</w:t>
      </w:r>
      <w:r>
        <w:rPr>
          <w:spacing w:val="13"/>
        </w:rPr>
        <w:t> </w:t>
      </w:r>
      <w:r>
        <w:rPr/>
        <w:t>notwithstanding</w:t>
      </w:r>
      <w:r>
        <w:rPr>
          <w:spacing w:val="13"/>
        </w:rPr>
        <w:t> </w:t>
      </w:r>
      <w:r>
        <w:rPr/>
        <w:t>the</w:t>
      </w:r>
      <w:r>
        <w:rPr>
          <w:spacing w:val="13"/>
        </w:rPr>
        <w:t> </w:t>
      </w:r>
      <w:r>
        <w:rPr/>
        <w:t>maxim</w:t>
      </w:r>
      <w:r>
        <w:rPr>
          <w:spacing w:val="13"/>
        </w:rPr>
        <w:t> </w:t>
      </w:r>
      <w:r>
        <w:rPr/>
        <w:t>nemo</w:t>
      </w:r>
      <w:r>
        <w:rPr>
          <w:spacing w:val="13"/>
        </w:rPr>
        <w:t> </w:t>
      </w:r>
      <w:r>
        <w:rPr/>
        <w:t>dat</w:t>
      </w:r>
      <w:r>
        <w:rPr>
          <w:spacing w:val="13"/>
        </w:rPr>
        <w:t> </w:t>
      </w:r>
      <w:r>
        <w:rPr/>
        <w:t>quod</w:t>
      </w:r>
      <w:r>
        <w:rPr>
          <w:spacing w:val="13"/>
        </w:rPr>
        <w:t> </w:t>
      </w:r>
      <w:r>
        <w:rPr/>
        <w:t>non</w:t>
      </w:r>
      <w:r>
        <w:rPr>
          <w:spacing w:val="13"/>
        </w:rPr>
        <w:t> </w:t>
      </w:r>
      <w:r>
        <w:rPr>
          <w:spacing w:val="-2"/>
        </w:rPr>
        <w:t>habet.</w:t>
      </w:r>
    </w:p>
    <w:p>
      <w:pPr>
        <w:spacing w:line="110" w:lineRule="exact" w:before="0"/>
        <w:ind w:left="165" w:right="0" w:firstLine="0"/>
        <w:jc w:val="left"/>
        <w:rPr>
          <w:sz w:val="12"/>
        </w:rPr>
      </w:pPr>
      <w:r>
        <w:rPr>
          <w:color w:val="005DA1"/>
          <w:spacing w:val="-4"/>
          <w:sz w:val="12"/>
          <w:u w:val="single" w:color="005DA1"/>
        </w:rPr>
        <w:t>1557</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Contractual rights as </w:t>
      </w:r>
      <w:r>
        <w:rPr>
          <w:rFonts w:ascii="Arial"/>
          <w:b/>
          <w:spacing w:val="-2"/>
          <w:sz w:val="18"/>
        </w:rPr>
        <w:t>property</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222</w:t>
      </w:r>
    </w:p>
    <w:p>
      <w:pPr>
        <w:pStyle w:val="BodyText"/>
        <w:spacing w:line="235" w:lineRule="auto" w:before="202"/>
        <w:ind w:left="165" w:right="167"/>
        <w:jc w:val="both"/>
      </w:pPr>
      <w:bookmarkStart w:name="_bookmark2343" w:id="2345"/>
      <w:bookmarkEnd w:id="2345"/>
      <w:r>
        <w:rPr/>
      </w:r>
      <w:r>
        <w:rPr/>
        <w:t>Although contracts create only rights in personam, these rights are treated by the law as </w:t>
      </w:r>
      <w:r>
        <w:rPr/>
        <w:t>themselves items of property, an example of things in action or choses in action. </w:t>
      </w:r>
      <w:r>
        <w:rPr>
          <w:color w:val="005DA1"/>
          <w:u w:val="single" w:color="005DA1"/>
          <w:vertAlign w:val="superscript"/>
        </w:rPr>
        <w:t>1558</w:t>
      </w:r>
      <w:r>
        <w:rPr>
          <w:color w:val="005DA1"/>
          <w:vertAlign w:val="baseline"/>
        </w:rPr>
        <w:t> </w:t>
      </w:r>
      <w:r>
        <w:rPr>
          <w:vertAlign w:val="baseline"/>
        </w:rPr>
        <w:t>So, a right under a contract may be assigned, subject to the conditions which are explained in Ch.19. And a person may</w:t>
      </w:r>
      <w:r>
        <w:rPr>
          <w:spacing w:val="40"/>
          <w:vertAlign w:val="baseline"/>
        </w:rPr>
        <w:t> </w:t>
      </w:r>
      <w:r>
        <w:rPr>
          <w:vertAlign w:val="baseline"/>
        </w:rPr>
        <w:t>constitute himself trustee of a contractual promise, giving rise to a trust of the right under the contract: </w:t>
      </w:r>
      <w:bookmarkStart w:name="_bookmark2344" w:id="2346"/>
      <w:bookmarkEnd w:id="2346"/>
      <w:r>
        <w:rPr>
          <w:vertAlign w:val="baseline"/>
        </w:rPr>
        <w:t>the</w:t>
      </w:r>
      <w:r>
        <w:rPr>
          <w:vertAlign w:val="baseline"/>
        </w:rPr>
        <w:t> conditions for such a constitution (in particular relating to the person’s intention) are explained in Ch.18</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context</w:t>
      </w:r>
      <w:r>
        <w:rPr>
          <w:spacing w:val="-3"/>
          <w:vertAlign w:val="baseline"/>
        </w:rPr>
        <w:t> </w:t>
      </w:r>
      <w:r>
        <w:rPr>
          <w:vertAlign w:val="baseline"/>
        </w:rPr>
        <w:t>of</w:t>
      </w:r>
      <w:r>
        <w:rPr>
          <w:spacing w:val="-3"/>
          <w:vertAlign w:val="baseline"/>
        </w:rPr>
        <w:t> </w:t>
      </w:r>
      <w:r>
        <w:rPr>
          <w:vertAlign w:val="baseline"/>
        </w:rPr>
        <w:t>privity</w:t>
      </w:r>
      <w:r>
        <w:rPr>
          <w:spacing w:val="-3"/>
          <w:vertAlign w:val="baseline"/>
        </w:rPr>
        <w:t> </w:t>
      </w:r>
      <w:r>
        <w:rPr>
          <w:vertAlign w:val="baseline"/>
        </w:rPr>
        <w:t>of</w:t>
      </w:r>
      <w:r>
        <w:rPr>
          <w:spacing w:val="-3"/>
          <w:vertAlign w:val="baseline"/>
        </w:rPr>
        <w:t> </w:t>
      </w:r>
      <w:r>
        <w:rPr>
          <w:vertAlign w:val="baseline"/>
        </w:rPr>
        <w:t>contract.</w:t>
      </w:r>
      <w:r>
        <w:rPr>
          <w:spacing w:val="-4"/>
          <w:vertAlign w:val="baseline"/>
        </w:rPr>
        <w:t> </w:t>
      </w:r>
      <w:r>
        <w:rPr>
          <w:color w:val="005DA1"/>
          <w:u w:val="single" w:color="005DA1"/>
          <w:vertAlign w:val="superscript"/>
        </w:rPr>
        <w:t>1559</w:t>
      </w:r>
      <w:r>
        <w:rPr>
          <w:color w:val="005DA1"/>
          <w:spacing w:val="-3"/>
          <w:vertAlign w:val="baseline"/>
        </w:rPr>
        <w:t> </w:t>
      </w:r>
      <w:r>
        <w:rPr>
          <w:vertAlign w:val="baseline"/>
        </w:rPr>
        <w:t>More</w:t>
      </w:r>
      <w:r>
        <w:rPr>
          <w:spacing w:val="-3"/>
          <w:vertAlign w:val="baseline"/>
        </w:rPr>
        <w:t> </w:t>
      </w:r>
      <w:r>
        <w:rPr>
          <w:vertAlign w:val="baseline"/>
        </w:rPr>
        <w:t>generally,</w:t>
      </w:r>
      <w:r>
        <w:rPr>
          <w:spacing w:val="-3"/>
          <w:vertAlign w:val="baseline"/>
        </w:rPr>
        <w:t> </w:t>
      </w:r>
      <w:r>
        <w:rPr>
          <w:vertAlign w:val="baseline"/>
        </w:rPr>
        <w:t>it</w:t>
      </w:r>
      <w:r>
        <w:rPr>
          <w:spacing w:val="-3"/>
          <w:vertAlign w:val="baseline"/>
        </w:rPr>
        <w:t> </w:t>
      </w:r>
      <w:r>
        <w:rPr>
          <w:vertAlign w:val="baseline"/>
        </w:rPr>
        <w:t>has</w:t>
      </w:r>
      <w:r>
        <w:rPr>
          <w:spacing w:val="-3"/>
          <w:vertAlign w:val="baseline"/>
        </w:rPr>
        <w:t> </w:t>
      </w:r>
      <w:r>
        <w:rPr>
          <w:vertAlign w:val="baseline"/>
        </w:rPr>
        <w:t>earlier</w:t>
      </w:r>
      <w:r>
        <w:rPr>
          <w:spacing w:val="-3"/>
          <w:vertAlign w:val="baseline"/>
        </w:rPr>
        <w:t> </w:t>
      </w:r>
      <w:r>
        <w:rPr>
          <w:vertAlign w:val="baseline"/>
        </w:rPr>
        <w:t>been</w:t>
      </w:r>
      <w:r>
        <w:rPr>
          <w:spacing w:val="-3"/>
          <w:vertAlign w:val="baseline"/>
        </w:rPr>
        <w:t> </w:t>
      </w:r>
      <w:r>
        <w:rPr>
          <w:vertAlign w:val="baseline"/>
        </w:rPr>
        <w:t>explained</w:t>
      </w:r>
      <w:r>
        <w:rPr>
          <w:spacing w:val="-3"/>
          <w:vertAlign w:val="baseline"/>
        </w:rPr>
        <w:t> </w:t>
      </w:r>
      <w:r>
        <w:rPr>
          <w:vertAlign w:val="baseline"/>
        </w:rPr>
        <w:t>that</w:t>
      </w:r>
      <w:r>
        <w:rPr>
          <w:spacing w:val="-3"/>
          <w:vertAlign w:val="baseline"/>
        </w:rPr>
        <w:t> </w:t>
      </w:r>
      <w:r>
        <w:rPr>
          <w:vertAlign w:val="baseline"/>
        </w:rPr>
        <w:t>a</w:t>
      </w:r>
      <w:r>
        <w:rPr>
          <w:spacing w:val="-3"/>
          <w:vertAlign w:val="baseline"/>
        </w:rPr>
        <w:t> </w:t>
      </w:r>
      <w:r>
        <w:rPr>
          <w:vertAlign w:val="baseline"/>
        </w:rPr>
        <w:t>party </w:t>
      </w:r>
      <w:bookmarkStart w:name="_bookmark2345" w:id="2347"/>
      <w:bookmarkEnd w:id="2347"/>
      <w:r>
        <w:rPr>
          <w:vertAlign w:val="baseline"/>
        </w:rPr>
        <w:t>to</w:t>
      </w:r>
      <w:r>
        <w:rPr>
          <w:vertAlign w:val="baseline"/>
        </w:rPr>
        <w:t> a contract may invoke the Human Rights Act 1998 so as to claim the protection of property rights under art.1 of the First Protocol to the European Convention on Human Rights. </w:t>
      </w:r>
      <w:r>
        <w:rPr>
          <w:color w:val="005DA1"/>
          <w:u w:val="single" w:color="005DA1"/>
          <w:vertAlign w:val="superscript"/>
        </w:rPr>
        <w:t>1560</w:t>
      </w:r>
      <w:r>
        <w:rPr>
          <w:color w:val="005DA1"/>
          <w:vertAlign w:val="baseline"/>
        </w:rPr>
        <w:t> </w:t>
      </w:r>
      <w:r>
        <w:rPr>
          <w:vertAlign w:val="baseline"/>
        </w:rPr>
        <w:t>However, while</w:t>
      </w:r>
      <w:r>
        <w:rPr>
          <w:spacing w:val="40"/>
          <w:vertAlign w:val="baseline"/>
        </w:rPr>
        <w:t> </w:t>
      </w:r>
      <w:r>
        <w:rPr>
          <w:vertAlign w:val="baseline"/>
        </w:rPr>
        <w:t>not rejecting the proprietary character of contractual rights, a majority of the House of Lords recently </w:t>
      </w:r>
      <w:bookmarkStart w:name="_bookmark2346" w:id="2348"/>
      <w:bookmarkEnd w:id="2348"/>
      <w:r>
        <w:rPr>
          <w:vertAlign w:val="baseline"/>
        </w:rPr>
        <w:t>refused</w:t>
      </w:r>
      <w:r>
        <w:rPr>
          <w:vertAlign w:val="baseline"/>
        </w:rPr>
        <w:t> to assimilate them to chattels (things or choses in possession) for the purpose of the tort of </w:t>
      </w:r>
      <w:bookmarkStart w:name="_bookmark2347" w:id="2349"/>
      <w:bookmarkEnd w:id="2349"/>
      <w:r>
        <w:rPr>
          <w:vertAlign w:val="baseline"/>
        </w:rPr>
        <w:t>conversion</w:t>
      </w:r>
      <w:r>
        <w:rPr>
          <w:vertAlign w:val="baseline"/>
        </w:rPr>
        <w:t> </w:t>
      </w:r>
      <w:r>
        <w:rPr>
          <w:color w:val="005DA1"/>
          <w:u w:val="single" w:color="005DA1"/>
          <w:vertAlign w:val="superscript"/>
        </w:rPr>
        <w:t>1561</w:t>
      </w:r>
      <w:r>
        <w:rPr>
          <w:vertAlign w:val="baseline"/>
        </w:rPr>
        <w:t>; for the minority, by contrast, “once the law recognises something [here, a contractual right] as property, the law should extend a proprietary remedy to protect it”. </w:t>
      </w:r>
      <w:r>
        <w:rPr>
          <w:color w:val="005DA1"/>
          <w:u w:val="single" w:color="005DA1"/>
          <w:vertAlign w:val="superscript"/>
        </w:rPr>
        <w:t>1562</w:t>
      </w:r>
    </w:p>
    <w:p>
      <w:pPr>
        <w:pStyle w:val="BodyText"/>
      </w:pPr>
    </w:p>
    <w:p>
      <w:pPr>
        <w:pStyle w:val="BodyText"/>
        <w:spacing w:before="34"/>
      </w:pPr>
    </w:p>
    <w:p>
      <w:pPr>
        <w:spacing w:before="0"/>
        <w:ind w:left="165" w:right="0" w:firstLine="0"/>
        <w:jc w:val="left"/>
        <w:rPr>
          <w:rFonts w:ascii="Arial"/>
          <w:b/>
          <w:sz w:val="18"/>
        </w:rPr>
      </w:pPr>
      <w:r>
        <w:rPr>
          <w:rFonts w:ascii="Arial"/>
          <w:b/>
          <w:sz w:val="18"/>
        </w:rPr>
        <w:t>Contract and unjust </w:t>
      </w:r>
      <w:r>
        <w:rPr>
          <w:rFonts w:ascii="Arial"/>
          <w:b/>
          <w:spacing w:val="-2"/>
          <w:sz w:val="18"/>
        </w:rPr>
        <w:t>enrichment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223</w:t>
      </w:r>
    </w:p>
    <w:p>
      <w:pPr>
        <w:pStyle w:val="BodyText"/>
        <w:rPr>
          <w:rFonts w:ascii="Arial"/>
          <w:b/>
          <w:sz w:val="24"/>
        </w:rPr>
      </w:pPr>
    </w:p>
    <w:p>
      <w:pPr>
        <w:pStyle w:val="BodyText"/>
        <w:spacing w:before="237"/>
        <w:rPr>
          <w:rFonts w:ascii="Arial"/>
          <w:b/>
          <w:sz w:val="24"/>
        </w:rPr>
      </w:pPr>
    </w:p>
    <w:p>
      <w:pPr>
        <w:pStyle w:val="BodyText"/>
        <w:spacing w:line="235" w:lineRule="auto"/>
        <w:ind w:left="1245" w:right="167"/>
        <w:jc w:val="both"/>
      </w:pPr>
      <w:r>
        <w:rPr/>
        <w:t>“The highest courts have now conclusively recognised that unjust enrichment is a </w:t>
      </w:r>
      <w:r>
        <w:rPr/>
        <w:t>distinct </w:t>
      </w:r>
      <w:bookmarkStart w:name="_bookmark2348" w:id="2350"/>
      <w:bookmarkEnd w:id="2350"/>
      <w:r>
        <w:rPr/>
        <w:t>source</w:t>
      </w:r>
      <w:r>
        <w:rPr/>
        <w:t> of rights and obligations in English private law that ranks alongside contract and civil wrongs in importance.” </w:t>
      </w:r>
      <w:r>
        <w:rPr>
          <w:color w:val="005DA1"/>
          <w:u w:val="single" w:color="005DA1"/>
          <w:vertAlign w:val="superscript"/>
        </w:rPr>
        <w:t>1563</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Claims based on unjust enrichment are not dependent upon the existence of any contract, express </w:t>
      </w:r>
      <w:r>
        <w:rPr/>
        <w:t>or implied, between the person enriched and the person at whose expense the enrichment has</w:t>
      </w:r>
      <w:r>
        <w:rPr>
          <w:spacing w:val="40"/>
        </w:rPr>
        <w:t> </w:t>
      </w:r>
      <w:r>
        <w:rPr/>
        <w:t>occurred. From the seventeenth century, the same form of action, indebitatus assumpsit, was used to remedy breaches of contract and to enforce claims which we would nowadays consider to be claims</w:t>
      </w:r>
      <w:r>
        <w:rPr>
          <w:spacing w:val="40"/>
        </w:rPr>
        <w:t> </w:t>
      </w:r>
      <w:r>
        <w:rPr/>
        <w:t>in restitution, e.g. for money had and received, for money paid to the use of another, and on a quantum meruit. In these cases the obligation to make restitution was deemed to arise on an implied promise or implied contract (quasi ex contractu) in order to render them enforceable by a court in indebitatus assumpsit. This fiction has long been discredited. The nature of restitutionary recovery</w:t>
      </w:r>
      <w:r>
        <w:rPr>
          <w:spacing w:val="40"/>
        </w:rPr>
        <w:t> </w:t>
      </w:r>
      <w:r>
        <w:rPr/>
        <w:t>and its significance for contracts will be discussed in Ch.29.</w:t>
      </w:r>
    </w:p>
    <w:p>
      <w:pPr>
        <w:pStyle w:val="BodyText"/>
      </w:pPr>
    </w:p>
    <w:p>
      <w:pPr>
        <w:pStyle w:val="BodyText"/>
        <w:spacing w:before="35"/>
      </w:pPr>
    </w:p>
    <w:p>
      <w:pPr>
        <w:spacing w:before="0"/>
        <w:ind w:left="165" w:right="0" w:firstLine="0"/>
        <w:jc w:val="left"/>
        <w:rPr>
          <w:rFonts w:ascii="Arial"/>
          <w:b/>
          <w:sz w:val="18"/>
        </w:rPr>
      </w:pPr>
      <w:r>
        <w:rPr>
          <w:rFonts w:ascii="Arial"/>
          <w:b/>
          <w:sz w:val="18"/>
        </w:rPr>
        <w:t>Contract and public </w:t>
      </w:r>
      <w:r>
        <w:rPr>
          <w:rFonts w:ascii="Arial"/>
          <w:b/>
          <w:spacing w:val="-5"/>
          <w:sz w:val="18"/>
        </w:rPr>
        <w:t>law</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224</w:t>
      </w:r>
    </w:p>
    <w:p>
      <w:pPr>
        <w:pStyle w:val="BodyText"/>
        <w:spacing w:line="235" w:lineRule="auto" w:before="202"/>
        <w:ind w:left="165" w:right="167"/>
        <w:jc w:val="both"/>
      </w:pPr>
      <w:bookmarkStart w:name="_bookmark2349" w:id="2351"/>
      <w:bookmarkEnd w:id="2351"/>
      <w:r>
        <w:rPr/>
      </w:r>
      <w:r>
        <w:rPr/>
        <w:t>Contracts have often been seen as the expression of individual and private autonomy and therefore</w:t>
      </w:r>
      <w:r>
        <w:rPr>
          <w:spacing w:val="80"/>
        </w:rPr>
        <w:t> </w:t>
      </w:r>
      <w:r>
        <w:rPr/>
        <w:t>to be contrasted with the expressions of public powers. </w:t>
      </w:r>
      <w:r>
        <w:rPr>
          <w:color w:val="005DA1"/>
          <w:u w:val="single" w:color="005DA1"/>
          <w:vertAlign w:val="superscript"/>
        </w:rPr>
        <w:t>1564</w:t>
      </w:r>
      <w:r>
        <w:rPr>
          <w:color w:val="005DA1"/>
          <w:vertAlign w:val="baseline"/>
        </w:rPr>
        <w:t> </w:t>
      </w:r>
      <w:r>
        <w:rPr>
          <w:vertAlign w:val="baseline"/>
        </w:rPr>
        <w:t>Since the rise in prominence of </w:t>
      </w:r>
      <w:r>
        <w:rPr>
          <w:vertAlign w:val="baseline"/>
        </w:rPr>
        <w:t>the distinction between public and private law since the early 1980s, spurred on first by the House of </w:t>
      </w:r>
      <w:bookmarkStart w:name="_bookmark2350" w:id="2352"/>
      <w:bookmarkEnd w:id="2352"/>
      <w:r>
        <w:rPr>
          <w:vertAlign w:val="baseline"/>
        </w:rPr>
        <w:t>Lords</w:t>
      </w:r>
      <w:r>
        <w:rPr>
          <w:vertAlign w:val="baseline"/>
        </w:rPr>
        <w:t> in its separation of the procedures for judicial review under RSC Ord.53 and for ordinary claims based on private rights, </w:t>
      </w:r>
      <w:r>
        <w:rPr>
          <w:color w:val="005DA1"/>
          <w:u w:val="single" w:color="005DA1"/>
          <w:vertAlign w:val="superscript"/>
        </w:rPr>
        <w:t>1565</w:t>
      </w:r>
      <w:r>
        <w:rPr>
          <w:color w:val="005DA1"/>
          <w:vertAlign w:val="baseline"/>
        </w:rPr>
        <w:t> </w:t>
      </w:r>
      <w:r>
        <w:rPr>
          <w:vertAlign w:val="baseline"/>
        </w:rPr>
        <w:t>the presence of a contract has often been seen as a significant element in, if not the touchstone of, the private nature of a person’s activity. At the same time, though, there has been an increasing awareness of the importance of contract as a basis for governmental action, </w:t>
      </w:r>
      <w:bookmarkStart w:name="_bookmark2351" w:id="2353"/>
      <w:bookmarkEnd w:id="2353"/>
      <w:r>
        <w:rPr>
          <w:vertAlign w:val="baseline"/>
        </w:rPr>
        <w:t>leading</w:t>
      </w:r>
      <w:r>
        <w:rPr>
          <w:vertAlign w:val="baseline"/>
        </w:rPr>
        <w:t> to calls for the development of the adaptation of the ordinary and private law principles of the law of contract so as to take into account public law considerations </w:t>
      </w:r>
      <w:r>
        <w:rPr>
          <w:color w:val="005DA1"/>
          <w:u w:val="single" w:color="005DA1"/>
          <w:vertAlign w:val="superscript"/>
        </w:rPr>
        <w:t>1566</w:t>
      </w:r>
      <w:r>
        <w:rPr>
          <w:vertAlign w:val="baseline"/>
        </w:rPr>
        <w:t>: a need for a public law of contract, rather than a law of public contracts. In the following paragraphs, some of the issues arising from these significances of contract for the borderline between public and private law will be</w:t>
      </w:r>
      <w:r>
        <w:rPr>
          <w:spacing w:val="80"/>
          <w:vertAlign w:val="baseline"/>
        </w:rPr>
        <w:t> </w:t>
      </w:r>
      <w:r>
        <w:rPr>
          <w:spacing w:val="-2"/>
          <w:vertAlign w:val="baseline"/>
        </w:rPr>
        <w:t>identified.</w:t>
      </w:r>
    </w:p>
    <w:p>
      <w:pPr>
        <w:pStyle w:val="BodyText"/>
      </w:pPr>
    </w:p>
    <w:p>
      <w:pPr>
        <w:pStyle w:val="BodyText"/>
        <w:spacing w:before="34"/>
      </w:pPr>
    </w:p>
    <w:p>
      <w:pPr>
        <w:spacing w:before="1"/>
        <w:ind w:left="165" w:right="0" w:firstLine="0"/>
        <w:jc w:val="left"/>
        <w:rPr>
          <w:rFonts w:ascii="Arial"/>
          <w:b/>
          <w:sz w:val="18"/>
        </w:rPr>
      </w:pPr>
      <w:r>
        <w:rPr>
          <w:rFonts w:ascii="Arial"/>
          <w:b/>
          <w:sz w:val="18"/>
        </w:rPr>
        <w:t>RSC Ord.53 and CPR Pt </w:t>
      </w:r>
      <w:r>
        <w:rPr>
          <w:rFonts w:ascii="Arial"/>
          <w:b/>
          <w:spacing w:val="-5"/>
          <w:sz w:val="18"/>
        </w:rPr>
        <w:t>54</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225</w:t>
      </w:r>
    </w:p>
    <w:p>
      <w:pPr>
        <w:pStyle w:val="BodyText"/>
        <w:spacing w:line="235" w:lineRule="auto" w:before="202"/>
        <w:ind w:left="165" w:right="167"/>
        <w:jc w:val="both"/>
      </w:pPr>
      <w:bookmarkStart w:name="_bookmark2352" w:id="2354"/>
      <w:bookmarkEnd w:id="2354"/>
      <w:r>
        <w:rPr/>
      </w:r>
      <w:r>
        <w:rPr/>
        <w:t>In 1982 in </w:t>
      </w:r>
      <w:r>
        <w:rPr>
          <w:rFonts w:ascii="Arial" w:hAnsi="Arial"/>
          <w:i/>
        </w:rPr>
        <w:t>O’Reilly v Mackman </w:t>
      </w:r>
      <w:r>
        <w:rPr/>
        <w:t>the House of Lords held that the procedure for judicial review under </w:t>
      </w:r>
      <w:bookmarkStart w:name="_bookmark2353" w:id="2355"/>
      <w:bookmarkEnd w:id="2355"/>
      <w:r>
        <w:rPr/>
        <w:t>RSC</w:t>
      </w:r>
      <w:r>
        <w:rPr/>
        <w:t> Ord.53 was an exclusive one. </w:t>
      </w:r>
      <w:r>
        <w:rPr>
          <w:color w:val="005DA1"/>
          <w:u w:val="single" w:color="005DA1"/>
          <w:vertAlign w:val="superscript"/>
        </w:rPr>
        <w:t>1567</w:t>
      </w:r>
      <w:r>
        <w:rPr>
          <w:color w:val="005DA1"/>
          <w:vertAlign w:val="baseline"/>
        </w:rPr>
        <w:t> </w:t>
      </w:r>
      <w:r>
        <w:rPr>
          <w:vertAlign w:val="baseline"/>
        </w:rPr>
        <w:t>Thus, if a plaintiff’s case was a matter of “private right” he </w:t>
      </w:r>
      <w:bookmarkStart w:name="_bookmark2354" w:id="2356"/>
      <w:bookmarkEnd w:id="2356"/>
      <w:r>
        <w:rPr>
          <w:vertAlign w:val="baseline"/>
        </w:rPr>
        <w:t>could</w:t>
      </w:r>
      <w:r>
        <w:rPr>
          <w:spacing w:val="-2"/>
          <w:vertAlign w:val="baseline"/>
        </w:rPr>
        <w:t> </w:t>
      </w:r>
      <w:r>
        <w:rPr>
          <w:vertAlign w:val="baseline"/>
        </w:rPr>
        <w:t>not</w:t>
      </w:r>
      <w:r>
        <w:rPr>
          <w:spacing w:val="-2"/>
          <w:vertAlign w:val="baseline"/>
        </w:rPr>
        <w:t> </w:t>
      </w:r>
      <w:r>
        <w:rPr>
          <w:vertAlign w:val="baseline"/>
        </w:rPr>
        <w:t>proceed</w:t>
      </w:r>
      <w:r>
        <w:rPr>
          <w:spacing w:val="-2"/>
          <w:vertAlign w:val="baseline"/>
        </w:rPr>
        <w:t> </w:t>
      </w:r>
      <w:r>
        <w:rPr>
          <w:vertAlign w:val="baseline"/>
        </w:rPr>
        <w:t>by</w:t>
      </w:r>
      <w:r>
        <w:rPr>
          <w:spacing w:val="-2"/>
          <w:vertAlign w:val="baseline"/>
        </w:rPr>
        <w:t> </w:t>
      </w:r>
      <w:r>
        <w:rPr>
          <w:vertAlign w:val="baseline"/>
        </w:rPr>
        <w:t>way</w:t>
      </w:r>
      <w:r>
        <w:rPr>
          <w:spacing w:val="-2"/>
          <w:vertAlign w:val="baseline"/>
        </w:rPr>
        <w:t> </w:t>
      </w:r>
      <w:r>
        <w:rPr>
          <w:vertAlign w:val="baseline"/>
        </w:rPr>
        <w:t>of</w:t>
      </w:r>
      <w:r>
        <w:rPr>
          <w:spacing w:val="-2"/>
          <w:vertAlign w:val="baseline"/>
        </w:rPr>
        <w:t> </w:t>
      </w:r>
      <w:r>
        <w:rPr>
          <w:vertAlign w:val="baseline"/>
        </w:rPr>
        <w:t>judicial</w:t>
      </w:r>
      <w:r>
        <w:rPr>
          <w:spacing w:val="-2"/>
          <w:vertAlign w:val="baseline"/>
        </w:rPr>
        <w:t> </w:t>
      </w:r>
      <w:r>
        <w:rPr>
          <w:vertAlign w:val="baseline"/>
        </w:rPr>
        <w:t>review,</w:t>
      </w:r>
      <w:r>
        <w:rPr>
          <w:spacing w:val="-3"/>
          <w:vertAlign w:val="baseline"/>
        </w:rPr>
        <w:t> </w:t>
      </w:r>
      <w:r>
        <w:rPr>
          <w:color w:val="005DA1"/>
          <w:u w:val="single" w:color="005DA1"/>
          <w:vertAlign w:val="superscript"/>
        </w:rPr>
        <w:t>1568</w:t>
      </w:r>
      <w:r>
        <w:rPr>
          <w:color w:val="005DA1"/>
          <w:spacing w:val="-2"/>
          <w:vertAlign w:val="baseline"/>
        </w:rPr>
        <w:t> </w:t>
      </w:r>
      <w:r>
        <w:rPr>
          <w:vertAlign w:val="baseline"/>
        </w:rPr>
        <w:t>whereas</w:t>
      </w:r>
      <w:r>
        <w:rPr>
          <w:spacing w:val="-2"/>
          <w:vertAlign w:val="baseline"/>
        </w:rPr>
        <w:t> </w:t>
      </w:r>
      <w:r>
        <w:rPr>
          <w:vertAlign w:val="baseline"/>
        </w:rPr>
        <w:t>if</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a</w:t>
      </w:r>
      <w:r>
        <w:rPr>
          <w:spacing w:val="-2"/>
          <w:vertAlign w:val="baseline"/>
        </w:rPr>
        <w:t> </w:t>
      </w:r>
      <w:r>
        <w:rPr>
          <w:vertAlign w:val="baseline"/>
        </w:rPr>
        <w:t>matter</w:t>
      </w:r>
      <w:r>
        <w:rPr>
          <w:spacing w:val="-2"/>
          <w:vertAlign w:val="baseline"/>
        </w:rPr>
        <w:t> </w:t>
      </w:r>
      <w:r>
        <w:rPr>
          <w:vertAlign w:val="baseline"/>
        </w:rPr>
        <w:t>of</w:t>
      </w:r>
      <w:r>
        <w:rPr>
          <w:spacing w:val="-2"/>
          <w:vertAlign w:val="baseline"/>
        </w:rPr>
        <w:t> </w:t>
      </w:r>
      <w:r>
        <w:rPr>
          <w:vertAlign w:val="baseline"/>
        </w:rPr>
        <w:t>“public</w:t>
      </w:r>
      <w:r>
        <w:rPr>
          <w:spacing w:val="-2"/>
          <w:vertAlign w:val="baseline"/>
        </w:rPr>
        <w:t> </w:t>
      </w:r>
      <w:r>
        <w:rPr>
          <w:vertAlign w:val="baseline"/>
        </w:rPr>
        <w:t>right”</w:t>
      </w:r>
      <w:r>
        <w:rPr>
          <w:spacing w:val="-2"/>
          <w:vertAlign w:val="baseline"/>
        </w:rPr>
        <w:t> </w:t>
      </w:r>
      <w:r>
        <w:rPr>
          <w:vertAlign w:val="baseline"/>
        </w:rPr>
        <w:t>this</w:t>
      </w:r>
      <w:r>
        <w:rPr>
          <w:spacing w:val="-2"/>
          <w:vertAlign w:val="baseline"/>
        </w:rPr>
        <w:t> </w:t>
      </w:r>
      <w:r>
        <w:rPr>
          <w:vertAlign w:val="baseline"/>
        </w:rPr>
        <w:t>was</w:t>
      </w:r>
      <w:r>
        <w:rPr>
          <w:spacing w:val="-2"/>
          <w:vertAlign w:val="baseline"/>
        </w:rPr>
        <w:t> </w:t>
      </w:r>
      <w:r>
        <w:rPr>
          <w:vertAlign w:val="baseline"/>
        </w:rPr>
        <w:t>the only appropriate way of commencing proceedings. </w:t>
      </w:r>
      <w:r>
        <w:rPr>
          <w:color w:val="005DA1"/>
          <w:u w:val="single" w:color="005DA1"/>
          <w:vertAlign w:val="superscript"/>
        </w:rPr>
        <w:t>1569</w:t>
      </w:r>
      <w:r>
        <w:rPr>
          <w:color w:val="005DA1"/>
          <w:vertAlign w:val="baseline"/>
        </w:rPr>
        <w:t> </w:t>
      </w:r>
      <w:r>
        <w:rPr>
          <w:vertAlign w:val="baseline"/>
        </w:rPr>
        <w:t>While there were good reasons for </w:t>
      </w:r>
      <w:r>
        <w:rPr>
          <w:vertAlign w:val="baseline"/>
        </w:rPr>
        <w:t>the protection of the special features of the public law procedure, this led to a good deal of waste of time and of money in purely procedural disputes. In the words of Wade and Forsyth, the decision in </w:t>
      </w:r>
      <w:r>
        <w:rPr>
          <w:rFonts w:ascii="Arial" w:hAnsi="Arial"/>
          <w:i/>
          <w:vertAlign w:val="baseline"/>
        </w:rPr>
        <w:t>O’Reilly v Mackman</w:t>
      </w:r>
      <w:r>
        <w:rPr>
          <w:vertAlign w:val="baseline"/>
        </w:rPr>
        <w:t>:</w:t>
      </w:r>
    </w:p>
    <w:p>
      <w:pPr>
        <w:pStyle w:val="BodyText"/>
      </w:pPr>
    </w:p>
    <w:p>
      <w:pPr>
        <w:pStyle w:val="BodyText"/>
        <w:spacing w:before="124"/>
      </w:pPr>
    </w:p>
    <w:p>
      <w:pPr>
        <w:pStyle w:val="BodyText"/>
        <w:spacing w:line="235" w:lineRule="auto" w:before="1"/>
        <w:ind w:left="1245"/>
      </w:pPr>
      <w:bookmarkStart w:name="_bookmark2355" w:id="2357"/>
      <w:bookmarkEnd w:id="2357"/>
      <w:r>
        <w:rPr/>
      </w:r>
      <w:r>
        <w:rPr/>
        <w:t>“turned the law in the wrong direction, away from flexibility of procedure and towards the rigidity reminiscent of the bad old days.” </w:t>
      </w:r>
      <w:r>
        <w:rPr>
          <w:color w:val="005DA1"/>
          <w:u w:val="single" w:color="005DA1"/>
          <w:vertAlign w:val="superscript"/>
        </w:rPr>
        <w:t>1570</w:t>
      </w:r>
    </w:p>
    <w:p>
      <w:pPr>
        <w:pStyle w:val="BodyText"/>
        <w:spacing w:before="115"/>
      </w:pPr>
    </w:p>
    <w:p>
      <w:pPr>
        <w:pStyle w:val="BodyText"/>
        <w:spacing w:line="235" w:lineRule="auto" w:before="1"/>
        <w:ind w:left="164" w:right="167"/>
        <w:jc w:val="both"/>
      </w:pPr>
      <w:r>
        <w:rPr/>
        <w:t>However, since the early 1990s, judges made clear that a more flexible approach should be taken to the line between proceeding by way of an application for judicial review and an action in private law. This process was given support by the replacement of Ord.53 by Pt 54 of the Civil Procedure </w:t>
      </w:r>
      <w:r>
        <w:rPr/>
        <w:t>Rules, </w:t>
      </w:r>
      <w:bookmarkStart w:name="_bookmark2356" w:id="2358"/>
      <w:bookmarkEnd w:id="2358"/>
      <w:r>
        <w:rPr/>
        <w:t>which</w:t>
      </w:r>
      <w:r>
        <w:rPr/>
        <w:t> are to be interpreted according to their “overriding objective” of dealing with cases justly, as</w:t>
      </w:r>
      <w:r>
        <w:rPr>
          <w:spacing w:val="80"/>
        </w:rPr>
        <w:t> </w:t>
      </w:r>
      <w:r>
        <w:rPr/>
        <w:t>part</w:t>
      </w:r>
      <w:r>
        <w:rPr>
          <w:spacing w:val="7"/>
        </w:rPr>
        <w:t> </w:t>
      </w:r>
      <w:r>
        <w:rPr/>
        <w:t>of</w:t>
      </w:r>
      <w:r>
        <w:rPr>
          <w:spacing w:val="7"/>
        </w:rPr>
        <w:t> </w:t>
      </w:r>
      <w:r>
        <w:rPr/>
        <w:t>which</w:t>
      </w:r>
      <w:r>
        <w:rPr>
          <w:spacing w:val="7"/>
        </w:rPr>
        <w:t> </w:t>
      </w:r>
      <w:r>
        <w:rPr/>
        <w:t>a</w:t>
      </w:r>
      <w:r>
        <w:rPr>
          <w:spacing w:val="7"/>
        </w:rPr>
        <w:t> </w:t>
      </w:r>
      <w:r>
        <w:rPr/>
        <w:t>court</w:t>
      </w:r>
      <w:r>
        <w:rPr>
          <w:spacing w:val="7"/>
        </w:rPr>
        <w:t> </w:t>
      </w:r>
      <w:r>
        <w:rPr/>
        <w:t>is</w:t>
      </w:r>
      <w:r>
        <w:rPr>
          <w:spacing w:val="7"/>
        </w:rPr>
        <w:t> </w:t>
      </w:r>
      <w:r>
        <w:rPr/>
        <w:t>to</w:t>
      </w:r>
      <w:r>
        <w:rPr>
          <w:spacing w:val="7"/>
        </w:rPr>
        <w:t> </w:t>
      </w:r>
      <w:r>
        <w:rPr/>
        <w:t>consider</w:t>
      </w:r>
      <w:r>
        <w:rPr>
          <w:spacing w:val="7"/>
        </w:rPr>
        <w:t> </w:t>
      </w:r>
      <w:r>
        <w:rPr/>
        <w:t>in</w:t>
      </w:r>
      <w:r>
        <w:rPr>
          <w:spacing w:val="7"/>
        </w:rPr>
        <w:t> </w:t>
      </w:r>
      <w:r>
        <w:rPr/>
        <w:t>its</w:t>
      </w:r>
      <w:r>
        <w:rPr>
          <w:spacing w:val="7"/>
        </w:rPr>
        <w:t> </w:t>
      </w:r>
      <w:r>
        <w:rPr/>
        <w:t>duties</w:t>
      </w:r>
      <w:r>
        <w:rPr>
          <w:spacing w:val="7"/>
        </w:rPr>
        <w:t> </w:t>
      </w:r>
      <w:r>
        <w:rPr/>
        <w:t>of</w:t>
      </w:r>
      <w:r>
        <w:rPr>
          <w:spacing w:val="7"/>
        </w:rPr>
        <w:t> </w:t>
      </w:r>
      <w:r>
        <w:rPr/>
        <w:t>case</w:t>
      </w:r>
      <w:r>
        <w:rPr>
          <w:spacing w:val="7"/>
        </w:rPr>
        <w:t> </w:t>
      </w:r>
      <w:r>
        <w:rPr/>
        <w:t>management</w:t>
      </w:r>
      <w:r>
        <w:rPr>
          <w:spacing w:val="7"/>
        </w:rPr>
        <w:t> </w:t>
      </w:r>
      <w:r>
        <w:rPr/>
        <w:t>considerations</w:t>
      </w:r>
      <w:r>
        <w:rPr>
          <w:spacing w:val="7"/>
        </w:rPr>
        <w:t> </w:t>
      </w:r>
      <w:r>
        <w:rPr/>
        <w:t>of</w:t>
      </w:r>
      <w:r>
        <w:rPr>
          <w:spacing w:val="7"/>
        </w:rPr>
        <w:t> </w:t>
      </w:r>
      <w:r>
        <w:rPr/>
        <w:t>time</w:t>
      </w:r>
      <w:r>
        <w:rPr>
          <w:spacing w:val="7"/>
        </w:rPr>
        <w:t> </w:t>
      </w:r>
      <w:r>
        <w:rPr/>
        <w:t>and</w:t>
      </w:r>
      <w:r>
        <w:rPr>
          <w:spacing w:val="7"/>
        </w:rPr>
        <w:t> </w:t>
      </w:r>
      <w:r>
        <w:rPr>
          <w:spacing w:val="-2"/>
        </w:rPr>
        <w:t>cost.</w:t>
      </w:r>
    </w:p>
    <w:p>
      <w:pPr>
        <w:spacing w:line="112" w:lineRule="exact" w:before="0"/>
        <w:ind w:left="165" w:right="0" w:firstLine="0"/>
        <w:jc w:val="left"/>
        <w:rPr>
          <w:sz w:val="12"/>
        </w:rPr>
      </w:pPr>
      <w:r>
        <w:rPr>
          <w:color w:val="005DA1"/>
          <w:spacing w:val="-4"/>
          <w:sz w:val="12"/>
          <w:u w:val="single" w:color="005DA1"/>
        </w:rPr>
        <w:t>1571</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Earlier case law under RSC </w:t>
      </w:r>
      <w:r>
        <w:rPr>
          <w:rFonts w:ascii="Arial"/>
          <w:b/>
          <w:spacing w:val="-2"/>
          <w:sz w:val="18"/>
        </w:rPr>
        <w:t>Ord.53</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226</w:t>
      </w:r>
    </w:p>
    <w:p>
      <w:pPr>
        <w:pStyle w:val="BodyText"/>
        <w:spacing w:line="235" w:lineRule="auto" w:before="203"/>
        <w:ind w:left="165" w:right="167"/>
        <w:jc w:val="both"/>
      </w:pPr>
      <w:r>
        <w:rPr/>
        <w:t>It was clear that the mere existence of a contractual relationship between an applicant for judicial review</w:t>
      </w:r>
      <w:r>
        <w:rPr>
          <w:spacing w:val="26"/>
        </w:rPr>
        <w:t> </w:t>
      </w:r>
      <w:r>
        <w:rPr/>
        <w:t>and</w:t>
      </w:r>
      <w:r>
        <w:rPr>
          <w:spacing w:val="26"/>
        </w:rPr>
        <w:t> </w:t>
      </w:r>
      <w:r>
        <w:rPr/>
        <w:t>the</w:t>
      </w:r>
      <w:r>
        <w:rPr>
          <w:spacing w:val="26"/>
        </w:rPr>
        <w:t> </w:t>
      </w:r>
      <w:r>
        <w:rPr/>
        <w:t>respondent</w:t>
      </w:r>
      <w:r>
        <w:rPr>
          <w:spacing w:val="26"/>
        </w:rPr>
        <w:t> </w:t>
      </w:r>
      <w:r>
        <w:rPr/>
        <w:t>does</w:t>
      </w:r>
      <w:r>
        <w:rPr>
          <w:spacing w:val="26"/>
        </w:rPr>
        <w:t> </w:t>
      </w:r>
      <w:r>
        <w:rPr/>
        <w:t>not</w:t>
      </w:r>
      <w:r>
        <w:rPr>
          <w:spacing w:val="26"/>
        </w:rPr>
        <w:t> </w:t>
      </w:r>
      <w:r>
        <w:rPr/>
        <w:t>make</w:t>
      </w:r>
      <w:r>
        <w:rPr>
          <w:spacing w:val="26"/>
        </w:rPr>
        <w:t> </w:t>
      </w:r>
      <w:r>
        <w:rPr/>
        <w:t>the</w:t>
      </w:r>
      <w:r>
        <w:rPr>
          <w:spacing w:val="26"/>
        </w:rPr>
        <w:t> </w:t>
      </w:r>
      <w:r>
        <w:rPr/>
        <w:t>case</w:t>
      </w:r>
      <w:r>
        <w:rPr>
          <w:spacing w:val="26"/>
        </w:rPr>
        <w:t> </w:t>
      </w:r>
      <w:r>
        <w:rPr/>
        <w:t>a</w:t>
      </w:r>
      <w:r>
        <w:rPr>
          <w:spacing w:val="26"/>
        </w:rPr>
        <w:t> </w:t>
      </w:r>
      <w:r>
        <w:rPr/>
        <w:t>matter</w:t>
      </w:r>
      <w:r>
        <w:rPr>
          <w:spacing w:val="26"/>
        </w:rPr>
        <w:t> </w:t>
      </w:r>
      <w:r>
        <w:rPr/>
        <w:t>of</w:t>
      </w:r>
      <w:r>
        <w:rPr>
          <w:spacing w:val="26"/>
        </w:rPr>
        <w:t> </w:t>
      </w:r>
      <w:r>
        <w:rPr/>
        <w:t>private</w:t>
      </w:r>
      <w:r>
        <w:rPr>
          <w:spacing w:val="26"/>
        </w:rPr>
        <w:t> </w:t>
      </w:r>
      <w:r>
        <w:rPr/>
        <w:t>law,</w:t>
      </w:r>
      <w:r>
        <w:rPr>
          <w:spacing w:val="26"/>
        </w:rPr>
        <w:t> </w:t>
      </w:r>
      <w:r>
        <w:rPr/>
        <w:t>nor</w:t>
      </w:r>
      <w:r>
        <w:rPr>
          <w:spacing w:val="26"/>
        </w:rPr>
        <w:t> </w:t>
      </w:r>
      <w:r>
        <w:rPr/>
        <w:t>conversely</w:t>
      </w:r>
      <w:r>
        <w:rPr>
          <w:spacing w:val="26"/>
        </w:rPr>
        <w:t> </w:t>
      </w:r>
      <w:r>
        <w:rPr/>
        <w:t>are</w:t>
      </w:r>
      <w:r>
        <w:rPr>
          <w:spacing w:val="26"/>
        </w:rPr>
        <w:t> </w:t>
      </w:r>
      <w:r>
        <w:rPr>
          <w:spacing w:val="-5"/>
        </w:rPr>
        <w:t>all</w:t>
      </w:r>
    </w:p>
    <w:p>
      <w:pPr>
        <w:pStyle w:val="BodyText"/>
        <w:spacing w:after="0" w:line="235" w:lineRule="auto"/>
        <w:jc w:val="both"/>
        <w:sectPr>
          <w:pgSz w:w="11900" w:h="16840"/>
          <w:pgMar w:header="971" w:footer="0" w:top="1300" w:bottom="280" w:left="1275" w:right="1275"/>
        </w:sectPr>
      </w:pPr>
    </w:p>
    <w:p>
      <w:pPr>
        <w:pStyle w:val="BodyText"/>
        <w:spacing w:line="235" w:lineRule="auto" w:before="210"/>
        <w:ind w:left="164" w:right="167"/>
        <w:jc w:val="both"/>
      </w:pPr>
      <w:bookmarkStart w:name="_bookmark2357" w:id="2359"/>
      <w:bookmarkEnd w:id="2359"/>
      <w:r>
        <w:rPr/>
      </w:r>
      <w:r>
        <w:rPr/>
        <w:t>issues arising from a public authority’s contracts matters of public law, </w:t>
      </w:r>
      <w:r>
        <w:rPr>
          <w:color w:val="005DA1"/>
          <w:u w:val="single" w:color="005DA1"/>
          <w:vertAlign w:val="superscript"/>
        </w:rPr>
        <w:t>1572</w:t>
      </w:r>
      <w:r>
        <w:rPr>
          <w:color w:val="005DA1"/>
          <w:vertAlign w:val="baseline"/>
        </w:rPr>
        <w:t> </w:t>
      </w:r>
      <w:r>
        <w:rPr>
          <w:vertAlign w:val="baseline"/>
        </w:rPr>
        <w:t>and the courts used a </w:t>
      </w:r>
      <w:bookmarkStart w:name="_bookmark2358" w:id="2360"/>
      <w:bookmarkEnd w:id="2360"/>
      <w:r>
        <w:rPr>
          <w:vertAlign w:val="baseline"/>
        </w:rPr>
        <w:t>range</w:t>
      </w:r>
      <w:r>
        <w:rPr>
          <w:vertAlign w:val="baseline"/>
        </w:rPr>
        <w:t> of criteria to determine where to draw the line between private and public law for the </w:t>
      </w:r>
      <w:r>
        <w:rPr>
          <w:vertAlign w:val="baseline"/>
        </w:rPr>
        <w:t>purposes of Ord.53. </w:t>
      </w:r>
      <w:r>
        <w:rPr>
          <w:color w:val="005DA1"/>
          <w:u w:val="single" w:color="005DA1"/>
          <w:vertAlign w:val="superscript"/>
        </w:rPr>
        <w:t>1573</w:t>
      </w:r>
      <w:r>
        <w:rPr>
          <w:color w:val="005DA1"/>
          <w:vertAlign w:val="baseline"/>
        </w:rPr>
        <w:t> </w:t>
      </w:r>
      <w:r>
        <w:rPr>
          <w:vertAlign w:val="baseline"/>
        </w:rPr>
        <w:t>However, in the employment context, the source of the power or duty challenged was </w:t>
      </w:r>
      <w:bookmarkStart w:name="_bookmark2359" w:id="2361"/>
      <w:bookmarkEnd w:id="2361"/>
      <w:r>
        <w:rPr>
          <w:vertAlign w:val="baseline"/>
        </w:rPr>
        <w:t>for</w:t>
      </w:r>
      <w:r>
        <w:rPr>
          <w:vertAlign w:val="baseline"/>
        </w:rPr>
        <w:t> some time prominent. Thus, in </w:t>
      </w:r>
      <w:r>
        <w:rPr>
          <w:rFonts w:ascii="Arial" w:hAnsi="Arial"/>
          <w:i/>
          <w:vertAlign w:val="baseline"/>
        </w:rPr>
        <w:t>Ex p. Walsh </w:t>
      </w:r>
      <w:r>
        <w:rPr>
          <w:vertAlign w:val="baseline"/>
        </w:rPr>
        <w:t>the applicant was a nurse who had been dismissed on grounds of misconduct. </w:t>
      </w:r>
      <w:r>
        <w:rPr>
          <w:color w:val="005DA1"/>
          <w:u w:val="single" w:color="005DA1"/>
          <w:vertAlign w:val="superscript"/>
        </w:rPr>
        <w:t>1574</w:t>
      </w:r>
      <w:r>
        <w:rPr>
          <w:color w:val="005DA1"/>
          <w:vertAlign w:val="baseline"/>
        </w:rPr>
        <w:t> </w:t>
      </w:r>
      <w:r>
        <w:rPr>
          <w:vertAlign w:val="baseline"/>
        </w:rPr>
        <w:t>His claim under Ord.53 argued that his dismissal was ultra vires and decided upon in breach of natural justice. To support this, he alleged a breach of particular conditions of</w:t>
      </w:r>
      <w:r>
        <w:rPr>
          <w:spacing w:val="-1"/>
          <w:vertAlign w:val="baseline"/>
        </w:rPr>
        <w:t> </w:t>
      </w:r>
      <w:r>
        <w:rPr>
          <w:vertAlign w:val="baseline"/>
        </w:rPr>
        <w:t>his</w:t>
      </w:r>
      <w:r>
        <w:rPr>
          <w:spacing w:val="-1"/>
          <w:vertAlign w:val="baseline"/>
        </w:rPr>
        <w:t> </w:t>
      </w:r>
      <w:r>
        <w:rPr>
          <w:vertAlign w:val="baseline"/>
        </w:rPr>
        <w:t>employment</w:t>
      </w:r>
      <w:r>
        <w:rPr>
          <w:spacing w:val="-1"/>
          <w:vertAlign w:val="baseline"/>
        </w:rPr>
        <w:t> </w:t>
      </w:r>
      <w:r>
        <w:rPr>
          <w:vertAlign w:val="baseline"/>
        </w:rPr>
        <w:t>which</w:t>
      </w:r>
      <w:r>
        <w:rPr>
          <w:spacing w:val="-1"/>
          <w:vertAlign w:val="baseline"/>
        </w:rPr>
        <w:t> </w:t>
      </w:r>
      <w:r>
        <w:rPr>
          <w:vertAlign w:val="baseline"/>
        </w:rPr>
        <w:t>had</w:t>
      </w:r>
      <w:r>
        <w:rPr>
          <w:spacing w:val="-1"/>
          <w:vertAlign w:val="baseline"/>
        </w:rPr>
        <w:t> </w:t>
      </w:r>
      <w:r>
        <w:rPr>
          <w:vertAlign w:val="baseline"/>
        </w:rPr>
        <w:t>been</w:t>
      </w:r>
      <w:r>
        <w:rPr>
          <w:spacing w:val="-1"/>
          <w:vertAlign w:val="baseline"/>
        </w:rPr>
        <w:t> </w:t>
      </w:r>
      <w:r>
        <w:rPr>
          <w:vertAlign w:val="baseline"/>
        </w:rPr>
        <w:t>incorporated</w:t>
      </w:r>
      <w:r>
        <w:rPr>
          <w:spacing w:val="-1"/>
          <w:vertAlign w:val="baseline"/>
        </w:rPr>
        <w:t> </w:t>
      </w:r>
      <w:r>
        <w:rPr>
          <w:vertAlign w:val="baseline"/>
        </w:rPr>
        <w:t>into</w:t>
      </w:r>
      <w:r>
        <w:rPr>
          <w:spacing w:val="-1"/>
          <w:vertAlign w:val="baseline"/>
        </w:rPr>
        <w:t> </w:t>
      </w:r>
      <w:r>
        <w:rPr>
          <w:vertAlign w:val="baseline"/>
        </w:rPr>
        <w:t>his</w:t>
      </w:r>
      <w:r>
        <w:rPr>
          <w:spacing w:val="-1"/>
          <w:vertAlign w:val="baseline"/>
        </w:rPr>
        <w:t> </w:t>
      </w:r>
      <w:r>
        <w:rPr>
          <w:vertAlign w:val="baseline"/>
        </w:rPr>
        <w:t>contract</w:t>
      </w:r>
      <w:r>
        <w:rPr>
          <w:spacing w:val="-1"/>
          <w:vertAlign w:val="baseline"/>
        </w:rPr>
        <w:t> </w:t>
      </w:r>
      <w:r>
        <w:rPr>
          <w:vertAlign w:val="baseline"/>
        </w:rPr>
        <w:t>in</w:t>
      </w:r>
      <w:r>
        <w:rPr>
          <w:spacing w:val="-1"/>
          <w:vertAlign w:val="baseline"/>
        </w:rPr>
        <w:t> </w:t>
      </w:r>
      <w:r>
        <w:rPr>
          <w:vertAlign w:val="baseline"/>
        </w:rPr>
        <w:t>compliance</w:t>
      </w:r>
      <w:r>
        <w:rPr>
          <w:spacing w:val="-1"/>
          <w:vertAlign w:val="baseline"/>
        </w:rPr>
        <w:t> </w:t>
      </w:r>
      <w:r>
        <w:rPr>
          <w:vertAlign w:val="baseline"/>
        </w:rPr>
        <w:t>with</w:t>
      </w:r>
      <w:r>
        <w:rPr>
          <w:spacing w:val="-1"/>
          <w:vertAlign w:val="baseline"/>
        </w:rPr>
        <w:t> </w:t>
      </w:r>
      <w:r>
        <w:rPr>
          <w:vertAlign w:val="baseline"/>
        </w:rPr>
        <w:t>regulations</w:t>
      </w:r>
      <w:r>
        <w:rPr>
          <w:spacing w:val="-1"/>
          <w:vertAlign w:val="baseline"/>
        </w:rPr>
        <w:t> </w:t>
      </w:r>
      <w:r>
        <w:rPr>
          <w:vertAlign w:val="baseline"/>
        </w:rPr>
        <w:t>made under statute. However, this statutory background was not enough to give him “public law rights”. According to the Court of Appeal, these would only arise if Parliament had directly restricted his </w:t>
      </w:r>
      <w:bookmarkStart w:name="_bookmark2360" w:id="2362"/>
      <w:bookmarkEnd w:id="2362"/>
      <w:r>
        <w:rPr>
          <w:vertAlign w:val="baseline"/>
        </w:rPr>
        <w:t>employer’s</w:t>
      </w:r>
      <w:r>
        <w:rPr>
          <w:vertAlign w:val="baseline"/>
        </w:rPr>
        <w:t> freedom to dismiss him, rather than requiring his employer to contract on particular terms, </w:t>
      </w:r>
      <w:bookmarkStart w:name="_bookmark2361" w:id="2363"/>
      <w:bookmarkEnd w:id="2363"/>
      <w:r>
        <w:rPr>
          <w:vertAlign w:val="baseline"/>
        </w:rPr>
        <w:t>otherwise</w:t>
      </w:r>
      <w:r>
        <w:rPr>
          <w:vertAlign w:val="baseline"/>
        </w:rPr>
        <w:t> his claim was purely contractual. </w:t>
      </w:r>
      <w:r>
        <w:rPr>
          <w:color w:val="005DA1"/>
          <w:u w:val="single" w:color="005DA1"/>
          <w:vertAlign w:val="superscript"/>
        </w:rPr>
        <w:t>1575</w:t>
      </w:r>
      <w:r>
        <w:rPr>
          <w:color w:val="005DA1"/>
          <w:vertAlign w:val="baseline"/>
        </w:rPr>
        <w:t> </w:t>
      </w:r>
      <w:r>
        <w:rPr>
          <w:vertAlign w:val="baseline"/>
        </w:rPr>
        <w:t>The applicant was therefore left to his private law remedies for unfair dismissal and breach of contract. </w:t>
      </w:r>
      <w:r>
        <w:rPr>
          <w:color w:val="005DA1"/>
          <w:u w:val="single" w:color="005DA1"/>
          <w:vertAlign w:val="superscript"/>
        </w:rPr>
        <w:t>1576</w:t>
      </w:r>
      <w:r>
        <w:rPr>
          <w:color w:val="005DA1"/>
          <w:vertAlign w:val="baseline"/>
        </w:rPr>
        <w:t> </w:t>
      </w:r>
      <w:r>
        <w:rPr>
          <w:vertAlign w:val="baseline"/>
        </w:rPr>
        <w:t>By contrast, in </w:t>
      </w:r>
      <w:r>
        <w:rPr>
          <w:rFonts w:ascii="Arial" w:hAnsi="Arial"/>
          <w:i/>
          <w:vertAlign w:val="baseline"/>
        </w:rPr>
        <w:t>Ex p. Benwell </w:t>
      </w:r>
      <w:r>
        <w:rPr>
          <w:vertAlign w:val="baseline"/>
        </w:rPr>
        <w:t>the applicant, who had been a prison officer, based his application for the judicial review of his dismissal on the </w:t>
      </w:r>
      <w:bookmarkStart w:name="_bookmark2362" w:id="2364"/>
      <w:bookmarkEnd w:id="2364"/>
      <w:r>
        <w:rPr>
          <w:vertAlign w:val="baseline"/>
        </w:rPr>
        <w:t>failure</w:t>
      </w:r>
      <w:r>
        <w:rPr>
          <w:vertAlign w:val="baseline"/>
        </w:rPr>
        <w:t> to observe a code of discipline of prison officers in the Prison Rules, themselves made under a </w:t>
      </w:r>
      <w:bookmarkStart w:name="_bookmark2363" w:id="2365"/>
      <w:bookmarkEnd w:id="2365"/>
      <w:r>
        <w:rPr>
          <w:vertAlign w:val="baseline"/>
        </w:rPr>
        <w:t>statutory</w:t>
      </w:r>
      <w:r>
        <w:rPr>
          <w:vertAlign w:val="baseline"/>
        </w:rPr>
        <w:t> power. </w:t>
      </w:r>
      <w:r>
        <w:rPr>
          <w:color w:val="005DA1"/>
          <w:u w:val="single" w:color="005DA1"/>
          <w:vertAlign w:val="superscript"/>
        </w:rPr>
        <w:t>1577</w:t>
      </w:r>
      <w:r>
        <w:rPr>
          <w:color w:val="005DA1"/>
          <w:vertAlign w:val="baseline"/>
        </w:rPr>
        <w:t> </w:t>
      </w:r>
      <w:r>
        <w:rPr>
          <w:vertAlign w:val="baseline"/>
        </w:rPr>
        <w:t>The court held that this basis gave his claim “sufficient statutory under-pinning” </w:t>
      </w:r>
      <w:bookmarkStart w:name="_bookmark2364" w:id="2366"/>
      <w:bookmarkEnd w:id="2366"/>
      <w:r>
        <w:rPr>
          <w:vertAlign w:val="baseline"/>
        </w:rPr>
        <w:t>for</w:t>
      </w:r>
      <w:r>
        <w:rPr>
          <w:vertAlign w:val="baseline"/>
        </w:rPr>
        <w:t> it to be properly a matter of public law, </w:t>
      </w:r>
      <w:r>
        <w:rPr>
          <w:color w:val="005DA1"/>
          <w:u w:val="single" w:color="005DA1"/>
          <w:vertAlign w:val="superscript"/>
        </w:rPr>
        <w:t>1578</w:t>
      </w:r>
      <w:r>
        <w:rPr>
          <w:color w:val="005DA1"/>
          <w:vertAlign w:val="baseline"/>
        </w:rPr>
        <w:t> </w:t>
      </w:r>
      <w:r>
        <w:rPr>
          <w:vertAlign w:val="baseline"/>
        </w:rPr>
        <w:t>although the lack of any other remedy in the context appeared to weigh in the applicant’s favour. </w:t>
      </w:r>
      <w:r>
        <w:rPr>
          <w:color w:val="005DA1"/>
          <w:u w:val="single" w:color="005DA1"/>
          <w:vertAlign w:val="superscript"/>
        </w:rPr>
        <w:t>1579</w:t>
      </w:r>
      <w:r>
        <w:rPr>
          <w:color w:val="005DA1"/>
          <w:vertAlign w:val="baseline"/>
        </w:rPr>
        <w:t> </w:t>
      </w:r>
      <w:r>
        <w:rPr>
          <w:vertAlign w:val="baseline"/>
        </w:rPr>
        <w:t>The courts also refused to allow the use of the public </w:t>
      </w:r>
      <w:bookmarkStart w:name="_bookmark2365" w:id="2367"/>
      <w:bookmarkEnd w:id="2367"/>
      <w:r>
        <w:rPr>
          <w:vertAlign w:val="baseline"/>
        </w:rPr>
        <w:t>law</w:t>
      </w:r>
      <w:r>
        <w:rPr>
          <w:vertAlign w:val="baseline"/>
        </w:rPr>
        <w:t> procedure to challenge the decisions of certain types of domestic tribunal, in part on the ground that the relationship between the association and its members was “wholly contractual”.</w:t>
      </w:r>
      <w:r>
        <w:rPr>
          <w:spacing w:val="-1"/>
          <w:vertAlign w:val="baseline"/>
        </w:rPr>
        <w:t> </w:t>
      </w:r>
      <w:r>
        <w:rPr>
          <w:color w:val="005DA1"/>
          <w:u w:val="single" w:color="005DA1"/>
          <w:vertAlign w:val="superscript"/>
        </w:rPr>
        <w:t>1580</w:t>
      </w:r>
      <w:r>
        <w:rPr>
          <w:color w:val="005DA1"/>
          <w:vertAlign w:val="baseline"/>
        </w:rPr>
        <w:t> </w:t>
      </w:r>
      <w:r>
        <w:rPr>
          <w:vertAlign w:val="baseline"/>
        </w:rPr>
        <w:t>However, a decision of the Take-Over and Mergers Panel has been held susceptible to judicial review despite </w:t>
      </w:r>
      <w:bookmarkStart w:name="_bookmark2366" w:id="2368"/>
      <w:bookmarkEnd w:id="2368"/>
      <w:r>
        <w:rPr>
          <w:vertAlign w:val="baseline"/>
        </w:rPr>
        <w:t>the</w:t>
      </w:r>
      <w:r>
        <w:rPr>
          <w:vertAlign w:val="baseline"/>
        </w:rPr>
        <w:t> self-regulatory and private form of its control, because inter alia it operated as an integral part of a governmental framework for the regulation of financial activity. </w:t>
      </w:r>
      <w:r>
        <w:rPr>
          <w:color w:val="005DA1"/>
          <w:u w:val="single" w:color="005DA1"/>
          <w:vertAlign w:val="superscript"/>
        </w:rPr>
        <w:t>1581</w:t>
      </w:r>
    </w:p>
    <w:p>
      <w:pPr>
        <w:pStyle w:val="BodyText"/>
      </w:pPr>
    </w:p>
    <w:p>
      <w:pPr>
        <w:pStyle w:val="BodyText"/>
        <w:spacing w:before="30"/>
      </w:pPr>
    </w:p>
    <w:p>
      <w:pPr>
        <w:spacing w:before="1"/>
        <w:ind w:left="165" w:right="0" w:firstLine="0"/>
        <w:jc w:val="both"/>
        <w:rPr>
          <w:rFonts w:ascii="Arial"/>
          <w:b/>
          <w:sz w:val="18"/>
        </w:rPr>
      </w:pPr>
      <w:r>
        <w:rPr>
          <w:rFonts w:ascii="Arial"/>
          <w:b/>
          <w:sz w:val="18"/>
        </w:rPr>
        <w:t>A more flexible </w:t>
      </w:r>
      <w:r>
        <w:rPr>
          <w:rFonts w:ascii="Arial"/>
          <w:b/>
          <w:spacing w:val="-2"/>
          <w:sz w:val="18"/>
        </w:rPr>
        <w:t>approach</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227</w:t>
      </w:r>
    </w:p>
    <w:p>
      <w:pPr>
        <w:pStyle w:val="BodyText"/>
        <w:spacing w:line="235" w:lineRule="auto" w:before="202"/>
        <w:ind w:left="164" w:right="167"/>
        <w:jc w:val="both"/>
      </w:pPr>
      <w:r>
        <w:rPr/>
        <w:t>On the other hand, by 1992 a more flexible approach was taken to the resolution of this type of </w:t>
      </w:r>
      <w:bookmarkStart w:name="_bookmark2367" w:id="2369"/>
      <w:bookmarkEnd w:id="2369"/>
      <w:r>
        <w:rPr/>
        <w:t>procedural</w:t>
      </w:r>
      <w:r>
        <w:rPr/>
        <w:t> dispute by the House of Lords in </w:t>
      </w:r>
      <w:r>
        <w:rPr>
          <w:rFonts w:ascii="Arial" w:hAnsi="Arial"/>
          <w:i/>
        </w:rPr>
        <w:t>Roy v Kensington &amp; Chelsea and Westminster Family Practitioner Committee</w:t>
      </w:r>
      <w:r>
        <w:rPr/>
        <w:t>. </w:t>
      </w:r>
      <w:r>
        <w:rPr>
          <w:color w:val="005DA1"/>
          <w:u w:val="single" w:color="005DA1"/>
          <w:vertAlign w:val="superscript"/>
        </w:rPr>
        <w:t>1582</w:t>
      </w:r>
      <w:r>
        <w:rPr>
          <w:color w:val="005DA1"/>
          <w:vertAlign w:val="baseline"/>
        </w:rPr>
        <w:t> </w:t>
      </w:r>
      <w:r>
        <w:rPr>
          <w:vertAlign w:val="baseline"/>
        </w:rPr>
        <w:t>In that case, a doctor who worked for the defendant committee as a general practitioner under a statutory scheme claimed by writ sums allegedly owing to him which had been</w:t>
      </w:r>
      <w:r>
        <w:rPr>
          <w:spacing w:val="-1"/>
          <w:vertAlign w:val="baseline"/>
        </w:rPr>
        <w:t> </w:t>
      </w:r>
      <w:r>
        <w:rPr>
          <w:vertAlign w:val="baseline"/>
        </w:rPr>
        <w:t>denied</w:t>
      </w:r>
      <w:r>
        <w:rPr>
          <w:spacing w:val="-1"/>
          <w:vertAlign w:val="baseline"/>
        </w:rPr>
        <w:t> </w:t>
      </w:r>
      <w:r>
        <w:rPr>
          <w:vertAlign w:val="baseline"/>
        </w:rPr>
        <w:t>him</w:t>
      </w:r>
      <w:r>
        <w:rPr>
          <w:spacing w:val="-1"/>
          <w:vertAlign w:val="baseline"/>
        </w:rPr>
        <w:t> </w:t>
      </w:r>
      <w:r>
        <w:rPr>
          <w:vertAlign w:val="baseline"/>
        </w:rPr>
        <w:t>because</w:t>
      </w:r>
      <w:r>
        <w:rPr>
          <w:spacing w:val="-1"/>
          <w:vertAlign w:val="baseline"/>
        </w:rPr>
        <w:t> </w:t>
      </w:r>
      <w:r>
        <w:rPr>
          <w:vertAlign w:val="baseline"/>
        </w:rPr>
        <w:t>the</w:t>
      </w:r>
      <w:r>
        <w:rPr>
          <w:spacing w:val="-1"/>
          <w:vertAlign w:val="baseline"/>
        </w:rPr>
        <w:t> </w:t>
      </w:r>
      <w:r>
        <w:rPr>
          <w:vertAlign w:val="baseline"/>
        </w:rPr>
        <w:t>Committee</w:t>
      </w:r>
      <w:r>
        <w:rPr>
          <w:spacing w:val="-1"/>
          <w:vertAlign w:val="baseline"/>
        </w:rPr>
        <w:t> </w:t>
      </w:r>
      <w:r>
        <w:rPr>
          <w:vertAlign w:val="baseline"/>
        </w:rPr>
        <w:t>had</w:t>
      </w:r>
      <w:r>
        <w:rPr>
          <w:spacing w:val="-1"/>
          <w:vertAlign w:val="baseline"/>
        </w:rPr>
        <w:t> </w:t>
      </w:r>
      <w:r>
        <w:rPr>
          <w:vertAlign w:val="baseline"/>
        </w:rPr>
        <w:t>come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view</w:t>
      </w:r>
      <w:r>
        <w:rPr>
          <w:spacing w:val="-1"/>
          <w:vertAlign w:val="baseline"/>
        </w:rPr>
        <w:t> </w:t>
      </w:r>
      <w:r>
        <w:rPr>
          <w:vertAlign w:val="baseline"/>
        </w:rPr>
        <w:t>that</w:t>
      </w:r>
      <w:r>
        <w:rPr>
          <w:spacing w:val="-1"/>
          <w:vertAlign w:val="baseline"/>
        </w:rPr>
        <w:t> </w:t>
      </w:r>
      <w:r>
        <w:rPr>
          <w:vertAlign w:val="baseline"/>
        </w:rPr>
        <w:t>he</w:t>
      </w:r>
      <w:r>
        <w:rPr>
          <w:spacing w:val="-1"/>
          <w:vertAlign w:val="baseline"/>
        </w:rPr>
        <w:t> </w:t>
      </w:r>
      <w:r>
        <w:rPr>
          <w:vertAlign w:val="baseline"/>
        </w:rPr>
        <w:t>had</w:t>
      </w:r>
      <w:r>
        <w:rPr>
          <w:spacing w:val="-1"/>
          <w:vertAlign w:val="baseline"/>
        </w:rPr>
        <w:t> </w:t>
      </w:r>
      <w:r>
        <w:rPr>
          <w:vertAlign w:val="baseline"/>
        </w:rPr>
        <w:t>not</w:t>
      </w:r>
      <w:r>
        <w:rPr>
          <w:spacing w:val="-1"/>
          <w:vertAlign w:val="baseline"/>
        </w:rPr>
        <w:t> </w:t>
      </w:r>
      <w:r>
        <w:rPr>
          <w:vertAlign w:val="baseline"/>
        </w:rPr>
        <w:t>devoted</w:t>
      </w:r>
      <w:r>
        <w:rPr>
          <w:spacing w:val="-1"/>
          <w:vertAlign w:val="baseline"/>
        </w:rPr>
        <w:t> </w:t>
      </w:r>
      <w:r>
        <w:rPr>
          <w:vertAlign w:val="baseline"/>
        </w:rPr>
        <w:t>a</w:t>
      </w:r>
      <w:r>
        <w:rPr>
          <w:spacing w:val="-1"/>
          <w:vertAlign w:val="baseline"/>
        </w:rPr>
        <w:t> </w:t>
      </w:r>
      <w:r>
        <w:rPr>
          <w:vertAlign w:val="baseline"/>
        </w:rPr>
        <w:t>“substantial amount of time to general practice” within the meaning of the relevant regulations. The Committee claimed that his action should be struck out as an abuse of the process of the court, arguing that his proper recourse was by judicial review alone. The House of Lords rejected this argument, holding</w:t>
      </w:r>
      <w:r>
        <w:rPr>
          <w:spacing w:val="40"/>
          <w:vertAlign w:val="baseline"/>
        </w:rPr>
        <w:t> </w:t>
      </w:r>
      <w:r>
        <w:rPr>
          <w:vertAlign w:val="baseline"/>
        </w:rPr>
        <w:t>that, whether or not the doctor worked under a contract for the committee, his claim for payment was</w:t>
      </w:r>
      <w:r>
        <w:rPr>
          <w:spacing w:val="40"/>
          <w:vertAlign w:val="baseline"/>
        </w:rPr>
        <w:t> </w:t>
      </w:r>
      <w:r>
        <w:rPr>
          <w:vertAlign w:val="baseline"/>
        </w:rPr>
        <w:t>a matter of “private right”. According to Lord Bridge:</w:t>
      </w:r>
    </w:p>
    <w:p>
      <w:pPr>
        <w:pStyle w:val="BodyText"/>
      </w:pPr>
    </w:p>
    <w:p>
      <w:pPr>
        <w:pStyle w:val="BodyText"/>
        <w:spacing w:before="123"/>
      </w:pPr>
    </w:p>
    <w:p>
      <w:pPr>
        <w:pStyle w:val="BodyText"/>
        <w:spacing w:line="235" w:lineRule="auto"/>
        <w:ind w:left="1244" w:right="167"/>
        <w:jc w:val="both"/>
      </w:pPr>
      <w:bookmarkStart w:name="_bookmark2368" w:id="2370"/>
      <w:bookmarkEnd w:id="2370"/>
      <w:r>
        <w:rPr/>
      </w:r>
      <w:r>
        <w:rPr/>
        <w:t>“… where a litigant asserts his entitlement to a subsisting right in private law, whether by way of claim or defence, </w:t>
      </w:r>
      <w:r>
        <w:rPr>
          <w:color w:val="005DA1"/>
          <w:u w:val="single" w:color="005DA1"/>
          <w:vertAlign w:val="superscript"/>
        </w:rPr>
        <w:t>1583</w:t>
      </w:r>
      <w:r>
        <w:rPr>
          <w:color w:val="005DA1"/>
          <w:vertAlign w:val="baseline"/>
        </w:rPr>
        <w:t> </w:t>
      </w:r>
      <w:r>
        <w:rPr>
          <w:vertAlign w:val="baseline"/>
        </w:rPr>
        <w:t>the circumstance that the existence and extent of the </w:t>
      </w:r>
      <w:r>
        <w:rPr>
          <w:vertAlign w:val="baseline"/>
        </w:rPr>
        <w:t>private right asserted may incidentally involve the examination of a public law issue cannot prevent the litigant from seeking to establish his right by action commenced by writ or </w:t>
      </w:r>
      <w:bookmarkStart w:name="_bookmark2369" w:id="2371"/>
      <w:bookmarkEnd w:id="2371"/>
      <w:r>
        <w:rPr>
          <w:vertAlign w:val="baseline"/>
        </w:rPr>
        <w:t>originating</w:t>
      </w:r>
      <w:r>
        <w:rPr>
          <w:vertAlign w:val="baseline"/>
        </w:rPr>
        <w:t> summons, any more than it can prevent him from setting up his private right in proceedings brought against him.” </w:t>
      </w:r>
      <w:r>
        <w:rPr>
          <w:color w:val="005DA1"/>
          <w:u w:val="single" w:color="005DA1"/>
          <w:vertAlign w:val="superscript"/>
        </w:rPr>
        <w:t>1584</w:t>
      </w:r>
    </w:p>
    <w:p>
      <w:pPr>
        <w:pStyle w:val="BodyText"/>
        <w:spacing w:before="115"/>
      </w:pPr>
    </w:p>
    <w:p>
      <w:pPr>
        <w:pStyle w:val="BodyText"/>
        <w:spacing w:line="235" w:lineRule="auto"/>
        <w:ind w:left="165" w:right="167"/>
        <w:jc w:val="both"/>
      </w:pPr>
      <w:bookmarkStart w:name="_bookmark2370" w:id="2372"/>
      <w:bookmarkEnd w:id="2372"/>
      <w:r>
        <w:rPr/>
      </w:r>
      <w:r>
        <w:rPr/>
        <w:t>Moreover, Lord Lowry noticed that Lord Diplock in </w:t>
      </w:r>
      <w:r>
        <w:rPr>
          <w:rFonts w:ascii="Arial" w:hAnsi="Arial"/>
          <w:i/>
        </w:rPr>
        <w:t>O’Reilly v Mackman </w:t>
      </w:r>
      <w:r>
        <w:rPr>
          <w:color w:val="005DA1"/>
          <w:u w:val="single" w:color="005DA1"/>
          <w:vertAlign w:val="superscript"/>
        </w:rPr>
        <w:t>1585</w:t>
      </w:r>
      <w:r>
        <w:rPr>
          <w:color w:val="005DA1"/>
          <w:vertAlign w:val="baseline"/>
        </w:rPr>
        <w:t> </w:t>
      </w:r>
      <w:r>
        <w:rPr>
          <w:vertAlign w:val="baseline"/>
        </w:rPr>
        <w:t>had acknowledged that there</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exceptions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principle</w:t>
      </w:r>
      <w:r>
        <w:rPr>
          <w:spacing w:val="-2"/>
          <w:vertAlign w:val="baseline"/>
        </w:rPr>
        <w:t> </w:t>
      </w:r>
      <w:r>
        <w:rPr>
          <w:vertAlign w:val="baseline"/>
        </w:rPr>
        <w:t>that</w:t>
      </w:r>
      <w:r>
        <w:rPr>
          <w:spacing w:val="-2"/>
          <w:vertAlign w:val="baseline"/>
        </w:rPr>
        <w:t> </w:t>
      </w:r>
      <w:r>
        <w:rPr>
          <w:vertAlign w:val="baseline"/>
        </w:rPr>
        <w:t>cases</w:t>
      </w:r>
      <w:r>
        <w:rPr>
          <w:spacing w:val="-2"/>
          <w:vertAlign w:val="baseline"/>
        </w:rPr>
        <w:t> </w:t>
      </w:r>
      <w:r>
        <w:rPr>
          <w:vertAlign w:val="baseline"/>
        </w:rPr>
        <w:t>involving</w:t>
      </w:r>
      <w:r>
        <w:rPr>
          <w:spacing w:val="-2"/>
          <w:vertAlign w:val="baseline"/>
        </w:rPr>
        <w:t> </w:t>
      </w:r>
      <w:r>
        <w:rPr>
          <w:vertAlign w:val="baseline"/>
        </w:rPr>
        <w:t>public</w:t>
      </w:r>
      <w:r>
        <w:rPr>
          <w:spacing w:val="-2"/>
          <w:vertAlign w:val="baseline"/>
        </w:rPr>
        <w:t> </w:t>
      </w:r>
      <w:r>
        <w:rPr>
          <w:vertAlign w:val="baseline"/>
        </w:rPr>
        <w:t>law</w:t>
      </w:r>
      <w:r>
        <w:rPr>
          <w:spacing w:val="-2"/>
          <w:vertAlign w:val="baseline"/>
        </w:rPr>
        <w:t> </w:t>
      </w:r>
      <w:r>
        <w:rPr>
          <w:vertAlign w:val="baseline"/>
        </w:rPr>
        <w:t>issues</w:t>
      </w:r>
      <w:r>
        <w:rPr>
          <w:spacing w:val="-2"/>
          <w:vertAlign w:val="baseline"/>
        </w:rPr>
        <w:t> </w:t>
      </w:r>
      <w:r>
        <w:rPr>
          <w:vertAlign w:val="baseline"/>
        </w:rPr>
        <w:t>should</w:t>
      </w:r>
      <w:r>
        <w:rPr>
          <w:spacing w:val="-2"/>
          <w:vertAlign w:val="baseline"/>
        </w:rPr>
        <w:t> </w:t>
      </w:r>
      <w:r>
        <w:rPr>
          <w:vertAlign w:val="baseline"/>
        </w:rPr>
        <w:t>proceed</w:t>
      </w:r>
      <w:r>
        <w:rPr>
          <w:spacing w:val="-2"/>
          <w:vertAlign w:val="baseline"/>
        </w:rPr>
        <w:t> </w:t>
      </w:r>
      <w:r>
        <w:rPr>
          <w:vertAlign w:val="baseline"/>
        </w:rPr>
        <w:t>only</w:t>
      </w:r>
      <w:r>
        <w:rPr>
          <w:spacing w:val="-2"/>
          <w:vertAlign w:val="baseline"/>
        </w:rPr>
        <w:t> </w:t>
      </w:r>
      <w:r>
        <w:rPr>
          <w:vertAlign w:val="baseline"/>
        </w:rPr>
        <w:t>by way of judicial review:</w:t>
      </w:r>
    </w:p>
    <w:p>
      <w:pPr>
        <w:pStyle w:val="BodyText"/>
      </w:pPr>
    </w:p>
    <w:p>
      <w:pPr>
        <w:pStyle w:val="BodyText"/>
        <w:spacing w:before="125"/>
      </w:pPr>
    </w:p>
    <w:p>
      <w:pPr>
        <w:pStyle w:val="BodyText"/>
        <w:spacing w:line="235" w:lineRule="auto" w:before="1"/>
        <w:ind w:left="1245" w:right="167"/>
        <w:jc w:val="both"/>
      </w:pPr>
      <w:bookmarkStart w:name="_bookmark2371" w:id="2373"/>
      <w:bookmarkEnd w:id="2373"/>
      <w:r>
        <w:rPr/>
      </w:r>
      <w:r>
        <w:rPr/>
        <w:t>“particularly where the invalidity of the decision arises as a collateral issue in a claim </w:t>
      </w:r>
      <w:r>
        <w:rPr/>
        <w:t>for infringement of a right of the plaintiff arising under private law.” </w:t>
      </w:r>
      <w:r>
        <w:rPr>
          <w:color w:val="005DA1"/>
          <w:u w:val="single" w:color="005DA1"/>
          <w:vertAlign w:val="superscript"/>
        </w:rPr>
        <w:t>1586</w:t>
      </w:r>
    </w:p>
    <w:p>
      <w:pPr>
        <w:pStyle w:val="BodyText"/>
        <w:spacing w:before="115"/>
      </w:pPr>
    </w:p>
    <w:p>
      <w:pPr>
        <w:pStyle w:val="BodyText"/>
        <w:spacing w:line="235" w:lineRule="auto" w:before="1"/>
        <w:ind w:left="165" w:right="167"/>
        <w:jc w:val="both"/>
      </w:pPr>
      <w:bookmarkStart w:name="_bookmark2372" w:id="2374"/>
      <w:bookmarkEnd w:id="2374"/>
      <w:r>
        <w:rPr/>
      </w:r>
      <w:r>
        <w:rPr/>
        <w:t>Lord Lowry recommended that a “liberal attitude” be taken to the ambit of such exceptions, </w:t>
      </w:r>
      <w:r>
        <w:rPr>
          <w:color w:val="005DA1"/>
          <w:u w:val="single" w:color="005DA1"/>
          <w:vertAlign w:val="superscript"/>
        </w:rPr>
        <w:t>1587</w:t>
      </w:r>
      <w:r>
        <w:rPr>
          <w:color w:val="005DA1"/>
          <w:vertAlign w:val="baseline"/>
        </w:rPr>
        <w:t> </w:t>
      </w:r>
      <w:r>
        <w:rPr>
          <w:vertAlign w:val="baseline"/>
        </w:rPr>
        <w:t>and </w:t>
      </w:r>
      <w:bookmarkStart w:name="_bookmark2373" w:id="2375"/>
      <w:bookmarkEnd w:id="2375"/>
      <w:r>
        <w:rPr>
          <w:vertAlign w:val="baseline"/>
        </w:rPr>
        <w:t>approved</w:t>
      </w:r>
      <w:r>
        <w:rPr>
          <w:vertAlign w:val="baseline"/>
        </w:rPr>
        <w:t> a broad approach according to which judicial review would be reserved for cases where private</w:t>
      </w:r>
      <w:r>
        <w:rPr>
          <w:spacing w:val="29"/>
          <w:vertAlign w:val="baseline"/>
        </w:rPr>
        <w:t> </w:t>
      </w:r>
      <w:r>
        <w:rPr>
          <w:vertAlign w:val="baseline"/>
        </w:rPr>
        <w:t>rights</w:t>
      </w:r>
      <w:r>
        <w:rPr>
          <w:spacing w:val="30"/>
          <w:vertAlign w:val="baseline"/>
        </w:rPr>
        <w:t> </w:t>
      </w:r>
      <w:r>
        <w:rPr>
          <w:vertAlign w:val="baseline"/>
        </w:rPr>
        <w:t>were</w:t>
      </w:r>
      <w:r>
        <w:rPr>
          <w:spacing w:val="29"/>
          <w:vertAlign w:val="baseline"/>
        </w:rPr>
        <w:t> </w:t>
      </w:r>
      <w:r>
        <w:rPr>
          <w:vertAlign w:val="baseline"/>
        </w:rPr>
        <w:t>not</w:t>
      </w:r>
      <w:r>
        <w:rPr>
          <w:spacing w:val="30"/>
          <w:vertAlign w:val="baseline"/>
        </w:rPr>
        <w:t> </w:t>
      </w:r>
      <w:r>
        <w:rPr>
          <w:vertAlign w:val="baseline"/>
        </w:rPr>
        <w:t>at</w:t>
      </w:r>
      <w:r>
        <w:rPr>
          <w:spacing w:val="29"/>
          <w:vertAlign w:val="baseline"/>
        </w:rPr>
        <w:t> </w:t>
      </w:r>
      <w:r>
        <w:rPr>
          <w:vertAlign w:val="baseline"/>
        </w:rPr>
        <w:t>stake.</w:t>
      </w:r>
      <w:r>
        <w:rPr>
          <w:spacing w:val="30"/>
          <w:vertAlign w:val="baseline"/>
        </w:rPr>
        <w:t> </w:t>
      </w:r>
      <w:r>
        <w:rPr>
          <w:color w:val="005DA1"/>
          <w:u w:val="single" w:color="005DA1"/>
          <w:vertAlign w:val="superscript"/>
        </w:rPr>
        <w:t>1588</w:t>
      </w:r>
      <w:r>
        <w:rPr>
          <w:color w:val="005DA1"/>
          <w:spacing w:val="29"/>
          <w:vertAlign w:val="baseline"/>
        </w:rPr>
        <w:t> </w:t>
      </w:r>
      <w:r>
        <w:rPr>
          <w:vertAlign w:val="baseline"/>
        </w:rPr>
        <w:t>Clearly,</w:t>
      </w:r>
      <w:r>
        <w:rPr>
          <w:spacing w:val="30"/>
          <w:vertAlign w:val="baseline"/>
        </w:rPr>
        <w:t> </w:t>
      </w:r>
      <w:r>
        <w:rPr>
          <w:vertAlign w:val="baseline"/>
        </w:rPr>
        <w:t>the</w:t>
      </w:r>
      <w:r>
        <w:rPr>
          <w:spacing w:val="29"/>
          <w:vertAlign w:val="baseline"/>
        </w:rPr>
        <w:t> </w:t>
      </w:r>
      <w:r>
        <w:rPr>
          <w:vertAlign w:val="baseline"/>
        </w:rPr>
        <w:t>House</w:t>
      </w:r>
      <w:r>
        <w:rPr>
          <w:spacing w:val="30"/>
          <w:vertAlign w:val="baseline"/>
        </w:rPr>
        <w:t> </w:t>
      </w:r>
      <w:r>
        <w:rPr>
          <w:vertAlign w:val="baseline"/>
        </w:rPr>
        <w:t>of</w:t>
      </w:r>
      <w:r>
        <w:rPr>
          <w:spacing w:val="30"/>
          <w:vertAlign w:val="baseline"/>
        </w:rPr>
        <w:t> </w:t>
      </w:r>
      <w:r>
        <w:rPr>
          <w:vertAlign w:val="baseline"/>
        </w:rPr>
        <w:t>Lords</w:t>
      </w:r>
      <w:r>
        <w:rPr>
          <w:spacing w:val="29"/>
          <w:vertAlign w:val="baseline"/>
        </w:rPr>
        <w:t> </w:t>
      </w:r>
      <w:r>
        <w:rPr>
          <w:vertAlign w:val="baseline"/>
        </w:rPr>
        <w:t>intended</w:t>
      </w:r>
      <w:r>
        <w:rPr>
          <w:spacing w:val="30"/>
          <w:vertAlign w:val="baseline"/>
        </w:rPr>
        <w:t> </w:t>
      </w:r>
      <w:r>
        <w:rPr>
          <w:vertAlign w:val="baseline"/>
        </w:rPr>
        <w:t>to</w:t>
      </w:r>
      <w:r>
        <w:rPr>
          <w:spacing w:val="29"/>
          <w:vertAlign w:val="baseline"/>
        </w:rPr>
        <w:t> </w:t>
      </w:r>
      <w:r>
        <w:rPr>
          <w:vertAlign w:val="baseline"/>
        </w:rPr>
        <w:t>mould</w:t>
      </w:r>
      <w:r>
        <w:rPr>
          <w:spacing w:val="30"/>
          <w:vertAlign w:val="baseline"/>
        </w:rPr>
        <w:t> </w:t>
      </w:r>
      <w:r>
        <w:rPr>
          <w:vertAlign w:val="baseline"/>
        </w:rPr>
        <w:t>the</w:t>
      </w:r>
      <w:r>
        <w:rPr>
          <w:spacing w:val="29"/>
          <w:vertAlign w:val="baseline"/>
        </w:rPr>
        <w:t> </w:t>
      </w:r>
      <w:r>
        <w:rPr>
          <w:spacing w:val="-2"/>
          <w:vertAlign w:val="baseline"/>
        </w:rPr>
        <w:t>distinction</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2374" w:id="2376"/>
      <w:bookmarkEnd w:id="2376"/>
      <w:r>
        <w:rPr/>
      </w:r>
      <w:r>
        <w:rPr/>
        <w:t>between private and public law according to the appropriateness of the different procedures in </w:t>
      </w:r>
      <w:r>
        <w:rPr/>
        <w:t>a </w:t>
      </w:r>
      <w:bookmarkStart w:name="_bookmark2375" w:id="2377"/>
      <w:bookmarkEnd w:id="2377"/>
      <w:r>
        <w:rPr/>
        <w:t>particular</w:t>
      </w:r>
      <w:r>
        <w:rPr/>
        <w:t> case (for example, whether the case required oral evidence and discovery </w:t>
      </w:r>
      <w:r>
        <w:rPr>
          <w:color w:val="005DA1"/>
          <w:u w:val="single" w:color="005DA1"/>
          <w:vertAlign w:val="superscript"/>
        </w:rPr>
        <w:t>1589</w:t>
      </w:r>
      <w:r>
        <w:rPr>
          <w:vertAlign w:val="baseline"/>
        </w:rPr>
        <w:t>), rather than according to the formal source of the plaintiff’s claim. </w:t>
      </w:r>
      <w:r>
        <w:rPr>
          <w:color w:val="005DA1"/>
          <w:u w:val="single" w:color="005DA1"/>
          <w:vertAlign w:val="superscript"/>
        </w:rPr>
        <w:t>1590</w:t>
      </w:r>
    </w:p>
    <w:p>
      <w:pPr>
        <w:pStyle w:val="BodyText"/>
      </w:pPr>
    </w:p>
    <w:p>
      <w:pPr>
        <w:pStyle w:val="BodyText"/>
        <w:spacing w:before="38"/>
      </w:pPr>
    </w:p>
    <w:p>
      <w:pPr>
        <w:spacing w:before="0"/>
        <w:ind w:left="164" w:right="0" w:firstLine="0"/>
        <w:jc w:val="both"/>
        <w:rPr>
          <w:rFonts w:ascii="Arial"/>
          <w:b/>
          <w:sz w:val="18"/>
        </w:rPr>
      </w:pPr>
      <w:r>
        <w:rPr>
          <w:rFonts w:ascii="Arial"/>
          <w:b/>
          <w:sz w:val="18"/>
        </w:rPr>
        <w:t>CPR Pt </w:t>
      </w:r>
      <w:r>
        <w:rPr>
          <w:rFonts w:ascii="Arial"/>
          <w:b/>
          <w:spacing w:val="-5"/>
          <w:sz w:val="18"/>
        </w:rPr>
        <w:t>54</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w:t>
      </w:r>
      <w:r>
        <w:rPr>
          <w:rFonts w:ascii="Arial"/>
          <w:b/>
          <w:spacing w:val="-5"/>
          <w:sz w:val="24"/>
        </w:rPr>
        <w:t>228</w:t>
      </w:r>
    </w:p>
    <w:p>
      <w:pPr>
        <w:pStyle w:val="BodyText"/>
        <w:spacing w:before="93"/>
        <w:rPr>
          <w:rFonts w:ascii="Arial"/>
          <w:b/>
        </w:rPr>
      </w:pPr>
    </w:p>
    <w:p>
      <w:pPr>
        <w:pStyle w:val="BodyText"/>
        <w:spacing w:line="235" w:lineRule="auto"/>
        <w:ind w:left="165" w:right="168"/>
        <w:jc w:val="both"/>
      </w:pPr>
      <w:r>
        <w:rPr>
          <w:position w:val="-2"/>
        </w:rPr>
        <w:drawing>
          <wp:inline distT="0" distB="0" distL="0" distR="0">
            <wp:extent cx="107988" cy="107988"/>
            <wp:effectExtent l="0" t="0" r="0" b="0"/>
            <wp:docPr id="567" name="Image 567"/>
            <wp:cNvGraphicFramePr>
              <a:graphicFrameLocks/>
            </wp:cNvGraphicFramePr>
            <a:graphic>
              <a:graphicData uri="http://schemas.openxmlformats.org/drawingml/2006/picture">
                <pic:pic>
                  <pic:nvPicPr>
                    <pic:cNvPr id="567" name="Image 56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5"/>
        </w:rPr>
        <w:t> </w:t>
      </w:r>
      <w:bookmarkStart w:name="_bookmark2376" w:id="2378"/>
      <w:bookmarkEnd w:id="2378"/>
      <w:r>
        <w:rPr>
          <w:rFonts w:ascii="Times New Roman"/>
          <w:spacing w:val="-12"/>
        </w:rPr>
      </w:r>
      <w:r>
        <w:rPr/>
        <w:t>In 2000, Ord.53 was revoked and replaced by Pt 54 of the CPR. </w:t>
      </w:r>
      <w:r>
        <w:rPr>
          <w:color w:val="005DA1"/>
          <w:u w:val="single" w:color="005DA1"/>
          <w:vertAlign w:val="superscript"/>
        </w:rPr>
        <w:t>1591</w:t>
      </w:r>
      <w:r>
        <w:rPr>
          <w:color w:val="005DA1"/>
          <w:vertAlign w:val="baseline"/>
        </w:rPr>
        <w:t> </w:t>
      </w:r>
      <w:r>
        <w:rPr>
          <w:vertAlign w:val="baseline"/>
        </w:rPr>
        <w:t>Under Pt 54, a claim </w:t>
      </w:r>
      <w:r>
        <w:rPr>
          <w:vertAlign w:val="baseline"/>
        </w:rPr>
        <w:t>for judicial review is defined as a claim to:</w:t>
      </w:r>
    </w:p>
    <w:p>
      <w:pPr>
        <w:pStyle w:val="BodyText"/>
      </w:pPr>
    </w:p>
    <w:p>
      <w:pPr>
        <w:pStyle w:val="BodyText"/>
        <w:spacing w:before="126"/>
      </w:pPr>
    </w:p>
    <w:p>
      <w:pPr>
        <w:pStyle w:val="BodyText"/>
        <w:spacing w:line="235" w:lineRule="auto"/>
        <w:ind w:left="1245" w:right="167"/>
        <w:jc w:val="both"/>
      </w:pPr>
      <w:bookmarkStart w:name="_bookmark2377" w:id="2379"/>
      <w:bookmarkEnd w:id="2379"/>
      <w:r>
        <w:rPr/>
      </w:r>
      <w:r>
        <w:rPr/>
        <w:t>“… review the lawfulness of: (i) an enactment; or (ii) a decision, action or failure to act </w:t>
      </w:r>
      <w:r>
        <w:rPr/>
        <w:t>in relation to the exercise of a public function.” </w:t>
      </w:r>
      <w:r>
        <w:rPr>
          <w:color w:val="005DA1"/>
          <w:u w:val="single" w:color="005DA1"/>
          <w:vertAlign w:val="superscript"/>
        </w:rPr>
        <w:t>1592</w:t>
      </w:r>
    </w:p>
    <w:p>
      <w:pPr>
        <w:pStyle w:val="BodyText"/>
        <w:spacing w:before="116"/>
      </w:pPr>
    </w:p>
    <w:p>
      <w:pPr>
        <w:pStyle w:val="BodyText"/>
        <w:spacing w:line="235" w:lineRule="auto"/>
        <w:ind w:left="164" w:right="167"/>
        <w:jc w:val="both"/>
      </w:pPr>
      <w:r>
        <w:rPr/>
        <w:t>It</w:t>
      </w:r>
      <w:r>
        <w:rPr>
          <w:spacing w:val="-1"/>
        </w:rPr>
        <w:t> </w:t>
      </w:r>
      <w:r>
        <w:rPr/>
        <w:t>is</w:t>
      </w:r>
      <w:r>
        <w:rPr>
          <w:spacing w:val="-1"/>
        </w:rPr>
        <w:t> </w:t>
      </w:r>
      <w:r>
        <w:rPr/>
        <w:t>provided</w:t>
      </w:r>
      <w:r>
        <w:rPr>
          <w:spacing w:val="-1"/>
        </w:rPr>
        <w:t> </w:t>
      </w:r>
      <w:r>
        <w:rPr/>
        <w:t>that</w:t>
      </w:r>
      <w:r>
        <w:rPr>
          <w:spacing w:val="-1"/>
        </w:rPr>
        <w:t> </w:t>
      </w:r>
      <w:r>
        <w:rPr/>
        <w:t>the</w:t>
      </w:r>
      <w:r>
        <w:rPr>
          <w:spacing w:val="-1"/>
        </w:rPr>
        <w:t> </w:t>
      </w:r>
      <w:r>
        <w:rPr/>
        <w:t>judicial</w:t>
      </w:r>
      <w:r>
        <w:rPr>
          <w:spacing w:val="-1"/>
        </w:rPr>
        <w:t> </w:t>
      </w:r>
      <w:r>
        <w:rPr/>
        <w:t>review</w:t>
      </w:r>
      <w:r>
        <w:rPr>
          <w:spacing w:val="-1"/>
        </w:rPr>
        <w:t> </w:t>
      </w:r>
      <w:r>
        <w:rPr/>
        <w:t>procedure</w:t>
      </w:r>
      <w:r>
        <w:rPr>
          <w:spacing w:val="-1"/>
        </w:rPr>
        <w:t> </w:t>
      </w:r>
      <w:r>
        <w:rPr/>
        <w:t>must</w:t>
      </w:r>
      <w:r>
        <w:rPr>
          <w:spacing w:val="-1"/>
        </w:rPr>
        <w:t> </w:t>
      </w:r>
      <w:r>
        <w:rPr/>
        <w:t>be</w:t>
      </w:r>
      <w:r>
        <w:rPr>
          <w:spacing w:val="-1"/>
        </w:rPr>
        <w:t> </w:t>
      </w:r>
      <w:r>
        <w:rPr/>
        <w:t>used</w:t>
      </w:r>
      <w:r>
        <w:rPr>
          <w:spacing w:val="-1"/>
        </w:rPr>
        <w:t> </w:t>
      </w:r>
      <w:r>
        <w:rPr/>
        <w:t>for</w:t>
      </w:r>
      <w:r>
        <w:rPr>
          <w:spacing w:val="-1"/>
        </w:rPr>
        <w:t> </w:t>
      </w:r>
      <w:r>
        <w:rPr/>
        <w:t>applications</w:t>
      </w:r>
      <w:r>
        <w:rPr>
          <w:spacing w:val="-1"/>
        </w:rPr>
        <w:t> </w:t>
      </w:r>
      <w:r>
        <w:rPr/>
        <w:t>for</w:t>
      </w:r>
      <w:r>
        <w:rPr>
          <w:spacing w:val="-1"/>
        </w:rPr>
        <w:t> </w:t>
      </w:r>
      <w:r>
        <w:rPr/>
        <w:t>certain</w:t>
      </w:r>
      <w:r>
        <w:rPr>
          <w:spacing w:val="-1"/>
        </w:rPr>
        <w:t> </w:t>
      </w:r>
      <w:r>
        <w:rPr/>
        <w:t>types</w:t>
      </w:r>
      <w:r>
        <w:rPr>
          <w:spacing w:val="-1"/>
        </w:rPr>
        <w:t> </w:t>
      </w:r>
      <w:r>
        <w:rPr/>
        <w:t>of</w:t>
      </w:r>
      <w:r>
        <w:rPr>
          <w:spacing w:val="-1"/>
        </w:rPr>
        <w:t> </w:t>
      </w:r>
      <w:r>
        <w:rPr/>
        <w:t>order </w:t>
      </w:r>
      <w:bookmarkStart w:name="_bookmark2378" w:id="2380"/>
      <w:bookmarkEnd w:id="2380"/>
      <w:r>
        <w:rPr/>
        <w:t>(mandatory</w:t>
      </w:r>
      <w:r>
        <w:rPr/>
        <w:t> orders, prohibiting orders, quashing orders, and injunctions under s.30 of the Supreme </w:t>
      </w:r>
      <w:bookmarkStart w:name="_bookmark2379" w:id="2381"/>
      <w:bookmarkEnd w:id="2381"/>
      <w:r>
        <w:rPr/>
        <w:t>Court</w:t>
      </w:r>
      <w:r>
        <w:rPr/>
        <w:t> Act 1981), </w:t>
      </w:r>
      <w:r>
        <w:rPr>
          <w:color w:val="005DA1"/>
          <w:u w:val="single" w:color="005DA1"/>
          <w:vertAlign w:val="superscript"/>
        </w:rPr>
        <w:t>1593</w:t>
      </w:r>
      <w:r>
        <w:rPr>
          <w:color w:val="005DA1"/>
          <w:vertAlign w:val="baseline"/>
        </w:rPr>
        <w:t> </w:t>
      </w:r>
      <w:r>
        <w:rPr>
          <w:vertAlign w:val="baseline"/>
        </w:rPr>
        <w:t>and may be used in certain other cases, though not as regards claims solely for </w:t>
      </w:r>
      <w:bookmarkStart w:name="_bookmark2380" w:id="2382"/>
      <w:bookmarkEnd w:id="2382"/>
      <w:r>
        <w:rPr>
          <w:vertAlign w:val="baseline"/>
        </w:rPr>
        <w:t>damages.</w:t>
      </w:r>
      <w:r>
        <w:rPr>
          <w:vertAlign w:val="baseline"/>
        </w:rPr>
        <w:t> </w:t>
      </w:r>
      <w:r>
        <w:rPr>
          <w:color w:val="005DA1"/>
          <w:u w:val="single" w:color="005DA1"/>
          <w:vertAlign w:val="superscript"/>
        </w:rPr>
        <w:t>1594</w:t>
      </w:r>
      <w:r>
        <w:rPr>
          <w:color w:val="005DA1"/>
          <w:vertAlign w:val="baseline"/>
        </w:rPr>
        <w:t> </w:t>
      </w:r>
      <w:r>
        <w:rPr>
          <w:vertAlign w:val="baseline"/>
        </w:rPr>
        <w:t>The court has power to order a claim to continue as if it had not been started by way of judicial review and, where it does so, to give directions about the future management of the claim.</w:t>
      </w:r>
      <w:r>
        <w:rPr>
          <w:spacing w:val="-1"/>
          <w:vertAlign w:val="baseline"/>
        </w:rPr>
        <w:t> </w:t>
      </w:r>
      <w:r>
        <w:rPr>
          <w:color w:val="005DA1"/>
          <w:u w:val="single" w:color="005DA1"/>
          <w:vertAlign w:val="superscript"/>
        </w:rPr>
        <w:t>1595</w:t>
      </w:r>
      <w:r>
        <w:rPr>
          <w:color w:val="005DA1"/>
          <w:vertAlign w:val="baseline"/>
        </w:rPr>
        <w:t> </w:t>
      </w:r>
      <w:bookmarkStart w:name="_bookmark2381" w:id="2383"/>
      <w:bookmarkEnd w:id="2383"/>
      <w:r>
        <w:rPr>
          <w:color w:val="005DA1"/>
          <w:w w:val="92"/>
          <w:vertAlign w:val="baseline"/>
        </w:rPr>
      </w:r>
      <w:r>
        <w:rPr>
          <w:vertAlign w:val="baseline"/>
        </w:rPr>
        <w:t>In common with applications under RSC Ord.53, the court’s permission to proceed is required in a </w:t>
      </w:r>
      <w:bookmarkStart w:name="_bookmark2382" w:id="2384"/>
      <w:bookmarkEnd w:id="2384"/>
      <w:r>
        <w:rPr>
          <w:vertAlign w:val="baseline"/>
        </w:rPr>
        <w:t>claim</w:t>
      </w:r>
      <w:r>
        <w:rPr>
          <w:vertAlign w:val="baseline"/>
        </w:rPr>
        <w:t> for judicial review </w:t>
      </w:r>
      <w:r>
        <w:rPr>
          <w:color w:val="005DA1"/>
          <w:u w:val="single" w:color="005DA1"/>
          <w:vertAlign w:val="superscript"/>
        </w:rPr>
        <w:t>1596</w:t>
      </w:r>
      <w:r>
        <w:rPr>
          <w:color w:val="005DA1"/>
          <w:vertAlign w:val="baseline"/>
        </w:rPr>
        <w:t> </w:t>
      </w:r>
      <w:r>
        <w:rPr>
          <w:vertAlign w:val="baseline"/>
        </w:rPr>
        <w:t>and applications for leave must be made promptly and in any event within three months of when the grounds arose. </w:t>
      </w:r>
      <w:r>
        <w:rPr>
          <w:color w:val="005DA1"/>
          <w:u w:val="single" w:color="005DA1"/>
          <w:vertAlign w:val="superscript"/>
        </w:rPr>
        <w:t>1597</w:t>
      </w:r>
      <w:r>
        <w:rPr>
          <w:color w:val="005DA1"/>
          <w:vertAlign w:val="baseline"/>
        </w:rPr>
        <w:t> </w:t>
      </w:r>
      <w:r>
        <w:rPr>
          <w:vertAlign w:val="baseline"/>
        </w:rPr>
        <w:t>These features of claims for judicial review remain </w:t>
      </w:r>
      <w:bookmarkStart w:name="_bookmark2383" w:id="2385"/>
      <w:bookmarkEnd w:id="2385"/>
      <w:r>
        <w:rPr>
          <w:vertAlign w:val="baseline"/>
        </w:rPr>
        <w:t>distinctive</w:t>
      </w:r>
      <w:r>
        <w:rPr>
          <w:vertAlign w:val="baseline"/>
        </w:rPr>
        <w:t> and this means that the courts still need to resolve whether a claim is sufficiently public to be appropriately dealt with under Pt 54 or whether it is private and to be dealt with by ordinary action. </w:t>
      </w:r>
      <w:r>
        <w:rPr>
          <w:color w:val="005DA1"/>
          <w:u w:val="single" w:color="005DA1"/>
          <w:vertAlign w:val="superscript"/>
        </w:rPr>
        <w:t>1598</w:t>
      </w:r>
      <w:r>
        <w:rPr>
          <w:color w:val="005DA1"/>
          <w:vertAlign w:val="baseline"/>
        </w:rPr>
        <w:t> </w:t>
      </w:r>
      <w:r>
        <w:rPr>
          <w:vertAlign w:val="baseline"/>
        </w:rPr>
        <w:t>In deciding this, the courts sometimes still see claims based on the contract as being appropriate for ordinary action. So, for example, as regards disputes between students and their universities it</w:t>
      </w:r>
      <w:r>
        <w:rPr>
          <w:spacing w:val="80"/>
          <w:vertAlign w:val="baseline"/>
        </w:rPr>
        <w:t> </w:t>
      </w:r>
      <w:bookmarkStart w:name="_bookmark2384" w:id="2386"/>
      <w:bookmarkEnd w:id="2386"/>
      <w:r>
        <w:rPr>
          <w:vertAlign w:val="baseline"/>
        </w:rPr>
        <w:t>has</w:t>
      </w:r>
      <w:r>
        <w:rPr>
          <w:spacing w:val="20"/>
          <w:vertAlign w:val="baseline"/>
        </w:rPr>
        <w:t> </w:t>
      </w:r>
      <w:r>
        <w:rPr>
          <w:vertAlign w:val="baseline"/>
        </w:rPr>
        <w:t>been</w:t>
      </w:r>
      <w:r>
        <w:rPr>
          <w:spacing w:val="20"/>
          <w:vertAlign w:val="baseline"/>
        </w:rPr>
        <w:t> </w:t>
      </w:r>
      <w:r>
        <w:rPr>
          <w:vertAlign w:val="baseline"/>
        </w:rPr>
        <w:t>said</w:t>
      </w:r>
      <w:r>
        <w:rPr>
          <w:spacing w:val="20"/>
          <w:vertAlign w:val="baseline"/>
        </w:rPr>
        <w:t> </w:t>
      </w:r>
      <w:r>
        <w:rPr>
          <w:vertAlign w:val="baseline"/>
        </w:rPr>
        <w:t>that</w:t>
      </w:r>
      <w:r>
        <w:rPr>
          <w:spacing w:val="20"/>
          <w:vertAlign w:val="baseline"/>
        </w:rPr>
        <w:t> </w:t>
      </w:r>
      <w:r>
        <w:rPr>
          <w:vertAlign w:val="baseline"/>
        </w:rPr>
        <w:t>the</w:t>
      </w:r>
      <w:r>
        <w:rPr>
          <w:spacing w:val="20"/>
          <w:vertAlign w:val="baseline"/>
        </w:rPr>
        <w:t> </w:t>
      </w:r>
      <w:r>
        <w:rPr>
          <w:vertAlign w:val="baseline"/>
        </w:rPr>
        <w:t>normal</w:t>
      </w:r>
      <w:r>
        <w:rPr>
          <w:spacing w:val="20"/>
          <w:vertAlign w:val="baseline"/>
        </w:rPr>
        <w:t> </w:t>
      </w:r>
      <w:r>
        <w:rPr>
          <w:vertAlign w:val="baseline"/>
        </w:rPr>
        <w:t>procedure</w:t>
      </w:r>
      <w:r>
        <w:rPr>
          <w:spacing w:val="20"/>
          <w:vertAlign w:val="baseline"/>
        </w:rPr>
        <w:t> </w:t>
      </w:r>
      <w:r>
        <w:rPr>
          <w:vertAlign w:val="baseline"/>
        </w:rPr>
        <w:t>will</w:t>
      </w:r>
      <w:r>
        <w:rPr>
          <w:spacing w:val="20"/>
          <w:vertAlign w:val="baseline"/>
        </w:rPr>
        <w:t> </w:t>
      </w:r>
      <w:r>
        <w:rPr>
          <w:vertAlign w:val="baseline"/>
        </w:rPr>
        <w:t>be</w:t>
      </w:r>
      <w:r>
        <w:rPr>
          <w:spacing w:val="20"/>
          <w:vertAlign w:val="baseline"/>
        </w:rPr>
        <w:t> </w:t>
      </w:r>
      <w:r>
        <w:rPr>
          <w:vertAlign w:val="baseline"/>
        </w:rPr>
        <w:t>judicial</w:t>
      </w:r>
      <w:r>
        <w:rPr>
          <w:spacing w:val="20"/>
          <w:vertAlign w:val="baseline"/>
        </w:rPr>
        <w:t> </w:t>
      </w:r>
      <w:r>
        <w:rPr>
          <w:vertAlign w:val="baseline"/>
        </w:rPr>
        <w:t>review,</w:t>
      </w:r>
      <w:r>
        <w:rPr>
          <w:spacing w:val="20"/>
          <w:vertAlign w:val="baseline"/>
        </w:rPr>
        <w:t> </w:t>
      </w:r>
      <w:r>
        <w:rPr>
          <w:vertAlign w:val="baseline"/>
        </w:rPr>
        <w:t>but</w:t>
      </w:r>
      <w:r>
        <w:rPr>
          <w:spacing w:val="20"/>
          <w:vertAlign w:val="baseline"/>
        </w:rPr>
        <w:t> </w:t>
      </w:r>
      <w:r>
        <w:rPr>
          <w:vertAlign w:val="baseline"/>
        </w:rPr>
        <w:t>where</w:t>
      </w:r>
      <w:r>
        <w:rPr>
          <w:spacing w:val="20"/>
          <w:vertAlign w:val="baseline"/>
        </w:rPr>
        <w:t> </w:t>
      </w:r>
      <w:r>
        <w:rPr>
          <w:vertAlign w:val="baseline"/>
        </w:rPr>
        <w:t>claims</w:t>
      </w:r>
      <w:r>
        <w:rPr>
          <w:spacing w:val="20"/>
          <w:vertAlign w:val="baseline"/>
        </w:rPr>
        <w:t> </w:t>
      </w:r>
      <w:r>
        <w:rPr>
          <w:vertAlign w:val="baseline"/>
        </w:rPr>
        <w:t>are</w:t>
      </w:r>
      <w:r>
        <w:rPr>
          <w:spacing w:val="20"/>
          <w:vertAlign w:val="baseline"/>
        </w:rPr>
        <w:t> </w:t>
      </w:r>
      <w:r>
        <w:rPr>
          <w:vertAlign w:val="baseline"/>
        </w:rPr>
        <w:t>based</w:t>
      </w:r>
      <w:r>
        <w:rPr>
          <w:spacing w:val="20"/>
          <w:vertAlign w:val="baseline"/>
        </w:rPr>
        <w:t> </w:t>
      </w:r>
      <w:r>
        <w:rPr>
          <w:vertAlign w:val="baseline"/>
        </w:rPr>
        <w:t>on</w:t>
      </w:r>
      <w:r>
        <w:rPr>
          <w:spacing w:val="20"/>
          <w:vertAlign w:val="baseline"/>
        </w:rPr>
        <w:t> </w:t>
      </w:r>
      <w:r>
        <w:rPr>
          <w:spacing w:val="-5"/>
          <w:vertAlign w:val="baseline"/>
        </w:rPr>
        <w:t>the</w:t>
      </w:r>
    </w:p>
    <w:p>
      <w:pPr>
        <w:pStyle w:val="BodyText"/>
        <w:spacing w:line="235" w:lineRule="auto" w:before="115"/>
        <w:ind w:left="165" w:right="167"/>
        <w:jc w:val="both"/>
      </w:pPr>
      <w:r>
        <w:rPr/>
        <w:t>contract between them, then ordinary action is appropriate. </w:t>
      </w:r>
      <w:hyperlink w:history="true" w:anchor="_bookmark2443">
        <w:r>
          <w:rPr>
            <w:color w:val="005DA1"/>
            <w:u w:val="single" w:color="005DA1"/>
            <w:vertAlign w:val="superscript"/>
          </w:rPr>
          <w:t>1599</w:t>
        </w:r>
        <w:r>
          <w:rPr>
            <w:color w:val="005DA1"/>
            <w:spacing w:val="80"/>
            <w:w w:val="150"/>
            <w:vertAlign w:val="baseline"/>
          </w:rPr>
          <w:t> </w:t>
        </w:r>
        <w:r>
          <w:rPr>
            <w:color w:val="005DA1"/>
            <w:position w:val="-2"/>
            <w:vertAlign w:val="baseline"/>
          </w:rPr>
          <w:drawing>
            <wp:inline distT="0" distB="0" distL="0" distR="0">
              <wp:extent cx="107988" cy="107988"/>
              <wp:effectExtent l="0" t="0" r="0" b="0"/>
              <wp:docPr id="568" name="Image 568"/>
              <wp:cNvGraphicFramePr>
                <a:graphicFrameLocks/>
              </wp:cNvGraphicFramePr>
              <a:graphic>
                <a:graphicData uri="http://schemas.openxmlformats.org/drawingml/2006/picture">
                  <pic:pic>
                    <pic:nvPicPr>
                      <pic:cNvPr id="568" name="Image 5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But the courts have made clear </w:t>
        </w:r>
        <w:bookmarkStart w:name="_bookmark2385" w:id="2387"/>
        <w:bookmarkEnd w:id="2387"/>
        <w:r>
          <w:rPr>
            <w:vertAlign w:val="baseline"/>
          </w:rPr>
          <w:t>that</w:t>
        </w:r>
        <w:r>
          <w:rPr>
            <w:vertAlign w:val="baseline"/>
          </w:rPr>
          <w:t> their approach to the differences in procedure and the exercise of their power to transfer claims between the two routes will be flexible and subject to the overriding objective of the CPR. </w:t>
        </w:r>
        <w:r>
          <w:rPr>
            <w:color w:val="005DA1"/>
            <w:u w:val="single" w:color="005DA1"/>
            <w:vertAlign w:val="superscript"/>
          </w:rPr>
          <w:t>1600</w:t>
        </w:r>
        <w:r>
          <w:rPr>
            <w:color w:val="005DA1"/>
            <w:vertAlign w:val="baseline"/>
          </w:rPr>
          <w:t> </w:t>
        </w:r>
        <w:r>
          <w:rPr>
            <w:vertAlign w:val="baseline"/>
          </w:rPr>
          <w:t>As Lord </w:t>
        </w:r>
        <w:bookmarkStart w:name="_bookmark2386" w:id="2388"/>
        <w:bookmarkEnd w:id="2388"/>
        <w:r>
          <w:rPr>
            <w:vertAlign w:val="baseline"/>
          </w:rPr>
          <w:t>Woolf</w:t>
        </w:r>
        <w:r>
          <w:rPr>
            <w:vertAlign w:val="baseline"/>
          </w:rPr>
          <w:t> C.J. has observed, Pt 54 was intended to avoid wholly unproductive disputes as to when</w:t>
        </w:r>
        <w:r>
          <w:rPr>
            <w:spacing w:val="40"/>
            <w:vertAlign w:val="baseline"/>
          </w:rPr>
          <w:t> </w:t>
        </w:r>
        <w:r>
          <w:rPr>
            <w:vertAlign w:val="baseline"/>
          </w:rPr>
          <w:t>judicial review is or is not appropriate. </w:t>
        </w:r>
        <w:r>
          <w:rPr>
            <w:color w:val="005DA1"/>
            <w:u w:val="single" w:color="005DA1"/>
            <w:vertAlign w:val="superscript"/>
          </w:rPr>
          <w:t>1601</w:t>
        </w:r>
        <w:r>
          <w:rPr>
            <w:color w:val="005DA1"/>
            <w:vertAlign w:val="baseline"/>
          </w:rPr>
          <w:t> </w:t>
        </w:r>
        <w:r>
          <w:rPr>
            <w:vertAlign w:val="baseline"/>
          </w:rPr>
          <w:t>So:</w:t>
        </w:r>
      </w:hyperlink>
    </w:p>
    <w:p>
      <w:pPr>
        <w:pStyle w:val="BodyText"/>
      </w:pPr>
    </w:p>
    <w:p>
      <w:pPr>
        <w:pStyle w:val="BodyText"/>
        <w:spacing w:before="125"/>
      </w:pPr>
    </w:p>
    <w:p>
      <w:pPr>
        <w:pStyle w:val="BodyText"/>
        <w:spacing w:line="235" w:lineRule="auto"/>
        <w:ind w:left="1245" w:right="167"/>
        <w:jc w:val="both"/>
      </w:pPr>
      <w:r>
        <w:rPr/>
        <w:t>“… in a case … where a bona fide contention is being advanced (although incorrect) that [a private sector provider of services for a local authority] was performing a </w:t>
      </w:r>
      <w:r>
        <w:rPr/>
        <w:t>public function,</w:t>
      </w:r>
      <w:r>
        <w:rPr>
          <w:spacing w:val="6"/>
        </w:rPr>
        <w:t> </w:t>
      </w:r>
      <w:r>
        <w:rPr/>
        <w:t>that</w:t>
      </w:r>
      <w:r>
        <w:rPr>
          <w:spacing w:val="6"/>
        </w:rPr>
        <w:t> </w:t>
      </w:r>
      <w:r>
        <w:rPr/>
        <w:t>is</w:t>
      </w:r>
      <w:r>
        <w:rPr>
          <w:spacing w:val="6"/>
        </w:rPr>
        <w:t> </w:t>
      </w:r>
      <w:r>
        <w:rPr/>
        <w:t>an</w:t>
      </w:r>
      <w:r>
        <w:rPr>
          <w:spacing w:val="6"/>
        </w:rPr>
        <w:t> </w:t>
      </w:r>
      <w:r>
        <w:rPr/>
        <w:t>appropriate</w:t>
      </w:r>
      <w:r>
        <w:rPr>
          <w:spacing w:val="6"/>
        </w:rPr>
        <w:t> </w:t>
      </w:r>
      <w:r>
        <w:rPr/>
        <w:t>issue</w:t>
      </w:r>
      <w:r>
        <w:rPr>
          <w:spacing w:val="6"/>
        </w:rPr>
        <w:t> </w:t>
      </w:r>
      <w:r>
        <w:rPr/>
        <w:t>to</w:t>
      </w:r>
      <w:r>
        <w:rPr>
          <w:spacing w:val="6"/>
        </w:rPr>
        <w:t> </w:t>
      </w:r>
      <w:r>
        <w:rPr/>
        <w:t>be</w:t>
      </w:r>
      <w:r>
        <w:rPr>
          <w:spacing w:val="6"/>
        </w:rPr>
        <w:t> </w:t>
      </w:r>
      <w:r>
        <w:rPr/>
        <w:t>brought</w:t>
      </w:r>
      <w:r>
        <w:rPr>
          <w:spacing w:val="6"/>
        </w:rPr>
        <w:t> </w:t>
      </w:r>
      <w:r>
        <w:rPr/>
        <w:t>to</w:t>
      </w:r>
      <w:r>
        <w:rPr>
          <w:spacing w:val="6"/>
        </w:rPr>
        <w:t> </w:t>
      </w:r>
      <w:r>
        <w:rPr/>
        <w:t>the</w:t>
      </w:r>
      <w:r>
        <w:rPr>
          <w:spacing w:val="6"/>
        </w:rPr>
        <w:t> </w:t>
      </w:r>
      <w:r>
        <w:rPr/>
        <w:t>court</w:t>
      </w:r>
      <w:r>
        <w:rPr>
          <w:spacing w:val="6"/>
        </w:rPr>
        <w:t> </w:t>
      </w:r>
      <w:r>
        <w:rPr/>
        <w:t>by</w:t>
      </w:r>
      <w:r>
        <w:rPr>
          <w:spacing w:val="6"/>
        </w:rPr>
        <w:t> </w:t>
      </w:r>
      <w:r>
        <w:rPr/>
        <w:t>way</w:t>
      </w:r>
      <w:r>
        <w:rPr>
          <w:spacing w:val="6"/>
        </w:rPr>
        <w:t> </w:t>
      </w:r>
      <w:r>
        <w:rPr/>
        <w:t>of</w:t>
      </w:r>
      <w:r>
        <w:rPr>
          <w:spacing w:val="6"/>
        </w:rPr>
        <w:t> </w:t>
      </w:r>
      <w:r>
        <w:rPr/>
        <w:t>judicial</w:t>
      </w:r>
      <w:r>
        <w:rPr>
          <w:spacing w:val="6"/>
        </w:rPr>
        <w:t> </w:t>
      </w:r>
      <w:r>
        <w:rPr>
          <w:spacing w:val="-2"/>
        </w:rPr>
        <w:t>review.”</w:t>
      </w:r>
    </w:p>
    <w:p>
      <w:pPr>
        <w:spacing w:line="112" w:lineRule="exact" w:before="0"/>
        <w:ind w:left="1245" w:right="0" w:firstLine="0"/>
        <w:jc w:val="left"/>
        <w:rPr>
          <w:sz w:val="12"/>
        </w:rPr>
      </w:pPr>
      <w:r>
        <w:rPr>
          <w:color w:val="005DA1"/>
          <w:spacing w:val="-4"/>
          <w:sz w:val="12"/>
          <w:u w:val="single" w:color="005DA1"/>
        </w:rPr>
        <w:t>1602</w:t>
      </w:r>
    </w:p>
    <w:p>
      <w:pPr>
        <w:pStyle w:val="BodyText"/>
        <w:rPr>
          <w:sz w:val="12"/>
        </w:rPr>
      </w:pPr>
    </w:p>
    <w:p>
      <w:pPr>
        <w:pStyle w:val="BodyText"/>
        <w:rPr>
          <w:sz w:val="12"/>
        </w:rPr>
      </w:pPr>
    </w:p>
    <w:p>
      <w:pPr>
        <w:pStyle w:val="BodyText"/>
        <w:spacing w:before="40"/>
        <w:rPr>
          <w:sz w:val="12"/>
        </w:rPr>
      </w:pPr>
    </w:p>
    <w:p>
      <w:pPr>
        <w:pStyle w:val="BodyText"/>
        <w:ind w:left="165"/>
        <w:jc w:val="both"/>
      </w:pPr>
      <w:r>
        <w:rPr/>
        <w:t>The Court of Appeal </w:t>
      </w:r>
      <w:r>
        <w:rPr>
          <w:spacing w:val="-2"/>
        </w:rPr>
        <w:t>wished:</w:t>
      </w:r>
    </w:p>
    <w:p>
      <w:pPr>
        <w:pStyle w:val="BodyText"/>
      </w:pPr>
    </w:p>
    <w:p>
      <w:pPr>
        <w:pStyle w:val="BodyText"/>
        <w:spacing w:before="126"/>
      </w:pPr>
    </w:p>
    <w:p>
      <w:pPr>
        <w:pStyle w:val="BodyText"/>
        <w:spacing w:line="235" w:lineRule="auto"/>
        <w:ind w:left="1245" w:right="167"/>
        <w:jc w:val="both"/>
      </w:pPr>
      <w:r>
        <w:rPr/>
        <w:t>“…</w:t>
      </w:r>
      <w:r>
        <w:rPr>
          <w:spacing w:val="-1"/>
        </w:rPr>
        <w:t> </w:t>
      </w:r>
      <w:r>
        <w:rPr/>
        <w:t>to</w:t>
      </w:r>
      <w:r>
        <w:rPr>
          <w:spacing w:val="-1"/>
        </w:rPr>
        <w:t> </w:t>
      </w:r>
      <w:r>
        <w:rPr/>
        <w:t>make</w:t>
      </w:r>
      <w:r>
        <w:rPr>
          <w:spacing w:val="-1"/>
        </w:rPr>
        <w:t> </w:t>
      </w:r>
      <w:r>
        <w:rPr/>
        <w:t>clear</w:t>
      </w:r>
      <w:r>
        <w:rPr>
          <w:spacing w:val="-1"/>
        </w:rPr>
        <w:t> </w:t>
      </w:r>
      <w:r>
        <w:rPr/>
        <w:t>that</w:t>
      </w:r>
      <w:r>
        <w:rPr>
          <w:spacing w:val="-1"/>
        </w:rPr>
        <w:t> </w:t>
      </w:r>
      <w:r>
        <w:rPr/>
        <w:t>the</w:t>
      </w:r>
      <w:r>
        <w:rPr>
          <w:spacing w:val="-1"/>
        </w:rPr>
        <w:t> </w:t>
      </w:r>
      <w:r>
        <w:rPr/>
        <w:t>CPR</w:t>
      </w:r>
      <w:r>
        <w:rPr>
          <w:spacing w:val="-1"/>
        </w:rPr>
        <w:t> </w:t>
      </w:r>
      <w:r>
        <w:rPr/>
        <w:t>provide</w:t>
      </w:r>
      <w:r>
        <w:rPr>
          <w:spacing w:val="-1"/>
        </w:rPr>
        <w:t> </w:t>
      </w:r>
      <w:r>
        <w:rPr/>
        <w:t>a</w:t>
      </w:r>
      <w:r>
        <w:rPr>
          <w:spacing w:val="-1"/>
        </w:rPr>
        <w:t> </w:t>
      </w:r>
      <w:r>
        <w:rPr/>
        <w:t>framework</w:t>
      </w:r>
      <w:r>
        <w:rPr>
          <w:spacing w:val="-1"/>
        </w:rPr>
        <w:t> </w:t>
      </w:r>
      <w:r>
        <w:rPr/>
        <w:t>which</w:t>
      </w:r>
      <w:r>
        <w:rPr>
          <w:spacing w:val="-1"/>
        </w:rPr>
        <w:t> </w:t>
      </w:r>
      <w:r>
        <w:rPr/>
        <w:t>is</w:t>
      </w:r>
      <w:r>
        <w:rPr>
          <w:spacing w:val="-1"/>
        </w:rPr>
        <w:t> </w:t>
      </w:r>
      <w:r>
        <w:rPr/>
        <w:t>sufficiently</w:t>
      </w:r>
      <w:r>
        <w:rPr>
          <w:spacing w:val="-1"/>
        </w:rPr>
        <w:t> </w:t>
      </w:r>
      <w:r>
        <w:rPr/>
        <w:t>flexible</w:t>
      </w:r>
      <w:r>
        <w:rPr>
          <w:spacing w:val="-1"/>
        </w:rPr>
        <w:t> </w:t>
      </w:r>
      <w:r>
        <w:rPr/>
        <w:t>to</w:t>
      </w:r>
      <w:r>
        <w:rPr>
          <w:spacing w:val="-1"/>
        </w:rPr>
        <w:t> </w:t>
      </w:r>
      <w:r>
        <w:rPr/>
        <w:t>enable all the issues between the parties to be determined.” </w:t>
      </w:r>
      <w:r>
        <w:rPr>
          <w:color w:val="005DA1"/>
          <w:u w:val="single" w:color="005DA1"/>
          <w:vertAlign w:val="superscript"/>
        </w:rPr>
        <w:t>1603</w:t>
      </w:r>
    </w:p>
    <w:p>
      <w:pPr>
        <w:pStyle w:val="BodyText"/>
      </w:pPr>
    </w:p>
    <w:p>
      <w:pPr>
        <w:pStyle w:val="BodyText"/>
      </w:pPr>
    </w:p>
    <w:p>
      <w:pPr>
        <w:pStyle w:val="BodyText"/>
        <w:spacing w:before="154"/>
      </w:pPr>
    </w:p>
    <w:p>
      <w:pPr>
        <w:spacing w:before="0"/>
        <w:ind w:left="165" w:right="0" w:firstLine="0"/>
        <w:jc w:val="both"/>
        <w:rPr>
          <w:rFonts w:ascii="Arial"/>
          <w:b/>
          <w:sz w:val="18"/>
        </w:rPr>
      </w:pPr>
      <w:r>
        <w:rPr>
          <w:rFonts w:ascii="Arial"/>
          <w:b/>
          <w:sz w:val="18"/>
        </w:rPr>
        <w:t>Contracts made by public bodies: </w:t>
      </w:r>
      <w:r>
        <w:rPr>
          <w:rFonts w:ascii="Arial"/>
          <w:b/>
          <w:spacing w:val="-2"/>
          <w:sz w:val="18"/>
        </w:rPr>
        <w:t>capacity</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229</w:t>
      </w:r>
    </w:p>
    <w:p>
      <w:pPr>
        <w:pStyle w:val="BodyText"/>
        <w:spacing w:line="235" w:lineRule="auto" w:before="202"/>
        <w:ind w:left="165" w:right="167"/>
        <w:jc w:val="both"/>
      </w:pPr>
      <w:r>
        <w:rPr/>
        <w:t>The nature and limits of the capacity of the Crown and of public authorities is treated at length </w:t>
      </w:r>
      <w:r>
        <w:rPr/>
        <w:t>in Ch.11. </w:t>
      </w:r>
      <w:r>
        <w:rPr>
          <w:color w:val="005DA1"/>
          <w:u w:val="single" w:color="005DA1"/>
          <w:vertAlign w:val="superscript"/>
        </w:rPr>
        <w:t>1604</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hAnsi="Arial"/>
          <w:b/>
          <w:sz w:val="18"/>
        </w:rPr>
      </w:pPr>
      <w:r>
        <w:rPr>
          <w:rFonts w:ascii="Arial" w:hAnsi="Arial"/>
          <w:b/>
          <w:sz w:val="18"/>
        </w:rPr>
        <w:t>Contracts made by “public authorities” and the Human Rights Acts </w:t>
      </w:r>
      <w:r>
        <w:rPr>
          <w:rFonts w:ascii="Arial" w:hAnsi="Arial"/>
          <w:b/>
          <w:spacing w:val="-4"/>
          <w:sz w:val="18"/>
        </w:rPr>
        <w:t>1998</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230</w:t>
      </w:r>
    </w:p>
    <w:p>
      <w:pPr>
        <w:pStyle w:val="BodyText"/>
        <w:spacing w:line="235" w:lineRule="auto" w:before="203"/>
        <w:ind w:left="165" w:right="167"/>
        <w:jc w:val="both"/>
      </w:pPr>
      <w:r>
        <w:rPr/>
        <w:t>The Human Rights Act 1998 has had important effects on the law of contract itself as well as on </w:t>
      </w:r>
      <w:r>
        <w:rPr/>
        <w:t>the law governing contracts made by “public authorities”. These effects have been discussed together earlier. </w:t>
      </w:r>
      <w:r>
        <w:rPr>
          <w:color w:val="005DA1"/>
          <w:u w:val="single" w:color="005DA1"/>
          <w:vertAlign w:val="superscript"/>
        </w:rPr>
        <w:t>1605</w:t>
      </w:r>
    </w:p>
    <w:p>
      <w:pPr>
        <w:pStyle w:val="BodyText"/>
      </w:pPr>
    </w:p>
    <w:p>
      <w:pPr>
        <w:pStyle w:val="BodyText"/>
        <w:spacing w:before="37"/>
      </w:pPr>
    </w:p>
    <w:p>
      <w:pPr>
        <w:spacing w:before="0"/>
        <w:ind w:left="165" w:right="0" w:firstLine="0"/>
        <w:jc w:val="left"/>
        <w:rPr>
          <w:rFonts w:ascii="Arial"/>
          <w:b/>
          <w:sz w:val="18"/>
        </w:rPr>
      </w:pPr>
      <w:r>
        <w:rPr>
          <w:rFonts w:ascii="Arial"/>
          <w:b/>
          <w:sz w:val="18"/>
        </w:rPr>
        <w:t>Public contractors and the Human Rights Act </w:t>
      </w:r>
      <w:r>
        <w:rPr>
          <w:rFonts w:ascii="Arial"/>
          <w:b/>
          <w:spacing w:val="-4"/>
          <w:sz w:val="18"/>
        </w:rPr>
        <w:t>1998</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231</w:t>
      </w:r>
    </w:p>
    <w:p>
      <w:pPr>
        <w:pStyle w:val="BodyText"/>
        <w:spacing w:line="235" w:lineRule="auto" w:before="202"/>
        <w:ind w:left="165" w:right="167"/>
        <w:jc w:val="both"/>
      </w:pPr>
      <w:r>
        <w:rPr/>
        <w:t>The question has been discussed earlier whether a commercial company providing a service to </w:t>
      </w:r>
      <w:r>
        <w:rPr/>
        <w:t>a person under a contract was acting as someone “certain of whose functions are functions of a public nature” within the meaning of s.6 of the 1998 Act where it did so under a contract with a public authority made by it in furtherance of its statutory duties. </w:t>
      </w:r>
      <w:r>
        <w:rPr>
          <w:color w:val="005DA1"/>
          <w:u w:val="single" w:color="005DA1"/>
          <w:vertAlign w:val="superscript"/>
        </w:rPr>
        <w:t>1606</w:t>
      </w:r>
    </w:p>
    <w:p>
      <w:pPr>
        <w:pStyle w:val="BodyText"/>
      </w:pPr>
    </w:p>
    <w:p>
      <w:pPr>
        <w:pStyle w:val="BodyText"/>
        <w:spacing w:before="37"/>
      </w:pPr>
    </w:p>
    <w:p>
      <w:pPr>
        <w:spacing w:before="0"/>
        <w:ind w:left="165" w:right="0" w:firstLine="0"/>
        <w:jc w:val="left"/>
        <w:rPr>
          <w:rFonts w:ascii="Arial"/>
          <w:b/>
          <w:sz w:val="18"/>
        </w:rPr>
      </w:pPr>
      <w:r>
        <w:rPr>
          <w:rFonts w:ascii="Arial"/>
          <w:b/>
          <w:sz w:val="18"/>
        </w:rPr>
        <w:t>The law of public </w:t>
      </w:r>
      <w:r>
        <w:rPr>
          <w:rFonts w:ascii="Arial"/>
          <w:b/>
          <w:spacing w:val="-2"/>
          <w:sz w:val="18"/>
        </w:rPr>
        <w:t>procurement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232</w:t>
      </w:r>
    </w:p>
    <w:p>
      <w:pPr>
        <w:pStyle w:val="BodyText"/>
        <w:spacing w:line="235" w:lineRule="auto" w:before="202"/>
        <w:ind w:left="165" w:right="167"/>
        <w:jc w:val="both"/>
      </w:pPr>
      <w:r>
        <w:rPr/>
        <w:t>Important</w:t>
      </w:r>
      <w:r>
        <w:rPr>
          <w:spacing w:val="40"/>
        </w:rPr>
        <w:t> </w:t>
      </w:r>
      <w:r>
        <w:rPr/>
        <w:t>consequences</w:t>
      </w:r>
      <w:r>
        <w:rPr>
          <w:spacing w:val="40"/>
        </w:rPr>
        <w:t> </w:t>
      </w:r>
      <w:r>
        <w:rPr/>
        <w:t>attach</w:t>
      </w:r>
      <w:r>
        <w:rPr>
          <w:spacing w:val="40"/>
        </w:rPr>
        <w:t> </w:t>
      </w:r>
      <w:r>
        <w:rPr/>
        <w:t>to</w:t>
      </w:r>
      <w:r>
        <w:rPr>
          <w:spacing w:val="40"/>
        </w:rPr>
        <w:t> </w:t>
      </w:r>
      <w:r>
        <w:rPr/>
        <w:t>the</w:t>
      </w:r>
      <w:r>
        <w:rPr>
          <w:spacing w:val="40"/>
        </w:rPr>
        <w:t> </w:t>
      </w:r>
      <w:r>
        <w:rPr/>
        <w:t>categorisation</w:t>
      </w:r>
      <w:r>
        <w:rPr>
          <w:spacing w:val="40"/>
        </w:rPr>
        <w:t> </w:t>
      </w:r>
      <w:r>
        <w:rPr/>
        <w:t>of</w:t>
      </w:r>
      <w:r>
        <w:rPr>
          <w:spacing w:val="40"/>
        </w:rPr>
        <w:t> </w:t>
      </w:r>
      <w:r>
        <w:rPr/>
        <w:t>a</w:t>
      </w:r>
      <w:r>
        <w:rPr>
          <w:spacing w:val="40"/>
        </w:rPr>
        <w:t> </w:t>
      </w:r>
      <w:r>
        <w:rPr/>
        <w:t>contracting-party</w:t>
      </w:r>
      <w:r>
        <w:rPr>
          <w:spacing w:val="40"/>
        </w:rPr>
        <w:t> </w:t>
      </w:r>
      <w:r>
        <w:rPr/>
        <w:t>or</w:t>
      </w:r>
      <w:r>
        <w:rPr>
          <w:spacing w:val="40"/>
        </w:rPr>
        <w:t> </w:t>
      </w:r>
      <w:r>
        <w:rPr/>
        <w:t>would-</w:t>
      </w:r>
      <w:r>
        <w:rPr/>
        <w:t>be contracting-party</w:t>
      </w:r>
      <w:r>
        <w:rPr>
          <w:spacing w:val="5"/>
        </w:rPr>
        <w:t> </w:t>
      </w:r>
      <w:r>
        <w:rPr/>
        <w:t>as</w:t>
      </w:r>
      <w:r>
        <w:rPr>
          <w:spacing w:val="7"/>
        </w:rPr>
        <w:t> </w:t>
      </w:r>
      <w:r>
        <w:rPr/>
        <w:t>a</w:t>
      </w:r>
      <w:r>
        <w:rPr>
          <w:spacing w:val="7"/>
        </w:rPr>
        <w:t> </w:t>
      </w:r>
      <w:r>
        <w:rPr/>
        <w:t>“contracting</w:t>
      </w:r>
      <w:r>
        <w:rPr>
          <w:spacing w:val="7"/>
        </w:rPr>
        <w:t> </w:t>
      </w:r>
      <w:r>
        <w:rPr/>
        <w:t>authority”</w:t>
      </w:r>
      <w:r>
        <w:rPr>
          <w:spacing w:val="7"/>
        </w:rPr>
        <w:t> </w:t>
      </w:r>
      <w:r>
        <w:rPr/>
        <w:t>within</w:t>
      </w:r>
      <w:r>
        <w:rPr>
          <w:spacing w:val="7"/>
        </w:rPr>
        <w:t> </w:t>
      </w:r>
      <w:r>
        <w:rPr/>
        <w:t>the</w:t>
      </w:r>
      <w:r>
        <w:rPr>
          <w:spacing w:val="7"/>
        </w:rPr>
        <w:t> </w:t>
      </w:r>
      <w:r>
        <w:rPr/>
        <w:t>meaning</w:t>
      </w:r>
      <w:r>
        <w:rPr>
          <w:spacing w:val="7"/>
        </w:rPr>
        <w:t> </w:t>
      </w:r>
      <w:r>
        <w:rPr/>
        <w:t>of</w:t>
      </w:r>
      <w:r>
        <w:rPr>
          <w:spacing w:val="7"/>
        </w:rPr>
        <w:t> </w:t>
      </w:r>
      <w:r>
        <w:rPr/>
        <w:t>the</w:t>
      </w:r>
      <w:r>
        <w:rPr>
          <w:spacing w:val="7"/>
        </w:rPr>
        <w:t> </w:t>
      </w:r>
      <w:r>
        <w:rPr/>
        <w:t>EU</w:t>
      </w:r>
      <w:r>
        <w:rPr>
          <w:spacing w:val="7"/>
        </w:rPr>
        <w:t> </w:t>
      </w:r>
      <w:r>
        <w:rPr/>
        <w:t>law</w:t>
      </w:r>
      <w:r>
        <w:rPr>
          <w:spacing w:val="7"/>
        </w:rPr>
        <w:t> </w:t>
      </w:r>
      <w:r>
        <w:rPr/>
        <w:t>of</w:t>
      </w:r>
      <w:r>
        <w:rPr>
          <w:spacing w:val="7"/>
        </w:rPr>
        <w:t> </w:t>
      </w:r>
      <w:r>
        <w:rPr/>
        <w:t>public</w:t>
      </w:r>
      <w:r>
        <w:rPr>
          <w:spacing w:val="7"/>
        </w:rPr>
        <w:t> </w:t>
      </w:r>
      <w:r>
        <w:rPr>
          <w:spacing w:val="-2"/>
        </w:rPr>
        <w:t>procurement.</w:t>
      </w:r>
    </w:p>
    <w:p>
      <w:pPr>
        <w:spacing w:line="113" w:lineRule="exact" w:before="0"/>
        <w:ind w:left="165" w:right="0" w:firstLine="0"/>
        <w:jc w:val="left"/>
        <w:rPr>
          <w:sz w:val="12"/>
        </w:rPr>
      </w:pPr>
      <w:r>
        <w:rPr>
          <w:color w:val="005DA1"/>
          <w:spacing w:val="-4"/>
          <w:sz w:val="12"/>
          <w:u w:val="single" w:color="005DA1"/>
        </w:rPr>
        <w:t>1607</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1"/>
        <w:ind w:left="165" w:right="0" w:firstLine="0"/>
        <w:jc w:val="left"/>
        <w:rPr>
          <w:rFonts w:ascii="Arial"/>
          <w:b/>
          <w:sz w:val="18"/>
        </w:rPr>
      </w:pPr>
      <w:r>
        <w:rPr>
          <w:rFonts w:ascii="Arial"/>
          <w:b/>
          <w:sz w:val="18"/>
        </w:rPr>
        <w:t>Contracts made by public bodies: other differences in </w:t>
      </w:r>
      <w:r>
        <w:rPr>
          <w:rFonts w:ascii="Arial"/>
          <w:b/>
          <w:spacing w:val="-4"/>
          <w:sz w:val="18"/>
        </w:rPr>
        <w:t>rule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w:t>
      </w:r>
      <w:r>
        <w:rPr>
          <w:rFonts w:ascii="Arial"/>
          <w:b/>
          <w:spacing w:val="-5"/>
          <w:sz w:val="24"/>
        </w:rPr>
        <w:t>233</w:t>
      </w:r>
    </w:p>
    <w:p>
      <w:pPr>
        <w:pStyle w:val="BodyText"/>
        <w:spacing w:line="235" w:lineRule="auto" w:before="202"/>
        <w:ind w:left="165" w:right="167"/>
        <w:jc w:val="both"/>
      </w:pPr>
      <w:r>
        <w:rPr/>
        <w:t>There</w:t>
      </w:r>
      <w:r>
        <w:rPr>
          <w:spacing w:val="40"/>
        </w:rPr>
        <w:t> </w:t>
      </w:r>
      <w:r>
        <w:rPr/>
        <w:t>are</w:t>
      </w:r>
      <w:r>
        <w:rPr>
          <w:spacing w:val="40"/>
        </w:rPr>
        <w:t> </w:t>
      </w:r>
      <w:r>
        <w:rPr/>
        <w:t>also</w:t>
      </w:r>
      <w:r>
        <w:rPr>
          <w:spacing w:val="40"/>
        </w:rPr>
        <w:t> </w:t>
      </w:r>
      <w:r>
        <w:rPr/>
        <w:t>circumstances</w:t>
      </w:r>
      <w:r>
        <w:rPr>
          <w:spacing w:val="40"/>
        </w:rPr>
        <w:t> </w:t>
      </w:r>
      <w:r>
        <w:rPr/>
        <w:t>in</w:t>
      </w:r>
      <w:r>
        <w:rPr>
          <w:spacing w:val="40"/>
        </w:rPr>
        <w:t> </w:t>
      </w:r>
      <w:r>
        <w:rPr/>
        <w:t>which</w:t>
      </w:r>
      <w:r>
        <w:rPr>
          <w:spacing w:val="40"/>
        </w:rPr>
        <w:t> </w:t>
      </w:r>
      <w:r>
        <w:rPr/>
        <w:t>the</w:t>
      </w:r>
      <w:r>
        <w:rPr>
          <w:spacing w:val="40"/>
        </w:rPr>
        <w:t> </w:t>
      </w:r>
      <w:r>
        <w:rPr/>
        <w:t>public</w:t>
      </w:r>
      <w:r>
        <w:rPr>
          <w:spacing w:val="40"/>
        </w:rPr>
        <w:t> </w:t>
      </w:r>
      <w:r>
        <w:rPr/>
        <w:t>nature</w:t>
      </w:r>
      <w:r>
        <w:rPr>
          <w:spacing w:val="40"/>
        </w:rPr>
        <w:t> </w:t>
      </w:r>
      <w:r>
        <w:rPr/>
        <w:t>of</w:t>
      </w:r>
      <w:r>
        <w:rPr>
          <w:spacing w:val="40"/>
        </w:rPr>
        <w:t> </w:t>
      </w:r>
      <w:r>
        <w:rPr/>
        <w:t>a</w:t>
      </w:r>
      <w:r>
        <w:rPr>
          <w:spacing w:val="40"/>
        </w:rPr>
        <w:t> </w:t>
      </w:r>
      <w:r>
        <w:rPr/>
        <w:t>party’s</w:t>
      </w:r>
      <w:r>
        <w:rPr>
          <w:spacing w:val="40"/>
        </w:rPr>
        <w:t> </w:t>
      </w:r>
      <w:r>
        <w:rPr/>
        <w:t>contractual</w:t>
      </w:r>
      <w:r>
        <w:rPr>
          <w:spacing w:val="40"/>
        </w:rPr>
        <w:t> </w:t>
      </w:r>
      <w:r>
        <w:rPr/>
        <w:t>capacity</w:t>
      </w:r>
      <w:r>
        <w:rPr>
          <w:spacing w:val="40"/>
        </w:rPr>
        <w:t> </w:t>
      </w:r>
      <w:r>
        <w:rPr/>
        <w:t>(or contract-making power) affects the substantive rules applicable. </w:t>
      </w:r>
      <w:r>
        <w:rPr>
          <w:color w:val="005DA1"/>
          <w:u w:val="single" w:color="005DA1"/>
          <w:vertAlign w:val="superscript"/>
        </w:rPr>
        <w:t>1608</w:t>
      </w:r>
      <w:r>
        <w:rPr>
          <w:color w:val="005DA1"/>
          <w:vertAlign w:val="baseline"/>
        </w:rPr>
        <w:t> </w:t>
      </w:r>
      <w:r>
        <w:rPr>
          <w:vertAlign w:val="baseline"/>
        </w:rPr>
        <w:t>For example, the general rule, based on the principle of freedom of contract, is that a person can choose with whom to contract and with whom not to contract. </w:t>
      </w:r>
      <w:r>
        <w:rPr>
          <w:color w:val="005DA1"/>
          <w:u w:val="single" w:color="005DA1"/>
          <w:vertAlign w:val="superscript"/>
        </w:rPr>
        <w:t>1609</w:t>
      </w:r>
      <w:r>
        <w:rPr>
          <w:color w:val="005DA1"/>
          <w:vertAlign w:val="baseline"/>
        </w:rPr>
        <w:t> </w:t>
      </w:r>
      <w:r>
        <w:rPr>
          <w:vertAlign w:val="baseline"/>
        </w:rPr>
        <w:t>However, a local authority’s decision not to contract with a company which had indirect trading links with South Africa was successfully challenged by way of judicial review: although the policy was not itself unreasonable, it had been adopted partly in order to</w:t>
      </w:r>
      <w:r>
        <w:rPr>
          <w:spacing w:val="80"/>
          <w:vertAlign w:val="baseline"/>
        </w:rPr>
        <w:t> </w:t>
      </w:r>
      <w:r>
        <w:rPr>
          <w:vertAlign w:val="baseline"/>
        </w:rPr>
        <w:t>penalise the company in question and not solely in order to further racial harmony within the borough. </w:t>
      </w:r>
      <w:r>
        <w:rPr>
          <w:color w:val="005DA1"/>
          <w:u w:val="single" w:color="005DA1"/>
          <w:vertAlign w:val="superscript"/>
        </w:rPr>
        <w:t>1610</w:t>
      </w:r>
      <w:r>
        <w:rPr>
          <w:color w:val="005DA1"/>
          <w:spacing w:val="-3"/>
          <w:vertAlign w:val="baseline"/>
        </w:rPr>
        <w:t> </w:t>
      </w:r>
      <w:r>
        <w:rPr>
          <w:vertAlign w:val="baseline"/>
        </w:rPr>
        <w:t>Another</w:t>
      </w:r>
      <w:r>
        <w:rPr>
          <w:spacing w:val="-2"/>
          <w:vertAlign w:val="baseline"/>
        </w:rPr>
        <w:t> </w:t>
      </w:r>
      <w:r>
        <w:rPr>
          <w:vertAlign w:val="baseline"/>
        </w:rPr>
        <w:t>example</w:t>
      </w:r>
      <w:r>
        <w:rPr>
          <w:spacing w:val="-2"/>
          <w:vertAlign w:val="baseline"/>
        </w:rPr>
        <w:t> </w:t>
      </w:r>
      <w:r>
        <w:rPr>
          <w:vertAlign w:val="baseline"/>
        </w:rPr>
        <w:t>of</w:t>
      </w:r>
      <w:r>
        <w:rPr>
          <w:spacing w:val="-2"/>
          <w:vertAlign w:val="baseline"/>
        </w:rPr>
        <w:t> </w:t>
      </w:r>
      <w:r>
        <w:rPr>
          <w:vertAlign w:val="baseline"/>
        </w:rPr>
        <w:t>difference</w:t>
      </w:r>
      <w:r>
        <w:rPr>
          <w:spacing w:val="-2"/>
          <w:vertAlign w:val="baseline"/>
        </w:rPr>
        <w:t> </w:t>
      </w:r>
      <w:r>
        <w:rPr>
          <w:vertAlign w:val="baseline"/>
        </w:rPr>
        <w:t>in</w:t>
      </w:r>
      <w:r>
        <w:rPr>
          <w:spacing w:val="-2"/>
          <w:vertAlign w:val="baseline"/>
        </w:rPr>
        <w:t> </w:t>
      </w:r>
      <w:r>
        <w:rPr>
          <w:vertAlign w:val="baseline"/>
        </w:rPr>
        <w:t>substantive</w:t>
      </w:r>
      <w:r>
        <w:rPr>
          <w:spacing w:val="-2"/>
          <w:vertAlign w:val="baseline"/>
        </w:rPr>
        <w:t> </w:t>
      </w:r>
      <w:r>
        <w:rPr>
          <w:vertAlign w:val="baseline"/>
        </w:rPr>
        <w:t>rule</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found</w:t>
      </w:r>
      <w:r>
        <w:rPr>
          <w:spacing w:val="-2"/>
          <w:vertAlign w:val="baseline"/>
        </w:rPr>
        <w:t> </w:t>
      </w:r>
      <w:r>
        <w:rPr>
          <w:vertAlign w:val="baseline"/>
        </w:rPr>
        <w:t>in</w:t>
      </w:r>
      <w:r>
        <w:rPr>
          <w:spacing w:val="-3"/>
          <w:vertAlign w:val="baseline"/>
        </w:rPr>
        <w:t> </w:t>
      </w:r>
      <w:r>
        <w:rPr>
          <w:rFonts w:ascii="Arial" w:hAnsi="Arial"/>
          <w:i/>
          <w:vertAlign w:val="baseline"/>
        </w:rPr>
        <w:t>Swain</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The</w:t>
      </w:r>
      <w:r>
        <w:rPr>
          <w:rFonts w:ascii="Arial" w:hAnsi="Arial"/>
          <w:i/>
          <w:spacing w:val="-2"/>
          <w:vertAlign w:val="baseline"/>
        </w:rPr>
        <w:t> </w:t>
      </w:r>
      <w:r>
        <w:rPr>
          <w:rFonts w:ascii="Arial" w:hAnsi="Arial"/>
          <w:i/>
          <w:vertAlign w:val="baseline"/>
        </w:rPr>
        <w:t>Law</w:t>
      </w:r>
      <w:r>
        <w:rPr>
          <w:rFonts w:ascii="Arial" w:hAnsi="Arial"/>
          <w:i/>
          <w:spacing w:val="-2"/>
          <w:vertAlign w:val="baseline"/>
        </w:rPr>
        <w:t> </w:t>
      </w:r>
      <w:r>
        <w:rPr>
          <w:rFonts w:ascii="Arial" w:hAnsi="Arial"/>
          <w:i/>
          <w:vertAlign w:val="baseline"/>
        </w:rPr>
        <w:t>Society</w:t>
      </w:r>
      <w:r>
        <w:rPr>
          <w:rFonts w:ascii="Arial" w:hAnsi="Arial"/>
          <w:i/>
          <w:spacing w:val="-3"/>
          <w:vertAlign w:val="baseline"/>
        </w:rPr>
        <w:t> </w:t>
      </w:r>
      <w:r>
        <w:rPr>
          <w:color w:val="005DA1"/>
          <w:u w:val="single" w:color="005DA1"/>
          <w:vertAlign w:val="superscript"/>
        </w:rPr>
        <w:t>1611</w:t>
      </w:r>
      <w:r>
        <w:rPr>
          <w:color w:val="005DA1"/>
          <w:spacing w:val="-3"/>
          <w:vertAlign w:val="baseline"/>
        </w:rPr>
        <w:t> </w:t>
      </w:r>
      <w:r>
        <w:rPr>
          <w:vertAlign w:val="baseline"/>
        </w:rPr>
        <w:t>in which</w:t>
      </w:r>
      <w:r>
        <w:rPr>
          <w:spacing w:val="-2"/>
          <w:vertAlign w:val="baseline"/>
        </w:rPr>
        <w:t> </w:t>
      </w:r>
      <w:r>
        <w:rPr>
          <w:vertAlign w:val="baseline"/>
        </w:rPr>
        <w:t>the</w:t>
      </w:r>
      <w:r>
        <w:rPr>
          <w:spacing w:val="-2"/>
          <w:vertAlign w:val="baseline"/>
        </w:rPr>
        <w:t> </w:t>
      </w:r>
      <w:r>
        <w:rPr>
          <w:vertAlign w:val="baseline"/>
        </w:rPr>
        <w:t>rules</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accountability</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agent</w:t>
      </w:r>
      <w:r>
        <w:rPr>
          <w:spacing w:val="-2"/>
          <w:vertAlign w:val="baseline"/>
        </w:rPr>
        <w:t> </w:t>
      </w:r>
      <w:r>
        <w:rPr>
          <w:vertAlign w:val="baseline"/>
        </w:rPr>
        <w:t>were</w:t>
      </w:r>
      <w:r>
        <w:rPr>
          <w:spacing w:val="-2"/>
          <w:vertAlign w:val="baseline"/>
        </w:rPr>
        <w:t> </w:t>
      </w:r>
      <w:r>
        <w:rPr>
          <w:vertAlign w:val="baseline"/>
        </w:rPr>
        <w:t>held</w:t>
      </w:r>
      <w:r>
        <w:rPr>
          <w:spacing w:val="-2"/>
          <w:vertAlign w:val="baseline"/>
        </w:rPr>
        <w:t> </w:t>
      </w:r>
      <w:r>
        <w:rPr>
          <w:vertAlign w:val="baseline"/>
        </w:rPr>
        <w:t>inapplicable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Society’s</w:t>
      </w:r>
      <w:r>
        <w:rPr>
          <w:spacing w:val="-2"/>
          <w:vertAlign w:val="baseline"/>
        </w:rPr>
        <w:t> </w:t>
      </w:r>
      <w:r>
        <w:rPr>
          <w:vertAlign w:val="baseline"/>
        </w:rPr>
        <w:t>arrangement</w:t>
      </w:r>
      <w:r>
        <w:rPr>
          <w:spacing w:val="-2"/>
          <w:vertAlign w:val="baseline"/>
        </w:rPr>
        <w:t> </w:t>
      </w:r>
      <w:r>
        <w:rPr>
          <w:vertAlign w:val="baseline"/>
        </w:rPr>
        <w:t>of liability insurance on behalf of its members. The insurance scheme was made under statutory powers and</w:t>
      </w:r>
      <w:r>
        <w:rPr>
          <w:spacing w:val="-1"/>
          <w:vertAlign w:val="baseline"/>
        </w:rPr>
        <w:t> </w:t>
      </w:r>
      <w:r>
        <w:rPr>
          <w:vertAlign w:val="baseline"/>
        </w:rPr>
        <w:t>the</w:t>
      </w:r>
      <w:r>
        <w:rPr>
          <w:spacing w:val="-1"/>
          <w:vertAlign w:val="baseline"/>
        </w:rPr>
        <w:t> </w:t>
      </w:r>
      <w:r>
        <w:rPr>
          <w:vertAlign w:val="baseline"/>
        </w:rPr>
        <w:t>Society</w:t>
      </w:r>
      <w:r>
        <w:rPr>
          <w:spacing w:val="-1"/>
          <w:vertAlign w:val="baseline"/>
        </w:rPr>
        <w:t> </w:t>
      </w:r>
      <w:r>
        <w:rPr>
          <w:vertAlign w:val="baseline"/>
        </w:rPr>
        <w:t>and</w:t>
      </w:r>
      <w:r>
        <w:rPr>
          <w:spacing w:val="-1"/>
          <w:vertAlign w:val="baseline"/>
        </w:rPr>
        <w:t> </w:t>
      </w:r>
      <w:r>
        <w:rPr>
          <w:vertAlign w:val="baseline"/>
        </w:rPr>
        <w:t>its</w:t>
      </w:r>
      <w:r>
        <w:rPr>
          <w:spacing w:val="-1"/>
          <w:vertAlign w:val="baseline"/>
        </w:rPr>
        <w:t> </w:t>
      </w:r>
      <w:r>
        <w:rPr>
          <w:vertAlign w:val="baseline"/>
        </w:rPr>
        <w:t>Council</w:t>
      </w:r>
      <w:r>
        <w:rPr>
          <w:spacing w:val="-1"/>
          <w:vertAlign w:val="baseline"/>
        </w:rPr>
        <w:t> </w:t>
      </w:r>
      <w:r>
        <w:rPr>
          <w:vertAlign w:val="baseline"/>
        </w:rPr>
        <w:t>acted</w:t>
      </w:r>
      <w:r>
        <w:rPr>
          <w:spacing w:val="-1"/>
          <w:vertAlign w:val="baseline"/>
        </w:rPr>
        <w:t> </w:t>
      </w:r>
      <w:r>
        <w:rPr>
          <w:vertAlign w:val="baseline"/>
        </w:rPr>
        <w:t>thereby</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public</w:t>
      </w:r>
      <w:r>
        <w:rPr>
          <w:spacing w:val="-1"/>
          <w:vertAlign w:val="baseline"/>
        </w:rPr>
        <w:t> </w:t>
      </w:r>
      <w:r>
        <w:rPr>
          <w:vertAlign w:val="baseline"/>
        </w:rPr>
        <w:t>capacity</w:t>
      </w:r>
      <w:r>
        <w:rPr>
          <w:spacing w:val="-1"/>
          <w:vertAlign w:val="baseline"/>
        </w:rPr>
        <w:t> </w:t>
      </w:r>
      <w:r>
        <w:rPr>
          <w:vertAlign w:val="baseline"/>
        </w:rPr>
        <w:t>and</w:t>
      </w:r>
      <w:r>
        <w:rPr>
          <w:spacing w:val="-1"/>
          <w:vertAlign w:val="baseline"/>
        </w:rPr>
        <w:t> </w:t>
      </w:r>
      <w:r>
        <w:rPr>
          <w:vertAlign w:val="baseline"/>
        </w:rPr>
        <w:t>what</w:t>
      </w:r>
      <w:r>
        <w:rPr>
          <w:spacing w:val="-1"/>
          <w:vertAlign w:val="baseline"/>
        </w:rPr>
        <w:t> </w:t>
      </w:r>
      <w:r>
        <w:rPr>
          <w:vertAlign w:val="baseline"/>
        </w:rPr>
        <w:t>they</w:t>
      </w:r>
      <w:r>
        <w:rPr>
          <w:spacing w:val="-1"/>
          <w:vertAlign w:val="baseline"/>
        </w:rPr>
        <w:t> </w:t>
      </w:r>
      <w:r>
        <w:rPr>
          <w:vertAlign w:val="baseline"/>
        </w:rPr>
        <w:t>do</w:t>
      </w:r>
      <w:r>
        <w:rPr>
          <w:spacing w:val="-1"/>
          <w:vertAlign w:val="baseline"/>
        </w:rPr>
        <w:t> </w:t>
      </w:r>
      <w:r>
        <w:rPr>
          <w:vertAlign w:val="baseline"/>
        </w:rPr>
        <w:t>in</w:t>
      </w:r>
      <w:r>
        <w:rPr>
          <w:spacing w:val="-1"/>
          <w:vertAlign w:val="baseline"/>
        </w:rPr>
        <w:t> </w:t>
      </w:r>
      <w:r>
        <w:rPr>
          <w:vertAlign w:val="baseline"/>
        </w:rPr>
        <w:t>that</w:t>
      </w:r>
      <w:r>
        <w:rPr>
          <w:spacing w:val="-1"/>
          <w:vertAlign w:val="baseline"/>
        </w:rPr>
        <w:t> </w:t>
      </w:r>
      <w:r>
        <w:rPr>
          <w:vertAlign w:val="baseline"/>
        </w:rPr>
        <w:t>capacity</w:t>
      </w:r>
      <w:r>
        <w:rPr>
          <w:spacing w:val="-1"/>
          <w:vertAlign w:val="baseline"/>
        </w:rPr>
        <w:t> </w:t>
      </w:r>
      <w:r>
        <w:rPr>
          <w:vertAlign w:val="baseline"/>
        </w:rPr>
        <w:t>is governed by public law”. </w:t>
      </w:r>
      <w:r>
        <w:rPr>
          <w:color w:val="005DA1"/>
          <w:u w:val="single" w:color="005DA1"/>
          <w:vertAlign w:val="superscript"/>
        </w:rPr>
        <w:t>1612</w:t>
      </w:r>
    </w:p>
    <w:p>
      <w:pPr>
        <w:pStyle w:val="BodyText"/>
      </w:pPr>
    </w:p>
    <w:p>
      <w:pPr>
        <w:pStyle w:val="BodyText"/>
        <w:spacing w:before="36"/>
      </w:pPr>
      <w:r>
        <w:rPr/>
        <mc:AlternateContent>
          <mc:Choice Requires="wps">
            <w:drawing>
              <wp:anchor distT="0" distB="0" distL="0" distR="0" allowOverlap="1" layoutInCell="1" locked="0" behindDoc="1" simplePos="0" relativeHeight="487701504">
                <wp:simplePos x="0" y="0"/>
                <wp:positionH relativeFrom="page">
                  <wp:posOffset>914400</wp:posOffset>
                </wp:positionH>
                <wp:positionV relativeFrom="paragraph">
                  <wp:posOffset>184159</wp:posOffset>
                </wp:positionV>
                <wp:extent cx="5724525" cy="1270"/>
                <wp:effectExtent l="0" t="0" r="0" b="0"/>
                <wp:wrapTopAndBottom/>
                <wp:docPr id="569" name="Graphic 569"/>
                <wp:cNvGraphicFramePr>
                  <a:graphicFrameLocks/>
                </wp:cNvGraphicFramePr>
                <a:graphic>
                  <a:graphicData uri="http://schemas.microsoft.com/office/word/2010/wordprocessingShape">
                    <wps:wsp>
                      <wps:cNvPr id="569" name="Graphic 56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00745pt;width:450.75pt;height:.1pt;mso-position-horizontal-relative:page;mso-position-vertical-relative:paragraph;z-index:-15614976;mso-wrap-distance-left:0;mso-wrap-distance-right:0" id="docshape89" coordorigin="1440,290" coordsize="9015,0" path="m1440,290l10454,290e" filled="false" stroked="true" strokeweight="1pt" strokecolor="#000000">
                <v:path arrowok="t"/>
                <v:stroke dashstyle="solid"/>
                <w10:wrap type="topAndBottom"/>
              </v:shape>
            </w:pict>
          </mc:Fallback>
        </mc:AlternateContent>
      </w:r>
    </w:p>
    <w:p>
      <w:pPr>
        <w:pStyle w:val="BodyText"/>
        <w:rPr>
          <w:sz w:val="14"/>
        </w:rPr>
      </w:pPr>
    </w:p>
    <w:p>
      <w:pPr>
        <w:pStyle w:val="BodyText"/>
        <w:spacing w:before="12"/>
        <w:rPr>
          <w:sz w:val="14"/>
        </w:rPr>
      </w:pPr>
    </w:p>
    <w:p>
      <w:pPr>
        <w:spacing w:line="137" w:lineRule="exact" w:before="0"/>
        <w:ind w:left="165" w:right="0" w:firstLine="0"/>
        <w:jc w:val="left"/>
        <w:rPr>
          <w:sz w:val="14"/>
        </w:rPr>
      </w:pPr>
      <w:bookmarkStart w:name="_bookmark2387" w:id="2389"/>
      <w:bookmarkEnd w:id="2389"/>
      <w:r>
        <w:rPr/>
      </w:r>
      <w:hyperlink w:history="true" w:anchor="_bookmark2325">
        <w:r>
          <w:rPr>
            <w:color w:val="005DA1"/>
            <w:spacing w:val="-2"/>
            <w:sz w:val="14"/>
            <w:u w:val="single" w:color="005DA1"/>
          </w:rPr>
          <w:t>1540</w:t>
        </w:r>
      </w:hyperlink>
      <w:r>
        <w:rPr>
          <w:spacing w:val="-2"/>
          <w:sz w:val="14"/>
        </w:rPr>
        <w:t>.</w:t>
      </w:r>
    </w:p>
    <w:p>
      <w:pPr>
        <w:pStyle w:val="BodyText"/>
        <w:spacing w:line="203" w:lineRule="exact"/>
        <w:ind w:left="875"/>
        <w:jc w:val="both"/>
      </w:pPr>
      <w:r>
        <w:rPr/>
        <w:drawing>
          <wp:anchor distT="0" distB="0" distL="0" distR="0" allowOverlap="1" layoutInCell="1" locked="0" behindDoc="0" simplePos="0" relativeHeight="15842816">
            <wp:simplePos x="0" y="0"/>
            <wp:positionH relativeFrom="page">
              <wp:posOffset>1257846</wp:posOffset>
            </wp:positionH>
            <wp:positionV relativeFrom="paragraph">
              <wp:posOffset>13039</wp:posOffset>
            </wp:positionV>
            <wp:extent cx="107988" cy="107988"/>
            <wp:effectExtent l="0" t="0" r="0" b="0"/>
            <wp:wrapNone/>
            <wp:docPr id="570" name="Image 570"/>
            <wp:cNvGraphicFramePr>
              <a:graphicFrameLocks/>
            </wp:cNvGraphicFramePr>
            <a:graphic>
              <a:graphicData uri="http://schemas.openxmlformats.org/drawingml/2006/picture">
                <pic:pic>
                  <pic:nvPicPr>
                    <pic:cNvPr id="570" name="Image 570"/>
                    <pic:cNvPicPr/>
                  </pic:nvPicPr>
                  <pic:blipFill>
                    <a:blip r:embed="rId6" cstate="print"/>
                    <a:stretch>
                      <a:fillRect/>
                    </a:stretch>
                  </pic:blipFill>
                  <pic:spPr>
                    <a:xfrm>
                      <a:off x="0" y="0"/>
                      <a:ext cx="107988" cy="107988"/>
                    </a:xfrm>
                    <a:prstGeom prst="rect">
                      <a:avLst/>
                    </a:prstGeom>
                  </pic:spPr>
                </pic:pic>
              </a:graphicData>
            </a:graphic>
          </wp:anchor>
        </w:drawing>
      </w:r>
      <w:r>
        <w:rPr/>
        <w:t>This</w:t>
      </w:r>
      <w:r>
        <w:rPr>
          <w:spacing w:val="7"/>
        </w:rPr>
        <w:t> </w:t>
      </w:r>
      <w:r>
        <w:rPr/>
        <w:t>is</w:t>
      </w:r>
      <w:r>
        <w:rPr>
          <w:spacing w:val="7"/>
        </w:rPr>
        <w:t> </w:t>
      </w:r>
      <w:r>
        <w:rPr/>
        <w:t>the</w:t>
      </w:r>
      <w:r>
        <w:rPr>
          <w:spacing w:val="7"/>
        </w:rPr>
        <w:t> </w:t>
      </w:r>
      <w:r>
        <w:rPr/>
        <w:t>generally</w:t>
      </w:r>
      <w:r>
        <w:rPr>
          <w:spacing w:val="7"/>
        </w:rPr>
        <w:t> </w:t>
      </w:r>
      <w:r>
        <w:rPr/>
        <w:t>accepted</w:t>
      </w:r>
      <w:r>
        <w:rPr>
          <w:spacing w:val="7"/>
        </w:rPr>
        <w:t> </w:t>
      </w:r>
      <w:r>
        <w:rPr/>
        <w:t>view,</w:t>
      </w:r>
      <w:r>
        <w:rPr>
          <w:spacing w:val="7"/>
        </w:rPr>
        <w:t> </w:t>
      </w:r>
      <w:r>
        <w:rPr/>
        <w:t>despite</w:t>
      </w:r>
      <w:r>
        <w:rPr>
          <w:spacing w:val="7"/>
        </w:rPr>
        <w:t> </w:t>
      </w:r>
      <w:r>
        <w:rPr/>
        <w:t>Maitland’s</w:t>
      </w:r>
      <w:r>
        <w:rPr>
          <w:spacing w:val="7"/>
        </w:rPr>
        <w:t> </w:t>
      </w:r>
      <w:r>
        <w:rPr/>
        <w:t>opinion</w:t>
      </w:r>
      <w:r>
        <w:rPr>
          <w:spacing w:val="7"/>
        </w:rPr>
        <w:t> </w:t>
      </w:r>
      <w:r>
        <w:rPr/>
        <w:t>to</w:t>
      </w:r>
      <w:r>
        <w:rPr>
          <w:spacing w:val="7"/>
        </w:rPr>
        <w:t> </w:t>
      </w:r>
      <w:r>
        <w:rPr/>
        <w:t>the</w:t>
      </w:r>
      <w:r>
        <w:rPr>
          <w:spacing w:val="7"/>
        </w:rPr>
        <w:t> </w:t>
      </w:r>
      <w:r>
        <w:rPr/>
        <w:t>contrary:</w:t>
      </w:r>
      <w:r>
        <w:rPr>
          <w:spacing w:val="7"/>
        </w:rPr>
        <w:t> </w:t>
      </w:r>
      <w:r>
        <w:rPr/>
        <w:t>Equity</w:t>
      </w:r>
      <w:r>
        <w:rPr>
          <w:spacing w:val="7"/>
        </w:rPr>
        <w:t> </w:t>
      </w:r>
      <w:r>
        <w:rPr>
          <w:spacing w:val="-2"/>
        </w:rPr>
        <w:t>(1909),</w:t>
      </w:r>
    </w:p>
    <w:p>
      <w:pPr>
        <w:spacing w:line="235" w:lineRule="auto" w:before="2"/>
        <w:ind w:left="705" w:right="168" w:firstLine="0"/>
        <w:jc w:val="both"/>
        <w:rPr>
          <w:sz w:val="20"/>
        </w:rPr>
      </w:pPr>
      <w:r>
        <w:rPr>
          <w:sz w:val="20"/>
        </w:rPr>
        <w:t>Lect. IX. See Scott (1917) 17 Col. L.R. 269; Winfield, </w:t>
      </w:r>
      <w:r>
        <w:rPr>
          <w:rFonts w:ascii="Arial"/>
          <w:i/>
          <w:sz w:val="20"/>
        </w:rPr>
        <w:t>Province of the Law of Tort </w:t>
      </w:r>
      <w:r>
        <w:rPr>
          <w:sz w:val="20"/>
        </w:rPr>
        <w:t>(1931), pp.108-112. See also </w:t>
      </w:r>
      <w:r>
        <w:rPr>
          <w:rFonts w:ascii="Arial"/>
          <w:i/>
          <w:sz w:val="20"/>
        </w:rPr>
        <w:t>Binions v Evans [1972] Ch. 359</w:t>
      </w:r>
      <w:r>
        <w:rPr>
          <w:sz w:val="20"/>
        </w:rPr>
        <w:t>; </w:t>
      </w:r>
      <w:r>
        <w:rPr>
          <w:rFonts w:ascii="Arial"/>
          <w:i/>
          <w:sz w:val="20"/>
        </w:rPr>
        <w:t>Re Sharpe [1980] 1 W.L.R. 219</w:t>
      </w:r>
      <w:r>
        <w:rPr>
          <w:sz w:val="20"/>
        </w:rPr>
        <w:t>; </w:t>
      </w:r>
      <w:r>
        <w:rPr>
          <w:rFonts w:ascii="Arial"/>
          <w:i/>
          <w:sz w:val="20"/>
        </w:rPr>
        <w:t>Tinsley v Milligan [1993] 3 W.L.R. 126, 147-148 </w:t>
      </w:r>
      <w:r>
        <w:rPr>
          <w:sz w:val="20"/>
        </w:rPr>
        <w:t>(though </w:t>
      </w:r>
      <w:r>
        <w:rPr>
          <w:rFonts w:ascii="Arial"/>
          <w:i/>
          <w:sz w:val="20"/>
        </w:rPr>
        <w:t>Tinsley v Milligan </w:t>
      </w:r>
      <w:r>
        <w:rPr>
          <w:sz w:val="20"/>
        </w:rPr>
        <w:t>was disapproved on other grounds by </w:t>
      </w:r>
      <w:r>
        <w:rPr>
          <w:rFonts w:ascii="Arial"/>
          <w:i/>
          <w:sz w:val="20"/>
        </w:rPr>
        <w:t>Patel v Mirza [2016] UKSC 42, [2016] 3 W.L.R. 399</w:t>
      </w:r>
      <w:r>
        <w:rPr>
          <w:sz w:val="20"/>
        </w:rPr>
        <w:t>, see below, para.16-198). See also the cases cited in para.14-033 n.204, below.</w:t>
      </w:r>
    </w:p>
    <w:p>
      <w:pPr>
        <w:pStyle w:val="BodyText"/>
        <w:spacing w:before="8"/>
      </w:pPr>
    </w:p>
    <w:p>
      <w:pPr>
        <w:spacing w:line="235" w:lineRule="auto" w:before="0"/>
        <w:ind w:left="705" w:right="167" w:hanging="541"/>
        <w:jc w:val="both"/>
        <w:rPr>
          <w:sz w:val="20"/>
        </w:rPr>
      </w:pPr>
      <w:bookmarkStart w:name="_bookmark2388" w:id="2390"/>
      <w:bookmarkEnd w:id="2390"/>
      <w:r>
        <w:rPr/>
      </w:r>
      <w:hyperlink w:history="true" w:anchor="_bookmark2326">
        <w:r>
          <w:rPr>
            <w:color w:val="005DA1"/>
            <w:position w:val="5"/>
            <w:sz w:val="14"/>
            <w:u w:val="single" w:color="005DA1"/>
          </w:rPr>
          <w:t>1541</w:t>
        </w:r>
      </w:hyperlink>
      <w:r>
        <w:rPr>
          <w:position w:val="5"/>
          <w:sz w:val="14"/>
        </w:rPr>
        <w:t>.</w:t>
      </w:r>
      <w:r>
        <w:rPr>
          <w:spacing w:val="80"/>
          <w:position w:val="5"/>
          <w:sz w:val="14"/>
        </w:rPr>
        <w:t> </w:t>
      </w:r>
      <w:r>
        <w:rPr>
          <w:rFonts w:ascii="Arial"/>
          <w:i/>
          <w:sz w:val="20"/>
        </w:rPr>
        <w:t>Tweddle v Atkinson (1861) 1 B. &amp; S. 393</w:t>
      </w:r>
      <w:r>
        <w:rPr>
          <w:sz w:val="20"/>
        </w:rPr>
        <w:t>; </w:t>
      </w:r>
      <w:r>
        <w:rPr>
          <w:rFonts w:ascii="Arial"/>
          <w:i/>
          <w:sz w:val="20"/>
        </w:rPr>
        <w:t>Dunlop Pneumatic Tyre Co Ltd v Selfridge &amp; Co Ltd [1915] A.C. 847 </w:t>
      </w:r>
      <w:r>
        <w:rPr>
          <w:sz w:val="20"/>
        </w:rPr>
        <w:t>(although B can obtain an order for specific performance in favour of C: </w:t>
      </w:r>
      <w:r>
        <w:rPr>
          <w:rFonts w:ascii="Arial"/>
          <w:i/>
          <w:sz w:val="20"/>
        </w:rPr>
        <w:t>Beswick v Beswick [1968] A.C. 58)</w:t>
      </w:r>
      <w:r>
        <w:rPr>
          <w:sz w:val="20"/>
        </w:rPr>
        <w:t>; and see below, Ch.19.</w:t>
      </w:r>
    </w:p>
    <w:p>
      <w:pPr>
        <w:spacing w:after="0" w:line="235" w:lineRule="auto"/>
        <w:jc w:val="both"/>
        <w:rPr>
          <w:sz w:val="20"/>
        </w:rPr>
        <w:sectPr>
          <w:pgSz w:w="11900" w:h="16840"/>
          <w:pgMar w:header="971" w:footer="0" w:top="1300" w:bottom="280" w:left="1275" w:right="1275"/>
        </w:sectPr>
      </w:pPr>
    </w:p>
    <w:p>
      <w:pPr>
        <w:pStyle w:val="BodyText"/>
        <w:spacing w:before="166"/>
        <w:ind w:left="165"/>
      </w:pPr>
      <w:hyperlink w:history="true" w:anchor="_bookmark2327">
        <w:r>
          <w:rPr>
            <w:color w:val="005DA1"/>
            <w:position w:val="5"/>
            <w:sz w:val="14"/>
            <w:u w:val="single" w:color="005DA1"/>
          </w:rPr>
          <w:t>1542</w:t>
        </w:r>
      </w:hyperlink>
      <w:r>
        <w:rPr>
          <w:position w:val="5"/>
          <w:sz w:val="14"/>
        </w:rPr>
        <w:t>.</w:t>
      </w:r>
      <w:r>
        <w:rPr>
          <w:spacing w:val="55"/>
          <w:position w:val="5"/>
          <w:sz w:val="14"/>
        </w:rPr>
        <w:t>  </w:t>
      </w:r>
      <w:r>
        <w:rPr/>
        <w:t>See</w:t>
      </w:r>
      <w:r>
        <w:rPr>
          <w:spacing w:val="1"/>
        </w:rPr>
        <w:t> </w:t>
      </w:r>
      <w:r>
        <w:rPr/>
        <w:t>below, paras 18-080 et </w:t>
      </w:r>
      <w:r>
        <w:rPr>
          <w:spacing w:val="-4"/>
        </w:rPr>
        <w:t>seq.</w:t>
      </w:r>
    </w:p>
    <w:p>
      <w:pPr>
        <w:pStyle w:val="BodyText"/>
        <w:spacing w:before="9"/>
      </w:pPr>
    </w:p>
    <w:p>
      <w:pPr>
        <w:pStyle w:val="BodyText"/>
        <w:spacing w:line="235" w:lineRule="auto"/>
        <w:ind w:left="705" w:right="167" w:hanging="541"/>
        <w:jc w:val="both"/>
      </w:pPr>
      <w:bookmarkStart w:name="_bookmark2389" w:id="2391"/>
      <w:bookmarkEnd w:id="2391"/>
      <w:r>
        <w:rPr/>
      </w:r>
      <w:hyperlink w:history="true" w:anchor="_bookmark2328">
        <w:r>
          <w:rPr>
            <w:color w:val="005DA1"/>
            <w:position w:val="5"/>
            <w:sz w:val="14"/>
            <w:u w:val="single" w:color="005DA1"/>
          </w:rPr>
          <w:t>1543</w:t>
        </w:r>
      </w:hyperlink>
      <w:r>
        <w:rPr>
          <w:position w:val="5"/>
          <w:sz w:val="14"/>
        </w:rPr>
        <w:t>.</w:t>
      </w:r>
      <w:r>
        <w:rPr>
          <w:spacing w:val="80"/>
          <w:position w:val="5"/>
          <w:sz w:val="14"/>
        </w:rPr>
        <w:t> </w:t>
      </w:r>
      <w:r>
        <w:rPr/>
        <w:t>For example, the power of the parties to a contract to vary or rescind the contract so as to extinguish or alter the third party’s rights are subject to the conditions provided the Contracts (Rights of Third Parties) Act 1999 by s.2; the variation of a trust is governed by different rules: Martin, </w:t>
      </w:r>
      <w:r>
        <w:rPr>
          <w:rFonts w:ascii="Arial" w:hAnsi="Arial"/>
          <w:i/>
        </w:rPr>
        <w:t>Hanbury and Martin’s, Modern Equity</w:t>
      </w:r>
      <w:r>
        <w:rPr/>
        <w:t>, 19th edn (2012), Ch.22.</w:t>
      </w:r>
    </w:p>
    <w:p>
      <w:pPr>
        <w:pStyle w:val="BodyText"/>
        <w:spacing w:before="9"/>
      </w:pPr>
    </w:p>
    <w:p>
      <w:pPr>
        <w:spacing w:line="235" w:lineRule="auto" w:before="0"/>
        <w:ind w:left="705" w:right="168" w:hanging="541"/>
        <w:jc w:val="both"/>
        <w:rPr>
          <w:sz w:val="20"/>
        </w:rPr>
      </w:pPr>
      <w:bookmarkStart w:name="_bookmark2390" w:id="2392"/>
      <w:bookmarkEnd w:id="2392"/>
      <w:r>
        <w:rPr/>
      </w:r>
      <w:hyperlink w:history="true" w:anchor="_bookmark2329">
        <w:r>
          <w:rPr>
            <w:color w:val="005DA1"/>
            <w:position w:val="5"/>
            <w:sz w:val="14"/>
            <w:u w:val="single" w:color="005DA1"/>
          </w:rPr>
          <w:t>1544</w:t>
        </w:r>
      </w:hyperlink>
      <w:r>
        <w:rPr>
          <w:position w:val="5"/>
          <w:sz w:val="14"/>
        </w:rPr>
        <w:t>.</w:t>
      </w:r>
      <w:r>
        <w:rPr>
          <w:spacing w:val="80"/>
          <w:position w:val="5"/>
          <w:sz w:val="14"/>
        </w:rPr>
        <w:t> </w:t>
      </w:r>
      <w:r>
        <w:rPr>
          <w:rFonts w:ascii="Arial" w:hAnsi="Arial"/>
          <w:i/>
          <w:sz w:val="20"/>
        </w:rPr>
        <w:t>(1858) 4 De G. &amp; J. 276, 282</w:t>
      </w:r>
      <w:r>
        <w:rPr>
          <w:sz w:val="20"/>
        </w:rPr>
        <w:t>; and see </w:t>
      </w:r>
      <w:r>
        <w:rPr>
          <w:rFonts w:ascii="Arial" w:hAnsi="Arial"/>
          <w:i/>
          <w:sz w:val="20"/>
        </w:rPr>
        <w:t>Lord Strathcona S.S. Co Ltd v Dominion Coal Co Ltd [1926] A.C. 108</w:t>
      </w:r>
      <w:r>
        <w:rPr>
          <w:sz w:val="20"/>
        </w:rPr>
        <w:t>; </w:t>
      </w:r>
      <w:r>
        <w:rPr>
          <w:rFonts w:ascii="Arial" w:hAnsi="Arial"/>
          <w:i/>
          <w:sz w:val="20"/>
        </w:rPr>
        <w:t>Port Line Ltd v Ben Line Steamers Ltd [1958] 2 Q.B. 146</w:t>
      </w:r>
      <w:r>
        <w:rPr>
          <w:sz w:val="20"/>
        </w:rPr>
        <w:t>; </w:t>
      </w:r>
      <w:r>
        <w:rPr>
          <w:rFonts w:ascii="Arial" w:hAnsi="Arial"/>
          <w:i/>
          <w:sz w:val="20"/>
        </w:rPr>
        <w:t>Swiss Bank Corp </w:t>
      </w:r>
      <w:r>
        <w:rPr>
          <w:rFonts w:ascii="Arial" w:hAnsi="Arial"/>
          <w:i/>
          <w:sz w:val="20"/>
        </w:rPr>
        <w:t>v Lloyds Bank Ltd [1979] Ch. 548; [1982] A.C. 584</w:t>
      </w:r>
      <w:r>
        <w:rPr>
          <w:sz w:val="20"/>
        </w:rPr>
        <w:t>. See also below, paras 18-042—18-043.</w:t>
      </w:r>
    </w:p>
    <w:p>
      <w:pPr>
        <w:pStyle w:val="BodyText"/>
        <w:spacing w:before="8"/>
      </w:pPr>
    </w:p>
    <w:p>
      <w:pPr>
        <w:spacing w:line="235" w:lineRule="auto" w:before="1"/>
        <w:ind w:left="705" w:right="168" w:hanging="541"/>
        <w:jc w:val="both"/>
        <w:rPr>
          <w:sz w:val="20"/>
        </w:rPr>
      </w:pPr>
      <w:bookmarkStart w:name="_bookmark2391" w:id="2393"/>
      <w:bookmarkEnd w:id="2393"/>
      <w:r>
        <w:rPr/>
      </w:r>
      <w:hyperlink w:history="true" w:anchor="_bookmark2330">
        <w:r>
          <w:rPr>
            <w:color w:val="005DA1"/>
            <w:position w:val="5"/>
            <w:sz w:val="14"/>
            <w:u w:val="single" w:color="005DA1"/>
          </w:rPr>
          <w:t>1545</w:t>
        </w:r>
      </w:hyperlink>
      <w:r>
        <w:rPr>
          <w:position w:val="5"/>
          <w:sz w:val="14"/>
        </w:rPr>
        <w:t>.</w:t>
      </w:r>
      <w:r>
        <w:rPr>
          <w:spacing w:val="80"/>
          <w:position w:val="5"/>
          <w:sz w:val="14"/>
        </w:rPr>
        <w:t> </w:t>
      </w:r>
      <w:r>
        <w:rPr>
          <w:sz w:val="20"/>
        </w:rPr>
        <w:t>Gardner (1982) 98 L.Q.R. 279; Tettenborn (1982) 41 C.L.J. 58, 82. cf. </w:t>
      </w:r>
      <w:r>
        <w:rPr>
          <w:rFonts w:ascii="Arial" w:hAnsi="Arial"/>
          <w:i/>
          <w:sz w:val="20"/>
        </w:rPr>
        <w:t>Swiss Bank Corp v</w:t>
      </w:r>
      <w:r>
        <w:rPr>
          <w:rFonts w:ascii="Arial" w:hAnsi="Arial"/>
          <w:i/>
          <w:spacing w:val="80"/>
          <w:sz w:val="20"/>
        </w:rPr>
        <w:t> </w:t>
      </w:r>
      <w:r>
        <w:rPr>
          <w:rFonts w:ascii="Arial" w:hAnsi="Arial"/>
          <w:i/>
          <w:sz w:val="20"/>
        </w:rPr>
        <w:t>Lloyds Bank Ltd [1979] Ch. 548, 573 </w:t>
      </w:r>
      <w:r>
        <w:rPr>
          <w:sz w:val="20"/>
        </w:rPr>
        <w:t>where the court considered that the law in </w:t>
      </w:r>
      <w:r>
        <w:rPr>
          <w:rFonts w:ascii="Arial" w:hAnsi="Arial"/>
          <w:i/>
          <w:sz w:val="20"/>
        </w:rPr>
        <w:t>De Mattos </w:t>
      </w:r>
      <w:r>
        <w:rPr>
          <w:rFonts w:ascii="Arial" w:hAnsi="Arial"/>
          <w:i/>
          <w:sz w:val="20"/>
        </w:rPr>
        <w:t>v Gibson (1858) 4 De G. &amp; J. </w:t>
      </w:r>
      <w:r>
        <w:rPr>
          <w:sz w:val="20"/>
        </w:rPr>
        <w:t>is to be understood merely as the “equitable counterpart of the tort of interference with contract”.</w:t>
      </w:r>
    </w:p>
    <w:p>
      <w:pPr>
        <w:pStyle w:val="BodyText"/>
        <w:spacing w:before="4"/>
      </w:pPr>
    </w:p>
    <w:p>
      <w:pPr>
        <w:spacing w:before="0"/>
        <w:ind w:left="165" w:right="0" w:firstLine="0"/>
        <w:jc w:val="left"/>
        <w:rPr>
          <w:sz w:val="20"/>
        </w:rPr>
      </w:pPr>
      <w:bookmarkStart w:name="_bookmark2392" w:id="2394"/>
      <w:bookmarkEnd w:id="2394"/>
      <w:r>
        <w:rPr/>
      </w:r>
      <w:hyperlink w:history="true" w:anchor="_bookmark2331">
        <w:r>
          <w:rPr>
            <w:color w:val="005DA1"/>
            <w:position w:val="5"/>
            <w:sz w:val="14"/>
            <w:u w:val="single" w:color="005DA1"/>
          </w:rPr>
          <w:t>1546</w:t>
        </w:r>
      </w:hyperlink>
      <w:r>
        <w:rPr>
          <w:position w:val="5"/>
          <w:sz w:val="14"/>
        </w:rPr>
        <w:t>.</w:t>
      </w:r>
      <w:r>
        <w:rPr>
          <w:spacing w:val="55"/>
          <w:position w:val="5"/>
          <w:sz w:val="14"/>
        </w:rPr>
        <w:t>  </w:t>
      </w:r>
      <w:r>
        <w:rPr>
          <w:rFonts w:ascii="Arial"/>
          <w:i/>
          <w:sz w:val="20"/>
        </w:rPr>
        <w:t>Swiss</w:t>
      </w:r>
      <w:r>
        <w:rPr>
          <w:rFonts w:ascii="Arial"/>
          <w:i/>
          <w:spacing w:val="1"/>
          <w:sz w:val="20"/>
        </w:rPr>
        <w:t> </w:t>
      </w:r>
      <w:r>
        <w:rPr>
          <w:rFonts w:ascii="Arial"/>
          <w:i/>
          <w:sz w:val="20"/>
        </w:rPr>
        <w:t>Bank Corp v Lloyds Bank Ltd [1979] Ch. </w:t>
      </w:r>
      <w:r>
        <w:rPr>
          <w:rFonts w:ascii="Arial"/>
          <w:i/>
          <w:spacing w:val="-4"/>
          <w:sz w:val="20"/>
        </w:rPr>
        <w:t>548</w:t>
      </w:r>
      <w:r>
        <w:rPr>
          <w:spacing w:val="-4"/>
          <w:sz w:val="20"/>
        </w:rPr>
        <w:t>.</w:t>
      </w:r>
    </w:p>
    <w:p>
      <w:pPr>
        <w:pStyle w:val="BodyText"/>
        <w:spacing w:before="9"/>
      </w:pPr>
    </w:p>
    <w:p>
      <w:pPr>
        <w:spacing w:line="235" w:lineRule="auto" w:before="0"/>
        <w:ind w:left="705" w:right="167" w:hanging="541"/>
        <w:jc w:val="both"/>
        <w:rPr>
          <w:sz w:val="20"/>
        </w:rPr>
      </w:pPr>
      <w:bookmarkStart w:name="_bookmark2393" w:id="2395"/>
      <w:bookmarkEnd w:id="2395"/>
      <w:r>
        <w:rPr/>
      </w:r>
      <w:hyperlink w:history="true" w:anchor="_bookmark2332">
        <w:r>
          <w:rPr>
            <w:color w:val="005DA1"/>
            <w:position w:val="5"/>
            <w:sz w:val="14"/>
            <w:u w:val="single" w:color="005DA1"/>
          </w:rPr>
          <w:t>1547</w:t>
        </w:r>
      </w:hyperlink>
      <w:r>
        <w:rPr>
          <w:position w:val="5"/>
          <w:sz w:val="14"/>
        </w:rPr>
        <w:t>.</w:t>
      </w:r>
      <w:r>
        <w:rPr>
          <w:spacing w:val="40"/>
          <w:position w:val="5"/>
          <w:sz w:val="14"/>
        </w:rPr>
        <w:t>  </w:t>
      </w:r>
      <w:r>
        <w:rPr>
          <w:sz w:val="20"/>
        </w:rPr>
        <w:t>For example, where a solicitor is employed by a mortgagee lending a sum to a mortgagor </w:t>
      </w:r>
      <w:r>
        <w:rPr>
          <w:sz w:val="20"/>
        </w:rPr>
        <w:t>for</w:t>
      </w:r>
      <w:r>
        <w:rPr>
          <w:spacing w:val="40"/>
          <w:sz w:val="20"/>
        </w:rPr>
        <w:t> </w:t>
      </w:r>
      <w:r>
        <w:rPr>
          <w:sz w:val="20"/>
        </w:rPr>
        <w:t>the purchase of property and pays the mortgage money which he has received before his authority to do so, he is liable for breach of trust in respect of that money unless he can justify this action: </w:t>
      </w:r>
      <w:r>
        <w:rPr>
          <w:rFonts w:ascii="Arial"/>
          <w:i/>
          <w:sz w:val="20"/>
        </w:rPr>
        <w:t>Target Holdings Ltd v Redferns [1996] 1 A.C. 421</w:t>
      </w:r>
      <w:r>
        <w:rPr>
          <w:sz w:val="20"/>
        </w:rPr>
        <w:t>; </w:t>
      </w:r>
      <w:r>
        <w:rPr>
          <w:rFonts w:ascii="Arial"/>
          <w:i/>
          <w:sz w:val="20"/>
        </w:rPr>
        <w:t>AIB Group (UK) Plc v Mark Redler &amp; Co Solicitors [2014] UKSC 58, [2014] 3 W.L.R. 1367 </w:t>
      </w:r>
      <w:r>
        <w:rPr>
          <w:sz w:val="20"/>
        </w:rPr>
        <w:t>and see generally McKendrick (ed.), </w:t>
      </w:r>
      <w:r>
        <w:rPr>
          <w:rFonts w:ascii="Arial"/>
          <w:i/>
          <w:sz w:val="20"/>
        </w:rPr>
        <w:t>Commercial Aspects of Trusts and Fiduciary Obligations </w:t>
      </w:r>
      <w:r>
        <w:rPr>
          <w:sz w:val="20"/>
        </w:rPr>
        <w:t>(1992); Burrows, </w:t>
      </w:r>
      <w:r>
        <w:rPr>
          <w:rFonts w:ascii="Arial"/>
          <w:i/>
          <w:sz w:val="20"/>
        </w:rPr>
        <w:t>Commercial Remedies </w:t>
      </w:r>
      <w:r>
        <w:rPr>
          <w:sz w:val="20"/>
        </w:rPr>
        <w:t>(2003) Ch.4.</w:t>
      </w:r>
    </w:p>
    <w:p>
      <w:pPr>
        <w:pStyle w:val="BodyText"/>
        <w:spacing w:before="4"/>
      </w:pPr>
    </w:p>
    <w:p>
      <w:pPr>
        <w:spacing w:before="0"/>
        <w:ind w:left="165" w:right="0" w:firstLine="0"/>
        <w:jc w:val="left"/>
        <w:rPr>
          <w:sz w:val="20"/>
        </w:rPr>
      </w:pPr>
      <w:bookmarkStart w:name="_bookmark2394" w:id="2396"/>
      <w:bookmarkEnd w:id="2396"/>
      <w:r>
        <w:rPr/>
      </w:r>
      <w:hyperlink w:history="true" w:anchor="_bookmark2333">
        <w:r>
          <w:rPr>
            <w:color w:val="005DA1"/>
            <w:position w:val="5"/>
            <w:sz w:val="14"/>
            <w:u w:val="single" w:color="005DA1"/>
          </w:rPr>
          <w:t>1548</w:t>
        </w:r>
      </w:hyperlink>
      <w:r>
        <w:rPr>
          <w:position w:val="5"/>
          <w:sz w:val="14"/>
        </w:rPr>
        <w:t>.</w:t>
      </w:r>
      <w:r>
        <w:rPr>
          <w:spacing w:val="55"/>
          <w:position w:val="5"/>
          <w:sz w:val="14"/>
        </w:rPr>
        <w:t>  </w:t>
      </w:r>
      <w:r>
        <w:rPr>
          <w:rFonts w:ascii="Arial"/>
          <w:i/>
          <w:sz w:val="20"/>
        </w:rPr>
        <w:t>[1970]</w:t>
      </w:r>
      <w:r>
        <w:rPr>
          <w:rFonts w:ascii="Arial"/>
          <w:i/>
          <w:spacing w:val="1"/>
          <w:sz w:val="20"/>
        </w:rPr>
        <w:t> </w:t>
      </w:r>
      <w:r>
        <w:rPr>
          <w:rFonts w:ascii="Arial"/>
          <w:i/>
          <w:sz w:val="20"/>
        </w:rPr>
        <w:t>A.C. 567</w:t>
      </w:r>
      <w:r>
        <w:rPr>
          <w:sz w:val="20"/>
        </w:rPr>
        <w:t>. cf. </w:t>
      </w:r>
      <w:r>
        <w:rPr>
          <w:rFonts w:ascii="Arial"/>
          <w:i/>
          <w:sz w:val="20"/>
        </w:rPr>
        <w:t>Re E.</w:t>
      </w:r>
      <w:r>
        <w:rPr>
          <w:rFonts w:ascii="Arial"/>
          <w:i/>
          <w:spacing w:val="-1"/>
          <w:sz w:val="20"/>
        </w:rPr>
        <w:t> </w:t>
      </w:r>
      <w:r>
        <w:rPr>
          <w:rFonts w:ascii="Arial"/>
          <w:i/>
          <w:sz w:val="20"/>
        </w:rPr>
        <w:t>Dibbens &amp; Sons Ltd [1990] B.C.L.C. </w:t>
      </w:r>
      <w:r>
        <w:rPr>
          <w:rFonts w:ascii="Arial"/>
          <w:i/>
          <w:spacing w:val="-4"/>
          <w:sz w:val="20"/>
        </w:rPr>
        <w:t>577</w:t>
      </w:r>
      <w:r>
        <w:rPr>
          <w:spacing w:val="-4"/>
          <w:sz w:val="20"/>
        </w:rPr>
        <w:t>.</w:t>
      </w:r>
    </w:p>
    <w:p>
      <w:pPr>
        <w:pStyle w:val="BodyText"/>
        <w:spacing w:before="5"/>
      </w:pPr>
    </w:p>
    <w:p>
      <w:pPr>
        <w:spacing w:line="227" w:lineRule="exact" w:before="0"/>
        <w:ind w:left="165" w:right="0" w:firstLine="0"/>
        <w:jc w:val="left"/>
        <w:rPr>
          <w:sz w:val="20"/>
        </w:rPr>
      </w:pPr>
      <w:bookmarkStart w:name="_bookmark2395" w:id="2397"/>
      <w:bookmarkEnd w:id="2397"/>
      <w:r>
        <w:rPr/>
      </w:r>
      <w:hyperlink w:history="true" w:anchor="_bookmark2334">
        <w:r>
          <w:rPr>
            <w:color w:val="005DA1"/>
            <w:position w:val="5"/>
            <w:sz w:val="14"/>
            <w:u w:val="single" w:color="005DA1"/>
          </w:rPr>
          <w:t>1549</w:t>
        </w:r>
      </w:hyperlink>
      <w:r>
        <w:rPr>
          <w:position w:val="5"/>
          <w:sz w:val="14"/>
        </w:rPr>
        <w:t>.</w:t>
      </w:r>
      <w:r>
        <w:rPr>
          <w:spacing w:val="55"/>
          <w:position w:val="5"/>
          <w:sz w:val="14"/>
        </w:rPr>
        <w:t>  </w:t>
      </w:r>
      <w:r>
        <w:rPr>
          <w:rFonts w:ascii="Arial"/>
          <w:i/>
          <w:sz w:val="20"/>
        </w:rPr>
        <w:t>[1970]</w:t>
      </w:r>
      <w:r>
        <w:rPr>
          <w:rFonts w:ascii="Arial"/>
          <w:i/>
          <w:spacing w:val="2"/>
          <w:sz w:val="20"/>
        </w:rPr>
        <w:t> </w:t>
      </w:r>
      <w:r>
        <w:rPr>
          <w:rFonts w:ascii="Arial"/>
          <w:i/>
          <w:sz w:val="20"/>
        </w:rPr>
        <w:t>A.C.</w:t>
      </w:r>
      <w:r>
        <w:rPr>
          <w:rFonts w:ascii="Arial"/>
          <w:i/>
          <w:spacing w:val="1"/>
          <w:sz w:val="20"/>
        </w:rPr>
        <w:t> </w:t>
      </w:r>
      <w:r>
        <w:rPr>
          <w:rFonts w:ascii="Arial"/>
          <w:i/>
          <w:sz w:val="20"/>
        </w:rPr>
        <w:t>567,</w:t>
      </w:r>
      <w:r>
        <w:rPr>
          <w:rFonts w:ascii="Arial"/>
          <w:i/>
          <w:spacing w:val="1"/>
          <w:sz w:val="20"/>
        </w:rPr>
        <w:t> </w:t>
      </w:r>
      <w:r>
        <w:rPr>
          <w:rFonts w:ascii="Arial"/>
          <w:i/>
          <w:sz w:val="20"/>
        </w:rPr>
        <w:t>582</w:t>
      </w:r>
      <w:r>
        <w:rPr>
          <w:sz w:val="20"/>
        </w:rPr>
        <w:t>. See</w:t>
      </w:r>
      <w:r>
        <w:rPr>
          <w:spacing w:val="1"/>
          <w:sz w:val="20"/>
        </w:rPr>
        <w:t> </w:t>
      </w:r>
      <w:r>
        <w:rPr>
          <w:sz w:val="20"/>
        </w:rPr>
        <w:t>also</w:t>
      </w:r>
      <w:r>
        <w:rPr>
          <w:spacing w:val="1"/>
          <w:sz w:val="20"/>
        </w:rPr>
        <w:t> </w:t>
      </w:r>
      <w:r>
        <w:rPr>
          <w:rFonts w:ascii="Arial"/>
          <w:i/>
          <w:sz w:val="20"/>
        </w:rPr>
        <w:t>Re</w:t>
      </w:r>
      <w:r>
        <w:rPr>
          <w:rFonts w:ascii="Arial"/>
          <w:i/>
          <w:spacing w:val="1"/>
          <w:sz w:val="20"/>
        </w:rPr>
        <w:t> </w:t>
      </w:r>
      <w:r>
        <w:rPr>
          <w:rFonts w:ascii="Arial"/>
          <w:i/>
          <w:sz w:val="20"/>
        </w:rPr>
        <w:t>Kayford</w:t>
      </w:r>
      <w:r>
        <w:rPr>
          <w:rFonts w:ascii="Arial"/>
          <w:i/>
          <w:spacing w:val="1"/>
          <w:sz w:val="20"/>
        </w:rPr>
        <w:t> </w:t>
      </w:r>
      <w:r>
        <w:rPr>
          <w:rFonts w:ascii="Arial"/>
          <w:i/>
          <w:sz w:val="20"/>
        </w:rPr>
        <w:t>[1975]</w:t>
      </w:r>
      <w:r>
        <w:rPr>
          <w:rFonts w:ascii="Arial"/>
          <w:i/>
          <w:spacing w:val="1"/>
          <w:sz w:val="20"/>
        </w:rPr>
        <w:t> </w:t>
      </w:r>
      <w:r>
        <w:rPr>
          <w:rFonts w:ascii="Arial"/>
          <w:i/>
          <w:sz w:val="20"/>
        </w:rPr>
        <w:t>1</w:t>
      </w:r>
      <w:r>
        <w:rPr>
          <w:rFonts w:ascii="Arial"/>
          <w:i/>
          <w:spacing w:val="1"/>
          <w:sz w:val="20"/>
        </w:rPr>
        <w:t> </w:t>
      </w:r>
      <w:r>
        <w:rPr>
          <w:rFonts w:ascii="Arial"/>
          <w:i/>
          <w:sz w:val="20"/>
        </w:rPr>
        <w:t>W.L.R. 279</w:t>
      </w:r>
      <w:r>
        <w:rPr>
          <w:sz w:val="20"/>
        </w:rPr>
        <w:t>;</w:t>
      </w:r>
      <w:r>
        <w:rPr>
          <w:spacing w:val="1"/>
          <w:sz w:val="20"/>
        </w:rPr>
        <w:t> </w:t>
      </w:r>
      <w:r>
        <w:rPr>
          <w:sz w:val="20"/>
        </w:rPr>
        <w:t>Goodhart</w:t>
      </w:r>
      <w:r>
        <w:rPr>
          <w:spacing w:val="1"/>
          <w:sz w:val="20"/>
        </w:rPr>
        <w:t> </w:t>
      </w:r>
      <w:r>
        <w:rPr>
          <w:sz w:val="20"/>
        </w:rPr>
        <w:t>and</w:t>
      </w:r>
      <w:r>
        <w:rPr>
          <w:spacing w:val="1"/>
          <w:sz w:val="20"/>
        </w:rPr>
        <w:t> </w:t>
      </w:r>
      <w:r>
        <w:rPr>
          <w:sz w:val="20"/>
        </w:rPr>
        <w:t>Jones</w:t>
      </w:r>
      <w:r>
        <w:rPr>
          <w:spacing w:val="1"/>
          <w:sz w:val="20"/>
        </w:rPr>
        <w:t> </w:t>
      </w:r>
      <w:r>
        <w:rPr>
          <w:sz w:val="20"/>
        </w:rPr>
        <w:t>(1980)</w:t>
      </w:r>
      <w:r>
        <w:rPr>
          <w:spacing w:val="1"/>
          <w:sz w:val="20"/>
        </w:rPr>
        <w:t> </w:t>
      </w:r>
      <w:r>
        <w:rPr>
          <w:spacing w:val="-5"/>
          <w:sz w:val="20"/>
        </w:rPr>
        <w:t>43</w:t>
      </w:r>
    </w:p>
    <w:p>
      <w:pPr>
        <w:spacing w:line="225" w:lineRule="exact" w:before="0"/>
        <w:ind w:left="705" w:right="0" w:firstLine="0"/>
        <w:jc w:val="left"/>
        <w:rPr>
          <w:rFonts w:ascii="Arial"/>
          <w:i/>
          <w:sz w:val="20"/>
        </w:rPr>
      </w:pPr>
      <w:r>
        <w:rPr>
          <w:sz w:val="20"/>
        </w:rPr>
        <w:t>M.L.R.</w:t>
      </w:r>
      <w:r>
        <w:rPr>
          <w:spacing w:val="6"/>
          <w:sz w:val="20"/>
        </w:rPr>
        <w:t> </w:t>
      </w:r>
      <w:r>
        <w:rPr>
          <w:sz w:val="20"/>
        </w:rPr>
        <w:t>489;</w:t>
      </w:r>
      <w:r>
        <w:rPr>
          <w:spacing w:val="7"/>
          <w:sz w:val="20"/>
        </w:rPr>
        <w:t> </w:t>
      </w:r>
      <w:r>
        <w:rPr>
          <w:rFonts w:ascii="Arial"/>
          <w:i/>
          <w:sz w:val="20"/>
        </w:rPr>
        <w:t>Swiss</w:t>
      </w:r>
      <w:r>
        <w:rPr>
          <w:rFonts w:ascii="Arial"/>
          <w:i/>
          <w:spacing w:val="7"/>
          <w:sz w:val="20"/>
        </w:rPr>
        <w:t> </w:t>
      </w:r>
      <w:r>
        <w:rPr>
          <w:rFonts w:ascii="Arial"/>
          <w:i/>
          <w:sz w:val="20"/>
        </w:rPr>
        <w:t>Bank</w:t>
      </w:r>
      <w:r>
        <w:rPr>
          <w:rFonts w:ascii="Arial"/>
          <w:i/>
          <w:spacing w:val="7"/>
          <w:sz w:val="20"/>
        </w:rPr>
        <w:t> </w:t>
      </w:r>
      <w:r>
        <w:rPr>
          <w:rFonts w:ascii="Arial"/>
          <w:i/>
          <w:sz w:val="20"/>
        </w:rPr>
        <w:t>Corp</w:t>
      </w:r>
      <w:r>
        <w:rPr>
          <w:rFonts w:ascii="Arial"/>
          <w:i/>
          <w:spacing w:val="7"/>
          <w:sz w:val="20"/>
        </w:rPr>
        <w:t> </w:t>
      </w:r>
      <w:r>
        <w:rPr>
          <w:rFonts w:ascii="Arial"/>
          <w:i/>
          <w:sz w:val="20"/>
        </w:rPr>
        <w:t>v</w:t>
      </w:r>
      <w:r>
        <w:rPr>
          <w:rFonts w:ascii="Arial"/>
          <w:i/>
          <w:spacing w:val="7"/>
          <w:sz w:val="20"/>
        </w:rPr>
        <w:t> </w:t>
      </w:r>
      <w:r>
        <w:rPr>
          <w:rFonts w:ascii="Arial"/>
          <w:i/>
          <w:sz w:val="20"/>
        </w:rPr>
        <w:t>Lloyds</w:t>
      </w:r>
      <w:r>
        <w:rPr>
          <w:rFonts w:ascii="Arial"/>
          <w:i/>
          <w:spacing w:val="7"/>
          <w:sz w:val="20"/>
        </w:rPr>
        <w:t> </w:t>
      </w:r>
      <w:r>
        <w:rPr>
          <w:rFonts w:ascii="Arial"/>
          <w:i/>
          <w:sz w:val="20"/>
        </w:rPr>
        <w:t>Bank</w:t>
      </w:r>
      <w:r>
        <w:rPr>
          <w:rFonts w:ascii="Arial"/>
          <w:i/>
          <w:spacing w:val="7"/>
          <w:sz w:val="20"/>
        </w:rPr>
        <w:t> </w:t>
      </w:r>
      <w:r>
        <w:rPr>
          <w:rFonts w:ascii="Arial"/>
          <w:i/>
          <w:sz w:val="20"/>
        </w:rPr>
        <w:t>Ltd</w:t>
      </w:r>
      <w:r>
        <w:rPr>
          <w:rFonts w:ascii="Arial"/>
          <w:i/>
          <w:spacing w:val="7"/>
          <w:sz w:val="20"/>
        </w:rPr>
        <w:t> </w:t>
      </w:r>
      <w:r>
        <w:rPr>
          <w:rFonts w:ascii="Arial"/>
          <w:i/>
          <w:sz w:val="20"/>
        </w:rPr>
        <w:t>[1974]</w:t>
      </w:r>
      <w:r>
        <w:rPr>
          <w:rFonts w:ascii="Arial"/>
          <w:i/>
          <w:spacing w:val="7"/>
          <w:sz w:val="20"/>
        </w:rPr>
        <w:t> </w:t>
      </w:r>
      <w:r>
        <w:rPr>
          <w:rFonts w:ascii="Arial"/>
          <w:i/>
          <w:sz w:val="20"/>
        </w:rPr>
        <w:t>Ch.</w:t>
      </w:r>
      <w:r>
        <w:rPr>
          <w:rFonts w:ascii="Arial"/>
          <w:i/>
          <w:spacing w:val="7"/>
          <w:sz w:val="20"/>
        </w:rPr>
        <w:t> </w:t>
      </w:r>
      <w:r>
        <w:rPr>
          <w:rFonts w:ascii="Arial"/>
          <w:i/>
          <w:sz w:val="20"/>
        </w:rPr>
        <w:t>548</w:t>
      </w:r>
      <w:r>
        <w:rPr>
          <w:sz w:val="20"/>
        </w:rPr>
        <w:t>;</w:t>
      </w:r>
      <w:r>
        <w:rPr>
          <w:spacing w:val="7"/>
          <w:sz w:val="20"/>
        </w:rPr>
        <w:t> </w:t>
      </w:r>
      <w:r>
        <w:rPr>
          <w:rFonts w:ascii="Arial"/>
          <w:i/>
          <w:sz w:val="20"/>
        </w:rPr>
        <w:t>Twinsectra</w:t>
      </w:r>
      <w:r>
        <w:rPr>
          <w:rFonts w:ascii="Arial"/>
          <w:i/>
          <w:spacing w:val="7"/>
          <w:sz w:val="20"/>
        </w:rPr>
        <w:t> </w:t>
      </w:r>
      <w:r>
        <w:rPr>
          <w:rFonts w:ascii="Arial"/>
          <w:i/>
          <w:sz w:val="20"/>
        </w:rPr>
        <w:t>v</w:t>
      </w:r>
      <w:r>
        <w:rPr>
          <w:rFonts w:ascii="Arial"/>
          <w:i/>
          <w:spacing w:val="7"/>
          <w:sz w:val="20"/>
        </w:rPr>
        <w:t> </w:t>
      </w:r>
      <w:r>
        <w:rPr>
          <w:rFonts w:ascii="Arial"/>
          <w:i/>
          <w:sz w:val="20"/>
        </w:rPr>
        <w:t>Yardley</w:t>
      </w:r>
      <w:r>
        <w:rPr>
          <w:rFonts w:ascii="Arial"/>
          <w:i/>
          <w:spacing w:val="7"/>
          <w:sz w:val="20"/>
        </w:rPr>
        <w:t> </w:t>
      </w:r>
      <w:r>
        <w:rPr>
          <w:rFonts w:ascii="Arial"/>
          <w:i/>
          <w:sz w:val="20"/>
        </w:rPr>
        <w:t>[2002]</w:t>
      </w:r>
      <w:r>
        <w:rPr>
          <w:rFonts w:ascii="Arial"/>
          <w:i/>
          <w:spacing w:val="7"/>
          <w:sz w:val="20"/>
        </w:rPr>
        <w:t> </w:t>
      </w:r>
      <w:r>
        <w:rPr>
          <w:rFonts w:ascii="Arial"/>
          <w:i/>
          <w:spacing w:val="-10"/>
          <w:sz w:val="20"/>
        </w:rPr>
        <w:t>2</w:t>
      </w:r>
    </w:p>
    <w:p>
      <w:pPr>
        <w:spacing w:line="235" w:lineRule="auto" w:before="1"/>
        <w:ind w:left="705" w:right="0" w:firstLine="0"/>
        <w:jc w:val="left"/>
        <w:rPr>
          <w:rFonts w:ascii="Arial"/>
          <w:i/>
          <w:sz w:val="20"/>
        </w:rPr>
      </w:pPr>
      <w:r>
        <w:rPr>
          <w:rFonts w:ascii="Arial"/>
          <w:i/>
          <w:sz w:val="20"/>
        </w:rPr>
        <w:t>A.C.</w:t>
      </w:r>
      <w:r>
        <w:rPr>
          <w:rFonts w:ascii="Arial"/>
          <w:i/>
          <w:spacing w:val="-2"/>
          <w:sz w:val="20"/>
        </w:rPr>
        <w:t> </w:t>
      </w:r>
      <w:r>
        <w:rPr>
          <w:rFonts w:ascii="Arial"/>
          <w:i/>
          <w:sz w:val="20"/>
        </w:rPr>
        <w:t>164</w:t>
      </w:r>
      <w:r>
        <w:rPr>
          <w:sz w:val="20"/>
        </w:rPr>
        <w:t>;</w:t>
      </w:r>
      <w:r>
        <w:rPr>
          <w:spacing w:val="-2"/>
          <w:sz w:val="20"/>
        </w:rPr>
        <w:t> </w:t>
      </w:r>
      <w:r>
        <w:rPr>
          <w:rFonts w:ascii="Arial"/>
          <w:i/>
          <w:sz w:val="20"/>
        </w:rPr>
        <w:t>Charity</w:t>
      </w:r>
      <w:r>
        <w:rPr>
          <w:rFonts w:ascii="Arial"/>
          <w:i/>
          <w:spacing w:val="-2"/>
          <w:sz w:val="20"/>
        </w:rPr>
        <w:t> </w:t>
      </w:r>
      <w:r>
        <w:rPr>
          <w:rFonts w:ascii="Arial"/>
          <w:i/>
          <w:sz w:val="20"/>
        </w:rPr>
        <w:t>Commission</w:t>
      </w:r>
      <w:r>
        <w:rPr>
          <w:rFonts w:ascii="Arial"/>
          <w:i/>
          <w:spacing w:val="-2"/>
          <w:sz w:val="20"/>
        </w:rPr>
        <w:t> </w:t>
      </w:r>
      <w:r>
        <w:rPr>
          <w:rFonts w:ascii="Arial"/>
          <w:i/>
          <w:sz w:val="20"/>
        </w:rPr>
        <w:t>v</w:t>
      </w:r>
      <w:r>
        <w:rPr>
          <w:rFonts w:ascii="Arial"/>
          <w:i/>
          <w:spacing w:val="-2"/>
          <w:sz w:val="20"/>
        </w:rPr>
        <w:t> </w:t>
      </w:r>
      <w:r>
        <w:rPr>
          <w:rFonts w:ascii="Arial"/>
          <w:i/>
          <w:sz w:val="20"/>
        </w:rPr>
        <w:t>Framjee</w:t>
      </w:r>
      <w:r>
        <w:rPr>
          <w:rFonts w:ascii="Arial"/>
          <w:i/>
          <w:spacing w:val="-2"/>
          <w:sz w:val="20"/>
        </w:rPr>
        <w:t> </w:t>
      </w:r>
      <w:r>
        <w:rPr>
          <w:rFonts w:ascii="Arial"/>
          <w:i/>
          <w:sz w:val="20"/>
        </w:rPr>
        <w:t>[2014]</w:t>
      </w:r>
      <w:r>
        <w:rPr>
          <w:rFonts w:ascii="Arial"/>
          <w:i/>
          <w:spacing w:val="-2"/>
          <w:sz w:val="20"/>
        </w:rPr>
        <w:t> </w:t>
      </w:r>
      <w:r>
        <w:rPr>
          <w:rFonts w:ascii="Arial"/>
          <w:i/>
          <w:sz w:val="20"/>
        </w:rPr>
        <w:t>EWHC</w:t>
      </w:r>
      <w:r>
        <w:rPr>
          <w:rFonts w:ascii="Arial"/>
          <w:i/>
          <w:spacing w:val="-2"/>
          <w:sz w:val="20"/>
        </w:rPr>
        <w:t> </w:t>
      </w:r>
      <w:r>
        <w:rPr>
          <w:rFonts w:ascii="Arial"/>
          <w:i/>
          <w:sz w:val="20"/>
        </w:rPr>
        <w:t>2507</w:t>
      </w:r>
      <w:r>
        <w:rPr>
          <w:rFonts w:ascii="Arial"/>
          <w:i/>
          <w:spacing w:val="-2"/>
          <w:sz w:val="20"/>
        </w:rPr>
        <w:t> </w:t>
      </w:r>
      <w:r>
        <w:rPr>
          <w:rFonts w:ascii="Arial"/>
          <w:i/>
          <w:sz w:val="20"/>
        </w:rPr>
        <w:t>(Ch),</w:t>
      </w:r>
      <w:r>
        <w:rPr>
          <w:rFonts w:ascii="Arial"/>
          <w:i/>
          <w:spacing w:val="-2"/>
          <w:sz w:val="20"/>
        </w:rPr>
        <w:t> </w:t>
      </w:r>
      <w:r>
        <w:rPr>
          <w:rFonts w:ascii="Arial"/>
          <w:i/>
          <w:sz w:val="20"/>
        </w:rPr>
        <w:t>[2015]</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16</w:t>
      </w:r>
      <w:r>
        <w:rPr>
          <w:rFonts w:ascii="Arial"/>
          <w:i/>
          <w:spacing w:val="-3"/>
          <w:sz w:val="20"/>
        </w:rPr>
        <w:t> </w:t>
      </w:r>
      <w:r>
        <w:rPr>
          <w:sz w:val="20"/>
        </w:rPr>
        <w:t>(contract between</w:t>
      </w:r>
      <w:r>
        <w:rPr>
          <w:spacing w:val="43"/>
          <w:sz w:val="20"/>
        </w:rPr>
        <w:t> </w:t>
      </w:r>
      <w:r>
        <w:rPr>
          <w:sz w:val="20"/>
        </w:rPr>
        <w:t>donors</w:t>
      </w:r>
      <w:r>
        <w:rPr>
          <w:spacing w:val="43"/>
          <w:sz w:val="20"/>
        </w:rPr>
        <w:t> </w:t>
      </w:r>
      <w:r>
        <w:rPr>
          <w:sz w:val="20"/>
        </w:rPr>
        <w:t>and</w:t>
      </w:r>
      <w:r>
        <w:rPr>
          <w:spacing w:val="43"/>
          <w:sz w:val="20"/>
        </w:rPr>
        <w:t> </w:t>
      </w:r>
      <w:r>
        <w:rPr>
          <w:sz w:val="20"/>
        </w:rPr>
        <w:t>trustees</w:t>
      </w:r>
      <w:r>
        <w:rPr>
          <w:spacing w:val="43"/>
          <w:sz w:val="20"/>
        </w:rPr>
        <w:t> </w:t>
      </w:r>
      <w:r>
        <w:rPr>
          <w:sz w:val="20"/>
        </w:rPr>
        <w:t>of</w:t>
      </w:r>
      <w:r>
        <w:rPr>
          <w:spacing w:val="43"/>
          <w:sz w:val="20"/>
        </w:rPr>
        <w:t> </w:t>
      </w:r>
      <w:r>
        <w:rPr>
          <w:sz w:val="20"/>
        </w:rPr>
        <w:t>charitable</w:t>
      </w:r>
      <w:r>
        <w:rPr>
          <w:spacing w:val="43"/>
          <w:sz w:val="20"/>
        </w:rPr>
        <w:t> </w:t>
      </w:r>
      <w:r>
        <w:rPr>
          <w:sz w:val="20"/>
        </w:rPr>
        <w:t>trust)</w:t>
      </w:r>
      <w:r>
        <w:rPr>
          <w:spacing w:val="43"/>
          <w:sz w:val="20"/>
        </w:rPr>
        <w:t> </w:t>
      </w:r>
      <w:r>
        <w:rPr>
          <w:sz w:val="20"/>
        </w:rPr>
        <w:t>and</w:t>
      </w:r>
      <w:r>
        <w:rPr>
          <w:spacing w:val="43"/>
          <w:sz w:val="20"/>
        </w:rPr>
        <w:t> </w:t>
      </w:r>
      <w:r>
        <w:rPr>
          <w:sz w:val="20"/>
        </w:rPr>
        <w:t>cf.</w:t>
      </w:r>
      <w:r>
        <w:rPr>
          <w:spacing w:val="42"/>
          <w:sz w:val="20"/>
        </w:rPr>
        <w:t> </w:t>
      </w:r>
      <w:r>
        <w:rPr>
          <w:rFonts w:ascii="Arial"/>
          <w:i/>
          <w:sz w:val="20"/>
        </w:rPr>
        <w:t>Clough</w:t>
      </w:r>
      <w:r>
        <w:rPr>
          <w:rFonts w:ascii="Arial"/>
          <w:i/>
          <w:spacing w:val="43"/>
          <w:sz w:val="20"/>
        </w:rPr>
        <w:t> </w:t>
      </w:r>
      <w:r>
        <w:rPr>
          <w:rFonts w:ascii="Arial"/>
          <w:i/>
          <w:sz w:val="20"/>
        </w:rPr>
        <w:t>Mill</w:t>
      </w:r>
      <w:r>
        <w:rPr>
          <w:rFonts w:ascii="Arial"/>
          <w:i/>
          <w:spacing w:val="43"/>
          <w:sz w:val="20"/>
        </w:rPr>
        <w:t> </w:t>
      </w:r>
      <w:r>
        <w:rPr>
          <w:rFonts w:ascii="Arial"/>
          <w:i/>
          <w:sz w:val="20"/>
        </w:rPr>
        <w:t>Ltd</w:t>
      </w:r>
      <w:r>
        <w:rPr>
          <w:rFonts w:ascii="Arial"/>
          <w:i/>
          <w:spacing w:val="43"/>
          <w:sz w:val="20"/>
        </w:rPr>
        <w:t> </w:t>
      </w:r>
      <w:r>
        <w:rPr>
          <w:rFonts w:ascii="Arial"/>
          <w:i/>
          <w:sz w:val="20"/>
        </w:rPr>
        <w:t>v</w:t>
      </w:r>
      <w:r>
        <w:rPr>
          <w:rFonts w:ascii="Arial"/>
          <w:i/>
          <w:spacing w:val="43"/>
          <w:sz w:val="20"/>
        </w:rPr>
        <w:t> </w:t>
      </w:r>
      <w:r>
        <w:rPr>
          <w:rFonts w:ascii="Arial"/>
          <w:i/>
          <w:sz w:val="20"/>
        </w:rPr>
        <w:t>Martin</w:t>
      </w:r>
      <w:r>
        <w:rPr>
          <w:rFonts w:ascii="Arial"/>
          <w:i/>
          <w:spacing w:val="43"/>
          <w:sz w:val="20"/>
        </w:rPr>
        <w:t> </w:t>
      </w:r>
      <w:r>
        <w:rPr>
          <w:rFonts w:ascii="Arial"/>
          <w:i/>
          <w:sz w:val="20"/>
        </w:rPr>
        <w:t>[1985]</w:t>
      </w:r>
      <w:r>
        <w:rPr>
          <w:rFonts w:ascii="Arial"/>
          <w:i/>
          <w:spacing w:val="43"/>
          <w:sz w:val="20"/>
        </w:rPr>
        <w:t> </w:t>
      </w:r>
      <w:r>
        <w:rPr>
          <w:rFonts w:ascii="Arial"/>
          <w:i/>
          <w:spacing w:val="-10"/>
          <w:sz w:val="20"/>
        </w:rPr>
        <w:t>1</w:t>
      </w:r>
    </w:p>
    <w:p>
      <w:pPr>
        <w:spacing w:line="225" w:lineRule="exact" w:before="0"/>
        <w:ind w:left="705" w:right="0" w:firstLine="0"/>
        <w:jc w:val="left"/>
        <w:rPr>
          <w:sz w:val="20"/>
        </w:rPr>
      </w:pPr>
      <w:r>
        <w:rPr>
          <w:rFonts w:ascii="Arial"/>
          <w:i/>
          <w:sz w:val="20"/>
        </w:rPr>
        <w:t>W.L.R. 111, 120</w:t>
      </w:r>
      <w:r>
        <w:rPr>
          <w:rFonts w:ascii="Arial"/>
          <w:i/>
          <w:spacing w:val="-1"/>
          <w:sz w:val="20"/>
        </w:rPr>
        <w:t> </w:t>
      </w:r>
      <w:r>
        <w:rPr>
          <w:sz w:val="20"/>
        </w:rPr>
        <w:t>and</w:t>
      </w:r>
      <w:r>
        <w:rPr>
          <w:spacing w:val="-1"/>
          <w:sz w:val="20"/>
        </w:rPr>
        <w:t> </w:t>
      </w:r>
      <w:r>
        <w:rPr>
          <w:rFonts w:ascii="Arial"/>
          <w:i/>
          <w:sz w:val="20"/>
        </w:rPr>
        <w:t>Swain v The Law Society [1983] 1 A.C. </w:t>
      </w:r>
      <w:r>
        <w:rPr>
          <w:rFonts w:ascii="Arial"/>
          <w:i/>
          <w:spacing w:val="-4"/>
          <w:sz w:val="20"/>
        </w:rPr>
        <w:t>598</w:t>
      </w:r>
      <w:r>
        <w:rPr>
          <w:spacing w:val="-4"/>
          <w:sz w:val="20"/>
        </w:rPr>
        <w:t>.</w:t>
      </w:r>
    </w:p>
    <w:p>
      <w:pPr>
        <w:pStyle w:val="BodyText"/>
        <w:spacing w:before="5"/>
      </w:pPr>
    </w:p>
    <w:p>
      <w:pPr>
        <w:spacing w:line="227" w:lineRule="exact" w:before="0"/>
        <w:ind w:left="165" w:right="0" w:firstLine="0"/>
        <w:jc w:val="left"/>
        <w:rPr>
          <w:sz w:val="20"/>
        </w:rPr>
      </w:pPr>
      <w:bookmarkStart w:name="_bookmark2396" w:id="2398"/>
      <w:bookmarkEnd w:id="2398"/>
      <w:r>
        <w:rPr/>
      </w:r>
      <w:hyperlink w:history="true" w:anchor="_bookmark2335">
        <w:r>
          <w:rPr>
            <w:color w:val="005DA1"/>
            <w:position w:val="5"/>
            <w:sz w:val="14"/>
            <w:u w:val="single" w:color="005DA1"/>
          </w:rPr>
          <w:t>1550</w:t>
        </w:r>
      </w:hyperlink>
      <w:r>
        <w:rPr>
          <w:position w:val="5"/>
          <w:sz w:val="14"/>
        </w:rPr>
        <w:t>.</w:t>
      </w:r>
      <w:r>
        <w:rPr>
          <w:spacing w:val="55"/>
          <w:position w:val="5"/>
          <w:sz w:val="14"/>
        </w:rPr>
        <w:t>  </w:t>
      </w:r>
      <w:r>
        <w:rPr>
          <w:rFonts w:ascii="Arial"/>
          <w:i/>
          <w:sz w:val="20"/>
        </w:rPr>
        <w:t>[1989]</w:t>
      </w:r>
      <w:r>
        <w:rPr>
          <w:rFonts w:ascii="Arial"/>
          <w:i/>
          <w:spacing w:val="34"/>
          <w:sz w:val="20"/>
        </w:rPr>
        <w:t> </w:t>
      </w:r>
      <w:r>
        <w:rPr>
          <w:rFonts w:ascii="Arial"/>
          <w:i/>
          <w:sz w:val="20"/>
        </w:rPr>
        <w:t>1</w:t>
      </w:r>
      <w:r>
        <w:rPr>
          <w:rFonts w:ascii="Arial"/>
          <w:i/>
          <w:spacing w:val="33"/>
          <w:sz w:val="20"/>
        </w:rPr>
        <w:t> </w:t>
      </w:r>
      <w:r>
        <w:rPr>
          <w:rFonts w:ascii="Arial"/>
          <w:i/>
          <w:sz w:val="20"/>
        </w:rPr>
        <w:t>W.L.R.</w:t>
      </w:r>
      <w:r>
        <w:rPr>
          <w:rFonts w:ascii="Arial"/>
          <w:i/>
          <w:spacing w:val="33"/>
          <w:sz w:val="20"/>
        </w:rPr>
        <w:t> </w:t>
      </w:r>
      <w:r>
        <w:rPr>
          <w:rFonts w:ascii="Arial"/>
          <w:i/>
          <w:sz w:val="20"/>
        </w:rPr>
        <w:t>1340</w:t>
      </w:r>
      <w:r>
        <w:rPr>
          <w:sz w:val="20"/>
        </w:rPr>
        <w:t>.</w:t>
      </w:r>
      <w:r>
        <w:rPr>
          <w:spacing w:val="33"/>
          <w:sz w:val="20"/>
        </w:rPr>
        <w:t> </w:t>
      </w:r>
      <w:r>
        <w:rPr>
          <w:sz w:val="20"/>
        </w:rPr>
        <w:t>The</w:t>
      </w:r>
      <w:r>
        <w:rPr>
          <w:spacing w:val="33"/>
          <w:sz w:val="20"/>
        </w:rPr>
        <w:t> </w:t>
      </w:r>
      <w:r>
        <w:rPr>
          <w:sz w:val="20"/>
        </w:rPr>
        <w:t>claim</w:t>
      </w:r>
      <w:r>
        <w:rPr>
          <w:spacing w:val="33"/>
          <w:sz w:val="20"/>
        </w:rPr>
        <w:t> </w:t>
      </w:r>
      <w:r>
        <w:rPr>
          <w:sz w:val="20"/>
        </w:rPr>
        <w:t>against</w:t>
      </w:r>
      <w:r>
        <w:rPr>
          <w:spacing w:val="33"/>
          <w:sz w:val="20"/>
        </w:rPr>
        <w:t> </w:t>
      </w:r>
      <w:r>
        <w:rPr>
          <w:sz w:val="20"/>
        </w:rPr>
        <w:t>the</w:t>
      </w:r>
      <w:r>
        <w:rPr>
          <w:spacing w:val="32"/>
          <w:sz w:val="20"/>
        </w:rPr>
        <w:t> </w:t>
      </w:r>
      <w:r>
        <w:rPr>
          <w:sz w:val="20"/>
        </w:rPr>
        <w:t>bank</w:t>
      </w:r>
      <w:r>
        <w:rPr>
          <w:spacing w:val="33"/>
          <w:sz w:val="20"/>
        </w:rPr>
        <w:t> </w:t>
      </w:r>
      <w:r>
        <w:rPr>
          <w:sz w:val="20"/>
        </w:rPr>
        <w:t>was</w:t>
      </w:r>
      <w:r>
        <w:rPr>
          <w:spacing w:val="33"/>
          <w:sz w:val="20"/>
        </w:rPr>
        <w:t> </w:t>
      </w:r>
      <w:r>
        <w:rPr>
          <w:sz w:val="20"/>
        </w:rPr>
        <w:t>not</w:t>
      </w:r>
      <w:r>
        <w:rPr>
          <w:spacing w:val="33"/>
          <w:sz w:val="20"/>
        </w:rPr>
        <w:t> </w:t>
      </w:r>
      <w:r>
        <w:rPr>
          <w:sz w:val="20"/>
        </w:rPr>
        <w:t>pursued</w:t>
      </w:r>
      <w:r>
        <w:rPr>
          <w:spacing w:val="33"/>
          <w:sz w:val="20"/>
        </w:rPr>
        <w:t> </w:t>
      </w:r>
      <w:r>
        <w:rPr>
          <w:sz w:val="20"/>
        </w:rPr>
        <w:t>in</w:t>
      </w:r>
      <w:r>
        <w:rPr>
          <w:spacing w:val="33"/>
          <w:sz w:val="20"/>
        </w:rPr>
        <w:t> </w:t>
      </w:r>
      <w:r>
        <w:rPr>
          <w:sz w:val="20"/>
        </w:rPr>
        <w:t>the</w:t>
      </w:r>
      <w:r>
        <w:rPr>
          <w:spacing w:val="33"/>
          <w:sz w:val="20"/>
        </w:rPr>
        <w:t> </w:t>
      </w:r>
      <w:r>
        <w:rPr>
          <w:sz w:val="20"/>
        </w:rPr>
        <w:t>House</w:t>
      </w:r>
      <w:r>
        <w:rPr>
          <w:spacing w:val="33"/>
          <w:sz w:val="20"/>
        </w:rPr>
        <w:t> </w:t>
      </w:r>
      <w:r>
        <w:rPr>
          <w:sz w:val="20"/>
        </w:rPr>
        <w:t>of</w:t>
      </w:r>
      <w:r>
        <w:rPr>
          <w:spacing w:val="33"/>
          <w:sz w:val="20"/>
        </w:rPr>
        <w:t> </w:t>
      </w:r>
      <w:r>
        <w:rPr>
          <w:spacing w:val="-2"/>
          <w:sz w:val="20"/>
        </w:rPr>
        <w:t>Lords:</w:t>
      </w:r>
    </w:p>
    <w:p>
      <w:pPr>
        <w:spacing w:line="227" w:lineRule="exact" w:before="0"/>
        <w:ind w:left="705" w:right="0" w:firstLine="0"/>
        <w:jc w:val="left"/>
        <w:rPr>
          <w:sz w:val="20"/>
        </w:rPr>
      </w:pPr>
      <w:r>
        <w:rPr>
          <w:rFonts w:ascii="Arial"/>
          <w:i/>
          <w:sz w:val="20"/>
        </w:rPr>
        <w:t>[1991]</w:t>
      </w:r>
      <w:r>
        <w:rPr>
          <w:rFonts w:ascii="Arial"/>
          <w:i/>
          <w:spacing w:val="-2"/>
          <w:sz w:val="20"/>
        </w:rPr>
        <w:t> </w:t>
      </w:r>
      <w:r>
        <w:rPr>
          <w:rFonts w:ascii="Arial"/>
          <w:i/>
          <w:sz w:val="20"/>
        </w:rPr>
        <w:t>2 A.C. </w:t>
      </w:r>
      <w:r>
        <w:rPr>
          <w:rFonts w:ascii="Arial"/>
          <w:i/>
          <w:spacing w:val="-4"/>
          <w:sz w:val="20"/>
        </w:rPr>
        <w:t>548</w:t>
      </w:r>
      <w:r>
        <w:rPr>
          <w:spacing w:val="-4"/>
          <w:sz w:val="20"/>
        </w:rPr>
        <w:t>.</w:t>
      </w:r>
    </w:p>
    <w:p>
      <w:pPr>
        <w:pStyle w:val="BodyText"/>
        <w:spacing w:before="5"/>
      </w:pPr>
    </w:p>
    <w:p>
      <w:pPr>
        <w:pStyle w:val="BodyText"/>
        <w:ind w:left="165"/>
      </w:pPr>
      <w:bookmarkStart w:name="_bookmark2397" w:id="2399"/>
      <w:bookmarkEnd w:id="2399"/>
      <w:r>
        <w:rPr/>
      </w:r>
      <w:hyperlink w:history="true" w:anchor="_bookmark2336">
        <w:r>
          <w:rPr>
            <w:color w:val="005DA1"/>
            <w:position w:val="5"/>
            <w:sz w:val="14"/>
            <w:u w:val="single" w:color="005DA1"/>
          </w:rPr>
          <w:t>1551</w:t>
        </w:r>
      </w:hyperlink>
      <w:r>
        <w:rPr>
          <w:position w:val="5"/>
          <w:sz w:val="14"/>
        </w:rPr>
        <w:t>.</w:t>
      </w:r>
      <w:r>
        <w:rPr>
          <w:spacing w:val="55"/>
          <w:position w:val="5"/>
          <w:sz w:val="14"/>
        </w:rPr>
        <w:t>  </w:t>
      </w:r>
      <w:r>
        <w:rPr/>
        <w:t>See</w:t>
      </w:r>
      <w:r>
        <w:rPr>
          <w:spacing w:val="1"/>
        </w:rPr>
        <w:t> </w:t>
      </w:r>
      <w:r>
        <w:rPr/>
        <w:t>above, paras 1-154 et </w:t>
      </w:r>
      <w:r>
        <w:rPr>
          <w:spacing w:val="-4"/>
        </w:rPr>
        <w:t>seq.</w:t>
      </w:r>
    </w:p>
    <w:p>
      <w:pPr>
        <w:pStyle w:val="BodyText"/>
        <w:spacing w:before="9"/>
      </w:pPr>
    </w:p>
    <w:p>
      <w:pPr>
        <w:spacing w:line="235" w:lineRule="auto" w:before="0"/>
        <w:ind w:left="705" w:right="0" w:hanging="541"/>
        <w:jc w:val="left"/>
        <w:rPr>
          <w:sz w:val="20"/>
        </w:rPr>
      </w:pPr>
      <w:bookmarkStart w:name="_bookmark2398" w:id="2400"/>
      <w:bookmarkEnd w:id="2400"/>
      <w:r>
        <w:rPr/>
      </w:r>
      <w:hyperlink w:history="true" w:anchor="_bookmark2337">
        <w:r>
          <w:rPr>
            <w:color w:val="005DA1"/>
            <w:position w:val="5"/>
            <w:sz w:val="14"/>
            <w:u w:val="single" w:color="005DA1"/>
          </w:rPr>
          <w:t>1552</w:t>
        </w:r>
      </w:hyperlink>
      <w:r>
        <w:rPr>
          <w:position w:val="5"/>
          <w:sz w:val="14"/>
        </w:rPr>
        <w:t>.</w:t>
      </w:r>
      <w:r>
        <w:rPr>
          <w:spacing w:val="40"/>
          <w:position w:val="5"/>
          <w:sz w:val="14"/>
        </w:rPr>
        <w:t>  </w:t>
      </w:r>
      <w:r>
        <w:rPr>
          <w:sz w:val="20"/>
        </w:rPr>
        <w:t>The solicitors also claimed against the casino where the money was lost: see </w:t>
      </w:r>
      <w:r>
        <w:rPr>
          <w:rFonts w:ascii="Arial"/>
          <w:i/>
          <w:sz w:val="20"/>
        </w:rPr>
        <w:t>Lipkin Gorman v Karpnale Ltd [1991] 2 A.C. 548</w:t>
      </w:r>
      <w:r>
        <w:rPr>
          <w:sz w:val="20"/>
        </w:rPr>
        <w:t>.</w:t>
      </w:r>
    </w:p>
    <w:p>
      <w:pPr>
        <w:pStyle w:val="BodyText"/>
        <w:spacing w:before="9"/>
      </w:pPr>
    </w:p>
    <w:p>
      <w:pPr>
        <w:spacing w:line="235" w:lineRule="auto" w:before="0"/>
        <w:ind w:left="705" w:right="200" w:hanging="541"/>
        <w:jc w:val="left"/>
        <w:rPr>
          <w:sz w:val="20"/>
        </w:rPr>
      </w:pPr>
      <w:bookmarkStart w:name="_bookmark2399" w:id="2401"/>
      <w:bookmarkEnd w:id="2401"/>
      <w:r>
        <w:rPr/>
      </w:r>
      <w:hyperlink w:history="true" w:anchor="_bookmark2338">
        <w:r>
          <w:rPr>
            <w:color w:val="005DA1"/>
            <w:position w:val="5"/>
            <w:sz w:val="14"/>
            <w:u w:val="single" w:color="005DA1"/>
          </w:rPr>
          <w:t>1553</w:t>
        </w:r>
      </w:hyperlink>
      <w:r>
        <w:rPr>
          <w:position w:val="5"/>
          <w:sz w:val="14"/>
        </w:rPr>
        <w:t>.</w:t>
      </w:r>
      <w:r>
        <w:rPr>
          <w:spacing w:val="40"/>
          <w:position w:val="5"/>
          <w:sz w:val="14"/>
        </w:rPr>
        <w:t>  </w:t>
      </w:r>
      <w:r>
        <w:rPr>
          <w:rFonts w:ascii="Arial"/>
          <w:i/>
          <w:sz w:val="20"/>
        </w:rPr>
        <w:t>[1989] 1 W.L.R. 1340, 1373</w:t>
      </w:r>
      <w:r>
        <w:rPr>
          <w:sz w:val="20"/>
        </w:rPr>
        <w:t>. This point had been conceded by the solicitors early in argument:</w:t>
      </w:r>
      <w:r>
        <w:rPr>
          <w:spacing w:val="40"/>
          <w:sz w:val="20"/>
        </w:rPr>
        <w:t> </w:t>
      </w:r>
      <w:r>
        <w:rPr>
          <w:sz w:val="20"/>
        </w:rPr>
        <w:t>at 1349.</w:t>
      </w:r>
    </w:p>
    <w:p>
      <w:pPr>
        <w:pStyle w:val="BodyText"/>
        <w:spacing w:before="6"/>
      </w:pPr>
    </w:p>
    <w:p>
      <w:pPr>
        <w:spacing w:before="0"/>
        <w:ind w:left="165" w:right="0" w:firstLine="0"/>
        <w:jc w:val="left"/>
        <w:rPr>
          <w:sz w:val="20"/>
        </w:rPr>
      </w:pPr>
      <w:bookmarkStart w:name="_bookmark2400" w:id="2402"/>
      <w:bookmarkEnd w:id="2402"/>
      <w:r>
        <w:rPr/>
      </w:r>
      <w:hyperlink w:history="true" w:anchor="_bookmark2339">
        <w:r>
          <w:rPr>
            <w:color w:val="005DA1"/>
            <w:position w:val="5"/>
            <w:sz w:val="14"/>
            <w:u w:val="single" w:color="005DA1"/>
          </w:rPr>
          <w:t>1554</w:t>
        </w:r>
      </w:hyperlink>
      <w:r>
        <w:rPr>
          <w:position w:val="5"/>
          <w:sz w:val="14"/>
        </w:rPr>
        <w:t>.</w:t>
      </w:r>
      <w:r>
        <w:rPr>
          <w:spacing w:val="55"/>
          <w:position w:val="5"/>
          <w:sz w:val="14"/>
        </w:rPr>
        <w:t>  </w:t>
      </w:r>
      <w:r>
        <w:rPr>
          <w:rFonts w:ascii="Arial"/>
          <w:i/>
          <w:sz w:val="20"/>
        </w:rPr>
        <w:t>[1989]</w:t>
      </w:r>
      <w:r>
        <w:rPr>
          <w:rFonts w:ascii="Arial"/>
          <w:i/>
          <w:spacing w:val="1"/>
          <w:sz w:val="20"/>
        </w:rPr>
        <w:t> </w:t>
      </w:r>
      <w:r>
        <w:rPr>
          <w:rFonts w:ascii="Arial"/>
          <w:i/>
          <w:sz w:val="20"/>
        </w:rPr>
        <w:t>1 W.L.R. 1340</w:t>
      </w:r>
      <w:r>
        <w:rPr>
          <w:rFonts w:ascii="Arial"/>
          <w:i/>
          <w:spacing w:val="-1"/>
          <w:sz w:val="20"/>
        </w:rPr>
        <w:t> </w:t>
      </w:r>
      <w:r>
        <w:rPr>
          <w:sz w:val="20"/>
        </w:rPr>
        <w:t>at </w:t>
      </w:r>
      <w:r>
        <w:rPr>
          <w:spacing w:val="-2"/>
          <w:sz w:val="20"/>
        </w:rPr>
        <w:t>1356.</w:t>
      </w:r>
    </w:p>
    <w:p>
      <w:pPr>
        <w:pStyle w:val="BodyText"/>
        <w:spacing w:before="5"/>
      </w:pPr>
    </w:p>
    <w:p>
      <w:pPr>
        <w:spacing w:line="227" w:lineRule="exact" w:before="0"/>
        <w:ind w:left="165" w:right="0" w:firstLine="0"/>
        <w:jc w:val="left"/>
        <w:rPr>
          <w:sz w:val="20"/>
        </w:rPr>
      </w:pPr>
      <w:bookmarkStart w:name="_bookmark2401" w:id="2403"/>
      <w:bookmarkEnd w:id="2403"/>
      <w:r>
        <w:rPr/>
      </w:r>
      <w:hyperlink w:history="true" w:anchor="_bookmark2340">
        <w:r>
          <w:rPr>
            <w:color w:val="005DA1"/>
            <w:position w:val="5"/>
            <w:sz w:val="14"/>
            <w:u w:val="single" w:color="005DA1"/>
          </w:rPr>
          <w:t>1555</w:t>
        </w:r>
      </w:hyperlink>
      <w:r>
        <w:rPr>
          <w:position w:val="5"/>
          <w:sz w:val="14"/>
        </w:rPr>
        <w:t>.</w:t>
      </w:r>
      <w:r>
        <w:rPr>
          <w:spacing w:val="55"/>
          <w:position w:val="5"/>
          <w:sz w:val="14"/>
        </w:rPr>
        <w:t>  </w:t>
      </w:r>
      <w:r>
        <w:rPr>
          <w:rFonts w:ascii="Arial"/>
          <w:i/>
          <w:sz w:val="20"/>
        </w:rPr>
        <w:t>[1989]</w:t>
      </w:r>
      <w:r>
        <w:rPr>
          <w:rFonts w:ascii="Arial"/>
          <w:i/>
          <w:spacing w:val="2"/>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1340</w:t>
      </w:r>
      <w:r>
        <w:rPr>
          <w:rFonts w:ascii="Arial"/>
          <w:i/>
          <w:spacing w:val="1"/>
          <w:sz w:val="20"/>
        </w:rPr>
        <w:t> </w:t>
      </w:r>
      <w:r>
        <w:rPr>
          <w:sz w:val="20"/>
        </w:rPr>
        <w:t>at</w:t>
      </w:r>
      <w:r>
        <w:rPr>
          <w:spacing w:val="1"/>
          <w:sz w:val="20"/>
        </w:rPr>
        <w:t> </w:t>
      </w:r>
      <w:r>
        <w:rPr>
          <w:sz w:val="20"/>
        </w:rPr>
        <w:t>1378,</w:t>
      </w:r>
      <w:r>
        <w:rPr>
          <w:spacing w:val="1"/>
          <w:sz w:val="20"/>
        </w:rPr>
        <w:t> </w:t>
      </w:r>
      <w:r>
        <w:rPr>
          <w:sz w:val="20"/>
        </w:rPr>
        <w:t>per</w:t>
      </w:r>
      <w:r>
        <w:rPr>
          <w:spacing w:val="1"/>
          <w:sz w:val="20"/>
        </w:rPr>
        <w:t> </w:t>
      </w:r>
      <w:r>
        <w:rPr>
          <w:sz w:val="20"/>
        </w:rPr>
        <w:t>Parker</w:t>
      </w:r>
      <w:r>
        <w:rPr>
          <w:spacing w:val="1"/>
          <w:sz w:val="20"/>
        </w:rPr>
        <w:t> </w:t>
      </w:r>
      <w:r>
        <w:rPr>
          <w:sz w:val="20"/>
        </w:rPr>
        <w:t>L.J.</w:t>
      </w:r>
      <w:r>
        <w:rPr>
          <w:spacing w:val="1"/>
          <w:sz w:val="20"/>
        </w:rPr>
        <w:t> </w:t>
      </w:r>
      <w:r>
        <w:rPr>
          <w:sz w:val="20"/>
        </w:rPr>
        <w:t>and</w:t>
      </w:r>
      <w:r>
        <w:rPr>
          <w:spacing w:val="1"/>
          <w:sz w:val="20"/>
        </w:rPr>
        <w:t> </w:t>
      </w:r>
      <w:r>
        <w:rPr>
          <w:sz w:val="20"/>
        </w:rPr>
        <w:t>cf.</w:t>
      </w:r>
      <w:r>
        <w:rPr>
          <w:spacing w:val="1"/>
          <w:sz w:val="20"/>
        </w:rPr>
        <w:t> </w:t>
      </w:r>
      <w:r>
        <w:rPr>
          <w:sz w:val="20"/>
        </w:rPr>
        <w:t>at</w:t>
      </w:r>
      <w:r>
        <w:rPr>
          <w:spacing w:val="1"/>
          <w:sz w:val="20"/>
        </w:rPr>
        <w:t> </w:t>
      </w:r>
      <w:r>
        <w:rPr>
          <w:sz w:val="20"/>
        </w:rPr>
        <w:t>[1356]</w:t>
      </w:r>
      <w:r>
        <w:rPr>
          <w:spacing w:val="1"/>
          <w:sz w:val="20"/>
        </w:rPr>
        <w:t> </w:t>
      </w:r>
      <w:r>
        <w:rPr>
          <w:sz w:val="20"/>
        </w:rPr>
        <w:t>and</w:t>
      </w:r>
      <w:r>
        <w:rPr>
          <w:spacing w:val="1"/>
          <w:sz w:val="20"/>
        </w:rPr>
        <w:t> </w:t>
      </w:r>
      <w:r>
        <w:rPr>
          <w:sz w:val="20"/>
        </w:rPr>
        <w:t>see</w:t>
      </w:r>
      <w:r>
        <w:rPr>
          <w:spacing w:val="1"/>
          <w:sz w:val="20"/>
        </w:rPr>
        <w:t> </w:t>
      </w:r>
      <w:r>
        <w:rPr>
          <w:sz w:val="20"/>
        </w:rPr>
        <w:t>Birks</w:t>
      </w:r>
      <w:r>
        <w:rPr>
          <w:spacing w:val="1"/>
          <w:sz w:val="20"/>
        </w:rPr>
        <w:t> </w:t>
      </w:r>
      <w:r>
        <w:rPr>
          <w:sz w:val="20"/>
        </w:rPr>
        <w:t>(1989)</w:t>
      </w:r>
      <w:r>
        <w:rPr>
          <w:spacing w:val="1"/>
          <w:sz w:val="20"/>
        </w:rPr>
        <w:t> </w:t>
      </w:r>
      <w:r>
        <w:rPr>
          <w:sz w:val="20"/>
        </w:rPr>
        <w:t>105</w:t>
      </w:r>
      <w:r>
        <w:rPr>
          <w:spacing w:val="1"/>
          <w:sz w:val="20"/>
        </w:rPr>
        <w:t> </w:t>
      </w:r>
      <w:r>
        <w:rPr>
          <w:spacing w:val="-2"/>
          <w:sz w:val="20"/>
        </w:rPr>
        <w:t>L.Q.R.</w:t>
      </w:r>
    </w:p>
    <w:p>
      <w:pPr>
        <w:pStyle w:val="BodyText"/>
        <w:spacing w:line="227" w:lineRule="exact"/>
        <w:ind w:left="705"/>
      </w:pPr>
      <w:r>
        <w:rPr/>
        <w:t>352, </w:t>
      </w:r>
      <w:r>
        <w:rPr>
          <w:spacing w:val="-4"/>
        </w:rPr>
        <w:t>355.</w:t>
      </w:r>
    </w:p>
    <w:p>
      <w:pPr>
        <w:pStyle w:val="BodyText"/>
        <w:spacing w:before="8"/>
      </w:pPr>
    </w:p>
    <w:p>
      <w:pPr>
        <w:pStyle w:val="BodyText"/>
        <w:spacing w:line="235" w:lineRule="auto" w:before="1"/>
        <w:ind w:left="705" w:right="167" w:hanging="541"/>
      </w:pPr>
      <w:bookmarkStart w:name="_bookmark2402" w:id="2404"/>
      <w:bookmarkEnd w:id="2404"/>
      <w:r>
        <w:rPr/>
      </w:r>
      <w:hyperlink w:history="true" w:anchor="_bookmark2341">
        <w:r>
          <w:rPr>
            <w:color w:val="005DA1"/>
            <w:position w:val="5"/>
            <w:sz w:val="14"/>
            <w:u w:val="single" w:color="005DA1"/>
          </w:rPr>
          <w:t>1556</w:t>
        </w:r>
      </w:hyperlink>
      <w:r>
        <w:rPr>
          <w:position w:val="5"/>
          <w:sz w:val="14"/>
        </w:rPr>
        <w:t>.</w:t>
      </w:r>
      <w:r>
        <w:rPr>
          <w:spacing w:val="54"/>
          <w:position w:val="5"/>
          <w:sz w:val="14"/>
        </w:rPr>
        <w:t>  </w:t>
      </w:r>
      <w:r>
        <w:rPr/>
        <w:t>On</w:t>
      </w:r>
      <w:r>
        <w:rPr>
          <w:spacing w:val="80"/>
        </w:rPr>
        <w:t> </w:t>
      </w:r>
      <w:r>
        <w:rPr/>
        <w:t>this</w:t>
      </w:r>
      <w:r>
        <w:rPr>
          <w:spacing w:val="80"/>
        </w:rPr>
        <w:t> </w:t>
      </w:r>
      <w:r>
        <w:rPr/>
        <w:t>distinction</w:t>
      </w:r>
      <w:r>
        <w:rPr>
          <w:spacing w:val="80"/>
        </w:rPr>
        <w:t> </w:t>
      </w:r>
      <w:r>
        <w:rPr/>
        <w:t>see</w:t>
      </w:r>
      <w:r>
        <w:rPr>
          <w:spacing w:val="80"/>
        </w:rPr>
        <w:t> </w:t>
      </w:r>
      <w:r>
        <w:rPr/>
        <w:t>Hanbury</w:t>
      </w:r>
      <w:r>
        <w:rPr>
          <w:spacing w:val="80"/>
        </w:rPr>
        <w:t> </w:t>
      </w:r>
      <w:r>
        <w:rPr/>
        <w:t>and</w:t>
      </w:r>
      <w:r>
        <w:rPr>
          <w:spacing w:val="80"/>
        </w:rPr>
        <w:t> </w:t>
      </w:r>
      <w:r>
        <w:rPr/>
        <w:t>Martin’s</w:t>
      </w:r>
      <w:r>
        <w:rPr>
          <w:spacing w:val="80"/>
        </w:rPr>
        <w:t> </w:t>
      </w:r>
      <w:r>
        <w:rPr/>
        <w:t>Modern</w:t>
      </w:r>
      <w:r>
        <w:rPr>
          <w:spacing w:val="80"/>
        </w:rPr>
        <w:t> </w:t>
      </w:r>
      <w:r>
        <w:rPr/>
        <w:t>Equity,</w:t>
      </w:r>
      <w:r>
        <w:rPr>
          <w:spacing w:val="80"/>
        </w:rPr>
        <w:t> </w:t>
      </w:r>
      <w:r>
        <w:rPr/>
        <w:t>19th</w:t>
      </w:r>
      <w:r>
        <w:rPr>
          <w:spacing w:val="80"/>
        </w:rPr>
        <w:t> </w:t>
      </w:r>
      <w:r>
        <w:rPr/>
        <w:t>edn</w:t>
      </w:r>
      <w:r>
        <w:rPr>
          <w:spacing w:val="80"/>
        </w:rPr>
        <w:t> </w:t>
      </w:r>
      <w:r>
        <w:rPr/>
        <w:t>(2012),</w:t>
      </w:r>
      <w:r>
        <w:rPr>
          <w:spacing w:val="80"/>
        </w:rPr>
        <w:t> </w:t>
      </w:r>
      <w:r>
        <w:rPr/>
        <w:t>paras </w:t>
      </w:r>
      <w:r>
        <w:rPr>
          <w:spacing w:val="-2"/>
        </w:rPr>
        <w:t>12-10—12-23.</w:t>
      </w:r>
    </w:p>
    <w:p>
      <w:pPr>
        <w:pStyle w:val="BodyText"/>
        <w:spacing w:before="5"/>
      </w:pPr>
    </w:p>
    <w:p>
      <w:pPr>
        <w:pStyle w:val="BodyText"/>
        <w:ind w:left="165"/>
      </w:pPr>
      <w:bookmarkStart w:name="_bookmark2403" w:id="2405"/>
      <w:bookmarkEnd w:id="2405"/>
      <w:r>
        <w:rPr/>
      </w:r>
      <w:hyperlink w:history="true" w:anchor="_bookmark2342">
        <w:r>
          <w:rPr>
            <w:color w:val="005DA1"/>
            <w:position w:val="5"/>
            <w:sz w:val="14"/>
            <w:u w:val="single" w:color="005DA1"/>
          </w:rPr>
          <w:t>1557</w:t>
        </w:r>
      </w:hyperlink>
      <w:r>
        <w:rPr>
          <w:position w:val="5"/>
          <w:sz w:val="14"/>
        </w:rPr>
        <w:t>.</w:t>
      </w:r>
      <w:r>
        <w:rPr>
          <w:spacing w:val="55"/>
          <w:position w:val="5"/>
          <w:sz w:val="14"/>
        </w:rPr>
        <w:t>  </w:t>
      </w:r>
      <w:r>
        <w:rPr/>
        <w:t>See</w:t>
      </w:r>
      <w:r>
        <w:rPr>
          <w:spacing w:val="1"/>
        </w:rPr>
        <w:t> </w:t>
      </w:r>
      <w:r>
        <w:rPr/>
        <w:t>Vol.II, paras 44-291 et </w:t>
      </w:r>
      <w:r>
        <w:rPr>
          <w:spacing w:val="-4"/>
        </w:rPr>
        <w:t>seq.</w:t>
      </w:r>
    </w:p>
    <w:p>
      <w:pPr>
        <w:pStyle w:val="BodyText"/>
        <w:spacing w:before="5"/>
      </w:pPr>
    </w:p>
    <w:p>
      <w:pPr>
        <w:pStyle w:val="BodyText"/>
        <w:ind w:left="165"/>
      </w:pPr>
      <w:bookmarkStart w:name="_bookmark2404" w:id="2406"/>
      <w:bookmarkEnd w:id="2406"/>
      <w:r>
        <w:rPr/>
      </w:r>
      <w:hyperlink w:history="true" w:anchor="_bookmark2343">
        <w:r>
          <w:rPr>
            <w:color w:val="005DA1"/>
            <w:position w:val="5"/>
            <w:sz w:val="14"/>
            <w:u w:val="single" w:color="005DA1"/>
          </w:rPr>
          <w:t>1558</w:t>
        </w:r>
      </w:hyperlink>
      <w:r>
        <w:rPr>
          <w:position w:val="5"/>
          <w:sz w:val="14"/>
        </w:rPr>
        <w:t>.</w:t>
      </w:r>
      <w:r>
        <w:rPr>
          <w:spacing w:val="55"/>
          <w:position w:val="5"/>
          <w:sz w:val="14"/>
        </w:rPr>
        <w:t>  </w:t>
      </w:r>
      <w:r>
        <w:rPr/>
        <w:t>See</w:t>
      </w:r>
      <w:r>
        <w:rPr>
          <w:spacing w:val="1"/>
        </w:rPr>
        <w:t> </w:t>
      </w:r>
      <w:r>
        <w:rPr/>
        <w:t>also Insolvency Act 1986 s.436 including thing in action within its definition of </w:t>
      </w:r>
      <w:r>
        <w:rPr>
          <w:spacing w:val="-2"/>
        </w:rPr>
        <w:t>“property”.</w:t>
      </w:r>
    </w:p>
    <w:p>
      <w:pPr>
        <w:pStyle w:val="BodyText"/>
        <w:spacing w:before="5"/>
      </w:pPr>
    </w:p>
    <w:p>
      <w:pPr>
        <w:spacing w:before="0"/>
        <w:ind w:left="165" w:right="0" w:firstLine="0"/>
        <w:jc w:val="left"/>
        <w:rPr>
          <w:sz w:val="20"/>
        </w:rPr>
      </w:pPr>
      <w:bookmarkStart w:name="_bookmark2405" w:id="2407"/>
      <w:bookmarkEnd w:id="2407"/>
      <w:r>
        <w:rPr/>
      </w:r>
      <w:hyperlink w:history="true" w:anchor="_bookmark2344">
        <w:r>
          <w:rPr>
            <w:color w:val="005DA1"/>
            <w:position w:val="5"/>
            <w:sz w:val="14"/>
            <w:u w:val="single" w:color="005DA1"/>
          </w:rPr>
          <w:t>1559</w:t>
        </w:r>
      </w:hyperlink>
      <w:r>
        <w:rPr>
          <w:position w:val="5"/>
          <w:sz w:val="14"/>
        </w:rPr>
        <w:t>.</w:t>
      </w:r>
      <w:r>
        <w:rPr>
          <w:spacing w:val="55"/>
          <w:position w:val="5"/>
          <w:sz w:val="14"/>
        </w:rPr>
        <w:t>  </w:t>
      </w:r>
      <w:r>
        <w:rPr>
          <w:sz w:val="20"/>
        </w:rPr>
        <w:t>Below,</w:t>
      </w:r>
      <w:r>
        <w:rPr>
          <w:spacing w:val="1"/>
          <w:sz w:val="20"/>
        </w:rPr>
        <w:t> </w:t>
      </w:r>
      <w:r>
        <w:rPr>
          <w:sz w:val="20"/>
        </w:rPr>
        <w:t>paras 18-080—18-</w:t>
      </w:r>
      <w:r>
        <w:rPr>
          <w:spacing w:val="-4"/>
          <w:sz w:val="20"/>
        </w:rPr>
        <w:t>089.</w:t>
      </w:r>
    </w:p>
    <w:p>
      <w:pPr>
        <w:pStyle w:val="BodyText"/>
        <w:spacing w:before="5"/>
      </w:pPr>
    </w:p>
    <w:p>
      <w:pPr>
        <w:spacing w:before="0"/>
        <w:ind w:left="165" w:right="0" w:firstLine="0"/>
        <w:jc w:val="left"/>
        <w:rPr>
          <w:sz w:val="20"/>
        </w:rPr>
      </w:pPr>
      <w:bookmarkStart w:name="_bookmark2406" w:id="2408"/>
      <w:bookmarkEnd w:id="2408"/>
      <w:r>
        <w:rPr/>
      </w:r>
      <w:hyperlink w:history="true" w:anchor="_bookmark2345">
        <w:r>
          <w:rPr>
            <w:color w:val="005DA1"/>
            <w:position w:val="5"/>
            <w:sz w:val="14"/>
            <w:u w:val="single" w:color="005DA1"/>
          </w:rPr>
          <w:t>1560</w:t>
        </w:r>
      </w:hyperlink>
      <w:r>
        <w:rPr>
          <w:position w:val="5"/>
          <w:sz w:val="14"/>
        </w:rPr>
        <w:t>.</w:t>
      </w:r>
      <w:r>
        <w:rPr>
          <w:spacing w:val="55"/>
          <w:position w:val="5"/>
          <w:sz w:val="14"/>
        </w:rPr>
        <w:t>  </w:t>
      </w:r>
      <w:r>
        <w:rPr>
          <w:sz w:val="20"/>
        </w:rPr>
        <w:t>Above,</w:t>
      </w:r>
      <w:r>
        <w:rPr>
          <w:spacing w:val="1"/>
          <w:sz w:val="20"/>
        </w:rPr>
        <w:t> </w:t>
      </w:r>
      <w:r>
        <w:rPr>
          <w:sz w:val="20"/>
        </w:rPr>
        <w:t>paras 1-067—1-</w:t>
      </w:r>
      <w:r>
        <w:rPr>
          <w:spacing w:val="-4"/>
          <w:sz w:val="20"/>
        </w:rPr>
        <w:t>068.</w:t>
      </w:r>
    </w:p>
    <w:p>
      <w:pPr>
        <w:spacing w:after="0"/>
        <w:jc w:val="left"/>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569" w:hRule="atLeast"/>
        </w:trPr>
        <w:tc>
          <w:tcPr>
            <w:tcW w:w="496" w:type="dxa"/>
          </w:tcPr>
          <w:p>
            <w:pPr>
              <w:pStyle w:val="TableParagraph"/>
              <w:spacing w:before="0"/>
              <w:ind w:left="0" w:right="43"/>
              <w:rPr>
                <w:sz w:val="14"/>
              </w:rPr>
            </w:pPr>
            <w:hyperlink w:history="true" w:anchor="_bookmark2346">
              <w:r>
                <w:rPr>
                  <w:color w:val="005DA1"/>
                  <w:spacing w:val="-2"/>
                  <w:sz w:val="14"/>
                  <w:u w:val="single" w:color="005DA1"/>
                </w:rPr>
                <w:t>1561</w:t>
              </w:r>
            </w:hyperlink>
            <w:r>
              <w:rPr>
                <w:spacing w:val="-2"/>
                <w:sz w:val="14"/>
              </w:rPr>
              <w:t>.</w:t>
            </w:r>
          </w:p>
        </w:tc>
        <w:tc>
          <w:tcPr>
            <w:tcW w:w="8621" w:type="dxa"/>
          </w:tcPr>
          <w:p>
            <w:pPr>
              <w:pStyle w:val="TableParagraph"/>
              <w:spacing w:line="235" w:lineRule="auto" w:before="0"/>
              <w:jc w:val="left"/>
              <w:rPr>
                <w:sz w:val="20"/>
              </w:rPr>
            </w:pPr>
            <w:r>
              <w:rPr>
                <w:rFonts w:ascii="Arial" w:hAnsi="Arial"/>
                <w:i/>
                <w:sz w:val="20"/>
              </w:rPr>
              <w:t>OGB</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Allan,</w:t>
            </w:r>
            <w:r>
              <w:rPr>
                <w:rFonts w:ascii="Arial" w:hAnsi="Arial"/>
                <w:i/>
                <w:spacing w:val="21"/>
                <w:sz w:val="20"/>
              </w:rPr>
              <w:t> </w:t>
            </w:r>
            <w:r>
              <w:rPr>
                <w:rFonts w:ascii="Arial" w:hAnsi="Arial"/>
                <w:i/>
                <w:sz w:val="20"/>
              </w:rPr>
              <w:t>Douglas</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Hello!</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Mainstream</w:t>
            </w:r>
            <w:r>
              <w:rPr>
                <w:rFonts w:ascii="Arial" w:hAnsi="Arial"/>
                <w:i/>
                <w:spacing w:val="21"/>
                <w:sz w:val="20"/>
              </w:rPr>
              <w:t> </w:t>
            </w:r>
            <w:r>
              <w:rPr>
                <w:rFonts w:ascii="Arial" w:hAnsi="Arial"/>
                <w:i/>
                <w:sz w:val="20"/>
              </w:rPr>
              <w:t>Properties</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Young</w:t>
            </w:r>
            <w:r>
              <w:rPr>
                <w:rFonts w:ascii="Arial" w:hAnsi="Arial"/>
                <w:i/>
                <w:spacing w:val="21"/>
                <w:sz w:val="20"/>
              </w:rPr>
              <w:t> </w:t>
            </w:r>
            <w:r>
              <w:rPr>
                <w:rFonts w:ascii="Arial" w:hAnsi="Arial"/>
                <w:i/>
                <w:sz w:val="20"/>
              </w:rPr>
              <w:t>[2007]</w:t>
            </w:r>
            <w:r>
              <w:rPr>
                <w:rFonts w:ascii="Arial" w:hAnsi="Arial"/>
                <w:i/>
                <w:spacing w:val="21"/>
                <w:sz w:val="20"/>
              </w:rPr>
              <w:t> </w:t>
            </w:r>
            <w:r>
              <w:rPr>
                <w:rFonts w:ascii="Arial" w:hAnsi="Arial"/>
                <w:i/>
                <w:sz w:val="20"/>
              </w:rPr>
              <w:t>UKHL</w:t>
            </w:r>
            <w:r>
              <w:rPr>
                <w:rFonts w:ascii="Arial" w:hAnsi="Arial"/>
                <w:i/>
                <w:spacing w:val="21"/>
                <w:sz w:val="20"/>
              </w:rPr>
              <w:t> </w:t>
            </w:r>
            <w:r>
              <w:rPr>
                <w:rFonts w:ascii="Arial" w:hAnsi="Arial"/>
                <w:i/>
                <w:sz w:val="20"/>
              </w:rPr>
              <w:t>21, [2008] 1 A.C. 1 </w:t>
            </w:r>
            <w:r>
              <w:rPr>
                <w:sz w:val="20"/>
              </w:rPr>
              <w:t>especially at [95]–[106].</w:t>
            </w:r>
          </w:p>
        </w:tc>
      </w:tr>
      <w:tr>
        <w:trPr>
          <w:trHeight w:val="690" w:hRule="atLeast"/>
        </w:trPr>
        <w:tc>
          <w:tcPr>
            <w:tcW w:w="496" w:type="dxa"/>
          </w:tcPr>
          <w:p>
            <w:pPr>
              <w:pStyle w:val="TableParagraph"/>
              <w:ind w:left="0" w:right="43"/>
              <w:rPr>
                <w:sz w:val="14"/>
              </w:rPr>
            </w:pPr>
            <w:bookmarkStart w:name="_bookmark2407" w:id="2409"/>
            <w:bookmarkEnd w:id="2409"/>
            <w:r>
              <w:rPr/>
            </w:r>
            <w:hyperlink w:history="true" w:anchor="_bookmark2347">
              <w:r>
                <w:rPr>
                  <w:color w:val="005DA1"/>
                  <w:spacing w:val="-2"/>
                  <w:sz w:val="14"/>
                  <w:u w:val="single" w:color="005DA1"/>
                </w:rPr>
                <w:t>1562</w:t>
              </w:r>
            </w:hyperlink>
            <w:r>
              <w:rPr>
                <w:spacing w:val="-2"/>
                <w:sz w:val="14"/>
              </w:rPr>
              <w:t>.</w:t>
            </w:r>
          </w:p>
        </w:tc>
        <w:tc>
          <w:tcPr>
            <w:tcW w:w="8621" w:type="dxa"/>
          </w:tcPr>
          <w:p>
            <w:pPr>
              <w:pStyle w:val="TableParagraph"/>
              <w:spacing w:line="235" w:lineRule="auto" w:before="118"/>
              <w:jc w:val="left"/>
              <w:rPr>
                <w:sz w:val="20"/>
              </w:rPr>
            </w:pPr>
            <w:r>
              <w:rPr>
                <w:rFonts w:ascii="Arial" w:hAnsi="Arial"/>
                <w:i/>
                <w:sz w:val="20"/>
              </w:rPr>
              <w:t>[2007]</w:t>
            </w:r>
            <w:r>
              <w:rPr>
                <w:rFonts w:ascii="Arial" w:hAnsi="Arial"/>
                <w:i/>
                <w:spacing w:val="37"/>
                <w:sz w:val="20"/>
              </w:rPr>
              <w:t> </w:t>
            </w:r>
            <w:r>
              <w:rPr>
                <w:rFonts w:ascii="Arial" w:hAnsi="Arial"/>
                <w:i/>
                <w:sz w:val="20"/>
              </w:rPr>
              <w:t>UKHL</w:t>
            </w:r>
            <w:r>
              <w:rPr>
                <w:rFonts w:ascii="Arial" w:hAnsi="Arial"/>
                <w:i/>
                <w:spacing w:val="37"/>
                <w:sz w:val="20"/>
              </w:rPr>
              <w:t> </w:t>
            </w:r>
            <w:r>
              <w:rPr>
                <w:rFonts w:ascii="Arial" w:hAnsi="Arial"/>
                <w:i/>
                <w:sz w:val="20"/>
              </w:rPr>
              <w:t>21</w:t>
            </w:r>
            <w:r>
              <w:rPr>
                <w:rFonts w:ascii="Arial" w:hAnsi="Arial"/>
                <w:i/>
                <w:spacing w:val="37"/>
                <w:sz w:val="20"/>
              </w:rPr>
              <w:t> </w:t>
            </w:r>
            <w:r>
              <w:rPr>
                <w:sz w:val="20"/>
              </w:rPr>
              <w:t>at</w:t>
            </w:r>
            <w:r>
              <w:rPr>
                <w:spacing w:val="37"/>
                <w:sz w:val="20"/>
              </w:rPr>
              <w:t> </w:t>
            </w:r>
            <w:r>
              <w:rPr>
                <w:sz w:val="20"/>
              </w:rPr>
              <w:t>[310],</w:t>
            </w:r>
            <w:r>
              <w:rPr>
                <w:spacing w:val="37"/>
                <w:sz w:val="20"/>
              </w:rPr>
              <w:t> </w:t>
            </w:r>
            <w:r>
              <w:rPr>
                <w:sz w:val="20"/>
              </w:rPr>
              <w:t>per</w:t>
            </w:r>
            <w:r>
              <w:rPr>
                <w:spacing w:val="37"/>
                <w:sz w:val="20"/>
              </w:rPr>
              <w:t> </w:t>
            </w:r>
            <w:r>
              <w:rPr>
                <w:sz w:val="20"/>
              </w:rPr>
              <w:t>Baroness</w:t>
            </w:r>
            <w:r>
              <w:rPr>
                <w:spacing w:val="37"/>
                <w:sz w:val="20"/>
              </w:rPr>
              <w:t> </w:t>
            </w:r>
            <w:r>
              <w:rPr>
                <w:sz w:val="20"/>
              </w:rPr>
              <w:t>Hale</w:t>
            </w:r>
            <w:r>
              <w:rPr>
                <w:spacing w:val="37"/>
                <w:sz w:val="20"/>
              </w:rPr>
              <w:t> </w:t>
            </w:r>
            <w:r>
              <w:rPr>
                <w:sz w:val="20"/>
              </w:rPr>
              <w:t>of</w:t>
            </w:r>
            <w:r>
              <w:rPr>
                <w:spacing w:val="37"/>
                <w:sz w:val="20"/>
              </w:rPr>
              <w:t> </w:t>
            </w:r>
            <w:r>
              <w:rPr>
                <w:sz w:val="20"/>
              </w:rPr>
              <w:t>Richmond,</w:t>
            </w:r>
            <w:r>
              <w:rPr>
                <w:spacing w:val="37"/>
                <w:sz w:val="20"/>
              </w:rPr>
              <w:t> </w:t>
            </w:r>
            <w:r>
              <w:rPr>
                <w:sz w:val="20"/>
              </w:rPr>
              <w:t>and</w:t>
            </w:r>
            <w:r>
              <w:rPr>
                <w:spacing w:val="37"/>
                <w:sz w:val="20"/>
              </w:rPr>
              <w:t> </w:t>
            </w:r>
            <w:r>
              <w:rPr>
                <w:sz w:val="20"/>
              </w:rPr>
              <w:t>see</w:t>
            </w:r>
            <w:r>
              <w:rPr>
                <w:spacing w:val="37"/>
                <w:sz w:val="20"/>
              </w:rPr>
              <w:t> </w:t>
            </w:r>
            <w:r>
              <w:rPr>
                <w:sz w:val="20"/>
              </w:rPr>
              <w:t>also</w:t>
            </w:r>
            <w:r>
              <w:rPr>
                <w:spacing w:val="37"/>
                <w:sz w:val="20"/>
              </w:rPr>
              <w:t> </w:t>
            </w:r>
            <w:r>
              <w:rPr>
                <w:sz w:val="20"/>
              </w:rPr>
              <w:t>[220]–[240]</w:t>
            </w:r>
            <w:r>
              <w:rPr>
                <w:spacing w:val="37"/>
                <w:sz w:val="20"/>
              </w:rPr>
              <w:t> </w:t>
            </w:r>
            <w:r>
              <w:rPr>
                <w:sz w:val="20"/>
              </w:rPr>
              <w:t>(Lord Nicholls of Birkenhead).</w:t>
            </w:r>
          </w:p>
        </w:tc>
      </w:tr>
      <w:tr>
        <w:trPr>
          <w:trHeight w:val="465" w:hRule="atLeast"/>
        </w:trPr>
        <w:tc>
          <w:tcPr>
            <w:tcW w:w="496" w:type="dxa"/>
          </w:tcPr>
          <w:p>
            <w:pPr>
              <w:pStyle w:val="TableParagraph"/>
              <w:ind w:left="0" w:right="43"/>
              <w:rPr>
                <w:sz w:val="14"/>
              </w:rPr>
            </w:pPr>
            <w:bookmarkStart w:name="_bookmark2408" w:id="2410"/>
            <w:bookmarkEnd w:id="2410"/>
            <w:r>
              <w:rPr/>
            </w:r>
            <w:hyperlink w:history="true" w:anchor="_bookmark2348">
              <w:r>
                <w:rPr>
                  <w:color w:val="005DA1"/>
                  <w:spacing w:val="-2"/>
                  <w:sz w:val="14"/>
                  <w:u w:val="single" w:color="005DA1"/>
                </w:rPr>
                <w:t>1563</w:t>
              </w:r>
            </w:hyperlink>
            <w:r>
              <w:rPr>
                <w:spacing w:val="-2"/>
                <w:sz w:val="14"/>
              </w:rPr>
              <w:t>.</w:t>
            </w:r>
          </w:p>
        </w:tc>
        <w:tc>
          <w:tcPr>
            <w:tcW w:w="8621" w:type="dxa"/>
          </w:tcPr>
          <w:p>
            <w:pPr>
              <w:pStyle w:val="TableParagraph"/>
              <w:spacing w:before="114"/>
              <w:jc w:val="left"/>
              <w:rPr>
                <w:sz w:val="20"/>
              </w:rPr>
            </w:pPr>
            <w:r>
              <w:rPr>
                <w:sz w:val="20"/>
              </w:rPr>
              <w:t>Goff</w:t>
            </w:r>
            <w:r>
              <w:rPr>
                <w:spacing w:val="-1"/>
                <w:sz w:val="20"/>
              </w:rPr>
              <w:t> </w:t>
            </w:r>
            <w:r>
              <w:rPr>
                <w:sz w:val="20"/>
              </w:rPr>
              <w:t>and Jones,</w:t>
            </w:r>
            <w:r>
              <w:rPr>
                <w:spacing w:val="-1"/>
                <w:sz w:val="20"/>
              </w:rPr>
              <w:t> </w:t>
            </w:r>
            <w:r>
              <w:rPr>
                <w:rFonts w:ascii="Arial"/>
                <w:i/>
                <w:sz w:val="20"/>
              </w:rPr>
              <w:t>The Law of Unjust Enrichment</w:t>
            </w:r>
            <w:r>
              <w:rPr>
                <w:sz w:val="20"/>
              </w:rPr>
              <w:t>, 8th edn (2011), </w:t>
            </w:r>
            <w:r>
              <w:rPr>
                <w:spacing w:val="-2"/>
                <w:sz w:val="20"/>
              </w:rPr>
              <w:t>para.105.</w:t>
            </w:r>
          </w:p>
        </w:tc>
      </w:tr>
      <w:tr>
        <w:trPr>
          <w:trHeight w:val="465" w:hRule="atLeast"/>
        </w:trPr>
        <w:tc>
          <w:tcPr>
            <w:tcW w:w="496" w:type="dxa"/>
          </w:tcPr>
          <w:p>
            <w:pPr>
              <w:pStyle w:val="TableParagraph"/>
              <w:ind w:left="0" w:right="43"/>
              <w:rPr>
                <w:sz w:val="14"/>
              </w:rPr>
            </w:pPr>
            <w:bookmarkStart w:name="_bookmark2409" w:id="2411"/>
            <w:bookmarkEnd w:id="2411"/>
            <w:r>
              <w:rPr/>
            </w:r>
            <w:hyperlink w:history="true" w:anchor="_bookmark2349">
              <w:r>
                <w:rPr>
                  <w:color w:val="005DA1"/>
                  <w:spacing w:val="-2"/>
                  <w:sz w:val="14"/>
                  <w:u w:val="single" w:color="005DA1"/>
                </w:rPr>
                <w:t>1564</w:t>
              </w:r>
            </w:hyperlink>
            <w:r>
              <w:rPr>
                <w:spacing w:val="-2"/>
                <w:sz w:val="14"/>
              </w:rPr>
              <w:t>.</w:t>
            </w:r>
          </w:p>
        </w:tc>
        <w:tc>
          <w:tcPr>
            <w:tcW w:w="8621" w:type="dxa"/>
          </w:tcPr>
          <w:p>
            <w:pPr>
              <w:pStyle w:val="TableParagraph"/>
              <w:spacing w:before="114"/>
              <w:jc w:val="left"/>
              <w:rPr>
                <w:sz w:val="20"/>
              </w:rPr>
            </w:pPr>
            <w:r>
              <w:rPr>
                <w:sz w:val="20"/>
              </w:rPr>
              <w:t>Whittaker (2001) 21 O.J.L.S. 103, </w:t>
            </w:r>
            <w:r>
              <w:rPr>
                <w:spacing w:val="-4"/>
                <w:sz w:val="20"/>
              </w:rPr>
              <w:t>193.</w:t>
            </w:r>
          </w:p>
        </w:tc>
      </w:tr>
      <w:tr>
        <w:trPr>
          <w:trHeight w:val="465" w:hRule="atLeast"/>
        </w:trPr>
        <w:tc>
          <w:tcPr>
            <w:tcW w:w="496" w:type="dxa"/>
          </w:tcPr>
          <w:p>
            <w:pPr>
              <w:pStyle w:val="TableParagraph"/>
              <w:ind w:left="0" w:right="43"/>
              <w:rPr>
                <w:sz w:val="14"/>
              </w:rPr>
            </w:pPr>
            <w:bookmarkStart w:name="_bookmark2410" w:id="2412"/>
            <w:bookmarkEnd w:id="2412"/>
            <w:r>
              <w:rPr/>
            </w:r>
            <w:hyperlink w:history="true" w:anchor="_bookmark2350">
              <w:r>
                <w:rPr>
                  <w:color w:val="005DA1"/>
                  <w:spacing w:val="-2"/>
                  <w:sz w:val="14"/>
                  <w:u w:val="single" w:color="005DA1"/>
                </w:rPr>
                <w:t>1565</w:t>
              </w:r>
            </w:hyperlink>
            <w:r>
              <w:rPr>
                <w:spacing w:val="-2"/>
                <w:sz w:val="14"/>
              </w:rPr>
              <w:t>.</w:t>
            </w:r>
          </w:p>
        </w:tc>
        <w:tc>
          <w:tcPr>
            <w:tcW w:w="8621" w:type="dxa"/>
          </w:tcPr>
          <w:p>
            <w:pPr>
              <w:pStyle w:val="TableParagraph"/>
              <w:spacing w:before="114"/>
              <w:jc w:val="left"/>
              <w:rPr>
                <w:sz w:val="20"/>
              </w:rPr>
            </w:pPr>
            <w:r>
              <w:rPr>
                <w:rFonts w:ascii="Arial" w:hAnsi="Arial"/>
                <w:i/>
                <w:sz w:val="20"/>
              </w:rPr>
              <w:t>O’Reilly</w:t>
            </w:r>
            <w:r>
              <w:rPr>
                <w:rFonts w:ascii="Arial" w:hAnsi="Arial"/>
                <w:i/>
                <w:spacing w:val="-1"/>
                <w:sz w:val="20"/>
              </w:rPr>
              <w:t> </w:t>
            </w:r>
            <w:r>
              <w:rPr>
                <w:rFonts w:ascii="Arial" w:hAnsi="Arial"/>
                <w:i/>
                <w:sz w:val="20"/>
              </w:rPr>
              <w:t>v Mackman [1983] 2 A.C. 237</w:t>
            </w:r>
            <w:r>
              <w:rPr>
                <w:sz w:val="20"/>
              </w:rPr>
              <w:t>; </w:t>
            </w:r>
            <w:r>
              <w:rPr>
                <w:rFonts w:ascii="Arial" w:hAnsi="Arial"/>
                <w:i/>
                <w:sz w:val="20"/>
              </w:rPr>
              <w:t>Cocks v Thanet DC [1983] 2 A.C. </w:t>
            </w:r>
            <w:r>
              <w:rPr>
                <w:rFonts w:ascii="Arial" w:hAnsi="Arial"/>
                <w:i/>
                <w:spacing w:val="-4"/>
                <w:sz w:val="20"/>
              </w:rPr>
              <w:t>286</w:t>
            </w:r>
            <w:r>
              <w:rPr>
                <w:spacing w:val="-4"/>
                <w:sz w:val="20"/>
              </w:rPr>
              <w:t>.</w:t>
            </w:r>
          </w:p>
        </w:tc>
      </w:tr>
      <w:tr>
        <w:trPr>
          <w:trHeight w:val="690" w:hRule="atLeast"/>
        </w:trPr>
        <w:tc>
          <w:tcPr>
            <w:tcW w:w="496" w:type="dxa"/>
          </w:tcPr>
          <w:p>
            <w:pPr>
              <w:pStyle w:val="TableParagraph"/>
              <w:ind w:left="0" w:right="43"/>
              <w:rPr>
                <w:sz w:val="14"/>
              </w:rPr>
            </w:pPr>
            <w:bookmarkStart w:name="_bookmark2411" w:id="2413"/>
            <w:bookmarkEnd w:id="2413"/>
            <w:r>
              <w:rPr/>
            </w:r>
            <w:hyperlink w:history="true" w:anchor="_bookmark2351">
              <w:r>
                <w:rPr>
                  <w:color w:val="005DA1"/>
                  <w:spacing w:val="-2"/>
                  <w:sz w:val="14"/>
                  <w:u w:val="single" w:color="005DA1"/>
                </w:rPr>
                <w:t>1566</w:t>
              </w:r>
            </w:hyperlink>
            <w:r>
              <w:rPr>
                <w:spacing w:val="-2"/>
                <w:sz w:val="14"/>
              </w:rPr>
              <w:t>.</w:t>
            </w:r>
          </w:p>
        </w:tc>
        <w:tc>
          <w:tcPr>
            <w:tcW w:w="8621" w:type="dxa"/>
          </w:tcPr>
          <w:p>
            <w:pPr>
              <w:pStyle w:val="TableParagraph"/>
              <w:spacing w:line="235" w:lineRule="auto" w:before="118"/>
              <w:jc w:val="left"/>
              <w:rPr>
                <w:sz w:val="20"/>
              </w:rPr>
            </w:pPr>
            <w:r>
              <w:rPr>
                <w:sz w:val="20"/>
              </w:rPr>
              <w:t>Leyland and Woods, </w:t>
            </w:r>
            <w:r>
              <w:rPr>
                <w:rFonts w:ascii="Arial"/>
                <w:i/>
                <w:sz w:val="20"/>
              </w:rPr>
              <w:t>Textbook on Administrative Law</w:t>
            </w:r>
            <w:r>
              <w:rPr>
                <w:sz w:val="20"/>
              </w:rPr>
              <w:t>, 5th edn (2005), p.499; A. Davies, </w:t>
            </w:r>
            <w:r>
              <w:rPr>
                <w:rFonts w:ascii="Arial"/>
                <w:i/>
                <w:sz w:val="20"/>
              </w:rPr>
              <w:t>The</w:t>
            </w:r>
            <w:r>
              <w:rPr>
                <w:rFonts w:ascii="Arial"/>
                <w:i/>
                <w:spacing w:val="80"/>
                <w:w w:val="150"/>
                <w:sz w:val="20"/>
              </w:rPr>
              <w:t> </w:t>
            </w:r>
            <w:r>
              <w:rPr>
                <w:rFonts w:ascii="Arial"/>
                <w:i/>
                <w:sz w:val="20"/>
              </w:rPr>
              <w:t>Public Law of Government Contracts </w:t>
            </w:r>
            <w:r>
              <w:rPr>
                <w:sz w:val="20"/>
              </w:rPr>
              <w:t>(2008).</w:t>
            </w:r>
          </w:p>
        </w:tc>
      </w:tr>
      <w:tr>
        <w:trPr>
          <w:trHeight w:val="465" w:hRule="atLeast"/>
        </w:trPr>
        <w:tc>
          <w:tcPr>
            <w:tcW w:w="496" w:type="dxa"/>
          </w:tcPr>
          <w:p>
            <w:pPr>
              <w:pStyle w:val="TableParagraph"/>
              <w:ind w:left="0" w:right="43"/>
              <w:rPr>
                <w:sz w:val="14"/>
              </w:rPr>
            </w:pPr>
            <w:bookmarkStart w:name="_bookmark2412" w:id="2414"/>
            <w:bookmarkEnd w:id="2414"/>
            <w:r>
              <w:rPr/>
            </w:r>
            <w:hyperlink w:history="true" w:anchor="_bookmark2352">
              <w:r>
                <w:rPr>
                  <w:color w:val="005DA1"/>
                  <w:spacing w:val="-2"/>
                  <w:sz w:val="14"/>
                  <w:u w:val="single" w:color="005DA1"/>
                </w:rPr>
                <w:t>1567</w:t>
              </w:r>
            </w:hyperlink>
            <w:r>
              <w:rPr>
                <w:spacing w:val="-2"/>
                <w:sz w:val="14"/>
              </w:rPr>
              <w:t>.</w:t>
            </w:r>
          </w:p>
        </w:tc>
        <w:tc>
          <w:tcPr>
            <w:tcW w:w="8621" w:type="dxa"/>
          </w:tcPr>
          <w:p>
            <w:pPr>
              <w:pStyle w:val="TableParagraph"/>
              <w:spacing w:before="114"/>
              <w:jc w:val="left"/>
              <w:rPr>
                <w:sz w:val="20"/>
              </w:rPr>
            </w:pPr>
            <w:r>
              <w:rPr>
                <w:rFonts w:ascii="Arial"/>
                <w:i/>
                <w:sz w:val="20"/>
              </w:rPr>
              <w:t>[1983]</w:t>
            </w:r>
            <w:r>
              <w:rPr>
                <w:rFonts w:ascii="Arial"/>
                <w:i/>
                <w:spacing w:val="-1"/>
                <w:sz w:val="20"/>
              </w:rPr>
              <w:t> </w:t>
            </w:r>
            <w:r>
              <w:rPr>
                <w:rFonts w:ascii="Arial"/>
                <w:i/>
                <w:sz w:val="20"/>
              </w:rPr>
              <w:t>2 A.C. 237</w:t>
            </w:r>
            <w:r>
              <w:rPr>
                <w:sz w:val="20"/>
              </w:rPr>
              <w:t>; </w:t>
            </w:r>
            <w:r>
              <w:rPr>
                <w:rFonts w:ascii="Arial"/>
                <w:i/>
                <w:sz w:val="20"/>
              </w:rPr>
              <w:t>Cocks v Thanet DC [1983] 2 A.C. </w:t>
            </w:r>
            <w:r>
              <w:rPr>
                <w:rFonts w:ascii="Arial"/>
                <w:i/>
                <w:spacing w:val="-4"/>
                <w:sz w:val="20"/>
              </w:rPr>
              <w:t>286</w:t>
            </w:r>
            <w:r>
              <w:rPr>
                <w:spacing w:val="-4"/>
                <w:sz w:val="20"/>
              </w:rPr>
              <w:t>.</w:t>
            </w:r>
          </w:p>
        </w:tc>
      </w:tr>
      <w:tr>
        <w:trPr>
          <w:trHeight w:val="1365" w:hRule="atLeast"/>
        </w:trPr>
        <w:tc>
          <w:tcPr>
            <w:tcW w:w="496" w:type="dxa"/>
          </w:tcPr>
          <w:p>
            <w:pPr>
              <w:pStyle w:val="TableParagraph"/>
              <w:ind w:left="0" w:right="43"/>
              <w:rPr>
                <w:sz w:val="14"/>
              </w:rPr>
            </w:pPr>
            <w:bookmarkStart w:name="_bookmark2413" w:id="2415"/>
            <w:bookmarkEnd w:id="2415"/>
            <w:r>
              <w:rPr/>
            </w:r>
            <w:hyperlink w:history="true" w:anchor="_bookmark2353">
              <w:r>
                <w:rPr>
                  <w:color w:val="005DA1"/>
                  <w:spacing w:val="-2"/>
                  <w:sz w:val="14"/>
                  <w:u w:val="single" w:color="005DA1"/>
                </w:rPr>
                <w:t>1568</w:t>
              </w:r>
            </w:hyperlink>
            <w:r>
              <w:rPr>
                <w:spacing w:val="-2"/>
                <w:sz w:val="14"/>
              </w:rPr>
              <w:t>.</w:t>
            </w:r>
          </w:p>
        </w:tc>
        <w:tc>
          <w:tcPr>
            <w:tcW w:w="8621" w:type="dxa"/>
          </w:tcPr>
          <w:p>
            <w:pPr>
              <w:pStyle w:val="TableParagraph"/>
              <w:spacing w:line="235" w:lineRule="auto" w:before="118"/>
              <w:ind w:right="49"/>
              <w:jc w:val="both"/>
              <w:rPr>
                <w:sz w:val="20"/>
              </w:rPr>
            </w:pPr>
            <w:r>
              <w:rPr>
                <w:rFonts w:ascii="Arial"/>
                <w:i/>
                <w:sz w:val="20"/>
              </w:rPr>
              <w:t>R. v East Berkshire Health Authority, Ex p. Walsh [1985] Q.B. 152</w:t>
            </w:r>
            <w:r>
              <w:rPr>
                <w:sz w:val="20"/>
              </w:rPr>
              <w:t>. In </w:t>
            </w:r>
            <w:r>
              <w:rPr>
                <w:rFonts w:ascii="Arial"/>
                <w:i/>
                <w:sz w:val="20"/>
              </w:rPr>
              <w:t>Council of Civil Service Trade Unions v Minister for the Civil Service [1985] A.C. 374</w:t>
            </w:r>
            <w:r>
              <w:rPr>
                <w:sz w:val="20"/>
              </w:rPr>
              <w:t>, Crown service was held susceptible to judicial review, although the contractual issues involved were not argued </w:t>
            </w:r>
            <w:r>
              <w:rPr>
                <w:sz w:val="20"/>
              </w:rPr>
              <w:t>before the House of Lords: see Wade (1985) 101 L.Q.R. 180, 194-197 and cf. Fredman and Morris (1988) P.L. 58.</w:t>
            </w:r>
          </w:p>
        </w:tc>
      </w:tr>
      <w:tr>
        <w:trPr>
          <w:trHeight w:val="465" w:hRule="atLeast"/>
        </w:trPr>
        <w:tc>
          <w:tcPr>
            <w:tcW w:w="496" w:type="dxa"/>
          </w:tcPr>
          <w:p>
            <w:pPr>
              <w:pStyle w:val="TableParagraph"/>
              <w:ind w:left="0" w:right="43"/>
              <w:rPr>
                <w:sz w:val="14"/>
              </w:rPr>
            </w:pPr>
            <w:bookmarkStart w:name="_bookmark2414" w:id="2416"/>
            <w:bookmarkEnd w:id="2416"/>
            <w:r>
              <w:rPr/>
            </w:r>
            <w:hyperlink w:history="true" w:anchor="_bookmark2354">
              <w:r>
                <w:rPr>
                  <w:color w:val="005DA1"/>
                  <w:spacing w:val="-2"/>
                  <w:sz w:val="14"/>
                  <w:u w:val="single" w:color="005DA1"/>
                </w:rPr>
                <w:t>1569</w:t>
              </w:r>
            </w:hyperlink>
            <w:r>
              <w:rPr>
                <w:spacing w:val="-2"/>
                <w:sz w:val="14"/>
              </w:rPr>
              <w:t>.</w:t>
            </w:r>
          </w:p>
        </w:tc>
        <w:tc>
          <w:tcPr>
            <w:tcW w:w="8621" w:type="dxa"/>
          </w:tcPr>
          <w:p>
            <w:pPr>
              <w:pStyle w:val="TableParagraph"/>
              <w:spacing w:before="114"/>
              <w:jc w:val="left"/>
              <w:rPr>
                <w:sz w:val="20"/>
              </w:rPr>
            </w:pPr>
            <w:r>
              <w:rPr>
                <w:rFonts w:ascii="Arial" w:hAnsi="Arial"/>
                <w:i/>
                <w:sz w:val="20"/>
              </w:rPr>
              <w:t>O’Reilly v Mackman [1983] 2 A.C. </w:t>
            </w:r>
            <w:r>
              <w:rPr>
                <w:rFonts w:ascii="Arial" w:hAnsi="Arial"/>
                <w:i/>
                <w:spacing w:val="-4"/>
                <w:sz w:val="20"/>
              </w:rPr>
              <w:t>237</w:t>
            </w:r>
            <w:r>
              <w:rPr>
                <w:spacing w:val="-4"/>
                <w:sz w:val="20"/>
              </w:rPr>
              <w:t>.</w:t>
            </w:r>
          </w:p>
        </w:tc>
      </w:tr>
      <w:tr>
        <w:trPr>
          <w:trHeight w:val="465" w:hRule="atLeast"/>
        </w:trPr>
        <w:tc>
          <w:tcPr>
            <w:tcW w:w="496" w:type="dxa"/>
          </w:tcPr>
          <w:p>
            <w:pPr>
              <w:pStyle w:val="TableParagraph"/>
              <w:ind w:left="0" w:right="43"/>
              <w:rPr>
                <w:sz w:val="14"/>
              </w:rPr>
            </w:pPr>
            <w:bookmarkStart w:name="_bookmark2415" w:id="2417"/>
            <w:bookmarkEnd w:id="2417"/>
            <w:r>
              <w:rPr/>
            </w:r>
            <w:hyperlink w:history="true" w:anchor="_bookmark2355">
              <w:r>
                <w:rPr>
                  <w:color w:val="005DA1"/>
                  <w:spacing w:val="-2"/>
                  <w:sz w:val="14"/>
                  <w:u w:val="single" w:color="005DA1"/>
                </w:rPr>
                <w:t>1570</w:t>
              </w:r>
            </w:hyperlink>
            <w:r>
              <w:rPr>
                <w:spacing w:val="-2"/>
                <w:sz w:val="14"/>
              </w:rPr>
              <w:t>.</w:t>
            </w:r>
          </w:p>
        </w:tc>
        <w:tc>
          <w:tcPr>
            <w:tcW w:w="8621" w:type="dxa"/>
          </w:tcPr>
          <w:p>
            <w:pPr>
              <w:pStyle w:val="TableParagraph"/>
              <w:spacing w:before="114"/>
              <w:jc w:val="left"/>
              <w:rPr>
                <w:sz w:val="20"/>
              </w:rPr>
            </w:pPr>
            <w:r>
              <w:rPr>
                <w:sz w:val="20"/>
              </w:rPr>
              <w:t>Wade</w:t>
            </w:r>
            <w:r>
              <w:rPr>
                <w:spacing w:val="-3"/>
                <w:sz w:val="20"/>
              </w:rPr>
              <w:t> </w:t>
            </w:r>
            <w:r>
              <w:rPr>
                <w:sz w:val="20"/>
              </w:rPr>
              <w:t>and Forsyth,</w:t>
            </w:r>
            <w:r>
              <w:rPr>
                <w:spacing w:val="-1"/>
                <w:sz w:val="20"/>
              </w:rPr>
              <w:t> </w:t>
            </w:r>
            <w:r>
              <w:rPr>
                <w:rFonts w:ascii="Arial"/>
                <w:i/>
                <w:sz w:val="20"/>
              </w:rPr>
              <w:t>Administrative Law</w:t>
            </w:r>
            <w:r>
              <w:rPr>
                <w:sz w:val="20"/>
              </w:rPr>
              <w:t>, 9th edn (2004), </w:t>
            </w:r>
            <w:r>
              <w:rPr>
                <w:spacing w:val="-2"/>
                <w:sz w:val="20"/>
              </w:rPr>
              <w:t>p.676.</w:t>
            </w:r>
          </w:p>
        </w:tc>
      </w:tr>
      <w:tr>
        <w:trPr>
          <w:trHeight w:val="465" w:hRule="atLeast"/>
        </w:trPr>
        <w:tc>
          <w:tcPr>
            <w:tcW w:w="496" w:type="dxa"/>
          </w:tcPr>
          <w:p>
            <w:pPr>
              <w:pStyle w:val="TableParagraph"/>
              <w:ind w:left="0" w:right="43"/>
              <w:rPr>
                <w:sz w:val="14"/>
              </w:rPr>
            </w:pPr>
            <w:bookmarkStart w:name="_bookmark2416" w:id="2418"/>
            <w:bookmarkEnd w:id="2418"/>
            <w:r>
              <w:rPr/>
            </w:r>
            <w:hyperlink w:history="true" w:anchor="_bookmark2356">
              <w:r>
                <w:rPr>
                  <w:color w:val="005DA1"/>
                  <w:spacing w:val="-2"/>
                  <w:sz w:val="14"/>
                  <w:u w:val="single" w:color="005DA1"/>
                </w:rPr>
                <w:t>1571</w:t>
              </w:r>
            </w:hyperlink>
            <w:r>
              <w:rPr>
                <w:spacing w:val="-2"/>
                <w:sz w:val="14"/>
              </w:rPr>
              <w:t>.</w:t>
            </w:r>
          </w:p>
        </w:tc>
        <w:tc>
          <w:tcPr>
            <w:tcW w:w="8621" w:type="dxa"/>
          </w:tcPr>
          <w:p>
            <w:pPr>
              <w:pStyle w:val="TableParagraph"/>
              <w:spacing w:before="114"/>
              <w:jc w:val="left"/>
              <w:rPr>
                <w:sz w:val="20"/>
              </w:rPr>
            </w:pPr>
            <w:r>
              <w:rPr>
                <w:sz w:val="20"/>
              </w:rPr>
              <w:t>CPR Pt </w:t>
            </w:r>
            <w:r>
              <w:rPr>
                <w:spacing w:val="-5"/>
                <w:sz w:val="20"/>
              </w:rPr>
              <w:t>1.</w:t>
            </w:r>
          </w:p>
        </w:tc>
      </w:tr>
      <w:tr>
        <w:trPr>
          <w:trHeight w:val="465" w:hRule="atLeast"/>
        </w:trPr>
        <w:tc>
          <w:tcPr>
            <w:tcW w:w="496" w:type="dxa"/>
          </w:tcPr>
          <w:p>
            <w:pPr>
              <w:pStyle w:val="TableParagraph"/>
              <w:ind w:left="0" w:right="43"/>
              <w:rPr>
                <w:sz w:val="14"/>
              </w:rPr>
            </w:pPr>
            <w:bookmarkStart w:name="_bookmark2417" w:id="2419"/>
            <w:bookmarkEnd w:id="2419"/>
            <w:r>
              <w:rPr/>
            </w:r>
            <w:hyperlink w:history="true" w:anchor="_bookmark2357">
              <w:r>
                <w:rPr>
                  <w:color w:val="005DA1"/>
                  <w:spacing w:val="-2"/>
                  <w:sz w:val="14"/>
                  <w:u w:val="single" w:color="005DA1"/>
                </w:rPr>
                <w:t>1572</w:t>
              </w:r>
            </w:hyperlink>
            <w:r>
              <w:rPr>
                <w:spacing w:val="-2"/>
                <w:sz w:val="14"/>
              </w:rPr>
              <w:t>.</w:t>
            </w:r>
          </w:p>
        </w:tc>
        <w:tc>
          <w:tcPr>
            <w:tcW w:w="8621" w:type="dxa"/>
          </w:tcPr>
          <w:p>
            <w:pPr>
              <w:pStyle w:val="TableParagraph"/>
              <w:spacing w:before="114"/>
              <w:jc w:val="left"/>
              <w:rPr>
                <w:sz w:val="20"/>
              </w:rPr>
            </w:pPr>
            <w:r>
              <w:rPr>
                <w:sz w:val="20"/>
              </w:rPr>
              <w:t>cf. Wade and Forsyth at pp.668–70; Beatson (1987) 103 L.Q.R. 34, </w:t>
            </w:r>
            <w:r>
              <w:rPr>
                <w:spacing w:val="-5"/>
                <w:sz w:val="20"/>
              </w:rPr>
              <w:t>48.</w:t>
            </w:r>
          </w:p>
        </w:tc>
      </w:tr>
      <w:tr>
        <w:trPr>
          <w:trHeight w:val="465" w:hRule="atLeast"/>
        </w:trPr>
        <w:tc>
          <w:tcPr>
            <w:tcW w:w="496" w:type="dxa"/>
          </w:tcPr>
          <w:p>
            <w:pPr>
              <w:pStyle w:val="TableParagraph"/>
              <w:ind w:left="0" w:right="43"/>
              <w:rPr>
                <w:sz w:val="14"/>
              </w:rPr>
            </w:pPr>
            <w:bookmarkStart w:name="_bookmark2418" w:id="2420"/>
            <w:bookmarkEnd w:id="2420"/>
            <w:r>
              <w:rPr/>
            </w:r>
            <w:hyperlink w:history="true" w:anchor="_bookmark2358">
              <w:r>
                <w:rPr>
                  <w:color w:val="005DA1"/>
                  <w:spacing w:val="-2"/>
                  <w:sz w:val="14"/>
                  <w:u w:val="single" w:color="005DA1"/>
                </w:rPr>
                <w:t>1573</w:t>
              </w:r>
            </w:hyperlink>
            <w:r>
              <w:rPr>
                <w:spacing w:val="-2"/>
                <w:sz w:val="14"/>
              </w:rPr>
              <w:t>.</w:t>
            </w:r>
          </w:p>
        </w:tc>
        <w:tc>
          <w:tcPr>
            <w:tcW w:w="8621" w:type="dxa"/>
          </w:tcPr>
          <w:p>
            <w:pPr>
              <w:pStyle w:val="TableParagraph"/>
              <w:spacing w:before="114"/>
              <w:jc w:val="left"/>
              <w:rPr>
                <w:sz w:val="20"/>
              </w:rPr>
            </w:pPr>
            <w:r>
              <w:rPr>
                <w:sz w:val="20"/>
              </w:rPr>
              <w:t>Beatson (1987) 103 L.Q.R. </w:t>
            </w:r>
            <w:r>
              <w:rPr>
                <w:spacing w:val="-5"/>
                <w:sz w:val="20"/>
              </w:rPr>
              <w:t>34.</w:t>
            </w:r>
          </w:p>
        </w:tc>
      </w:tr>
      <w:tr>
        <w:trPr>
          <w:trHeight w:val="465" w:hRule="atLeast"/>
        </w:trPr>
        <w:tc>
          <w:tcPr>
            <w:tcW w:w="496" w:type="dxa"/>
          </w:tcPr>
          <w:p>
            <w:pPr>
              <w:pStyle w:val="TableParagraph"/>
              <w:ind w:left="0" w:right="43"/>
              <w:rPr>
                <w:sz w:val="14"/>
              </w:rPr>
            </w:pPr>
            <w:bookmarkStart w:name="_bookmark2419" w:id="2421"/>
            <w:bookmarkEnd w:id="2421"/>
            <w:r>
              <w:rPr/>
            </w:r>
            <w:hyperlink w:history="true" w:anchor="_bookmark2359">
              <w:r>
                <w:rPr>
                  <w:color w:val="005DA1"/>
                  <w:spacing w:val="-2"/>
                  <w:sz w:val="14"/>
                  <w:u w:val="single" w:color="005DA1"/>
                </w:rPr>
                <w:t>1574</w:t>
              </w:r>
            </w:hyperlink>
            <w:r>
              <w:rPr>
                <w:spacing w:val="-2"/>
                <w:sz w:val="14"/>
              </w:rPr>
              <w:t>.</w:t>
            </w:r>
          </w:p>
        </w:tc>
        <w:tc>
          <w:tcPr>
            <w:tcW w:w="8621" w:type="dxa"/>
          </w:tcPr>
          <w:p>
            <w:pPr>
              <w:pStyle w:val="TableParagraph"/>
              <w:spacing w:before="114"/>
              <w:jc w:val="left"/>
              <w:rPr>
                <w:sz w:val="20"/>
              </w:rPr>
            </w:pPr>
            <w:r>
              <w:rPr>
                <w:rFonts w:ascii="Arial"/>
                <w:i/>
                <w:sz w:val="20"/>
              </w:rPr>
              <w:t>R. v East Berkshire Health Authority Ex p. Walsh [1985] Q.B. </w:t>
            </w:r>
            <w:r>
              <w:rPr>
                <w:rFonts w:ascii="Arial"/>
                <w:i/>
                <w:spacing w:val="-4"/>
                <w:sz w:val="20"/>
              </w:rPr>
              <w:t>152</w:t>
            </w:r>
            <w:r>
              <w:rPr>
                <w:spacing w:val="-4"/>
                <w:sz w:val="20"/>
              </w:rPr>
              <w:t>.</w:t>
            </w:r>
          </w:p>
        </w:tc>
      </w:tr>
      <w:tr>
        <w:trPr>
          <w:trHeight w:val="690" w:hRule="atLeast"/>
        </w:trPr>
        <w:tc>
          <w:tcPr>
            <w:tcW w:w="496" w:type="dxa"/>
          </w:tcPr>
          <w:p>
            <w:pPr>
              <w:pStyle w:val="TableParagraph"/>
              <w:ind w:left="0" w:right="43"/>
              <w:rPr>
                <w:sz w:val="14"/>
              </w:rPr>
            </w:pPr>
            <w:bookmarkStart w:name="_bookmark2420" w:id="2422"/>
            <w:bookmarkEnd w:id="2422"/>
            <w:r>
              <w:rPr/>
            </w:r>
            <w:hyperlink w:history="true" w:anchor="_bookmark2360">
              <w:r>
                <w:rPr>
                  <w:color w:val="005DA1"/>
                  <w:spacing w:val="-2"/>
                  <w:sz w:val="14"/>
                  <w:u w:val="single" w:color="005DA1"/>
                </w:rPr>
                <w:t>1575</w:t>
              </w:r>
            </w:hyperlink>
            <w:r>
              <w:rPr>
                <w:spacing w:val="-2"/>
                <w:sz w:val="14"/>
              </w:rPr>
              <w:t>.</w:t>
            </w:r>
          </w:p>
        </w:tc>
        <w:tc>
          <w:tcPr>
            <w:tcW w:w="8621" w:type="dxa"/>
          </w:tcPr>
          <w:p>
            <w:pPr>
              <w:pStyle w:val="TableParagraph"/>
              <w:spacing w:line="235" w:lineRule="auto" w:before="118"/>
              <w:jc w:val="left"/>
              <w:rPr>
                <w:sz w:val="20"/>
              </w:rPr>
            </w:pPr>
            <w:r>
              <w:rPr>
                <w:rFonts w:ascii="Arial"/>
                <w:i/>
                <w:sz w:val="20"/>
              </w:rPr>
              <w:t>[1985]</w:t>
            </w:r>
            <w:r>
              <w:rPr>
                <w:rFonts w:ascii="Arial"/>
                <w:i/>
                <w:spacing w:val="16"/>
                <w:sz w:val="20"/>
              </w:rPr>
              <w:t> </w:t>
            </w:r>
            <w:r>
              <w:rPr>
                <w:rFonts w:ascii="Arial"/>
                <w:i/>
                <w:sz w:val="20"/>
              </w:rPr>
              <w:t>Q.B.</w:t>
            </w:r>
            <w:r>
              <w:rPr>
                <w:rFonts w:ascii="Arial"/>
                <w:i/>
                <w:spacing w:val="16"/>
                <w:sz w:val="20"/>
              </w:rPr>
              <w:t> </w:t>
            </w:r>
            <w:r>
              <w:rPr>
                <w:rFonts w:ascii="Arial"/>
                <w:i/>
                <w:sz w:val="20"/>
              </w:rPr>
              <w:t>152</w:t>
            </w:r>
            <w:r>
              <w:rPr>
                <w:rFonts w:ascii="Arial"/>
                <w:i/>
                <w:spacing w:val="16"/>
                <w:sz w:val="20"/>
              </w:rPr>
              <w:t> </w:t>
            </w:r>
            <w:r>
              <w:rPr>
                <w:sz w:val="20"/>
              </w:rPr>
              <w:t>at</w:t>
            </w:r>
            <w:r>
              <w:rPr>
                <w:spacing w:val="16"/>
                <w:sz w:val="20"/>
              </w:rPr>
              <w:t> </w:t>
            </w:r>
            <w:r>
              <w:rPr>
                <w:sz w:val="20"/>
              </w:rPr>
              <w:t>165.</w:t>
            </w:r>
            <w:r>
              <w:rPr>
                <w:spacing w:val="16"/>
                <w:sz w:val="20"/>
              </w:rPr>
              <w:t> </w:t>
            </w:r>
            <w:r>
              <w:rPr>
                <w:sz w:val="20"/>
              </w:rPr>
              <w:t>cf.</w:t>
            </w:r>
            <w:r>
              <w:rPr>
                <w:spacing w:val="16"/>
                <w:sz w:val="20"/>
              </w:rPr>
              <w:t> </w:t>
            </w:r>
            <w:r>
              <w:rPr>
                <w:rFonts w:ascii="Arial"/>
                <w:i/>
                <w:sz w:val="20"/>
              </w:rPr>
              <w:t>R.</w:t>
            </w:r>
            <w:r>
              <w:rPr>
                <w:rFonts w:ascii="Arial"/>
                <w:i/>
                <w:spacing w:val="16"/>
                <w:sz w:val="20"/>
              </w:rPr>
              <w:t> </w:t>
            </w:r>
            <w:r>
              <w:rPr>
                <w:rFonts w:ascii="Arial"/>
                <w:i/>
                <w:sz w:val="20"/>
              </w:rPr>
              <w:t>v</w:t>
            </w:r>
            <w:r>
              <w:rPr>
                <w:rFonts w:ascii="Arial"/>
                <w:i/>
                <w:spacing w:val="16"/>
                <w:sz w:val="20"/>
              </w:rPr>
              <w:t> </w:t>
            </w:r>
            <w:r>
              <w:rPr>
                <w:rFonts w:ascii="Arial"/>
                <w:i/>
                <w:sz w:val="20"/>
              </w:rPr>
              <w:t>Crown</w:t>
            </w:r>
            <w:r>
              <w:rPr>
                <w:rFonts w:ascii="Arial"/>
                <w:i/>
                <w:spacing w:val="16"/>
                <w:sz w:val="20"/>
              </w:rPr>
              <w:t> </w:t>
            </w:r>
            <w:r>
              <w:rPr>
                <w:rFonts w:ascii="Arial"/>
                <w:i/>
                <w:sz w:val="20"/>
              </w:rPr>
              <w:t>Prosecution</w:t>
            </w:r>
            <w:r>
              <w:rPr>
                <w:rFonts w:ascii="Arial"/>
                <w:i/>
                <w:spacing w:val="16"/>
                <w:sz w:val="20"/>
              </w:rPr>
              <w:t> </w:t>
            </w:r>
            <w:r>
              <w:rPr>
                <w:rFonts w:ascii="Arial"/>
                <w:i/>
                <w:sz w:val="20"/>
              </w:rPr>
              <w:t>Service</w:t>
            </w:r>
            <w:r>
              <w:rPr>
                <w:rFonts w:ascii="Arial"/>
                <w:i/>
                <w:spacing w:val="16"/>
                <w:sz w:val="20"/>
              </w:rPr>
              <w:t> </w:t>
            </w:r>
            <w:r>
              <w:rPr>
                <w:rFonts w:ascii="Arial"/>
                <w:i/>
                <w:sz w:val="20"/>
              </w:rPr>
              <w:t>Ex</w:t>
            </w:r>
            <w:r>
              <w:rPr>
                <w:rFonts w:ascii="Arial"/>
                <w:i/>
                <w:spacing w:val="16"/>
                <w:sz w:val="20"/>
              </w:rPr>
              <w:t> </w:t>
            </w:r>
            <w:r>
              <w:rPr>
                <w:rFonts w:ascii="Arial"/>
                <w:i/>
                <w:sz w:val="20"/>
              </w:rPr>
              <w:t>p.</w:t>
            </w:r>
            <w:r>
              <w:rPr>
                <w:rFonts w:ascii="Arial"/>
                <w:i/>
                <w:spacing w:val="16"/>
                <w:sz w:val="20"/>
              </w:rPr>
              <w:t> </w:t>
            </w:r>
            <w:r>
              <w:rPr>
                <w:rFonts w:ascii="Arial"/>
                <w:i/>
                <w:sz w:val="20"/>
              </w:rPr>
              <w:t>Hogg</w:t>
            </w:r>
            <w:r>
              <w:rPr>
                <w:rFonts w:ascii="Arial"/>
                <w:i/>
                <w:spacing w:val="16"/>
                <w:sz w:val="20"/>
              </w:rPr>
              <w:t> </w:t>
            </w:r>
            <w:r>
              <w:rPr>
                <w:rFonts w:ascii="Arial"/>
                <w:i/>
                <w:sz w:val="20"/>
              </w:rPr>
              <w:t>(1994)</w:t>
            </w:r>
            <w:r>
              <w:rPr>
                <w:rFonts w:ascii="Arial"/>
                <w:i/>
                <w:spacing w:val="16"/>
                <w:sz w:val="20"/>
              </w:rPr>
              <w:t> </w:t>
            </w:r>
            <w:r>
              <w:rPr>
                <w:rFonts w:ascii="Arial"/>
                <w:i/>
                <w:sz w:val="20"/>
              </w:rPr>
              <w:t>6</w:t>
            </w:r>
            <w:r>
              <w:rPr>
                <w:rFonts w:ascii="Arial"/>
                <w:i/>
                <w:spacing w:val="16"/>
                <w:sz w:val="20"/>
              </w:rPr>
              <w:t> </w:t>
            </w:r>
            <w:r>
              <w:rPr>
                <w:rFonts w:ascii="Arial"/>
                <w:i/>
                <w:sz w:val="20"/>
              </w:rPr>
              <w:t>Admin.</w:t>
            </w:r>
            <w:r>
              <w:rPr>
                <w:rFonts w:ascii="Arial"/>
                <w:i/>
                <w:spacing w:val="16"/>
                <w:sz w:val="20"/>
              </w:rPr>
              <w:t> </w:t>
            </w:r>
            <w:r>
              <w:rPr>
                <w:rFonts w:ascii="Arial"/>
                <w:i/>
                <w:sz w:val="20"/>
              </w:rPr>
              <w:t>L.R. </w:t>
            </w:r>
            <w:r>
              <w:rPr>
                <w:rFonts w:ascii="Arial"/>
                <w:i/>
                <w:spacing w:val="-4"/>
                <w:sz w:val="20"/>
              </w:rPr>
              <w:t>778</w:t>
            </w:r>
            <w:r>
              <w:rPr>
                <w:spacing w:val="-4"/>
                <w:sz w:val="20"/>
              </w:rPr>
              <w:t>.</w:t>
            </w:r>
          </w:p>
        </w:tc>
      </w:tr>
      <w:tr>
        <w:trPr>
          <w:trHeight w:val="1365" w:hRule="atLeast"/>
        </w:trPr>
        <w:tc>
          <w:tcPr>
            <w:tcW w:w="496" w:type="dxa"/>
          </w:tcPr>
          <w:p>
            <w:pPr>
              <w:pStyle w:val="TableParagraph"/>
              <w:ind w:left="0" w:right="43"/>
              <w:rPr>
                <w:sz w:val="14"/>
              </w:rPr>
            </w:pPr>
            <w:bookmarkStart w:name="_bookmark2421" w:id="2423"/>
            <w:bookmarkEnd w:id="2423"/>
            <w:r>
              <w:rPr/>
            </w:r>
            <w:hyperlink w:history="true" w:anchor="_bookmark2361">
              <w:r>
                <w:rPr>
                  <w:color w:val="005DA1"/>
                  <w:spacing w:val="-2"/>
                  <w:sz w:val="14"/>
                  <w:u w:val="single" w:color="005DA1"/>
                </w:rPr>
                <w:t>1576</w:t>
              </w:r>
            </w:hyperlink>
            <w:r>
              <w:rPr>
                <w:spacing w:val="-2"/>
                <w:sz w:val="14"/>
              </w:rPr>
              <w:t>.</w:t>
            </w:r>
          </w:p>
        </w:tc>
        <w:tc>
          <w:tcPr>
            <w:tcW w:w="8621" w:type="dxa"/>
          </w:tcPr>
          <w:p>
            <w:pPr>
              <w:pStyle w:val="TableParagraph"/>
              <w:spacing w:line="235" w:lineRule="auto" w:before="118"/>
              <w:ind w:right="49"/>
              <w:jc w:val="both"/>
              <w:rPr>
                <w:sz w:val="20"/>
              </w:rPr>
            </w:pPr>
            <w:r>
              <w:rPr>
                <w:sz w:val="20"/>
              </w:rPr>
              <w:t>Employment Rights Act 1996 Pt X, as amended. In some employment cases the courts </w:t>
            </w:r>
            <w:r>
              <w:rPr>
                <w:sz w:val="20"/>
              </w:rPr>
              <w:t>have considered issues typical of public law, such as the reasonableness of the exercise of a discretion and relating to observance of natural justice, as a matter of contract law and in the course of private law proceedings: </w:t>
            </w:r>
            <w:r>
              <w:rPr>
                <w:rFonts w:ascii="Arial"/>
                <w:i/>
                <w:sz w:val="20"/>
              </w:rPr>
              <w:t>R. v British Broadcasting Corp Ex p. Lavelle [1983] 1 W.L.R. 23</w:t>
            </w:r>
            <w:r>
              <w:rPr>
                <w:sz w:val="20"/>
              </w:rPr>
              <w:t>; </w:t>
            </w:r>
            <w:r>
              <w:rPr>
                <w:rFonts w:ascii="Arial"/>
                <w:i/>
                <w:sz w:val="20"/>
              </w:rPr>
              <w:t>Dietman v Brent LBC [1987] I.C.R. 737, 752</w:t>
            </w:r>
            <w:r>
              <w:rPr>
                <w:sz w:val="20"/>
              </w:rPr>
              <w:t>; </w:t>
            </w:r>
            <w:r>
              <w:rPr>
                <w:rFonts w:ascii="Arial"/>
                <w:i/>
                <w:sz w:val="20"/>
              </w:rPr>
              <w:t>Hughes v Southwark LBC [1988] I.R.L.R. 55</w:t>
            </w:r>
            <w:r>
              <w:rPr>
                <w:sz w:val="20"/>
              </w:rPr>
              <w:t>.</w:t>
            </w:r>
          </w:p>
        </w:tc>
      </w:tr>
      <w:tr>
        <w:trPr>
          <w:trHeight w:val="465" w:hRule="atLeast"/>
        </w:trPr>
        <w:tc>
          <w:tcPr>
            <w:tcW w:w="496" w:type="dxa"/>
          </w:tcPr>
          <w:p>
            <w:pPr>
              <w:pStyle w:val="TableParagraph"/>
              <w:ind w:left="0" w:right="43"/>
              <w:rPr>
                <w:sz w:val="14"/>
              </w:rPr>
            </w:pPr>
            <w:bookmarkStart w:name="_bookmark2422" w:id="2424"/>
            <w:bookmarkEnd w:id="2424"/>
            <w:r>
              <w:rPr/>
            </w:r>
            <w:hyperlink w:history="true" w:anchor="_bookmark2362">
              <w:r>
                <w:rPr>
                  <w:color w:val="005DA1"/>
                  <w:spacing w:val="-2"/>
                  <w:sz w:val="14"/>
                  <w:u w:val="single" w:color="005DA1"/>
                </w:rPr>
                <w:t>1577</w:t>
              </w:r>
            </w:hyperlink>
            <w:r>
              <w:rPr>
                <w:spacing w:val="-2"/>
                <w:sz w:val="14"/>
              </w:rPr>
              <w:t>.</w:t>
            </w:r>
          </w:p>
        </w:tc>
        <w:tc>
          <w:tcPr>
            <w:tcW w:w="8621" w:type="dxa"/>
          </w:tcPr>
          <w:p>
            <w:pPr>
              <w:pStyle w:val="TableParagraph"/>
              <w:spacing w:before="114"/>
              <w:jc w:val="left"/>
              <w:rPr>
                <w:sz w:val="20"/>
              </w:rPr>
            </w:pPr>
            <w:r>
              <w:rPr>
                <w:rFonts w:ascii="Arial"/>
                <w:i/>
                <w:sz w:val="20"/>
              </w:rPr>
              <w:t>R. v Secretary of State for the Home Department Ex p. Benwell [1984] 3 All E.R. </w:t>
            </w:r>
            <w:r>
              <w:rPr>
                <w:rFonts w:ascii="Arial"/>
                <w:i/>
                <w:spacing w:val="-4"/>
                <w:sz w:val="20"/>
              </w:rPr>
              <w:t>854</w:t>
            </w:r>
            <w:r>
              <w:rPr>
                <w:spacing w:val="-4"/>
                <w:sz w:val="20"/>
              </w:rPr>
              <w:t>.</w:t>
            </w:r>
          </w:p>
        </w:tc>
      </w:tr>
      <w:tr>
        <w:trPr>
          <w:trHeight w:val="465" w:hRule="atLeast"/>
        </w:trPr>
        <w:tc>
          <w:tcPr>
            <w:tcW w:w="496" w:type="dxa"/>
          </w:tcPr>
          <w:p>
            <w:pPr>
              <w:pStyle w:val="TableParagraph"/>
              <w:ind w:left="0" w:right="43"/>
              <w:rPr>
                <w:sz w:val="14"/>
              </w:rPr>
            </w:pPr>
            <w:bookmarkStart w:name="_bookmark2423" w:id="2425"/>
            <w:bookmarkEnd w:id="2425"/>
            <w:r>
              <w:rPr/>
            </w:r>
            <w:hyperlink w:history="true" w:anchor="_bookmark2363">
              <w:r>
                <w:rPr>
                  <w:color w:val="005DA1"/>
                  <w:spacing w:val="-2"/>
                  <w:sz w:val="14"/>
                  <w:u w:val="single" w:color="005DA1"/>
                </w:rPr>
                <w:t>1578</w:t>
              </w:r>
            </w:hyperlink>
            <w:r>
              <w:rPr>
                <w:spacing w:val="-2"/>
                <w:sz w:val="14"/>
              </w:rPr>
              <w:t>.</w:t>
            </w:r>
          </w:p>
        </w:tc>
        <w:tc>
          <w:tcPr>
            <w:tcW w:w="8621" w:type="dxa"/>
          </w:tcPr>
          <w:p>
            <w:pPr>
              <w:pStyle w:val="TableParagraph"/>
              <w:spacing w:before="114"/>
              <w:jc w:val="left"/>
              <w:rPr>
                <w:sz w:val="20"/>
              </w:rPr>
            </w:pPr>
            <w:r>
              <w:rPr>
                <w:rFonts w:ascii="Arial"/>
                <w:i/>
                <w:sz w:val="20"/>
              </w:rPr>
              <w:t>[1984]</w:t>
            </w:r>
            <w:r>
              <w:rPr>
                <w:rFonts w:ascii="Arial"/>
                <w:i/>
                <w:spacing w:val="-2"/>
                <w:sz w:val="20"/>
              </w:rPr>
              <w:t> </w:t>
            </w:r>
            <w:r>
              <w:rPr>
                <w:rFonts w:ascii="Arial"/>
                <w:i/>
                <w:sz w:val="20"/>
              </w:rPr>
              <w:t>3 All E.R. 854, </w:t>
            </w:r>
            <w:r>
              <w:rPr>
                <w:rFonts w:ascii="Arial"/>
                <w:i/>
                <w:spacing w:val="-4"/>
                <w:sz w:val="20"/>
              </w:rPr>
              <w:t>867</w:t>
            </w:r>
            <w:r>
              <w:rPr>
                <w:spacing w:val="-4"/>
                <w:sz w:val="20"/>
              </w:rPr>
              <w:t>.</w:t>
            </w:r>
          </w:p>
        </w:tc>
      </w:tr>
      <w:tr>
        <w:trPr>
          <w:trHeight w:val="465" w:hRule="atLeast"/>
        </w:trPr>
        <w:tc>
          <w:tcPr>
            <w:tcW w:w="496" w:type="dxa"/>
          </w:tcPr>
          <w:p>
            <w:pPr>
              <w:pStyle w:val="TableParagraph"/>
              <w:ind w:left="0" w:right="43"/>
              <w:rPr>
                <w:sz w:val="14"/>
              </w:rPr>
            </w:pPr>
            <w:bookmarkStart w:name="_bookmark2424" w:id="2426"/>
            <w:bookmarkEnd w:id="2426"/>
            <w:r>
              <w:rPr/>
            </w:r>
            <w:hyperlink w:history="true" w:anchor="_bookmark2364">
              <w:r>
                <w:rPr>
                  <w:color w:val="005DA1"/>
                  <w:spacing w:val="-2"/>
                  <w:sz w:val="14"/>
                  <w:u w:val="single" w:color="005DA1"/>
                </w:rPr>
                <w:t>1579</w:t>
              </w:r>
            </w:hyperlink>
            <w:r>
              <w:rPr>
                <w:spacing w:val="-2"/>
                <w:sz w:val="14"/>
              </w:rPr>
              <w:t>.</w:t>
            </w:r>
          </w:p>
        </w:tc>
        <w:tc>
          <w:tcPr>
            <w:tcW w:w="8621" w:type="dxa"/>
          </w:tcPr>
          <w:p>
            <w:pPr>
              <w:pStyle w:val="TableParagraph"/>
              <w:spacing w:before="114"/>
              <w:jc w:val="left"/>
              <w:rPr>
                <w:sz w:val="20"/>
              </w:rPr>
            </w:pPr>
            <w:r>
              <w:rPr>
                <w:rFonts w:ascii="Arial"/>
                <w:i/>
                <w:sz w:val="20"/>
              </w:rPr>
              <w:t>[1984] 3 All E.R. 854, 866, </w:t>
            </w:r>
            <w:r>
              <w:rPr>
                <w:rFonts w:ascii="Arial"/>
                <w:i/>
                <w:spacing w:val="-4"/>
                <w:sz w:val="20"/>
              </w:rPr>
              <w:t>868</w:t>
            </w:r>
            <w:r>
              <w:rPr>
                <w:spacing w:val="-4"/>
                <w:sz w:val="20"/>
              </w:rPr>
              <w:t>.</w:t>
            </w:r>
          </w:p>
        </w:tc>
      </w:tr>
      <w:tr>
        <w:trPr>
          <w:trHeight w:val="1590" w:hRule="atLeast"/>
        </w:trPr>
        <w:tc>
          <w:tcPr>
            <w:tcW w:w="496" w:type="dxa"/>
          </w:tcPr>
          <w:p>
            <w:pPr>
              <w:pStyle w:val="TableParagraph"/>
              <w:ind w:left="0" w:right="43"/>
              <w:rPr>
                <w:sz w:val="14"/>
              </w:rPr>
            </w:pPr>
            <w:bookmarkStart w:name="_bookmark2425" w:id="2427"/>
            <w:bookmarkEnd w:id="2427"/>
            <w:r>
              <w:rPr/>
            </w:r>
            <w:hyperlink w:history="true" w:anchor="_bookmark2365">
              <w:r>
                <w:rPr>
                  <w:color w:val="005DA1"/>
                  <w:spacing w:val="-2"/>
                  <w:sz w:val="14"/>
                  <w:u w:val="single" w:color="005DA1"/>
                </w:rPr>
                <w:t>1580</w:t>
              </w:r>
            </w:hyperlink>
            <w:r>
              <w:rPr>
                <w:spacing w:val="-2"/>
                <w:sz w:val="14"/>
              </w:rPr>
              <w:t>.</w:t>
            </w:r>
          </w:p>
        </w:tc>
        <w:tc>
          <w:tcPr>
            <w:tcW w:w="8621" w:type="dxa"/>
          </w:tcPr>
          <w:p>
            <w:pPr>
              <w:pStyle w:val="TableParagraph"/>
              <w:spacing w:line="235" w:lineRule="auto" w:before="118"/>
              <w:ind w:right="50"/>
              <w:jc w:val="both"/>
              <w:rPr>
                <w:rFonts w:ascii="Arial"/>
                <w:i/>
                <w:sz w:val="20"/>
              </w:rPr>
            </w:pPr>
            <w:r>
              <w:rPr>
                <w:rFonts w:ascii="Arial"/>
                <w:i/>
                <w:sz w:val="20"/>
              </w:rPr>
              <w:t>Law v National Greyhound Racing Club Ltd [1983] 1 W.L.R. 1302</w:t>
            </w:r>
            <w:r>
              <w:rPr>
                <w:sz w:val="20"/>
              </w:rPr>
              <w:t>, following </w:t>
            </w:r>
            <w:r>
              <w:rPr>
                <w:rFonts w:ascii="Arial"/>
                <w:i/>
                <w:sz w:val="20"/>
              </w:rPr>
              <w:t>R. v Criminal Injuries</w:t>
            </w:r>
            <w:r>
              <w:rPr>
                <w:rFonts w:ascii="Arial"/>
                <w:i/>
                <w:spacing w:val="23"/>
                <w:sz w:val="20"/>
              </w:rPr>
              <w:t> </w:t>
            </w:r>
            <w:r>
              <w:rPr>
                <w:rFonts w:ascii="Arial"/>
                <w:i/>
                <w:sz w:val="20"/>
              </w:rPr>
              <w:t>Compensation</w:t>
            </w:r>
            <w:r>
              <w:rPr>
                <w:rFonts w:ascii="Arial"/>
                <w:i/>
                <w:spacing w:val="24"/>
                <w:sz w:val="20"/>
              </w:rPr>
              <w:t> </w:t>
            </w:r>
            <w:r>
              <w:rPr>
                <w:rFonts w:ascii="Arial"/>
                <w:i/>
                <w:sz w:val="20"/>
              </w:rPr>
              <w:t>Board</w:t>
            </w:r>
            <w:r>
              <w:rPr>
                <w:rFonts w:ascii="Arial"/>
                <w:i/>
                <w:spacing w:val="24"/>
                <w:sz w:val="20"/>
              </w:rPr>
              <w:t> </w:t>
            </w:r>
            <w:r>
              <w:rPr>
                <w:rFonts w:ascii="Arial"/>
                <w:i/>
                <w:sz w:val="20"/>
              </w:rPr>
              <w:t>Ex</w:t>
            </w:r>
            <w:r>
              <w:rPr>
                <w:rFonts w:ascii="Arial"/>
                <w:i/>
                <w:spacing w:val="24"/>
                <w:sz w:val="20"/>
              </w:rPr>
              <w:t> </w:t>
            </w:r>
            <w:r>
              <w:rPr>
                <w:rFonts w:ascii="Arial"/>
                <w:i/>
                <w:sz w:val="20"/>
              </w:rPr>
              <w:t>p.</w:t>
            </w:r>
            <w:r>
              <w:rPr>
                <w:rFonts w:ascii="Arial"/>
                <w:i/>
                <w:spacing w:val="24"/>
                <w:sz w:val="20"/>
              </w:rPr>
              <w:t> </w:t>
            </w:r>
            <w:r>
              <w:rPr>
                <w:rFonts w:ascii="Arial"/>
                <w:i/>
                <w:sz w:val="20"/>
              </w:rPr>
              <w:t>Lain</w:t>
            </w:r>
            <w:r>
              <w:rPr>
                <w:rFonts w:ascii="Arial"/>
                <w:i/>
                <w:spacing w:val="24"/>
                <w:sz w:val="20"/>
              </w:rPr>
              <w:t> </w:t>
            </w:r>
            <w:r>
              <w:rPr>
                <w:rFonts w:ascii="Arial"/>
                <w:i/>
                <w:sz w:val="20"/>
              </w:rPr>
              <w:t>[1967]</w:t>
            </w:r>
            <w:r>
              <w:rPr>
                <w:rFonts w:ascii="Arial"/>
                <w:i/>
                <w:spacing w:val="24"/>
                <w:sz w:val="20"/>
              </w:rPr>
              <w:t> </w:t>
            </w:r>
            <w:r>
              <w:rPr>
                <w:rFonts w:ascii="Arial"/>
                <w:i/>
                <w:sz w:val="20"/>
              </w:rPr>
              <w:t>2</w:t>
            </w:r>
            <w:r>
              <w:rPr>
                <w:rFonts w:ascii="Arial"/>
                <w:i/>
                <w:spacing w:val="24"/>
                <w:sz w:val="20"/>
              </w:rPr>
              <w:t> </w:t>
            </w:r>
            <w:r>
              <w:rPr>
                <w:rFonts w:ascii="Arial"/>
                <w:i/>
                <w:sz w:val="20"/>
              </w:rPr>
              <w:t>Q.B.</w:t>
            </w:r>
            <w:r>
              <w:rPr>
                <w:rFonts w:ascii="Arial"/>
                <w:i/>
                <w:spacing w:val="24"/>
                <w:sz w:val="20"/>
              </w:rPr>
              <w:t> </w:t>
            </w:r>
            <w:r>
              <w:rPr>
                <w:rFonts w:ascii="Arial"/>
                <w:i/>
                <w:sz w:val="20"/>
              </w:rPr>
              <w:t>864</w:t>
            </w:r>
            <w:r>
              <w:rPr>
                <w:sz w:val="20"/>
              </w:rPr>
              <w:t>;</w:t>
            </w:r>
            <w:r>
              <w:rPr>
                <w:spacing w:val="24"/>
                <w:sz w:val="20"/>
              </w:rPr>
              <w:t> </w:t>
            </w:r>
            <w:r>
              <w:rPr>
                <w:rFonts w:ascii="Arial"/>
                <w:i/>
                <w:sz w:val="20"/>
              </w:rPr>
              <w:t>R.</w:t>
            </w:r>
            <w:r>
              <w:rPr>
                <w:rFonts w:ascii="Arial"/>
                <w:i/>
                <w:spacing w:val="24"/>
                <w:sz w:val="20"/>
              </w:rPr>
              <w:t> </w:t>
            </w:r>
            <w:r>
              <w:rPr>
                <w:rFonts w:ascii="Arial"/>
                <w:i/>
                <w:sz w:val="20"/>
              </w:rPr>
              <w:t>v</w:t>
            </w:r>
            <w:r>
              <w:rPr>
                <w:rFonts w:ascii="Arial"/>
                <w:i/>
                <w:spacing w:val="24"/>
                <w:sz w:val="20"/>
              </w:rPr>
              <w:t> </w:t>
            </w:r>
            <w:r>
              <w:rPr>
                <w:rFonts w:ascii="Arial"/>
                <w:i/>
                <w:sz w:val="20"/>
              </w:rPr>
              <w:t>BBC</w:t>
            </w:r>
            <w:r>
              <w:rPr>
                <w:rFonts w:ascii="Arial"/>
                <w:i/>
                <w:spacing w:val="24"/>
                <w:sz w:val="20"/>
              </w:rPr>
              <w:t> </w:t>
            </w:r>
            <w:r>
              <w:rPr>
                <w:rFonts w:ascii="Arial"/>
                <w:i/>
                <w:sz w:val="20"/>
              </w:rPr>
              <w:t>Ex</w:t>
            </w:r>
            <w:r>
              <w:rPr>
                <w:rFonts w:ascii="Arial"/>
                <w:i/>
                <w:spacing w:val="24"/>
                <w:sz w:val="20"/>
              </w:rPr>
              <w:t> </w:t>
            </w:r>
            <w:r>
              <w:rPr>
                <w:rFonts w:ascii="Arial"/>
                <w:i/>
                <w:sz w:val="20"/>
              </w:rPr>
              <w:t>p.</w:t>
            </w:r>
            <w:r>
              <w:rPr>
                <w:rFonts w:ascii="Arial"/>
                <w:i/>
                <w:spacing w:val="24"/>
                <w:sz w:val="20"/>
              </w:rPr>
              <w:t> </w:t>
            </w:r>
            <w:r>
              <w:rPr>
                <w:rFonts w:ascii="Arial"/>
                <w:i/>
                <w:sz w:val="20"/>
              </w:rPr>
              <w:t>Lavelle</w:t>
            </w:r>
            <w:r>
              <w:rPr>
                <w:rFonts w:ascii="Arial"/>
                <w:i/>
                <w:spacing w:val="24"/>
                <w:sz w:val="20"/>
              </w:rPr>
              <w:t> </w:t>
            </w:r>
            <w:r>
              <w:rPr>
                <w:rFonts w:ascii="Arial"/>
                <w:i/>
                <w:sz w:val="20"/>
              </w:rPr>
              <w:t>[1983]</w:t>
            </w:r>
            <w:r>
              <w:rPr>
                <w:rFonts w:ascii="Arial"/>
                <w:i/>
                <w:spacing w:val="24"/>
                <w:sz w:val="20"/>
              </w:rPr>
              <w:t> </w:t>
            </w:r>
            <w:r>
              <w:rPr>
                <w:rFonts w:ascii="Arial"/>
                <w:i/>
                <w:spacing w:val="-10"/>
                <w:sz w:val="20"/>
              </w:rPr>
              <w:t>1</w:t>
            </w:r>
          </w:p>
          <w:p>
            <w:pPr>
              <w:pStyle w:val="TableParagraph"/>
              <w:spacing w:line="235" w:lineRule="auto" w:before="0"/>
              <w:ind w:right="50"/>
              <w:jc w:val="both"/>
              <w:rPr>
                <w:sz w:val="20"/>
              </w:rPr>
            </w:pPr>
            <w:r>
              <w:rPr>
                <w:rFonts w:ascii="Arial"/>
                <w:i/>
                <w:sz w:val="20"/>
              </w:rPr>
              <w:t>W.L.R.</w:t>
            </w:r>
            <w:r>
              <w:rPr>
                <w:rFonts w:ascii="Arial"/>
                <w:i/>
                <w:spacing w:val="-1"/>
                <w:sz w:val="20"/>
              </w:rPr>
              <w:t> </w:t>
            </w:r>
            <w:r>
              <w:rPr>
                <w:rFonts w:ascii="Arial"/>
                <w:i/>
                <w:sz w:val="20"/>
              </w:rPr>
              <w:t>23</w:t>
            </w:r>
            <w:r>
              <w:rPr>
                <w:sz w:val="20"/>
              </w:rPr>
              <w:t>;</w:t>
            </w:r>
            <w:r>
              <w:rPr>
                <w:spacing w:val="-1"/>
                <w:sz w:val="20"/>
              </w:rPr>
              <w:t> </w:t>
            </w:r>
            <w:r>
              <w:rPr>
                <w:rFonts w:ascii="Arial"/>
                <w:i/>
                <w:sz w:val="20"/>
              </w:rPr>
              <w:t>R.</w:t>
            </w:r>
            <w:r>
              <w:rPr>
                <w:rFonts w:ascii="Arial"/>
                <w:i/>
                <w:spacing w:val="-1"/>
                <w:sz w:val="20"/>
              </w:rPr>
              <w:t> </w:t>
            </w:r>
            <w:r>
              <w:rPr>
                <w:rFonts w:ascii="Arial"/>
                <w:i/>
                <w:sz w:val="20"/>
              </w:rPr>
              <w:t>v</w:t>
            </w:r>
            <w:r>
              <w:rPr>
                <w:rFonts w:ascii="Arial"/>
                <w:i/>
                <w:spacing w:val="-1"/>
                <w:sz w:val="20"/>
              </w:rPr>
              <w:t> </w:t>
            </w:r>
            <w:r>
              <w:rPr>
                <w:rFonts w:ascii="Arial"/>
                <w:i/>
                <w:sz w:val="20"/>
              </w:rPr>
              <w:t>Fernhill</w:t>
            </w:r>
            <w:r>
              <w:rPr>
                <w:rFonts w:ascii="Arial"/>
                <w:i/>
                <w:spacing w:val="-1"/>
                <w:sz w:val="20"/>
              </w:rPr>
              <w:t> </w:t>
            </w:r>
            <w:r>
              <w:rPr>
                <w:rFonts w:ascii="Arial"/>
                <w:i/>
                <w:sz w:val="20"/>
              </w:rPr>
              <w:t>Manor</w:t>
            </w:r>
            <w:r>
              <w:rPr>
                <w:rFonts w:ascii="Arial"/>
                <w:i/>
                <w:spacing w:val="-1"/>
                <w:sz w:val="20"/>
              </w:rPr>
              <w:t> </w:t>
            </w:r>
            <w:r>
              <w:rPr>
                <w:rFonts w:ascii="Arial"/>
                <w:i/>
                <w:sz w:val="20"/>
              </w:rPr>
              <w:t>School</w:t>
            </w:r>
            <w:r>
              <w:rPr>
                <w:rFonts w:ascii="Arial"/>
                <w:i/>
                <w:spacing w:val="-1"/>
                <w:sz w:val="20"/>
              </w:rPr>
              <w:t> </w:t>
            </w:r>
            <w:r>
              <w:rPr>
                <w:rFonts w:ascii="Arial"/>
                <w:i/>
                <w:sz w:val="20"/>
              </w:rPr>
              <w:t>Ex</w:t>
            </w:r>
            <w:r>
              <w:rPr>
                <w:rFonts w:ascii="Arial"/>
                <w:i/>
                <w:spacing w:val="-1"/>
                <w:sz w:val="20"/>
              </w:rPr>
              <w:t> </w:t>
            </w:r>
            <w:r>
              <w:rPr>
                <w:rFonts w:ascii="Arial"/>
                <w:i/>
                <w:sz w:val="20"/>
              </w:rPr>
              <w:t>p.</w:t>
            </w:r>
            <w:r>
              <w:rPr>
                <w:rFonts w:ascii="Arial"/>
                <w:i/>
                <w:spacing w:val="-1"/>
                <w:sz w:val="20"/>
              </w:rPr>
              <w:t> </w:t>
            </w:r>
            <w:r>
              <w:rPr>
                <w:rFonts w:ascii="Arial"/>
                <w:i/>
                <w:sz w:val="20"/>
              </w:rPr>
              <w:t>A.</w:t>
            </w:r>
            <w:r>
              <w:rPr>
                <w:rFonts w:ascii="Arial"/>
                <w:i/>
                <w:spacing w:val="-1"/>
                <w:sz w:val="20"/>
              </w:rPr>
              <w:t> </w:t>
            </w:r>
            <w:r>
              <w:rPr>
                <w:rFonts w:ascii="Arial"/>
                <w:i/>
                <w:sz w:val="20"/>
              </w:rPr>
              <w:t>[1993]</w:t>
            </w:r>
            <w:r>
              <w:rPr>
                <w:rFonts w:ascii="Arial"/>
                <w:i/>
                <w:spacing w:val="-1"/>
                <w:sz w:val="20"/>
              </w:rPr>
              <w:t> </w:t>
            </w:r>
            <w:r>
              <w:rPr>
                <w:rFonts w:ascii="Arial"/>
                <w:i/>
                <w:sz w:val="20"/>
              </w:rPr>
              <w:t>1</w:t>
            </w:r>
            <w:r>
              <w:rPr>
                <w:rFonts w:ascii="Arial"/>
                <w:i/>
                <w:spacing w:val="-1"/>
                <w:sz w:val="20"/>
              </w:rPr>
              <w:t> </w:t>
            </w:r>
            <w:r>
              <w:rPr>
                <w:rFonts w:ascii="Arial"/>
                <w:i/>
                <w:sz w:val="20"/>
              </w:rPr>
              <w:t>F.L.R.</w:t>
            </w:r>
            <w:r>
              <w:rPr>
                <w:rFonts w:ascii="Arial"/>
                <w:i/>
                <w:spacing w:val="-1"/>
                <w:sz w:val="20"/>
              </w:rPr>
              <w:t> </w:t>
            </w:r>
            <w:r>
              <w:rPr>
                <w:rFonts w:ascii="Arial"/>
                <w:i/>
                <w:sz w:val="20"/>
              </w:rPr>
              <w:t>620</w:t>
            </w:r>
            <w:r>
              <w:rPr>
                <w:sz w:val="20"/>
              </w:rPr>
              <w:t>;</w:t>
            </w:r>
            <w:r>
              <w:rPr>
                <w:spacing w:val="-1"/>
                <w:sz w:val="20"/>
              </w:rPr>
              <w:t> </w:t>
            </w:r>
            <w:r>
              <w:rPr>
                <w:rFonts w:ascii="Arial"/>
                <w:i/>
                <w:sz w:val="20"/>
              </w:rPr>
              <w:t>R.</w:t>
            </w:r>
            <w:r>
              <w:rPr>
                <w:rFonts w:ascii="Arial"/>
                <w:i/>
                <w:spacing w:val="-1"/>
                <w:sz w:val="20"/>
              </w:rPr>
              <w:t> </w:t>
            </w:r>
            <w:r>
              <w:rPr>
                <w:rFonts w:ascii="Arial"/>
                <w:i/>
                <w:sz w:val="20"/>
              </w:rPr>
              <w:t>v</w:t>
            </w:r>
            <w:r>
              <w:rPr>
                <w:rFonts w:ascii="Arial"/>
                <w:i/>
                <w:spacing w:val="-1"/>
                <w:sz w:val="20"/>
              </w:rPr>
              <w:t> </w:t>
            </w:r>
            <w:r>
              <w:rPr>
                <w:rFonts w:ascii="Arial"/>
                <w:i/>
                <w:sz w:val="20"/>
              </w:rPr>
              <w:t>Disciplinary</w:t>
            </w:r>
            <w:r>
              <w:rPr>
                <w:rFonts w:ascii="Arial"/>
                <w:i/>
                <w:spacing w:val="-1"/>
                <w:sz w:val="20"/>
              </w:rPr>
              <w:t> </w:t>
            </w:r>
            <w:r>
              <w:rPr>
                <w:rFonts w:ascii="Arial"/>
                <w:i/>
                <w:sz w:val="20"/>
              </w:rPr>
              <w:t>Committee of the Jockey Club Ex p. Aga Khan [1993] 2 All E.R. 853</w:t>
            </w:r>
            <w:r>
              <w:rPr>
                <w:sz w:val="20"/>
              </w:rPr>
              <w:t>; </w:t>
            </w:r>
            <w:r>
              <w:rPr>
                <w:rFonts w:ascii="Arial"/>
                <w:i/>
                <w:sz w:val="20"/>
              </w:rPr>
              <w:t>R. v Insurance Ombudsman </w:t>
            </w:r>
            <w:r>
              <w:rPr>
                <w:rFonts w:ascii="Arial"/>
                <w:i/>
                <w:sz w:val="20"/>
              </w:rPr>
              <w:t>Bureau Ex p. Aegon Life Assurance Ltd [1995] L.R.L.R. 101</w:t>
            </w:r>
            <w:r>
              <w:rPr>
                <w:sz w:val="20"/>
              </w:rPr>
              <w:t>. cf. </w:t>
            </w:r>
            <w:r>
              <w:rPr>
                <w:rFonts w:ascii="Arial"/>
                <w:i/>
                <w:sz w:val="20"/>
              </w:rPr>
              <w:t>Modahl v British Athletic Federation [2001] EWCA 1447, [2002] 1 W.L.R. 1192</w:t>
            </w:r>
            <w:r>
              <w:rPr>
                <w:sz w:val="20"/>
              </w:rPr>
              <w:t>.</w:t>
            </w:r>
          </w:p>
        </w:tc>
      </w:tr>
      <w:tr>
        <w:trPr>
          <w:trHeight w:val="794" w:hRule="atLeast"/>
        </w:trPr>
        <w:tc>
          <w:tcPr>
            <w:tcW w:w="496" w:type="dxa"/>
          </w:tcPr>
          <w:p>
            <w:pPr>
              <w:pStyle w:val="TableParagraph"/>
              <w:ind w:left="0" w:right="43"/>
              <w:rPr>
                <w:sz w:val="14"/>
              </w:rPr>
            </w:pPr>
            <w:bookmarkStart w:name="_bookmark2426" w:id="2428"/>
            <w:bookmarkEnd w:id="2428"/>
            <w:r>
              <w:rPr/>
            </w:r>
            <w:hyperlink w:history="true" w:anchor="_bookmark2366">
              <w:r>
                <w:rPr>
                  <w:color w:val="005DA1"/>
                  <w:spacing w:val="-2"/>
                  <w:sz w:val="14"/>
                  <w:u w:val="single" w:color="005DA1"/>
                </w:rPr>
                <w:t>1581</w:t>
              </w:r>
            </w:hyperlink>
            <w:r>
              <w:rPr>
                <w:spacing w:val="-2"/>
                <w:sz w:val="14"/>
              </w:rPr>
              <w:t>.</w:t>
            </w:r>
          </w:p>
        </w:tc>
        <w:tc>
          <w:tcPr>
            <w:tcW w:w="8621" w:type="dxa"/>
          </w:tcPr>
          <w:p>
            <w:pPr>
              <w:pStyle w:val="TableParagraph"/>
              <w:spacing w:line="226" w:lineRule="exact" w:before="96"/>
              <w:ind w:right="50"/>
              <w:jc w:val="both"/>
              <w:rPr>
                <w:sz w:val="20"/>
              </w:rPr>
            </w:pPr>
            <w:r>
              <w:rPr>
                <w:rFonts w:ascii="Arial"/>
                <w:i/>
                <w:sz w:val="20"/>
              </w:rPr>
              <w:t>R. v Panel of Take-Overs and Mergers Ex p Datafin Plc [1987] 1 Q.B. 815 </w:t>
            </w:r>
            <w:r>
              <w:rPr>
                <w:sz w:val="20"/>
              </w:rPr>
              <w:t>and see </w:t>
            </w:r>
            <w:r>
              <w:rPr>
                <w:rFonts w:ascii="Arial"/>
                <w:i/>
                <w:sz w:val="20"/>
              </w:rPr>
              <w:t>R. v East Berkshire Authority Ex p. Walsh [1985] Q.B. 152 </w:t>
            </w:r>
            <w:r>
              <w:rPr>
                <w:sz w:val="20"/>
              </w:rPr>
              <w:t>and </w:t>
            </w:r>
            <w:r>
              <w:rPr>
                <w:rFonts w:ascii="Arial"/>
                <w:i/>
                <w:sz w:val="20"/>
              </w:rPr>
              <w:t>Wandsworth LBC v Winder [1985] A.C. </w:t>
            </w:r>
            <w:r>
              <w:rPr>
                <w:rFonts w:ascii="Arial"/>
                <w:i/>
                <w:spacing w:val="-4"/>
                <w:sz w:val="20"/>
              </w:rPr>
              <w:t>461</w:t>
            </w:r>
            <w:r>
              <w:rPr>
                <w:spacing w:val="-4"/>
                <w:sz w:val="20"/>
              </w:rPr>
              <w:t>.</w:t>
            </w:r>
          </w:p>
        </w:tc>
      </w:tr>
    </w:tbl>
    <w:p>
      <w:pPr>
        <w:pStyle w:val="TableParagraph"/>
        <w:spacing w:after="0" w:line="226" w:lineRule="exact"/>
        <w:jc w:val="both"/>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left="0" w:right="43"/>
              <w:rPr>
                <w:sz w:val="14"/>
              </w:rPr>
            </w:pPr>
            <w:hyperlink w:history="true" w:anchor="_bookmark2367">
              <w:r>
                <w:rPr>
                  <w:color w:val="005DA1"/>
                  <w:spacing w:val="-2"/>
                  <w:sz w:val="14"/>
                  <w:u w:val="single" w:color="005DA1"/>
                </w:rPr>
                <w:t>1582</w:t>
              </w:r>
            </w:hyperlink>
            <w:r>
              <w:rPr>
                <w:spacing w:val="-2"/>
                <w:sz w:val="14"/>
              </w:rPr>
              <w:t>.</w:t>
            </w:r>
          </w:p>
        </w:tc>
        <w:tc>
          <w:tcPr>
            <w:tcW w:w="8620" w:type="dxa"/>
          </w:tcPr>
          <w:p>
            <w:pPr>
              <w:pStyle w:val="TableParagraph"/>
              <w:spacing w:line="223" w:lineRule="exact" w:before="0"/>
              <w:jc w:val="left"/>
              <w:rPr>
                <w:sz w:val="20"/>
              </w:rPr>
            </w:pPr>
            <w:r>
              <w:rPr>
                <w:rFonts w:ascii="Arial"/>
                <w:i/>
                <w:sz w:val="20"/>
              </w:rPr>
              <w:t>[1992] 1 A.C. 624</w:t>
            </w:r>
            <w:r>
              <w:rPr>
                <w:rFonts w:ascii="Arial"/>
                <w:i/>
                <w:spacing w:val="-1"/>
                <w:sz w:val="20"/>
              </w:rPr>
              <w:t> </w:t>
            </w:r>
            <w:r>
              <w:rPr>
                <w:sz w:val="20"/>
              </w:rPr>
              <w:t>and see Cane (1992) P.L. </w:t>
            </w:r>
            <w:r>
              <w:rPr>
                <w:spacing w:val="-4"/>
                <w:sz w:val="20"/>
              </w:rPr>
              <w:t>193.</w:t>
            </w:r>
          </w:p>
        </w:tc>
      </w:tr>
      <w:tr>
        <w:trPr>
          <w:trHeight w:val="465" w:hRule="atLeast"/>
        </w:trPr>
        <w:tc>
          <w:tcPr>
            <w:tcW w:w="496" w:type="dxa"/>
          </w:tcPr>
          <w:p>
            <w:pPr>
              <w:pStyle w:val="TableParagraph"/>
              <w:ind w:left="0" w:right="43"/>
              <w:rPr>
                <w:sz w:val="14"/>
              </w:rPr>
            </w:pPr>
            <w:bookmarkStart w:name="_bookmark2427" w:id="2429"/>
            <w:bookmarkEnd w:id="2429"/>
            <w:r>
              <w:rPr/>
            </w:r>
            <w:hyperlink w:history="true" w:anchor="_bookmark2368">
              <w:r>
                <w:rPr>
                  <w:color w:val="005DA1"/>
                  <w:spacing w:val="-2"/>
                  <w:sz w:val="14"/>
                  <w:u w:val="single" w:color="005DA1"/>
                </w:rPr>
                <w:t>1583</w:t>
              </w:r>
            </w:hyperlink>
            <w:r>
              <w:rPr>
                <w:spacing w:val="-2"/>
                <w:sz w:val="14"/>
              </w:rPr>
              <w:t>.</w:t>
            </w:r>
          </w:p>
        </w:tc>
        <w:tc>
          <w:tcPr>
            <w:tcW w:w="8620" w:type="dxa"/>
          </w:tcPr>
          <w:p>
            <w:pPr>
              <w:pStyle w:val="TableParagraph"/>
              <w:spacing w:before="114"/>
              <w:jc w:val="left"/>
              <w:rPr>
                <w:sz w:val="20"/>
              </w:rPr>
            </w:pPr>
            <w:r>
              <w:rPr>
                <w:sz w:val="20"/>
              </w:rPr>
              <w:t>See</w:t>
            </w:r>
            <w:r>
              <w:rPr>
                <w:spacing w:val="-1"/>
                <w:sz w:val="20"/>
              </w:rPr>
              <w:t> </w:t>
            </w:r>
            <w:r>
              <w:rPr>
                <w:rFonts w:ascii="Arial"/>
                <w:i/>
                <w:sz w:val="20"/>
              </w:rPr>
              <w:t>Wandsworth LBC v Winder [1985] A.C. </w:t>
            </w:r>
            <w:r>
              <w:rPr>
                <w:rFonts w:ascii="Arial"/>
                <w:i/>
                <w:spacing w:val="-4"/>
                <w:sz w:val="20"/>
              </w:rPr>
              <w:t>461</w:t>
            </w:r>
            <w:r>
              <w:rPr>
                <w:spacing w:val="-4"/>
                <w:sz w:val="20"/>
              </w:rPr>
              <w:t>.</w:t>
            </w:r>
          </w:p>
        </w:tc>
      </w:tr>
      <w:tr>
        <w:trPr>
          <w:trHeight w:val="465" w:hRule="atLeast"/>
        </w:trPr>
        <w:tc>
          <w:tcPr>
            <w:tcW w:w="496" w:type="dxa"/>
          </w:tcPr>
          <w:p>
            <w:pPr>
              <w:pStyle w:val="TableParagraph"/>
              <w:ind w:left="0" w:right="43"/>
              <w:rPr>
                <w:sz w:val="14"/>
              </w:rPr>
            </w:pPr>
            <w:bookmarkStart w:name="_bookmark2428" w:id="2430"/>
            <w:bookmarkEnd w:id="2430"/>
            <w:r>
              <w:rPr/>
            </w:r>
            <w:hyperlink w:history="true" w:anchor="_bookmark2369">
              <w:r>
                <w:rPr>
                  <w:color w:val="005DA1"/>
                  <w:spacing w:val="-2"/>
                  <w:sz w:val="14"/>
                  <w:u w:val="single" w:color="005DA1"/>
                </w:rPr>
                <w:t>1584</w:t>
              </w:r>
            </w:hyperlink>
            <w:r>
              <w:rPr>
                <w:spacing w:val="-2"/>
                <w:sz w:val="14"/>
              </w:rPr>
              <w:t>.</w:t>
            </w:r>
          </w:p>
        </w:tc>
        <w:tc>
          <w:tcPr>
            <w:tcW w:w="8620" w:type="dxa"/>
          </w:tcPr>
          <w:p>
            <w:pPr>
              <w:pStyle w:val="TableParagraph"/>
              <w:spacing w:before="114"/>
              <w:jc w:val="left"/>
              <w:rPr>
                <w:sz w:val="20"/>
              </w:rPr>
            </w:pPr>
            <w:r>
              <w:rPr>
                <w:rFonts w:ascii="Arial"/>
                <w:i/>
                <w:sz w:val="20"/>
              </w:rPr>
              <w:t>[1992]</w:t>
            </w:r>
            <w:r>
              <w:rPr>
                <w:rFonts w:ascii="Arial"/>
                <w:i/>
                <w:spacing w:val="-2"/>
                <w:sz w:val="20"/>
              </w:rPr>
              <w:t> </w:t>
            </w:r>
            <w:r>
              <w:rPr>
                <w:rFonts w:ascii="Arial"/>
                <w:i/>
                <w:sz w:val="20"/>
              </w:rPr>
              <w:t>1 A.C. 624, 628-</w:t>
            </w:r>
            <w:r>
              <w:rPr>
                <w:rFonts w:ascii="Arial"/>
                <w:i/>
                <w:spacing w:val="-4"/>
                <w:sz w:val="20"/>
              </w:rPr>
              <w:t>629</w:t>
            </w:r>
            <w:r>
              <w:rPr>
                <w:spacing w:val="-4"/>
                <w:sz w:val="20"/>
              </w:rPr>
              <w:t>.</w:t>
            </w:r>
          </w:p>
        </w:tc>
      </w:tr>
      <w:tr>
        <w:trPr>
          <w:trHeight w:val="465" w:hRule="atLeast"/>
        </w:trPr>
        <w:tc>
          <w:tcPr>
            <w:tcW w:w="496" w:type="dxa"/>
          </w:tcPr>
          <w:p>
            <w:pPr>
              <w:pStyle w:val="TableParagraph"/>
              <w:ind w:left="0" w:right="43"/>
              <w:rPr>
                <w:sz w:val="14"/>
              </w:rPr>
            </w:pPr>
            <w:bookmarkStart w:name="_bookmark2429" w:id="2431"/>
            <w:bookmarkEnd w:id="2431"/>
            <w:r>
              <w:rPr/>
            </w:r>
            <w:hyperlink w:history="true" w:anchor="_bookmark2370">
              <w:r>
                <w:rPr>
                  <w:color w:val="005DA1"/>
                  <w:spacing w:val="-2"/>
                  <w:sz w:val="14"/>
                  <w:u w:val="single" w:color="005DA1"/>
                </w:rPr>
                <w:t>1585</w:t>
              </w:r>
            </w:hyperlink>
            <w:r>
              <w:rPr>
                <w:spacing w:val="-2"/>
                <w:sz w:val="14"/>
              </w:rPr>
              <w:t>.</w:t>
            </w:r>
          </w:p>
        </w:tc>
        <w:tc>
          <w:tcPr>
            <w:tcW w:w="8620" w:type="dxa"/>
          </w:tcPr>
          <w:p>
            <w:pPr>
              <w:pStyle w:val="TableParagraph"/>
              <w:spacing w:before="114"/>
              <w:jc w:val="left"/>
              <w:rPr>
                <w:sz w:val="20"/>
              </w:rPr>
            </w:pPr>
            <w:r>
              <w:rPr>
                <w:rFonts w:ascii="Arial"/>
                <w:i/>
                <w:sz w:val="20"/>
              </w:rPr>
              <w:t>[1983]</w:t>
            </w:r>
            <w:r>
              <w:rPr>
                <w:rFonts w:ascii="Arial"/>
                <w:i/>
                <w:spacing w:val="-2"/>
                <w:sz w:val="20"/>
              </w:rPr>
              <w:t> </w:t>
            </w:r>
            <w:r>
              <w:rPr>
                <w:rFonts w:ascii="Arial"/>
                <w:i/>
                <w:sz w:val="20"/>
              </w:rPr>
              <w:t>2 A.C. </w:t>
            </w:r>
            <w:r>
              <w:rPr>
                <w:rFonts w:ascii="Arial"/>
                <w:i/>
                <w:spacing w:val="-4"/>
                <w:sz w:val="20"/>
              </w:rPr>
              <w:t>237</w:t>
            </w:r>
            <w:r>
              <w:rPr>
                <w:spacing w:val="-4"/>
                <w:sz w:val="20"/>
              </w:rPr>
              <w:t>.</w:t>
            </w:r>
          </w:p>
        </w:tc>
      </w:tr>
      <w:tr>
        <w:trPr>
          <w:trHeight w:val="465" w:hRule="atLeast"/>
        </w:trPr>
        <w:tc>
          <w:tcPr>
            <w:tcW w:w="496" w:type="dxa"/>
          </w:tcPr>
          <w:p>
            <w:pPr>
              <w:pStyle w:val="TableParagraph"/>
              <w:ind w:left="0" w:right="43"/>
              <w:rPr>
                <w:sz w:val="14"/>
              </w:rPr>
            </w:pPr>
            <w:bookmarkStart w:name="_bookmark2430" w:id="2432"/>
            <w:bookmarkEnd w:id="2432"/>
            <w:r>
              <w:rPr/>
            </w:r>
            <w:hyperlink w:history="true" w:anchor="_bookmark2371">
              <w:r>
                <w:rPr>
                  <w:color w:val="005DA1"/>
                  <w:spacing w:val="-2"/>
                  <w:sz w:val="14"/>
                  <w:u w:val="single" w:color="005DA1"/>
                </w:rPr>
                <w:t>1586</w:t>
              </w:r>
            </w:hyperlink>
            <w:r>
              <w:rPr>
                <w:spacing w:val="-2"/>
                <w:sz w:val="14"/>
              </w:rPr>
              <w:t>.</w:t>
            </w:r>
          </w:p>
        </w:tc>
        <w:tc>
          <w:tcPr>
            <w:tcW w:w="8620" w:type="dxa"/>
          </w:tcPr>
          <w:p>
            <w:pPr>
              <w:pStyle w:val="TableParagraph"/>
              <w:spacing w:before="114"/>
              <w:jc w:val="left"/>
              <w:rPr>
                <w:sz w:val="20"/>
              </w:rPr>
            </w:pPr>
            <w:r>
              <w:rPr>
                <w:rFonts w:ascii="Arial"/>
                <w:i/>
                <w:sz w:val="20"/>
              </w:rPr>
              <w:t>[1983]</w:t>
            </w:r>
            <w:r>
              <w:rPr>
                <w:rFonts w:ascii="Arial"/>
                <w:i/>
                <w:spacing w:val="-1"/>
                <w:sz w:val="20"/>
              </w:rPr>
              <w:t> </w:t>
            </w:r>
            <w:r>
              <w:rPr>
                <w:rFonts w:ascii="Arial"/>
                <w:i/>
                <w:sz w:val="20"/>
              </w:rPr>
              <w:t>2 A.C. 237, 285</w:t>
            </w:r>
            <w:r>
              <w:rPr>
                <w:sz w:val="20"/>
              </w:rPr>
              <w:t>, quoted in</w:t>
            </w:r>
            <w:r>
              <w:rPr>
                <w:spacing w:val="-1"/>
                <w:sz w:val="20"/>
              </w:rPr>
              <w:t> </w:t>
            </w:r>
            <w:r>
              <w:rPr>
                <w:rFonts w:ascii="Arial"/>
                <w:i/>
                <w:sz w:val="20"/>
              </w:rPr>
              <w:t>Roy [1992] 1 A.C. 624, </w:t>
            </w:r>
            <w:r>
              <w:rPr>
                <w:rFonts w:ascii="Arial"/>
                <w:i/>
                <w:spacing w:val="-4"/>
                <w:sz w:val="20"/>
              </w:rPr>
              <w:t>642</w:t>
            </w:r>
            <w:r>
              <w:rPr>
                <w:spacing w:val="-4"/>
                <w:sz w:val="20"/>
              </w:rPr>
              <w:t>.</w:t>
            </w:r>
          </w:p>
        </w:tc>
      </w:tr>
      <w:tr>
        <w:trPr>
          <w:trHeight w:val="465" w:hRule="atLeast"/>
        </w:trPr>
        <w:tc>
          <w:tcPr>
            <w:tcW w:w="496" w:type="dxa"/>
          </w:tcPr>
          <w:p>
            <w:pPr>
              <w:pStyle w:val="TableParagraph"/>
              <w:ind w:left="0" w:right="43"/>
              <w:rPr>
                <w:sz w:val="14"/>
              </w:rPr>
            </w:pPr>
            <w:bookmarkStart w:name="_bookmark2431" w:id="2433"/>
            <w:bookmarkEnd w:id="2433"/>
            <w:r>
              <w:rPr/>
            </w:r>
            <w:hyperlink w:history="true" w:anchor="_bookmark2372">
              <w:r>
                <w:rPr>
                  <w:color w:val="005DA1"/>
                  <w:spacing w:val="-2"/>
                  <w:sz w:val="14"/>
                  <w:u w:val="single" w:color="005DA1"/>
                </w:rPr>
                <w:t>1587</w:t>
              </w:r>
            </w:hyperlink>
            <w:r>
              <w:rPr>
                <w:spacing w:val="-2"/>
                <w:sz w:val="14"/>
              </w:rPr>
              <w:t>.</w:t>
            </w:r>
          </w:p>
        </w:tc>
        <w:tc>
          <w:tcPr>
            <w:tcW w:w="8620" w:type="dxa"/>
          </w:tcPr>
          <w:p>
            <w:pPr>
              <w:pStyle w:val="TableParagraph"/>
              <w:spacing w:before="114"/>
              <w:jc w:val="left"/>
              <w:rPr>
                <w:sz w:val="20"/>
              </w:rPr>
            </w:pPr>
            <w:r>
              <w:rPr>
                <w:rFonts w:ascii="Arial"/>
                <w:i/>
                <w:sz w:val="20"/>
              </w:rPr>
              <w:t>[1992]</w:t>
            </w:r>
            <w:r>
              <w:rPr>
                <w:rFonts w:ascii="Arial"/>
                <w:i/>
                <w:spacing w:val="-2"/>
                <w:sz w:val="20"/>
              </w:rPr>
              <w:t> </w:t>
            </w:r>
            <w:r>
              <w:rPr>
                <w:rFonts w:ascii="Arial"/>
                <w:i/>
                <w:sz w:val="20"/>
              </w:rPr>
              <w:t>1 A.C. 624, </w:t>
            </w:r>
            <w:r>
              <w:rPr>
                <w:rFonts w:ascii="Arial"/>
                <w:i/>
                <w:spacing w:val="-4"/>
                <w:sz w:val="20"/>
              </w:rPr>
              <w:t>654</w:t>
            </w:r>
            <w:r>
              <w:rPr>
                <w:spacing w:val="-4"/>
                <w:sz w:val="20"/>
              </w:rPr>
              <w:t>.</w:t>
            </w:r>
          </w:p>
        </w:tc>
      </w:tr>
      <w:tr>
        <w:trPr>
          <w:trHeight w:val="465" w:hRule="atLeast"/>
        </w:trPr>
        <w:tc>
          <w:tcPr>
            <w:tcW w:w="496" w:type="dxa"/>
          </w:tcPr>
          <w:p>
            <w:pPr>
              <w:pStyle w:val="TableParagraph"/>
              <w:ind w:left="0" w:right="43"/>
              <w:rPr>
                <w:sz w:val="14"/>
              </w:rPr>
            </w:pPr>
            <w:bookmarkStart w:name="_bookmark2432" w:id="2434"/>
            <w:bookmarkEnd w:id="2434"/>
            <w:r>
              <w:rPr/>
            </w:r>
            <w:hyperlink w:history="true" w:anchor="_bookmark2373">
              <w:r>
                <w:rPr>
                  <w:color w:val="005DA1"/>
                  <w:spacing w:val="-2"/>
                  <w:sz w:val="14"/>
                  <w:u w:val="single" w:color="005DA1"/>
                </w:rPr>
                <w:t>1588</w:t>
              </w:r>
            </w:hyperlink>
            <w:r>
              <w:rPr>
                <w:spacing w:val="-2"/>
                <w:sz w:val="14"/>
              </w:rPr>
              <w:t>.</w:t>
            </w:r>
          </w:p>
        </w:tc>
        <w:tc>
          <w:tcPr>
            <w:tcW w:w="8620" w:type="dxa"/>
          </w:tcPr>
          <w:p>
            <w:pPr>
              <w:pStyle w:val="TableParagraph"/>
              <w:spacing w:before="114"/>
              <w:jc w:val="left"/>
              <w:rPr>
                <w:sz w:val="20"/>
              </w:rPr>
            </w:pPr>
            <w:r>
              <w:rPr>
                <w:rFonts w:ascii="Arial"/>
                <w:i/>
                <w:sz w:val="20"/>
              </w:rPr>
              <w:t>[1992]</w:t>
            </w:r>
            <w:r>
              <w:rPr>
                <w:rFonts w:ascii="Arial"/>
                <w:i/>
                <w:spacing w:val="-2"/>
                <w:sz w:val="20"/>
              </w:rPr>
              <w:t> </w:t>
            </w:r>
            <w:r>
              <w:rPr>
                <w:rFonts w:ascii="Arial"/>
                <w:i/>
                <w:sz w:val="20"/>
              </w:rPr>
              <w:t>1 A.C. 624, </w:t>
            </w:r>
            <w:r>
              <w:rPr>
                <w:rFonts w:ascii="Arial"/>
                <w:i/>
                <w:spacing w:val="-4"/>
                <w:sz w:val="20"/>
              </w:rPr>
              <w:t>653</w:t>
            </w:r>
            <w:r>
              <w:rPr>
                <w:spacing w:val="-4"/>
                <w:sz w:val="20"/>
              </w:rPr>
              <w:t>.</w:t>
            </w:r>
          </w:p>
        </w:tc>
      </w:tr>
      <w:tr>
        <w:trPr>
          <w:trHeight w:val="690" w:hRule="atLeast"/>
        </w:trPr>
        <w:tc>
          <w:tcPr>
            <w:tcW w:w="496" w:type="dxa"/>
          </w:tcPr>
          <w:p>
            <w:pPr>
              <w:pStyle w:val="TableParagraph"/>
              <w:ind w:left="0" w:right="43"/>
              <w:rPr>
                <w:sz w:val="14"/>
              </w:rPr>
            </w:pPr>
            <w:bookmarkStart w:name="_bookmark2433" w:id="2435"/>
            <w:bookmarkEnd w:id="2435"/>
            <w:r>
              <w:rPr/>
            </w:r>
            <w:hyperlink w:history="true" w:anchor="_bookmark2374">
              <w:r>
                <w:rPr>
                  <w:color w:val="005DA1"/>
                  <w:spacing w:val="-2"/>
                  <w:sz w:val="14"/>
                  <w:u w:val="single" w:color="005DA1"/>
                </w:rPr>
                <w:t>1589</w:t>
              </w:r>
            </w:hyperlink>
            <w:r>
              <w:rPr>
                <w:spacing w:val="-2"/>
                <w:sz w:val="14"/>
              </w:rPr>
              <w:t>.</w:t>
            </w:r>
          </w:p>
        </w:tc>
        <w:tc>
          <w:tcPr>
            <w:tcW w:w="8620" w:type="dxa"/>
          </w:tcPr>
          <w:p>
            <w:pPr>
              <w:pStyle w:val="TableParagraph"/>
              <w:spacing w:line="235" w:lineRule="auto" w:before="118"/>
              <w:jc w:val="left"/>
              <w:rPr>
                <w:sz w:val="20"/>
              </w:rPr>
            </w:pPr>
            <w:r>
              <w:rPr>
                <w:rFonts w:ascii="Arial"/>
                <w:i/>
                <w:sz w:val="20"/>
              </w:rPr>
              <w:t>[1992]</w:t>
            </w:r>
            <w:r>
              <w:rPr>
                <w:rFonts w:ascii="Arial"/>
                <w:i/>
                <w:spacing w:val="-2"/>
                <w:sz w:val="20"/>
              </w:rPr>
              <w:t> </w:t>
            </w:r>
            <w:r>
              <w:rPr>
                <w:rFonts w:ascii="Arial"/>
                <w:i/>
                <w:sz w:val="20"/>
              </w:rPr>
              <w:t>1</w:t>
            </w:r>
            <w:r>
              <w:rPr>
                <w:rFonts w:ascii="Arial"/>
                <w:i/>
                <w:spacing w:val="-2"/>
                <w:sz w:val="20"/>
              </w:rPr>
              <w:t> </w:t>
            </w:r>
            <w:r>
              <w:rPr>
                <w:rFonts w:ascii="Arial"/>
                <w:i/>
                <w:sz w:val="20"/>
              </w:rPr>
              <w:t>A.C.</w:t>
            </w:r>
            <w:r>
              <w:rPr>
                <w:rFonts w:ascii="Arial"/>
                <w:i/>
                <w:spacing w:val="-2"/>
                <w:sz w:val="20"/>
              </w:rPr>
              <w:t> </w:t>
            </w:r>
            <w:r>
              <w:rPr>
                <w:rFonts w:ascii="Arial"/>
                <w:i/>
                <w:sz w:val="20"/>
              </w:rPr>
              <w:t>624,</w:t>
            </w:r>
            <w:r>
              <w:rPr>
                <w:rFonts w:ascii="Arial"/>
                <w:i/>
                <w:spacing w:val="-2"/>
                <w:sz w:val="20"/>
              </w:rPr>
              <w:t> </w:t>
            </w:r>
            <w:r>
              <w:rPr>
                <w:rFonts w:ascii="Arial"/>
                <w:i/>
                <w:sz w:val="20"/>
              </w:rPr>
              <w:t>647</w:t>
            </w:r>
            <w:r>
              <w:rPr>
                <w:sz w:val="20"/>
              </w:rPr>
              <w:t>,</w:t>
            </w:r>
            <w:r>
              <w:rPr>
                <w:spacing w:val="-2"/>
                <w:sz w:val="20"/>
              </w:rPr>
              <w:t> </w:t>
            </w:r>
            <w:r>
              <w:rPr>
                <w:sz w:val="20"/>
              </w:rPr>
              <w:t>per</w:t>
            </w:r>
            <w:r>
              <w:rPr>
                <w:spacing w:val="-2"/>
                <w:sz w:val="20"/>
              </w:rPr>
              <w:t> </w:t>
            </w:r>
            <w:r>
              <w:rPr>
                <w:sz w:val="20"/>
              </w:rPr>
              <w:t>Lord</w:t>
            </w:r>
            <w:r>
              <w:rPr>
                <w:spacing w:val="-2"/>
                <w:sz w:val="20"/>
              </w:rPr>
              <w:t> </w:t>
            </w:r>
            <w:r>
              <w:rPr>
                <w:sz w:val="20"/>
              </w:rPr>
              <w:t>Lowry,</w:t>
            </w:r>
            <w:r>
              <w:rPr>
                <w:spacing w:val="-2"/>
                <w:sz w:val="20"/>
              </w:rPr>
              <w:t> </w:t>
            </w:r>
            <w:r>
              <w:rPr>
                <w:sz w:val="20"/>
              </w:rPr>
              <w:t>approving</w:t>
            </w:r>
            <w:r>
              <w:rPr>
                <w:spacing w:val="-2"/>
                <w:sz w:val="20"/>
              </w:rPr>
              <w:t> </w:t>
            </w:r>
            <w:r>
              <w:rPr>
                <w:sz w:val="20"/>
              </w:rPr>
              <w:t>the</w:t>
            </w:r>
            <w:r>
              <w:rPr>
                <w:spacing w:val="-2"/>
                <w:sz w:val="20"/>
              </w:rPr>
              <w:t> </w:t>
            </w:r>
            <w:r>
              <w:rPr>
                <w:sz w:val="20"/>
              </w:rPr>
              <w:t>approach</w:t>
            </w:r>
            <w:r>
              <w:rPr>
                <w:spacing w:val="-2"/>
                <w:sz w:val="20"/>
              </w:rPr>
              <w:t> </w:t>
            </w:r>
            <w:r>
              <w:rPr>
                <w:sz w:val="20"/>
              </w:rPr>
              <w:t>of</w:t>
            </w:r>
            <w:r>
              <w:rPr>
                <w:spacing w:val="-2"/>
                <w:sz w:val="20"/>
              </w:rPr>
              <w:t> </w:t>
            </w:r>
            <w:r>
              <w:rPr>
                <w:sz w:val="20"/>
              </w:rPr>
              <w:t>Woolf</w:t>
            </w:r>
            <w:r>
              <w:rPr>
                <w:spacing w:val="-2"/>
                <w:sz w:val="20"/>
              </w:rPr>
              <w:t> </w:t>
            </w:r>
            <w:r>
              <w:rPr>
                <w:sz w:val="20"/>
              </w:rPr>
              <w:t>L.J.</w:t>
            </w:r>
            <w:r>
              <w:rPr>
                <w:spacing w:val="-2"/>
                <w:sz w:val="20"/>
              </w:rPr>
              <w:t> </w:t>
            </w:r>
            <w:r>
              <w:rPr>
                <w:sz w:val="20"/>
              </w:rPr>
              <w:t>in</w:t>
            </w:r>
            <w:r>
              <w:rPr>
                <w:spacing w:val="-3"/>
                <w:sz w:val="20"/>
              </w:rPr>
              <w:t> </w:t>
            </w:r>
            <w:r>
              <w:rPr>
                <w:rFonts w:ascii="Arial"/>
                <w:i/>
                <w:sz w:val="20"/>
              </w:rPr>
              <w:t>R.</w:t>
            </w:r>
            <w:r>
              <w:rPr>
                <w:rFonts w:ascii="Arial"/>
                <w:i/>
                <w:spacing w:val="-2"/>
                <w:sz w:val="20"/>
              </w:rPr>
              <w:t> </w:t>
            </w:r>
            <w:r>
              <w:rPr>
                <w:rFonts w:ascii="Arial"/>
                <w:i/>
                <w:sz w:val="20"/>
              </w:rPr>
              <w:t>v</w:t>
            </w:r>
            <w:r>
              <w:rPr>
                <w:rFonts w:ascii="Arial"/>
                <w:i/>
                <w:spacing w:val="-2"/>
                <w:sz w:val="20"/>
              </w:rPr>
              <w:t> </w:t>
            </w:r>
            <w:r>
              <w:rPr>
                <w:rFonts w:ascii="Arial"/>
                <w:i/>
                <w:sz w:val="20"/>
              </w:rPr>
              <w:t>Derbyshire CC Ex p. Noble [1990] I.C.R. 808, 813</w:t>
            </w:r>
            <w:r>
              <w:rPr>
                <w:sz w:val="20"/>
              </w:rPr>
              <w:t>.</w:t>
            </w:r>
          </w:p>
        </w:tc>
      </w:tr>
      <w:tr>
        <w:trPr>
          <w:trHeight w:val="1590" w:hRule="atLeast"/>
        </w:trPr>
        <w:tc>
          <w:tcPr>
            <w:tcW w:w="496" w:type="dxa"/>
          </w:tcPr>
          <w:p>
            <w:pPr>
              <w:pStyle w:val="TableParagraph"/>
              <w:ind w:left="0" w:right="43"/>
              <w:rPr>
                <w:sz w:val="14"/>
              </w:rPr>
            </w:pPr>
            <w:bookmarkStart w:name="_bookmark2434" w:id="2436"/>
            <w:bookmarkEnd w:id="2436"/>
            <w:r>
              <w:rPr/>
            </w:r>
            <w:hyperlink w:history="true" w:anchor="_bookmark2375">
              <w:r>
                <w:rPr>
                  <w:color w:val="005DA1"/>
                  <w:spacing w:val="-2"/>
                  <w:sz w:val="14"/>
                  <w:u w:val="single" w:color="005DA1"/>
                </w:rPr>
                <w:t>1590</w:t>
              </w:r>
            </w:hyperlink>
            <w:r>
              <w:rPr>
                <w:spacing w:val="-2"/>
                <w:sz w:val="14"/>
              </w:rPr>
              <w:t>.</w:t>
            </w:r>
          </w:p>
        </w:tc>
        <w:tc>
          <w:tcPr>
            <w:tcW w:w="8620" w:type="dxa"/>
          </w:tcPr>
          <w:p>
            <w:pPr>
              <w:pStyle w:val="TableParagraph"/>
              <w:spacing w:line="235" w:lineRule="auto" w:before="118"/>
              <w:ind w:right="48"/>
              <w:jc w:val="both"/>
              <w:rPr>
                <w:rFonts w:ascii="Arial"/>
                <w:i/>
                <w:sz w:val="20"/>
              </w:rPr>
            </w:pPr>
            <w:r>
              <w:rPr>
                <w:sz w:val="20"/>
              </w:rPr>
              <w:t>This approach was followed by the Court of Appeal in </w:t>
            </w:r>
            <w:r>
              <w:rPr>
                <w:rFonts w:ascii="Arial"/>
                <w:i/>
                <w:sz w:val="20"/>
              </w:rPr>
              <w:t>Trustees of the Dennis Rye </w:t>
            </w:r>
            <w:r>
              <w:rPr>
                <w:rFonts w:ascii="Arial"/>
                <w:i/>
                <w:sz w:val="20"/>
              </w:rPr>
              <w:t>Pension</w:t>
            </w:r>
            <w:r>
              <w:rPr>
                <w:rFonts w:ascii="Arial"/>
                <w:i/>
                <w:spacing w:val="40"/>
                <w:sz w:val="20"/>
              </w:rPr>
              <w:t> </w:t>
            </w:r>
            <w:r>
              <w:rPr>
                <w:rFonts w:ascii="Arial"/>
                <w:i/>
                <w:sz w:val="20"/>
              </w:rPr>
              <w:t>Fund v Sheffield City Council [1997] 4 All E.R. 747</w:t>
            </w:r>
            <w:r>
              <w:rPr>
                <w:sz w:val="20"/>
              </w:rPr>
              <w:t>. The need for flexibility in approach to the distinction between the public and private procedures was noted by the HL in </w:t>
            </w:r>
            <w:r>
              <w:rPr>
                <w:rFonts w:ascii="Arial"/>
                <w:i/>
                <w:sz w:val="20"/>
              </w:rPr>
              <w:t>Mercury Communications Ltd v Director General of Telecommunications [1996] 1 W.L.R. 48 </w:t>
            </w:r>
            <w:r>
              <w:rPr>
                <w:sz w:val="20"/>
              </w:rPr>
              <w:t>and by the Court</w:t>
            </w:r>
            <w:r>
              <w:rPr>
                <w:spacing w:val="3"/>
                <w:sz w:val="20"/>
              </w:rPr>
              <w:t> </w:t>
            </w:r>
            <w:r>
              <w:rPr>
                <w:sz w:val="20"/>
              </w:rPr>
              <w:t>of</w:t>
            </w:r>
            <w:r>
              <w:rPr>
                <w:spacing w:val="3"/>
                <w:sz w:val="20"/>
              </w:rPr>
              <w:t> </w:t>
            </w:r>
            <w:r>
              <w:rPr>
                <w:sz w:val="20"/>
              </w:rPr>
              <w:t>Appeal</w:t>
            </w:r>
            <w:r>
              <w:rPr>
                <w:spacing w:val="3"/>
                <w:sz w:val="20"/>
              </w:rPr>
              <w:t> </w:t>
            </w:r>
            <w:r>
              <w:rPr>
                <w:sz w:val="20"/>
              </w:rPr>
              <w:t>in</w:t>
            </w:r>
            <w:r>
              <w:rPr>
                <w:spacing w:val="2"/>
                <w:sz w:val="20"/>
              </w:rPr>
              <w:t> </w:t>
            </w:r>
            <w:r>
              <w:rPr>
                <w:rFonts w:ascii="Arial"/>
                <w:i/>
                <w:sz w:val="20"/>
              </w:rPr>
              <w:t>Clark</w:t>
            </w:r>
            <w:r>
              <w:rPr>
                <w:rFonts w:ascii="Arial"/>
                <w:i/>
                <w:spacing w:val="3"/>
                <w:sz w:val="20"/>
              </w:rPr>
              <w:t> </w:t>
            </w:r>
            <w:r>
              <w:rPr>
                <w:rFonts w:ascii="Arial"/>
                <w:i/>
                <w:sz w:val="20"/>
              </w:rPr>
              <w:t>v</w:t>
            </w:r>
            <w:r>
              <w:rPr>
                <w:rFonts w:ascii="Arial"/>
                <w:i/>
                <w:spacing w:val="3"/>
                <w:sz w:val="20"/>
              </w:rPr>
              <w:t> </w:t>
            </w:r>
            <w:r>
              <w:rPr>
                <w:rFonts w:ascii="Arial"/>
                <w:i/>
                <w:sz w:val="20"/>
              </w:rPr>
              <w:t>The</w:t>
            </w:r>
            <w:r>
              <w:rPr>
                <w:rFonts w:ascii="Arial"/>
                <w:i/>
                <w:spacing w:val="3"/>
                <w:sz w:val="20"/>
              </w:rPr>
              <w:t> </w:t>
            </w:r>
            <w:r>
              <w:rPr>
                <w:rFonts w:ascii="Arial"/>
                <w:i/>
                <w:sz w:val="20"/>
              </w:rPr>
              <w:t>University</w:t>
            </w:r>
            <w:r>
              <w:rPr>
                <w:rFonts w:ascii="Arial"/>
                <w:i/>
                <w:spacing w:val="3"/>
                <w:sz w:val="20"/>
              </w:rPr>
              <w:t> </w:t>
            </w:r>
            <w:r>
              <w:rPr>
                <w:rFonts w:ascii="Arial"/>
                <w:i/>
                <w:sz w:val="20"/>
              </w:rPr>
              <w:t>of</w:t>
            </w:r>
            <w:r>
              <w:rPr>
                <w:rFonts w:ascii="Arial"/>
                <w:i/>
                <w:spacing w:val="3"/>
                <w:sz w:val="20"/>
              </w:rPr>
              <w:t> </w:t>
            </w:r>
            <w:r>
              <w:rPr>
                <w:rFonts w:ascii="Arial"/>
                <w:i/>
                <w:sz w:val="20"/>
              </w:rPr>
              <w:t>Lincolnshire</w:t>
            </w:r>
            <w:r>
              <w:rPr>
                <w:rFonts w:ascii="Arial"/>
                <w:i/>
                <w:spacing w:val="3"/>
                <w:sz w:val="20"/>
              </w:rPr>
              <w:t> </w:t>
            </w:r>
            <w:r>
              <w:rPr>
                <w:rFonts w:ascii="Arial"/>
                <w:i/>
                <w:sz w:val="20"/>
              </w:rPr>
              <w:t>and</w:t>
            </w:r>
            <w:r>
              <w:rPr>
                <w:rFonts w:ascii="Arial"/>
                <w:i/>
                <w:spacing w:val="3"/>
                <w:sz w:val="20"/>
              </w:rPr>
              <w:t> </w:t>
            </w:r>
            <w:r>
              <w:rPr>
                <w:rFonts w:ascii="Arial"/>
                <w:i/>
                <w:sz w:val="20"/>
              </w:rPr>
              <w:t>Humberside</w:t>
            </w:r>
            <w:r>
              <w:rPr>
                <w:rFonts w:ascii="Arial"/>
                <w:i/>
                <w:spacing w:val="3"/>
                <w:sz w:val="20"/>
              </w:rPr>
              <w:t> </w:t>
            </w:r>
            <w:r>
              <w:rPr>
                <w:rFonts w:ascii="Arial"/>
                <w:i/>
                <w:sz w:val="20"/>
              </w:rPr>
              <w:t>[2000]</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pacing w:val="-4"/>
                <w:sz w:val="20"/>
              </w:rPr>
              <w:t>1988</w:t>
            </w:r>
          </w:p>
          <w:p>
            <w:pPr>
              <w:pStyle w:val="TableParagraph"/>
              <w:spacing w:line="224" w:lineRule="exact" w:before="0"/>
              <w:jc w:val="left"/>
              <w:rPr>
                <w:sz w:val="20"/>
              </w:rPr>
            </w:pPr>
            <w:r>
              <w:rPr>
                <w:spacing w:val="-10"/>
                <w:sz w:val="20"/>
              </w:rPr>
              <w:t>.</w:t>
            </w:r>
          </w:p>
        </w:tc>
      </w:tr>
      <w:tr>
        <w:trPr>
          <w:trHeight w:val="690" w:hRule="atLeast"/>
        </w:trPr>
        <w:tc>
          <w:tcPr>
            <w:tcW w:w="496" w:type="dxa"/>
          </w:tcPr>
          <w:p>
            <w:pPr>
              <w:pStyle w:val="TableParagraph"/>
              <w:ind w:left="0" w:right="43"/>
              <w:rPr>
                <w:sz w:val="14"/>
              </w:rPr>
            </w:pPr>
            <w:bookmarkStart w:name="_bookmark2435" w:id="2437"/>
            <w:bookmarkEnd w:id="2437"/>
            <w:r>
              <w:rPr/>
            </w:r>
            <w:hyperlink w:history="true" w:anchor="_bookmark2376">
              <w:r>
                <w:rPr>
                  <w:color w:val="005DA1"/>
                  <w:spacing w:val="-2"/>
                  <w:sz w:val="14"/>
                  <w:u w:val="single" w:color="005DA1"/>
                </w:rPr>
                <w:t>1591</w:t>
              </w:r>
            </w:hyperlink>
            <w:r>
              <w:rPr>
                <w:spacing w:val="-2"/>
                <w:sz w:val="14"/>
              </w:rPr>
              <w:t>.</w:t>
            </w:r>
          </w:p>
        </w:tc>
        <w:tc>
          <w:tcPr>
            <w:tcW w:w="8620" w:type="dxa"/>
          </w:tcPr>
          <w:p>
            <w:pPr>
              <w:pStyle w:val="TableParagraph"/>
              <w:spacing w:line="235" w:lineRule="auto" w:before="118"/>
              <w:ind w:right="88"/>
              <w:jc w:val="left"/>
              <w:rPr>
                <w:sz w:val="20"/>
              </w:rPr>
            </w:pPr>
            <w:r>
              <w:rPr>
                <w:sz w:val="20"/>
              </w:rPr>
              <w:t>Civil Procedure (Amendment No.4) Rules 2000 (SI 2000/2092) rr.54.1, 54.22 came into force</w:t>
            </w:r>
            <w:r>
              <w:rPr>
                <w:spacing w:val="40"/>
                <w:sz w:val="20"/>
              </w:rPr>
              <w:t> </w:t>
            </w:r>
            <w:r>
              <w:rPr>
                <w:sz w:val="20"/>
              </w:rPr>
              <w:t>on October 2, 2000.</w:t>
            </w:r>
          </w:p>
        </w:tc>
      </w:tr>
      <w:tr>
        <w:trPr>
          <w:trHeight w:val="465" w:hRule="atLeast"/>
        </w:trPr>
        <w:tc>
          <w:tcPr>
            <w:tcW w:w="496" w:type="dxa"/>
          </w:tcPr>
          <w:p>
            <w:pPr>
              <w:pStyle w:val="TableParagraph"/>
              <w:ind w:left="0" w:right="43"/>
              <w:rPr>
                <w:sz w:val="14"/>
              </w:rPr>
            </w:pPr>
            <w:bookmarkStart w:name="_bookmark2436" w:id="2438"/>
            <w:bookmarkEnd w:id="2438"/>
            <w:r>
              <w:rPr/>
            </w:r>
            <w:hyperlink w:history="true" w:anchor="_bookmark2377">
              <w:r>
                <w:rPr>
                  <w:color w:val="005DA1"/>
                  <w:spacing w:val="-2"/>
                  <w:sz w:val="14"/>
                  <w:u w:val="single" w:color="005DA1"/>
                </w:rPr>
                <w:t>1592</w:t>
              </w:r>
            </w:hyperlink>
            <w:r>
              <w:rPr>
                <w:spacing w:val="-2"/>
                <w:sz w:val="14"/>
              </w:rPr>
              <w:t>.</w:t>
            </w:r>
          </w:p>
        </w:tc>
        <w:tc>
          <w:tcPr>
            <w:tcW w:w="8620" w:type="dxa"/>
          </w:tcPr>
          <w:p>
            <w:pPr>
              <w:pStyle w:val="TableParagraph"/>
              <w:spacing w:before="114"/>
              <w:jc w:val="left"/>
              <w:rPr>
                <w:sz w:val="20"/>
              </w:rPr>
            </w:pPr>
            <w:r>
              <w:rPr>
                <w:sz w:val="20"/>
              </w:rPr>
              <w:t>CPR </w:t>
            </w:r>
            <w:r>
              <w:rPr>
                <w:spacing w:val="-2"/>
                <w:sz w:val="20"/>
              </w:rPr>
              <w:t>r.54.1(2).</w:t>
            </w:r>
          </w:p>
        </w:tc>
      </w:tr>
      <w:tr>
        <w:trPr>
          <w:trHeight w:val="465" w:hRule="atLeast"/>
        </w:trPr>
        <w:tc>
          <w:tcPr>
            <w:tcW w:w="496" w:type="dxa"/>
          </w:tcPr>
          <w:p>
            <w:pPr>
              <w:pStyle w:val="TableParagraph"/>
              <w:ind w:left="0" w:right="43"/>
              <w:rPr>
                <w:sz w:val="14"/>
              </w:rPr>
            </w:pPr>
            <w:bookmarkStart w:name="_bookmark2437" w:id="2439"/>
            <w:bookmarkEnd w:id="2439"/>
            <w:r>
              <w:rPr/>
            </w:r>
            <w:hyperlink w:history="true" w:anchor="_bookmark2378">
              <w:r>
                <w:rPr>
                  <w:color w:val="005DA1"/>
                  <w:spacing w:val="-2"/>
                  <w:sz w:val="14"/>
                  <w:u w:val="single" w:color="005DA1"/>
                </w:rPr>
                <w:t>1593</w:t>
              </w:r>
            </w:hyperlink>
            <w:r>
              <w:rPr>
                <w:spacing w:val="-2"/>
                <w:sz w:val="14"/>
              </w:rPr>
              <w:t>.</w:t>
            </w:r>
          </w:p>
        </w:tc>
        <w:tc>
          <w:tcPr>
            <w:tcW w:w="8620" w:type="dxa"/>
          </w:tcPr>
          <w:p>
            <w:pPr>
              <w:pStyle w:val="TableParagraph"/>
              <w:spacing w:before="114"/>
              <w:jc w:val="left"/>
              <w:rPr>
                <w:sz w:val="20"/>
              </w:rPr>
            </w:pPr>
            <w:r>
              <w:rPr>
                <w:sz w:val="20"/>
              </w:rPr>
              <w:t>CPR r.54.2(2). The Supreme Court Act 1981 is renamed the Senior Courts Act </w:t>
            </w:r>
            <w:r>
              <w:rPr>
                <w:spacing w:val="-2"/>
                <w:sz w:val="20"/>
              </w:rPr>
              <w:t>1981.</w:t>
            </w:r>
          </w:p>
        </w:tc>
      </w:tr>
      <w:tr>
        <w:trPr>
          <w:trHeight w:val="465" w:hRule="atLeast"/>
        </w:trPr>
        <w:tc>
          <w:tcPr>
            <w:tcW w:w="496" w:type="dxa"/>
          </w:tcPr>
          <w:p>
            <w:pPr>
              <w:pStyle w:val="TableParagraph"/>
              <w:ind w:left="0" w:right="43"/>
              <w:rPr>
                <w:sz w:val="14"/>
              </w:rPr>
            </w:pPr>
            <w:bookmarkStart w:name="_bookmark2438" w:id="2440"/>
            <w:bookmarkEnd w:id="2440"/>
            <w:r>
              <w:rPr/>
            </w:r>
            <w:hyperlink w:history="true" w:anchor="_bookmark2379">
              <w:r>
                <w:rPr>
                  <w:color w:val="005DA1"/>
                  <w:spacing w:val="-2"/>
                  <w:sz w:val="14"/>
                  <w:u w:val="single" w:color="005DA1"/>
                </w:rPr>
                <w:t>1594</w:t>
              </w:r>
            </w:hyperlink>
            <w:r>
              <w:rPr>
                <w:spacing w:val="-2"/>
                <w:sz w:val="14"/>
              </w:rPr>
              <w:t>.</w:t>
            </w:r>
          </w:p>
        </w:tc>
        <w:tc>
          <w:tcPr>
            <w:tcW w:w="8620" w:type="dxa"/>
          </w:tcPr>
          <w:p>
            <w:pPr>
              <w:pStyle w:val="TableParagraph"/>
              <w:spacing w:before="114"/>
              <w:jc w:val="left"/>
              <w:rPr>
                <w:sz w:val="20"/>
              </w:rPr>
            </w:pPr>
            <w:r>
              <w:rPr>
                <w:sz w:val="20"/>
              </w:rPr>
              <w:t>CPR </w:t>
            </w:r>
            <w:r>
              <w:rPr>
                <w:spacing w:val="-2"/>
                <w:sz w:val="20"/>
              </w:rPr>
              <w:t>r.54.3.</w:t>
            </w:r>
          </w:p>
        </w:tc>
      </w:tr>
      <w:tr>
        <w:trPr>
          <w:trHeight w:val="465" w:hRule="atLeast"/>
        </w:trPr>
        <w:tc>
          <w:tcPr>
            <w:tcW w:w="496" w:type="dxa"/>
          </w:tcPr>
          <w:p>
            <w:pPr>
              <w:pStyle w:val="TableParagraph"/>
              <w:ind w:left="0" w:right="43"/>
              <w:rPr>
                <w:sz w:val="14"/>
              </w:rPr>
            </w:pPr>
            <w:bookmarkStart w:name="_bookmark2439" w:id="2441"/>
            <w:bookmarkEnd w:id="2441"/>
            <w:r>
              <w:rPr/>
            </w:r>
            <w:hyperlink w:history="true" w:anchor="_bookmark2380">
              <w:r>
                <w:rPr>
                  <w:color w:val="005DA1"/>
                  <w:spacing w:val="-2"/>
                  <w:sz w:val="14"/>
                  <w:u w:val="single" w:color="005DA1"/>
                </w:rPr>
                <w:t>1595</w:t>
              </w:r>
            </w:hyperlink>
            <w:r>
              <w:rPr>
                <w:spacing w:val="-2"/>
                <w:sz w:val="14"/>
              </w:rPr>
              <w:t>.</w:t>
            </w:r>
          </w:p>
        </w:tc>
        <w:tc>
          <w:tcPr>
            <w:tcW w:w="8620" w:type="dxa"/>
          </w:tcPr>
          <w:p>
            <w:pPr>
              <w:pStyle w:val="TableParagraph"/>
              <w:spacing w:before="114"/>
              <w:jc w:val="left"/>
              <w:rPr>
                <w:sz w:val="20"/>
              </w:rPr>
            </w:pPr>
            <w:r>
              <w:rPr>
                <w:sz w:val="20"/>
              </w:rPr>
              <w:t>CPR </w:t>
            </w:r>
            <w:r>
              <w:rPr>
                <w:spacing w:val="-2"/>
                <w:sz w:val="20"/>
              </w:rPr>
              <w:t>r.54.20.</w:t>
            </w:r>
          </w:p>
        </w:tc>
      </w:tr>
      <w:tr>
        <w:trPr>
          <w:trHeight w:val="465" w:hRule="atLeast"/>
        </w:trPr>
        <w:tc>
          <w:tcPr>
            <w:tcW w:w="496" w:type="dxa"/>
          </w:tcPr>
          <w:p>
            <w:pPr>
              <w:pStyle w:val="TableParagraph"/>
              <w:ind w:left="0" w:right="43"/>
              <w:rPr>
                <w:sz w:val="14"/>
              </w:rPr>
            </w:pPr>
            <w:bookmarkStart w:name="_bookmark2440" w:id="2442"/>
            <w:bookmarkEnd w:id="2442"/>
            <w:r>
              <w:rPr/>
            </w:r>
            <w:hyperlink w:history="true" w:anchor="_bookmark2381">
              <w:r>
                <w:rPr>
                  <w:color w:val="005DA1"/>
                  <w:spacing w:val="-2"/>
                  <w:sz w:val="14"/>
                  <w:u w:val="single" w:color="005DA1"/>
                </w:rPr>
                <w:t>1596</w:t>
              </w:r>
            </w:hyperlink>
            <w:r>
              <w:rPr>
                <w:spacing w:val="-2"/>
                <w:sz w:val="14"/>
              </w:rPr>
              <w:t>.</w:t>
            </w:r>
          </w:p>
        </w:tc>
        <w:tc>
          <w:tcPr>
            <w:tcW w:w="8620" w:type="dxa"/>
          </w:tcPr>
          <w:p>
            <w:pPr>
              <w:pStyle w:val="TableParagraph"/>
              <w:spacing w:before="114"/>
              <w:jc w:val="left"/>
              <w:rPr>
                <w:sz w:val="20"/>
              </w:rPr>
            </w:pPr>
            <w:r>
              <w:rPr>
                <w:sz w:val="20"/>
              </w:rPr>
              <w:t>CPR </w:t>
            </w:r>
            <w:r>
              <w:rPr>
                <w:spacing w:val="-2"/>
                <w:sz w:val="20"/>
              </w:rPr>
              <w:t>r.54.4.</w:t>
            </w:r>
          </w:p>
        </w:tc>
      </w:tr>
      <w:tr>
        <w:trPr>
          <w:trHeight w:val="690" w:hRule="atLeast"/>
        </w:trPr>
        <w:tc>
          <w:tcPr>
            <w:tcW w:w="496" w:type="dxa"/>
          </w:tcPr>
          <w:p>
            <w:pPr>
              <w:pStyle w:val="TableParagraph"/>
              <w:ind w:left="0" w:right="43"/>
              <w:rPr>
                <w:sz w:val="14"/>
              </w:rPr>
            </w:pPr>
            <w:bookmarkStart w:name="_bookmark2441" w:id="2443"/>
            <w:bookmarkEnd w:id="2443"/>
            <w:r>
              <w:rPr/>
            </w:r>
            <w:hyperlink w:history="true" w:anchor="_bookmark2382">
              <w:r>
                <w:rPr>
                  <w:color w:val="005DA1"/>
                  <w:spacing w:val="-2"/>
                  <w:sz w:val="14"/>
                  <w:u w:val="single" w:color="005DA1"/>
                </w:rPr>
                <w:t>1597</w:t>
              </w:r>
            </w:hyperlink>
            <w:r>
              <w:rPr>
                <w:spacing w:val="-2"/>
                <w:sz w:val="14"/>
              </w:rPr>
              <w:t>.</w:t>
            </w:r>
          </w:p>
        </w:tc>
        <w:tc>
          <w:tcPr>
            <w:tcW w:w="8620" w:type="dxa"/>
          </w:tcPr>
          <w:p>
            <w:pPr>
              <w:pStyle w:val="TableParagraph"/>
              <w:spacing w:line="235" w:lineRule="auto" w:before="118"/>
              <w:jc w:val="left"/>
              <w:rPr>
                <w:sz w:val="20"/>
              </w:rPr>
            </w:pPr>
            <w:r>
              <w:rPr>
                <w:sz w:val="20"/>
              </w:rPr>
              <w:t>CPR</w:t>
            </w:r>
            <w:r>
              <w:rPr>
                <w:spacing w:val="36"/>
                <w:sz w:val="20"/>
              </w:rPr>
              <w:t> </w:t>
            </w:r>
            <w:r>
              <w:rPr>
                <w:sz w:val="20"/>
              </w:rPr>
              <w:t>r.54.5,</w:t>
            </w:r>
            <w:r>
              <w:rPr>
                <w:spacing w:val="36"/>
                <w:sz w:val="20"/>
              </w:rPr>
              <w:t> </w:t>
            </w:r>
            <w:r>
              <w:rPr>
                <w:sz w:val="20"/>
              </w:rPr>
              <w:t>which</w:t>
            </w:r>
            <w:r>
              <w:rPr>
                <w:spacing w:val="36"/>
                <w:sz w:val="20"/>
              </w:rPr>
              <w:t> </w:t>
            </w:r>
            <w:r>
              <w:rPr>
                <w:sz w:val="20"/>
              </w:rPr>
              <w:t>also</w:t>
            </w:r>
            <w:r>
              <w:rPr>
                <w:spacing w:val="36"/>
                <w:sz w:val="20"/>
              </w:rPr>
              <w:t> </w:t>
            </w:r>
            <w:r>
              <w:rPr>
                <w:sz w:val="20"/>
              </w:rPr>
              <w:t>provides</w:t>
            </w:r>
            <w:r>
              <w:rPr>
                <w:spacing w:val="36"/>
                <w:sz w:val="20"/>
              </w:rPr>
              <w:t> </w:t>
            </w:r>
            <w:r>
              <w:rPr>
                <w:sz w:val="20"/>
              </w:rPr>
              <w:t>that</w:t>
            </w:r>
            <w:r>
              <w:rPr>
                <w:spacing w:val="36"/>
                <w:sz w:val="20"/>
              </w:rPr>
              <w:t> </w:t>
            </w:r>
            <w:r>
              <w:rPr>
                <w:sz w:val="20"/>
              </w:rPr>
              <w:t>these</w:t>
            </w:r>
            <w:r>
              <w:rPr>
                <w:spacing w:val="36"/>
                <w:sz w:val="20"/>
              </w:rPr>
              <w:t> </w:t>
            </w:r>
            <w:r>
              <w:rPr>
                <w:sz w:val="20"/>
              </w:rPr>
              <w:t>time</w:t>
            </w:r>
            <w:r>
              <w:rPr>
                <w:spacing w:val="36"/>
                <w:sz w:val="20"/>
              </w:rPr>
              <w:t> </w:t>
            </w:r>
            <w:r>
              <w:rPr>
                <w:sz w:val="20"/>
              </w:rPr>
              <w:t>limits</w:t>
            </w:r>
            <w:r>
              <w:rPr>
                <w:spacing w:val="36"/>
                <w:sz w:val="20"/>
              </w:rPr>
              <w:t> </w:t>
            </w:r>
            <w:r>
              <w:rPr>
                <w:sz w:val="20"/>
              </w:rPr>
              <w:t>may</w:t>
            </w:r>
            <w:r>
              <w:rPr>
                <w:spacing w:val="36"/>
                <w:sz w:val="20"/>
              </w:rPr>
              <w:t> </w:t>
            </w:r>
            <w:r>
              <w:rPr>
                <w:sz w:val="20"/>
              </w:rPr>
              <w:t>not</w:t>
            </w:r>
            <w:r>
              <w:rPr>
                <w:spacing w:val="36"/>
                <w:sz w:val="20"/>
              </w:rPr>
              <w:t> </w:t>
            </w:r>
            <w:r>
              <w:rPr>
                <w:sz w:val="20"/>
              </w:rPr>
              <w:t>be</w:t>
            </w:r>
            <w:r>
              <w:rPr>
                <w:spacing w:val="36"/>
                <w:sz w:val="20"/>
              </w:rPr>
              <w:t> </w:t>
            </w:r>
            <w:r>
              <w:rPr>
                <w:sz w:val="20"/>
              </w:rPr>
              <w:t>extended</w:t>
            </w:r>
            <w:r>
              <w:rPr>
                <w:spacing w:val="36"/>
                <w:sz w:val="20"/>
              </w:rPr>
              <w:t> </w:t>
            </w:r>
            <w:r>
              <w:rPr>
                <w:sz w:val="20"/>
              </w:rPr>
              <w:t>by</w:t>
            </w:r>
            <w:r>
              <w:rPr>
                <w:spacing w:val="36"/>
                <w:sz w:val="20"/>
              </w:rPr>
              <w:t> </w:t>
            </w:r>
            <w:r>
              <w:rPr>
                <w:sz w:val="20"/>
              </w:rPr>
              <w:t>agreement between the parties.</w:t>
            </w:r>
          </w:p>
        </w:tc>
      </w:tr>
      <w:tr>
        <w:trPr>
          <w:trHeight w:val="569" w:hRule="atLeast"/>
        </w:trPr>
        <w:tc>
          <w:tcPr>
            <w:tcW w:w="496" w:type="dxa"/>
          </w:tcPr>
          <w:p>
            <w:pPr>
              <w:pStyle w:val="TableParagraph"/>
              <w:ind w:left="0" w:right="43"/>
              <w:rPr>
                <w:sz w:val="14"/>
              </w:rPr>
            </w:pPr>
            <w:bookmarkStart w:name="_bookmark2442" w:id="2444"/>
            <w:bookmarkEnd w:id="2444"/>
            <w:r>
              <w:rPr/>
            </w:r>
            <w:hyperlink w:history="true" w:anchor="_bookmark2383">
              <w:r>
                <w:rPr>
                  <w:color w:val="005DA1"/>
                  <w:spacing w:val="-2"/>
                  <w:sz w:val="14"/>
                  <w:u w:val="single" w:color="005DA1"/>
                </w:rPr>
                <w:t>1598</w:t>
              </w:r>
            </w:hyperlink>
            <w:r>
              <w:rPr>
                <w:spacing w:val="-2"/>
                <w:sz w:val="14"/>
              </w:rPr>
              <w:t>.</w:t>
            </w:r>
          </w:p>
        </w:tc>
        <w:tc>
          <w:tcPr>
            <w:tcW w:w="8620" w:type="dxa"/>
          </w:tcPr>
          <w:p>
            <w:pPr>
              <w:pStyle w:val="TableParagraph"/>
              <w:spacing w:line="226" w:lineRule="exact" w:before="97"/>
              <w:ind w:right="46"/>
              <w:jc w:val="left"/>
              <w:rPr>
                <w:sz w:val="20"/>
              </w:rPr>
            </w:pPr>
            <w:r>
              <w:rPr>
                <w:sz w:val="20"/>
              </w:rPr>
              <w:t>It has been noticed that under the CPR delay is also relevant to claims by ordinary action:</w:t>
            </w:r>
            <w:r>
              <w:rPr>
                <w:spacing w:val="-1"/>
                <w:sz w:val="20"/>
              </w:rPr>
              <w:t> </w:t>
            </w:r>
            <w:r>
              <w:rPr>
                <w:rFonts w:ascii="Arial"/>
                <w:i/>
                <w:sz w:val="20"/>
              </w:rPr>
              <w:t>Clark v The University of Lincolnshire and Humberside [2000] 1 W.L.R. 1988, 1997</w:t>
            </w:r>
            <w:r>
              <w:rPr>
                <w:sz w:val="20"/>
              </w:rPr>
              <w:t>.</w:t>
            </w:r>
          </w:p>
        </w:tc>
      </w:tr>
    </w:tbl>
    <w:p>
      <w:pPr>
        <w:pStyle w:val="BodyText"/>
        <w:spacing w:before="81"/>
        <w:rPr>
          <w:sz w:val="14"/>
        </w:rPr>
      </w:pPr>
    </w:p>
    <w:p>
      <w:pPr>
        <w:spacing w:line="137" w:lineRule="exact" w:before="0"/>
        <w:ind w:left="165" w:right="0" w:firstLine="0"/>
        <w:jc w:val="left"/>
        <w:rPr>
          <w:sz w:val="14"/>
        </w:rPr>
      </w:pPr>
      <w:bookmarkStart w:name="_bookmark2443" w:id="2445"/>
      <w:bookmarkEnd w:id="2445"/>
      <w:r>
        <w:rPr/>
      </w:r>
      <w:hyperlink w:history="true" w:anchor="_bookmark2384">
        <w:r>
          <w:rPr>
            <w:color w:val="005DA1"/>
            <w:spacing w:val="-2"/>
            <w:sz w:val="14"/>
            <w:u w:val="single" w:color="005DA1"/>
          </w:rPr>
          <w:t>1599</w:t>
        </w:r>
      </w:hyperlink>
      <w:r>
        <w:rPr>
          <w:spacing w:val="-2"/>
          <w:sz w:val="14"/>
        </w:rPr>
        <w:t>.</w:t>
      </w:r>
    </w:p>
    <w:p>
      <w:pPr>
        <w:spacing w:line="203" w:lineRule="exact" w:before="0"/>
        <w:ind w:left="875" w:right="0" w:firstLine="0"/>
        <w:jc w:val="both"/>
        <w:rPr>
          <w:sz w:val="20"/>
        </w:rPr>
      </w:pPr>
      <w:r>
        <w:rPr>
          <w:sz w:val="20"/>
        </w:rPr>
        <w:drawing>
          <wp:anchor distT="0" distB="0" distL="0" distR="0" allowOverlap="1" layoutInCell="1" locked="0" behindDoc="0" simplePos="0" relativeHeight="15843328">
            <wp:simplePos x="0" y="0"/>
            <wp:positionH relativeFrom="page">
              <wp:posOffset>1257846</wp:posOffset>
            </wp:positionH>
            <wp:positionV relativeFrom="paragraph">
              <wp:posOffset>13064</wp:posOffset>
            </wp:positionV>
            <wp:extent cx="107988" cy="107988"/>
            <wp:effectExtent l="0" t="0" r="0" b="0"/>
            <wp:wrapNone/>
            <wp:docPr id="571" name="Image 571"/>
            <wp:cNvGraphicFramePr>
              <a:graphicFrameLocks/>
            </wp:cNvGraphicFramePr>
            <a:graphic>
              <a:graphicData uri="http://schemas.openxmlformats.org/drawingml/2006/picture">
                <pic:pic>
                  <pic:nvPicPr>
                    <pic:cNvPr id="571" name="Image 571"/>
                    <pic:cNvPicPr/>
                  </pic:nvPicPr>
                  <pic:blipFill>
                    <a:blip r:embed="rId6" cstate="print"/>
                    <a:stretch>
                      <a:fillRect/>
                    </a:stretch>
                  </pic:blipFill>
                  <pic:spPr>
                    <a:xfrm>
                      <a:off x="0" y="0"/>
                      <a:ext cx="107988" cy="107988"/>
                    </a:xfrm>
                    <a:prstGeom prst="rect">
                      <a:avLst/>
                    </a:prstGeom>
                  </pic:spPr>
                </pic:pic>
              </a:graphicData>
            </a:graphic>
          </wp:anchor>
        </w:drawing>
      </w:r>
      <w:r>
        <w:rPr>
          <w:sz w:val="20"/>
        </w:rPr>
        <w:t>[2000]</w:t>
      </w:r>
      <w:r>
        <w:rPr>
          <w:spacing w:val="26"/>
          <w:sz w:val="20"/>
        </w:rPr>
        <w:t> </w:t>
      </w:r>
      <w:r>
        <w:rPr>
          <w:sz w:val="20"/>
        </w:rPr>
        <w:t>1</w:t>
      </w:r>
      <w:r>
        <w:rPr>
          <w:spacing w:val="27"/>
          <w:sz w:val="20"/>
        </w:rPr>
        <w:t> </w:t>
      </w:r>
      <w:r>
        <w:rPr>
          <w:sz w:val="20"/>
        </w:rPr>
        <w:t>W.L.R.</w:t>
      </w:r>
      <w:r>
        <w:rPr>
          <w:spacing w:val="27"/>
          <w:sz w:val="20"/>
        </w:rPr>
        <w:t> </w:t>
      </w:r>
      <w:r>
        <w:rPr>
          <w:sz w:val="20"/>
        </w:rPr>
        <w:t>1988,</w:t>
      </w:r>
      <w:r>
        <w:rPr>
          <w:spacing w:val="27"/>
          <w:sz w:val="20"/>
        </w:rPr>
        <w:t> </w:t>
      </w:r>
      <w:r>
        <w:rPr>
          <w:sz w:val="20"/>
        </w:rPr>
        <w:t>1996</w:t>
      </w:r>
      <w:r>
        <w:rPr>
          <w:spacing w:val="27"/>
          <w:sz w:val="20"/>
        </w:rPr>
        <w:t> </w:t>
      </w:r>
      <w:r>
        <w:rPr>
          <w:sz w:val="20"/>
        </w:rPr>
        <w:t>and</w:t>
      </w:r>
      <w:r>
        <w:rPr>
          <w:spacing w:val="27"/>
          <w:sz w:val="20"/>
        </w:rPr>
        <w:t> </w:t>
      </w:r>
      <w:r>
        <w:rPr>
          <w:sz w:val="20"/>
        </w:rPr>
        <w:t>see</w:t>
      </w:r>
      <w:r>
        <w:rPr>
          <w:spacing w:val="27"/>
          <w:sz w:val="20"/>
        </w:rPr>
        <w:t> </w:t>
      </w:r>
      <w:r>
        <w:rPr>
          <w:sz w:val="20"/>
        </w:rPr>
        <w:t>Feldman,</w:t>
      </w:r>
      <w:r>
        <w:rPr>
          <w:spacing w:val="27"/>
          <w:sz w:val="20"/>
        </w:rPr>
        <w:t> </w:t>
      </w:r>
      <w:r>
        <w:rPr>
          <w:rFonts w:ascii="Arial"/>
          <w:i/>
          <w:sz w:val="20"/>
        </w:rPr>
        <w:t>English</w:t>
      </w:r>
      <w:r>
        <w:rPr>
          <w:rFonts w:ascii="Arial"/>
          <w:i/>
          <w:spacing w:val="27"/>
          <w:sz w:val="20"/>
        </w:rPr>
        <w:t> </w:t>
      </w:r>
      <w:r>
        <w:rPr>
          <w:rFonts w:ascii="Arial"/>
          <w:i/>
          <w:sz w:val="20"/>
        </w:rPr>
        <w:t>Public</w:t>
      </w:r>
      <w:r>
        <w:rPr>
          <w:rFonts w:ascii="Arial"/>
          <w:i/>
          <w:spacing w:val="27"/>
          <w:sz w:val="20"/>
        </w:rPr>
        <w:t> </w:t>
      </w:r>
      <w:r>
        <w:rPr>
          <w:rFonts w:ascii="Arial"/>
          <w:i/>
          <w:sz w:val="20"/>
        </w:rPr>
        <w:t>Law</w:t>
      </w:r>
      <w:r>
        <w:rPr>
          <w:sz w:val="20"/>
        </w:rPr>
        <w:t>,</w:t>
      </w:r>
      <w:r>
        <w:rPr>
          <w:spacing w:val="27"/>
          <w:sz w:val="20"/>
        </w:rPr>
        <w:t> </w:t>
      </w:r>
      <w:r>
        <w:rPr>
          <w:sz w:val="20"/>
        </w:rPr>
        <w:t>2nd</w:t>
      </w:r>
      <w:r>
        <w:rPr>
          <w:spacing w:val="27"/>
          <w:sz w:val="20"/>
        </w:rPr>
        <w:t> </w:t>
      </w:r>
      <w:r>
        <w:rPr>
          <w:sz w:val="20"/>
        </w:rPr>
        <w:t>edn</w:t>
      </w:r>
      <w:r>
        <w:rPr>
          <w:spacing w:val="27"/>
          <w:sz w:val="20"/>
        </w:rPr>
        <w:t> </w:t>
      </w:r>
      <w:r>
        <w:rPr>
          <w:sz w:val="20"/>
        </w:rPr>
        <w:t>(2009),</w:t>
      </w:r>
      <w:r>
        <w:rPr>
          <w:spacing w:val="27"/>
          <w:sz w:val="20"/>
        </w:rPr>
        <w:t> </w:t>
      </w:r>
      <w:r>
        <w:rPr>
          <w:spacing w:val="-2"/>
          <w:sz w:val="20"/>
        </w:rPr>
        <w:t>paras</w:t>
      </w:r>
    </w:p>
    <w:p>
      <w:pPr>
        <w:spacing w:line="235" w:lineRule="auto" w:before="2"/>
        <w:ind w:left="705" w:right="167" w:firstLine="0"/>
        <w:jc w:val="both"/>
        <w:rPr>
          <w:rFonts w:ascii="Arial" w:hAnsi="Arial"/>
          <w:i/>
          <w:sz w:val="20"/>
        </w:rPr>
      </w:pPr>
      <w:r>
        <w:rPr>
          <w:sz w:val="20"/>
        </w:rPr>
        <w:t>17.72–17.90 (P. Craig). cf. </w:t>
      </w:r>
      <w:r>
        <w:rPr>
          <w:rFonts w:ascii="Arial" w:hAnsi="Arial"/>
          <w:i/>
          <w:sz w:val="20"/>
        </w:rPr>
        <w:t>R. (Holmcroft Properties Ltd) v KPMG LLP [2016] EWHC </w:t>
      </w:r>
      <w:r>
        <w:rPr>
          <w:rFonts w:ascii="Arial" w:hAnsi="Arial"/>
          <w:i/>
          <w:sz w:val="20"/>
        </w:rPr>
        <w:t>323 (Admin), [2017] Bus. L.R. 932 </w:t>
      </w:r>
      <w:r>
        <w:rPr>
          <w:sz w:val="20"/>
        </w:rPr>
        <w:t>esp. at [23] et seq. applying </w:t>
      </w:r>
      <w:r>
        <w:rPr>
          <w:rFonts w:ascii="Arial" w:hAnsi="Arial"/>
          <w:i/>
          <w:sz w:val="20"/>
        </w:rPr>
        <w:t>R. v Panel on Takeovers </w:t>
      </w:r>
      <w:r>
        <w:rPr>
          <w:rFonts w:ascii="Arial" w:hAnsi="Arial"/>
          <w:i/>
          <w:sz w:val="20"/>
        </w:rPr>
        <w:t>and Mergers, Ex p. Datafin Plc [1987] Q.B. 815 </w:t>
      </w:r>
      <w:r>
        <w:rPr>
          <w:sz w:val="20"/>
        </w:rPr>
        <w:t>(the mere fact that the source of a body’s powers is contract does not necessarily mean that public law principles do not apply, though it </w:t>
      </w:r>
      <w:r>
        <w:rPr>
          <w:sz w:val="20"/>
        </w:rPr>
        <w:t>remains important:</w:t>
      </w:r>
      <w:r>
        <w:rPr>
          <w:spacing w:val="23"/>
          <w:sz w:val="20"/>
        </w:rPr>
        <w:t> </w:t>
      </w:r>
      <w:r>
        <w:rPr>
          <w:rFonts w:ascii="Arial" w:hAnsi="Arial"/>
          <w:i/>
          <w:sz w:val="20"/>
        </w:rPr>
        <w:t>[2016]</w:t>
      </w:r>
      <w:r>
        <w:rPr>
          <w:rFonts w:ascii="Arial" w:hAnsi="Arial"/>
          <w:i/>
          <w:spacing w:val="23"/>
          <w:sz w:val="20"/>
        </w:rPr>
        <w:t> </w:t>
      </w:r>
      <w:r>
        <w:rPr>
          <w:rFonts w:ascii="Arial" w:hAnsi="Arial"/>
          <w:i/>
          <w:sz w:val="20"/>
        </w:rPr>
        <w:t>EWHC</w:t>
      </w:r>
      <w:r>
        <w:rPr>
          <w:rFonts w:ascii="Arial" w:hAnsi="Arial"/>
          <w:i/>
          <w:spacing w:val="23"/>
          <w:sz w:val="20"/>
        </w:rPr>
        <w:t> </w:t>
      </w:r>
      <w:r>
        <w:rPr>
          <w:rFonts w:ascii="Arial" w:hAnsi="Arial"/>
          <w:i/>
          <w:sz w:val="20"/>
        </w:rPr>
        <w:t>323</w:t>
      </w:r>
      <w:r>
        <w:rPr>
          <w:rFonts w:ascii="Arial" w:hAnsi="Arial"/>
          <w:i/>
          <w:spacing w:val="23"/>
          <w:sz w:val="20"/>
        </w:rPr>
        <w:t> </w:t>
      </w:r>
      <w:r>
        <w:rPr>
          <w:rFonts w:ascii="Arial" w:hAnsi="Arial"/>
          <w:i/>
          <w:sz w:val="20"/>
        </w:rPr>
        <w:t>(Admin)</w:t>
      </w:r>
      <w:r>
        <w:rPr>
          <w:rFonts w:ascii="Arial" w:hAnsi="Arial"/>
          <w:i/>
          <w:spacing w:val="23"/>
          <w:sz w:val="20"/>
        </w:rPr>
        <w:t> </w:t>
      </w:r>
      <w:r>
        <w:rPr>
          <w:sz w:val="20"/>
        </w:rPr>
        <w:t>at</w:t>
      </w:r>
      <w:r>
        <w:rPr>
          <w:spacing w:val="23"/>
          <w:sz w:val="20"/>
        </w:rPr>
        <w:t> </w:t>
      </w:r>
      <w:r>
        <w:rPr>
          <w:sz w:val="20"/>
        </w:rPr>
        <w:t>[43]).</w:t>
      </w:r>
      <w:r>
        <w:rPr>
          <w:spacing w:val="23"/>
          <w:sz w:val="20"/>
        </w:rPr>
        <w:t> </w:t>
      </w:r>
      <w:r>
        <w:rPr>
          <w:sz w:val="20"/>
        </w:rPr>
        <w:t>See</w:t>
      </w:r>
      <w:r>
        <w:rPr>
          <w:spacing w:val="23"/>
          <w:sz w:val="20"/>
        </w:rPr>
        <w:t> </w:t>
      </w:r>
      <w:r>
        <w:rPr>
          <w:sz w:val="20"/>
        </w:rPr>
        <w:t>also</w:t>
      </w:r>
      <w:r>
        <w:rPr>
          <w:spacing w:val="23"/>
          <w:sz w:val="20"/>
        </w:rPr>
        <w:t> </w:t>
      </w:r>
      <w:r>
        <w:rPr>
          <w:sz w:val="20"/>
        </w:rPr>
        <w:t>the</w:t>
      </w:r>
      <w:r>
        <w:rPr>
          <w:spacing w:val="23"/>
          <w:sz w:val="20"/>
        </w:rPr>
        <w:t> </w:t>
      </w:r>
      <w:r>
        <w:rPr>
          <w:sz w:val="20"/>
        </w:rPr>
        <w:t>cases</w:t>
      </w:r>
      <w:r>
        <w:rPr>
          <w:spacing w:val="23"/>
          <w:sz w:val="20"/>
        </w:rPr>
        <w:t> </w:t>
      </w:r>
      <w:r>
        <w:rPr>
          <w:sz w:val="20"/>
        </w:rPr>
        <w:t>discussed</w:t>
      </w:r>
      <w:r>
        <w:rPr>
          <w:spacing w:val="23"/>
          <w:sz w:val="20"/>
        </w:rPr>
        <w:t> </w:t>
      </w:r>
      <w:r>
        <w:rPr>
          <w:sz w:val="20"/>
        </w:rPr>
        <w:t>above</w:t>
      </w:r>
      <w:r>
        <w:rPr>
          <w:spacing w:val="23"/>
          <w:sz w:val="20"/>
        </w:rPr>
        <w:t> </w:t>
      </w:r>
      <w:r>
        <w:rPr>
          <w:sz w:val="20"/>
        </w:rPr>
        <w:t>at</w:t>
      </w:r>
      <w:r>
        <w:rPr>
          <w:spacing w:val="23"/>
          <w:sz w:val="20"/>
        </w:rPr>
        <w:t> </w:t>
      </w:r>
      <w:r>
        <w:rPr>
          <w:sz w:val="20"/>
        </w:rPr>
        <w:t>paras 1-074—1-075 on the distinction between public and private acts for the purposes of the Human Rights Act 1998 s.6. These cases were considered relevant to the context of the availability of judicial review in </w:t>
      </w:r>
      <w:r>
        <w:rPr>
          <w:rFonts w:ascii="Arial" w:hAnsi="Arial"/>
          <w:i/>
          <w:sz w:val="20"/>
        </w:rPr>
        <w:t>R. (Bevan and Clarke LLP) v Neath Port Talbot CBC [2012] EWHC 236 (Admin), [2012] B.L.G.R. 728 </w:t>
      </w:r>
      <w:r>
        <w:rPr>
          <w:sz w:val="20"/>
        </w:rPr>
        <w:t>at [47]–[48] and </w:t>
      </w:r>
      <w:r>
        <w:rPr>
          <w:rFonts w:ascii="Arial" w:hAnsi="Arial"/>
          <w:i/>
          <w:sz w:val="20"/>
        </w:rPr>
        <w:t>R. (Davis) v West Sussex CC [2012] EWHC </w:t>
      </w:r>
      <w:r>
        <w:rPr>
          <w:rFonts w:ascii="Arial" w:hAnsi="Arial"/>
          <w:i/>
          <w:spacing w:val="-4"/>
          <w:sz w:val="20"/>
        </w:rPr>
        <w:t>215</w:t>
      </w:r>
      <w:r>
        <w:rPr>
          <w:rFonts w:ascii="Arial" w:hAnsi="Arial"/>
          <w:i/>
          <w:spacing w:val="-4"/>
          <w:sz w:val="20"/>
        </w:rPr>
        <w:t>2</w:t>
      </w:r>
    </w:p>
    <w:p>
      <w:pPr>
        <w:spacing w:line="235" w:lineRule="auto" w:before="0"/>
        <w:ind w:left="705" w:right="167" w:firstLine="0"/>
        <w:jc w:val="both"/>
        <w:rPr>
          <w:rFonts w:ascii="Arial" w:hAnsi="Arial"/>
          <w:i/>
          <w:sz w:val="20"/>
        </w:rPr>
      </w:pPr>
      <w:r>
        <w:rPr>
          <w:rFonts w:ascii="Arial" w:hAnsi="Arial"/>
          <w:i/>
          <w:sz w:val="20"/>
        </w:rPr>
        <w:t>(Admin), [2013] P.T.S.R. 494</w:t>
      </w:r>
      <w:r>
        <w:rPr>
          <w:sz w:val="20"/>
        </w:rPr>
        <w:t>, especially at [76]–[89] (the latter applying the approach of the CA in</w:t>
      </w:r>
      <w:r>
        <w:rPr>
          <w:spacing w:val="14"/>
          <w:sz w:val="20"/>
        </w:rPr>
        <w:t> </w:t>
      </w:r>
      <w:r>
        <w:rPr>
          <w:rFonts w:ascii="Arial" w:hAnsi="Arial"/>
          <w:i/>
          <w:sz w:val="20"/>
        </w:rPr>
        <w:t>R.</w:t>
      </w:r>
      <w:r>
        <w:rPr>
          <w:rFonts w:ascii="Arial" w:hAnsi="Arial"/>
          <w:i/>
          <w:spacing w:val="14"/>
          <w:sz w:val="20"/>
        </w:rPr>
        <w:t> </w:t>
      </w:r>
      <w:r>
        <w:rPr>
          <w:rFonts w:ascii="Arial" w:hAnsi="Arial"/>
          <w:i/>
          <w:sz w:val="20"/>
        </w:rPr>
        <w:t>(Supportways</w:t>
      </w:r>
      <w:r>
        <w:rPr>
          <w:rFonts w:ascii="Arial" w:hAnsi="Arial"/>
          <w:i/>
          <w:spacing w:val="14"/>
          <w:sz w:val="20"/>
        </w:rPr>
        <w:t> </w:t>
      </w:r>
      <w:r>
        <w:rPr>
          <w:rFonts w:ascii="Arial" w:hAnsi="Arial"/>
          <w:i/>
          <w:sz w:val="20"/>
        </w:rPr>
        <w:t>Community</w:t>
      </w:r>
      <w:r>
        <w:rPr>
          <w:rFonts w:ascii="Arial" w:hAnsi="Arial"/>
          <w:i/>
          <w:spacing w:val="14"/>
          <w:sz w:val="20"/>
        </w:rPr>
        <w:t> </w:t>
      </w:r>
      <w:r>
        <w:rPr>
          <w:rFonts w:ascii="Arial" w:hAnsi="Arial"/>
          <w:i/>
          <w:sz w:val="20"/>
        </w:rPr>
        <w:t>Services</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Hampshire</w:t>
      </w:r>
      <w:r>
        <w:rPr>
          <w:rFonts w:ascii="Arial" w:hAnsi="Arial"/>
          <w:i/>
          <w:spacing w:val="14"/>
          <w:sz w:val="20"/>
        </w:rPr>
        <w:t> </w:t>
      </w:r>
      <w:r>
        <w:rPr>
          <w:rFonts w:ascii="Arial" w:hAnsi="Arial"/>
          <w:i/>
          <w:sz w:val="20"/>
        </w:rPr>
        <w:t>CC</w:t>
      </w:r>
      <w:r>
        <w:rPr>
          <w:rFonts w:ascii="Arial" w:hAnsi="Arial"/>
          <w:i/>
          <w:spacing w:val="14"/>
          <w:sz w:val="20"/>
        </w:rPr>
        <w:t> </w:t>
      </w:r>
      <w:r>
        <w:rPr>
          <w:rFonts w:ascii="Arial" w:hAnsi="Arial"/>
          <w:i/>
          <w:sz w:val="20"/>
        </w:rPr>
        <w:t>[2006]</w:t>
      </w:r>
      <w:r>
        <w:rPr>
          <w:rFonts w:ascii="Arial" w:hAnsi="Arial"/>
          <w:i/>
          <w:spacing w:val="14"/>
          <w:sz w:val="20"/>
        </w:rPr>
        <w:t> </w:t>
      </w:r>
      <w:r>
        <w:rPr>
          <w:rFonts w:ascii="Arial" w:hAnsi="Arial"/>
          <w:i/>
          <w:sz w:val="20"/>
        </w:rPr>
        <w:t>EWCA</w:t>
      </w:r>
      <w:r>
        <w:rPr>
          <w:rFonts w:ascii="Arial" w:hAnsi="Arial"/>
          <w:i/>
          <w:spacing w:val="14"/>
          <w:sz w:val="20"/>
        </w:rPr>
        <w:t> </w:t>
      </w:r>
      <w:r>
        <w:rPr>
          <w:rFonts w:ascii="Arial" w:hAnsi="Arial"/>
          <w:i/>
          <w:sz w:val="20"/>
        </w:rPr>
        <w:t>Civ</w:t>
      </w:r>
      <w:r>
        <w:rPr>
          <w:rFonts w:ascii="Arial" w:hAnsi="Arial"/>
          <w:i/>
          <w:spacing w:val="14"/>
          <w:sz w:val="20"/>
        </w:rPr>
        <w:t> </w:t>
      </w:r>
      <w:r>
        <w:rPr>
          <w:rFonts w:ascii="Arial" w:hAnsi="Arial"/>
          <w:i/>
          <w:sz w:val="20"/>
        </w:rPr>
        <w:t>1035,</w:t>
      </w:r>
      <w:r>
        <w:rPr>
          <w:rFonts w:ascii="Arial" w:hAnsi="Arial"/>
          <w:i/>
          <w:spacing w:val="14"/>
          <w:sz w:val="20"/>
        </w:rPr>
        <w:t> </w:t>
      </w:r>
      <w:r>
        <w:rPr>
          <w:rFonts w:ascii="Arial" w:hAnsi="Arial"/>
          <w:i/>
          <w:spacing w:val="-2"/>
          <w:sz w:val="20"/>
        </w:rPr>
        <w:t>[2006]</w:t>
      </w:r>
    </w:p>
    <w:p>
      <w:pPr>
        <w:spacing w:line="225" w:lineRule="exact" w:before="0"/>
        <w:ind w:left="705" w:right="0" w:firstLine="0"/>
        <w:jc w:val="left"/>
        <w:rPr>
          <w:sz w:val="20"/>
        </w:rPr>
      </w:pPr>
      <w:r>
        <w:rPr>
          <w:rFonts w:ascii="Arial" w:hAnsi="Arial"/>
          <w:i/>
          <w:sz w:val="20"/>
        </w:rPr>
        <w:t>B.L.G.R. 836 </w:t>
      </w:r>
      <w:r>
        <w:rPr>
          <w:sz w:val="20"/>
        </w:rPr>
        <w:t>at [42]–[43], [56], </w:t>
      </w:r>
      <w:r>
        <w:rPr>
          <w:spacing w:val="-2"/>
          <w:sz w:val="20"/>
        </w:rPr>
        <w:t>[61]).</w:t>
      </w:r>
    </w:p>
    <w:p>
      <w:pPr>
        <w:pStyle w:val="BodyText"/>
        <w:spacing w:before="1"/>
      </w:pPr>
    </w:p>
    <w:p>
      <w:pPr>
        <w:spacing w:before="0"/>
        <w:ind w:left="165" w:right="0" w:firstLine="0"/>
        <w:jc w:val="left"/>
        <w:rPr>
          <w:sz w:val="20"/>
        </w:rPr>
      </w:pPr>
      <w:bookmarkStart w:name="_bookmark2444" w:id="2446"/>
      <w:bookmarkEnd w:id="2446"/>
      <w:r>
        <w:rPr/>
      </w:r>
      <w:hyperlink w:history="true" w:anchor="_bookmark2385">
        <w:r>
          <w:rPr>
            <w:color w:val="005DA1"/>
            <w:position w:val="5"/>
            <w:sz w:val="14"/>
            <w:u w:val="single" w:color="005DA1"/>
          </w:rPr>
          <w:t>1600</w:t>
        </w:r>
      </w:hyperlink>
      <w:r>
        <w:rPr>
          <w:position w:val="5"/>
          <w:sz w:val="14"/>
        </w:rPr>
        <w:t>.</w:t>
      </w:r>
      <w:r>
        <w:rPr>
          <w:spacing w:val="55"/>
          <w:position w:val="5"/>
          <w:sz w:val="14"/>
        </w:rPr>
        <w:t>  </w:t>
      </w:r>
      <w:r>
        <w:rPr>
          <w:sz w:val="20"/>
        </w:rPr>
        <w:t>[2000]</w:t>
      </w:r>
      <w:r>
        <w:rPr>
          <w:spacing w:val="1"/>
          <w:sz w:val="20"/>
        </w:rPr>
        <w:t> </w:t>
      </w:r>
      <w:r>
        <w:rPr>
          <w:sz w:val="20"/>
        </w:rPr>
        <w:t>1 W.L.R. 1988, </w:t>
      </w:r>
      <w:r>
        <w:rPr>
          <w:spacing w:val="-2"/>
          <w:sz w:val="20"/>
        </w:rPr>
        <w:t>1997.</w:t>
      </w:r>
    </w:p>
    <w:sectPr>
      <w:pgSz w:w="11900" w:h="16840"/>
      <w:pgMar w:header="971" w:footer="0" w:top="13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23936">
              <wp:simplePos x="0" y="0"/>
              <wp:positionH relativeFrom="page">
                <wp:posOffset>6278473</wp:posOffset>
              </wp:positionH>
              <wp:positionV relativeFrom="page">
                <wp:posOffset>617496</wp:posOffset>
              </wp:positionV>
              <wp:extent cx="3479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27.4pt;height:10.95pt;mso-position-horizontal-relative:page;mso-position-vertical-relative:page;z-index:-22892544"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28544">
              <wp:simplePos x="0" y="0"/>
              <wp:positionH relativeFrom="page">
                <wp:posOffset>6278473</wp:posOffset>
              </wp:positionH>
              <wp:positionV relativeFrom="page">
                <wp:posOffset>617496</wp:posOffset>
              </wp:positionV>
              <wp:extent cx="347980" cy="13906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2887936" type="#_x0000_t202" id="docshape1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29056">
              <wp:simplePos x="0" y="0"/>
              <wp:positionH relativeFrom="page">
                <wp:posOffset>6221984</wp:posOffset>
              </wp:positionH>
              <wp:positionV relativeFrom="page">
                <wp:posOffset>617496</wp:posOffset>
              </wp:positionV>
              <wp:extent cx="442595" cy="13906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887424" type="#_x0000_t202" id="docshape2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29568">
              <wp:simplePos x="0" y="0"/>
              <wp:positionH relativeFrom="page">
                <wp:posOffset>6278473</wp:posOffset>
              </wp:positionH>
              <wp:positionV relativeFrom="page">
                <wp:posOffset>617496</wp:posOffset>
              </wp:positionV>
              <wp:extent cx="386080" cy="13906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86912" type="#_x0000_t202" id="docshape2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0080">
              <wp:simplePos x="0" y="0"/>
              <wp:positionH relativeFrom="page">
                <wp:posOffset>6221984</wp:posOffset>
              </wp:positionH>
              <wp:positionV relativeFrom="page">
                <wp:posOffset>617496</wp:posOffset>
              </wp:positionV>
              <wp:extent cx="442595" cy="13906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886400" type="#_x0000_t202" id="docshape2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0592">
              <wp:simplePos x="0" y="0"/>
              <wp:positionH relativeFrom="page">
                <wp:posOffset>6278473</wp:posOffset>
              </wp:positionH>
              <wp:positionV relativeFrom="page">
                <wp:posOffset>617496</wp:posOffset>
              </wp:positionV>
              <wp:extent cx="386080" cy="13906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85888" type="#_x0000_t202" id="docshape2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1104">
              <wp:simplePos x="0" y="0"/>
              <wp:positionH relativeFrom="page">
                <wp:posOffset>6278473</wp:posOffset>
              </wp:positionH>
              <wp:positionV relativeFrom="page">
                <wp:posOffset>617496</wp:posOffset>
              </wp:positionV>
              <wp:extent cx="386080" cy="13906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85376" type="#_x0000_t202" id="docshape2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1616">
              <wp:simplePos x="0" y="0"/>
              <wp:positionH relativeFrom="page">
                <wp:posOffset>6278473</wp:posOffset>
              </wp:positionH>
              <wp:positionV relativeFrom="page">
                <wp:posOffset>617496</wp:posOffset>
              </wp:positionV>
              <wp:extent cx="386080" cy="13906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84864" type="#_x0000_t202" id="docshape3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2128">
              <wp:simplePos x="0" y="0"/>
              <wp:positionH relativeFrom="page">
                <wp:posOffset>6278473</wp:posOffset>
              </wp:positionH>
              <wp:positionV relativeFrom="page">
                <wp:posOffset>617496</wp:posOffset>
              </wp:positionV>
              <wp:extent cx="347980" cy="13906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2884352" type="#_x0000_t202" id="docshape3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2640">
              <wp:simplePos x="0" y="0"/>
              <wp:positionH relativeFrom="page">
                <wp:posOffset>6278473</wp:posOffset>
              </wp:positionH>
              <wp:positionV relativeFrom="page">
                <wp:posOffset>617496</wp:posOffset>
              </wp:positionV>
              <wp:extent cx="386080" cy="13906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83840" type="#_x0000_t202" id="docshape3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3152">
              <wp:simplePos x="0" y="0"/>
              <wp:positionH relativeFrom="page">
                <wp:posOffset>6278473</wp:posOffset>
              </wp:positionH>
              <wp:positionV relativeFrom="page">
                <wp:posOffset>617496</wp:posOffset>
              </wp:positionV>
              <wp:extent cx="386080" cy="13906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83328" type="#_x0000_t202" id="docshape3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24448">
              <wp:simplePos x="0" y="0"/>
              <wp:positionH relativeFrom="page">
                <wp:posOffset>6278473</wp:posOffset>
              </wp:positionH>
              <wp:positionV relativeFrom="page">
                <wp:posOffset>617496</wp:posOffset>
              </wp:positionV>
              <wp:extent cx="347980" cy="1390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2892032" type="#_x0000_t202" id="docshape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3664">
              <wp:simplePos x="0" y="0"/>
              <wp:positionH relativeFrom="page">
                <wp:posOffset>6278473</wp:posOffset>
              </wp:positionH>
              <wp:positionV relativeFrom="page">
                <wp:posOffset>617496</wp:posOffset>
              </wp:positionV>
              <wp:extent cx="386080" cy="13906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82816" type="#_x0000_t202" id="docshape3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4176">
              <wp:simplePos x="0" y="0"/>
              <wp:positionH relativeFrom="page">
                <wp:posOffset>6278473</wp:posOffset>
              </wp:positionH>
              <wp:positionV relativeFrom="page">
                <wp:posOffset>617496</wp:posOffset>
              </wp:positionV>
              <wp:extent cx="386080" cy="13906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82304" type="#_x0000_t202" id="docshape4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4688">
              <wp:simplePos x="0" y="0"/>
              <wp:positionH relativeFrom="page">
                <wp:posOffset>6278473</wp:posOffset>
              </wp:positionH>
              <wp:positionV relativeFrom="page">
                <wp:posOffset>617496</wp:posOffset>
              </wp:positionV>
              <wp:extent cx="347980" cy="13906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2881792" type="#_x0000_t202" id="docshape4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5200">
              <wp:simplePos x="0" y="0"/>
              <wp:positionH relativeFrom="page">
                <wp:posOffset>6278473</wp:posOffset>
              </wp:positionH>
              <wp:positionV relativeFrom="page">
                <wp:posOffset>617496</wp:posOffset>
              </wp:positionV>
              <wp:extent cx="386080" cy="13906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81280" type="#_x0000_t202" id="docshape4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5712">
              <wp:simplePos x="0" y="0"/>
              <wp:positionH relativeFrom="page">
                <wp:posOffset>6278473</wp:posOffset>
              </wp:positionH>
              <wp:positionV relativeFrom="page">
                <wp:posOffset>617496</wp:posOffset>
              </wp:positionV>
              <wp:extent cx="386080" cy="13906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80768" type="#_x0000_t202" id="docshape4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6224">
              <wp:simplePos x="0" y="0"/>
              <wp:positionH relativeFrom="page">
                <wp:posOffset>6278473</wp:posOffset>
              </wp:positionH>
              <wp:positionV relativeFrom="page">
                <wp:posOffset>617496</wp:posOffset>
              </wp:positionV>
              <wp:extent cx="386080" cy="13906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80256" type="#_x0000_t202" id="docshape4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6736">
              <wp:simplePos x="0" y="0"/>
              <wp:positionH relativeFrom="page">
                <wp:posOffset>6278473</wp:posOffset>
              </wp:positionH>
              <wp:positionV relativeFrom="page">
                <wp:posOffset>617496</wp:posOffset>
              </wp:positionV>
              <wp:extent cx="386080" cy="13906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79744" type="#_x0000_t202" id="docshape5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7248">
              <wp:simplePos x="0" y="0"/>
              <wp:positionH relativeFrom="page">
                <wp:posOffset>6278473</wp:posOffset>
              </wp:positionH>
              <wp:positionV relativeFrom="page">
                <wp:posOffset>617496</wp:posOffset>
              </wp:positionV>
              <wp:extent cx="386080" cy="13906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79232" type="#_x0000_t202" id="docshape5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7760">
              <wp:simplePos x="0" y="0"/>
              <wp:positionH relativeFrom="page">
                <wp:posOffset>6278473</wp:posOffset>
              </wp:positionH>
              <wp:positionV relativeFrom="page">
                <wp:posOffset>617496</wp:posOffset>
              </wp:positionV>
              <wp:extent cx="347980" cy="13906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2878720" type="#_x0000_t202" id="docshape5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8272">
              <wp:simplePos x="0" y="0"/>
              <wp:positionH relativeFrom="page">
                <wp:posOffset>6278473</wp:posOffset>
              </wp:positionH>
              <wp:positionV relativeFrom="page">
                <wp:posOffset>617496</wp:posOffset>
              </wp:positionV>
              <wp:extent cx="386080" cy="139065"/>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78208" type="#_x0000_t202" id="docshape5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24960">
              <wp:simplePos x="0" y="0"/>
              <wp:positionH relativeFrom="page">
                <wp:posOffset>6278473</wp:posOffset>
              </wp:positionH>
              <wp:positionV relativeFrom="page">
                <wp:posOffset>617496</wp:posOffset>
              </wp:positionV>
              <wp:extent cx="386080" cy="1390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91520" type="#_x0000_t202" id="docshape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8784">
              <wp:simplePos x="0" y="0"/>
              <wp:positionH relativeFrom="page">
                <wp:posOffset>6278473</wp:posOffset>
              </wp:positionH>
              <wp:positionV relativeFrom="page">
                <wp:posOffset>617496</wp:posOffset>
              </wp:positionV>
              <wp:extent cx="386080" cy="13906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77696" type="#_x0000_t202" id="docshape5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9296">
              <wp:simplePos x="0" y="0"/>
              <wp:positionH relativeFrom="page">
                <wp:posOffset>6278473</wp:posOffset>
              </wp:positionH>
              <wp:positionV relativeFrom="page">
                <wp:posOffset>617496</wp:posOffset>
              </wp:positionV>
              <wp:extent cx="386080" cy="13906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77184" type="#_x0000_t202" id="docshape6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39808">
              <wp:simplePos x="0" y="0"/>
              <wp:positionH relativeFrom="page">
                <wp:posOffset>6278473</wp:posOffset>
              </wp:positionH>
              <wp:positionV relativeFrom="page">
                <wp:posOffset>617496</wp:posOffset>
              </wp:positionV>
              <wp:extent cx="386080" cy="139065"/>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76672" type="#_x0000_t202" id="docshape6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40320">
              <wp:simplePos x="0" y="0"/>
              <wp:positionH relativeFrom="page">
                <wp:posOffset>6278473</wp:posOffset>
              </wp:positionH>
              <wp:positionV relativeFrom="page">
                <wp:posOffset>617496</wp:posOffset>
              </wp:positionV>
              <wp:extent cx="386080" cy="139065"/>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76160" type="#_x0000_t202" id="docshape6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40832">
              <wp:simplePos x="0" y="0"/>
              <wp:positionH relativeFrom="page">
                <wp:posOffset>6278473</wp:posOffset>
              </wp:positionH>
              <wp:positionV relativeFrom="page">
                <wp:posOffset>617496</wp:posOffset>
              </wp:positionV>
              <wp:extent cx="386080" cy="13906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75648" type="#_x0000_t202" id="docshape6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41344">
              <wp:simplePos x="0" y="0"/>
              <wp:positionH relativeFrom="page">
                <wp:posOffset>6278473</wp:posOffset>
              </wp:positionH>
              <wp:positionV relativeFrom="page">
                <wp:posOffset>617496</wp:posOffset>
              </wp:positionV>
              <wp:extent cx="386080" cy="139065"/>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75136" type="#_x0000_t202" id="docshape7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41856">
              <wp:simplePos x="0" y="0"/>
              <wp:positionH relativeFrom="page">
                <wp:posOffset>6278473</wp:posOffset>
              </wp:positionH>
              <wp:positionV relativeFrom="page">
                <wp:posOffset>617496</wp:posOffset>
              </wp:positionV>
              <wp:extent cx="386080" cy="13906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74624" type="#_x0000_t202" id="docshape7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42368">
              <wp:simplePos x="0" y="0"/>
              <wp:positionH relativeFrom="page">
                <wp:posOffset>6278473</wp:posOffset>
              </wp:positionH>
              <wp:positionV relativeFrom="page">
                <wp:posOffset>617496</wp:posOffset>
              </wp:positionV>
              <wp:extent cx="386080" cy="13906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74112" type="#_x0000_t202" id="docshape7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42880">
              <wp:simplePos x="0" y="0"/>
              <wp:positionH relativeFrom="page">
                <wp:posOffset>6278473</wp:posOffset>
              </wp:positionH>
              <wp:positionV relativeFrom="page">
                <wp:posOffset>617496</wp:posOffset>
              </wp:positionV>
              <wp:extent cx="386080" cy="13906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73600" type="#_x0000_t202" id="docshape7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43392">
              <wp:simplePos x="0" y="0"/>
              <wp:positionH relativeFrom="page">
                <wp:posOffset>6221984</wp:posOffset>
              </wp:positionH>
              <wp:positionV relativeFrom="page">
                <wp:posOffset>617496</wp:posOffset>
              </wp:positionV>
              <wp:extent cx="442595" cy="13906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873088" type="#_x0000_t202" id="docshape8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25472">
              <wp:simplePos x="0" y="0"/>
              <wp:positionH relativeFrom="page">
                <wp:posOffset>6278473</wp:posOffset>
              </wp:positionH>
              <wp:positionV relativeFrom="page">
                <wp:posOffset>617496</wp:posOffset>
              </wp:positionV>
              <wp:extent cx="347980" cy="1390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2891008" type="#_x0000_t202" id="docshape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43904">
              <wp:simplePos x="0" y="0"/>
              <wp:positionH relativeFrom="page">
                <wp:posOffset>6221984</wp:posOffset>
              </wp:positionH>
              <wp:positionV relativeFrom="page">
                <wp:posOffset>617496</wp:posOffset>
              </wp:positionV>
              <wp:extent cx="442595" cy="139065"/>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2872576" type="#_x0000_t202" id="docshape8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44416">
              <wp:simplePos x="0" y="0"/>
              <wp:positionH relativeFrom="page">
                <wp:posOffset>6278473</wp:posOffset>
              </wp:positionH>
              <wp:positionV relativeFrom="page">
                <wp:posOffset>617496</wp:posOffset>
              </wp:positionV>
              <wp:extent cx="386080" cy="139065"/>
              <wp:effectExtent l="0" t="0" r="0" b="0"/>
              <wp:wrapNone/>
              <wp:docPr id="564" name="Textbox 564"/>
              <wp:cNvGraphicFramePr>
                <a:graphicFrameLocks/>
              </wp:cNvGraphicFramePr>
              <a:graphic>
                <a:graphicData uri="http://schemas.microsoft.com/office/word/2010/wordprocessingShape">
                  <wps:wsp>
                    <wps:cNvPr id="564" name="Textbox 56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72064" type="#_x0000_t202" id="docshape8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25984">
              <wp:simplePos x="0" y="0"/>
              <wp:positionH relativeFrom="page">
                <wp:posOffset>6278473</wp:posOffset>
              </wp:positionH>
              <wp:positionV relativeFrom="page">
                <wp:posOffset>617496</wp:posOffset>
              </wp:positionV>
              <wp:extent cx="386080" cy="1390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90496" type="#_x0000_t202" id="docshape1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26496">
              <wp:simplePos x="0" y="0"/>
              <wp:positionH relativeFrom="page">
                <wp:posOffset>6278473</wp:posOffset>
              </wp:positionH>
              <wp:positionV relativeFrom="page">
                <wp:posOffset>617496</wp:posOffset>
              </wp:positionV>
              <wp:extent cx="347980" cy="1390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5</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2889984" type="#_x0000_t202" id="docshape1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5</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27008">
              <wp:simplePos x="0" y="0"/>
              <wp:positionH relativeFrom="page">
                <wp:posOffset>6278473</wp:posOffset>
              </wp:positionH>
              <wp:positionV relativeFrom="page">
                <wp:posOffset>617496</wp:posOffset>
              </wp:positionV>
              <wp:extent cx="347980" cy="13906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6</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2889472"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6</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27520">
              <wp:simplePos x="0" y="0"/>
              <wp:positionH relativeFrom="page">
                <wp:posOffset>6278473</wp:posOffset>
              </wp:positionH>
              <wp:positionV relativeFrom="page">
                <wp:posOffset>617496</wp:posOffset>
              </wp:positionV>
              <wp:extent cx="386080" cy="13906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88960" type="#_x0000_t202" id="docshape1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0428032">
              <wp:simplePos x="0" y="0"/>
              <wp:positionH relativeFrom="page">
                <wp:posOffset>6278473</wp:posOffset>
              </wp:positionH>
              <wp:positionV relativeFrom="page">
                <wp:posOffset>617496</wp:posOffset>
              </wp:positionV>
              <wp:extent cx="386080" cy="13906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2888448" type="#_x0000_t202" id="docshape1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Roman"/>
      <w:lvlText w:val="(%1)"/>
      <w:lvlJc w:val="left"/>
      <w:pPr>
        <w:ind w:left="1018" w:hanging="294"/>
        <w:jc w:val="right"/>
      </w:pPr>
      <w:rPr>
        <w:rFonts w:hint="default"/>
        <w:spacing w:val="0"/>
        <w:w w:val="99"/>
        <w:lang w:val="en-US" w:eastAsia="en-US" w:bidi="ar-SA"/>
      </w:rPr>
    </w:lvl>
    <w:lvl w:ilvl="1">
      <w:start w:val="0"/>
      <w:numFmt w:val="bullet"/>
      <w:lvlText w:val="•"/>
      <w:lvlJc w:val="left"/>
      <w:pPr>
        <w:ind w:left="1853" w:hanging="294"/>
      </w:pPr>
      <w:rPr>
        <w:rFonts w:hint="default"/>
        <w:lang w:val="en-US" w:eastAsia="en-US" w:bidi="ar-SA"/>
      </w:rPr>
    </w:lvl>
    <w:lvl w:ilvl="2">
      <w:start w:val="0"/>
      <w:numFmt w:val="bullet"/>
      <w:lvlText w:val="•"/>
      <w:lvlJc w:val="left"/>
      <w:pPr>
        <w:ind w:left="2686" w:hanging="294"/>
      </w:pPr>
      <w:rPr>
        <w:rFonts w:hint="default"/>
        <w:lang w:val="en-US" w:eastAsia="en-US" w:bidi="ar-SA"/>
      </w:rPr>
    </w:lvl>
    <w:lvl w:ilvl="3">
      <w:start w:val="0"/>
      <w:numFmt w:val="bullet"/>
      <w:lvlText w:val="•"/>
      <w:lvlJc w:val="left"/>
      <w:pPr>
        <w:ind w:left="3519" w:hanging="294"/>
      </w:pPr>
      <w:rPr>
        <w:rFonts w:hint="default"/>
        <w:lang w:val="en-US" w:eastAsia="en-US" w:bidi="ar-SA"/>
      </w:rPr>
    </w:lvl>
    <w:lvl w:ilvl="4">
      <w:start w:val="0"/>
      <w:numFmt w:val="bullet"/>
      <w:lvlText w:val="•"/>
      <w:lvlJc w:val="left"/>
      <w:pPr>
        <w:ind w:left="4352" w:hanging="294"/>
      </w:pPr>
      <w:rPr>
        <w:rFonts w:hint="default"/>
        <w:lang w:val="en-US" w:eastAsia="en-US" w:bidi="ar-SA"/>
      </w:rPr>
    </w:lvl>
    <w:lvl w:ilvl="5">
      <w:start w:val="0"/>
      <w:numFmt w:val="bullet"/>
      <w:lvlText w:val="•"/>
      <w:lvlJc w:val="left"/>
      <w:pPr>
        <w:ind w:left="5185" w:hanging="294"/>
      </w:pPr>
      <w:rPr>
        <w:rFonts w:hint="default"/>
        <w:lang w:val="en-US" w:eastAsia="en-US" w:bidi="ar-SA"/>
      </w:rPr>
    </w:lvl>
    <w:lvl w:ilvl="6">
      <w:start w:val="0"/>
      <w:numFmt w:val="bullet"/>
      <w:lvlText w:val="•"/>
      <w:lvlJc w:val="left"/>
      <w:pPr>
        <w:ind w:left="6018" w:hanging="294"/>
      </w:pPr>
      <w:rPr>
        <w:rFonts w:hint="default"/>
        <w:lang w:val="en-US" w:eastAsia="en-US" w:bidi="ar-SA"/>
      </w:rPr>
    </w:lvl>
    <w:lvl w:ilvl="7">
      <w:start w:val="0"/>
      <w:numFmt w:val="bullet"/>
      <w:lvlText w:val="•"/>
      <w:lvlJc w:val="left"/>
      <w:pPr>
        <w:ind w:left="6851" w:hanging="294"/>
      </w:pPr>
      <w:rPr>
        <w:rFonts w:hint="default"/>
        <w:lang w:val="en-US" w:eastAsia="en-US" w:bidi="ar-SA"/>
      </w:rPr>
    </w:lvl>
    <w:lvl w:ilvl="8">
      <w:start w:val="0"/>
      <w:numFmt w:val="bullet"/>
      <w:lvlText w:val="•"/>
      <w:lvlJc w:val="left"/>
      <w:pPr>
        <w:ind w:left="7684" w:hanging="294"/>
      </w:pPr>
      <w:rPr>
        <w:rFonts w:hint="default"/>
        <w:lang w:val="en-US" w:eastAsia="en-US" w:bidi="ar-SA"/>
      </w:rPr>
    </w:lvl>
  </w:abstractNum>
  <w:abstractNum w:abstractNumId="1">
    <w:multiLevelType w:val="hybridMultilevel"/>
    <w:lvl w:ilvl="0">
      <w:start w:val="1"/>
      <w:numFmt w:val="lowerRoman"/>
      <w:lvlText w:val="(%1)"/>
      <w:lvlJc w:val="left"/>
      <w:pPr>
        <w:ind w:left="3558"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139" w:hanging="294"/>
      </w:pPr>
      <w:rPr>
        <w:rFonts w:hint="default"/>
        <w:lang w:val="en-US" w:eastAsia="en-US" w:bidi="ar-SA"/>
      </w:rPr>
    </w:lvl>
    <w:lvl w:ilvl="2">
      <w:start w:val="0"/>
      <w:numFmt w:val="bullet"/>
      <w:lvlText w:val="•"/>
      <w:lvlJc w:val="left"/>
      <w:pPr>
        <w:ind w:left="4718" w:hanging="294"/>
      </w:pPr>
      <w:rPr>
        <w:rFonts w:hint="default"/>
        <w:lang w:val="en-US" w:eastAsia="en-US" w:bidi="ar-SA"/>
      </w:rPr>
    </w:lvl>
    <w:lvl w:ilvl="3">
      <w:start w:val="0"/>
      <w:numFmt w:val="bullet"/>
      <w:lvlText w:val="•"/>
      <w:lvlJc w:val="left"/>
      <w:pPr>
        <w:ind w:left="5297" w:hanging="294"/>
      </w:pPr>
      <w:rPr>
        <w:rFonts w:hint="default"/>
        <w:lang w:val="en-US" w:eastAsia="en-US" w:bidi="ar-SA"/>
      </w:rPr>
    </w:lvl>
    <w:lvl w:ilvl="4">
      <w:start w:val="0"/>
      <w:numFmt w:val="bullet"/>
      <w:lvlText w:val="•"/>
      <w:lvlJc w:val="left"/>
      <w:pPr>
        <w:ind w:left="5876" w:hanging="294"/>
      </w:pPr>
      <w:rPr>
        <w:rFonts w:hint="default"/>
        <w:lang w:val="en-US" w:eastAsia="en-US" w:bidi="ar-SA"/>
      </w:rPr>
    </w:lvl>
    <w:lvl w:ilvl="5">
      <w:start w:val="0"/>
      <w:numFmt w:val="bullet"/>
      <w:lvlText w:val="•"/>
      <w:lvlJc w:val="left"/>
      <w:pPr>
        <w:ind w:left="6455" w:hanging="294"/>
      </w:pPr>
      <w:rPr>
        <w:rFonts w:hint="default"/>
        <w:lang w:val="en-US" w:eastAsia="en-US" w:bidi="ar-SA"/>
      </w:rPr>
    </w:lvl>
    <w:lvl w:ilvl="6">
      <w:start w:val="0"/>
      <w:numFmt w:val="bullet"/>
      <w:lvlText w:val="•"/>
      <w:lvlJc w:val="left"/>
      <w:pPr>
        <w:ind w:left="7034" w:hanging="294"/>
      </w:pPr>
      <w:rPr>
        <w:rFonts w:hint="default"/>
        <w:lang w:val="en-US" w:eastAsia="en-US" w:bidi="ar-SA"/>
      </w:rPr>
    </w:lvl>
    <w:lvl w:ilvl="7">
      <w:start w:val="0"/>
      <w:numFmt w:val="bullet"/>
      <w:lvlText w:val="•"/>
      <w:lvlJc w:val="left"/>
      <w:pPr>
        <w:ind w:left="7613" w:hanging="294"/>
      </w:pPr>
      <w:rPr>
        <w:rFonts w:hint="default"/>
        <w:lang w:val="en-US" w:eastAsia="en-US" w:bidi="ar-SA"/>
      </w:rPr>
    </w:lvl>
    <w:lvl w:ilvl="8">
      <w:start w:val="0"/>
      <w:numFmt w:val="bullet"/>
      <w:lvlText w:val="•"/>
      <w:lvlJc w:val="left"/>
      <w:pPr>
        <w:ind w:left="8192" w:hanging="294"/>
      </w:pPr>
      <w:rPr>
        <w:rFonts w:hint="default"/>
        <w:lang w:val="en-US" w:eastAsia="en-US" w:bidi="ar-SA"/>
      </w:rPr>
    </w:lvl>
  </w:abstractNum>
  <w:abstractNum w:abstractNumId="9">
    <w:multiLevelType w:val="hybridMultilevel"/>
    <w:lvl w:ilvl="0">
      <w:start w:val="1"/>
      <w:numFmt w:val="lowerLetter"/>
      <w:lvlText w:val="(%1)"/>
      <w:lvlJc w:val="left"/>
      <w:pPr>
        <w:ind w:left="4332" w:hanging="361"/>
        <w:jc w:val="right"/>
      </w:pPr>
      <w:rPr>
        <w:rFonts w:hint="default"/>
        <w:spacing w:val="0"/>
        <w:w w:val="100"/>
        <w:lang w:val="en-US" w:eastAsia="en-US" w:bidi="ar-SA"/>
      </w:rPr>
    </w:lvl>
    <w:lvl w:ilvl="1">
      <w:start w:val="1"/>
      <w:numFmt w:val="lowerRoman"/>
      <w:lvlText w:val="(%2)"/>
      <w:lvlJc w:val="left"/>
      <w:pPr>
        <w:ind w:left="4405" w:hanging="294"/>
        <w:jc w:val="righ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4950" w:hanging="294"/>
      </w:pPr>
      <w:rPr>
        <w:rFonts w:hint="default"/>
        <w:lang w:val="en-US" w:eastAsia="en-US" w:bidi="ar-SA"/>
      </w:rPr>
    </w:lvl>
    <w:lvl w:ilvl="3">
      <w:start w:val="0"/>
      <w:numFmt w:val="bullet"/>
      <w:lvlText w:val="•"/>
      <w:lvlJc w:val="left"/>
      <w:pPr>
        <w:ind w:left="5500" w:hanging="294"/>
      </w:pPr>
      <w:rPr>
        <w:rFonts w:hint="default"/>
        <w:lang w:val="en-US" w:eastAsia="en-US" w:bidi="ar-SA"/>
      </w:rPr>
    </w:lvl>
    <w:lvl w:ilvl="4">
      <w:start w:val="0"/>
      <w:numFmt w:val="bullet"/>
      <w:lvlText w:val="•"/>
      <w:lvlJc w:val="left"/>
      <w:pPr>
        <w:ind w:left="6050" w:hanging="294"/>
      </w:pPr>
      <w:rPr>
        <w:rFonts w:hint="default"/>
        <w:lang w:val="en-US" w:eastAsia="en-US" w:bidi="ar-SA"/>
      </w:rPr>
    </w:lvl>
    <w:lvl w:ilvl="5">
      <w:start w:val="0"/>
      <w:numFmt w:val="bullet"/>
      <w:lvlText w:val="•"/>
      <w:lvlJc w:val="left"/>
      <w:pPr>
        <w:ind w:left="6600" w:hanging="294"/>
      </w:pPr>
      <w:rPr>
        <w:rFonts w:hint="default"/>
        <w:lang w:val="en-US" w:eastAsia="en-US" w:bidi="ar-SA"/>
      </w:rPr>
    </w:lvl>
    <w:lvl w:ilvl="6">
      <w:start w:val="0"/>
      <w:numFmt w:val="bullet"/>
      <w:lvlText w:val="•"/>
      <w:lvlJc w:val="left"/>
      <w:pPr>
        <w:ind w:left="7150" w:hanging="294"/>
      </w:pPr>
      <w:rPr>
        <w:rFonts w:hint="default"/>
        <w:lang w:val="en-US" w:eastAsia="en-US" w:bidi="ar-SA"/>
      </w:rPr>
    </w:lvl>
    <w:lvl w:ilvl="7">
      <w:start w:val="0"/>
      <w:numFmt w:val="bullet"/>
      <w:lvlText w:val="•"/>
      <w:lvlJc w:val="left"/>
      <w:pPr>
        <w:ind w:left="7700" w:hanging="294"/>
      </w:pPr>
      <w:rPr>
        <w:rFonts w:hint="default"/>
        <w:lang w:val="en-US" w:eastAsia="en-US" w:bidi="ar-SA"/>
      </w:rPr>
    </w:lvl>
    <w:lvl w:ilvl="8">
      <w:start w:val="0"/>
      <w:numFmt w:val="bullet"/>
      <w:lvlText w:val="•"/>
      <w:lvlJc w:val="left"/>
      <w:pPr>
        <w:ind w:left="8250" w:hanging="294"/>
      </w:pPr>
      <w:rPr>
        <w:rFonts w:hint="default"/>
        <w:lang w:val="en-US" w:eastAsia="en-US" w:bidi="ar-SA"/>
      </w:rPr>
    </w:lvl>
  </w:abstractNum>
  <w:abstractNum w:abstractNumId="11">
    <w:multiLevelType w:val="hybridMultilevel"/>
    <w:lvl w:ilvl="0">
      <w:start w:val="1"/>
      <w:numFmt w:val="lowerRoman"/>
      <w:lvlText w:val="(%1)"/>
      <w:lvlJc w:val="left"/>
      <w:pPr>
        <w:ind w:left="3378"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977" w:hanging="294"/>
      </w:pPr>
      <w:rPr>
        <w:rFonts w:hint="default"/>
        <w:lang w:val="en-US" w:eastAsia="en-US" w:bidi="ar-SA"/>
      </w:rPr>
    </w:lvl>
    <w:lvl w:ilvl="2">
      <w:start w:val="0"/>
      <w:numFmt w:val="bullet"/>
      <w:lvlText w:val="•"/>
      <w:lvlJc w:val="left"/>
      <w:pPr>
        <w:ind w:left="4574" w:hanging="294"/>
      </w:pPr>
      <w:rPr>
        <w:rFonts w:hint="default"/>
        <w:lang w:val="en-US" w:eastAsia="en-US" w:bidi="ar-SA"/>
      </w:rPr>
    </w:lvl>
    <w:lvl w:ilvl="3">
      <w:start w:val="0"/>
      <w:numFmt w:val="bullet"/>
      <w:lvlText w:val="•"/>
      <w:lvlJc w:val="left"/>
      <w:pPr>
        <w:ind w:left="5171" w:hanging="294"/>
      </w:pPr>
      <w:rPr>
        <w:rFonts w:hint="default"/>
        <w:lang w:val="en-US" w:eastAsia="en-US" w:bidi="ar-SA"/>
      </w:rPr>
    </w:lvl>
    <w:lvl w:ilvl="4">
      <w:start w:val="0"/>
      <w:numFmt w:val="bullet"/>
      <w:lvlText w:val="•"/>
      <w:lvlJc w:val="left"/>
      <w:pPr>
        <w:ind w:left="5768" w:hanging="294"/>
      </w:pPr>
      <w:rPr>
        <w:rFonts w:hint="default"/>
        <w:lang w:val="en-US" w:eastAsia="en-US" w:bidi="ar-SA"/>
      </w:rPr>
    </w:lvl>
    <w:lvl w:ilvl="5">
      <w:start w:val="0"/>
      <w:numFmt w:val="bullet"/>
      <w:lvlText w:val="•"/>
      <w:lvlJc w:val="left"/>
      <w:pPr>
        <w:ind w:left="6365" w:hanging="294"/>
      </w:pPr>
      <w:rPr>
        <w:rFonts w:hint="default"/>
        <w:lang w:val="en-US" w:eastAsia="en-US" w:bidi="ar-SA"/>
      </w:rPr>
    </w:lvl>
    <w:lvl w:ilvl="6">
      <w:start w:val="0"/>
      <w:numFmt w:val="bullet"/>
      <w:lvlText w:val="•"/>
      <w:lvlJc w:val="left"/>
      <w:pPr>
        <w:ind w:left="6962" w:hanging="294"/>
      </w:pPr>
      <w:rPr>
        <w:rFonts w:hint="default"/>
        <w:lang w:val="en-US" w:eastAsia="en-US" w:bidi="ar-SA"/>
      </w:rPr>
    </w:lvl>
    <w:lvl w:ilvl="7">
      <w:start w:val="0"/>
      <w:numFmt w:val="bullet"/>
      <w:lvlText w:val="•"/>
      <w:lvlJc w:val="left"/>
      <w:pPr>
        <w:ind w:left="7559" w:hanging="294"/>
      </w:pPr>
      <w:rPr>
        <w:rFonts w:hint="default"/>
        <w:lang w:val="en-US" w:eastAsia="en-US" w:bidi="ar-SA"/>
      </w:rPr>
    </w:lvl>
    <w:lvl w:ilvl="8">
      <w:start w:val="0"/>
      <w:numFmt w:val="bullet"/>
      <w:lvlText w:val="•"/>
      <w:lvlJc w:val="left"/>
      <w:pPr>
        <w:ind w:left="8156" w:hanging="294"/>
      </w:pPr>
      <w:rPr>
        <w:rFonts w:hint="default"/>
        <w:lang w:val="en-US" w:eastAsia="en-US" w:bidi="ar-SA"/>
      </w:rPr>
    </w:lvl>
  </w:abstractNum>
  <w:abstractNum w:abstractNumId="10">
    <w:multiLevelType w:val="hybridMultilevel"/>
    <w:lvl w:ilvl="0">
      <w:start w:val="1"/>
      <w:numFmt w:val="lowerLetter"/>
      <w:lvlText w:val="(%1)"/>
      <w:lvlJc w:val="left"/>
      <w:pPr>
        <w:ind w:left="1478"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267" w:hanging="361"/>
      </w:pPr>
      <w:rPr>
        <w:rFonts w:hint="default"/>
        <w:lang w:val="en-US" w:eastAsia="en-US" w:bidi="ar-SA"/>
      </w:rPr>
    </w:lvl>
    <w:lvl w:ilvl="2">
      <w:start w:val="0"/>
      <w:numFmt w:val="bullet"/>
      <w:lvlText w:val="•"/>
      <w:lvlJc w:val="left"/>
      <w:pPr>
        <w:ind w:left="3054" w:hanging="361"/>
      </w:pPr>
      <w:rPr>
        <w:rFonts w:hint="default"/>
        <w:lang w:val="en-US" w:eastAsia="en-US" w:bidi="ar-SA"/>
      </w:rPr>
    </w:lvl>
    <w:lvl w:ilvl="3">
      <w:start w:val="0"/>
      <w:numFmt w:val="bullet"/>
      <w:lvlText w:val="•"/>
      <w:lvlJc w:val="left"/>
      <w:pPr>
        <w:ind w:left="3841" w:hanging="361"/>
      </w:pPr>
      <w:rPr>
        <w:rFonts w:hint="default"/>
        <w:lang w:val="en-US" w:eastAsia="en-US" w:bidi="ar-SA"/>
      </w:rPr>
    </w:lvl>
    <w:lvl w:ilvl="4">
      <w:start w:val="0"/>
      <w:numFmt w:val="bullet"/>
      <w:lvlText w:val="•"/>
      <w:lvlJc w:val="left"/>
      <w:pPr>
        <w:ind w:left="4628" w:hanging="361"/>
      </w:pPr>
      <w:rPr>
        <w:rFonts w:hint="default"/>
        <w:lang w:val="en-US" w:eastAsia="en-US" w:bidi="ar-SA"/>
      </w:rPr>
    </w:lvl>
    <w:lvl w:ilvl="5">
      <w:start w:val="0"/>
      <w:numFmt w:val="bullet"/>
      <w:lvlText w:val="•"/>
      <w:lvlJc w:val="left"/>
      <w:pPr>
        <w:ind w:left="5415" w:hanging="361"/>
      </w:pPr>
      <w:rPr>
        <w:rFonts w:hint="default"/>
        <w:lang w:val="en-US" w:eastAsia="en-US" w:bidi="ar-SA"/>
      </w:rPr>
    </w:lvl>
    <w:lvl w:ilvl="6">
      <w:start w:val="0"/>
      <w:numFmt w:val="bullet"/>
      <w:lvlText w:val="•"/>
      <w:lvlJc w:val="left"/>
      <w:pPr>
        <w:ind w:left="6202" w:hanging="361"/>
      </w:pPr>
      <w:rPr>
        <w:rFonts w:hint="default"/>
        <w:lang w:val="en-US" w:eastAsia="en-US" w:bidi="ar-SA"/>
      </w:rPr>
    </w:lvl>
    <w:lvl w:ilvl="7">
      <w:start w:val="0"/>
      <w:numFmt w:val="bullet"/>
      <w:lvlText w:val="•"/>
      <w:lvlJc w:val="left"/>
      <w:pPr>
        <w:ind w:left="6989" w:hanging="361"/>
      </w:pPr>
      <w:rPr>
        <w:rFonts w:hint="default"/>
        <w:lang w:val="en-US" w:eastAsia="en-US" w:bidi="ar-SA"/>
      </w:rPr>
    </w:lvl>
    <w:lvl w:ilvl="8">
      <w:start w:val="0"/>
      <w:numFmt w:val="bullet"/>
      <w:lvlText w:val="•"/>
      <w:lvlJc w:val="left"/>
      <w:pPr>
        <w:ind w:left="7776" w:hanging="361"/>
      </w:pPr>
      <w:rPr>
        <w:rFonts w:hint="default"/>
        <w:lang w:val="en-US" w:eastAsia="en-US" w:bidi="ar-SA"/>
      </w:rPr>
    </w:lvl>
  </w:abstractNum>
  <w:abstractNum w:abstractNumId="8">
    <w:multiLevelType w:val="hybridMultilevel"/>
    <w:lvl w:ilvl="0">
      <w:start w:val="1"/>
      <w:numFmt w:val="lowerLetter"/>
      <w:lvlText w:val="(%1)"/>
      <w:lvlJc w:val="left"/>
      <w:pPr>
        <w:ind w:left="1331"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141" w:hanging="361"/>
      </w:pPr>
      <w:rPr>
        <w:rFonts w:hint="default"/>
        <w:lang w:val="en-US" w:eastAsia="en-US" w:bidi="ar-SA"/>
      </w:rPr>
    </w:lvl>
    <w:lvl w:ilvl="2">
      <w:start w:val="0"/>
      <w:numFmt w:val="bullet"/>
      <w:lvlText w:val="•"/>
      <w:lvlJc w:val="left"/>
      <w:pPr>
        <w:ind w:left="2942" w:hanging="361"/>
      </w:pPr>
      <w:rPr>
        <w:rFonts w:hint="default"/>
        <w:lang w:val="en-US" w:eastAsia="en-US" w:bidi="ar-SA"/>
      </w:rPr>
    </w:lvl>
    <w:lvl w:ilvl="3">
      <w:start w:val="0"/>
      <w:numFmt w:val="bullet"/>
      <w:lvlText w:val="•"/>
      <w:lvlJc w:val="left"/>
      <w:pPr>
        <w:ind w:left="3743" w:hanging="361"/>
      </w:pPr>
      <w:rPr>
        <w:rFonts w:hint="default"/>
        <w:lang w:val="en-US" w:eastAsia="en-US" w:bidi="ar-SA"/>
      </w:rPr>
    </w:lvl>
    <w:lvl w:ilvl="4">
      <w:start w:val="0"/>
      <w:numFmt w:val="bullet"/>
      <w:lvlText w:val="•"/>
      <w:lvlJc w:val="left"/>
      <w:pPr>
        <w:ind w:left="4544" w:hanging="361"/>
      </w:pPr>
      <w:rPr>
        <w:rFonts w:hint="default"/>
        <w:lang w:val="en-US" w:eastAsia="en-US" w:bidi="ar-SA"/>
      </w:rPr>
    </w:lvl>
    <w:lvl w:ilvl="5">
      <w:start w:val="0"/>
      <w:numFmt w:val="bullet"/>
      <w:lvlText w:val="•"/>
      <w:lvlJc w:val="left"/>
      <w:pPr>
        <w:ind w:left="5345" w:hanging="361"/>
      </w:pPr>
      <w:rPr>
        <w:rFonts w:hint="default"/>
        <w:lang w:val="en-US" w:eastAsia="en-US" w:bidi="ar-SA"/>
      </w:rPr>
    </w:lvl>
    <w:lvl w:ilvl="6">
      <w:start w:val="0"/>
      <w:numFmt w:val="bullet"/>
      <w:lvlText w:val="•"/>
      <w:lvlJc w:val="left"/>
      <w:pPr>
        <w:ind w:left="6146" w:hanging="361"/>
      </w:pPr>
      <w:rPr>
        <w:rFonts w:hint="default"/>
        <w:lang w:val="en-US" w:eastAsia="en-US" w:bidi="ar-SA"/>
      </w:rPr>
    </w:lvl>
    <w:lvl w:ilvl="7">
      <w:start w:val="0"/>
      <w:numFmt w:val="bullet"/>
      <w:lvlText w:val="•"/>
      <w:lvlJc w:val="left"/>
      <w:pPr>
        <w:ind w:left="6947" w:hanging="361"/>
      </w:pPr>
      <w:rPr>
        <w:rFonts w:hint="default"/>
        <w:lang w:val="en-US" w:eastAsia="en-US" w:bidi="ar-SA"/>
      </w:rPr>
    </w:lvl>
    <w:lvl w:ilvl="8">
      <w:start w:val="0"/>
      <w:numFmt w:val="bullet"/>
      <w:lvlText w:val="•"/>
      <w:lvlJc w:val="left"/>
      <w:pPr>
        <w:ind w:left="7748" w:hanging="361"/>
      </w:pPr>
      <w:rPr>
        <w:rFonts w:hint="default"/>
        <w:lang w:val="en-US" w:eastAsia="en-US" w:bidi="ar-SA"/>
      </w:rPr>
    </w:lvl>
  </w:abstractNum>
  <w:abstractNum w:abstractNumId="7">
    <w:multiLevelType w:val="hybridMultilevel"/>
    <w:lvl w:ilvl="0">
      <w:start w:val="2"/>
      <w:numFmt w:val="lowerRoman"/>
      <w:lvlText w:val="(%1)"/>
      <w:lvlJc w:val="left"/>
      <w:pPr>
        <w:ind w:left="2518" w:hanging="360"/>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203" w:hanging="360"/>
      </w:pPr>
      <w:rPr>
        <w:rFonts w:hint="default"/>
        <w:lang w:val="en-US" w:eastAsia="en-US" w:bidi="ar-SA"/>
      </w:rPr>
    </w:lvl>
    <w:lvl w:ilvl="2">
      <w:start w:val="0"/>
      <w:numFmt w:val="bullet"/>
      <w:lvlText w:val="•"/>
      <w:lvlJc w:val="left"/>
      <w:pPr>
        <w:ind w:left="3886" w:hanging="360"/>
      </w:pPr>
      <w:rPr>
        <w:rFonts w:hint="default"/>
        <w:lang w:val="en-US" w:eastAsia="en-US" w:bidi="ar-SA"/>
      </w:rPr>
    </w:lvl>
    <w:lvl w:ilvl="3">
      <w:start w:val="0"/>
      <w:numFmt w:val="bullet"/>
      <w:lvlText w:val="•"/>
      <w:lvlJc w:val="left"/>
      <w:pPr>
        <w:ind w:left="4569" w:hanging="360"/>
      </w:pPr>
      <w:rPr>
        <w:rFonts w:hint="default"/>
        <w:lang w:val="en-US" w:eastAsia="en-US" w:bidi="ar-SA"/>
      </w:rPr>
    </w:lvl>
    <w:lvl w:ilvl="4">
      <w:start w:val="0"/>
      <w:numFmt w:val="bullet"/>
      <w:lvlText w:val="•"/>
      <w:lvlJc w:val="left"/>
      <w:pPr>
        <w:ind w:left="5252" w:hanging="360"/>
      </w:pPr>
      <w:rPr>
        <w:rFonts w:hint="default"/>
        <w:lang w:val="en-US" w:eastAsia="en-US" w:bidi="ar-SA"/>
      </w:rPr>
    </w:lvl>
    <w:lvl w:ilvl="5">
      <w:start w:val="0"/>
      <w:numFmt w:val="bullet"/>
      <w:lvlText w:val="•"/>
      <w:lvlJc w:val="left"/>
      <w:pPr>
        <w:ind w:left="5935" w:hanging="360"/>
      </w:pPr>
      <w:rPr>
        <w:rFonts w:hint="default"/>
        <w:lang w:val="en-US" w:eastAsia="en-US" w:bidi="ar-SA"/>
      </w:rPr>
    </w:lvl>
    <w:lvl w:ilvl="6">
      <w:start w:val="0"/>
      <w:numFmt w:val="bullet"/>
      <w:lvlText w:val="•"/>
      <w:lvlJc w:val="left"/>
      <w:pPr>
        <w:ind w:left="6618" w:hanging="360"/>
      </w:pPr>
      <w:rPr>
        <w:rFonts w:hint="default"/>
        <w:lang w:val="en-US" w:eastAsia="en-US" w:bidi="ar-SA"/>
      </w:rPr>
    </w:lvl>
    <w:lvl w:ilvl="7">
      <w:start w:val="0"/>
      <w:numFmt w:val="bullet"/>
      <w:lvlText w:val="•"/>
      <w:lvlJc w:val="left"/>
      <w:pPr>
        <w:ind w:left="7301" w:hanging="360"/>
      </w:pPr>
      <w:rPr>
        <w:rFonts w:hint="default"/>
        <w:lang w:val="en-US" w:eastAsia="en-US" w:bidi="ar-SA"/>
      </w:rPr>
    </w:lvl>
    <w:lvl w:ilvl="8">
      <w:start w:val="0"/>
      <w:numFmt w:val="bullet"/>
      <w:lvlText w:val="•"/>
      <w:lvlJc w:val="left"/>
      <w:pPr>
        <w:ind w:left="7984" w:hanging="360"/>
      </w:pPr>
      <w:rPr>
        <w:rFonts w:hint="default"/>
        <w:lang w:val="en-US" w:eastAsia="en-US" w:bidi="ar-SA"/>
      </w:rPr>
    </w:lvl>
  </w:abstractNum>
  <w:abstractNum w:abstractNumId="5">
    <w:multiLevelType w:val="hybridMultilevel"/>
    <w:lvl w:ilvl="0">
      <w:start w:val="1"/>
      <w:numFmt w:val="lowerRoman"/>
      <w:lvlText w:val="(%1)"/>
      <w:lvlJc w:val="left"/>
      <w:pPr>
        <w:ind w:left="1018"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1853" w:hanging="294"/>
      </w:pPr>
      <w:rPr>
        <w:rFonts w:hint="default"/>
        <w:lang w:val="en-US" w:eastAsia="en-US" w:bidi="ar-SA"/>
      </w:rPr>
    </w:lvl>
    <w:lvl w:ilvl="2">
      <w:start w:val="0"/>
      <w:numFmt w:val="bullet"/>
      <w:lvlText w:val="•"/>
      <w:lvlJc w:val="left"/>
      <w:pPr>
        <w:ind w:left="2686" w:hanging="294"/>
      </w:pPr>
      <w:rPr>
        <w:rFonts w:hint="default"/>
        <w:lang w:val="en-US" w:eastAsia="en-US" w:bidi="ar-SA"/>
      </w:rPr>
    </w:lvl>
    <w:lvl w:ilvl="3">
      <w:start w:val="0"/>
      <w:numFmt w:val="bullet"/>
      <w:lvlText w:val="•"/>
      <w:lvlJc w:val="left"/>
      <w:pPr>
        <w:ind w:left="3519" w:hanging="294"/>
      </w:pPr>
      <w:rPr>
        <w:rFonts w:hint="default"/>
        <w:lang w:val="en-US" w:eastAsia="en-US" w:bidi="ar-SA"/>
      </w:rPr>
    </w:lvl>
    <w:lvl w:ilvl="4">
      <w:start w:val="0"/>
      <w:numFmt w:val="bullet"/>
      <w:lvlText w:val="•"/>
      <w:lvlJc w:val="left"/>
      <w:pPr>
        <w:ind w:left="4352" w:hanging="294"/>
      </w:pPr>
      <w:rPr>
        <w:rFonts w:hint="default"/>
        <w:lang w:val="en-US" w:eastAsia="en-US" w:bidi="ar-SA"/>
      </w:rPr>
    </w:lvl>
    <w:lvl w:ilvl="5">
      <w:start w:val="0"/>
      <w:numFmt w:val="bullet"/>
      <w:lvlText w:val="•"/>
      <w:lvlJc w:val="left"/>
      <w:pPr>
        <w:ind w:left="5185" w:hanging="294"/>
      </w:pPr>
      <w:rPr>
        <w:rFonts w:hint="default"/>
        <w:lang w:val="en-US" w:eastAsia="en-US" w:bidi="ar-SA"/>
      </w:rPr>
    </w:lvl>
    <w:lvl w:ilvl="6">
      <w:start w:val="0"/>
      <w:numFmt w:val="bullet"/>
      <w:lvlText w:val="•"/>
      <w:lvlJc w:val="left"/>
      <w:pPr>
        <w:ind w:left="6018" w:hanging="294"/>
      </w:pPr>
      <w:rPr>
        <w:rFonts w:hint="default"/>
        <w:lang w:val="en-US" w:eastAsia="en-US" w:bidi="ar-SA"/>
      </w:rPr>
    </w:lvl>
    <w:lvl w:ilvl="7">
      <w:start w:val="0"/>
      <w:numFmt w:val="bullet"/>
      <w:lvlText w:val="•"/>
      <w:lvlJc w:val="left"/>
      <w:pPr>
        <w:ind w:left="6851" w:hanging="294"/>
      </w:pPr>
      <w:rPr>
        <w:rFonts w:hint="default"/>
        <w:lang w:val="en-US" w:eastAsia="en-US" w:bidi="ar-SA"/>
      </w:rPr>
    </w:lvl>
    <w:lvl w:ilvl="8">
      <w:start w:val="0"/>
      <w:numFmt w:val="bullet"/>
      <w:lvlText w:val="•"/>
      <w:lvlJc w:val="left"/>
      <w:pPr>
        <w:ind w:left="7684" w:hanging="294"/>
      </w:pPr>
      <w:rPr>
        <w:rFonts w:hint="default"/>
        <w:lang w:val="en-US" w:eastAsia="en-US" w:bidi="ar-SA"/>
      </w:rPr>
    </w:lvl>
  </w:abstractNum>
  <w:abstractNum w:abstractNumId="4">
    <w:multiLevelType w:val="hybridMultilevel"/>
    <w:lvl w:ilvl="0">
      <w:start w:val="1"/>
      <w:numFmt w:val="lowerRoman"/>
      <w:lvlText w:val="(%1)"/>
      <w:lvlJc w:val="left"/>
      <w:pPr>
        <w:ind w:left="384" w:hanging="220"/>
        <w:jc w:val="left"/>
      </w:pPr>
      <w:rPr>
        <w:rFonts w:hint="default" w:ascii="Arial" w:hAnsi="Arial" w:eastAsia="Arial" w:cs="Arial"/>
        <w:b/>
        <w:bCs/>
        <w:i w:val="0"/>
        <w:iCs w:val="0"/>
        <w:spacing w:val="0"/>
        <w:w w:val="100"/>
        <w:sz w:val="18"/>
        <w:szCs w:val="18"/>
        <w:lang w:val="en-US" w:eastAsia="en-US" w:bidi="ar-SA"/>
      </w:rPr>
    </w:lvl>
    <w:lvl w:ilvl="1">
      <w:start w:val="0"/>
      <w:numFmt w:val="bullet"/>
      <w:lvlText w:val="•"/>
      <w:lvlJc w:val="left"/>
      <w:pPr>
        <w:ind w:left="1277" w:hanging="220"/>
      </w:pPr>
      <w:rPr>
        <w:rFonts w:hint="default"/>
        <w:lang w:val="en-US" w:eastAsia="en-US" w:bidi="ar-SA"/>
      </w:rPr>
    </w:lvl>
    <w:lvl w:ilvl="2">
      <w:start w:val="0"/>
      <w:numFmt w:val="bullet"/>
      <w:lvlText w:val="•"/>
      <w:lvlJc w:val="left"/>
      <w:pPr>
        <w:ind w:left="2174" w:hanging="220"/>
      </w:pPr>
      <w:rPr>
        <w:rFonts w:hint="default"/>
        <w:lang w:val="en-US" w:eastAsia="en-US" w:bidi="ar-SA"/>
      </w:rPr>
    </w:lvl>
    <w:lvl w:ilvl="3">
      <w:start w:val="0"/>
      <w:numFmt w:val="bullet"/>
      <w:lvlText w:val="•"/>
      <w:lvlJc w:val="left"/>
      <w:pPr>
        <w:ind w:left="3071" w:hanging="220"/>
      </w:pPr>
      <w:rPr>
        <w:rFonts w:hint="default"/>
        <w:lang w:val="en-US" w:eastAsia="en-US" w:bidi="ar-SA"/>
      </w:rPr>
    </w:lvl>
    <w:lvl w:ilvl="4">
      <w:start w:val="0"/>
      <w:numFmt w:val="bullet"/>
      <w:lvlText w:val="•"/>
      <w:lvlJc w:val="left"/>
      <w:pPr>
        <w:ind w:left="3968" w:hanging="220"/>
      </w:pPr>
      <w:rPr>
        <w:rFonts w:hint="default"/>
        <w:lang w:val="en-US" w:eastAsia="en-US" w:bidi="ar-SA"/>
      </w:rPr>
    </w:lvl>
    <w:lvl w:ilvl="5">
      <w:start w:val="0"/>
      <w:numFmt w:val="bullet"/>
      <w:lvlText w:val="•"/>
      <w:lvlJc w:val="left"/>
      <w:pPr>
        <w:ind w:left="4865" w:hanging="220"/>
      </w:pPr>
      <w:rPr>
        <w:rFonts w:hint="default"/>
        <w:lang w:val="en-US" w:eastAsia="en-US" w:bidi="ar-SA"/>
      </w:rPr>
    </w:lvl>
    <w:lvl w:ilvl="6">
      <w:start w:val="0"/>
      <w:numFmt w:val="bullet"/>
      <w:lvlText w:val="•"/>
      <w:lvlJc w:val="left"/>
      <w:pPr>
        <w:ind w:left="5762" w:hanging="220"/>
      </w:pPr>
      <w:rPr>
        <w:rFonts w:hint="default"/>
        <w:lang w:val="en-US" w:eastAsia="en-US" w:bidi="ar-SA"/>
      </w:rPr>
    </w:lvl>
    <w:lvl w:ilvl="7">
      <w:start w:val="0"/>
      <w:numFmt w:val="bullet"/>
      <w:lvlText w:val="•"/>
      <w:lvlJc w:val="left"/>
      <w:pPr>
        <w:ind w:left="6659" w:hanging="220"/>
      </w:pPr>
      <w:rPr>
        <w:rFonts w:hint="default"/>
        <w:lang w:val="en-US" w:eastAsia="en-US" w:bidi="ar-SA"/>
      </w:rPr>
    </w:lvl>
    <w:lvl w:ilvl="8">
      <w:start w:val="0"/>
      <w:numFmt w:val="bullet"/>
      <w:lvlText w:val="•"/>
      <w:lvlJc w:val="left"/>
      <w:pPr>
        <w:ind w:left="7556" w:hanging="220"/>
      </w:pPr>
      <w:rPr>
        <w:rFonts w:hint="default"/>
        <w:lang w:val="en-US" w:eastAsia="en-US" w:bidi="ar-SA"/>
      </w:rPr>
    </w:lvl>
  </w:abstractNum>
  <w:abstractNum w:abstractNumId="3">
    <w:multiLevelType w:val="hybridMultilevel"/>
    <w:lvl w:ilvl="0">
      <w:start w:val="2"/>
      <w:numFmt w:val="lowerLetter"/>
      <w:lvlText w:val="(%1)"/>
      <w:lvlJc w:val="left"/>
      <w:pPr>
        <w:ind w:left="3058" w:hanging="37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689" w:hanging="374"/>
      </w:pPr>
      <w:rPr>
        <w:rFonts w:hint="default"/>
        <w:lang w:val="en-US" w:eastAsia="en-US" w:bidi="ar-SA"/>
      </w:rPr>
    </w:lvl>
    <w:lvl w:ilvl="2">
      <w:start w:val="0"/>
      <w:numFmt w:val="bullet"/>
      <w:lvlText w:val="•"/>
      <w:lvlJc w:val="left"/>
      <w:pPr>
        <w:ind w:left="4318" w:hanging="374"/>
      </w:pPr>
      <w:rPr>
        <w:rFonts w:hint="default"/>
        <w:lang w:val="en-US" w:eastAsia="en-US" w:bidi="ar-SA"/>
      </w:rPr>
    </w:lvl>
    <w:lvl w:ilvl="3">
      <w:start w:val="0"/>
      <w:numFmt w:val="bullet"/>
      <w:lvlText w:val="•"/>
      <w:lvlJc w:val="left"/>
      <w:pPr>
        <w:ind w:left="4947" w:hanging="374"/>
      </w:pPr>
      <w:rPr>
        <w:rFonts w:hint="default"/>
        <w:lang w:val="en-US" w:eastAsia="en-US" w:bidi="ar-SA"/>
      </w:rPr>
    </w:lvl>
    <w:lvl w:ilvl="4">
      <w:start w:val="0"/>
      <w:numFmt w:val="bullet"/>
      <w:lvlText w:val="•"/>
      <w:lvlJc w:val="left"/>
      <w:pPr>
        <w:ind w:left="5576" w:hanging="374"/>
      </w:pPr>
      <w:rPr>
        <w:rFonts w:hint="default"/>
        <w:lang w:val="en-US" w:eastAsia="en-US" w:bidi="ar-SA"/>
      </w:rPr>
    </w:lvl>
    <w:lvl w:ilvl="5">
      <w:start w:val="0"/>
      <w:numFmt w:val="bullet"/>
      <w:lvlText w:val="•"/>
      <w:lvlJc w:val="left"/>
      <w:pPr>
        <w:ind w:left="6205" w:hanging="374"/>
      </w:pPr>
      <w:rPr>
        <w:rFonts w:hint="default"/>
        <w:lang w:val="en-US" w:eastAsia="en-US" w:bidi="ar-SA"/>
      </w:rPr>
    </w:lvl>
    <w:lvl w:ilvl="6">
      <w:start w:val="0"/>
      <w:numFmt w:val="bullet"/>
      <w:lvlText w:val="•"/>
      <w:lvlJc w:val="left"/>
      <w:pPr>
        <w:ind w:left="6834" w:hanging="374"/>
      </w:pPr>
      <w:rPr>
        <w:rFonts w:hint="default"/>
        <w:lang w:val="en-US" w:eastAsia="en-US" w:bidi="ar-SA"/>
      </w:rPr>
    </w:lvl>
    <w:lvl w:ilvl="7">
      <w:start w:val="0"/>
      <w:numFmt w:val="bullet"/>
      <w:lvlText w:val="•"/>
      <w:lvlJc w:val="left"/>
      <w:pPr>
        <w:ind w:left="7463" w:hanging="374"/>
      </w:pPr>
      <w:rPr>
        <w:rFonts w:hint="default"/>
        <w:lang w:val="en-US" w:eastAsia="en-US" w:bidi="ar-SA"/>
      </w:rPr>
    </w:lvl>
    <w:lvl w:ilvl="8">
      <w:start w:val="0"/>
      <w:numFmt w:val="bullet"/>
      <w:lvlText w:val="•"/>
      <w:lvlJc w:val="left"/>
      <w:pPr>
        <w:ind w:left="8092" w:hanging="374"/>
      </w:pPr>
      <w:rPr>
        <w:rFonts w:hint="default"/>
        <w:lang w:val="en-US" w:eastAsia="en-US" w:bidi="ar-SA"/>
      </w:rPr>
    </w:lvl>
  </w:abstractNum>
  <w:abstractNum w:abstractNumId="2">
    <w:multiLevelType w:val="hybridMultilevel"/>
    <w:lvl w:ilvl="0">
      <w:start w:val="1"/>
      <w:numFmt w:val="lowerRoman"/>
      <w:lvlText w:val="(%1)"/>
      <w:lvlJc w:val="left"/>
      <w:pPr>
        <w:ind w:left="384" w:hanging="220"/>
        <w:jc w:val="left"/>
      </w:pPr>
      <w:rPr>
        <w:rFonts w:hint="default" w:ascii="Arial" w:hAnsi="Arial" w:eastAsia="Arial" w:cs="Arial"/>
        <w:b/>
        <w:bCs/>
        <w:i w:val="0"/>
        <w:iCs w:val="0"/>
        <w:spacing w:val="0"/>
        <w:w w:val="100"/>
        <w:sz w:val="18"/>
        <w:szCs w:val="18"/>
        <w:lang w:val="en-US" w:eastAsia="en-US" w:bidi="ar-SA"/>
      </w:rPr>
    </w:lvl>
    <w:lvl w:ilvl="1">
      <w:start w:val="0"/>
      <w:numFmt w:val="bullet"/>
      <w:lvlText w:val="•"/>
      <w:lvlJc w:val="left"/>
      <w:pPr>
        <w:ind w:left="1277" w:hanging="220"/>
      </w:pPr>
      <w:rPr>
        <w:rFonts w:hint="default"/>
        <w:lang w:val="en-US" w:eastAsia="en-US" w:bidi="ar-SA"/>
      </w:rPr>
    </w:lvl>
    <w:lvl w:ilvl="2">
      <w:start w:val="0"/>
      <w:numFmt w:val="bullet"/>
      <w:lvlText w:val="•"/>
      <w:lvlJc w:val="left"/>
      <w:pPr>
        <w:ind w:left="2174" w:hanging="220"/>
      </w:pPr>
      <w:rPr>
        <w:rFonts w:hint="default"/>
        <w:lang w:val="en-US" w:eastAsia="en-US" w:bidi="ar-SA"/>
      </w:rPr>
    </w:lvl>
    <w:lvl w:ilvl="3">
      <w:start w:val="0"/>
      <w:numFmt w:val="bullet"/>
      <w:lvlText w:val="•"/>
      <w:lvlJc w:val="left"/>
      <w:pPr>
        <w:ind w:left="3071" w:hanging="220"/>
      </w:pPr>
      <w:rPr>
        <w:rFonts w:hint="default"/>
        <w:lang w:val="en-US" w:eastAsia="en-US" w:bidi="ar-SA"/>
      </w:rPr>
    </w:lvl>
    <w:lvl w:ilvl="4">
      <w:start w:val="0"/>
      <w:numFmt w:val="bullet"/>
      <w:lvlText w:val="•"/>
      <w:lvlJc w:val="left"/>
      <w:pPr>
        <w:ind w:left="3968" w:hanging="220"/>
      </w:pPr>
      <w:rPr>
        <w:rFonts w:hint="default"/>
        <w:lang w:val="en-US" w:eastAsia="en-US" w:bidi="ar-SA"/>
      </w:rPr>
    </w:lvl>
    <w:lvl w:ilvl="5">
      <w:start w:val="0"/>
      <w:numFmt w:val="bullet"/>
      <w:lvlText w:val="•"/>
      <w:lvlJc w:val="left"/>
      <w:pPr>
        <w:ind w:left="4865" w:hanging="220"/>
      </w:pPr>
      <w:rPr>
        <w:rFonts w:hint="default"/>
        <w:lang w:val="en-US" w:eastAsia="en-US" w:bidi="ar-SA"/>
      </w:rPr>
    </w:lvl>
    <w:lvl w:ilvl="6">
      <w:start w:val="0"/>
      <w:numFmt w:val="bullet"/>
      <w:lvlText w:val="•"/>
      <w:lvlJc w:val="left"/>
      <w:pPr>
        <w:ind w:left="5762" w:hanging="220"/>
      </w:pPr>
      <w:rPr>
        <w:rFonts w:hint="default"/>
        <w:lang w:val="en-US" w:eastAsia="en-US" w:bidi="ar-SA"/>
      </w:rPr>
    </w:lvl>
    <w:lvl w:ilvl="7">
      <w:start w:val="0"/>
      <w:numFmt w:val="bullet"/>
      <w:lvlText w:val="•"/>
      <w:lvlJc w:val="left"/>
      <w:pPr>
        <w:ind w:left="6659" w:hanging="220"/>
      </w:pPr>
      <w:rPr>
        <w:rFonts w:hint="default"/>
        <w:lang w:val="en-US" w:eastAsia="en-US" w:bidi="ar-SA"/>
      </w:rPr>
    </w:lvl>
    <w:lvl w:ilvl="8">
      <w:start w:val="0"/>
      <w:numFmt w:val="bullet"/>
      <w:lvlText w:val="•"/>
      <w:lvlJc w:val="left"/>
      <w:pPr>
        <w:ind w:left="7556" w:hanging="220"/>
      </w:pPr>
      <w:rPr>
        <w:rFonts w:hint="default"/>
        <w:lang w:val="en-US" w:eastAsia="en-US" w:bidi="ar-SA"/>
      </w:rPr>
    </w:lvl>
  </w:abstractNum>
  <w:abstractNum w:abstractNumId="0">
    <w:multiLevelType w:val="hybridMultilevel"/>
    <w:lvl w:ilvl="0">
      <w:start w:val="2"/>
      <w:numFmt w:val="lowerLetter"/>
      <w:lvlText w:val="(%1)"/>
      <w:lvlJc w:val="left"/>
      <w:pPr>
        <w:ind w:left="4378" w:hanging="37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877" w:hanging="374"/>
      </w:pPr>
      <w:rPr>
        <w:rFonts w:hint="default"/>
        <w:lang w:val="en-US" w:eastAsia="en-US" w:bidi="ar-SA"/>
      </w:rPr>
    </w:lvl>
    <w:lvl w:ilvl="2">
      <w:start w:val="0"/>
      <w:numFmt w:val="bullet"/>
      <w:lvlText w:val="•"/>
      <w:lvlJc w:val="left"/>
      <w:pPr>
        <w:ind w:left="5374" w:hanging="374"/>
      </w:pPr>
      <w:rPr>
        <w:rFonts w:hint="default"/>
        <w:lang w:val="en-US" w:eastAsia="en-US" w:bidi="ar-SA"/>
      </w:rPr>
    </w:lvl>
    <w:lvl w:ilvl="3">
      <w:start w:val="0"/>
      <w:numFmt w:val="bullet"/>
      <w:lvlText w:val="•"/>
      <w:lvlJc w:val="left"/>
      <w:pPr>
        <w:ind w:left="5871" w:hanging="374"/>
      </w:pPr>
      <w:rPr>
        <w:rFonts w:hint="default"/>
        <w:lang w:val="en-US" w:eastAsia="en-US" w:bidi="ar-SA"/>
      </w:rPr>
    </w:lvl>
    <w:lvl w:ilvl="4">
      <w:start w:val="0"/>
      <w:numFmt w:val="bullet"/>
      <w:lvlText w:val="•"/>
      <w:lvlJc w:val="left"/>
      <w:pPr>
        <w:ind w:left="6368" w:hanging="374"/>
      </w:pPr>
      <w:rPr>
        <w:rFonts w:hint="default"/>
        <w:lang w:val="en-US" w:eastAsia="en-US" w:bidi="ar-SA"/>
      </w:rPr>
    </w:lvl>
    <w:lvl w:ilvl="5">
      <w:start w:val="0"/>
      <w:numFmt w:val="bullet"/>
      <w:lvlText w:val="•"/>
      <w:lvlJc w:val="left"/>
      <w:pPr>
        <w:ind w:left="6865" w:hanging="374"/>
      </w:pPr>
      <w:rPr>
        <w:rFonts w:hint="default"/>
        <w:lang w:val="en-US" w:eastAsia="en-US" w:bidi="ar-SA"/>
      </w:rPr>
    </w:lvl>
    <w:lvl w:ilvl="6">
      <w:start w:val="0"/>
      <w:numFmt w:val="bullet"/>
      <w:lvlText w:val="•"/>
      <w:lvlJc w:val="left"/>
      <w:pPr>
        <w:ind w:left="7362" w:hanging="374"/>
      </w:pPr>
      <w:rPr>
        <w:rFonts w:hint="default"/>
        <w:lang w:val="en-US" w:eastAsia="en-US" w:bidi="ar-SA"/>
      </w:rPr>
    </w:lvl>
    <w:lvl w:ilvl="7">
      <w:start w:val="0"/>
      <w:numFmt w:val="bullet"/>
      <w:lvlText w:val="•"/>
      <w:lvlJc w:val="left"/>
      <w:pPr>
        <w:ind w:left="7859" w:hanging="374"/>
      </w:pPr>
      <w:rPr>
        <w:rFonts w:hint="default"/>
        <w:lang w:val="en-US" w:eastAsia="en-US" w:bidi="ar-SA"/>
      </w:rPr>
    </w:lvl>
    <w:lvl w:ilvl="8">
      <w:start w:val="0"/>
      <w:numFmt w:val="bullet"/>
      <w:lvlText w:val="•"/>
      <w:lvlJc w:val="left"/>
      <w:pPr>
        <w:ind w:left="8356" w:hanging="374"/>
      </w:pPr>
      <w:rPr>
        <w:rFonts w:hint="default"/>
        <w:lang w:val="en-US" w:eastAsia="en-US" w:bidi="ar-SA"/>
      </w:rPr>
    </w:lvl>
  </w:abstractNum>
  <w:num w:numId="7">
    <w:abstractNumId w:val="6"/>
  </w:num>
  <w:num w:numId="2">
    <w:abstractNumId w:val="1"/>
  </w:num>
  <w:num w:numId="10">
    <w:abstractNumId w:val="9"/>
  </w:num>
  <w:num w:numId="12">
    <w:abstractNumId w:val="11"/>
  </w:num>
  <w:num w:numId="11">
    <w:abstractNumId w:val="10"/>
  </w:num>
  <w:num w:numId="9">
    <w:abstractNumId w:val="8"/>
  </w:num>
  <w:num w:numId="8">
    <w:abstractNumId w:val="7"/>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940" w:right="943"/>
      <w:jc w:val="center"/>
      <w:outlineLvl w:val="1"/>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194"/>
      <w:ind w:left="484" w:hanging="373"/>
    </w:pPr>
    <w:rPr>
      <w:rFonts w:ascii="Arial" w:hAnsi="Arial" w:eastAsia="Arial" w:cs="Arial"/>
      <w:lang w:val="en-US" w:eastAsia="en-US" w:bidi="ar-SA"/>
    </w:rPr>
  </w:style>
  <w:style w:styleId="TableParagraph" w:type="paragraph">
    <w:name w:val="Table Paragraph"/>
    <w:basedOn w:val="Normal"/>
    <w:uiPriority w:val="1"/>
    <w:qFormat/>
    <w:pPr>
      <w:spacing w:before="121"/>
      <w:ind w:left="94"/>
      <w:jc w:val="center"/>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yperlink" Target="http://lawcommission.justice.gov.uk/" TargetMode="Externa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yperlink" Target="http://services.parliament.uk/bills/2017-19/europeanunionwithdrawal.html" TargetMode="Externa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yperlink" Target="http://www.homeoffice.gov.uk/equalities/equality-act/commencement" TargetMode="Externa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2025-03-18T09:23:43Z</dcterms:created>
  <dcterms:modified xsi:type="dcterms:W3CDTF">2025-03-18T09:23:43Z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